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szCs w:val="32"/>
        </w:rPr>
      </w:pPr>
      <w:r>
        <w:rPr>
          <w:rFonts w:hint="eastAsia" w:ascii="黑体" w:hAnsi="黑体" w:eastAsia="黑体"/>
          <w:sz w:val="32"/>
          <w:szCs w:val="32"/>
        </w:rPr>
        <w:t>《绿色饰品认证实施》编制说明</w:t>
      </w:r>
    </w:p>
    <w:p>
      <w:pPr>
        <w:numPr>
          <w:ilvl w:val="0"/>
          <w:numId w:val="1"/>
        </w:numPr>
        <w:tabs>
          <w:tab w:val="left" w:pos="540"/>
          <w:tab w:val="clear" w:pos="720"/>
        </w:tabs>
        <w:spacing w:line="360" w:lineRule="auto"/>
        <w:ind w:left="360" w:hanging="360"/>
        <w:rPr>
          <w:rFonts w:ascii="黑体" w:hAnsi="黑体" w:eastAsia="黑体"/>
          <w:sz w:val="28"/>
          <w:szCs w:val="28"/>
        </w:rPr>
      </w:pPr>
      <w:r>
        <w:rPr>
          <w:rFonts w:hint="eastAsia" w:ascii="黑体" w:hAnsi="黑体" w:eastAsia="黑体"/>
          <w:sz w:val="28"/>
          <w:szCs w:val="28"/>
        </w:rPr>
        <w:t>工作概况</w:t>
      </w:r>
    </w:p>
    <w:p>
      <w:pPr>
        <w:spacing w:line="360" w:lineRule="auto"/>
        <w:ind w:firstLine="480" w:firstLineChars="200"/>
        <w:rPr>
          <w:rFonts w:ascii="黑体" w:hAnsi="黑体" w:eastAsia="黑体"/>
          <w:sz w:val="24"/>
        </w:rPr>
      </w:pPr>
      <w:r>
        <w:rPr>
          <w:rFonts w:hint="eastAsia" w:ascii="黑体" w:hAnsi="黑体" w:eastAsia="黑体"/>
          <w:sz w:val="24"/>
        </w:rPr>
        <w:t>1、任务来源</w:t>
      </w:r>
    </w:p>
    <w:p>
      <w:pPr>
        <w:widowControl/>
        <w:spacing w:line="360" w:lineRule="auto"/>
        <w:ind w:firstLine="480" w:firstLineChars="200"/>
        <w:jc w:val="left"/>
        <w:rPr>
          <w:rFonts w:ascii="宋体" w:hAnsi="宋体"/>
          <w:sz w:val="24"/>
        </w:rPr>
      </w:pPr>
      <w:r>
        <w:rPr>
          <w:rFonts w:hint="eastAsia" w:ascii="宋体" w:hAnsi="宋体"/>
          <w:sz w:val="24"/>
        </w:rPr>
        <w:t>本项目是在贯彻习近平总书记在十九大报告中指出的，坚持人与自然和谐共生。必须树立和践行绿水青山就是金山银山的理念，坚持节约资源和保护环境的基本国策。2</w:t>
      </w:r>
      <w:r>
        <w:rPr>
          <w:rFonts w:ascii="宋体" w:hAnsi="宋体"/>
          <w:sz w:val="24"/>
        </w:rPr>
        <w:t>018</w:t>
      </w:r>
      <w:r>
        <w:rPr>
          <w:rFonts w:hint="eastAsia" w:ascii="宋体" w:hAnsi="宋体"/>
          <w:sz w:val="24"/>
        </w:rPr>
        <w:t>年我院（深圳市计量质量检测研究院）认证审查中心起草了《绿色饰品认证实施规则》作为珠宝行业绿色认证业务的突破口。2</w:t>
      </w:r>
      <w:r>
        <w:rPr>
          <w:rFonts w:ascii="宋体" w:hAnsi="宋体"/>
          <w:sz w:val="24"/>
        </w:rPr>
        <w:t>020</w:t>
      </w:r>
      <w:r>
        <w:rPr>
          <w:rFonts w:hint="eastAsia" w:ascii="宋体" w:hAnsi="宋体"/>
          <w:sz w:val="24"/>
        </w:rPr>
        <w:t>年8月，为了大范围的推广“绿色饰品认证”，我院作为《绿色饰品认证实施》标准的主要起草单位之一开始筹备该标准的起草事宜及立项工作。其他主要起草单位有：深圳市潮尊珠宝首饰有限公司、深圳百泰投资控股集团有限公司。</w:t>
      </w:r>
    </w:p>
    <w:p>
      <w:pPr>
        <w:spacing w:line="360" w:lineRule="auto"/>
        <w:ind w:left="359" w:leftChars="171" w:firstLine="120" w:firstLineChars="50"/>
        <w:rPr>
          <w:rFonts w:ascii="黑体" w:hAnsi="黑体" w:eastAsia="黑体"/>
          <w:sz w:val="24"/>
        </w:rPr>
      </w:pPr>
      <w:r>
        <w:rPr>
          <w:rFonts w:hint="eastAsia" w:ascii="黑体" w:hAnsi="黑体" w:eastAsia="黑体"/>
          <w:sz w:val="24"/>
        </w:rPr>
        <w:t>2、主要工作过程</w:t>
      </w:r>
    </w:p>
    <w:p>
      <w:pPr>
        <w:spacing w:line="360" w:lineRule="auto"/>
        <w:ind w:firstLine="480" w:firstLineChars="200"/>
        <w:rPr>
          <w:sz w:val="24"/>
        </w:rPr>
      </w:pPr>
      <w:r>
        <w:rPr>
          <w:rFonts w:hint="eastAsia"/>
          <w:sz w:val="24"/>
        </w:rPr>
        <w:t>（1）起草（草案、论证）阶段：</w:t>
      </w:r>
      <w:r>
        <w:rPr>
          <w:sz w:val="24"/>
        </w:rPr>
        <w:t>2020</w:t>
      </w:r>
      <w:r>
        <w:rPr>
          <w:rFonts w:hint="eastAsia"/>
          <w:sz w:val="24"/>
        </w:rPr>
        <w:t>年8月立项，</w:t>
      </w:r>
      <w:r>
        <w:rPr>
          <w:sz w:val="24"/>
        </w:rPr>
        <w:t>2020年</w:t>
      </w:r>
      <w:r>
        <w:rPr>
          <w:rFonts w:hint="eastAsia"/>
          <w:sz w:val="24"/>
        </w:rPr>
        <w:t>主要起草单位正式征集工作组成员，工作组成员主要为深圳市计量质量检测研究院技术代表；截止2</w:t>
      </w:r>
      <w:r>
        <w:rPr>
          <w:sz w:val="24"/>
        </w:rPr>
        <w:t>020</w:t>
      </w:r>
      <w:r>
        <w:rPr>
          <w:rFonts w:hint="eastAsia"/>
          <w:sz w:val="24"/>
        </w:rPr>
        <w:t>年9月，</w:t>
      </w:r>
      <w:r>
        <w:rPr>
          <w:sz w:val="24"/>
        </w:rPr>
        <w:t>工作组</w:t>
      </w:r>
      <w:r>
        <w:rPr>
          <w:rFonts w:hint="eastAsia"/>
          <w:sz w:val="24"/>
        </w:rPr>
        <w:t>在广东省进行资料收集，电话调研；截止20</w:t>
      </w:r>
      <w:r>
        <w:rPr>
          <w:sz w:val="24"/>
        </w:rPr>
        <w:t>20</w:t>
      </w:r>
      <w:r>
        <w:rPr>
          <w:rFonts w:hint="eastAsia"/>
          <w:sz w:val="24"/>
        </w:rPr>
        <w:t>年</w:t>
      </w:r>
      <w:r>
        <w:rPr>
          <w:sz w:val="24"/>
        </w:rPr>
        <w:t>10</w:t>
      </w:r>
      <w:r>
        <w:rPr>
          <w:rFonts w:hint="eastAsia"/>
          <w:sz w:val="24"/>
        </w:rPr>
        <w:t>月，在全国范围进行</w:t>
      </w:r>
      <w:r>
        <w:rPr>
          <w:sz w:val="24"/>
        </w:rPr>
        <w:t>资料收集、</w:t>
      </w:r>
      <w:r>
        <w:rPr>
          <w:rFonts w:hint="eastAsia"/>
          <w:sz w:val="24"/>
        </w:rPr>
        <w:t>技术咨询交流等工作；鉴于珠宝首饰产业生产制造的深圳产业集群，调研单位主要集中在广东，截止2</w:t>
      </w:r>
      <w:r>
        <w:rPr>
          <w:sz w:val="24"/>
        </w:rPr>
        <w:t>020</w:t>
      </w:r>
      <w:r>
        <w:rPr>
          <w:rFonts w:hint="eastAsia"/>
          <w:sz w:val="24"/>
        </w:rPr>
        <w:t>年1</w:t>
      </w:r>
      <w:r>
        <w:rPr>
          <w:sz w:val="24"/>
        </w:rPr>
        <w:t>1</w:t>
      </w:r>
      <w:r>
        <w:rPr>
          <w:rFonts w:hint="eastAsia"/>
          <w:sz w:val="24"/>
        </w:rPr>
        <w:t>月，</w:t>
      </w:r>
      <w:r>
        <w:rPr>
          <w:sz w:val="24"/>
        </w:rPr>
        <w:t>工作组</w:t>
      </w:r>
      <w:r>
        <w:rPr>
          <w:rFonts w:hint="eastAsia"/>
          <w:sz w:val="24"/>
        </w:rPr>
        <w:t>在广东省开展访谈及工厂调研；截止20</w:t>
      </w:r>
      <w:r>
        <w:rPr>
          <w:sz w:val="24"/>
        </w:rPr>
        <w:t>20</w:t>
      </w:r>
      <w:r>
        <w:rPr>
          <w:rFonts w:hint="eastAsia"/>
          <w:sz w:val="24"/>
        </w:rPr>
        <w:t>年</w:t>
      </w:r>
      <w:r>
        <w:rPr>
          <w:sz w:val="24"/>
        </w:rPr>
        <w:t>12</w:t>
      </w:r>
      <w:r>
        <w:rPr>
          <w:rFonts w:hint="eastAsia"/>
          <w:sz w:val="24"/>
        </w:rPr>
        <w:t>月，整理汇总和分析比较调研结果，编制标准大纲；截止2</w:t>
      </w:r>
      <w:r>
        <w:rPr>
          <w:sz w:val="24"/>
        </w:rPr>
        <w:t>021</w:t>
      </w:r>
      <w:r>
        <w:rPr>
          <w:rFonts w:hint="eastAsia"/>
          <w:sz w:val="24"/>
        </w:rPr>
        <w:t>年1月，开展工作组讨论会，修改标准大纲；截止</w:t>
      </w:r>
      <w:r>
        <w:rPr>
          <w:sz w:val="24"/>
        </w:rPr>
        <w:t>2021</w:t>
      </w:r>
      <w:r>
        <w:rPr>
          <w:rFonts w:hint="eastAsia"/>
          <w:sz w:val="24"/>
        </w:rPr>
        <w:t>年2月，工作组编制草案，标准小组召开内部专家委员会开会讨论，反复修改，形成正式草案；截止2</w:t>
      </w:r>
      <w:r>
        <w:rPr>
          <w:sz w:val="24"/>
        </w:rPr>
        <w:t>021</w:t>
      </w:r>
      <w:r>
        <w:rPr>
          <w:rFonts w:hint="eastAsia"/>
          <w:sz w:val="24"/>
        </w:rPr>
        <w:t>年3月，</w:t>
      </w:r>
      <w:r>
        <w:rPr>
          <w:sz w:val="24"/>
        </w:rPr>
        <w:t>工作组广泛征集</w:t>
      </w:r>
      <w:r>
        <w:rPr>
          <w:rFonts w:hint="eastAsia"/>
          <w:sz w:val="24"/>
        </w:rPr>
        <w:t>行业企业和行业专家</w:t>
      </w:r>
      <w:r>
        <w:rPr>
          <w:sz w:val="24"/>
        </w:rPr>
        <w:t>意见，反复对</w:t>
      </w:r>
      <w:r>
        <w:rPr>
          <w:rFonts w:hint="eastAsia"/>
          <w:sz w:val="24"/>
        </w:rPr>
        <w:t>草</w:t>
      </w:r>
      <w:r>
        <w:rPr>
          <w:sz w:val="24"/>
        </w:rPr>
        <w:t>稿进行讨论修改，形成</w:t>
      </w:r>
      <w:r>
        <w:rPr>
          <w:rFonts w:hint="eastAsia"/>
          <w:sz w:val="24"/>
        </w:rPr>
        <w:t>工作组讨论</w:t>
      </w:r>
      <w:r>
        <w:rPr>
          <w:sz w:val="24"/>
        </w:rPr>
        <w:t>稿</w:t>
      </w:r>
      <w:r>
        <w:rPr>
          <w:rFonts w:hint="eastAsia"/>
          <w:sz w:val="24"/>
        </w:rPr>
        <w:t>和编制说明等文件；</w:t>
      </w:r>
    </w:p>
    <w:p>
      <w:pPr>
        <w:spacing w:line="360" w:lineRule="auto"/>
        <w:ind w:left="1" w:firstLine="480" w:firstLineChars="200"/>
        <w:rPr>
          <w:sz w:val="24"/>
        </w:rPr>
      </w:pPr>
      <w:r>
        <w:rPr>
          <w:rFonts w:hint="eastAsia"/>
          <w:sz w:val="24"/>
        </w:rPr>
        <w:t>（2）征求意见阶段：</w:t>
      </w:r>
      <w:r>
        <w:rPr>
          <w:sz w:val="24"/>
        </w:rPr>
        <w:t>2021</w:t>
      </w:r>
      <w:r>
        <w:rPr>
          <w:rFonts w:hint="eastAsia"/>
          <w:sz w:val="24"/>
        </w:rPr>
        <w:t>年</w:t>
      </w:r>
      <w:r>
        <w:rPr>
          <w:sz w:val="24"/>
        </w:rPr>
        <w:t>3</w:t>
      </w:r>
      <w:r>
        <w:rPr>
          <w:rFonts w:hint="eastAsia"/>
          <w:sz w:val="24"/>
        </w:rPr>
        <w:t xml:space="preserve">月向贵金属及珠宝玉石饰品企业标准联盟提交征集意见稿，全国范围函件和网络征集意见； </w:t>
      </w:r>
      <w:bookmarkStart w:id="0" w:name="_GoBack"/>
      <w:bookmarkEnd w:id="0"/>
    </w:p>
    <w:p>
      <w:pPr>
        <w:spacing w:before="156" w:beforeLines="50" w:after="156" w:afterLines="50" w:line="360" w:lineRule="auto"/>
        <w:ind w:left="359" w:leftChars="171" w:firstLine="120" w:firstLineChars="50"/>
        <w:rPr>
          <w:rFonts w:ascii="黑体" w:hAnsi="黑体" w:eastAsia="黑体"/>
          <w:sz w:val="24"/>
        </w:rPr>
      </w:pPr>
      <w:r>
        <w:rPr>
          <w:rFonts w:hint="eastAsia" w:ascii="黑体" w:hAnsi="黑体" w:eastAsia="黑体"/>
          <w:sz w:val="24"/>
        </w:rPr>
        <w:t>3、</w:t>
      </w:r>
      <w:r>
        <w:rPr>
          <w:rFonts w:ascii="黑体" w:hAnsi="黑体" w:eastAsia="黑体"/>
          <w:kern w:val="0"/>
          <w:sz w:val="24"/>
        </w:rPr>
        <w:t>主要参加单位和工作组成员及其所做的工作</w:t>
      </w:r>
    </w:p>
    <w:p>
      <w:pPr>
        <w:widowControl/>
        <w:spacing w:line="360" w:lineRule="auto"/>
        <w:ind w:firstLine="480" w:firstLineChars="200"/>
        <w:jc w:val="left"/>
        <w:rPr>
          <w:sz w:val="24"/>
        </w:rPr>
      </w:pPr>
      <w:r>
        <w:rPr>
          <w:rFonts w:hint="eastAsia"/>
          <w:sz w:val="24"/>
        </w:rPr>
        <w:t>本标准由深圳市计量质量检测研究院编制完成。</w:t>
      </w:r>
    </w:p>
    <w:p>
      <w:pPr>
        <w:widowControl/>
        <w:spacing w:line="360" w:lineRule="auto"/>
        <w:ind w:firstLine="480" w:firstLineChars="200"/>
        <w:jc w:val="left"/>
        <w:rPr>
          <w:sz w:val="24"/>
        </w:rPr>
      </w:pPr>
      <w:r>
        <w:rPr>
          <w:rFonts w:hint="eastAsia"/>
          <w:sz w:val="24"/>
        </w:rPr>
        <w:t>主要成员：</w:t>
      </w:r>
      <w:r>
        <w:rPr>
          <w:sz w:val="24"/>
        </w:rPr>
        <w:t xml:space="preserve"> </w:t>
      </w:r>
      <w:r>
        <w:rPr>
          <w:rFonts w:hint="eastAsia"/>
          <w:sz w:val="24"/>
        </w:rPr>
        <w:t>陈志强、蒋婷、郭丰辉、王媚</w:t>
      </w:r>
    </w:p>
    <w:p>
      <w:pPr>
        <w:widowControl/>
        <w:spacing w:line="360" w:lineRule="auto"/>
        <w:ind w:firstLine="480" w:firstLineChars="200"/>
        <w:jc w:val="left"/>
        <w:rPr>
          <w:sz w:val="24"/>
        </w:rPr>
      </w:pPr>
      <w:r>
        <w:rPr>
          <w:rFonts w:hint="eastAsia"/>
          <w:sz w:val="24"/>
        </w:rPr>
        <w:t>所做的工作：陈志强、蒋婷负责</w:t>
      </w:r>
      <w:r>
        <w:rPr>
          <w:sz w:val="24"/>
        </w:rPr>
        <w:t>法律法规及定稿把关</w:t>
      </w:r>
      <w:r>
        <w:rPr>
          <w:rFonts w:hint="eastAsia"/>
          <w:sz w:val="24"/>
        </w:rPr>
        <w:t>；王媚</w:t>
      </w:r>
      <w:r>
        <w:rPr>
          <w:sz w:val="24"/>
        </w:rPr>
        <w:t>负责标准文本的审核修改及与意见单位的沟通</w:t>
      </w:r>
      <w:r>
        <w:rPr>
          <w:rFonts w:hint="eastAsia"/>
          <w:sz w:val="24"/>
        </w:rPr>
        <w:t>；郭丰辉负责问卷和资料调研、</w:t>
      </w:r>
      <w:r>
        <w:rPr>
          <w:sz w:val="24"/>
        </w:rPr>
        <w:t>起草文本</w:t>
      </w:r>
      <w:r>
        <w:rPr>
          <w:rFonts w:hint="eastAsia"/>
          <w:sz w:val="24"/>
        </w:rPr>
        <w:t>、</w:t>
      </w:r>
      <w:r>
        <w:rPr>
          <w:sz w:val="24"/>
        </w:rPr>
        <w:t>起草标准编制说明</w:t>
      </w:r>
      <w:r>
        <w:rPr>
          <w:rFonts w:hint="eastAsia"/>
          <w:sz w:val="24"/>
        </w:rPr>
        <w:t>、</w:t>
      </w:r>
      <w:r>
        <w:rPr>
          <w:sz w:val="24"/>
        </w:rPr>
        <w:t>企业等各方面意见的征询和反馈收集</w:t>
      </w:r>
      <w:r>
        <w:rPr>
          <w:rFonts w:hint="eastAsia"/>
          <w:sz w:val="24"/>
        </w:rPr>
        <w:t>及标准文本</w:t>
      </w:r>
      <w:r>
        <w:rPr>
          <w:sz w:val="24"/>
        </w:rPr>
        <w:t>修改工作</w:t>
      </w:r>
      <w:r>
        <w:rPr>
          <w:rFonts w:hint="eastAsia"/>
          <w:sz w:val="24"/>
        </w:rPr>
        <w:t>。</w:t>
      </w:r>
    </w:p>
    <w:p>
      <w:pPr>
        <w:spacing w:before="156" w:beforeLines="50" w:line="360" w:lineRule="auto"/>
        <w:rPr>
          <w:rFonts w:eastAsia="黑体"/>
          <w:sz w:val="28"/>
          <w:szCs w:val="28"/>
        </w:rPr>
      </w:pPr>
      <w:r>
        <w:rPr>
          <w:rFonts w:eastAsia="黑体"/>
          <w:sz w:val="28"/>
          <w:szCs w:val="28"/>
        </w:rPr>
        <w:t>二、编制原则和主要内容</w:t>
      </w:r>
    </w:p>
    <w:p>
      <w:pPr>
        <w:spacing w:before="156" w:beforeLines="50" w:after="156" w:afterLines="50" w:line="360" w:lineRule="auto"/>
        <w:ind w:firstLine="480" w:firstLineChars="200"/>
        <w:rPr>
          <w:rFonts w:eastAsia="黑体"/>
          <w:sz w:val="24"/>
        </w:rPr>
      </w:pPr>
      <w:r>
        <w:rPr>
          <w:rFonts w:eastAsia="黑体"/>
          <w:sz w:val="24"/>
        </w:rPr>
        <w:t>1、编制原则</w:t>
      </w:r>
    </w:p>
    <w:p>
      <w:pPr>
        <w:spacing w:before="156" w:beforeLines="50" w:after="156" w:afterLines="50" w:line="360" w:lineRule="auto"/>
        <w:ind w:firstLine="480" w:firstLineChars="200"/>
        <w:rPr>
          <w:rFonts w:eastAsia="黑体"/>
          <w:sz w:val="24"/>
        </w:rPr>
      </w:pPr>
      <w:r>
        <w:rPr>
          <w:rFonts w:hint="eastAsia" w:ascii="宋体" w:hAnsi="宋体"/>
          <w:sz w:val="24"/>
        </w:rPr>
        <w:t>标准的格式、结构和内容主要按照GB/T 1.1《标准化工作导则 第1部分：标准的结构和编写》进行编写。编制原则符合《轻工行业标准制修订工作细则》的规定，符合成套成体系原则</w:t>
      </w:r>
      <w:r>
        <w:rPr>
          <w:rFonts w:hint="eastAsia" w:ascii="宋体" w:hAnsi="宋体"/>
          <w:kern w:val="0"/>
          <w:sz w:val="24"/>
        </w:rPr>
        <w:t>等</w:t>
      </w:r>
      <w:r>
        <w:rPr>
          <w:rFonts w:hint="eastAsia" w:ascii="宋体" w:hAnsi="宋体"/>
          <w:sz w:val="24"/>
        </w:rPr>
        <w:t>标准立项原则。标准编制原则如下：</w:t>
      </w:r>
    </w:p>
    <w:p>
      <w:pPr>
        <w:spacing w:before="156" w:beforeLines="50" w:after="156" w:afterLines="50" w:line="360" w:lineRule="auto"/>
        <w:ind w:firstLine="480" w:firstLineChars="200"/>
        <w:rPr>
          <w:rFonts w:ascii="宋体" w:hAnsi="宋体"/>
          <w:sz w:val="24"/>
        </w:rPr>
      </w:pPr>
      <w:r>
        <w:rPr>
          <w:rFonts w:hint="eastAsia" w:ascii="宋体" w:hAnsi="宋体"/>
          <w:sz w:val="24"/>
        </w:rPr>
        <w:t>a) 产业发展原则</w:t>
      </w:r>
    </w:p>
    <w:p>
      <w:pPr>
        <w:spacing w:before="156" w:beforeLines="50" w:after="156" w:afterLines="50" w:line="360" w:lineRule="auto"/>
        <w:ind w:firstLine="480" w:firstLineChars="200"/>
        <w:rPr>
          <w:rFonts w:ascii="宋体" w:hAnsi="宋体"/>
          <w:sz w:val="24"/>
        </w:rPr>
      </w:pPr>
      <w:r>
        <w:rPr>
          <w:rFonts w:hint="eastAsia" w:ascii="宋体" w:hAnsi="宋体"/>
          <w:sz w:val="24"/>
        </w:rPr>
        <w:t>为促进产业升级，需要通过标准来推动，制定标准建立在贵金属及珠宝玉石饰品企业标准联盟的数十家企业技术基础，标准计划履行符合企业为主、中介参与、政府引导和支持的标准制修订新模式，技术、人才、资金等各方面均有较好的准备，具有很强的可行性。</w:t>
      </w:r>
    </w:p>
    <w:p>
      <w:pPr>
        <w:spacing w:before="156" w:beforeLines="50" w:after="156" w:afterLines="50" w:line="360" w:lineRule="auto"/>
        <w:ind w:firstLine="480" w:firstLineChars="200"/>
        <w:rPr>
          <w:rFonts w:ascii="宋体" w:hAnsi="宋体"/>
          <w:sz w:val="24"/>
        </w:rPr>
      </w:pPr>
      <w:r>
        <w:rPr>
          <w:rFonts w:hint="eastAsia" w:ascii="宋体" w:hAnsi="宋体"/>
          <w:sz w:val="24"/>
        </w:rPr>
        <w:t>b)</w:t>
      </w:r>
      <w:r>
        <w:rPr>
          <w:rFonts w:hint="eastAsia" w:ascii="宋体" w:hAnsi="宋体"/>
          <w:sz w:val="24"/>
        </w:rPr>
        <w:tab/>
      </w:r>
      <w:r>
        <w:rPr>
          <w:rFonts w:hint="eastAsia" w:ascii="宋体" w:hAnsi="宋体"/>
          <w:sz w:val="24"/>
        </w:rPr>
        <w:t>市场需要原则</w:t>
      </w:r>
    </w:p>
    <w:p>
      <w:pPr>
        <w:spacing w:before="156" w:beforeLines="50" w:after="156" w:afterLines="50" w:line="360" w:lineRule="auto"/>
        <w:ind w:firstLine="480" w:firstLineChars="200"/>
        <w:rPr>
          <w:rFonts w:ascii="宋体" w:hAnsi="宋体"/>
          <w:sz w:val="24"/>
        </w:rPr>
      </w:pPr>
      <w:r>
        <w:rPr>
          <w:rFonts w:hint="eastAsia" w:ascii="宋体" w:hAnsi="宋体"/>
          <w:sz w:val="24"/>
        </w:rPr>
        <w:t>标准计划的提出和编制，以充分调研我国珠宝首饰制造加工企业的实际标准需求为基础，力求符合珠宝首饰制造加工企业绿色认证的需要。</w:t>
      </w:r>
    </w:p>
    <w:p>
      <w:pPr>
        <w:spacing w:before="156" w:beforeLines="50" w:after="156" w:afterLines="50" w:line="360" w:lineRule="auto"/>
        <w:ind w:firstLine="480" w:firstLineChars="200"/>
        <w:rPr>
          <w:rFonts w:ascii="宋体" w:hAnsi="宋体"/>
          <w:sz w:val="24"/>
        </w:rPr>
      </w:pPr>
      <w:r>
        <w:rPr>
          <w:rFonts w:hint="eastAsia" w:ascii="宋体" w:hAnsi="宋体"/>
          <w:sz w:val="24"/>
        </w:rPr>
        <w:t>c)</w:t>
      </w:r>
      <w:r>
        <w:rPr>
          <w:rFonts w:hint="eastAsia" w:ascii="宋体" w:hAnsi="宋体"/>
          <w:sz w:val="24"/>
        </w:rPr>
        <w:tab/>
      </w:r>
      <w:r>
        <w:rPr>
          <w:rFonts w:hint="eastAsia" w:ascii="宋体" w:hAnsi="宋体"/>
          <w:sz w:val="24"/>
        </w:rPr>
        <w:t>重点突出原则</w:t>
      </w:r>
    </w:p>
    <w:p>
      <w:pPr>
        <w:spacing w:before="156" w:beforeLines="50" w:after="156" w:afterLines="50" w:line="360" w:lineRule="auto"/>
        <w:ind w:firstLine="480" w:firstLineChars="200"/>
        <w:rPr>
          <w:rFonts w:ascii="宋体" w:hAnsi="宋体"/>
          <w:sz w:val="24"/>
        </w:rPr>
      </w:pPr>
      <w:r>
        <w:rPr>
          <w:rFonts w:hint="eastAsia" w:ascii="宋体" w:hAnsi="宋体"/>
          <w:sz w:val="24"/>
        </w:rPr>
        <w:t>标准内容编制包含绿色饰品认证的各个方面，突出标准重点。</w:t>
      </w:r>
    </w:p>
    <w:p>
      <w:pPr>
        <w:spacing w:before="156" w:beforeLines="50" w:after="156" w:afterLines="50" w:line="360" w:lineRule="auto"/>
        <w:ind w:firstLine="480" w:firstLineChars="200"/>
        <w:rPr>
          <w:rFonts w:ascii="宋体" w:hAnsi="宋体"/>
          <w:sz w:val="24"/>
        </w:rPr>
      </w:pPr>
      <w:r>
        <w:rPr>
          <w:rFonts w:hint="eastAsia" w:ascii="宋体" w:hAnsi="宋体"/>
          <w:sz w:val="24"/>
        </w:rPr>
        <w:t>d)</w:t>
      </w:r>
      <w:r>
        <w:rPr>
          <w:rFonts w:hint="eastAsia" w:ascii="宋体" w:hAnsi="宋体"/>
          <w:sz w:val="24"/>
        </w:rPr>
        <w:tab/>
      </w:r>
      <w:r>
        <w:rPr>
          <w:rFonts w:hint="eastAsia" w:ascii="宋体" w:hAnsi="宋体"/>
          <w:sz w:val="24"/>
        </w:rPr>
        <w:t>成套成体系原则</w:t>
      </w:r>
    </w:p>
    <w:p>
      <w:pPr>
        <w:spacing w:before="156" w:beforeLines="50" w:after="156" w:afterLines="50" w:line="360" w:lineRule="auto"/>
        <w:ind w:firstLine="480" w:firstLineChars="200"/>
        <w:rPr>
          <w:rFonts w:ascii="宋体" w:hAnsi="宋体"/>
          <w:sz w:val="24"/>
        </w:rPr>
      </w:pPr>
      <w:r>
        <w:rPr>
          <w:rFonts w:hint="eastAsia" w:ascii="宋体" w:hAnsi="宋体"/>
          <w:sz w:val="24"/>
        </w:rPr>
        <w:t>标准计划的提出和编制，建立在充分查找和参阅现行法律法规及相关的国家标准、行业标准的基础上，保证标准计划的内容能够符合法律法规以及强制性国家标准、行业标准的要求，并避免与现行相关国家标准和行业标准内容发生交叉重复。力求标准计划的提出弥补我国现行珠宝首饰制造加工行业技术标准体系的空缺，共同推进行业标准体系的完善。</w:t>
      </w:r>
    </w:p>
    <w:p>
      <w:pPr>
        <w:spacing w:before="156" w:beforeLines="50" w:after="156" w:afterLines="50" w:line="360" w:lineRule="auto"/>
        <w:ind w:firstLine="480" w:firstLineChars="200"/>
        <w:rPr>
          <w:rFonts w:eastAsia="黑体"/>
          <w:sz w:val="24"/>
        </w:rPr>
      </w:pPr>
      <w:r>
        <w:rPr>
          <w:rFonts w:eastAsia="黑体"/>
          <w:sz w:val="24"/>
        </w:rPr>
        <w:t>2、主要技术内容</w:t>
      </w:r>
    </w:p>
    <w:p>
      <w:pPr>
        <w:spacing w:line="360" w:lineRule="auto"/>
        <w:ind w:right="227" w:rightChars="108" w:firstLine="480" w:firstLineChars="200"/>
        <w:rPr>
          <w:sz w:val="24"/>
        </w:rPr>
      </w:pPr>
      <w:r>
        <w:rPr>
          <w:rFonts w:hAnsi="宋体"/>
          <w:sz w:val="24"/>
        </w:rPr>
        <w:t>本标准主要技术内容：范围、规范性引用文件、</w:t>
      </w:r>
      <w:r>
        <w:rPr>
          <w:rFonts w:hint="eastAsia" w:hAnsi="宋体"/>
          <w:sz w:val="24"/>
        </w:rPr>
        <w:t>绿色饰品的定义、认证实施、认证申请、产品检验、初始工厂检查、认证结果评价与批准、获证后监督、复审、认证证书、认证标志的使用。其中认证实施包含了认证模式以及认证的基本环节；认证申请包含了受理时限、认证受理以及认证单元的划分；产品检验包含了对样品的要求及数量、检验项目、检验方法、检验时限、检验报告以及判定；初始工厂检查主要包含了检查内容及检查要求；获证后监督包含了监督检查的时间、监督检查的内容、监督检查结论、监督抽样的要求及结果评价；复审主要包括了提交复审申请的时间及复审流程；认证证书主要包括认证证书的内容、认证证书的保持、认证证书覆盖产品的扩展及认证证书的暂停、注销和撤销；认证标志主要对标志的样式及加施做了要求。</w:t>
      </w:r>
    </w:p>
    <w:p>
      <w:pPr>
        <w:spacing w:before="156" w:beforeLines="50" w:after="156" w:afterLines="50" w:line="360" w:lineRule="auto"/>
        <w:ind w:right="227" w:rightChars="108" w:firstLine="480" w:firstLineChars="200"/>
        <w:rPr>
          <w:rFonts w:ascii="黑体" w:hAnsi="黑体" w:eastAsia="黑体"/>
          <w:sz w:val="24"/>
        </w:rPr>
      </w:pPr>
      <w:r>
        <w:rPr>
          <w:rFonts w:hint="eastAsia" w:ascii="黑体" w:hAnsi="黑体" w:eastAsia="黑体"/>
          <w:sz w:val="24"/>
        </w:rPr>
        <w:t>3、解决的主要问题</w:t>
      </w:r>
    </w:p>
    <w:p>
      <w:pPr>
        <w:spacing w:line="360" w:lineRule="auto"/>
        <w:ind w:right="227" w:rightChars="108" w:firstLine="480" w:firstLineChars="200"/>
        <w:rPr>
          <w:sz w:val="24"/>
        </w:rPr>
      </w:pPr>
      <w:r>
        <w:rPr>
          <w:rFonts w:hint="eastAsia" w:ascii="宋体" w:hAnsi="宋体"/>
          <w:sz w:val="24"/>
        </w:rPr>
        <w:t>制定团体标准《绿色饰品认证实施》无论从标准体系中此方面空白的角度，还是从实际产业需求出发，是及时而有效的。通过制定《绿色品认证实施》标准，既能够响应习近平总书记的号召也能对珠宝企业的良性、绿色发展提供助力。《绿色饰品认证实施》为饰品生产企业提供了一个完整的、可实施的绿色认证的流程、规范等，使得珠宝生产行业的绿色观念成为可供实施的方案，也为行业其他相关标准的制定提供了参考。</w:t>
      </w:r>
    </w:p>
    <w:p>
      <w:pPr>
        <w:spacing w:before="156" w:beforeLines="50" w:line="360" w:lineRule="auto"/>
        <w:rPr>
          <w:rFonts w:eastAsia="黑体"/>
          <w:sz w:val="28"/>
          <w:szCs w:val="28"/>
        </w:rPr>
      </w:pPr>
      <w:r>
        <w:rPr>
          <w:rFonts w:eastAsia="黑体"/>
          <w:sz w:val="28"/>
          <w:szCs w:val="28"/>
        </w:rPr>
        <w:t>三、主要试验</w:t>
      </w:r>
      <w:r>
        <w:rPr>
          <w:rFonts w:hint="eastAsia" w:eastAsia="黑体"/>
          <w:sz w:val="28"/>
          <w:szCs w:val="28"/>
        </w:rPr>
        <w:t>（或验证）</w:t>
      </w:r>
      <w:r>
        <w:rPr>
          <w:rFonts w:eastAsia="黑体"/>
          <w:sz w:val="28"/>
          <w:szCs w:val="28"/>
        </w:rPr>
        <w:t>情况</w:t>
      </w:r>
    </w:p>
    <w:p>
      <w:pPr>
        <w:spacing w:line="360" w:lineRule="auto"/>
        <w:ind w:firstLine="480"/>
        <w:rPr>
          <w:rFonts w:ascii="宋体" w:hAnsi="宋体"/>
          <w:sz w:val="24"/>
        </w:rPr>
      </w:pPr>
      <w:r>
        <w:rPr>
          <w:rFonts w:hint="eastAsia" w:ascii="宋体" w:hAnsi="宋体"/>
          <w:sz w:val="24"/>
        </w:rPr>
        <w:t>本标准为基础标准，无试验。</w:t>
      </w:r>
    </w:p>
    <w:p>
      <w:pPr>
        <w:spacing w:before="156" w:beforeLines="50" w:after="156" w:afterLines="50" w:line="360" w:lineRule="auto"/>
        <w:ind w:right="227" w:rightChars="108"/>
        <w:rPr>
          <w:rFonts w:eastAsia="黑体"/>
          <w:sz w:val="28"/>
          <w:szCs w:val="28"/>
        </w:rPr>
      </w:pPr>
      <w:r>
        <w:rPr>
          <w:rFonts w:eastAsia="黑体"/>
          <w:sz w:val="28"/>
          <w:szCs w:val="28"/>
        </w:rPr>
        <w:t>四、</w:t>
      </w:r>
      <w:r>
        <w:rPr>
          <w:rFonts w:eastAsia="黑体"/>
          <w:kern w:val="0"/>
          <w:sz w:val="28"/>
          <w:szCs w:val="28"/>
        </w:rPr>
        <w:t>标准中涉及专利</w:t>
      </w:r>
      <w:r>
        <w:rPr>
          <w:rFonts w:hint="eastAsia" w:eastAsia="黑体"/>
          <w:kern w:val="0"/>
          <w:sz w:val="28"/>
          <w:szCs w:val="28"/>
        </w:rPr>
        <w:t>情况</w:t>
      </w:r>
    </w:p>
    <w:p>
      <w:pPr>
        <w:spacing w:line="360" w:lineRule="auto"/>
        <w:ind w:right="227" w:rightChars="108" w:firstLine="480"/>
        <w:rPr>
          <w:sz w:val="24"/>
        </w:rPr>
      </w:pPr>
      <w:r>
        <w:rPr>
          <w:rFonts w:hint="eastAsia"/>
          <w:sz w:val="24"/>
        </w:rPr>
        <w:t>本标准不涉及专利问题</w:t>
      </w:r>
      <w:r>
        <w:rPr>
          <w:sz w:val="24"/>
        </w:rPr>
        <w:t>。</w:t>
      </w:r>
    </w:p>
    <w:p>
      <w:pPr>
        <w:spacing w:before="156" w:beforeLines="50" w:after="156" w:afterLines="50" w:line="360" w:lineRule="auto"/>
        <w:ind w:right="227" w:rightChars="108"/>
        <w:rPr>
          <w:rFonts w:eastAsia="黑体"/>
          <w:sz w:val="28"/>
          <w:szCs w:val="28"/>
        </w:rPr>
      </w:pPr>
      <w:r>
        <w:rPr>
          <w:rFonts w:eastAsia="黑体"/>
          <w:sz w:val="28"/>
          <w:szCs w:val="28"/>
        </w:rPr>
        <w:t>五、</w:t>
      </w:r>
      <w:r>
        <w:rPr>
          <w:rFonts w:hint="eastAsia" w:eastAsia="黑体"/>
          <w:sz w:val="28"/>
          <w:szCs w:val="28"/>
        </w:rPr>
        <w:t>预期达到的社会效益、对产业发展的作用等情况</w:t>
      </w:r>
    </w:p>
    <w:p>
      <w:pPr>
        <w:spacing w:line="360" w:lineRule="auto"/>
        <w:ind w:firstLine="480" w:firstLineChars="200"/>
        <w:rPr>
          <w:rFonts w:ascii="宋体" w:hAnsi="宋体"/>
          <w:sz w:val="24"/>
        </w:rPr>
      </w:pPr>
      <w:r>
        <w:rPr>
          <w:rFonts w:hint="eastAsia" w:ascii="宋体" w:hAnsi="宋体"/>
          <w:sz w:val="24"/>
        </w:rPr>
        <w:t>目前我国的珠宝行业技术标准体系还不够完善，我国现行的珠宝玉石和贵金属饰品相关的国家和行业标准约180个，而关于绿色饰品认证方面的标准几乎缺失，制定《绿色饰品认证实施》填补标准体系绿色饰品认证的空缺，完善了标准体系。</w:t>
      </w:r>
    </w:p>
    <w:p>
      <w:pPr>
        <w:spacing w:line="360" w:lineRule="auto"/>
        <w:ind w:firstLine="480" w:firstLineChars="200"/>
        <w:rPr>
          <w:rFonts w:ascii="宋体" w:hAnsi="宋体"/>
          <w:sz w:val="24"/>
        </w:rPr>
      </w:pPr>
      <w:r>
        <w:rPr>
          <w:rFonts w:hint="eastAsia" w:ascii="宋体" w:hAnsi="宋体"/>
          <w:sz w:val="24"/>
        </w:rPr>
        <w:t>绿色饰品指的是在资源获取、生产、销售、使用、处置等产品生命周期各阶段中，兼顾资源能源消耗少、污染物排放低、低毒少害、易回收处理和再利用、健康安全和质量品质高等特征的饰品产品。</w:t>
      </w:r>
    </w:p>
    <w:p>
      <w:pPr>
        <w:spacing w:line="360" w:lineRule="auto"/>
        <w:ind w:firstLine="480" w:firstLineChars="200"/>
        <w:rPr>
          <w:rFonts w:ascii="宋体" w:hAnsi="宋体"/>
          <w:sz w:val="24"/>
        </w:rPr>
      </w:pPr>
      <w:r>
        <w:rPr>
          <w:rFonts w:hint="eastAsia" w:ascii="宋体" w:hAnsi="宋体"/>
          <w:sz w:val="24"/>
        </w:rPr>
        <w:t>珠宝首饰制造加工流程繁多、复杂，且其生产加工中也会产生较多的污水、废气及固体废弃物，在国家政策对于绿色环保的倡导下，使得绿色饰品认证工作迫在眉睫。绿色饰品认证不仅可以迎合消费趋势宣扬绿色环保、创新驱动增长、质量引领提升还可以提升品牌形象引领市场趋势。绿色饰品认证还可以提高饰品产品的附加价值，增加消费者的购买信心，在一定程度上也可以促进珠宝行业的发展。绿色饰品认证为整个珠宝首饰制造加工行业的绿色、良性发展提供助力。</w:t>
      </w:r>
    </w:p>
    <w:p>
      <w:pPr>
        <w:spacing w:line="360" w:lineRule="auto"/>
        <w:ind w:firstLine="480" w:firstLineChars="200"/>
        <w:rPr>
          <w:rFonts w:ascii="宋体" w:hAnsi="宋体"/>
          <w:sz w:val="24"/>
        </w:rPr>
      </w:pPr>
      <w:r>
        <w:rPr>
          <w:rFonts w:hint="eastAsia" w:ascii="宋体" w:hAnsi="宋体"/>
          <w:sz w:val="24"/>
        </w:rPr>
        <w:t>本</w:t>
      </w:r>
      <w:r>
        <w:rPr>
          <w:rFonts w:ascii="宋体" w:hAnsi="宋体"/>
          <w:sz w:val="24"/>
        </w:rPr>
        <w:t>标准的制订和发布实施，对于促进</w:t>
      </w:r>
      <w:r>
        <w:rPr>
          <w:rFonts w:hint="eastAsia" w:ascii="宋体" w:hAnsi="宋体"/>
          <w:sz w:val="24"/>
        </w:rPr>
        <w:t>我国整个珠宝首饰制造加工行业的绿色、良性发展</w:t>
      </w:r>
      <w:r>
        <w:rPr>
          <w:rFonts w:ascii="宋体" w:hAnsi="宋体"/>
          <w:sz w:val="24"/>
        </w:rPr>
        <w:t>具有重大意义</w:t>
      </w:r>
      <w:r>
        <w:rPr>
          <w:rFonts w:hint="eastAsia" w:ascii="宋体" w:hAnsi="宋体"/>
          <w:sz w:val="24"/>
        </w:rPr>
        <w:t>，促进产业结构调整与优化升级</w:t>
      </w:r>
      <w:r>
        <w:rPr>
          <w:rFonts w:ascii="宋体" w:hAnsi="宋体"/>
          <w:sz w:val="24"/>
        </w:rPr>
        <w:t>。</w:t>
      </w:r>
    </w:p>
    <w:p>
      <w:pPr>
        <w:spacing w:before="156" w:beforeLines="50" w:after="156" w:afterLines="50" w:line="360" w:lineRule="auto"/>
        <w:ind w:right="227" w:rightChars="108"/>
        <w:rPr>
          <w:rFonts w:eastAsia="黑体"/>
          <w:kern w:val="0"/>
          <w:sz w:val="28"/>
          <w:szCs w:val="28"/>
        </w:rPr>
      </w:pPr>
      <w:r>
        <w:rPr>
          <w:rFonts w:eastAsia="黑体"/>
          <w:sz w:val="28"/>
          <w:szCs w:val="28"/>
        </w:rPr>
        <w:t>六、</w:t>
      </w:r>
      <w:r>
        <w:rPr>
          <w:rFonts w:hint="eastAsia" w:eastAsia="黑体"/>
          <w:kern w:val="0"/>
          <w:sz w:val="28"/>
          <w:szCs w:val="28"/>
        </w:rPr>
        <w:t>与</w:t>
      </w:r>
      <w:r>
        <w:rPr>
          <w:rFonts w:eastAsia="黑体"/>
          <w:kern w:val="0"/>
          <w:sz w:val="28"/>
          <w:szCs w:val="28"/>
        </w:rPr>
        <w:t>国际</w:t>
      </w:r>
      <w:r>
        <w:rPr>
          <w:rFonts w:hint="eastAsia" w:eastAsia="黑体"/>
          <w:kern w:val="0"/>
          <w:sz w:val="28"/>
          <w:szCs w:val="28"/>
        </w:rPr>
        <w:t>、</w:t>
      </w:r>
      <w:r>
        <w:rPr>
          <w:rFonts w:eastAsia="黑体"/>
          <w:kern w:val="0"/>
          <w:sz w:val="28"/>
          <w:szCs w:val="28"/>
        </w:rPr>
        <w:t>国外</w:t>
      </w:r>
      <w:r>
        <w:rPr>
          <w:rFonts w:hint="eastAsia" w:eastAsia="黑体"/>
          <w:kern w:val="0"/>
          <w:sz w:val="28"/>
          <w:szCs w:val="28"/>
        </w:rPr>
        <w:t>对比情况</w:t>
      </w:r>
    </w:p>
    <w:p>
      <w:pPr>
        <w:spacing w:line="360" w:lineRule="auto"/>
        <w:ind w:firstLine="480" w:firstLineChars="200"/>
        <w:rPr>
          <w:rFonts w:ascii="宋体" w:hAnsi="宋体"/>
          <w:sz w:val="24"/>
        </w:rPr>
      </w:pPr>
      <w:r>
        <w:rPr>
          <w:rFonts w:hint="eastAsia" w:ascii="宋体" w:hAnsi="宋体"/>
          <w:sz w:val="24"/>
        </w:rPr>
        <w:t>本标准没有采用国际标准。</w:t>
      </w:r>
    </w:p>
    <w:p>
      <w:pPr>
        <w:spacing w:line="360" w:lineRule="auto"/>
        <w:ind w:firstLine="480" w:firstLineChars="200"/>
        <w:rPr>
          <w:rFonts w:ascii="宋体" w:hAnsi="宋体"/>
          <w:sz w:val="24"/>
        </w:rPr>
      </w:pPr>
      <w:r>
        <w:rPr>
          <w:rFonts w:hint="eastAsia" w:ascii="宋体" w:hAnsi="宋体"/>
          <w:sz w:val="24"/>
        </w:rPr>
        <w:t>本标准制定过程中未查到同类国际、国外标准。</w:t>
      </w:r>
    </w:p>
    <w:p>
      <w:pPr>
        <w:spacing w:line="360" w:lineRule="auto"/>
        <w:ind w:firstLine="480" w:firstLineChars="200"/>
        <w:rPr>
          <w:rFonts w:ascii="宋体" w:hAnsi="宋体"/>
          <w:sz w:val="24"/>
        </w:rPr>
      </w:pPr>
      <w:r>
        <w:rPr>
          <w:rFonts w:hint="eastAsia" w:ascii="宋体" w:hAnsi="宋体"/>
          <w:sz w:val="24"/>
        </w:rPr>
        <w:t>本标准制定过程中未测试国外的样品、样机。</w:t>
      </w:r>
    </w:p>
    <w:p>
      <w:pPr>
        <w:spacing w:after="156" w:afterLines="50" w:line="360" w:lineRule="auto"/>
        <w:ind w:firstLine="480" w:firstLineChars="200"/>
        <w:rPr>
          <w:rFonts w:ascii="宋体" w:hAnsi="宋体"/>
          <w:sz w:val="24"/>
        </w:rPr>
      </w:pPr>
      <w:r>
        <w:rPr>
          <w:rFonts w:hint="eastAsia" w:ascii="宋体" w:hAnsi="宋体"/>
          <w:sz w:val="24"/>
        </w:rPr>
        <w:t>本标准水平为国内先进水平。</w:t>
      </w:r>
    </w:p>
    <w:p>
      <w:pPr>
        <w:spacing w:after="156" w:afterLines="50" w:line="360" w:lineRule="auto"/>
        <w:rPr>
          <w:rFonts w:ascii="黑体" w:hAnsi="黑体" w:eastAsia="黑体"/>
          <w:sz w:val="28"/>
          <w:szCs w:val="28"/>
        </w:rPr>
      </w:pPr>
      <w:r>
        <w:rPr>
          <w:rFonts w:hint="eastAsia" w:ascii="黑体" w:hAnsi="黑体" w:eastAsia="黑体"/>
          <w:sz w:val="28"/>
          <w:szCs w:val="28"/>
        </w:rPr>
        <w:t>七、在标准体系中的位置，与现行相关法律、法规、规章及相关标准，特别是强制性标准的协调性</w:t>
      </w:r>
    </w:p>
    <w:p>
      <w:pPr>
        <w:spacing w:line="360" w:lineRule="auto"/>
        <w:ind w:firstLine="480" w:firstLineChars="200"/>
        <w:rPr>
          <w:rFonts w:ascii="宋体" w:hAnsi="宋体"/>
          <w:sz w:val="24"/>
        </w:rPr>
      </w:pPr>
      <w:r>
        <w:rPr>
          <w:rFonts w:hint="eastAsia" w:ascii="宋体" w:hAnsi="宋体"/>
          <w:sz w:val="24"/>
        </w:rPr>
        <w:t>本标准属于首饰领域标准体系“首饰”大类、“珠宝玉石饰品”中类。</w:t>
      </w:r>
    </w:p>
    <w:p>
      <w:pPr>
        <w:spacing w:after="156" w:afterLines="50" w:line="360" w:lineRule="auto"/>
        <w:ind w:firstLine="480" w:firstLineChars="200"/>
        <w:rPr>
          <w:rFonts w:ascii="宋体" w:hAnsi="宋体"/>
          <w:sz w:val="24"/>
        </w:rPr>
      </w:pPr>
      <w:r>
        <w:rPr>
          <w:rFonts w:hint="eastAsia" w:ascii="宋体" w:hAnsi="宋体"/>
          <w:sz w:val="24"/>
        </w:rPr>
        <w:t>本标准与现行相关法律、法规、规章及相关标准协调一致。</w:t>
      </w:r>
    </w:p>
    <w:p>
      <w:pPr>
        <w:spacing w:before="156" w:beforeLines="50" w:after="156" w:afterLines="50" w:line="360" w:lineRule="auto"/>
        <w:rPr>
          <w:rFonts w:eastAsia="黑体"/>
          <w:sz w:val="28"/>
          <w:szCs w:val="28"/>
        </w:rPr>
      </w:pPr>
      <w:r>
        <w:rPr>
          <w:rFonts w:eastAsia="黑体"/>
          <w:sz w:val="28"/>
          <w:szCs w:val="28"/>
        </w:rPr>
        <w:t>八、重大分歧</w:t>
      </w:r>
      <w:r>
        <w:rPr>
          <w:rFonts w:hint="eastAsia" w:eastAsia="黑体"/>
          <w:sz w:val="28"/>
          <w:szCs w:val="28"/>
        </w:rPr>
        <w:t>意见</w:t>
      </w:r>
      <w:r>
        <w:rPr>
          <w:rFonts w:eastAsia="黑体"/>
          <w:sz w:val="28"/>
          <w:szCs w:val="28"/>
        </w:rPr>
        <w:t>的处理</w:t>
      </w:r>
      <w:r>
        <w:rPr>
          <w:rFonts w:hint="eastAsia" w:eastAsia="黑体"/>
          <w:sz w:val="28"/>
          <w:szCs w:val="28"/>
        </w:rPr>
        <w:t>经过</w:t>
      </w:r>
      <w:r>
        <w:rPr>
          <w:rFonts w:eastAsia="黑体"/>
          <w:sz w:val="28"/>
          <w:szCs w:val="28"/>
        </w:rPr>
        <w:t>和依据</w:t>
      </w:r>
    </w:p>
    <w:p>
      <w:pPr>
        <w:spacing w:line="360" w:lineRule="auto"/>
        <w:ind w:firstLine="480" w:firstLineChars="200"/>
        <w:rPr>
          <w:sz w:val="24"/>
        </w:rPr>
      </w:pPr>
      <w:r>
        <w:rPr>
          <w:rFonts w:hint="eastAsia"/>
          <w:sz w:val="24"/>
        </w:rPr>
        <w:t>无。</w:t>
      </w:r>
    </w:p>
    <w:p>
      <w:pPr>
        <w:adjustRightInd w:val="0"/>
        <w:snapToGrid w:val="0"/>
        <w:spacing w:before="156" w:beforeLines="50" w:after="156" w:afterLines="50" w:line="360" w:lineRule="auto"/>
        <w:jc w:val="left"/>
        <w:rPr>
          <w:rFonts w:eastAsia="黑体"/>
          <w:kern w:val="0"/>
          <w:sz w:val="28"/>
          <w:szCs w:val="28"/>
        </w:rPr>
      </w:pPr>
      <w:r>
        <w:rPr>
          <w:rFonts w:eastAsia="黑体"/>
          <w:kern w:val="0"/>
          <w:sz w:val="28"/>
          <w:szCs w:val="28"/>
        </w:rPr>
        <w:t>九、 标准性质的建议说明</w:t>
      </w:r>
    </w:p>
    <w:p>
      <w:pPr>
        <w:adjustRightInd w:val="0"/>
        <w:snapToGrid w:val="0"/>
        <w:spacing w:before="156" w:beforeLines="50" w:after="156" w:afterLines="50" w:line="360" w:lineRule="auto"/>
        <w:ind w:firstLine="480" w:firstLineChars="200"/>
        <w:jc w:val="left"/>
        <w:rPr>
          <w:rFonts w:ascii="宋体" w:hAnsi="宋体"/>
          <w:kern w:val="0"/>
          <w:sz w:val="24"/>
        </w:rPr>
      </w:pPr>
      <w:r>
        <w:rPr>
          <w:rFonts w:hint="eastAsia" w:ascii="宋体" w:hAnsi="宋体"/>
          <w:kern w:val="0"/>
          <w:sz w:val="24"/>
        </w:rPr>
        <w:t>建议本标准的性质为推荐性团体标准。</w:t>
      </w:r>
    </w:p>
    <w:p>
      <w:pPr>
        <w:tabs>
          <w:tab w:val="left" w:pos="720"/>
          <w:tab w:val="left" w:pos="1559"/>
          <w:tab w:val="left" w:pos="3389"/>
          <w:tab w:val="left" w:pos="5328"/>
          <w:tab w:val="left" w:pos="6770"/>
          <w:tab w:val="left" w:pos="8320"/>
          <w:tab w:val="left" w:pos="9870"/>
          <w:tab w:val="left" w:pos="11420"/>
          <w:tab w:val="left" w:pos="13379"/>
        </w:tabs>
        <w:spacing w:before="156" w:beforeLines="50" w:after="156" w:afterLines="50" w:line="360" w:lineRule="auto"/>
        <w:rPr>
          <w:rFonts w:eastAsia="黑体"/>
          <w:kern w:val="0"/>
          <w:sz w:val="28"/>
          <w:szCs w:val="28"/>
        </w:rPr>
      </w:pPr>
      <w:r>
        <w:rPr>
          <w:rFonts w:hint="eastAsia" w:eastAsia="黑体"/>
          <w:kern w:val="0"/>
          <w:sz w:val="28"/>
          <w:szCs w:val="28"/>
        </w:rPr>
        <w:t>十、贯彻标准的要求和措施建议</w:t>
      </w:r>
    </w:p>
    <w:p>
      <w:pPr>
        <w:tabs>
          <w:tab w:val="left" w:pos="720"/>
          <w:tab w:val="left" w:pos="1559"/>
          <w:tab w:val="left" w:pos="3389"/>
          <w:tab w:val="left" w:pos="5328"/>
          <w:tab w:val="left" w:pos="6770"/>
          <w:tab w:val="left" w:pos="8320"/>
          <w:tab w:val="left" w:pos="9870"/>
          <w:tab w:val="left" w:pos="11420"/>
          <w:tab w:val="left" w:pos="13379"/>
        </w:tabs>
        <w:spacing w:line="360" w:lineRule="auto"/>
        <w:ind w:firstLine="480" w:firstLineChars="200"/>
        <w:rPr>
          <w:rFonts w:ascii="宋体" w:hAnsi="宋体"/>
          <w:kern w:val="0"/>
          <w:sz w:val="24"/>
        </w:rPr>
      </w:pPr>
      <w:r>
        <w:rPr>
          <w:rFonts w:hint="eastAsia" w:ascii="宋体" w:hAnsi="宋体"/>
          <w:kern w:val="0"/>
          <w:sz w:val="24"/>
        </w:rPr>
        <w:t>建议本标准批准发布6个月后实施。</w:t>
      </w:r>
    </w:p>
    <w:p>
      <w:pPr>
        <w:tabs>
          <w:tab w:val="left" w:pos="720"/>
          <w:tab w:val="left" w:pos="1559"/>
          <w:tab w:val="left" w:pos="3389"/>
          <w:tab w:val="left" w:pos="5328"/>
          <w:tab w:val="left" w:pos="6770"/>
          <w:tab w:val="left" w:pos="8320"/>
          <w:tab w:val="left" w:pos="9870"/>
          <w:tab w:val="left" w:pos="11420"/>
          <w:tab w:val="left" w:pos="13379"/>
        </w:tabs>
        <w:spacing w:line="360" w:lineRule="auto"/>
        <w:ind w:firstLine="480" w:firstLineChars="200"/>
        <w:rPr>
          <w:rFonts w:ascii="宋体" w:hAnsi="宋体"/>
          <w:kern w:val="0"/>
          <w:sz w:val="24"/>
        </w:rPr>
      </w:pPr>
      <w:r>
        <w:rPr>
          <w:rFonts w:hint="eastAsia" w:ascii="宋体" w:hAnsi="宋体"/>
          <w:kern w:val="0"/>
          <w:sz w:val="24"/>
        </w:rPr>
        <w:t>标准发布后由贵金属及珠宝玉石饰品企业标准联盟组织、主要起草单位全力配合进行全行业宣贯。</w:t>
      </w:r>
    </w:p>
    <w:p>
      <w:pPr>
        <w:spacing w:before="156" w:beforeLines="50" w:after="156" w:afterLines="50" w:line="360" w:lineRule="auto"/>
        <w:rPr>
          <w:rFonts w:eastAsia="黑体"/>
          <w:sz w:val="28"/>
          <w:szCs w:val="28"/>
        </w:rPr>
      </w:pPr>
      <w:r>
        <w:rPr>
          <w:rFonts w:eastAsia="黑体"/>
          <w:kern w:val="0"/>
          <w:sz w:val="28"/>
          <w:szCs w:val="28"/>
        </w:rPr>
        <w:t>十一、废止现行相关标准的建议</w:t>
      </w:r>
    </w:p>
    <w:p>
      <w:pPr>
        <w:spacing w:line="360" w:lineRule="auto"/>
        <w:ind w:firstLine="480" w:firstLineChars="200"/>
        <w:rPr>
          <w:sz w:val="24"/>
        </w:rPr>
      </w:pPr>
      <w:r>
        <w:rPr>
          <w:sz w:val="24"/>
        </w:rPr>
        <w:t>无。</w:t>
      </w:r>
    </w:p>
    <w:p>
      <w:pPr>
        <w:spacing w:before="156" w:beforeLines="50" w:after="156" w:afterLines="50" w:line="360" w:lineRule="auto"/>
        <w:rPr>
          <w:rFonts w:eastAsia="黑体"/>
          <w:kern w:val="0"/>
          <w:sz w:val="28"/>
          <w:szCs w:val="28"/>
        </w:rPr>
      </w:pPr>
      <w:r>
        <w:rPr>
          <w:rFonts w:eastAsia="黑体"/>
          <w:sz w:val="28"/>
          <w:szCs w:val="28"/>
        </w:rPr>
        <w:t>十二、</w:t>
      </w:r>
      <w:r>
        <w:rPr>
          <w:rFonts w:eastAsia="黑体"/>
          <w:kern w:val="0"/>
          <w:sz w:val="28"/>
          <w:szCs w:val="28"/>
        </w:rPr>
        <w:t>其它应予说明的事项</w:t>
      </w:r>
    </w:p>
    <w:p>
      <w:pPr>
        <w:spacing w:before="62" w:beforeLines="20" w:after="62" w:afterLines="20" w:line="360" w:lineRule="auto"/>
        <w:ind w:firstLine="480" w:firstLineChars="200"/>
        <w:rPr>
          <w:rFonts w:ascii="宋体" w:hAnsi="宋体"/>
          <w:kern w:val="0"/>
          <w:sz w:val="24"/>
        </w:rPr>
      </w:pPr>
      <w:r>
        <w:rPr>
          <w:rFonts w:hint="eastAsia" w:ascii="宋体" w:hAnsi="宋体"/>
          <w:sz w:val="24"/>
        </w:rPr>
        <w:t>无</w:t>
      </w:r>
    </w:p>
    <w:sectPr>
      <w:footerReference r:id="rId5" w:type="first"/>
      <w:footerReference r:id="rId3" w:type="default"/>
      <w:footerReference r:id="rId4" w:type="even"/>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fldChar w:fldCharType="begin"/>
    </w:r>
    <w:r>
      <w:rPr>
        <w:rStyle w:val="9"/>
      </w:rPr>
      <w:instrText xml:space="preserve"> PAGE </w:instrText>
    </w:r>
    <w:r>
      <w:fldChar w:fldCharType="separate"/>
    </w:r>
    <w:r>
      <w:rPr>
        <w:rStyle w:val="9"/>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                                                                                  </w:t>
    </w:r>
    <w:r>
      <w:fldChar w:fldCharType="begin"/>
    </w:r>
    <w:r>
      <w:rPr>
        <w:rStyle w:val="9"/>
      </w:rPr>
      <w:instrText xml:space="preserve"> PAGE </w:instrText>
    </w:r>
    <w:r>
      <w:fldChar w:fldCharType="separate"/>
    </w:r>
    <w:r>
      <w:rPr>
        <w:rStyle w:val="9"/>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612B68"/>
    <w:multiLevelType w:val="multilevel"/>
    <w:tmpl w:val="38612B68"/>
    <w:lvl w:ilvl="0" w:tentative="0">
      <w:start w:val="1"/>
      <w:numFmt w:val="japaneseCounting"/>
      <w:lvlText w:val="%1、"/>
      <w:lvlJc w:val="left"/>
      <w:pPr>
        <w:tabs>
          <w:tab w:val="left" w:pos="720"/>
        </w:tabs>
        <w:ind w:left="720" w:hanging="72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decimal"/>
      <w:lvlText w:val="%3．"/>
      <w:lvlJc w:val="left"/>
      <w:pPr>
        <w:tabs>
          <w:tab w:val="left" w:pos="720"/>
        </w:tabs>
        <w:ind w:left="720" w:hanging="360"/>
      </w:pPr>
      <w:rPr>
        <w:rFonts w:hint="default"/>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8D"/>
    <w:rsid w:val="00001E93"/>
    <w:rsid w:val="000048F2"/>
    <w:rsid w:val="000050F1"/>
    <w:rsid w:val="0000541F"/>
    <w:rsid w:val="00010710"/>
    <w:rsid w:val="00017DD7"/>
    <w:rsid w:val="00020973"/>
    <w:rsid w:val="00021B64"/>
    <w:rsid w:val="00021B71"/>
    <w:rsid w:val="000259E5"/>
    <w:rsid w:val="00031172"/>
    <w:rsid w:val="000339A3"/>
    <w:rsid w:val="00034A40"/>
    <w:rsid w:val="0004121A"/>
    <w:rsid w:val="00042BEC"/>
    <w:rsid w:val="0004648E"/>
    <w:rsid w:val="00054F88"/>
    <w:rsid w:val="000573FF"/>
    <w:rsid w:val="00060D11"/>
    <w:rsid w:val="000633F1"/>
    <w:rsid w:val="00063838"/>
    <w:rsid w:val="0007491E"/>
    <w:rsid w:val="00074F74"/>
    <w:rsid w:val="0008120C"/>
    <w:rsid w:val="00083659"/>
    <w:rsid w:val="00086590"/>
    <w:rsid w:val="0009360A"/>
    <w:rsid w:val="00096886"/>
    <w:rsid w:val="000A2961"/>
    <w:rsid w:val="000B09B2"/>
    <w:rsid w:val="000B20D2"/>
    <w:rsid w:val="000C76E8"/>
    <w:rsid w:val="000D0810"/>
    <w:rsid w:val="000D6E5E"/>
    <w:rsid w:val="000E127F"/>
    <w:rsid w:val="00114AF8"/>
    <w:rsid w:val="00115482"/>
    <w:rsid w:val="0012299A"/>
    <w:rsid w:val="0012677D"/>
    <w:rsid w:val="001347C6"/>
    <w:rsid w:val="001352E7"/>
    <w:rsid w:val="0013766C"/>
    <w:rsid w:val="00137A52"/>
    <w:rsid w:val="00140CD3"/>
    <w:rsid w:val="00151182"/>
    <w:rsid w:val="00151E79"/>
    <w:rsid w:val="00155BEC"/>
    <w:rsid w:val="00155F57"/>
    <w:rsid w:val="00157C15"/>
    <w:rsid w:val="001615D4"/>
    <w:rsid w:val="00162F52"/>
    <w:rsid w:val="00166481"/>
    <w:rsid w:val="00172EC2"/>
    <w:rsid w:val="00176AF5"/>
    <w:rsid w:val="00177CF9"/>
    <w:rsid w:val="00186222"/>
    <w:rsid w:val="00192D83"/>
    <w:rsid w:val="001A193B"/>
    <w:rsid w:val="001A2E47"/>
    <w:rsid w:val="001A4786"/>
    <w:rsid w:val="001A6303"/>
    <w:rsid w:val="001A792E"/>
    <w:rsid w:val="001C2D13"/>
    <w:rsid w:val="001C77EF"/>
    <w:rsid w:val="001D1C74"/>
    <w:rsid w:val="001D30E9"/>
    <w:rsid w:val="001E55E0"/>
    <w:rsid w:val="001E69AB"/>
    <w:rsid w:val="002012F6"/>
    <w:rsid w:val="002023D8"/>
    <w:rsid w:val="00203A23"/>
    <w:rsid w:val="00207BEC"/>
    <w:rsid w:val="00212AC3"/>
    <w:rsid w:val="00217E8E"/>
    <w:rsid w:val="00221594"/>
    <w:rsid w:val="00222EB7"/>
    <w:rsid w:val="00223BA5"/>
    <w:rsid w:val="002350A2"/>
    <w:rsid w:val="0023765F"/>
    <w:rsid w:val="00243A3C"/>
    <w:rsid w:val="002507A7"/>
    <w:rsid w:val="00250BDC"/>
    <w:rsid w:val="0025299B"/>
    <w:rsid w:val="002534F4"/>
    <w:rsid w:val="0027200B"/>
    <w:rsid w:val="00276EEE"/>
    <w:rsid w:val="002778E1"/>
    <w:rsid w:val="00283F75"/>
    <w:rsid w:val="00284E0C"/>
    <w:rsid w:val="00285DB4"/>
    <w:rsid w:val="0029004F"/>
    <w:rsid w:val="00294046"/>
    <w:rsid w:val="00295491"/>
    <w:rsid w:val="002A1184"/>
    <w:rsid w:val="002A7DF1"/>
    <w:rsid w:val="002B0975"/>
    <w:rsid w:val="002B2EC4"/>
    <w:rsid w:val="002E0BDA"/>
    <w:rsid w:val="002F477E"/>
    <w:rsid w:val="002F6397"/>
    <w:rsid w:val="0030270A"/>
    <w:rsid w:val="00312491"/>
    <w:rsid w:val="0031252F"/>
    <w:rsid w:val="003161F7"/>
    <w:rsid w:val="0033344F"/>
    <w:rsid w:val="003604E6"/>
    <w:rsid w:val="00360663"/>
    <w:rsid w:val="003608A5"/>
    <w:rsid w:val="00366948"/>
    <w:rsid w:val="00377209"/>
    <w:rsid w:val="00377421"/>
    <w:rsid w:val="003806E8"/>
    <w:rsid w:val="00384C3E"/>
    <w:rsid w:val="00385B92"/>
    <w:rsid w:val="00387949"/>
    <w:rsid w:val="00395082"/>
    <w:rsid w:val="003A40C6"/>
    <w:rsid w:val="003A41D3"/>
    <w:rsid w:val="003A735D"/>
    <w:rsid w:val="003C2F57"/>
    <w:rsid w:val="003C308D"/>
    <w:rsid w:val="003D1576"/>
    <w:rsid w:val="003D1AB9"/>
    <w:rsid w:val="003D7048"/>
    <w:rsid w:val="003D738C"/>
    <w:rsid w:val="003E03E6"/>
    <w:rsid w:val="003E67C9"/>
    <w:rsid w:val="003F067A"/>
    <w:rsid w:val="00400D09"/>
    <w:rsid w:val="00400EF7"/>
    <w:rsid w:val="00404C75"/>
    <w:rsid w:val="00423CE0"/>
    <w:rsid w:val="00424CB9"/>
    <w:rsid w:val="00444FBB"/>
    <w:rsid w:val="00447813"/>
    <w:rsid w:val="004713C9"/>
    <w:rsid w:val="004721EA"/>
    <w:rsid w:val="004753A4"/>
    <w:rsid w:val="004839FF"/>
    <w:rsid w:val="004863D4"/>
    <w:rsid w:val="00493355"/>
    <w:rsid w:val="00496EAD"/>
    <w:rsid w:val="00496FC1"/>
    <w:rsid w:val="004A2B03"/>
    <w:rsid w:val="004C520C"/>
    <w:rsid w:val="004C6B97"/>
    <w:rsid w:val="004D5CD3"/>
    <w:rsid w:val="004D6B28"/>
    <w:rsid w:val="004E0A2B"/>
    <w:rsid w:val="004E117B"/>
    <w:rsid w:val="004E1748"/>
    <w:rsid w:val="004E3B15"/>
    <w:rsid w:val="004E6838"/>
    <w:rsid w:val="004E79D9"/>
    <w:rsid w:val="00500D20"/>
    <w:rsid w:val="00500E5F"/>
    <w:rsid w:val="00501A43"/>
    <w:rsid w:val="00501F7F"/>
    <w:rsid w:val="00505063"/>
    <w:rsid w:val="005057FC"/>
    <w:rsid w:val="00512042"/>
    <w:rsid w:val="00514942"/>
    <w:rsid w:val="00515D43"/>
    <w:rsid w:val="00525D2A"/>
    <w:rsid w:val="00535D18"/>
    <w:rsid w:val="00542AEC"/>
    <w:rsid w:val="00556D72"/>
    <w:rsid w:val="00560819"/>
    <w:rsid w:val="00563AA6"/>
    <w:rsid w:val="00563F04"/>
    <w:rsid w:val="00571507"/>
    <w:rsid w:val="00577CE2"/>
    <w:rsid w:val="005A5172"/>
    <w:rsid w:val="005B59E4"/>
    <w:rsid w:val="005C1C5E"/>
    <w:rsid w:val="005C204A"/>
    <w:rsid w:val="005C562A"/>
    <w:rsid w:val="005C6180"/>
    <w:rsid w:val="005C6305"/>
    <w:rsid w:val="005C70DA"/>
    <w:rsid w:val="005C7C6B"/>
    <w:rsid w:val="005D5FD3"/>
    <w:rsid w:val="005D60AE"/>
    <w:rsid w:val="005D714F"/>
    <w:rsid w:val="005E3F2E"/>
    <w:rsid w:val="005E54AA"/>
    <w:rsid w:val="005E7E94"/>
    <w:rsid w:val="005F0B07"/>
    <w:rsid w:val="005F6CBA"/>
    <w:rsid w:val="00603FDD"/>
    <w:rsid w:val="00636697"/>
    <w:rsid w:val="00654BAC"/>
    <w:rsid w:val="00660049"/>
    <w:rsid w:val="00665F99"/>
    <w:rsid w:val="0067341F"/>
    <w:rsid w:val="006813CD"/>
    <w:rsid w:val="0069029D"/>
    <w:rsid w:val="006A3FCD"/>
    <w:rsid w:val="006A45DF"/>
    <w:rsid w:val="006A6EA4"/>
    <w:rsid w:val="006B27E2"/>
    <w:rsid w:val="006B3690"/>
    <w:rsid w:val="006C5729"/>
    <w:rsid w:val="006C7623"/>
    <w:rsid w:val="006D06CB"/>
    <w:rsid w:val="006D0E1F"/>
    <w:rsid w:val="006D4860"/>
    <w:rsid w:val="006D6B60"/>
    <w:rsid w:val="006D6DC2"/>
    <w:rsid w:val="006E6A30"/>
    <w:rsid w:val="006E74AD"/>
    <w:rsid w:val="006E77BA"/>
    <w:rsid w:val="006F312D"/>
    <w:rsid w:val="00707D91"/>
    <w:rsid w:val="007107CD"/>
    <w:rsid w:val="00717417"/>
    <w:rsid w:val="00731F8B"/>
    <w:rsid w:val="00736D53"/>
    <w:rsid w:val="00742A72"/>
    <w:rsid w:val="00743C67"/>
    <w:rsid w:val="00743F95"/>
    <w:rsid w:val="007527C5"/>
    <w:rsid w:val="00752CB2"/>
    <w:rsid w:val="007532C3"/>
    <w:rsid w:val="0076111F"/>
    <w:rsid w:val="00763AD2"/>
    <w:rsid w:val="00770107"/>
    <w:rsid w:val="007725A4"/>
    <w:rsid w:val="00772BAA"/>
    <w:rsid w:val="00775EAB"/>
    <w:rsid w:val="00780B79"/>
    <w:rsid w:val="00781BC9"/>
    <w:rsid w:val="0078310F"/>
    <w:rsid w:val="00785060"/>
    <w:rsid w:val="00785D31"/>
    <w:rsid w:val="007921B8"/>
    <w:rsid w:val="0079344B"/>
    <w:rsid w:val="00796603"/>
    <w:rsid w:val="00796C58"/>
    <w:rsid w:val="007A2191"/>
    <w:rsid w:val="007A3566"/>
    <w:rsid w:val="007A3E74"/>
    <w:rsid w:val="007B3EC4"/>
    <w:rsid w:val="007B6806"/>
    <w:rsid w:val="007C0294"/>
    <w:rsid w:val="007C4C84"/>
    <w:rsid w:val="007C5AF3"/>
    <w:rsid w:val="007E069B"/>
    <w:rsid w:val="007E3747"/>
    <w:rsid w:val="007E4E80"/>
    <w:rsid w:val="007E6A64"/>
    <w:rsid w:val="007E7BAC"/>
    <w:rsid w:val="007F087E"/>
    <w:rsid w:val="007F452C"/>
    <w:rsid w:val="007F6EEC"/>
    <w:rsid w:val="00804F8F"/>
    <w:rsid w:val="008050B6"/>
    <w:rsid w:val="008108B0"/>
    <w:rsid w:val="00812BD9"/>
    <w:rsid w:val="008159CE"/>
    <w:rsid w:val="008245C4"/>
    <w:rsid w:val="008252DF"/>
    <w:rsid w:val="008257BC"/>
    <w:rsid w:val="0083219A"/>
    <w:rsid w:val="008450C5"/>
    <w:rsid w:val="00847C1B"/>
    <w:rsid w:val="00852420"/>
    <w:rsid w:val="00854312"/>
    <w:rsid w:val="00863F4C"/>
    <w:rsid w:val="00865D12"/>
    <w:rsid w:val="008803A4"/>
    <w:rsid w:val="00881705"/>
    <w:rsid w:val="0088753E"/>
    <w:rsid w:val="008915CD"/>
    <w:rsid w:val="0089748E"/>
    <w:rsid w:val="008A1D67"/>
    <w:rsid w:val="008A4E15"/>
    <w:rsid w:val="008B1945"/>
    <w:rsid w:val="008B484A"/>
    <w:rsid w:val="008B4D8B"/>
    <w:rsid w:val="008D165B"/>
    <w:rsid w:val="008D41D7"/>
    <w:rsid w:val="008E2775"/>
    <w:rsid w:val="008E583D"/>
    <w:rsid w:val="008F423F"/>
    <w:rsid w:val="008F6BB6"/>
    <w:rsid w:val="00900B84"/>
    <w:rsid w:val="0092265D"/>
    <w:rsid w:val="0093290A"/>
    <w:rsid w:val="009368F5"/>
    <w:rsid w:val="00957C95"/>
    <w:rsid w:val="009652B4"/>
    <w:rsid w:val="00965339"/>
    <w:rsid w:val="009656A3"/>
    <w:rsid w:val="0097717F"/>
    <w:rsid w:val="00982257"/>
    <w:rsid w:val="0098522F"/>
    <w:rsid w:val="00985FFA"/>
    <w:rsid w:val="00997089"/>
    <w:rsid w:val="009A633C"/>
    <w:rsid w:val="009C220A"/>
    <w:rsid w:val="009C5418"/>
    <w:rsid w:val="009D2F38"/>
    <w:rsid w:val="009E5E65"/>
    <w:rsid w:val="009E6B23"/>
    <w:rsid w:val="009F03ED"/>
    <w:rsid w:val="009F106E"/>
    <w:rsid w:val="009F29EE"/>
    <w:rsid w:val="00A01499"/>
    <w:rsid w:val="00A042AE"/>
    <w:rsid w:val="00A11796"/>
    <w:rsid w:val="00A14B7E"/>
    <w:rsid w:val="00A159AE"/>
    <w:rsid w:val="00A16185"/>
    <w:rsid w:val="00A218FE"/>
    <w:rsid w:val="00A22587"/>
    <w:rsid w:val="00A242EC"/>
    <w:rsid w:val="00A324FB"/>
    <w:rsid w:val="00A42CE1"/>
    <w:rsid w:val="00A44340"/>
    <w:rsid w:val="00A50390"/>
    <w:rsid w:val="00A51987"/>
    <w:rsid w:val="00A60D33"/>
    <w:rsid w:val="00A677DF"/>
    <w:rsid w:val="00A67CC1"/>
    <w:rsid w:val="00A67E75"/>
    <w:rsid w:val="00A80811"/>
    <w:rsid w:val="00A8556F"/>
    <w:rsid w:val="00A90665"/>
    <w:rsid w:val="00A9349C"/>
    <w:rsid w:val="00AA13BB"/>
    <w:rsid w:val="00AA2577"/>
    <w:rsid w:val="00AA791F"/>
    <w:rsid w:val="00AB5DBC"/>
    <w:rsid w:val="00AC27D9"/>
    <w:rsid w:val="00AC42C7"/>
    <w:rsid w:val="00AC54BE"/>
    <w:rsid w:val="00AD0DC0"/>
    <w:rsid w:val="00AD1805"/>
    <w:rsid w:val="00AD1FB3"/>
    <w:rsid w:val="00AD509E"/>
    <w:rsid w:val="00AD51B6"/>
    <w:rsid w:val="00AD5847"/>
    <w:rsid w:val="00AD6503"/>
    <w:rsid w:val="00AD76BE"/>
    <w:rsid w:val="00AE1DA5"/>
    <w:rsid w:val="00AE2124"/>
    <w:rsid w:val="00AE6F74"/>
    <w:rsid w:val="00AF27FF"/>
    <w:rsid w:val="00AF6623"/>
    <w:rsid w:val="00B002BE"/>
    <w:rsid w:val="00B101F7"/>
    <w:rsid w:val="00B11672"/>
    <w:rsid w:val="00B17DA9"/>
    <w:rsid w:val="00B218C9"/>
    <w:rsid w:val="00B22362"/>
    <w:rsid w:val="00B24ED5"/>
    <w:rsid w:val="00B458CB"/>
    <w:rsid w:val="00B54C67"/>
    <w:rsid w:val="00B55DB4"/>
    <w:rsid w:val="00B561CF"/>
    <w:rsid w:val="00B712AD"/>
    <w:rsid w:val="00B82079"/>
    <w:rsid w:val="00B82B8A"/>
    <w:rsid w:val="00B93992"/>
    <w:rsid w:val="00B94305"/>
    <w:rsid w:val="00BA01E6"/>
    <w:rsid w:val="00BA5DF1"/>
    <w:rsid w:val="00BA6D18"/>
    <w:rsid w:val="00BB1C46"/>
    <w:rsid w:val="00BB260F"/>
    <w:rsid w:val="00BC2838"/>
    <w:rsid w:val="00BC312D"/>
    <w:rsid w:val="00BC59E0"/>
    <w:rsid w:val="00BC5FCE"/>
    <w:rsid w:val="00BC68E7"/>
    <w:rsid w:val="00BD02AB"/>
    <w:rsid w:val="00BD2178"/>
    <w:rsid w:val="00BE414C"/>
    <w:rsid w:val="00BE7A3A"/>
    <w:rsid w:val="00BF0026"/>
    <w:rsid w:val="00C00A2F"/>
    <w:rsid w:val="00C01DB7"/>
    <w:rsid w:val="00C03632"/>
    <w:rsid w:val="00C04E38"/>
    <w:rsid w:val="00C062AD"/>
    <w:rsid w:val="00C1049A"/>
    <w:rsid w:val="00C20D4E"/>
    <w:rsid w:val="00C217F8"/>
    <w:rsid w:val="00C25444"/>
    <w:rsid w:val="00C262E7"/>
    <w:rsid w:val="00C323D5"/>
    <w:rsid w:val="00C337C3"/>
    <w:rsid w:val="00C35BFB"/>
    <w:rsid w:val="00C42FCA"/>
    <w:rsid w:val="00C44FC0"/>
    <w:rsid w:val="00C47605"/>
    <w:rsid w:val="00C5105D"/>
    <w:rsid w:val="00C5392B"/>
    <w:rsid w:val="00C53A0E"/>
    <w:rsid w:val="00C54456"/>
    <w:rsid w:val="00C56B93"/>
    <w:rsid w:val="00C6329B"/>
    <w:rsid w:val="00C6693F"/>
    <w:rsid w:val="00C7799F"/>
    <w:rsid w:val="00C80797"/>
    <w:rsid w:val="00C8410B"/>
    <w:rsid w:val="00C852D5"/>
    <w:rsid w:val="00C90F43"/>
    <w:rsid w:val="00C93639"/>
    <w:rsid w:val="00C936E5"/>
    <w:rsid w:val="00CA63A5"/>
    <w:rsid w:val="00CB27DF"/>
    <w:rsid w:val="00CB5A01"/>
    <w:rsid w:val="00CC675D"/>
    <w:rsid w:val="00CD098F"/>
    <w:rsid w:val="00CD1158"/>
    <w:rsid w:val="00CD72C1"/>
    <w:rsid w:val="00CE040D"/>
    <w:rsid w:val="00CE3582"/>
    <w:rsid w:val="00CE488A"/>
    <w:rsid w:val="00CE6468"/>
    <w:rsid w:val="00CE69BA"/>
    <w:rsid w:val="00CF03A0"/>
    <w:rsid w:val="00CF455E"/>
    <w:rsid w:val="00D02B35"/>
    <w:rsid w:val="00D02F3E"/>
    <w:rsid w:val="00D0396F"/>
    <w:rsid w:val="00D03BEF"/>
    <w:rsid w:val="00D1214F"/>
    <w:rsid w:val="00D12A15"/>
    <w:rsid w:val="00D15BFE"/>
    <w:rsid w:val="00D23235"/>
    <w:rsid w:val="00D431E5"/>
    <w:rsid w:val="00D4445C"/>
    <w:rsid w:val="00D47761"/>
    <w:rsid w:val="00D52307"/>
    <w:rsid w:val="00D53463"/>
    <w:rsid w:val="00D57AE9"/>
    <w:rsid w:val="00D71347"/>
    <w:rsid w:val="00D73022"/>
    <w:rsid w:val="00D81E4D"/>
    <w:rsid w:val="00D93BE0"/>
    <w:rsid w:val="00D958C2"/>
    <w:rsid w:val="00DA4C07"/>
    <w:rsid w:val="00DA722D"/>
    <w:rsid w:val="00DB4127"/>
    <w:rsid w:val="00DC069B"/>
    <w:rsid w:val="00DC3CDB"/>
    <w:rsid w:val="00DD39E5"/>
    <w:rsid w:val="00E032B5"/>
    <w:rsid w:val="00E0409A"/>
    <w:rsid w:val="00E22A2E"/>
    <w:rsid w:val="00E261B6"/>
    <w:rsid w:val="00E33FC0"/>
    <w:rsid w:val="00E3660B"/>
    <w:rsid w:val="00E528EE"/>
    <w:rsid w:val="00E53717"/>
    <w:rsid w:val="00E6225C"/>
    <w:rsid w:val="00E80FC6"/>
    <w:rsid w:val="00E84F54"/>
    <w:rsid w:val="00E9153C"/>
    <w:rsid w:val="00EA3046"/>
    <w:rsid w:val="00EB1BA3"/>
    <w:rsid w:val="00EB6677"/>
    <w:rsid w:val="00EB6DB0"/>
    <w:rsid w:val="00EC2C85"/>
    <w:rsid w:val="00EC31BF"/>
    <w:rsid w:val="00EC4D5E"/>
    <w:rsid w:val="00ED401D"/>
    <w:rsid w:val="00ED4DB5"/>
    <w:rsid w:val="00ED51A5"/>
    <w:rsid w:val="00EE00B8"/>
    <w:rsid w:val="00EE6BFA"/>
    <w:rsid w:val="00EF228C"/>
    <w:rsid w:val="00F02E1B"/>
    <w:rsid w:val="00F05168"/>
    <w:rsid w:val="00F10F13"/>
    <w:rsid w:val="00F17C4E"/>
    <w:rsid w:val="00F24E32"/>
    <w:rsid w:val="00F41AB0"/>
    <w:rsid w:val="00F45C84"/>
    <w:rsid w:val="00F541B9"/>
    <w:rsid w:val="00F56FA9"/>
    <w:rsid w:val="00F62BC7"/>
    <w:rsid w:val="00F65916"/>
    <w:rsid w:val="00F665DD"/>
    <w:rsid w:val="00F717CF"/>
    <w:rsid w:val="00F83ED1"/>
    <w:rsid w:val="00F843EA"/>
    <w:rsid w:val="00F866B6"/>
    <w:rsid w:val="00F9438C"/>
    <w:rsid w:val="00F96B47"/>
    <w:rsid w:val="00F97A3B"/>
    <w:rsid w:val="00FA1E50"/>
    <w:rsid w:val="00FA5E40"/>
    <w:rsid w:val="00FB5551"/>
    <w:rsid w:val="00FB7675"/>
    <w:rsid w:val="00FC4AF5"/>
    <w:rsid w:val="00FD0DE8"/>
    <w:rsid w:val="00FD1527"/>
    <w:rsid w:val="00FD22FA"/>
    <w:rsid w:val="00FD3291"/>
    <w:rsid w:val="00FE5E52"/>
    <w:rsid w:val="00FF5C4F"/>
    <w:rsid w:val="4C843948"/>
    <w:rsid w:val="62295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after="120"/>
    </w:pPr>
  </w:style>
  <w:style w:type="paragraph" w:styleId="3">
    <w:name w:val="Date"/>
    <w:basedOn w:val="1"/>
    <w:next w:val="1"/>
    <w:uiPriority w:val="0"/>
    <w:pPr>
      <w:ind w:left="100" w:leftChars="25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uiPriority w:val="0"/>
    <w:pPr>
      <w:ind w:firstLine="420" w:firstLineChars="100"/>
    </w:pPr>
  </w:style>
  <w:style w:type="character" w:styleId="9">
    <w:name w:val="page number"/>
    <w:basedOn w:val="8"/>
    <w:uiPriority w:val="0"/>
  </w:style>
  <w:style w:type="character" w:customStyle="1" w:styleId="10">
    <w:name w:val="answerref"/>
    <w:basedOn w:val="8"/>
    <w:uiPriority w:val="0"/>
  </w:style>
  <w:style w:type="paragraph" w:customStyle="1" w:styleId="11">
    <w:name w:val="段"/>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5</Pages>
  <Words>419</Words>
  <Characters>2392</Characters>
  <Lines>19</Lines>
  <Paragraphs>5</Paragraphs>
  <TotalTime>409</TotalTime>
  <ScaleCrop>false</ScaleCrop>
  <LinksUpToDate>false</LinksUpToDate>
  <CharactersWithSpaces>2806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2021-03-16T21:04:00Z</dcterms:created>
  <dc:creator>雨林木风</dc:creator>
  <cp:lastModifiedBy>罗雪莹</cp:lastModifiedBy>
  <cp:lastPrinted>2017-02-20T21:54:00Z</cp:lastPrinted>
  <dcterms:modified xsi:type="dcterms:W3CDTF">2021-07-27T09:35:23Z</dcterms:modified>
  <dc:title>联盟标准《铂、钯饰品合金成分》</dc:title>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0368D763F33A4207A2C4750C2075841A</vt:lpwstr>
  </property>
</Properties>
</file>