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4A2" w:rsidRDefault="00D91CD7">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 xml:space="preserve">《绿色低碳产业认定行业技术规范 </w:t>
      </w:r>
    </w:p>
    <w:p w:rsidR="007E24A2" w:rsidRDefault="001B5284">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绿色金融认证和评级</w:t>
      </w:r>
      <w:r w:rsidR="00D91CD7">
        <w:rPr>
          <w:rFonts w:ascii="黑体" w:eastAsia="黑体" w:hAnsi="黑体" w:cs="黑体" w:hint="eastAsia"/>
          <w:b/>
          <w:sz w:val="44"/>
          <w:szCs w:val="44"/>
        </w:rPr>
        <w:t>》编制说明</w:t>
      </w:r>
    </w:p>
    <w:p w:rsidR="007E24A2" w:rsidRDefault="007E24A2">
      <w:pPr>
        <w:spacing w:before="156" w:after="156" w:line="240" w:lineRule="auto"/>
        <w:ind w:firstLineChars="0" w:firstLine="0"/>
        <w:jc w:val="center"/>
        <w:rPr>
          <w:rFonts w:ascii="黑体" w:eastAsia="黑体" w:hAnsi="黑体" w:cs="黑体"/>
          <w:b/>
        </w:rPr>
      </w:pPr>
    </w:p>
    <w:p w:rsidR="007E24A2" w:rsidRDefault="00D91CD7">
      <w:pPr>
        <w:pStyle w:val="1"/>
        <w:numPr>
          <w:ilvl w:val="0"/>
          <w:numId w:val="3"/>
        </w:numPr>
        <w:spacing w:line="360" w:lineRule="auto"/>
        <w:ind w:left="0" w:firstLineChars="0" w:firstLine="0"/>
        <w:rPr>
          <w:rFonts w:cs="Times New Roman"/>
          <w:sz w:val="24"/>
        </w:rPr>
      </w:pPr>
      <w:bookmarkStart w:id="0" w:name="_Toc26663"/>
      <w:bookmarkStart w:id="1" w:name="_Toc80949155"/>
      <w:bookmarkStart w:id="2" w:name="_Toc10127"/>
      <w:bookmarkStart w:id="3" w:name="_Toc11165"/>
      <w:bookmarkStart w:id="4" w:name="_Toc27639"/>
      <w:r>
        <w:rPr>
          <w:rFonts w:cs="Times New Roman" w:hint="eastAsia"/>
          <w:sz w:val="24"/>
        </w:rPr>
        <w:t>项目</w:t>
      </w:r>
      <w:r>
        <w:rPr>
          <w:rFonts w:cs="Times New Roman"/>
          <w:sz w:val="24"/>
        </w:rPr>
        <w:t>背景</w:t>
      </w:r>
      <w:bookmarkEnd w:id="0"/>
      <w:bookmarkEnd w:id="1"/>
      <w:bookmarkEnd w:id="2"/>
      <w:bookmarkEnd w:id="3"/>
      <w:bookmarkEnd w:id="4"/>
    </w:p>
    <w:p w:rsidR="007E24A2" w:rsidRDefault="00D91CD7">
      <w:pPr>
        <w:spacing w:beforeLines="0" w:afterLines="0" w:line="360" w:lineRule="auto"/>
        <w:ind w:firstLineChars="200" w:firstLine="482"/>
      </w:pPr>
      <w:r>
        <w:rPr>
          <w:rFonts w:ascii="宋体" w:hAnsi="宋体" w:hint="eastAsia"/>
          <w:b/>
          <w:bCs/>
        </w:rPr>
        <w:t>（一）国内外现行相关法律、法规和标准情况</w:t>
      </w:r>
    </w:p>
    <w:p w:rsidR="007E24A2" w:rsidRDefault="00D91CD7">
      <w:pPr>
        <w:spacing w:beforeLines="0" w:afterLines="0" w:line="360" w:lineRule="auto"/>
        <w:ind w:firstLineChars="200" w:firstLine="480"/>
        <w:rPr>
          <w:rFonts w:cs="Times New Roman"/>
        </w:rPr>
      </w:pPr>
      <w:r>
        <w:rPr>
          <w:rFonts w:hint="eastAsia"/>
        </w:rPr>
        <w:t>在碳达峰、碳中和目标下，我国经济结构、能源结构、产业结构等都面临着深度的低碳转型需求。</w:t>
      </w:r>
      <w:r>
        <w:rPr>
          <w:rFonts w:cs="Times New Roman" w:hint="eastAsia"/>
        </w:rPr>
        <w:t>发展绿色产业，既是推进生态文明建设、打赢污染防治攻坚战、落实双碳目标行动的有力支撑，也是培育绿色发展新动能、实现高质量发展的重要内容。为解决绿色产业发展面临的概念泛化、标准不一、监管不力等问题，</w:t>
      </w:r>
      <w:r>
        <w:rPr>
          <w:rFonts w:cs="Times New Roman" w:hint="eastAsia"/>
        </w:rPr>
        <w:t>2019</w:t>
      </w:r>
      <w:r>
        <w:rPr>
          <w:rFonts w:cs="Times New Roman" w:hint="eastAsia"/>
        </w:rPr>
        <w:t>年</w:t>
      </w:r>
      <w:r>
        <w:rPr>
          <w:rFonts w:cs="Times New Roman" w:hint="eastAsia"/>
        </w:rPr>
        <w:t>2</w:t>
      </w:r>
      <w:r>
        <w:rPr>
          <w:rFonts w:cs="Times New Roman" w:hint="eastAsia"/>
        </w:rPr>
        <w:t>月</w:t>
      </w:r>
      <w:r>
        <w:rPr>
          <w:rFonts w:cs="Times New Roman" w:hint="eastAsia"/>
        </w:rPr>
        <w:t>14</w:t>
      </w:r>
      <w:r>
        <w:rPr>
          <w:rFonts w:cs="Times New Roman" w:hint="eastAsia"/>
        </w:rPr>
        <w:t>日，国家发展改革委会同有关部门印发《绿色产业指导目录（</w:t>
      </w:r>
      <w:r>
        <w:rPr>
          <w:rFonts w:cs="Times New Roman" w:hint="eastAsia"/>
        </w:rPr>
        <w:t>2019</w:t>
      </w:r>
      <w:r>
        <w:rPr>
          <w:rFonts w:cs="Times New Roman" w:hint="eastAsia"/>
        </w:rPr>
        <w:t>年版）》，明确界定了绿色产业边界，同时要求各地方根据各自领域、区域发展重点，制定绿色产业标准，逐步建立绿色产业认定机制。《中共中央</w:t>
      </w:r>
      <w:r>
        <w:rPr>
          <w:rFonts w:cs="Times New Roman" w:hint="eastAsia"/>
        </w:rPr>
        <w:t xml:space="preserve"> </w:t>
      </w:r>
      <w:r>
        <w:rPr>
          <w:rFonts w:cs="Times New Roman" w:hint="eastAsia"/>
        </w:rPr>
        <w:t>国务院关于支持深圳建设中国特色社会主义先行示范区的意见》《深圳建设中国特色社会主义先行示范区综合改革试点实施方案（</w:t>
      </w:r>
      <w:r>
        <w:rPr>
          <w:rFonts w:cs="Times New Roman" w:hint="eastAsia"/>
        </w:rPr>
        <w:t>2020-2025</w:t>
      </w:r>
      <w:r>
        <w:rPr>
          <w:rFonts w:cs="Times New Roman" w:hint="eastAsia"/>
        </w:rPr>
        <w:t>年）》要求深圳市“大力发展绿色产业”“建立绿色产业认定规则体系”。建立符合深圳实际情况的绿色产业认定评价标准体系是构建绿色产业认定规则体系的重要前提。</w:t>
      </w:r>
    </w:p>
    <w:p w:rsidR="007E24A2" w:rsidRDefault="00D91CD7">
      <w:pPr>
        <w:spacing w:beforeLines="0" w:afterLines="0" w:line="360" w:lineRule="auto"/>
        <w:ind w:firstLineChars="200" w:firstLine="480"/>
        <w:rPr>
          <w:rFonts w:cs="Times New Roman"/>
        </w:rPr>
      </w:pPr>
      <w:r>
        <w:rPr>
          <w:rFonts w:cs="Times New Roman"/>
        </w:rPr>
        <w:t>纵观国内外绿色产业相关认定评价规范性文件</w:t>
      </w:r>
      <w:r>
        <w:rPr>
          <w:rFonts w:cs="Times New Roman" w:hint="eastAsia"/>
        </w:rPr>
        <w:t>，</w:t>
      </w:r>
      <w:r>
        <w:rPr>
          <w:rFonts w:cs="Times New Roman"/>
        </w:rPr>
        <w:t>国际多侧重于绿色债券</w:t>
      </w:r>
      <w:r>
        <w:rPr>
          <w:rFonts w:cs="Times New Roman" w:hint="eastAsia"/>
        </w:rPr>
        <w:t>、</w:t>
      </w:r>
      <w:r>
        <w:rPr>
          <w:rFonts w:cs="Times New Roman"/>
        </w:rPr>
        <w:t>气候债券等绿色项目主体评价标准</w:t>
      </w:r>
      <w:r>
        <w:rPr>
          <w:rFonts w:cs="Times New Roman" w:hint="eastAsia"/>
        </w:rPr>
        <w:t>，</w:t>
      </w:r>
      <w:r>
        <w:rPr>
          <w:rFonts w:cs="Times New Roman"/>
        </w:rPr>
        <w:t>国内除此之外</w:t>
      </w:r>
      <w:r>
        <w:rPr>
          <w:rFonts w:cs="Times New Roman" w:hint="eastAsia"/>
        </w:rPr>
        <w:t>，</w:t>
      </w:r>
      <w:r>
        <w:rPr>
          <w:rFonts w:cs="Times New Roman"/>
        </w:rPr>
        <w:t>存在绿色制造体系</w:t>
      </w:r>
      <w:r>
        <w:rPr>
          <w:rFonts w:cs="Times New Roman" w:hint="eastAsia"/>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文件制定具有较大参考意义的规范性文件较少。</w:t>
      </w:r>
    </w:p>
    <w:p w:rsidR="007E24A2" w:rsidRDefault="00D91CD7">
      <w:pPr>
        <w:spacing w:beforeLines="0" w:afterLines="0" w:line="360" w:lineRule="auto"/>
        <w:ind w:firstLineChars="200" w:firstLine="482"/>
        <w:rPr>
          <w:rFonts w:ascii="宋体" w:hAnsi="宋体"/>
          <w:b/>
          <w:bCs/>
        </w:rPr>
      </w:pPr>
      <w:r>
        <w:rPr>
          <w:rFonts w:ascii="宋体" w:hAnsi="宋体" w:hint="eastAsia"/>
          <w:b/>
          <w:bCs/>
        </w:rPr>
        <w:t>（二）必要性和意义</w:t>
      </w:r>
    </w:p>
    <w:p w:rsidR="007E24A2" w:rsidRDefault="00D91CD7">
      <w:pPr>
        <w:spacing w:beforeLines="0" w:afterLines="0" w:line="360" w:lineRule="auto"/>
        <w:ind w:firstLineChars="200" w:firstLine="480"/>
        <w:rPr>
          <w:rFonts w:cs="Times New Roman"/>
        </w:rPr>
      </w:pPr>
      <w:r>
        <w:rPr>
          <w:rFonts w:cs="Times New Roman" w:hint="eastAsia"/>
        </w:rPr>
        <w:t>为有效建立深圳绿色低碳产业认定规则体系，有必要建立以《绿色低碳产业认定评价导则》为认定评价基础，多项技术规范深化评价指标的“</w:t>
      </w:r>
      <w:r>
        <w:rPr>
          <w:rFonts w:cs="Times New Roman" w:hint="eastAsia"/>
        </w:rPr>
        <w:t>1+N</w:t>
      </w:r>
      <w:r>
        <w:rPr>
          <w:rFonts w:cs="Times New Roman" w:hint="eastAsia"/>
        </w:rPr>
        <w:t>”绿色低碳产业认定评价体系。</w:t>
      </w:r>
      <w:r>
        <w:rPr>
          <w:rFonts w:ascii="宋体" w:hAnsi="宋体" w:hint="eastAsia"/>
        </w:rPr>
        <w:t>本文件以DB 4403/T 391-2023《绿色低碳产业认定评价导则》</w:t>
      </w:r>
      <w:r>
        <w:rPr>
          <w:rFonts w:cs="Times New Roman" w:hint="eastAsia"/>
        </w:rPr>
        <w:t>为基础，结</w:t>
      </w:r>
      <w:r>
        <w:rPr>
          <w:rFonts w:cs="Times New Roman" w:hint="eastAsia"/>
        </w:rPr>
        <w:lastRenderedPageBreak/>
        <w:t>合国家《绿色低碳转型产业指导目录</w:t>
      </w:r>
      <w:r>
        <w:rPr>
          <w:rFonts w:cs="Times New Roman" w:hint="eastAsia"/>
        </w:rPr>
        <w:t>(2024</w:t>
      </w:r>
      <w:r>
        <w:rPr>
          <w:rFonts w:cs="Times New Roman" w:hint="eastAsia"/>
        </w:rPr>
        <w:t>年版</w:t>
      </w:r>
      <w:r>
        <w:rPr>
          <w:rFonts w:cs="Times New Roman" w:hint="eastAsia"/>
        </w:rPr>
        <w:t>)</w:t>
      </w:r>
      <w:r>
        <w:rPr>
          <w:rFonts w:cs="Times New Roman" w:hint="eastAsia"/>
        </w:rPr>
        <w:t>》</w:t>
      </w:r>
      <w:r w:rsidR="00D82C81">
        <w:rPr>
          <w:rFonts w:ascii="宋体" w:hAnsi="宋体" w:hint="eastAsia"/>
        </w:rPr>
        <w:t>以及</w:t>
      </w:r>
      <w:r>
        <w:rPr>
          <w:rFonts w:ascii="宋体" w:hAnsi="宋体" w:hint="eastAsia"/>
        </w:rPr>
        <w:t>《深圳绿色低碳产业指导目录》相关内容，</w:t>
      </w:r>
      <w:r>
        <w:rPr>
          <w:rFonts w:cs="Times New Roman" w:hint="eastAsia"/>
        </w:rPr>
        <w:t>确定</w:t>
      </w:r>
      <w:r w:rsidR="001B5284">
        <w:rPr>
          <w:rFonts w:cs="Times New Roman" w:hint="eastAsia"/>
        </w:rPr>
        <w:t>绿色金融认证和评级</w:t>
      </w:r>
      <w:r>
        <w:rPr>
          <w:rFonts w:cs="Times New Roman" w:hint="eastAsia"/>
        </w:rPr>
        <w:t>领域涵盖的行业范围，通过大量相关行业实地调研，结合实际情况，规定了</w:t>
      </w:r>
      <w:r w:rsidR="001B5284">
        <w:rPr>
          <w:rFonts w:cs="Times New Roman" w:hint="eastAsia"/>
        </w:rPr>
        <w:t>绿色金融认证和评级</w:t>
      </w:r>
      <w:r>
        <w:rPr>
          <w:rFonts w:cs="Times New Roman" w:hint="eastAsia"/>
        </w:rPr>
        <w:t>领域绿色低碳产业认定评价原则，给出了</w:t>
      </w:r>
      <w:r w:rsidR="001B5284">
        <w:rPr>
          <w:rFonts w:cs="Times New Roman" w:hint="eastAsia"/>
        </w:rPr>
        <w:t>绿色金融认证和评级</w:t>
      </w:r>
      <w:r>
        <w:rPr>
          <w:rFonts w:cs="Times New Roman" w:hint="eastAsia"/>
        </w:rPr>
        <w:t>领域绿色低碳产业认定评价的指标体系框架及评价指标具体要求，并结合</w:t>
      </w:r>
      <w:r w:rsidR="001B5284">
        <w:rPr>
          <w:rFonts w:cs="Times New Roman" w:hint="eastAsia"/>
        </w:rPr>
        <w:t>绿色金融认证和评级</w:t>
      </w:r>
      <w:r>
        <w:rPr>
          <w:rFonts w:cs="Times New Roman" w:hint="eastAsia"/>
        </w:rPr>
        <w:t>领域的产业特点，细化关键技术先进性的评价内容及评价方法，确保</w:t>
      </w:r>
      <w:r w:rsidR="001B5284">
        <w:rPr>
          <w:rFonts w:cs="Times New Roman" w:hint="eastAsia"/>
        </w:rPr>
        <w:t>绿色金融认证和评级</w:t>
      </w:r>
      <w:r>
        <w:rPr>
          <w:rFonts w:cs="Times New Roman" w:hint="eastAsia"/>
        </w:rPr>
        <w:t>领域中各行业开展绿色低碳产业认定评价工作的科学性、一致性和准确性，为建立绿色低碳产业认定规规则体系奠定坚实的工作基础。</w:t>
      </w:r>
    </w:p>
    <w:p w:rsidR="007E24A2" w:rsidRDefault="00D91CD7">
      <w:pPr>
        <w:spacing w:beforeLines="0" w:afterLines="0" w:line="360" w:lineRule="auto"/>
        <w:ind w:firstLineChars="200" w:firstLine="480"/>
        <w:rPr>
          <w:rFonts w:cs="Times New Roman"/>
        </w:rPr>
      </w:pPr>
      <w:r>
        <w:rPr>
          <w:rFonts w:cs="Times New Roman" w:hint="eastAsia"/>
        </w:rPr>
        <w:t>本文件规定了</w:t>
      </w:r>
      <w:r w:rsidR="001B5284">
        <w:rPr>
          <w:rFonts w:cs="Times New Roman" w:hint="eastAsia"/>
        </w:rPr>
        <w:t>绿色金融认证和评级</w:t>
      </w:r>
      <w:r>
        <w:rPr>
          <w:rFonts w:cs="Times New Roman" w:hint="eastAsia"/>
        </w:rPr>
        <w:t>领域绿色低碳产业认定评价的评价原则、评价方法、评价指标及评价程序。本文件结合了</w:t>
      </w:r>
      <w:r w:rsidR="001B5284">
        <w:rPr>
          <w:rFonts w:cs="Times New Roman" w:hint="eastAsia"/>
        </w:rPr>
        <w:t>绿色金融认证和评级</w:t>
      </w:r>
      <w:r>
        <w:rPr>
          <w:rFonts w:cs="Times New Roman" w:hint="eastAsia"/>
        </w:rPr>
        <w:t>领域的特性要求，设置了具体的指标分值和评分标准。标准发布实施后，可即刻指导</w:t>
      </w:r>
      <w:r w:rsidR="001B5284">
        <w:rPr>
          <w:rFonts w:cs="Times New Roman" w:hint="eastAsia"/>
        </w:rPr>
        <w:t>绿色金融认证和评级</w:t>
      </w:r>
      <w:r>
        <w:rPr>
          <w:rFonts w:cs="Times New Roman" w:hint="eastAsia"/>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rsidR="007E24A2" w:rsidRDefault="00D91CD7">
      <w:pPr>
        <w:pStyle w:val="1"/>
        <w:numPr>
          <w:ilvl w:val="0"/>
          <w:numId w:val="3"/>
        </w:numPr>
        <w:spacing w:line="360" w:lineRule="auto"/>
        <w:ind w:left="567" w:firstLineChars="0" w:firstLine="0"/>
        <w:rPr>
          <w:rFonts w:cs="Times New Roman"/>
          <w:sz w:val="24"/>
        </w:rPr>
      </w:pPr>
      <w:r>
        <w:rPr>
          <w:rFonts w:ascii="宋体" w:hAnsi="宋体" w:hint="eastAsia"/>
          <w:sz w:val="24"/>
        </w:rPr>
        <w:t>工作简况</w:t>
      </w:r>
      <w:bookmarkStart w:id="5" w:name="_Toc19127"/>
      <w:bookmarkStart w:id="6" w:name="_Toc80949156"/>
      <w:bookmarkStart w:id="7" w:name="_Toc26425"/>
      <w:bookmarkStart w:id="8" w:name="_Toc29291"/>
      <w:bookmarkStart w:id="9" w:name="_Toc922"/>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（一）任务来源</w:t>
      </w:r>
    </w:p>
    <w:bookmarkEnd w:id="5"/>
    <w:bookmarkEnd w:id="6"/>
    <w:bookmarkEnd w:id="7"/>
    <w:bookmarkEnd w:id="8"/>
    <w:bookmarkEnd w:id="9"/>
    <w:p w:rsidR="007E24A2" w:rsidRDefault="00D91CD7">
      <w:pPr>
        <w:spacing w:beforeLines="0" w:afterLines="0" w:line="360" w:lineRule="auto"/>
        <w:ind w:firstLineChars="200" w:firstLine="480"/>
        <w:rPr>
          <w:rFonts w:ascii="宋体" w:hAnsi="宋体"/>
        </w:rPr>
      </w:pPr>
      <w:r>
        <w:rPr>
          <w:rFonts w:cs="Times New Roman"/>
        </w:rPr>
        <w:t>根据深圳市</w:t>
      </w:r>
      <w:r>
        <w:rPr>
          <w:rFonts w:ascii="宋体" w:hAnsi="宋体" w:hint="eastAsia"/>
        </w:rPr>
        <w:t>深圳标准促进会</w:t>
      </w:r>
      <w:r w:rsidR="001B5284">
        <w:rPr>
          <w:rFonts w:ascii="宋体" w:hAnsi="宋体" w:hint="eastAsia"/>
        </w:rPr>
        <w:t>202</w:t>
      </w:r>
      <w:r w:rsidR="001B5284">
        <w:rPr>
          <w:rFonts w:ascii="宋体" w:hAnsi="宋体"/>
        </w:rPr>
        <w:t>5</w:t>
      </w:r>
      <w:r>
        <w:rPr>
          <w:rFonts w:ascii="宋体" w:hAnsi="宋体" w:hint="eastAsia"/>
        </w:rPr>
        <w:t xml:space="preserve">年发布的《关于批准&lt;绿色低碳产业认定行业技术规范 </w:t>
      </w:r>
      <w:r w:rsidR="001B5284">
        <w:rPr>
          <w:rFonts w:ascii="宋体" w:hAnsi="宋体" w:hint="eastAsia"/>
        </w:rPr>
        <w:t>绿色金融认证和评级</w:t>
      </w:r>
      <w:r>
        <w:rPr>
          <w:rFonts w:ascii="宋体" w:hAnsi="宋体" w:hint="eastAsia"/>
        </w:rPr>
        <w:t>&gt;团体标准立项的通知》，由深圳市深圳标准促进会提出并归口。</w:t>
      </w:r>
    </w:p>
    <w:p w:rsidR="007E24A2" w:rsidRDefault="00D91CD7">
      <w:pPr>
        <w:pStyle w:val="2"/>
        <w:spacing w:line="360" w:lineRule="auto"/>
        <w:ind w:firstLine="482"/>
        <w:rPr>
          <w:rFonts w:ascii="宋体" w:hAnsi="宋体" w:cs="宋体"/>
        </w:rPr>
      </w:pPr>
      <w:r>
        <w:rPr>
          <w:rFonts w:ascii="宋体" w:eastAsia="宋体" w:hAnsi="宋体" w:cs="宋体" w:hint="eastAsia"/>
          <w:sz w:val="24"/>
        </w:rPr>
        <w:t>（二）主要起草过程</w:t>
      </w:r>
    </w:p>
    <w:p w:rsidR="007E24A2" w:rsidRDefault="00D91CD7">
      <w:pPr>
        <w:pStyle w:val="2"/>
        <w:spacing w:line="360" w:lineRule="auto"/>
        <w:ind w:firstLine="482"/>
        <w:rPr>
          <w:rFonts w:ascii="Times New Roman" w:hAnsi="Times New Roman" w:cs="Times New Roman"/>
          <w:sz w:val="24"/>
        </w:rPr>
      </w:pPr>
      <w:r>
        <w:rPr>
          <w:rFonts w:ascii="Times New Roman" w:hAnsi="Times New Roman" w:cs="Times New Roman" w:hint="eastAsia"/>
          <w:sz w:val="24"/>
        </w:rPr>
        <w:t xml:space="preserve">1. </w:t>
      </w:r>
      <w:r>
        <w:rPr>
          <w:rFonts w:ascii="Times New Roman" w:hAnsi="Times New Roman" w:cs="Times New Roman"/>
          <w:sz w:val="24"/>
        </w:rPr>
        <w:t>前期准备</w:t>
      </w:r>
    </w:p>
    <w:p w:rsidR="007E24A2" w:rsidRDefault="00D82C81">
      <w:pPr>
        <w:spacing w:beforeLines="0" w:afterLines="0" w:line="360" w:lineRule="auto"/>
        <w:rPr>
          <w:rFonts w:cs="Times New Roman"/>
        </w:rPr>
      </w:pPr>
      <w:r>
        <w:rPr>
          <w:rFonts w:cs="Times New Roman"/>
        </w:rPr>
        <w:t>2023</w:t>
      </w:r>
      <w:r w:rsidR="00D91CD7">
        <w:rPr>
          <w:rFonts w:cs="Times New Roman"/>
        </w:rPr>
        <w:t>年</w:t>
      </w:r>
      <w:r w:rsidR="00D91CD7">
        <w:rPr>
          <w:rFonts w:cs="Times New Roman" w:hint="eastAsia"/>
        </w:rPr>
        <w:t>12</w:t>
      </w:r>
      <w:r w:rsidR="00D91CD7">
        <w:rPr>
          <w:rFonts w:cs="Times New Roman"/>
        </w:rPr>
        <w:t>月</w:t>
      </w:r>
      <w:r w:rsidR="00D91CD7">
        <w:rPr>
          <w:rFonts w:cs="Times New Roman" w:hint="eastAsia"/>
        </w:rPr>
        <w:t>-</w:t>
      </w:r>
      <w:r w:rsidR="001B5284">
        <w:rPr>
          <w:rFonts w:cs="Times New Roman" w:hint="eastAsia"/>
        </w:rPr>
        <w:t>202</w:t>
      </w:r>
      <w:r w:rsidR="001B5284">
        <w:rPr>
          <w:rFonts w:cs="Times New Roman"/>
        </w:rPr>
        <w:t>4</w:t>
      </w:r>
      <w:r w:rsidR="001B5284">
        <w:rPr>
          <w:rFonts w:cs="Times New Roman" w:hint="eastAsia"/>
        </w:rPr>
        <w:t>年</w:t>
      </w:r>
      <w:r w:rsidR="001B5284">
        <w:rPr>
          <w:rFonts w:cs="Times New Roman"/>
        </w:rPr>
        <w:t>11</w:t>
      </w:r>
      <w:r w:rsidR="00D91CD7">
        <w:rPr>
          <w:rFonts w:cs="Times New Roman" w:hint="eastAsia"/>
        </w:rPr>
        <w:t>月</w:t>
      </w:r>
      <w:r w:rsidR="00D91CD7">
        <w:rPr>
          <w:rFonts w:cs="Times New Roman"/>
        </w:rPr>
        <w:t>，结合深圳市绿色</w:t>
      </w:r>
      <w:r w:rsidR="00D91CD7">
        <w:rPr>
          <w:rFonts w:cs="Times New Roman" w:hint="eastAsia"/>
        </w:rPr>
        <w:t>低碳</w:t>
      </w:r>
      <w:r w:rsidR="00D91CD7">
        <w:rPr>
          <w:rFonts w:cs="Times New Roman"/>
        </w:rPr>
        <w:t>产业认定综合改革试点项目工作要求</w:t>
      </w:r>
      <w:r w:rsidR="00D91CD7">
        <w:rPr>
          <w:rFonts w:cs="Times New Roman" w:hint="eastAsia"/>
        </w:rPr>
        <w:t>，</w:t>
      </w:r>
      <w:r w:rsidR="00D91CD7">
        <w:rPr>
          <w:rFonts w:cs="Times New Roman"/>
        </w:rPr>
        <w:t>在文献调研的基础上，通过</w:t>
      </w:r>
      <w:r w:rsidR="00D91CD7">
        <w:rPr>
          <w:rFonts w:cs="Times New Roman" w:hint="eastAsia"/>
        </w:rPr>
        <w:t>线下调研和专家讨论</w:t>
      </w:r>
      <w:r w:rsidR="00D91CD7">
        <w:rPr>
          <w:rFonts w:cs="Times New Roman"/>
        </w:rPr>
        <w:t>的形式，探讨</w:t>
      </w:r>
      <w:r w:rsidR="00D91CD7">
        <w:rPr>
          <w:rFonts w:cs="Times New Roman" w:hint="eastAsia"/>
        </w:rPr>
        <w:t>本文件</w:t>
      </w:r>
      <w:r w:rsidR="00D91CD7">
        <w:rPr>
          <w:rFonts w:cs="Times New Roman"/>
        </w:rPr>
        <w:t>编制的目的和方向，</w:t>
      </w:r>
      <w:r w:rsidR="00D91CD7">
        <w:rPr>
          <w:rFonts w:cs="Times New Roman" w:hint="eastAsia"/>
        </w:rPr>
        <w:t>提炼技术规范评价指标，</w:t>
      </w:r>
      <w:r w:rsidR="00D91CD7">
        <w:rPr>
          <w:rFonts w:cs="Times New Roman"/>
        </w:rPr>
        <w:t>要求</w:t>
      </w:r>
      <w:r w:rsidR="00D91CD7">
        <w:rPr>
          <w:rFonts w:cs="Times New Roman" w:hint="eastAsia"/>
        </w:rPr>
        <w:t>编制</w:t>
      </w:r>
      <w:r w:rsidR="00D91CD7">
        <w:rPr>
          <w:rFonts w:cs="Times New Roman"/>
        </w:rPr>
        <w:t>内容应符合深圳</w:t>
      </w:r>
      <w:r w:rsidR="001B5284">
        <w:rPr>
          <w:rFonts w:cs="Times New Roman" w:hint="eastAsia"/>
        </w:rPr>
        <w:t>绿色金融认证和评级</w:t>
      </w:r>
      <w:r w:rsidR="00D91CD7">
        <w:rPr>
          <w:rFonts w:cs="Times New Roman" w:hint="eastAsia"/>
        </w:rPr>
        <w:t>领域</w:t>
      </w:r>
      <w:r w:rsidR="00D91CD7">
        <w:rPr>
          <w:rFonts w:cs="Times New Roman"/>
        </w:rPr>
        <w:t>实际情况并有较强的可操作性。</w:t>
      </w:r>
    </w:p>
    <w:p w:rsidR="007E24A2" w:rsidRDefault="00D91CD7">
      <w:pPr>
        <w:pStyle w:val="2"/>
        <w:spacing w:line="360" w:lineRule="auto"/>
        <w:ind w:firstLine="482"/>
        <w:rPr>
          <w:rFonts w:ascii="宋体" w:eastAsia="宋体" w:hAnsi="宋体" w:cs="宋体"/>
          <w:sz w:val="24"/>
        </w:rPr>
      </w:pPr>
      <w:bookmarkStart w:id="10" w:name="_Toc13758"/>
      <w:r>
        <w:rPr>
          <w:rFonts w:ascii="宋体" w:eastAsia="宋体" w:hAnsi="宋体" w:cs="宋体" w:hint="eastAsia"/>
          <w:sz w:val="24"/>
        </w:rPr>
        <w:t>2.</w:t>
      </w:r>
      <w:bookmarkEnd w:id="10"/>
      <w:r>
        <w:rPr>
          <w:rFonts w:ascii="宋体" w:eastAsia="宋体" w:hAnsi="宋体" w:cs="宋体" w:hint="eastAsia"/>
          <w:sz w:val="24"/>
        </w:rPr>
        <w:t>标准立项</w:t>
      </w:r>
    </w:p>
    <w:p w:rsidR="007E24A2" w:rsidRDefault="001B5284">
      <w:pPr>
        <w:spacing w:beforeLines="0" w:afterLines="0" w:line="360" w:lineRule="auto"/>
        <w:ind w:firstLineChars="200" w:firstLine="480"/>
        <w:rPr>
          <w:rFonts w:cs="Times New Roman"/>
        </w:rPr>
      </w:pPr>
      <w:r>
        <w:rPr>
          <w:rFonts w:ascii="宋体" w:hAnsi="宋体" w:hint="eastAsia"/>
        </w:rPr>
        <w:t>202</w:t>
      </w:r>
      <w:r>
        <w:rPr>
          <w:rFonts w:ascii="宋体" w:hAnsi="宋体"/>
        </w:rPr>
        <w:t>4</w:t>
      </w:r>
      <w:r>
        <w:rPr>
          <w:rFonts w:ascii="宋体" w:hAnsi="宋体" w:hint="eastAsia"/>
        </w:rPr>
        <w:t>年</w:t>
      </w:r>
      <w:r>
        <w:rPr>
          <w:rFonts w:ascii="宋体" w:hAnsi="宋体"/>
        </w:rPr>
        <w:t>12</w:t>
      </w:r>
      <w:r w:rsidR="00D91CD7">
        <w:rPr>
          <w:rFonts w:ascii="宋体" w:hAnsi="宋体" w:hint="eastAsia"/>
        </w:rPr>
        <w:t>月，标准编制组召开了</w:t>
      </w:r>
      <w:r>
        <w:rPr>
          <w:rFonts w:ascii="宋体" w:hAnsi="宋体" w:hint="eastAsia"/>
        </w:rPr>
        <w:t>绿色金融认证和评级</w:t>
      </w:r>
      <w:r w:rsidR="00D91CD7">
        <w:rPr>
          <w:rFonts w:ascii="宋体" w:hAnsi="宋体" w:hint="eastAsia"/>
        </w:rPr>
        <w:t>领域的专家咨询会，并在同月以团体</w:t>
      </w:r>
      <w:r w:rsidR="00D91CD7">
        <w:rPr>
          <w:rFonts w:cs="Times New Roman" w:hint="eastAsia"/>
        </w:rPr>
        <w:t>标准通过深圳市深圳标准促进会成功立项。</w:t>
      </w:r>
    </w:p>
    <w:p w:rsidR="007E24A2" w:rsidRDefault="00D91CD7">
      <w:pPr>
        <w:numPr>
          <w:ilvl w:val="0"/>
          <w:numId w:val="4"/>
        </w:numPr>
        <w:spacing w:beforeLines="0" w:afterLines="0" w:line="360" w:lineRule="auto"/>
        <w:ind w:firstLineChars="200" w:firstLine="482"/>
        <w:rPr>
          <w:rFonts w:cs="Times New Roman"/>
          <w:b/>
          <w:bCs/>
        </w:rPr>
      </w:pPr>
      <w:r>
        <w:rPr>
          <w:rFonts w:cs="Times New Roman" w:hint="eastAsia"/>
          <w:b/>
          <w:bCs/>
        </w:rPr>
        <w:lastRenderedPageBreak/>
        <w:t>标准起草过程</w:t>
      </w:r>
    </w:p>
    <w:p w:rsidR="007E24A2" w:rsidRDefault="00D91CD7">
      <w:pPr>
        <w:spacing w:beforeLines="0" w:afterLines="0" w:line="360" w:lineRule="auto"/>
        <w:ind w:firstLine="569"/>
        <w:rPr>
          <w:rFonts w:cs="Times New Roman"/>
          <w:b/>
          <w:bCs/>
        </w:rPr>
      </w:pPr>
      <w:r>
        <w:rPr>
          <w:rFonts w:cs="Times New Roman" w:hint="eastAsia"/>
          <w:b/>
          <w:bCs/>
        </w:rPr>
        <w:t>（</w:t>
      </w:r>
      <w:r>
        <w:rPr>
          <w:rFonts w:cs="Times New Roman" w:hint="eastAsia"/>
          <w:b/>
          <w:bCs/>
        </w:rPr>
        <w:t>1</w:t>
      </w:r>
      <w:r>
        <w:rPr>
          <w:rFonts w:cs="Times New Roman" w:hint="eastAsia"/>
          <w:b/>
          <w:bCs/>
        </w:rPr>
        <w:t>）标准草案编制</w:t>
      </w:r>
    </w:p>
    <w:p w:rsidR="007E24A2" w:rsidRDefault="00D82C81">
      <w:pPr>
        <w:spacing w:beforeLines="0" w:afterLines="0" w:line="360" w:lineRule="auto"/>
        <w:rPr>
          <w:rFonts w:cs="Times New Roman"/>
        </w:rPr>
      </w:pPr>
      <w:r>
        <w:rPr>
          <w:rFonts w:cs="Times New Roman"/>
        </w:rPr>
        <w:t>2024</w:t>
      </w:r>
      <w:r w:rsidR="00D91CD7">
        <w:rPr>
          <w:rFonts w:cs="Times New Roman"/>
        </w:rPr>
        <w:t>年</w:t>
      </w:r>
      <w:r w:rsidR="003C7959">
        <w:rPr>
          <w:rFonts w:cs="Times New Roman"/>
        </w:rPr>
        <w:t>3</w:t>
      </w:r>
      <w:r w:rsidR="00D91CD7">
        <w:rPr>
          <w:rFonts w:cs="Times New Roman"/>
        </w:rPr>
        <w:t>月</w:t>
      </w:r>
      <w:r>
        <w:rPr>
          <w:rFonts w:cs="Times New Roman" w:hint="eastAsia"/>
        </w:rPr>
        <w:t>-</w:t>
      </w:r>
      <w:r w:rsidR="001B5284">
        <w:rPr>
          <w:rFonts w:cs="Times New Roman" w:hint="eastAsia"/>
        </w:rPr>
        <w:t>202</w:t>
      </w:r>
      <w:r w:rsidR="001B5284">
        <w:rPr>
          <w:rFonts w:cs="Times New Roman"/>
        </w:rPr>
        <w:t>5</w:t>
      </w:r>
      <w:r>
        <w:rPr>
          <w:rFonts w:cs="Times New Roman" w:hint="eastAsia"/>
        </w:rPr>
        <w:t>年</w:t>
      </w:r>
      <w:r w:rsidR="001B5284">
        <w:rPr>
          <w:rFonts w:cs="Times New Roman"/>
        </w:rPr>
        <w:t>3</w:t>
      </w:r>
      <w:r>
        <w:rPr>
          <w:rFonts w:cs="Times New Roman" w:hint="eastAsia"/>
        </w:rPr>
        <w:t>月</w:t>
      </w:r>
      <w:r w:rsidR="00D91CD7">
        <w:rPr>
          <w:rFonts w:cs="Times New Roman"/>
        </w:rPr>
        <w:t>，标准</w:t>
      </w:r>
      <w:r w:rsidR="00D91CD7">
        <w:rPr>
          <w:rFonts w:cs="Times New Roman" w:hint="eastAsia"/>
        </w:rPr>
        <w:t>编制</w:t>
      </w:r>
      <w:r w:rsidR="00D91CD7">
        <w:rPr>
          <w:rFonts w:cs="Times New Roman"/>
        </w:rPr>
        <w:t>组根据</w:t>
      </w:r>
      <w:r w:rsidR="00D91CD7">
        <w:rPr>
          <w:rFonts w:cs="Times New Roman" w:hint="eastAsia"/>
        </w:rPr>
        <w:t>本文件</w:t>
      </w:r>
      <w:r w:rsidR="00D91CD7">
        <w:rPr>
          <w:rFonts w:cs="Times New Roman"/>
        </w:rPr>
        <w:t>的</w:t>
      </w:r>
      <w:r w:rsidR="00D91CD7">
        <w:rPr>
          <w:rFonts w:cs="Times New Roman" w:hint="eastAsia"/>
        </w:rPr>
        <w:t>编制</w:t>
      </w:r>
      <w:r w:rsidR="00D91CD7">
        <w:rPr>
          <w:rFonts w:cs="Times New Roman"/>
        </w:rPr>
        <w:t>原则，</w:t>
      </w:r>
      <w:r w:rsidR="00D91CD7">
        <w:rPr>
          <w:rFonts w:cs="Times New Roman" w:hint="eastAsia"/>
        </w:rPr>
        <w:t>首先，对相关行业的龙头企业开展调研，了解行业现状及评价指标；其次，大量查阅与</w:t>
      </w:r>
      <w:r w:rsidR="001B5284">
        <w:rPr>
          <w:rFonts w:cs="Times New Roman" w:hint="eastAsia"/>
        </w:rPr>
        <w:t>绿色金融认证和评级</w:t>
      </w:r>
      <w:r w:rsidR="00D91CD7">
        <w:rPr>
          <w:rFonts w:cs="Times New Roman" w:hint="eastAsia"/>
        </w:rPr>
        <w:t>产业相关的文献和标准资料的基础上，形成标准草案。</w:t>
      </w:r>
    </w:p>
    <w:p w:rsidR="007E24A2" w:rsidRDefault="00D91CD7">
      <w:pPr>
        <w:pStyle w:val="1"/>
        <w:numPr>
          <w:ilvl w:val="0"/>
          <w:numId w:val="3"/>
        </w:numPr>
        <w:spacing w:line="360" w:lineRule="auto"/>
        <w:ind w:left="567" w:firstLineChars="0"/>
        <w:rPr>
          <w:rFonts w:ascii="宋体" w:hAnsi="宋体"/>
          <w:sz w:val="24"/>
        </w:rPr>
      </w:pPr>
      <w:bookmarkStart w:id="11" w:name="_Toc26264"/>
      <w:bookmarkStart w:id="12" w:name="_Toc29237"/>
      <w:bookmarkStart w:id="13" w:name="_Toc80949158"/>
      <w:bookmarkStart w:id="14" w:name="_Toc522"/>
      <w:bookmarkStart w:id="15" w:name="_Toc21260"/>
      <w:r>
        <w:rPr>
          <w:rFonts w:ascii="宋体" w:hAnsi="宋体" w:hint="eastAsia"/>
          <w:sz w:val="24"/>
        </w:rPr>
        <w:t>主要内容的依据以及与国内领先、国际先进标准的对标情况</w:t>
      </w:r>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（一）主要内容的依据</w:t>
      </w:r>
    </w:p>
    <w:p w:rsidR="007E24A2" w:rsidRDefault="00D91CD7">
      <w:pPr>
        <w:pStyle w:val="2"/>
        <w:spacing w:line="360" w:lineRule="auto"/>
        <w:ind w:firstLine="482"/>
        <w:rPr>
          <w:rFonts w:ascii="Times New Roman" w:hAnsi="Times New Roman" w:cs="Times New Roman"/>
          <w:sz w:val="24"/>
        </w:rPr>
      </w:pPr>
      <w:bookmarkStart w:id="16" w:name="_Toc80949159"/>
      <w:bookmarkStart w:id="17" w:name="_Toc4199"/>
      <w:bookmarkStart w:id="18" w:name="_Toc17989"/>
      <w:bookmarkStart w:id="19" w:name="_Toc12779"/>
      <w:bookmarkStart w:id="20" w:name="_Toc3576"/>
      <w:bookmarkEnd w:id="11"/>
      <w:bookmarkEnd w:id="12"/>
      <w:bookmarkEnd w:id="13"/>
      <w:bookmarkEnd w:id="14"/>
      <w:bookmarkEnd w:id="15"/>
      <w:r>
        <w:rPr>
          <w:rFonts w:ascii="Times New Roman" w:hAnsi="Times New Roman" w:cs="Times New Roman" w:hint="eastAsia"/>
          <w:sz w:val="24"/>
        </w:rPr>
        <w:t>1.</w:t>
      </w:r>
      <w:r>
        <w:rPr>
          <w:rFonts w:ascii="Times New Roman" w:hAnsi="Times New Roman" w:cs="Times New Roman"/>
          <w:sz w:val="24"/>
        </w:rPr>
        <w:t>编制原则</w:t>
      </w:r>
      <w:bookmarkEnd w:id="16"/>
      <w:bookmarkEnd w:id="17"/>
      <w:bookmarkEnd w:id="18"/>
      <w:bookmarkEnd w:id="19"/>
      <w:bookmarkEnd w:id="20"/>
    </w:p>
    <w:p w:rsidR="007E24A2" w:rsidRDefault="00D91CD7">
      <w:pPr>
        <w:spacing w:beforeLines="0" w:afterLines="0" w:line="360" w:lineRule="auto"/>
        <w:rPr>
          <w:rFonts w:cs="Times New Roman"/>
        </w:rPr>
      </w:pPr>
      <w:r>
        <w:rPr>
          <w:rFonts w:cs="Times New Roman"/>
        </w:rPr>
        <w:t>积极参考国内外现有的相关标准，充分考虑</w:t>
      </w:r>
      <w:r>
        <w:rPr>
          <w:rFonts w:cs="Times New Roman" w:hint="eastAsia"/>
        </w:rPr>
        <w:t>绿色低碳</w:t>
      </w:r>
      <w:r>
        <w:rPr>
          <w:rFonts w:cs="Times New Roman"/>
        </w:rPr>
        <w:t>产业认定评价实际情况，明确</w:t>
      </w:r>
      <w:r w:rsidR="001B5284">
        <w:rPr>
          <w:rFonts w:cs="Times New Roman" w:hint="eastAsia"/>
        </w:rPr>
        <w:t>绿色金融认证和评级</w:t>
      </w:r>
      <w:r>
        <w:rPr>
          <w:rFonts w:cs="Times New Roman" w:hint="eastAsia"/>
        </w:rPr>
        <w:t>领域技术规范的总分原则，</w:t>
      </w:r>
      <w:r>
        <w:rPr>
          <w:rFonts w:cs="Times New Roman"/>
        </w:rPr>
        <w:t>突出体现深圳市</w:t>
      </w:r>
      <w:r>
        <w:rPr>
          <w:rFonts w:cs="Times New Roman" w:hint="eastAsia"/>
        </w:rPr>
        <w:t>团体</w:t>
      </w:r>
      <w:r>
        <w:rPr>
          <w:rFonts w:cs="Times New Roman"/>
        </w:rPr>
        <w:t>标准《</w:t>
      </w:r>
      <w:r>
        <w:rPr>
          <w:rFonts w:cs="Times New Roman" w:hint="eastAsia"/>
        </w:rPr>
        <w:t>绿色低碳产业认定技术规范</w:t>
      </w:r>
      <w:r>
        <w:rPr>
          <w:rFonts w:cs="Times New Roman" w:hint="eastAsia"/>
        </w:rPr>
        <w:t xml:space="preserve"> </w:t>
      </w:r>
      <w:r w:rsidR="001B5284">
        <w:rPr>
          <w:rFonts w:cs="Times New Roman" w:hint="eastAsia"/>
        </w:rPr>
        <w:t>绿色金融认证和评级</w:t>
      </w:r>
      <w:r>
        <w:rPr>
          <w:rFonts w:cs="Times New Roman"/>
        </w:rPr>
        <w:t>》的</w:t>
      </w:r>
      <w:r>
        <w:rPr>
          <w:rFonts w:cs="Times New Roman" w:hint="eastAsia"/>
        </w:rPr>
        <w:t>“</w:t>
      </w:r>
      <w:r>
        <w:rPr>
          <w:rFonts w:cs="Times New Roman"/>
        </w:rPr>
        <w:t>先进性</w:t>
      </w:r>
      <w:r>
        <w:rPr>
          <w:rFonts w:cs="Times New Roman" w:hint="eastAsia"/>
        </w:rPr>
        <w:t>”</w:t>
      </w:r>
      <w:r>
        <w:rPr>
          <w:rFonts w:cs="Times New Roman"/>
        </w:rPr>
        <w:t>、</w:t>
      </w:r>
      <w:r>
        <w:rPr>
          <w:rFonts w:cs="Times New Roman" w:hint="eastAsia"/>
        </w:rPr>
        <w:t>“</w:t>
      </w:r>
      <w:r>
        <w:rPr>
          <w:rFonts w:cs="Times New Roman"/>
        </w:rPr>
        <w:t>创新性</w:t>
      </w:r>
      <w:r>
        <w:rPr>
          <w:rFonts w:cs="Times New Roman" w:hint="eastAsia"/>
        </w:rPr>
        <w:t>”</w:t>
      </w:r>
      <w:r>
        <w:rPr>
          <w:rFonts w:cs="Times New Roman"/>
        </w:rPr>
        <w:t>和</w:t>
      </w:r>
      <w:r>
        <w:rPr>
          <w:rFonts w:cs="Times New Roman" w:hint="eastAsia"/>
        </w:rPr>
        <w:t>“</w:t>
      </w:r>
      <w:r>
        <w:rPr>
          <w:rFonts w:cs="Times New Roman"/>
        </w:rPr>
        <w:t>可操作性</w:t>
      </w:r>
      <w:r>
        <w:rPr>
          <w:rFonts w:cs="Times New Roman" w:hint="eastAsia"/>
        </w:rPr>
        <w:t>”</w:t>
      </w:r>
      <w:r>
        <w:rPr>
          <w:rFonts w:cs="Times New Roman"/>
        </w:rPr>
        <w:t>。</w:t>
      </w:r>
      <w:r>
        <w:rPr>
          <w:rFonts w:cs="Times New Roman"/>
        </w:rPr>
        <w:t xml:space="preserve"> </w:t>
      </w:r>
    </w:p>
    <w:p w:rsidR="007E24A2" w:rsidRDefault="00D91CD7">
      <w:pPr>
        <w:pStyle w:val="2"/>
        <w:spacing w:line="360" w:lineRule="auto"/>
        <w:ind w:firstLine="482"/>
        <w:rPr>
          <w:rFonts w:ascii="Times New Roman" w:hAnsi="Times New Roman" w:cs="Times New Roman"/>
          <w:sz w:val="24"/>
        </w:rPr>
      </w:pPr>
      <w:bookmarkStart w:id="21" w:name="_Toc18227"/>
      <w:bookmarkStart w:id="22" w:name="_Toc14882"/>
      <w:bookmarkStart w:id="23" w:name="_Toc15582"/>
      <w:bookmarkStart w:id="24" w:name="_Toc2616"/>
      <w:bookmarkStart w:id="25" w:name="_Toc80949160"/>
      <w:r>
        <w:rPr>
          <w:rFonts w:ascii="Times New Roman" w:hAnsi="Times New Roman" w:cs="Times New Roman" w:hint="eastAsia"/>
          <w:sz w:val="24"/>
        </w:rPr>
        <w:t>2.</w:t>
      </w:r>
      <w:r>
        <w:rPr>
          <w:rFonts w:ascii="Times New Roman" w:hAnsi="Times New Roman" w:cs="Times New Roman"/>
          <w:sz w:val="24"/>
        </w:rPr>
        <w:t>技术依据</w:t>
      </w:r>
      <w:bookmarkEnd w:id="21"/>
      <w:bookmarkEnd w:id="22"/>
      <w:bookmarkEnd w:id="23"/>
      <w:bookmarkEnd w:id="24"/>
      <w:bookmarkEnd w:id="25"/>
    </w:p>
    <w:p w:rsidR="007E24A2" w:rsidRDefault="00D91CD7">
      <w:pPr>
        <w:spacing w:beforeLines="0" w:afterLines="0" w:line="360" w:lineRule="auto"/>
        <w:rPr>
          <w:rFonts w:cs="Times New Roman"/>
          <w:color w:val="000000"/>
        </w:rPr>
      </w:pPr>
      <w:r>
        <w:rPr>
          <w:rFonts w:cs="Times New Roman" w:hint="eastAsia"/>
        </w:rPr>
        <w:t>（</w:t>
      </w:r>
      <w:r>
        <w:rPr>
          <w:rFonts w:cs="Times New Roman" w:hint="eastAsia"/>
        </w:rPr>
        <w:t>1</w:t>
      </w:r>
      <w:r>
        <w:rPr>
          <w:rFonts w:cs="Times New Roman" w:hint="eastAsia"/>
        </w:rPr>
        <w:t>）</w:t>
      </w:r>
      <w:r>
        <w:rPr>
          <w:rFonts w:cs="Times New Roman"/>
        </w:rPr>
        <w:t>编写规则</w:t>
      </w:r>
      <w:r>
        <w:rPr>
          <w:rFonts w:cs="Times New Roman"/>
          <w:color w:val="000000"/>
        </w:rPr>
        <w:t>是按照</w:t>
      </w:r>
      <w:r>
        <w:rPr>
          <w:rFonts w:cs="Times New Roman"/>
          <w:color w:val="000000"/>
        </w:rPr>
        <w:t>GB/T 1.1-2020</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1</w:t>
      </w:r>
      <w:r>
        <w:rPr>
          <w:rFonts w:cs="Times New Roman"/>
          <w:color w:val="000000"/>
        </w:rPr>
        <w:t>部分：标准的结构和编写规则》及</w:t>
      </w:r>
      <w:r>
        <w:rPr>
          <w:rFonts w:cs="Times New Roman"/>
          <w:color w:val="000000"/>
        </w:rPr>
        <w:t xml:space="preserve">GB/T 1.2-2020 </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2</w:t>
      </w:r>
      <w:r>
        <w:rPr>
          <w:rFonts w:cs="Times New Roman"/>
          <w:color w:val="000000"/>
        </w:rPr>
        <w:t>部分：标准中规范性技术要素内容的确定方法》的要求进行。</w:t>
      </w:r>
    </w:p>
    <w:p w:rsidR="007E24A2" w:rsidRDefault="00D91CD7">
      <w:pPr>
        <w:spacing w:beforeLines="0" w:afterLines="0" w:line="360" w:lineRule="auto"/>
        <w:ind w:firstLineChars="200" w:firstLine="480"/>
        <w:rPr>
          <w:rFonts w:cs="Times New Roman"/>
        </w:rPr>
      </w:pPr>
      <w:r>
        <w:rPr>
          <w:rFonts w:cs="Times New Roman" w:hint="eastAsia"/>
          <w:color w:val="000000"/>
        </w:rPr>
        <w:t>（</w:t>
      </w:r>
      <w:r>
        <w:rPr>
          <w:rFonts w:cs="Times New Roman" w:hint="eastAsia"/>
          <w:color w:val="000000"/>
        </w:rPr>
        <w:t>2</w:t>
      </w:r>
      <w:r>
        <w:rPr>
          <w:rFonts w:cs="Times New Roman" w:hint="eastAsia"/>
          <w:color w:val="000000"/>
        </w:rPr>
        <w:t>）</w:t>
      </w:r>
      <w:r>
        <w:rPr>
          <w:rFonts w:ascii="宋体" w:hAnsi="宋体" w:hint="eastAsia"/>
          <w:color w:val="000000"/>
        </w:rPr>
        <w:t>以DB4403/T 391-2023《绿色低</w:t>
      </w:r>
      <w:r>
        <w:rPr>
          <w:rFonts w:cs="Times New Roman" w:hint="eastAsia"/>
          <w:color w:val="000000"/>
        </w:rPr>
        <w:t>碳</w:t>
      </w:r>
      <w:r>
        <w:rPr>
          <w:rFonts w:cs="Times New Roman"/>
          <w:color w:val="000000"/>
        </w:rPr>
        <w:t>产业认定评价导则》为基础，通过大量相关行业实地调研，结合实际情况，规定了</w:t>
      </w:r>
      <w:r w:rsidR="001B5284">
        <w:rPr>
          <w:rFonts w:cs="Times New Roman" w:hint="eastAsia"/>
        </w:rPr>
        <w:t>绿色金融认证和评级</w:t>
      </w:r>
      <w:r>
        <w:rPr>
          <w:rFonts w:cs="Times New Roman" w:hint="eastAsia"/>
        </w:rPr>
        <w:t>领域绿色低碳产业认定评价工作的原则与要求，给出了</w:t>
      </w:r>
      <w:r w:rsidR="001B5284">
        <w:rPr>
          <w:rFonts w:cs="Times New Roman" w:hint="eastAsia"/>
        </w:rPr>
        <w:t>绿色金融认证和评级</w:t>
      </w:r>
      <w:r>
        <w:rPr>
          <w:rFonts w:cs="Times New Roman" w:hint="eastAsia"/>
        </w:rPr>
        <w:t>绿色低碳产业认定评价的指标体系框架及评价要求，重点对</w:t>
      </w:r>
      <w:r w:rsidR="001B5284">
        <w:rPr>
          <w:rFonts w:cs="Times New Roman" w:hint="eastAsia"/>
        </w:rPr>
        <w:t>绿色金融认证和评级</w:t>
      </w:r>
      <w:r>
        <w:rPr>
          <w:rFonts w:cs="Times New Roman" w:hint="eastAsia"/>
        </w:rPr>
        <w:t>产业的关键技术先进性进行详细展开，结合不同行业特点，明确</w:t>
      </w:r>
      <w:r w:rsidR="001B5284">
        <w:rPr>
          <w:rFonts w:cs="Times New Roman" w:hint="eastAsia"/>
        </w:rPr>
        <w:t>绿色金融认证和评级</w:t>
      </w:r>
      <w:r>
        <w:rPr>
          <w:rFonts w:cs="Times New Roman" w:hint="eastAsia"/>
        </w:rPr>
        <w:t>产业的各行业核心评价指标及评价方法，为</w:t>
      </w:r>
      <w:r w:rsidR="001B5284">
        <w:rPr>
          <w:rFonts w:cs="Times New Roman" w:hint="eastAsia"/>
        </w:rPr>
        <w:t>绿色金融认证和评级</w:t>
      </w:r>
      <w:r>
        <w:rPr>
          <w:rFonts w:cs="Times New Roman" w:hint="eastAsia"/>
        </w:rPr>
        <w:t>绿色低碳产业的认定奠定坚实的工作基础。</w:t>
      </w:r>
    </w:p>
    <w:p w:rsidR="007E24A2" w:rsidRDefault="00D91CD7">
      <w:pPr>
        <w:spacing w:beforeLines="0" w:afterLines="0" w:line="360" w:lineRule="auto"/>
        <w:ind w:firstLine="569"/>
        <w:rPr>
          <w:rFonts w:ascii="宋体" w:hAnsi="宋体"/>
          <w:b/>
          <w:bCs/>
        </w:rPr>
      </w:pPr>
      <w:r>
        <w:rPr>
          <w:rFonts w:ascii="宋体" w:hAnsi="宋体" w:hint="eastAsia"/>
          <w:b/>
          <w:bCs/>
        </w:rPr>
        <w:t>（二）与国内领先、国际先进标准的对标情况</w:t>
      </w:r>
    </w:p>
    <w:p w:rsidR="007E24A2" w:rsidRDefault="00D91CD7">
      <w:pPr>
        <w:spacing w:beforeLines="0" w:afterLines="0" w:line="360" w:lineRule="auto"/>
      </w:pPr>
      <w:r>
        <w:rPr>
          <w:rFonts w:ascii="宋体" w:hAnsi="宋体" w:hint="eastAsia"/>
        </w:rPr>
        <w:t>国内目前有深圳市发布的地方标准DB4403/T 391—2023《绿色低碳产业认定评价导则》，是基于《深圳市绿色低碳产业认定管理暂行办法》，以及《深圳市绿色低碳产业指导目录》等政策文件编制的地方标准，通过构建评价指标体系识别对外提供有利于资源节约、环境友好、生态良好的产品、服务企业/项目。现有其他与绿色评价相关的国内外标准，均是对绿色项目评价为主，强调的是项目本身绿色化，在评价维度上与绿色低碳产业的评价完全不同。本文件是基于DB4403/T 391—2023的评价指标与</w:t>
      </w:r>
      <w:r>
        <w:rPr>
          <w:rFonts w:ascii="宋体" w:hAnsi="宋体" w:hint="eastAsia"/>
        </w:rPr>
        <w:lastRenderedPageBreak/>
        <w:t>框架要求，针对指导目录中</w:t>
      </w:r>
      <w:r w:rsidR="001B5284">
        <w:rPr>
          <w:rFonts w:ascii="宋体" w:hAnsi="宋体" w:hint="eastAsia"/>
        </w:rPr>
        <w:t>绿色金融认证和评级</w:t>
      </w:r>
      <w:r>
        <w:rPr>
          <w:rFonts w:ascii="宋体" w:hAnsi="宋体" w:hint="eastAsia"/>
        </w:rPr>
        <w:t>领域编制更具针对性，评价指标更详细的评价标准。</w:t>
      </w:r>
    </w:p>
    <w:p w:rsidR="007E24A2" w:rsidRDefault="00D91CD7">
      <w:pPr>
        <w:pStyle w:val="1"/>
        <w:numPr>
          <w:ilvl w:val="0"/>
          <w:numId w:val="3"/>
        </w:numPr>
        <w:spacing w:line="360" w:lineRule="auto"/>
        <w:ind w:left="567" w:firstLineChars="0"/>
        <w:rPr>
          <w:rFonts w:ascii="宋体" w:hAnsi="宋体"/>
          <w:sz w:val="24"/>
        </w:rPr>
      </w:pPr>
      <w:bookmarkStart w:id="26" w:name="_Toc8154"/>
      <w:bookmarkStart w:id="27" w:name="_Toc4683"/>
      <w:bookmarkStart w:id="28" w:name="_Toc80949161"/>
      <w:bookmarkStart w:id="29" w:name="_Toc31476"/>
      <w:bookmarkStart w:id="30" w:name="_Toc26723"/>
      <w:bookmarkStart w:id="31" w:name="_Toc24523"/>
      <w:r>
        <w:rPr>
          <w:rFonts w:ascii="宋体" w:hAnsi="宋体" w:hint="eastAsia"/>
          <w:sz w:val="24"/>
        </w:rPr>
        <w:t>主要</w:t>
      </w:r>
      <w:bookmarkEnd w:id="26"/>
      <w:r>
        <w:rPr>
          <w:rFonts w:ascii="宋体" w:hAnsi="宋体" w:hint="eastAsia"/>
          <w:sz w:val="24"/>
        </w:rPr>
        <w:t>条款说明</w:t>
      </w:r>
    </w:p>
    <w:p w:rsidR="007E24A2" w:rsidRDefault="00D91CD7">
      <w:pPr>
        <w:pStyle w:val="1"/>
        <w:numPr>
          <w:ilvl w:val="255"/>
          <w:numId w:val="0"/>
        </w:numPr>
        <w:spacing w:line="360" w:lineRule="auto"/>
        <w:ind w:firstLineChars="200" w:firstLine="480"/>
        <w:rPr>
          <w:rFonts w:cs="Times New Roman"/>
          <w:sz w:val="24"/>
        </w:rPr>
      </w:pPr>
      <w:bookmarkStart w:id="32" w:name="_Toc9915"/>
      <w:bookmarkStart w:id="33" w:name="_Toc80949166"/>
      <w:bookmarkStart w:id="34" w:name="_Toc19586"/>
      <w:bookmarkStart w:id="35" w:name="_Toc4796"/>
      <w:bookmarkStart w:id="36" w:name="_Toc30677"/>
      <w:bookmarkEnd w:id="27"/>
      <w:bookmarkEnd w:id="28"/>
      <w:bookmarkEnd w:id="29"/>
      <w:bookmarkEnd w:id="30"/>
      <w:bookmarkEnd w:id="31"/>
      <w:r>
        <w:rPr>
          <w:rFonts w:cs="Times New Roman" w:hint="eastAsia"/>
          <w:b w:val="0"/>
          <w:bCs w:val="0"/>
          <w:sz w:val="24"/>
        </w:rPr>
        <w:t>本文件主要由</w:t>
      </w:r>
      <w:r w:rsidR="001B5284">
        <w:rPr>
          <w:rFonts w:cs="Times New Roman"/>
          <w:b w:val="0"/>
          <w:bCs w:val="0"/>
          <w:sz w:val="24"/>
        </w:rPr>
        <w:t>6</w:t>
      </w:r>
      <w:r>
        <w:rPr>
          <w:rFonts w:cs="Times New Roman" w:hint="eastAsia"/>
          <w:b w:val="0"/>
          <w:bCs w:val="0"/>
          <w:sz w:val="24"/>
        </w:rPr>
        <w:t>个章节构成，以下对标准中的主要条款进行简要说明：</w:t>
      </w:r>
    </w:p>
    <w:p w:rsidR="007E24A2" w:rsidRDefault="00D91CD7">
      <w:pPr>
        <w:pStyle w:val="2"/>
        <w:spacing w:line="360" w:lineRule="auto"/>
        <w:ind w:firstLine="482"/>
        <w:rPr>
          <w:rFonts w:ascii="Times New Roman" w:hAnsi="Times New Roman" w:cs="Times New Roman"/>
          <w:sz w:val="24"/>
        </w:rPr>
      </w:pPr>
      <w:bookmarkStart w:id="37" w:name="_Toc30281"/>
      <w:bookmarkStart w:id="38" w:name="_Toc80949169"/>
      <w:bookmarkStart w:id="39" w:name="_Toc31412"/>
      <w:bookmarkStart w:id="40" w:name="_Toc805"/>
      <w:bookmarkStart w:id="41" w:name="_Toc25353"/>
      <w:bookmarkEnd w:id="32"/>
      <w:bookmarkEnd w:id="33"/>
      <w:bookmarkEnd w:id="34"/>
      <w:bookmarkEnd w:id="35"/>
      <w:bookmarkEnd w:id="36"/>
      <w:r>
        <w:rPr>
          <w:rFonts w:ascii="Times New Roman" w:hAnsi="Times New Roman" w:cs="Times New Roman"/>
          <w:sz w:val="24"/>
        </w:rPr>
        <w:t>（</w:t>
      </w:r>
      <w:r>
        <w:rPr>
          <w:rFonts w:ascii="Times New Roman" w:hAnsi="Times New Roman" w:cs="Times New Roman" w:hint="eastAsia"/>
          <w:sz w:val="24"/>
        </w:rPr>
        <w:t>一</w:t>
      </w:r>
      <w:r>
        <w:rPr>
          <w:rFonts w:ascii="Times New Roman" w:hAnsi="Times New Roman" w:cs="Times New Roman"/>
          <w:sz w:val="24"/>
        </w:rPr>
        <w:t>）范围</w:t>
      </w:r>
      <w:bookmarkEnd w:id="37"/>
      <w:bookmarkEnd w:id="38"/>
      <w:bookmarkEnd w:id="39"/>
      <w:bookmarkEnd w:id="40"/>
      <w:bookmarkEnd w:id="41"/>
    </w:p>
    <w:p w:rsidR="007E24A2" w:rsidRDefault="00D91CD7">
      <w:pPr>
        <w:spacing w:beforeLines="0" w:afterLines="0" w:line="360" w:lineRule="auto"/>
        <w:rPr>
          <w:rFonts w:ascii="宋体" w:hAnsi="宋体"/>
        </w:rPr>
      </w:pPr>
      <w:r>
        <w:rPr>
          <w:rFonts w:cs="Times New Roman" w:hint="eastAsia"/>
        </w:rPr>
        <w:t>本文件规定了</w:t>
      </w:r>
      <w:r w:rsidR="001B5284">
        <w:rPr>
          <w:rFonts w:cs="Times New Roman" w:hint="eastAsia"/>
        </w:rPr>
        <w:t>绿色金融认证和评级</w:t>
      </w:r>
      <w:r>
        <w:rPr>
          <w:rFonts w:cs="Times New Roman" w:hint="eastAsia"/>
        </w:rPr>
        <w:t>领域开展绿色低碳产业认定评价的评价原则、评价方法、评价指标及评价程序。</w:t>
      </w:r>
      <w:r>
        <w:rPr>
          <w:rFonts w:ascii="宋体" w:hAnsi="宋体" w:hint="eastAsia"/>
        </w:rPr>
        <w:t>本文件适用于</w:t>
      </w:r>
      <w:r w:rsidR="001B5284">
        <w:rPr>
          <w:rFonts w:ascii="宋体" w:hAnsi="宋体" w:hint="eastAsia"/>
        </w:rPr>
        <w:t>绿色金融认证和评级</w:t>
      </w:r>
      <w:r>
        <w:rPr>
          <w:rFonts w:ascii="宋体" w:hAnsi="宋体" w:hint="eastAsia"/>
        </w:rPr>
        <w:t>领域相关企事业单位或项目的绿色低碳产业认定评价。</w:t>
      </w:r>
    </w:p>
    <w:p w:rsidR="007E24A2" w:rsidRDefault="00D91CD7">
      <w:pPr>
        <w:spacing w:beforeLines="0" w:afterLines="0" w:line="360" w:lineRule="auto"/>
        <w:ind w:firstLine="569"/>
        <w:rPr>
          <w:rFonts w:ascii="宋体" w:hAnsi="宋体"/>
          <w:b/>
          <w:bCs/>
        </w:rPr>
      </w:pPr>
      <w:r>
        <w:rPr>
          <w:rFonts w:ascii="宋体" w:hAnsi="宋体" w:hint="eastAsia"/>
          <w:b/>
          <w:bCs/>
        </w:rPr>
        <w:t>（二）规范性引用文件</w:t>
      </w:r>
    </w:p>
    <w:p w:rsidR="007E24A2" w:rsidRDefault="00D91CD7">
      <w:pPr>
        <w:pStyle w:val="a9"/>
        <w:spacing w:beforeLines="0" w:afterLines="0" w:after="0"/>
        <w:rPr>
          <w:rFonts w:ascii="宋体" w:hAnsi="宋体"/>
        </w:rPr>
      </w:pPr>
      <w:r>
        <w:rPr>
          <w:rFonts w:ascii="宋体" w:hAnsi="宋体" w:hint="eastAsia"/>
        </w:rPr>
        <w:t>本文件规范性引用</w:t>
      </w:r>
      <w:r w:rsidR="001B5284">
        <w:rPr>
          <w:rFonts w:ascii="宋体" w:hAnsi="宋体" w:hint="eastAsia"/>
        </w:rPr>
        <w:t>绿色金融认证和评级</w:t>
      </w:r>
      <w:r>
        <w:rPr>
          <w:rFonts w:ascii="宋体" w:hAnsi="宋体" w:hint="eastAsia"/>
        </w:rPr>
        <w:t>领域中不同行业执行的国家、行业、地方、团体标准等标准作为关键技术先进性评价指标及评价要求的参考依据</w:t>
      </w:r>
      <w:r w:rsidR="00D82C81">
        <w:rPr>
          <w:rFonts w:ascii="宋体" w:hAnsi="宋体" w:hint="eastAsia"/>
        </w:rPr>
        <w:t>。</w:t>
      </w:r>
    </w:p>
    <w:p w:rsidR="007E24A2" w:rsidRDefault="00D91CD7">
      <w:pPr>
        <w:pStyle w:val="2"/>
        <w:spacing w:line="360" w:lineRule="auto"/>
        <w:ind w:firstLine="482"/>
        <w:rPr>
          <w:rFonts w:ascii="宋体" w:eastAsia="宋体" w:hAnsi="宋体" w:cs="宋体"/>
          <w:sz w:val="24"/>
        </w:rPr>
      </w:pPr>
      <w:bookmarkStart w:id="42" w:name="_Toc27014"/>
      <w:bookmarkStart w:id="43" w:name="_Toc22082"/>
      <w:bookmarkStart w:id="44" w:name="_Toc22539"/>
      <w:bookmarkStart w:id="45" w:name="_Toc1323"/>
      <w:bookmarkStart w:id="46" w:name="_Toc21207"/>
      <w:bookmarkStart w:id="47" w:name="_Toc80949170"/>
      <w:bookmarkStart w:id="48" w:name="_Toc26469"/>
      <w:r>
        <w:rPr>
          <w:rFonts w:ascii="宋体" w:eastAsia="宋体" w:hAnsi="宋体" w:cs="宋体" w:hint="eastAsia"/>
          <w:sz w:val="24"/>
        </w:rPr>
        <w:t>（三）术语和定义</w:t>
      </w:r>
      <w:bookmarkEnd w:id="42"/>
      <w:bookmarkEnd w:id="43"/>
    </w:p>
    <w:bookmarkEnd w:id="44"/>
    <w:bookmarkEnd w:id="45"/>
    <w:bookmarkEnd w:id="46"/>
    <w:bookmarkEnd w:id="47"/>
    <w:bookmarkEnd w:id="48"/>
    <w:p w:rsidR="007E24A2" w:rsidRDefault="00D91CD7">
      <w:pPr>
        <w:spacing w:beforeLines="0" w:afterLines="0" w:line="360" w:lineRule="auto"/>
        <w:ind w:firstLineChars="200" w:firstLine="480"/>
        <w:rPr>
          <w:rFonts w:cs="Times New Roman"/>
        </w:rPr>
      </w:pPr>
      <w:r>
        <w:rPr>
          <w:rFonts w:cs="Times New Roman" w:hint="eastAsia"/>
        </w:rPr>
        <w:t>由于本文件重点内容涉及“绿色低碳产业”</w:t>
      </w:r>
      <w:r w:rsidR="001B5284">
        <w:rPr>
          <w:rFonts w:cs="Times New Roman" w:hint="eastAsia"/>
        </w:rPr>
        <w:t>、</w:t>
      </w:r>
      <w:r w:rsidR="00D82C81">
        <w:rPr>
          <w:rFonts w:cs="Times New Roman" w:hint="eastAsia"/>
        </w:rPr>
        <w:t>“绿色低碳产业企业”</w:t>
      </w:r>
      <w:r w:rsidR="001B5284">
        <w:rPr>
          <w:rFonts w:cs="Times New Roman" w:hint="eastAsia"/>
        </w:rPr>
        <w:t>、</w:t>
      </w:r>
      <w:r>
        <w:rPr>
          <w:rFonts w:cs="Times New Roman" w:hint="eastAsia"/>
        </w:rPr>
        <w:t>“绿色业务”</w:t>
      </w:r>
      <w:r w:rsidR="001B5284">
        <w:rPr>
          <w:rFonts w:cs="Times New Roman" w:hint="eastAsia"/>
        </w:rPr>
        <w:t>、</w:t>
      </w:r>
      <w:r>
        <w:rPr>
          <w:rFonts w:cs="Times New Roman" w:hint="eastAsia"/>
        </w:rPr>
        <w:t>“优质中小企业”“</w:t>
      </w:r>
      <w:r w:rsidR="001B5284">
        <w:rPr>
          <w:rFonts w:cs="Times New Roman" w:hint="eastAsia"/>
        </w:rPr>
        <w:t>绿色金融认证和评级</w:t>
      </w:r>
      <w:r>
        <w:rPr>
          <w:rFonts w:cs="Times New Roman" w:hint="eastAsia"/>
        </w:rPr>
        <w:t>”等主体概念，因此对“绿色低碳产业”</w:t>
      </w:r>
      <w:r w:rsidR="001B5284">
        <w:rPr>
          <w:rFonts w:cs="Times New Roman" w:hint="eastAsia"/>
        </w:rPr>
        <w:t>、</w:t>
      </w:r>
      <w:r w:rsidR="00D82C81">
        <w:rPr>
          <w:rFonts w:cs="Times New Roman" w:hint="eastAsia"/>
        </w:rPr>
        <w:t>“绿色低碳产业企业”</w:t>
      </w:r>
      <w:r w:rsidR="001B5284">
        <w:rPr>
          <w:rFonts w:cs="Times New Roman" w:hint="eastAsia"/>
        </w:rPr>
        <w:t>、</w:t>
      </w:r>
      <w:r>
        <w:rPr>
          <w:rFonts w:cs="Times New Roman" w:hint="eastAsia"/>
        </w:rPr>
        <w:t>“绿色业务”</w:t>
      </w:r>
      <w:r w:rsidR="001B5284">
        <w:rPr>
          <w:rFonts w:cs="Times New Roman" w:hint="eastAsia"/>
        </w:rPr>
        <w:t>、</w:t>
      </w:r>
      <w:r>
        <w:rPr>
          <w:rFonts w:cs="Times New Roman" w:hint="eastAsia"/>
        </w:rPr>
        <w:t>“优质中小企业”</w:t>
      </w:r>
      <w:r w:rsidR="001B5284">
        <w:rPr>
          <w:rFonts w:cs="Times New Roman" w:hint="eastAsia"/>
        </w:rPr>
        <w:t>、</w:t>
      </w:r>
      <w:r>
        <w:rPr>
          <w:rFonts w:cs="Times New Roman" w:hint="eastAsia"/>
        </w:rPr>
        <w:t>“</w:t>
      </w:r>
      <w:r w:rsidR="001B5284">
        <w:rPr>
          <w:rFonts w:cs="Times New Roman" w:hint="eastAsia"/>
        </w:rPr>
        <w:t>绿色金融认证和评级</w:t>
      </w:r>
      <w:r>
        <w:rPr>
          <w:rFonts w:cs="Times New Roman" w:hint="eastAsia"/>
        </w:rPr>
        <w:t>”共</w:t>
      </w:r>
      <w:r w:rsidR="001B5284">
        <w:rPr>
          <w:rFonts w:cs="Times New Roman"/>
        </w:rPr>
        <w:t>5</w:t>
      </w:r>
      <w:r>
        <w:rPr>
          <w:rFonts w:cs="Times New Roman" w:hint="eastAsia"/>
        </w:rPr>
        <w:t>个术语进行了定义。</w:t>
      </w:r>
    </w:p>
    <w:p w:rsidR="007E24A2" w:rsidRDefault="00D91CD7">
      <w:pPr>
        <w:spacing w:beforeLines="0" w:afterLines="0" w:line="360" w:lineRule="auto"/>
        <w:rPr>
          <w:rFonts w:cs="Times New Roman"/>
        </w:rPr>
      </w:pPr>
      <w:r>
        <w:rPr>
          <w:rFonts w:cs="Times New Roman" w:hint="eastAsia"/>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rsidR="007E24A2" w:rsidRDefault="00D91CD7">
      <w:pPr>
        <w:spacing w:beforeLines="0" w:afterLines="0" w:line="360" w:lineRule="auto"/>
        <w:rPr>
          <w:rFonts w:cs="Times New Roman"/>
        </w:rPr>
      </w:pPr>
      <w:r>
        <w:rPr>
          <w:rFonts w:cs="Times New Roman" w:hint="eastAsia"/>
        </w:rPr>
        <w:t>“绿色低碳产业企业”为本文件产生的新定义，为经营范围</w:t>
      </w:r>
      <w:r>
        <w:rPr>
          <w:rFonts w:hint="eastAsia"/>
        </w:rPr>
        <w:t>属于相关政府职能部门发布的绿色低碳</w:t>
      </w:r>
      <w:r>
        <w:rPr>
          <w:rFonts w:hAnsi="宋体" w:hint="eastAsia"/>
        </w:rPr>
        <w:t>产业相</w:t>
      </w:r>
      <w:r>
        <w:rPr>
          <w:rFonts w:hint="eastAsia"/>
        </w:rPr>
        <w:t>关指导目录所涵盖的产业类别</w:t>
      </w:r>
      <w:r>
        <w:t>，</w:t>
      </w:r>
      <w:r>
        <w:rPr>
          <w:rFonts w:hint="eastAsia"/>
        </w:rPr>
        <w:t>且</w:t>
      </w:r>
      <w:r>
        <w:t>通过绿色</w:t>
      </w:r>
      <w:r>
        <w:rPr>
          <w:rFonts w:hint="eastAsia"/>
        </w:rPr>
        <w:t>低碳</w:t>
      </w:r>
      <w:r>
        <w:t>产业认定的企事业单位</w:t>
      </w:r>
      <w:r>
        <w:rPr>
          <w:rFonts w:cs="Times New Roman" w:hint="eastAsia"/>
        </w:rPr>
        <w:t>。</w:t>
      </w:r>
    </w:p>
    <w:p w:rsidR="007E24A2" w:rsidRDefault="00D91CD7">
      <w:pPr>
        <w:spacing w:beforeLines="0" w:afterLines="0" w:line="360" w:lineRule="auto"/>
        <w:rPr>
          <w:rFonts w:cs="Times New Roman"/>
        </w:rPr>
      </w:pPr>
      <w:r>
        <w:rPr>
          <w:rFonts w:cs="Times New Roman" w:hint="eastAsia"/>
        </w:rPr>
        <w:t>“绿色业务”紧贴“绿色低碳产业企业”主体定义，明确为：</w:t>
      </w:r>
      <w:r>
        <w:rPr>
          <w:rFonts w:ascii="宋体" w:hAnsi="宋体" w:hint="eastAsia"/>
        </w:rPr>
        <w:t>提供相关政府职能部门发布的绿色低碳产业相关指导目录所涵盖的产业类别的产品或服务的经营活动。</w:t>
      </w:r>
    </w:p>
    <w:p w:rsidR="007E24A2" w:rsidRDefault="00D91CD7">
      <w:pPr>
        <w:spacing w:beforeLines="0" w:afterLines="0" w:line="360" w:lineRule="auto"/>
        <w:ind w:firstLineChars="200" w:firstLine="480"/>
        <w:rPr>
          <w:rFonts w:cs="Times New Roman"/>
        </w:rPr>
      </w:pPr>
      <w:r>
        <w:rPr>
          <w:rFonts w:cs="Times New Roman" w:hint="eastAsia"/>
        </w:rPr>
        <w:t>“优质中小企业”</w:t>
      </w:r>
      <w:r>
        <w:rPr>
          <w:rFonts w:ascii="宋体" w:hAnsi="宋体" w:hint="eastAsia"/>
        </w:rPr>
        <w:t>是在产品、技术、管理、模式等方面创新能力强、专注细分市场、成长性好的中小企业，由创新型中小企业、专精特新中小企业和专精特新“小巨</w:t>
      </w:r>
      <w:r>
        <w:rPr>
          <w:rFonts w:ascii="宋体" w:hAnsi="宋体" w:hint="eastAsia"/>
        </w:rPr>
        <w:lastRenderedPageBreak/>
        <w:t>人”企业三个层次组成。</w:t>
      </w:r>
    </w:p>
    <w:p w:rsidR="007E24A2" w:rsidRDefault="00D91CD7">
      <w:pPr>
        <w:spacing w:beforeLines="0" w:afterLines="0" w:line="360" w:lineRule="auto"/>
      </w:pPr>
      <w:r w:rsidRPr="003C7959">
        <w:rPr>
          <w:rFonts w:cs="Times New Roman" w:hint="eastAsia"/>
        </w:rPr>
        <w:t>“</w:t>
      </w:r>
      <w:r w:rsidR="001B5284" w:rsidRPr="003C7959">
        <w:rPr>
          <w:rFonts w:cs="Times New Roman" w:hint="eastAsia"/>
        </w:rPr>
        <w:t>绿色金融认证和评级</w:t>
      </w:r>
      <w:r w:rsidRPr="003C7959">
        <w:rPr>
          <w:rFonts w:cs="Times New Roman" w:hint="eastAsia"/>
        </w:rPr>
        <w:t>”</w:t>
      </w:r>
      <w:r w:rsidRPr="003C7959">
        <w:rPr>
          <w:rFonts w:ascii="宋体" w:hAnsi="宋体" w:hint="eastAsia"/>
        </w:rPr>
        <w:t>结合</w:t>
      </w:r>
      <w:r w:rsidRPr="003C7959">
        <w:rPr>
          <w:rFonts w:cs="Times New Roman" w:hint="eastAsia"/>
        </w:rPr>
        <w:t>《绿色低碳转型产业指导目录</w:t>
      </w:r>
      <w:r w:rsidRPr="003C7959">
        <w:rPr>
          <w:rFonts w:cs="Times New Roman" w:hint="eastAsia"/>
        </w:rPr>
        <w:t>(2024</w:t>
      </w:r>
      <w:r w:rsidRPr="003C7959">
        <w:rPr>
          <w:rFonts w:cs="Times New Roman" w:hint="eastAsia"/>
        </w:rPr>
        <w:t>年版</w:t>
      </w:r>
      <w:r w:rsidRPr="003C7959">
        <w:rPr>
          <w:rFonts w:cs="Times New Roman" w:hint="eastAsia"/>
        </w:rPr>
        <w:t>)</w:t>
      </w:r>
      <w:r w:rsidRPr="003C7959">
        <w:rPr>
          <w:rFonts w:cs="Times New Roman" w:hint="eastAsia"/>
        </w:rPr>
        <w:t>》</w:t>
      </w:r>
      <w:r w:rsidRPr="003C7959">
        <w:rPr>
          <w:rFonts w:ascii="宋体" w:hAnsi="宋体" w:hint="eastAsia"/>
        </w:rPr>
        <w:t>及《深圳</w:t>
      </w:r>
      <w:r w:rsidR="001B1DB4" w:rsidRPr="003C7959">
        <w:rPr>
          <w:rFonts w:ascii="宋体" w:hAnsi="宋体" w:hint="eastAsia"/>
        </w:rPr>
        <w:t>市</w:t>
      </w:r>
      <w:r w:rsidRPr="003C7959">
        <w:rPr>
          <w:rFonts w:ascii="宋体" w:hAnsi="宋体" w:hint="eastAsia"/>
        </w:rPr>
        <w:t>绿色低碳产业指导目录》进行限定。为属于相关政府职能部门发布的绿色低碳产业相关指导目录中“</w:t>
      </w:r>
      <w:r w:rsidR="001B5284" w:rsidRPr="003C7959">
        <w:rPr>
          <w:rFonts w:cs="Times New Roman" w:hint="eastAsia"/>
        </w:rPr>
        <w:t>绿色金融认证和评级</w:t>
      </w:r>
      <w:r w:rsidRPr="003C7959">
        <w:rPr>
          <w:rFonts w:ascii="宋体" w:hAnsi="宋体" w:hint="eastAsia"/>
        </w:rPr>
        <w:t>”列明的行业。</w:t>
      </w:r>
    </w:p>
    <w:p w:rsidR="007E24A2" w:rsidRDefault="00D91CD7">
      <w:pPr>
        <w:pStyle w:val="2"/>
        <w:spacing w:line="360" w:lineRule="auto"/>
        <w:ind w:firstLine="482"/>
        <w:rPr>
          <w:rFonts w:ascii="宋体" w:eastAsia="宋体" w:hAnsi="宋体" w:cs="宋体"/>
          <w:sz w:val="24"/>
        </w:rPr>
      </w:pPr>
      <w:bookmarkStart w:id="49" w:name="_Toc13645"/>
      <w:bookmarkStart w:id="50" w:name="_Toc1559"/>
      <w:bookmarkStart w:id="51" w:name="_Toc80949171"/>
      <w:bookmarkStart w:id="52" w:name="_Toc984"/>
      <w:bookmarkStart w:id="53" w:name="_Toc21975"/>
      <w:bookmarkStart w:id="54" w:name="_Toc22407"/>
      <w:bookmarkStart w:id="55" w:name="_Toc13709"/>
      <w:r>
        <w:rPr>
          <w:rFonts w:ascii="宋体" w:eastAsia="宋体" w:hAnsi="宋体" w:cs="宋体" w:hint="eastAsia"/>
          <w:sz w:val="24"/>
        </w:rPr>
        <w:t>（四）评价原则</w:t>
      </w:r>
      <w:bookmarkEnd w:id="49"/>
      <w:bookmarkEnd w:id="50"/>
    </w:p>
    <w:bookmarkEnd w:id="51"/>
    <w:bookmarkEnd w:id="52"/>
    <w:bookmarkEnd w:id="53"/>
    <w:p w:rsidR="007E24A2" w:rsidRDefault="001B5284">
      <w:pPr>
        <w:spacing w:beforeLines="0" w:afterLines="0" w:line="360" w:lineRule="auto"/>
        <w:rPr>
          <w:rFonts w:cs="Times New Roman"/>
        </w:rPr>
      </w:pPr>
      <w:r>
        <w:rPr>
          <w:rFonts w:cs="Times New Roman" w:hint="eastAsia"/>
        </w:rPr>
        <w:t>绿色金融认证和评级</w:t>
      </w:r>
      <w:r w:rsidR="00D91CD7">
        <w:rPr>
          <w:rFonts w:cs="Times New Roman" w:hint="eastAsia"/>
        </w:rPr>
        <w:t>产业认定评价的工作原则与国内外评价工作基本保持一致，从“科学性”、“可验证性”和“审慎性”</w:t>
      </w:r>
      <w:r w:rsidR="00D91CD7">
        <w:rPr>
          <w:rFonts w:cs="Times New Roman" w:hint="eastAsia"/>
        </w:rPr>
        <w:t>3</w:t>
      </w:r>
      <w:r w:rsidR="00D91CD7">
        <w:rPr>
          <w:rFonts w:cs="Times New Roman" w:hint="eastAsia"/>
        </w:rPr>
        <w:t>个维度进行阐述。其中，“科学性”要求评价过程结合</w:t>
      </w:r>
      <w:r>
        <w:rPr>
          <w:rFonts w:cs="Times New Roman" w:hint="eastAsia"/>
        </w:rPr>
        <w:t>绿色金融认证和评级</w:t>
      </w:r>
      <w:r w:rsidR="00D91CD7">
        <w:rPr>
          <w:rFonts w:cs="Times New Roman" w:hint="eastAsia"/>
        </w:rPr>
        <w:t>产业特点和各子行业差异性，采用科学的方法，全面、客观地评价企事业单位实际情况，给出评价结论。“可验证性”要求应详细记录评价材料、数据、文件等的获取途径、渠道，保留原始的测试数据、材料，保证数据、材料的可溯源性和可验证性。“审慎性”要求评价报告给出谨慎的评价意见。对于基础数据不全、信息不完整的企事业单位或项目，</w:t>
      </w:r>
      <w:bookmarkEnd w:id="54"/>
      <w:bookmarkEnd w:id="55"/>
      <w:r w:rsidR="00D91CD7">
        <w:rPr>
          <w:rFonts w:cs="Times New Roman" w:hint="eastAsia"/>
        </w:rPr>
        <w:t>说明由于条件不具备无法给出评价结论。</w:t>
      </w:r>
    </w:p>
    <w:p w:rsidR="007E24A2" w:rsidRDefault="00D91CD7">
      <w:pPr>
        <w:pStyle w:val="2"/>
        <w:numPr>
          <w:ilvl w:val="0"/>
          <w:numId w:val="5"/>
        </w:numPr>
        <w:spacing w:line="360" w:lineRule="auto"/>
        <w:ind w:firstLine="482"/>
        <w:rPr>
          <w:rFonts w:ascii="Times New Roman" w:hAnsi="Times New Roman" w:cs="Times New Roman"/>
          <w:sz w:val="24"/>
        </w:rPr>
      </w:pPr>
      <w:bookmarkStart w:id="56" w:name="_Toc10105"/>
      <w:bookmarkStart w:id="57" w:name="_Toc370"/>
      <w:r>
        <w:rPr>
          <w:rFonts w:ascii="Times New Roman" w:hAnsi="Times New Roman" w:cs="Times New Roman"/>
          <w:sz w:val="24"/>
        </w:rPr>
        <w:t>评价方法</w:t>
      </w:r>
      <w:bookmarkEnd w:id="56"/>
      <w:bookmarkEnd w:id="57"/>
    </w:p>
    <w:p w:rsidR="007E24A2" w:rsidRDefault="00D91CD7">
      <w:pPr>
        <w:spacing w:beforeLines="0" w:afterLines="0" w:line="360" w:lineRule="auto"/>
        <w:rPr>
          <w:rFonts w:cs="Times New Roman"/>
        </w:rPr>
      </w:pPr>
      <w:r>
        <w:rPr>
          <w:rFonts w:cs="Times New Roman"/>
        </w:rPr>
        <w:t>从</w:t>
      </w:r>
      <w:r>
        <w:rPr>
          <w:rFonts w:cs="Times New Roman" w:hint="eastAsia"/>
        </w:rPr>
        <w:t>绿色低碳产业</w:t>
      </w:r>
      <w:r>
        <w:rPr>
          <w:rFonts w:cs="Times New Roman"/>
        </w:rPr>
        <w:t>边界界定的角度出发</w:t>
      </w:r>
      <w:r>
        <w:rPr>
          <w:rFonts w:cs="Times New Roman" w:hint="eastAsia"/>
        </w:rPr>
        <w:t>，</w:t>
      </w:r>
      <w:r>
        <w:rPr>
          <w:rFonts w:ascii="宋体" w:hAnsi="宋体" w:hint="eastAsia"/>
        </w:rPr>
        <w:t>《深圳绿色低碳产业指导目录》已经划定了较为明确的范围框架</w:t>
      </w:r>
      <w:r>
        <w:rPr>
          <w:rFonts w:cs="Times New Roman" w:hint="eastAsia"/>
        </w:rPr>
        <w:t>，</w:t>
      </w:r>
      <w:r>
        <w:rPr>
          <w:rFonts w:ascii="宋体" w:hAnsi="宋体" w:hint="eastAsia"/>
        </w:rPr>
        <w:t>绿色低碳产业认定评价工作应该是在《深圳绿色低碳产业指导目录》</w:t>
      </w:r>
      <w:r>
        <w:rPr>
          <w:rFonts w:cs="Times New Roman" w:hint="eastAsia"/>
        </w:rPr>
        <w:t>，</w:t>
      </w:r>
      <w:r>
        <w:rPr>
          <w:rFonts w:ascii="宋体" w:hAnsi="宋体" w:hint="eastAsia"/>
        </w:rPr>
        <w:t>结合实际产业情况及行业具体特色进行进一步深化细化，提升《深圳绿色低碳产业指导目录》在深圳市落地的针对性、适用性和实操性。</w:t>
      </w:r>
      <w:r>
        <w:rPr>
          <w:rFonts w:cs="Times New Roman" w:hint="eastAsia"/>
        </w:rPr>
        <w:t>因此，</w:t>
      </w:r>
      <w:r w:rsidR="001B5284">
        <w:rPr>
          <w:rFonts w:cs="Times New Roman" w:hint="eastAsia"/>
        </w:rPr>
        <w:t>绿色金融认证和评级</w:t>
      </w:r>
      <w:r>
        <w:rPr>
          <w:rFonts w:cs="Times New Roman" w:hint="eastAsia"/>
        </w:rPr>
        <w:t>领域绿色低碳产业认定评价的首要评价指标应为与相关政府职能部门发布的绿色低碳产业相关指导目录目录一致性评价的符合性指标。进而，</w:t>
      </w:r>
      <w:r>
        <w:rPr>
          <w:rFonts w:cs="Times New Roman"/>
        </w:rPr>
        <w:t>从绿色</w:t>
      </w:r>
      <w:r>
        <w:rPr>
          <w:rFonts w:cs="Times New Roman" w:hint="eastAsia"/>
        </w:rPr>
        <w:t>低碳产业</w:t>
      </w:r>
      <w:r>
        <w:rPr>
          <w:rFonts w:cs="Times New Roman"/>
        </w:rPr>
        <w:t>认定评价结果应用的角度出发</w:t>
      </w:r>
      <w:r>
        <w:rPr>
          <w:rFonts w:cs="Times New Roman" w:hint="eastAsia"/>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产业框架范围内的绿色产业低碳产业企业和绿色低碳产业项目进行综合评价，设定为综合评价指标。</w:t>
      </w:r>
    </w:p>
    <w:p w:rsidR="007E24A2" w:rsidRDefault="00D91CD7">
      <w:pPr>
        <w:spacing w:beforeLines="0" w:afterLines="0" w:line="360" w:lineRule="auto"/>
        <w:ind w:firstLineChars="200" w:firstLine="480"/>
        <w:rPr>
          <w:rFonts w:cs="Times New Roman"/>
        </w:rPr>
      </w:pPr>
      <w:r>
        <w:rPr>
          <w:rFonts w:cs="Times New Roman" w:hint="eastAsia"/>
        </w:rPr>
        <w:t>因此，本文件将</w:t>
      </w:r>
      <w:r w:rsidR="001B5284">
        <w:rPr>
          <w:rFonts w:cs="Times New Roman" w:hint="eastAsia"/>
        </w:rPr>
        <w:t>绿色金融认证和评级</w:t>
      </w:r>
      <w:r>
        <w:rPr>
          <w:rFonts w:cs="Times New Roman" w:hint="eastAsia"/>
        </w:rPr>
        <w:t>领域绿色低碳产业认定评价界定为符合性评价和综合评价两个阶段。</w:t>
      </w:r>
      <w:r>
        <w:rPr>
          <w:rFonts w:ascii="宋体" w:hAnsi="宋体" w:hint="eastAsia"/>
        </w:rPr>
        <w:t>企事业单位首先依据符合性评价指标对其申请认定评价的绿色业务进行界定。达到符合性评价要求的，进一步依据综合评价指标对其绿色业务影</w:t>
      </w:r>
      <w:r>
        <w:rPr>
          <w:rFonts w:ascii="宋体" w:hAnsi="宋体" w:hint="eastAsia"/>
        </w:rPr>
        <w:lastRenderedPageBreak/>
        <w:t>响力（技术表现、业务表现）和自身绿色化程度（环境表现、社会表现）进行综合评价。</w:t>
      </w:r>
    </w:p>
    <w:p w:rsidR="007E24A2" w:rsidRDefault="00D91CD7">
      <w:pPr>
        <w:pStyle w:val="2"/>
        <w:numPr>
          <w:ilvl w:val="0"/>
          <w:numId w:val="5"/>
        </w:numPr>
        <w:spacing w:line="360" w:lineRule="auto"/>
        <w:ind w:firstLine="482"/>
        <w:rPr>
          <w:rFonts w:ascii="Times New Roman" w:hAnsi="Times New Roman" w:cs="Times New Roman"/>
          <w:sz w:val="24"/>
        </w:rPr>
      </w:pPr>
      <w:bookmarkStart w:id="58" w:name="_Toc10407"/>
      <w:bookmarkStart w:id="59" w:name="_Toc12649"/>
      <w:r>
        <w:rPr>
          <w:rFonts w:ascii="Times New Roman" w:hAnsi="Times New Roman" w:cs="Times New Roman"/>
          <w:sz w:val="24"/>
        </w:rPr>
        <w:t>评价</w:t>
      </w:r>
      <w:r>
        <w:rPr>
          <w:rFonts w:ascii="Times New Roman" w:hAnsi="Times New Roman" w:cs="Times New Roman" w:hint="eastAsia"/>
          <w:sz w:val="24"/>
        </w:rPr>
        <w:t>指标</w:t>
      </w:r>
      <w:bookmarkEnd w:id="58"/>
      <w:bookmarkEnd w:id="59"/>
    </w:p>
    <w:p w:rsidR="001B5284" w:rsidRDefault="00D91CD7">
      <w:pPr>
        <w:spacing w:beforeLines="0" w:afterLines="0" w:line="360" w:lineRule="auto"/>
        <w:rPr>
          <w:rFonts w:cs="Times New Roman"/>
        </w:rPr>
      </w:pPr>
      <w:r>
        <w:rPr>
          <w:rFonts w:cs="Times New Roman" w:hint="eastAsia"/>
        </w:rPr>
        <w:t>本文件将</w:t>
      </w:r>
      <w:r w:rsidR="001B5284">
        <w:rPr>
          <w:rFonts w:cs="Times New Roman" w:hint="eastAsia"/>
        </w:rPr>
        <w:t>绿色金融认证和评级</w:t>
      </w:r>
      <w:r>
        <w:rPr>
          <w:rFonts w:cs="Times New Roman" w:hint="eastAsia"/>
        </w:rPr>
        <w:t>产业认定评价指标体系分为符合性评价指标和综合评价指标两种类型，其中符合性评价指标为</w:t>
      </w:r>
      <w:r w:rsidR="001B5284">
        <w:rPr>
          <w:rFonts w:cs="Times New Roman" w:hint="eastAsia"/>
        </w:rPr>
        <w:t>绿色金融认证和评级</w:t>
      </w:r>
      <w:r>
        <w:rPr>
          <w:rFonts w:cs="Times New Roman" w:hint="eastAsia"/>
        </w:rPr>
        <w:t>产业认定评价必选项，为一票否决项，综合评价指标为可选得分项。本文件对符合性评价指标和综合评价指标的分级及相应内容给出了限定。符合性评价指标包括目录符合反映绿色产业目录符合性情况的一级指标。综合评价指标包括技术表现、业务表现和社会表现</w:t>
      </w:r>
      <w:r w:rsidR="001B5284">
        <w:rPr>
          <w:rFonts w:cs="Times New Roman"/>
        </w:rPr>
        <w:t>3</w:t>
      </w:r>
      <w:r>
        <w:rPr>
          <w:rFonts w:cs="Times New Roman" w:hint="eastAsia"/>
        </w:rPr>
        <w:t>项反映绿色产业绿色业务影响力和自身绿色化程度的一级指标，每类一级指标由若干个能反映出分行业具体绿色业务影响力或自身绿色化程度的二级指标组成。同时，本文件以附录形式给出了绿色低碳产业企业认定评价指标表</w:t>
      </w:r>
      <w:r w:rsidR="001B5284">
        <w:rPr>
          <w:rFonts w:cs="Times New Roman" w:hint="eastAsia"/>
        </w:rPr>
        <w:t>。</w:t>
      </w:r>
    </w:p>
    <w:p w:rsidR="007E24A2" w:rsidRDefault="00D91CD7">
      <w:pPr>
        <w:spacing w:beforeLines="0" w:afterLines="0" w:line="360" w:lineRule="auto"/>
        <w:rPr>
          <w:rFonts w:cs="Times New Roman"/>
        </w:rPr>
      </w:pPr>
      <w:r>
        <w:rPr>
          <w:rFonts w:cs="Times New Roman" w:hint="eastAsia"/>
        </w:rPr>
        <w:t>开展绿色产业认定评价，为突出</w:t>
      </w:r>
      <w:r w:rsidR="001B5284">
        <w:rPr>
          <w:rFonts w:cs="Times New Roman" w:hint="eastAsia"/>
        </w:rPr>
        <w:t>绿色金融认证和评级</w:t>
      </w:r>
      <w:r>
        <w:rPr>
          <w:rFonts w:cs="Times New Roman" w:hint="eastAsia"/>
        </w:rPr>
        <w:t>产业的特点，明确</w:t>
      </w:r>
      <w:r w:rsidR="001B5284">
        <w:rPr>
          <w:rFonts w:cs="Times New Roman" w:hint="eastAsia"/>
        </w:rPr>
        <w:t>绿色金融认证和评级</w:t>
      </w:r>
      <w:r>
        <w:rPr>
          <w:rFonts w:cs="Times New Roman" w:hint="eastAsia"/>
        </w:rPr>
        <w:t>产业的认定范围。本文件对纳入</w:t>
      </w:r>
      <w:r w:rsidR="001B5284">
        <w:rPr>
          <w:rFonts w:cs="Times New Roman" w:hint="eastAsia"/>
        </w:rPr>
        <w:t>绿色金融认证和评级</w:t>
      </w:r>
      <w:r>
        <w:rPr>
          <w:rFonts w:cs="Times New Roman" w:hint="eastAsia"/>
        </w:rPr>
        <w:t>产业的行业大类进行界定，</w:t>
      </w:r>
      <w:r>
        <w:t>包括</w:t>
      </w:r>
      <w:r w:rsidR="001B5284" w:rsidRPr="001B5284">
        <w:rPr>
          <w:rFonts w:hint="eastAsia"/>
        </w:rPr>
        <w:t>绿色债券评估认证、绿色票据认证、</w:t>
      </w:r>
      <w:r w:rsidR="001B5284" w:rsidRPr="001B5284">
        <w:rPr>
          <w:rFonts w:hint="eastAsia"/>
        </w:rPr>
        <w:t>ESG</w:t>
      </w:r>
      <w:r w:rsidR="001B5284" w:rsidRPr="001B5284">
        <w:rPr>
          <w:rFonts w:hint="eastAsia"/>
        </w:rPr>
        <w:t>数据服务及评级、碳信用评级</w:t>
      </w:r>
      <w:r>
        <w:rPr>
          <w:rFonts w:hint="eastAsia"/>
        </w:rPr>
        <w:t>产业。</w:t>
      </w:r>
    </w:p>
    <w:p w:rsidR="007E24A2" w:rsidRPr="003C7959" w:rsidRDefault="00D91CD7">
      <w:pPr>
        <w:spacing w:beforeLines="0" w:afterLines="0" w:line="360" w:lineRule="auto"/>
        <w:ind w:firstLineChars="200" w:firstLine="480"/>
        <w:rPr>
          <w:rFonts w:cs="Times New Roman"/>
        </w:rPr>
      </w:pPr>
      <w:r>
        <w:rPr>
          <w:rFonts w:cs="Times New Roman" w:hint="eastAsia"/>
        </w:rPr>
        <w:t>从绿色产业边界界定的</w:t>
      </w:r>
      <w:r w:rsidRPr="003C7959">
        <w:rPr>
          <w:rFonts w:cs="Times New Roman" w:hint="eastAsia"/>
        </w:rPr>
        <w:t>出发点考虑，本文件将</w:t>
      </w:r>
      <w:r w:rsidR="001B5284" w:rsidRPr="003C7959">
        <w:rPr>
          <w:rFonts w:cs="Times New Roman" w:hint="eastAsia"/>
        </w:rPr>
        <w:t>绿色金融认证和评级</w:t>
      </w:r>
      <w:r w:rsidRPr="003C7959">
        <w:rPr>
          <w:rFonts w:cs="Times New Roman" w:hint="eastAsia"/>
        </w:rPr>
        <w:t>领域绿色低碳产业企业的符合性评价指标分为目录符合</w:t>
      </w:r>
      <w:r w:rsidR="001B5284" w:rsidRPr="003C7959">
        <w:rPr>
          <w:rFonts w:cs="Times New Roman" w:hint="eastAsia"/>
        </w:rPr>
        <w:t>1</w:t>
      </w:r>
      <w:r w:rsidRPr="003C7959">
        <w:rPr>
          <w:rFonts w:cs="Times New Roman" w:hint="eastAsia"/>
        </w:rPr>
        <w:t>个一级指标，贴合</w:t>
      </w:r>
      <w:r w:rsidRPr="003C7959">
        <w:rPr>
          <w:rFonts w:ascii="宋体" w:hAnsi="宋体" w:hint="eastAsia"/>
        </w:rPr>
        <w:t>《深圳市绿色低碳产业指导目录》</w:t>
      </w:r>
      <w:r w:rsidRPr="003C7959">
        <w:rPr>
          <w:rFonts w:cs="Times New Roman" w:hint="eastAsia"/>
        </w:rPr>
        <w:t>产业边界及具体行业指标要求。其中，“目录符合”要求</w:t>
      </w:r>
      <w:r w:rsidR="001B5284" w:rsidRPr="003C7959">
        <w:rPr>
          <w:rFonts w:cs="Times New Roman" w:hint="eastAsia"/>
        </w:rPr>
        <w:t>属于《深圳市绿色低碳产业指导目录》所列“绿色金融认证和评级”，或在当地具备一定市场规模、经相关政府职能部门认可的相关行业。</w:t>
      </w:r>
    </w:p>
    <w:p w:rsidR="007E24A2" w:rsidRDefault="00D91CD7">
      <w:pPr>
        <w:spacing w:beforeLines="0" w:afterLines="0" w:line="360" w:lineRule="auto"/>
        <w:rPr>
          <w:rFonts w:cs="Times New Roman"/>
        </w:rPr>
      </w:pPr>
      <w:r w:rsidRPr="003C7959">
        <w:rPr>
          <w:rFonts w:cs="Times New Roman"/>
        </w:rPr>
        <w:t>为进一步深化绿色产业认定评价结果的政策扶持</w:t>
      </w:r>
      <w:r>
        <w:rPr>
          <w:rFonts w:cs="Times New Roman"/>
        </w:rPr>
        <w:t>范围和力度</w:t>
      </w:r>
      <w:r>
        <w:rPr>
          <w:rFonts w:cs="Times New Roman" w:hint="eastAsia"/>
        </w:rPr>
        <w:t>，</w:t>
      </w:r>
      <w:r>
        <w:rPr>
          <w:rFonts w:cs="Times New Roman"/>
        </w:rPr>
        <w:t>本</w:t>
      </w:r>
      <w:r>
        <w:rPr>
          <w:rFonts w:cs="Times New Roman" w:hint="eastAsia"/>
        </w:rPr>
        <w:t>文件根据企事业单位的实际情况，从技术表现、业务表现和社会表现等方面进一步评价企事业单位的绿色业务影响力和自身绿色化程度。本文件搭建了综合评价指标体系的一级指标、二级指标及三级指标，同时对最终得分的方式方法做出了要求。本文件按照可量化、可比较、可操作原则，建立分层次的指标体系，对每个层次的指标赋予一定分值，</w:t>
      </w:r>
      <w:r>
        <w:rPr>
          <w:rFonts w:asciiTheme="minorEastAsia" w:eastAsiaTheme="minorEastAsia" w:hAnsiTheme="minorEastAsia" w:hint="eastAsia"/>
        </w:rPr>
        <w:t>通过加和计算得出</w:t>
      </w:r>
      <w:r w:rsidR="001B5284">
        <w:rPr>
          <w:rFonts w:asciiTheme="minorEastAsia" w:eastAsiaTheme="minorEastAsia" w:hAnsiTheme="minorEastAsia" w:hint="eastAsia"/>
        </w:rPr>
        <w:t>绿色金融认证和评级</w:t>
      </w:r>
      <w:r>
        <w:rPr>
          <w:rFonts w:asciiTheme="minorEastAsia" w:eastAsiaTheme="minorEastAsia" w:hAnsiTheme="minorEastAsia" w:hint="eastAsia"/>
        </w:rPr>
        <w:t>绿色产业认定综合评价得分，</w:t>
      </w:r>
      <w:r>
        <w:rPr>
          <w:rFonts w:cs="Times New Roman" w:hint="eastAsia"/>
        </w:rPr>
        <w:t>总分采取百分制。</w:t>
      </w:r>
    </w:p>
    <w:p w:rsidR="007E24A2" w:rsidRPr="006A5D3A" w:rsidRDefault="00D91CD7">
      <w:pPr>
        <w:spacing w:beforeLines="0" w:afterLines="0" w:line="360" w:lineRule="auto"/>
        <w:ind w:firstLineChars="200" w:firstLine="480"/>
        <w:rPr>
          <w:rFonts w:cs="Times New Roman"/>
        </w:rPr>
      </w:pPr>
      <w:r>
        <w:rPr>
          <w:rFonts w:cs="Times New Roman" w:hint="eastAsia"/>
        </w:rPr>
        <w:t>从全面体现绿色产业</w:t>
      </w:r>
      <w:r w:rsidRPr="006A5D3A">
        <w:rPr>
          <w:rFonts w:cs="Times New Roman" w:hint="eastAsia"/>
        </w:rPr>
        <w:t>企业的绿色业务影响力和自身绿色化程度的出发点考虑，本文件将绿色产业企业的综合评价指标分为技术表现、业务表现和社会表现等一级指标。</w:t>
      </w:r>
      <w:r w:rsidRPr="006A5D3A">
        <w:rPr>
          <w:rFonts w:cs="Times New Roman" w:hint="eastAsia"/>
        </w:rPr>
        <w:lastRenderedPageBreak/>
        <w:t>其中，“技术表现”又分为了“先进性”和“环境效益”</w:t>
      </w:r>
      <w:r w:rsidRPr="006A5D3A">
        <w:rPr>
          <w:rFonts w:cs="Times New Roman"/>
        </w:rPr>
        <w:t>2</w:t>
      </w:r>
      <w:r w:rsidRPr="006A5D3A">
        <w:rPr>
          <w:rFonts w:cs="Times New Roman" w:hint="eastAsia"/>
        </w:rPr>
        <w:t>个二级指标，重点体现绿色产业企业提供产品或服务的先进性和实际带来的环境效益。“先进性”要求从</w:t>
      </w:r>
      <w:r w:rsidRPr="006A5D3A">
        <w:rPr>
          <w:rFonts w:hint="eastAsia"/>
        </w:rPr>
        <w:t>有效知识产权、制修订标准、关键技术先进性</w:t>
      </w:r>
      <w:r w:rsidRPr="006A5D3A">
        <w:t>3</w:t>
      </w:r>
      <w:r w:rsidRPr="006A5D3A">
        <w:rPr>
          <w:rFonts w:hint="eastAsia"/>
        </w:rPr>
        <w:t>个方面进行评价，总分</w:t>
      </w:r>
      <w:r w:rsidR="001B5284">
        <w:t>23</w:t>
      </w:r>
      <w:r w:rsidRPr="006A5D3A">
        <w:rPr>
          <w:rFonts w:hint="eastAsia"/>
        </w:rPr>
        <w:t>分。</w:t>
      </w:r>
      <w:r w:rsidRPr="006A5D3A">
        <w:rPr>
          <w:rFonts w:cs="Times New Roman" w:hint="eastAsia"/>
        </w:rPr>
        <w:t>“环境效益”要求从</w:t>
      </w:r>
      <w:r w:rsidRPr="006A5D3A">
        <w:rPr>
          <w:rFonts w:hAnsi="宋体" w:hint="eastAsia"/>
        </w:rPr>
        <w:t>降碳效益、减污效益等</w:t>
      </w:r>
      <w:r w:rsidR="001B5284">
        <w:rPr>
          <w:rFonts w:cs="Times New Roman" w:hint="eastAsia"/>
        </w:rPr>
        <w:t>多个</w:t>
      </w:r>
      <w:r w:rsidRPr="006A5D3A">
        <w:rPr>
          <w:rFonts w:cs="Times New Roman" w:hint="eastAsia"/>
        </w:rPr>
        <w:t>方面进行评价，总分</w:t>
      </w:r>
      <w:r w:rsidR="001B5284">
        <w:rPr>
          <w:rFonts w:cs="Times New Roman"/>
        </w:rPr>
        <w:t>5</w:t>
      </w:r>
      <w:r w:rsidRPr="006A5D3A">
        <w:rPr>
          <w:rFonts w:cs="Times New Roman" w:hint="eastAsia"/>
        </w:rPr>
        <w:t>分。</w:t>
      </w:r>
    </w:p>
    <w:p w:rsidR="007E24A2" w:rsidRPr="006A5D3A" w:rsidRDefault="00D91CD7">
      <w:pPr>
        <w:spacing w:beforeLines="0" w:afterLines="0" w:line="360" w:lineRule="auto"/>
        <w:ind w:firstLineChars="200" w:firstLine="480"/>
        <w:rPr>
          <w:rFonts w:cs="Times New Roman"/>
        </w:rPr>
      </w:pPr>
      <w:r w:rsidRPr="006A5D3A">
        <w:rPr>
          <w:rFonts w:cs="Times New Roman" w:hint="eastAsia"/>
        </w:rPr>
        <w:t>“业务表现”分为了“发展能力”和“市场影响”</w:t>
      </w:r>
      <w:r w:rsidRPr="006A5D3A">
        <w:rPr>
          <w:rFonts w:cs="Times New Roman"/>
        </w:rPr>
        <w:t>2</w:t>
      </w:r>
      <w:r w:rsidRPr="006A5D3A">
        <w:rPr>
          <w:rFonts w:cs="Times New Roman" w:hint="eastAsia"/>
        </w:rPr>
        <w:t>个二级指标，重点体现绿色产业企业提供相关产品或服务的发展趋势和市场影响力。“发展能力”要求</w:t>
      </w:r>
      <w:r w:rsidRPr="006A5D3A">
        <w:rPr>
          <w:rFonts w:hint="eastAsia"/>
        </w:rPr>
        <w:t>从团队技术实力、研发投入、</w:t>
      </w:r>
      <w:r w:rsidR="003C7959">
        <w:rPr>
          <w:rFonts w:hint="eastAsia"/>
        </w:rPr>
        <w:t>运营效益水平</w:t>
      </w:r>
      <w:r w:rsidRPr="006A5D3A">
        <w:t>3</w:t>
      </w:r>
      <w:r w:rsidRPr="006A5D3A">
        <w:rPr>
          <w:rFonts w:hint="eastAsia"/>
        </w:rPr>
        <w:t>个方面进行评价，总分</w:t>
      </w:r>
      <w:r w:rsidR="001B5284">
        <w:t>22</w:t>
      </w:r>
      <w:r w:rsidRPr="006A5D3A">
        <w:rPr>
          <w:rFonts w:hint="eastAsia"/>
        </w:rPr>
        <w:t>分。</w:t>
      </w:r>
      <w:r w:rsidRPr="006A5D3A">
        <w:rPr>
          <w:rFonts w:cs="Times New Roman" w:hint="eastAsia"/>
        </w:rPr>
        <w:t>“市场影响”要求</w:t>
      </w:r>
      <w:r w:rsidRPr="006A5D3A">
        <w:rPr>
          <w:rFonts w:hint="eastAsia"/>
        </w:rPr>
        <w:t>从市场竞争力、产业影响力、行业资质荣誉</w:t>
      </w:r>
      <w:r w:rsidR="001B5284">
        <w:rPr>
          <w:rFonts w:hint="eastAsia"/>
        </w:rPr>
        <w:t>和客户满意度</w:t>
      </w:r>
      <w:r w:rsidR="001B5284">
        <w:t>4</w:t>
      </w:r>
      <w:r w:rsidRPr="006A5D3A">
        <w:rPr>
          <w:rFonts w:hint="eastAsia"/>
        </w:rPr>
        <w:t>个方面进行评价，总分</w:t>
      </w:r>
      <w:r w:rsidR="001B5284">
        <w:t>32</w:t>
      </w:r>
      <w:r w:rsidRPr="006A5D3A">
        <w:rPr>
          <w:rFonts w:hint="eastAsia"/>
        </w:rPr>
        <w:t>分。</w:t>
      </w:r>
    </w:p>
    <w:p w:rsidR="007E24A2" w:rsidRDefault="00D91CD7">
      <w:pPr>
        <w:spacing w:beforeLines="0" w:afterLines="0" w:line="360" w:lineRule="auto"/>
        <w:ind w:firstLineChars="200" w:firstLine="480"/>
      </w:pPr>
      <w:r w:rsidRPr="006A5D3A">
        <w:rPr>
          <w:rFonts w:cs="Times New Roman" w:hint="eastAsia"/>
        </w:rPr>
        <w:t>“社会表现”分为了“内部行动”和“社会责任”</w:t>
      </w:r>
      <w:r w:rsidRPr="006A5D3A">
        <w:rPr>
          <w:rFonts w:cs="Times New Roman"/>
        </w:rPr>
        <w:t>2</w:t>
      </w:r>
      <w:r w:rsidRPr="006A5D3A">
        <w:rPr>
          <w:rFonts w:cs="Times New Roman" w:hint="eastAsia"/>
        </w:rPr>
        <w:t>个二级指标，引导绿色产业企业贴合国家政策，开展信息披露，强化员工绿色低碳意识，展现社会责任。“内部行动”要求</w:t>
      </w:r>
      <w:r w:rsidRPr="006A5D3A">
        <w:rPr>
          <w:rFonts w:hint="eastAsia"/>
        </w:rPr>
        <w:t>从</w:t>
      </w:r>
      <w:r w:rsidR="00D3601B" w:rsidRPr="006A5D3A">
        <w:rPr>
          <w:rFonts w:hint="eastAsia"/>
        </w:rPr>
        <w:t>绿色发展行动、</w:t>
      </w:r>
      <w:r w:rsidRPr="006A5D3A">
        <w:rPr>
          <w:rFonts w:hint="eastAsia"/>
        </w:rPr>
        <w:t>信息披露、低碳培训进行评价，总分</w:t>
      </w:r>
      <w:r w:rsidR="001B5284">
        <w:t>10</w:t>
      </w:r>
      <w:r w:rsidRPr="006A5D3A">
        <w:rPr>
          <w:rFonts w:hint="eastAsia"/>
        </w:rPr>
        <w:t>分。</w:t>
      </w:r>
      <w:r w:rsidRPr="006A5D3A">
        <w:rPr>
          <w:rFonts w:cs="Times New Roman" w:hint="eastAsia"/>
        </w:rPr>
        <w:t>“社会责任”要求</w:t>
      </w:r>
      <w:r w:rsidRPr="006A5D3A">
        <w:rPr>
          <w:rFonts w:hint="eastAsia"/>
        </w:rPr>
        <w:t>从举办公共关系和社会公益责任、</w:t>
      </w:r>
      <w:r w:rsidR="001B5284" w:rsidRPr="001B5284">
        <w:rPr>
          <w:rFonts w:hint="eastAsia"/>
        </w:rPr>
        <w:t>企事业单位社会信用记录的情况</w:t>
      </w:r>
      <w:r w:rsidRPr="006A5D3A">
        <w:t>2</w:t>
      </w:r>
      <w:r w:rsidRPr="006A5D3A">
        <w:rPr>
          <w:rFonts w:hint="eastAsia"/>
        </w:rPr>
        <w:t>个方面进行评价，总分</w:t>
      </w:r>
      <w:r w:rsidR="001B5284">
        <w:t>8</w:t>
      </w:r>
      <w:r w:rsidRPr="006A5D3A">
        <w:rPr>
          <w:rFonts w:hint="eastAsia"/>
        </w:rPr>
        <w:t>分。</w:t>
      </w:r>
    </w:p>
    <w:p w:rsidR="007E24A2" w:rsidRDefault="00D91CD7">
      <w:pPr>
        <w:spacing w:beforeLines="0" w:afterLines="0" w:line="360" w:lineRule="auto"/>
        <w:ind w:firstLineChars="200" w:firstLine="480"/>
        <w:rPr>
          <w:rFonts w:cs="Times New Roman"/>
        </w:rPr>
      </w:pPr>
      <w:r>
        <w:rPr>
          <w:rFonts w:cs="Times New Roman" w:hint="eastAsia"/>
        </w:rPr>
        <w:t>绿色低碳产业项目认定评价与绿色低碳产业企业认定评价体系保持一致，针对符合性评价分为“目录符合”和“技术符合”。其中，“目录符合”要求</w:t>
      </w:r>
      <w:r w:rsidR="00AB3814" w:rsidRPr="00AB3814">
        <w:rPr>
          <w:rFonts w:hint="eastAsia"/>
        </w:rPr>
        <w:t>申请认定评价的项目属于</w:t>
      </w:r>
      <w:r w:rsidR="001B5284">
        <w:rPr>
          <w:rFonts w:hint="eastAsia"/>
        </w:rPr>
        <w:t>绿色金融认证和评级</w:t>
      </w:r>
      <w:r w:rsidR="00AB3814" w:rsidRPr="00AB3814">
        <w:rPr>
          <w:rFonts w:hint="eastAsia"/>
        </w:rPr>
        <w:t>产业，或在当地具备一定市场规模，经相关政府职能部门认可的其他相关行业，且符合安全、环保、质量相关法规政策、强制性标准等要求</w:t>
      </w:r>
      <w:r>
        <w:rPr>
          <w:rFonts w:cs="Times New Roman" w:hint="eastAsia"/>
        </w:rPr>
        <w:t>。“技术符合”则要求</w:t>
      </w:r>
      <w:r w:rsidR="00AB3814" w:rsidRPr="00AB3814">
        <w:rPr>
          <w:rFonts w:cs="Times New Roman" w:hint="eastAsia"/>
        </w:rPr>
        <w:t>提供的产品或服务应符合国家及各省市相关主管部门发布文件列明的有关设计、能效、性能、安全、贮存、回收、标识、验收、管理和运维等技术要求</w:t>
      </w:r>
      <w:r w:rsidR="00AB3814">
        <w:rPr>
          <w:rFonts w:cs="Times New Roman" w:hint="eastAsia"/>
        </w:rPr>
        <w:t>。</w:t>
      </w:r>
    </w:p>
    <w:p w:rsidR="007E24A2" w:rsidRDefault="00D91CD7">
      <w:pPr>
        <w:pStyle w:val="2"/>
        <w:numPr>
          <w:ilvl w:val="0"/>
          <w:numId w:val="5"/>
        </w:numPr>
        <w:spacing w:line="360" w:lineRule="auto"/>
        <w:ind w:firstLineChars="0" w:firstLine="569"/>
        <w:rPr>
          <w:rFonts w:ascii="Times New Roman" w:hAnsi="Times New Roman" w:cs="Times New Roman"/>
          <w:sz w:val="24"/>
        </w:rPr>
      </w:pPr>
      <w:bookmarkStart w:id="60" w:name="_Toc80949175"/>
      <w:bookmarkStart w:id="61" w:name="_Toc21997"/>
      <w:bookmarkStart w:id="62" w:name="_Toc1506"/>
      <w:bookmarkStart w:id="63" w:name="_Toc14855"/>
      <w:bookmarkStart w:id="64" w:name="_Toc28281"/>
      <w:r>
        <w:rPr>
          <w:rFonts w:ascii="Times New Roman" w:hAnsi="Times New Roman" w:cs="Times New Roman"/>
          <w:sz w:val="24"/>
        </w:rPr>
        <w:t>评价程序</w:t>
      </w:r>
      <w:bookmarkEnd w:id="60"/>
      <w:bookmarkEnd w:id="61"/>
      <w:bookmarkEnd w:id="62"/>
      <w:bookmarkEnd w:id="63"/>
      <w:bookmarkEnd w:id="64"/>
    </w:p>
    <w:p w:rsidR="007E24A2" w:rsidRDefault="00D91CD7">
      <w:pPr>
        <w:spacing w:beforeLines="0" w:afterLines="0" w:line="360" w:lineRule="auto"/>
        <w:rPr>
          <w:rFonts w:cs="Times New Roman"/>
        </w:rPr>
      </w:pPr>
      <w:r>
        <w:rPr>
          <w:rFonts w:cs="Times New Roman" w:hint="eastAsia"/>
        </w:rPr>
        <w:t>本文件</w:t>
      </w:r>
      <w:r>
        <w:rPr>
          <w:rFonts w:cs="Times New Roman"/>
        </w:rPr>
        <w:t>将评价程序划分为</w:t>
      </w:r>
      <w:r>
        <w:rPr>
          <w:rFonts w:cs="Times New Roman" w:hint="eastAsia"/>
        </w:rPr>
        <w:t>成立工作组、收集资料、编制报告</w:t>
      </w:r>
      <w:r>
        <w:rPr>
          <w:rFonts w:cs="Times New Roman"/>
        </w:rPr>
        <w:t>和</w:t>
      </w:r>
      <w:r>
        <w:rPr>
          <w:rFonts w:cs="Times New Roman" w:hint="eastAsia"/>
        </w:rPr>
        <w:t>认定评审</w:t>
      </w:r>
      <w:r>
        <w:rPr>
          <w:rFonts w:cs="Times New Roman" w:hint="eastAsia"/>
        </w:rPr>
        <w:t>4</w:t>
      </w:r>
      <w:r>
        <w:rPr>
          <w:rFonts w:cs="Times New Roman" w:hint="eastAsia"/>
        </w:rPr>
        <w:t>个部分，对</w:t>
      </w:r>
      <w:r w:rsidR="001B5284">
        <w:rPr>
          <w:rFonts w:cs="Times New Roman" w:hint="eastAsia"/>
        </w:rPr>
        <w:t>绿色金融认证和评级</w:t>
      </w:r>
      <w:r>
        <w:rPr>
          <w:rFonts w:cs="Times New Roman" w:hint="eastAsia"/>
        </w:rPr>
        <w:t>产业认定评价工作前、中、后涉及的环节要点进行了明确。</w:t>
      </w:r>
    </w:p>
    <w:p w:rsidR="007E24A2" w:rsidRDefault="00D91CD7">
      <w:pPr>
        <w:spacing w:beforeLines="0" w:afterLines="0" w:line="360" w:lineRule="auto"/>
        <w:rPr>
          <w:rFonts w:ascii="宋体" w:hAnsi="宋体"/>
        </w:rPr>
      </w:pPr>
      <w:r>
        <w:rPr>
          <w:rFonts w:ascii="宋体" w:hAnsi="宋体" w:hint="eastAsia"/>
        </w:rPr>
        <w:t>“成立工作组”明确了企事业单位或项目主体成立绿色低碳产业认定申报工作组，负责具体协调、组织和实施绿色低碳产业认定申报工作。要求工作组成员应满足具有</w:t>
      </w:r>
      <w:r w:rsidR="001B5284">
        <w:rPr>
          <w:rFonts w:ascii="宋体" w:hAnsi="宋体" w:hint="eastAsia"/>
        </w:rPr>
        <w:t>绿色金融认证和评级</w:t>
      </w:r>
      <w:r>
        <w:rPr>
          <w:rFonts w:ascii="宋体" w:hAnsi="宋体" w:hint="eastAsia"/>
        </w:rPr>
        <w:t>、环境、财务等相关专业背景；熟悉掌握绿色低碳产业认定评价方法和步骤；具备良好的沟通协调能力和文字表达能力。</w:t>
      </w:r>
    </w:p>
    <w:p w:rsidR="007E24A2" w:rsidRDefault="00D91CD7">
      <w:pPr>
        <w:spacing w:beforeLines="0" w:afterLines="0" w:line="360" w:lineRule="auto"/>
        <w:rPr>
          <w:rFonts w:cs="Times New Roman"/>
        </w:rPr>
      </w:pPr>
      <w:r>
        <w:rPr>
          <w:rFonts w:cs="Times New Roman" w:hint="eastAsia"/>
        </w:rPr>
        <w:t>“收集资料”</w:t>
      </w:r>
      <w:r>
        <w:rPr>
          <w:rFonts w:ascii="宋体" w:hAnsi="宋体" w:hint="eastAsia"/>
        </w:rPr>
        <w:t>基本匹配评价指标要求，对符合性评价、综合评价的各评价指标对</w:t>
      </w:r>
      <w:r>
        <w:rPr>
          <w:rFonts w:ascii="宋体" w:hAnsi="宋体" w:hint="eastAsia"/>
        </w:rPr>
        <w:lastRenderedPageBreak/>
        <w:t>应的证明材料类型予以明确。</w:t>
      </w:r>
    </w:p>
    <w:p w:rsidR="007E24A2" w:rsidRDefault="00D91CD7">
      <w:pPr>
        <w:spacing w:beforeLines="0" w:afterLines="0" w:line="360" w:lineRule="auto"/>
        <w:rPr>
          <w:rFonts w:cs="Times New Roman"/>
        </w:rPr>
      </w:pPr>
      <w:r>
        <w:rPr>
          <w:rFonts w:cs="Times New Roman" w:hint="eastAsia"/>
        </w:rPr>
        <w:t>“编制报告”明确了绿色低碳产业认定评价报告的内容要求，并给出了评价报告模板，要求内容包括但不限于：（</w:t>
      </w:r>
      <w:r>
        <w:rPr>
          <w:rFonts w:cs="Times New Roman" w:hint="eastAsia"/>
        </w:rPr>
        <w:t>1</w:t>
      </w:r>
      <w:r>
        <w:rPr>
          <w:rFonts w:cs="Times New Roman" w:hint="eastAsia"/>
        </w:rPr>
        <w:t>）基本信息表，</w:t>
      </w:r>
      <w:r>
        <w:rPr>
          <w:rFonts w:ascii="宋体" w:hAnsi="宋体" w:hint="eastAsia"/>
        </w:rPr>
        <w:t>基本信息表，包括企事业单位或项目基本信息</w:t>
      </w:r>
      <w:r>
        <w:rPr>
          <w:rFonts w:cs="Times New Roman" w:hint="eastAsia"/>
        </w:rPr>
        <w:t>；（</w:t>
      </w:r>
      <w:r>
        <w:rPr>
          <w:rFonts w:cs="Times New Roman" w:hint="eastAsia"/>
        </w:rPr>
        <w:t>2</w:t>
      </w:r>
      <w:r>
        <w:rPr>
          <w:rFonts w:cs="Times New Roman" w:hint="eastAsia"/>
        </w:rPr>
        <w:t>）基本情况，</w:t>
      </w:r>
      <w:r>
        <w:rPr>
          <w:rFonts w:ascii="宋体" w:hAnsi="宋体" w:hint="eastAsia"/>
        </w:rPr>
        <w:t>概述企事业单位或项目发展现状以及在绿色低碳方面开展的重点工作</w:t>
      </w:r>
      <w:r>
        <w:rPr>
          <w:rFonts w:cs="Times New Roman" w:hint="eastAsia"/>
        </w:rPr>
        <w:t>；（</w:t>
      </w:r>
      <w:r>
        <w:rPr>
          <w:rFonts w:cs="Times New Roman" w:hint="eastAsia"/>
        </w:rPr>
        <w:t>3</w:t>
      </w:r>
      <w:r>
        <w:rPr>
          <w:rFonts w:cs="Times New Roman" w:hint="eastAsia"/>
        </w:rPr>
        <w:t>）</w:t>
      </w:r>
      <w:r>
        <w:rPr>
          <w:rFonts w:ascii="宋体" w:hAnsi="宋体" w:hint="eastAsia"/>
        </w:rPr>
        <w:t>评价工作，概述绿色低碳产业认定评价工作具体开展情况；</w:t>
      </w:r>
      <w:r>
        <w:rPr>
          <w:rFonts w:cs="Times New Roman" w:hint="eastAsia"/>
        </w:rPr>
        <w:t>（</w:t>
      </w:r>
      <w:r>
        <w:rPr>
          <w:rFonts w:cs="Times New Roman" w:hint="eastAsia"/>
        </w:rPr>
        <w:t>4</w:t>
      </w:r>
      <w:r>
        <w:rPr>
          <w:rFonts w:cs="Times New Roman" w:hint="eastAsia"/>
        </w:rPr>
        <w:t>）</w:t>
      </w:r>
      <w:r>
        <w:rPr>
          <w:rFonts w:ascii="宋体" w:hAnsi="宋体" w:hint="eastAsia"/>
        </w:rPr>
        <w:t>认定情况，对符合性评价要求及综合评价要求等内容进行具体描述</w:t>
      </w:r>
      <w:r>
        <w:rPr>
          <w:rFonts w:cs="Times New Roman" w:hint="eastAsia"/>
        </w:rPr>
        <w:t>；（</w:t>
      </w:r>
      <w:r>
        <w:rPr>
          <w:rFonts w:cs="Times New Roman" w:hint="eastAsia"/>
        </w:rPr>
        <w:t>5</w:t>
      </w:r>
      <w:r>
        <w:rPr>
          <w:rFonts w:cs="Times New Roman" w:hint="eastAsia"/>
        </w:rPr>
        <w:t>）</w:t>
      </w:r>
      <w:r>
        <w:rPr>
          <w:rFonts w:ascii="宋体" w:hAnsi="宋体" w:hint="eastAsia"/>
        </w:rPr>
        <w:t>评价表，对符合性评价及综合评价指标得分情况进行量化；（6）</w:t>
      </w:r>
      <w:r>
        <w:rPr>
          <w:rFonts w:cs="Times New Roman" w:hint="eastAsia"/>
        </w:rPr>
        <w:t>相关支持材料。</w:t>
      </w:r>
    </w:p>
    <w:p w:rsidR="007E24A2" w:rsidRDefault="00D91CD7">
      <w:pPr>
        <w:spacing w:beforeLines="0" w:afterLines="0" w:line="360" w:lineRule="auto"/>
        <w:rPr>
          <w:rFonts w:ascii="宋体" w:hAnsi="宋体"/>
        </w:rPr>
      </w:pPr>
      <w:r>
        <w:rPr>
          <w:rFonts w:ascii="宋体" w:hAnsi="宋体" w:hint="eastAsia"/>
        </w:rPr>
        <w:t>“认定评审”明确了绿色产业认定评价工作最终需组织专家对绿色低碳产业认定相关申报材料进行评审，对照本文件规定的绿色低碳产业认定评价指标体系要求以及申报单位提供的佐证材料进行打分，根据</w:t>
      </w:r>
      <w:r w:rsidR="001B5284">
        <w:rPr>
          <w:rFonts w:ascii="宋体" w:hAnsi="宋体" w:hint="eastAsia"/>
        </w:rPr>
        <w:t>绿色金融认证和评级</w:t>
      </w:r>
      <w:r>
        <w:rPr>
          <w:rFonts w:ascii="宋体" w:hAnsi="宋体" w:hint="eastAsia"/>
        </w:rPr>
        <w:t>领域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rsidR="007E24A2" w:rsidRDefault="00D91CD7">
      <w:pPr>
        <w:pStyle w:val="2"/>
        <w:numPr>
          <w:ilvl w:val="0"/>
          <w:numId w:val="5"/>
        </w:numPr>
        <w:spacing w:line="240" w:lineRule="auto"/>
        <w:ind w:firstLine="482"/>
        <w:rPr>
          <w:rFonts w:ascii="Times New Roman" w:hAnsi="Times New Roman" w:cs="Times New Roman"/>
          <w:sz w:val="24"/>
        </w:rPr>
      </w:pPr>
      <w:bookmarkStart w:id="65" w:name="_Toc4956"/>
      <w:bookmarkStart w:id="66" w:name="_Toc278"/>
      <w:bookmarkStart w:id="67" w:name="_Toc80949176"/>
      <w:bookmarkStart w:id="68" w:name="_Toc20935"/>
      <w:bookmarkStart w:id="69" w:name="_Toc17608"/>
      <w:r>
        <w:rPr>
          <w:rFonts w:ascii="Times New Roman" w:hAnsi="Times New Roman" w:cs="Times New Roman" w:hint="eastAsia"/>
          <w:sz w:val="24"/>
        </w:rPr>
        <w:t>附录</w:t>
      </w:r>
      <w:bookmarkEnd w:id="65"/>
      <w:bookmarkEnd w:id="66"/>
      <w:bookmarkEnd w:id="67"/>
      <w:bookmarkEnd w:id="68"/>
      <w:bookmarkEnd w:id="69"/>
    </w:p>
    <w:p w:rsidR="007E24A2" w:rsidRDefault="00D91CD7">
      <w:pPr>
        <w:spacing w:beforeLines="0" w:afterLines="0" w:line="360" w:lineRule="auto"/>
        <w:rPr>
          <w:rFonts w:cs="Times New Roman"/>
        </w:rPr>
      </w:pPr>
      <w:r>
        <w:rPr>
          <w:rFonts w:cs="Times New Roman"/>
        </w:rPr>
        <w:t>本</w:t>
      </w:r>
      <w:r>
        <w:rPr>
          <w:rFonts w:cs="Times New Roman" w:hint="eastAsia"/>
        </w:rPr>
        <w:t>文件</w:t>
      </w:r>
      <w:r>
        <w:rPr>
          <w:rFonts w:cs="Times New Roman"/>
        </w:rPr>
        <w:t>给出了</w:t>
      </w:r>
      <w:r w:rsidR="001B5284">
        <w:rPr>
          <w:rFonts w:cs="Times New Roman"/>
        </w:rPr>
        <w:t>3</w:t>
      </w:r>
      <w:r>
        <w:rPr>
          <w:rFonts w:cs="Times New Roman" w:hint="eastAsia"/>
        </w:rPr>
        <w:t>个附录，附录</w:t>
      </w:r>
      <w:r>
        <w:rPr>
          <w:rFonts w:cs="Times New Roman" w:hint="eastAsia"/>
        </w:rPr>
        <w:t>A</w:t>
      </w:r>
      <w:r>
        <w:rPr>
          <w:rFonts w:cs="Times New Roman" w:hint="eastAsia"/>
        </w:rPr>
        <w:t>为</w:t>
      </w:r>
      <w:r w:rsidR="001B5284">
        <w:rPr>
          <w:rFonts w:cs="Times New Roman" w:hint="eastAsia"/>
        </w:rPr>
        <w:t>绿色金融认证和评级</w:t>
      </w:r>
      <w:r>
        <w:rPr>
          <w:rFonts w:hAnsi="宋体" w:hint="eastAsia"/>
        </w:rPr>
        <w:t>领域</w:t>
      </w:r>
      <w:r>
        <w:rPr>
          <w:rFonts w:ascii="宋体" w:hAnsi="宋体" w:hint="eastAsia"/>
        </w:rPr>
        <w:t>绿色低碳产业关键技术先进性评价指标，按照细分行业给出不同行业的具体评价内容、评价方法和评价依据。</w:t>
      </w:r>
    </w:p>
    <w:p w:rsidR="007E24A2" w:rsidRDefault="00D91CD7">
      <w:pPr>
        <w:spacing w:beforeLines="0" w:afterLines="0" w:line="360" w:lineRule="auto"/>
        <w:rPr>
          <w:rFonts w:cs="Times New Roman"/>
        </w:rPr>
      </w:pPr>
      <w:r>
        <w:rPr>
          <w:rFonts w:cs="Times New Roman"/>
        </w:rPr>
        <w:t>附录</w:t>
      </w:r>
      <w:r w:rsidR="001B5284">
        <w:rPr>
          <w:rFonts w:cs="Times New Roman"/>
        </w:rPr>
        <w:t>B</w:t>
      </w:r>
      <w:r>
        <w:rPr>
          <w:rFonts w:cs="Times New Roman"/>
        </w:rPr>
        <w:t>为</w:t>
      </w:r>
      <w:r w:rsidR="001B5284">
        <w:rPr>
          <w:rFonts w:cs="Times New Roman" w:hint="eastAsia"/>
        </w:rPr>
        <w:t>绿色金融认证和评级</w:t>
      </w:r>
      <w:r>
        <w:rPr>
          <w:rFonts w:cs="Times New Roman" w:hint="eastAsia"/>
        </w:rPr>
        <w:t>领域绿色低碳</w:t>
      </w:r>
      <w:r>
        <w:rPr>
          <w:rFonts w:cs="Times New Roman"/>
        </w:rPr>
        <w:t>产业认定评价报告模板</w:t>
      </w:r>
      <w:r>
        <w:rPr>
          <w:rFonts w:cs="Times New Roman" w:hint="eastAsia"/>
        </w:rPr>
        <w:t>，从封面、基本信息、基本情况概述、绿色产业认定情况、评分表、评价结论、附录等方面指导申报单位填报申报信息。</w:t>
      </w:r>
    </w:p>
    <w:p w:rsidR="007E24A2" w:rsidRDefault="00D91CD7">
      <w:pPr>
        <w:spacing w:beforeLines="0" w:afterLines="0" w:line="360" w:lineRule="auto"/>
        <w:rPr>
          <w:rFonts w:cs="Times New Roman"/>
        </w:rPr>
      </w:pPr>
      <w:r>
        <w:rPr>
          <w:rFonts w:cs="Times New Roman" w:hint="eastAsia"/>
        </w:rPr>
        <w:t>附录</w:t>
      </w:r>
      <w:r w:rsidR="001B5284">
        <w:rPr>
          <w:rFonts w:cs="Times New Roman"/>
        </w:rPr>
        <w:t>C</w:t>
      </w:r>
      <w:r>
        <w:rPr>
          <w:rFonts w:cs="Times New Roman" w:hint="eastAsia"/>
        </w:rPr>
        <w:t>为绿色低碳产业企业认定评价</w:t>
      </w:r>
      <w:r w:rsidR="00957B3F">
        <w:rPr>
          <w:rFonts w:cs="Times New Roman" w:hint="eastAsia"/>
        </w:rPr>
        <w:t>指标表。其中</w:t>
      </w:r>
      <w:bookmarkStart w:id="70" w:name="_GoBack"/>
      <w:bookmarkEnd w:id="70"/>
      <w:r>
        <w:rPr>
          <w:rFonts w:cs="Times New Roman" w:hint="eastAsia"/>
        </w:rPr>
        <w:t>符合性指标的得分为是</w:t>
      </w:r>
      <w:r>
        <w:rPr>
          <w:rFonts w:cs="Times New Roman" w:hint="eastAsia"/>
        </w:rPr>
        <w:t>/</w:t>
      </w:r>
      <w:r>
        <w:rPr>
          <w:rFonts w:cs="Times New Roman" w:hint="eastAsia"/>
        </w:rPr>
        <w:t>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rsidR="007E24A2" w:rsidRDefault="00D91CD7">
      <w:pPr>
        <w:pStyle w:val="1"/>
        <w:numPr>
          <w:ilvl w:val="0"/>
          <w:numId w:val="3"/>
        </w:numPr>
        <w:spacing w:line="360" w:lineRule="auto"/>
        <w:ind w:left="0" w:firstLineChars="0" w:firstLine="0"/>
        <w:rPr>
          <w:rFonts w:cs="Times New Roman"/>
          <w:sz w:val="24"/>
        </w:rPr>
      </w:pPr>
      <w:bookmarkStart w:id="71" w:name="_Toc16524"/>
      <w:bookmarkStart w:id="72" w:name="_Toc80949177"/>
      <w:bookmarkStart w:id="73" w:name="_Toc28107"/>
      <w:bookmarkStart w:id="74" w:name="_Toc22127"/>
      <w:bookmarkStart w:id="75" w:name="_Toc1945"/>
      <w:r>
        <w:rPr>
          <w:rFonts w:cs="Times New Roman" w:hint="eastAsia"/>
          <w:sz w:val="24"/>
        </w:rPr>
        <w:lastRenderedPageBreak/>
        <w:t>是否涉及专利</w:t>
      </w:r>
      <w:bookmarkEnd w:id="71"/>
      <w:bookmarkEnd w:id="72"/>
      <w:bookmarkEnd w:id="73"/>
      <w:bookmarkEnd w:id="74"/>
      <w:bookmarkEnd w:id="75"/>
    </w:p>
    <w:p w:rsidR="007E24A2" w:rsidRDefault="00D91CD7">
      <w:pPr>
        <w:spacing w:beforeLines="0" w:afterLines="0" w:line="360" w:lineRule="auto"/>
        <w:ind w:firstLineChars="200" w:firstLine="480"/>
        <w:rPr>
          <w:rFonts w:cs="Times New Roman"/>
        </w:rPr>
      </w:pPr>
      <w:r>
        <w:rPr>
          <w:rFonts w:cs="Times New Roman" w:hint="eastAsia"/>
        </w:rPr>
        <w:t>否</w:t>
      </w:r>
    </w:p>
    <w:p w:rsidR="007E24A2" w:rsidRDefault="00D91CD7">
      <w:pPr>
        <w:pStyle w:val="1"/>
        <w:numPr>
          <w:ilvl w:val="0"/>
          <w:numId w:val="3"/>
        </w:numPr>
        <w:spacing w:line="360" w:lineRule="auto"/>
        <w:ind w:left="0" w:firstLineChars="0" w:firstLine="0"/>
        <w:rPr>
          <w:rFonts w:cs="Times New Roman"/>
          <w:sz w:val="24"/>
        </w:rPr>
      </w:pPr>
      <w:bookmarkStart w:id="76" w:name="_Toc28770"/>
      <w:bookmarkStart w:id="77" w:name="_Toc411"/>
      <w:bookmarkStart w:id="78" w:name="_Toc19283"/>
      <w:bookmarkStart w:id="79" w:name="_Toc80949178"/>
      <w:bookmarkStart w:id="80" w:name="_Toc12053"/>
      <w:r>
        <w:rPr>
          <w:rFonts w:cs="Times New Roman"/>
          <w:sz w:val="24"/>
        </w:rPr>
        <w:t>与有关的现行法律、法规和强制性国家标准的关系</w:t>
      </w:r>
      <w:bookmarkEnd w:id="76"/>
      <w:bookmarkEnd w:id="77"/>
      <w:bookmarkEnd w:id="78"/>
      <w:bookmarkEnd w:id="79"/>
      <w:bookmarkEnd w:id="80"/>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pStyle w:val="1"/>
        <w:numPr>
          <w:ilvl w:val="0"/>
          <w:numId w:val="3"/>
        </w:numPr>
        <w:spacing w:line="360" w:lineRule="auto"/>
        <w:ind w:left="567" w:firstLineChars="0"/>
        <w:rPr>
          <w:rFonts w:ascii="宋体" w:hAnsi="宋体"/>
          <w:sz w:val="24"/>
        </w:rPr>
      </w:pPr>
      <w:bookmarkStart w:id="81" w:name="_Toc18447"/>
      <w:bookmarkStart w:id="82" w:name="_Toc19442"/>
      <w:bookmarkStart w:id="83" w:name="_Toc23292"/>
      <w:bookmarkStart w:id="84" w:name="_Toc80949179"/>
      <w:bookmarkStart w:id="85" w:name="_Toc17284"/>
      <w:r>
        <w:rPr>
          <w:rFonts w:ascii="宋体" w:hAnsi="宋体" w:hint="eastAsia"/>
          <w:sz w:val="24"/>
        </w:rPr>
        <w:t xml:space="preserve">实施地方标准的措施建议 </w:t>
      </w:r>
    </w:p>
    <w:p w:rsidR="007E24A2" w:rsidRDefault="00D91CD7">
      <w:pPr>
        <w:spacing w:beforeLines="0" w:afterLines="0" w:line="360" w:lineRule="auto"/>
        <w:ind w:firstLineChars="200" w:firstLine="480"/>
        <w:rPr>
          <w:rFonts w:ascii="宋体" w:hAnsi="宋体"/>
        </w:rPr>
      </w:pPr>
      <w:r>
        <w:rPr>
          <w:rFonts w:ascii="宋体" w:hAnsi="宋体" w:hint="eastAsia"/>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rsidR="007E24A2" w:rsidRDefault="00D91CD7">
      <w:pPr>
        <w:pStyle w:val="1"/>
        <w:numPr>
          <w:ilvl w:val="0"/>
          <w:numId w:val="3"/>
        </w:numPr>
        <w:spacing w:line="360" w:lineRule="auto"/>
        <w:ind w:left="0" w:firstLineChars="0" w:firstLine="0"/>
        <w:rPr>
          <w:rFonts w:cs="Times New Roman"/>
          <w:sz w:val="24"/>
        </w:rPr>
      </w:pPr>
      <w:r>
        <w:rPr>
          <w:rFonts w:cs="Times New Roman" w:hint="eastAsia"/>
          <w:sz w:val="24"/>
        </w:rPr>
        <w:t>重大意见分歧的处理依据和结果</w:t>
      </w:r>
      <w:bookmarkEnd w:id="81"/>
      <w:bookmarkEnd w:id="82"/>
      <w:bookmarkEnd w:id="83"/>
      <w:bookmarkEnd w:id="84"/>
      <w:bookmarkEnd w:id="85"/>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spacing w:beforeLines="0" w:afterLines="0" w:line="360" w:lineRule="auto"/>
        <w:ind w:firstLineChars="0" w:firstLine="0"/>
        <w:jc w:val="right"/>
        <w:rPr>
          <w:rFonts w:cs="Times New Roman"/>
        </w:rPr>
      </w:pPr>
      <w:r>
        <w:rPr>
          <w:rFonts w:cs="Times New Roman"/>
        </w:rPr>
        <w:t xml:space="preserve">                                                                </w:t>
      </w:r>
      <w:r>
        <w:rPr>
          <w:rFonts w:cs="Times New Roman"/>
        </w:rPr>
        <w:t>标准</w:t>
      </w:r>
      <w:r>
        <w:rPr>
          <w:rFonts w:cs="Times New Roman" w:hint="eastAsia"/>
        </w:rPr>
        <w:t>编制</w:t>
      </w:r>
      <w:r>
        <w:rPr>
          <w:rFonts w:cs="Times New Roman"/>
        </w:rPr>
        <w:t>组</w:t>
      </w:r>
    </w:p>
    <w:p w:rsidR="007E24A2" w:rsidRDefault="001B5284">
      <w:pPr>
        <w:spacing w:beforeLines="0" w:afterLines="0" w:line="360" w:lineRule="auto"/>
        <w:jc w:val="right"/>
        <w:rPr>
          <w:rFonts w:cs="Times New Roman"/>
        </w:rPr>
      </w:pPr>
      <w:r>
        <w:rPr>
          <w:rFonts w:cs="Times New Roman"/>
        </w:rPr>
        <w:t>2025</w:t>
      </w:r>
      <w:r w:rsidR="00D3601B">
        <w:rPr>
          <w:rFonts w:cs="Times New Roman"/>
        </w:rPr>
        <w:t>年</w:t>
      </w:r>
      <w:r>
        <w:rPr>
          <w:rFonts w:cs="Times New Roman"/>
        </w:rPr>
        <w:t>3</w:t>
      </w:r>
      <w:r w:rsidR="00D91CD7">
        <w:rPr>
          <w:rFonts w:cs="Times New Roman"/>
        </w:rPr>
        <w:t>月</w:t>
      </w:r>
    </w:p>
    <w:sectPr w:rsidR="007E24A2">
      <w:headerReference w:type="even" r:id="rId10"/>
      <w:headerReference w:type="default" r:id="rId11"/>
      <w:footerReference w:type="even" r:id="rId12"/>
      <w:footerReference w:type="default" r:id="rId13"/>
      <w:headerReference w:type="first" r:id="rId14"/>
      <w:footerReference w:type="first" r:id="rId15"/>
      <w:pgSz w:w="11906" w:h="16838"/>
      <w:pgMar w:top="1247" w:right="1469" w:bottom="1247" w:left="1440" w:header="850"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09C5" w:rsidRDefault="009A09C5">
      <w:pPr>
        <w:spacing w:before="120" w:after="120" w:line="240" w:lineRule="auto"/>
      </w:pPr>
      <w:r>
        <w:separator/>
      </w:r>
    </w:p>
  </w:endnote>
  <w:endnote w:type="continuationSeparator" w:id="0">
    <w:p w:rsidR="009A09C5" w:rsidRDefault="009A09C5">
      <w:pPr>
        <w:spacing w:before="120"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roman"/>
    <w:pitch w:val="default"/>
    <w:sig w:usb0="00000000" w:usb1="00000000" w:usb2="00000016" w:usb3="00000000" w:csb0="0010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2"/>
      <w:spacing w:before="120" w:after="120"/>
      <w:ind w:firstLine="42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right="360" w:firstLine="425"/>
    </w:pPr>
    <w:r>
      <w:rPr>
        <w:noProof/>
        <w:lang w:val="en-US"/>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957B3F">
                            <w:rPr>
                              <w:noProof/>
                            </w:rPr>
                            <w:t>9</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rwrrAEAAD8DAAAOAAAAZHJzL2Uyb0RvYy54bWysUktu2zAQ3QfoHQjuaypeFIJgOUgQJAhQ&#10;tAWSHICmSIsAf+AwlnyB9gZdddN9z+VzZEhLTtrugmzI4czwzbx5s7oYrSE7GUF719LzRUWJdMJ3&#10;2m1b+vhw87GmBBJ3HTfeyZbuJdCL9Yez1RAaufS9N52MBEEcNENoaZ9SaBgD0UvLYeGDdBhUPlqe&#10;8Bm3rIt8QHRr2LKqPrHBxy5ELyQAeq+PQbou+EpJkb4qBTIR01LsLZUzlnOTT7Ze8WYbeei1mNrg&#10;b+jCcu2w6AnqmidOnqL+D8pqET14lRbCW+aV0kIWDsjmvPqHzX3PgyxccDgQTmOC94MVX3bfItFd&#10;S1Eoxy1KdPj54/Drz+H3d1Ln8QwBGsy6D5iXxis/osyzH9CZWY8q2nwjH4JxHPT+NFw5JiLyp3pZ&#10;1xWGBMbmB+Kzl+8hQrqV3pJstDSiemWofPcZ0jF1TsnVnL/RxhQFjfvLgZjZw3Lvxx6zlcbNOBHa&#10;+G6PfAYUvqUON5MSc+dwrnlHZiPOxmYycg0Il08JC5d+MuoRaiqGKhVG00blNXj9Llkve79+BgAA&#10;//8DAFBLAwQUAAYACAAAACEADErw7tYAAAAFAQAADwAAAGRycy9kb3ducmV2LnhtbEyPQWvDMAyF&#10;74P+B6PCbqvTHraQxSml0Etv68ZgNzdW4zBbDrabJv9+2hhsF6HHE0/fq7eTd2LEmPpACtarAgRS&#10;G0xPnYK318NDCSJlTUa7QKhgxgTbZnFX68qEG73geMqd4BBKlVZgcx4qKVNr0eu0CgMSe5cQvc4s&#10;YydN1DcO905uiuJRet0Tf7B6wL3F9vN09QqepveAQ8I9flzGNtp+Lt1xVup+Oe2eQWSc8t8xfOMz&#10;OjTMdA5XMkk4BVwk/0z2NmXJ8vy7yKaW/+mbLwAAAP//AwBQSwECLQAUAAYACAAAACEAtoM4kv4A&#10;AADhAQAAEwAAAAAAAAAAAAAAAAAAAAAAW0NvbnRlbnRfVHlwZXNdLnhtbFBLAQItABQABgAIAAAA&#10;IQA4/SH/1gAAAJQBAAALAAAAAAAAAAAAAAAAAC8BAABfcmVscy8ucmVsc1BLAQItABQABgAIAAAA&#10;IQDmwrwrrAEAAD8DAAAOAAAAAAAAAAAAAAAAAC4CAABkcnMvZTJvRG9jLnhtbFBLAQItABQABgAI&#10;AAAAIQAMSvDu1gAAAAUBAAAPAAAAAAAAAAAAAAAAAAYEAABkcnMvZG93bnJldi54bWxQSwUGAAAA&#10;AAQABADzAAAACQUAAAAA&#10;" filled="f" stroked="f">
              <v:textbox style="mso-fit-shape-to-text:t" inset="0,0,0,0">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957B3F">
                      <w:rPr>
                        <w:noProof/>
                      </w:rPr>
                      <w:t>9</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firstLine="425"/>
      <w:jc w:val="cen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rsidR="007E24A2" w:rsidRDefault="007E24A2">
                          <w:pPr>
                            <w:pStyle w:val="af2"/>
                            <w:spacing w:before="120" w:after="120"/>
                            <w:ind w:firstLine="425"/>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212.05pt;margin-top:-14.35pt;width:36.95pt;height:45.7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j1ogEAAB4DAAAOAAAAZHJzL2Uyb0RvYy54bWysUsFOGzEQvSP1HyzfiZdQAqyyiYQiqkoV&#10;INF+gOO1s5Zsj2W72c0PtH/AiQt3vivf0bFJQqG3isvseGb2+b03ns4Ha8hahqjBNfRkVFEinYBW&#10;u1VDf3y/Pr6gJCbuWm7AyYZuZKTz2aejae9rOYYOTCsDQRAX6943tEvJ14xF0UnL4wi8dNhUECxP&#10;eAwr1gbeI7o1bFxVE9ZDaH0AIWPE6uKlSWcFXykp0q1SUSZiGorcUomhxGWObDbl9Spw32mxo8H/&#10;g4Xl2uGlB6gFT5z8DPofKKtFgAgqjQRYBkppIYsGVHNSvVNz33EvixY0J/qDTfHjYMXN+i4Q3Tb0&#10;nBLHLa5o+/B7+/i8ffpFzrM9vY81Tt17nEvDFQy45n09YjGrHlSw+Yt6CPbR6M3BXDkkIrD4eXI5&#10;npxRIrB1dlGdXhbz2evPPsT0RYIlOWlowN0VS/n6W0xIBEf3I/kuB9famLI/494UcDBXWGb+wjBn&#10;aVgOReiB/RLaDYoyXx0amh/HPgn7ZLlL8u0ZA5dQeOweTN7y3+cy9fqsZ38AAAD//wMAUEsDBBQA&#10;BgAIAAAAIQCMl6Np4AAAAAoBAAAPAAAAZHJzL2Rvd25yZXYueG1sTI/BboMwEETvlfoP1lbqLTFB&#10;iBCKiaKqPVWqQuihR4MdsILXFDsJ/ftuTs1xtU8zb4rtbAd20ZM3DgWslhEwja1TBjsBX/X7IgPm&#10;g0QlB4dawK/2sC0fHwqZK3fFSl8OoWMUgj6XAvoQxpxz3/baSr90o0b6Hd1kZaBz6ria5JXC7cDj&#10;KEq5lQapoZejfu11ezqcrYDdN1Zv5uez2VfHytT1JsKP9CTE89O8ewEW9Bz+YbjpkzqU5NS4MyrP&#10;BgFJnKwIFbCIszUwIpJNRusaAWm8Bl4W/H5C+QcAAP//AwBQSwECLQAUAAYACAAAACEAtoM4kv4A&#10;AADhAQAAEwAAAAAAAAAAAAAAAAAAAAAAW0NvbnRlbnRfVHlwZXNdLnhtbFBLAQItABQABgAIAAAA&#10;IQA4/SH/1gAAAJQBAAALAAAAAAAAAAAAAAAAAC8BAABfcmVscy8ucmVsc1BLAQItABQABgAIAAAA&#10;IQDEdOj1ogEAAB4DAAAOAAAAAAAAAAAAAAAAAC4CAABkcnMvZTJvRG9jLnhtbFBLAQItABQABgAI&#10;AAAAIQCMl6Np4AAAAAoBAAAPAAAAAAAAAAAAAAAAAPwDAABkcnMvZG93bnJldi54bWxQSwUGAAAA&#10;AAQABADzAAAACQUAAAAA&#10;" filled="f" stroked="f">
              <v:textbox inset="0,0,0,0">
                <w:txbxContent>
                  <w:p w:rsidR="007E24A2" w:rsidRDefault="007E24A2">
                    <w:pPr>
                      <w:pStyle w:val="af2"/>
                      <w:spacing w:before="120" w:after="120"/>
                      <w:ind w:firstLine="425"/>
                    </w:pPr>
                  </w:p>
                </w:txbxContent>
              </v:textbox>
              <w10:wrap anchorx="margin"/>
            </v:shape>
          </w:pict>
        </mc:Fallback>
      </mc:AlternateContent>
    </w: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09C5" w:rsidRDefault="009A09C5">
      <w:pPr>
        <w:spacing w:before="120" w:after="120" w:line="240" w:lineRule="auto"/>
      </w:pPr>
      <w:r>
        <w:separator/>
      </w:r>
    </w:p>
  </w:footnote>
  <w:footnote w:type="continuationSeparator" w:id="0">
    <w:p w:rsidR="009A09C5" w:rsidRDefault="009A09C5">
      <w:pPr>
        <w:spacing w:before="120" w:after="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F1EFF"/>
    <w:multiLevelType w:val="multilevel"/>
    <w:tmpl w:val="146F1EFF"/>
    <w:lvl w:ilvl="0">
      <w:start w:val="1"/>
      <w:numFmt w:val="chineseCountingThousand"/>
      <w:lvlText w:val="%1、"/>
      <w:lvlJc w:val="left"/>
      <w:pPr>
        <w:ind w:left="989" w:hanging="420"/>
      </w:pPr>
    </w:lvl>
    <w:lvl w:ilvl="1">
      <w:start w:val="1"/>
      <w:numFmt w:val="lowerLetter"/>
      <w:lvlText w:val="%2)"/>
      <w:lvlJc w:val="left"/>
      <w:pPr>
        <w:ind w:left="1409" w:hanging="420"/>
      </w:pPr>
    </w:lvl>
    <w:lvl w:ilvl="2">
      <w:start w:val="1"/>
      <w:numFmt w:val="lowerRoman"/>
      <w:lvlText w:val="%3."/>
      <w:lvlJc w:val="right"/>
      <w:pPr>
        <w:ind w:left="1829" w:hanging="420"/>
      </w:pPr>
    </w:lvl>
    <w:lvl w:ilvl="3">
      <w:start w:val="1"/>
      <w:numFmt w:val="decimal"/>
      <w:lvlText w:val="%4."/>
      <w:lvlJc w:val="left"/>
      <w:pPr>
        <w:ind w:left="2249" w:hanging="420"/>
      </w:pPr>
    </w:lvl>
    <w:lvl w:ilvl="4">
      <w:start w:val="1"/>
      <w:numFmt w:val="lowerLetter"/>
      <w:lvlText w:val="%5)"/>
      <w:lvlJc w:val="left"/>
      <w:pPr>
        <w:ind w:left="2669" w:hanging="420"/>
      </w:pPr>
    </w:lvl>
    <w:lvl w:ilvl="5">
      <w:start w:val="1"/>
      <w:numFmt w:val="lowerRoman"/>
      <w:lvlText w:val="%6."/>
      <w:lvlJc w:val="right"/>
      <w:pPr>
        <w:ind w:left="3089" w:hanging="420"/>
      </w:pPr>
    </w:lvl>
    <w:lvl w:ilvl="6">
      <w:start w:val="1"/>
      <w:numFmt w:val="decimal"/>
      <w:lvlText w:val="%7."/>
      <w:lvlJc w:val="left"/>
      <w:pPr>
        <w:ind w:left="3509" w:hanging="420"/>
      </w:pPr>
    </w:lvl>
    <w:lvl w:ilvl="7">
      <w:start w:val="1"/>
      <w:numFmt w:val="lowerLetter"/>
      <w:lvlText w:val="%8)"/>
      <w:lvlJc w:val="left"/>
      <w:pPr>
        <w:ind w:left="3929" w:hanging="420"/>
      </w:pPr>
    </w:lvl>
    <w:lvl w:ilvl="8">
      <w:start w:val="1"/>
      <w:numFmt w:val="lowerRoman"/>
      <w:lvlText w:val="%9."/>
      <w:lvlJc w:val="right"/>
      <w:pPr>
        <w:ind w:left="4349" w:hanging="420"/>
      </w:pPr>
    </w:lvl>
  </w:abstractNum>
  <w:abstractNum w:abstractNumId="1" w15:restartNumberingAfterBreak="0">
    <w:nsid w:val="1FC91163"/>
    <w:multiLevelType w:val="multilevel"/>
    <w:tmpl w:val="1FC91163"/>
    <w:lvl w:ilvl="0">
      <w:start w:val="1"/>
      <w:numFmt w:val="decimal"/>
      <w:pStyle w:val="a"/>
      <w:suff w:val="nothing"/>
      <w:lvlText w:val="%1　"/>
      <w:lvlJc w:val="left"/>
      <w:rPr>
        <w:rFonts w:ascii="黑体" w:eastAsia="黑体" w:hAnsi="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C5917C3"/>
    <w:multiLevelType w:val="multilevel"/>
    <w:tmpl w:val="2C5917C3"/>
    <w:lvl w:ilvl="0">
      <w:start w:val="1"/>
      <w:numFmt w:val="none"/>
      <w:pStyle w:val="a5"/>
      <w:suff w:val="nothing"/>
      <w:lvlText w:val="%1——"/>
      <w:lvlJc w:val="left"/>
      <w:pPr>
        <w:ind w:left="1260" w:hanging="408"/>
      </w:pPr>
      <w:rPr>
        <w:rFonts w:hint="eastAsia"/>
      </w:rPr>
    </w:lvl>
    <w:lvl w:ilvl="1">
      <w:start w:val="3"/>
      <w:numFmt w:val="bullet"/>
      <w:pStyle w:val="a6"/>
      <w:lvlText w:val="-"/>
      <w:lvlJc w:val="left"/>
      <w:pPr>
        <w:tabs>
          <w:tab w:val="left" w:pos="-90"/>
        </w:tabs>
        <w:ind w:left="414" w:hanging="413"/>
      </w:pPr>
      <w:rPr>
        <w:rFonts w:ascii="Times New Roman" w:eastAsia="PMingLiU" w:hAnsi="Times New Roman" w:hint="default"/>
        <w:color w:val="auto"/>
      </w:rPr>
    </w:lvl>
    <w:lvl w:ilvl="2">
      <w:start w:val="1"/>
      <w:numFmt w:val="bullet"/>
      <w:pStyle w:val="a7"/>
      <w:lvlText w:val=""/>
      <w:lvlJc w:val="left"/>
      <w:pPr>
        <w:tabs>
          <w:tab w:val="left" w:pos="828"/>
        </w:tabs>
        <w:ind w:left="828" w:hanging="414"/>
      </w:pPr>
      <w:rPr>
        <w:rFonts w:ascii="Symbol" w:hAnsi="Symbol" w:hint="default"/>
        <w:color w:val="auto"/>
      </w:rPr>
    </w:lvl>
    <w:lvl w:ilvl="3">
      <w:start w:val="1"/>
      <w:numFmt w:val="decimal"/>
      <w:lvlText w:val="%4."/>
      <w:lvlJc w:val="left"/>
      <w:pPr>
        <w:tabs>
          <w:tab w:val="left" w:pos="1221"/>
        </w:tabs>
        <w:ind w:left="1034" w:hanging="528"/>
      </w:pPr>
      <w:rPr>
        <w:rFonts w:hint="eastAsia"/>
      </w:rPr>
    </w:lvl>
    <w:lvl w:ilvl="4">
      <w:start w:val="1"/>
      <w:numFmt w:val="lowerLetter"/>
      <w:lvlText w:val="%5)"/>
      <w:lvlJc w:val="left"/>
      <w:pPr>
        <w:tabs>
          <w:tab w:val="left" w:pos="1533"/>
        </w:tabs>
        <w:ind w:left="1346" w:hanging="528"/>
      </w:pPr>
      <w:rPr>
        <w:rFonts w:hint="eastAsia"/>
      </w:rPr>
    </w:lvl>
    <w:lvl w:ilvl="5">
      <w:start w:val="1"/>
      <w:numFmt w:val="lowerRoman"/>
      <w:lvlText w:val="%6."/>
      <w:lvlJc w:val="right"/>
      <w:pPr>
        <w:tabs>
          <w:tab w:val="left" w:pos="1845"/>
        </w:tabs>
        <w:ind w:left="1658" w:hanging="528"/>
      </w:pPr>
      <w:rPr>
        <w:rFonts w:hint="eastAsia"/>
      </w:rPr>
    </w:lvl>
    <w:lvl w:ilvl="6">
      <w:start w:val="1"/>
      <w:numFmt w:val="decimal"/>
      <w:lvlText w:val="%7."/>
      <w:lvlJc w:val="left"/>
      <w:pPr>
        <w:tabs>
          <w:tab w:val="left" w:pos="2157"/>
        </w:tabs>
        <w:ind w:left="1970" w:hanging="528"/>
      </w:pPr>
      <w:rPr>
        <w:rFonts w:hint="eastAsia"/>
      </w:rPr>
    </w:lvl>
    <w:lvl w:ilvl="7">
      <w:start w:val="1"/>
      <w:numFmt w:val="lowerLetter"/>
      <w:lvlText w:val="%8)"/>
      <w:lvlJc w:val="left"/>
      <w:pPr>
        <w:tabs>
          <w:tab w:val="left" w:pos="2469"/>
        </w:tabs>
        <w:ind w:left="2282" w:hanging="528"/>
      </w:pPr>
      <w:rPr>
        <w:rFonts w:hint="eastAsia"/>
      </w:rPr>
    </w:lvl>
    <w:lvl w:ilvl="8">
      <w:start w:val="1"/>
      <w:numFmt w:val="lowerRoman"/>
      <w:lvlText w:val="%9."/>
      <w:lvlJc w:val="right"/>
      <w:pPr>
        <w:tabs>
          <w:tab w:val="left" w:pos="2781"/>
        </w:tabs>
        <w:ind w:left="2594" w:hanging="528"/>
      </w:pPr>
      <w:rPr>
        <w:rFonts w:hint="eastAsia"/>
      </w:rPr>
    </w:lvl>
  </w:abstractNum>
  <w:abstractNum w:abstractNumId="3" w15:restartNumberingAfterBreak="0">
    <w:nsid w:val="445CCF4B"/>
    <w:multiLevelType w:val="singleLevel"/>
    <w:tmpl w:val="445CCF4B"/>
    <w:lvl w:ilvl="0">
      <w:start w:val="3"/>
      <w:numFmt w:val="decimal"/>
      <w:lvlText w:val="%1."/>
      <w:lvlJc w:val="left"/>
      <w:pPr>
        <w:tabs>
          <w:tab w:val="left" w:pos="312"/>
        </w:tabs>
      </w:pPr>
    </w:lvl>
  </w:abstractNum>
  <w:abstractNum w:abstractNumId="4" w15:restartNumberingAfterBreak="0">
    <w:nsid w:val="5CDA3E25"/>
    <w:multiLevelType w:val="singleLevel"/>
    <w:tmpl w:val="5CDA3E25"/>
    <w:lvl w:ilvl="0">
      <w:start w:val="5"/>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4Y2FmYTQ0NTEzOGM1ZDYzMTZiMzY3NjMxMmI1MmQifQ=="/>
  </w:docVars>
  <w:rsids>
    <w:rsidRoot w:val="00291BAB"/>
    <w:rsid w:val="0000072F"/>
    <w:rsid w:val="000055C1"/>
    <w:rsid w:val="0000762C"/>
    <w:rsid w:val="00007E9F"/>
    <w:rsid w:val="0001338E"/>
    <w:rsid w:val="00017864"/>
    <w:rsid w:val="000218F1"/>
    <w:rsid w:val="0002500D"/>
    <w:rsid w:val="000328BC"/>
    <w:rsid w:val="00042AC7"/>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1DB4"/>
    <w:rsid w:val="001B2581"/>
    <w:rsid w:val="001B5109"/>
    <w:rsid w:val="001B5284"/>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2E33"/>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110"/>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59"/>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29EC"/>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D4F70"/>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97CEB"/>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2EB3"/>
    <w:rsid w:val="00693E5D"/>
    <w:rsid w:val="00693FF0"/>
    <w:rsid w:val="0069676A"/>
    <w:rsid w:val="00697FAF"/>
    <w:rsid w:val="006A48D8"/>
    <w:rsid w:val="006A5D3A"/>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24A2"/>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B3F"/>
    <w:rsid w:val="00957D68"/>
    <w:rsid w:val="00966081"/>
    <w:rsid w:val="009667B5"/>
    <w:rsid w:val="00967885"/>
    <w:rsid w:val="00970052"/>
    <w:rsid w:val="009754A7"/>
    <w:rsid w:val="00981A58"/>
    <w:rsid w:val="00983189"/>
    <w:rsid w:val="009842EE"/>
    <w:rsid w:val="0098782F"/>
    <w:rsid w:val="0099686C"/>
    <w:rsid w:val="009974DE"/>
    <w:rsid w:val="009A09C5"/>
    <w:rsid w:val="009A1F98"/>
    <w:rsid w:val="009A320D"/>
    <w:rsid w:val="009A3AF5"/>
    <w:rsid w:val="009A4AD5"/>
    <w:rsid w:val="009A60EB"/>
    <w:rsid w:val="009A75D4"/>
    <w:rsid w:val="009B2A24"/>
    <w:rsid w:val="009B2E5A"/>
    <w:rsid w:val="009B69F3"/>
    <w:rsid w:val="009C4979"/>
    <w:rsid w:val="009C52DB"/>
    <w:rsid w:val="009C5471"/>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559C"/>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A1EB9"/>
    <w:rsid w:val="00AB3814"/>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77FB"/>
    <w:rsid w:val="00BE09B7"/>
    <w:rsid w:val="00BE160F"/>
    <w:rsid w:val="00BE2FD0"/>
    <w:rsid w:val="00BE4441"/>
    <w:rsid w:val="00BE5068"/>
    <w:rsid w:val="00BE552F"/>
    <w:rsid w:val="00BE6B1D"/>
    <w:rsid w:val="00BE73AB"/>
    <w:rsid w:val="00BF0107"/>
    <w:rsid w:val="00BF2C26"/>
    <w:rsid w:val="00BF460D"/>
    <w:rsid w:val="00C00387"/>
    <w:rsid w:val="00C0337D"/>
    <w:rsid w:val="00C041EB"/>
    <w:rsid w:val="00C05273"/>
    <w:rsid w:val="00C06B48"/>
    <w:rsid w:val="00C14887"/>
    <w:rsid w:val="00C174A4"/>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25C3D"/>
    <w:rsid w:val="00D3232A"/>
    <w:rsid w:val="00D33EAE"/>
    <w:rsid w:val="00D3601B"/>
    <w:rsid w:val="00D37F23"/>
    <w:rsid w:val="00D40462"/>
    <w:rsid w:val="00D5165B"/>
    <w:rsid w:val="00D56BE3"/>
    <w:rsid w:val="00D6054E"/>
    <w:rsid w:val="00D63436"/>
    <w:rsid w:val="00D65D9A"/>
    <w:rsid w:val="00D70DFE"/>
    <w:rsid w:val="00D7262E"/>
    <w:rsid w:val="00D72A6D"/>
    <w:rsid w:val="00D75E33"/>
    <w:rsid w:val="00D775C3"/>
    <w:rsid w:val="00D77914"/>
    <w:rsid w:val="00D82C81"/>
    <w:rsid w:val="00D82DA6"/>
    <w:rsid w:val="00D83D07"/>
    <w:rsid w:val="00D86F80"/>
    <w:rsid w:val="00D876BA"/>
    <w:rsid w:val="00D906E5"/>
    <w:rsid w:val="00D91CD7"/>
    <w:rsid w:val="00D9699C"/>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72C"/>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3D011D1"/>
    <w:rsid w:val="07150508"/>
    <w:rsid w:val="0B2C7265"/>
    <w:rsid w:val="0FE45EF8"/>
    <w:rsid w:val="131844AA"/>
    <w:rsid w:val="13D46CEE"/>
    <w:rsid w:val="13E37114"/>
    <w:rsid w:val="150E5BB1"/>
    <w:rsid w:val="165C762C"/>
    <w:rsid w:val="1FFA4FF2"/>
    <w:rsid w:val="23663490"/>
    <w:rsid w:val="237F25EE"/>
    <w:rsid w:val="268C5D35"/>
    <w:rsid w:val="285971EB"/>
    <w:rsid w:val="28BE3111"/>
    <w:rsid w:val="297C6ABB"/>
    <w:rsid w:val="2A591A00"/>
    <w:rsid w:val="2BF440D0"/>
    <w:rsid w:val="2FC04A4D"/>
    <w:rsid w:val="2FFD6387"/>
    <w:rsid w:val="308B037D"/>
    <w:rsid w:val="30EF7DF1"/>
    <w:rsid w:val="37AF7BC7"/>
    <w:rsid w:val="38787858"/>
    <w:rsid w:val="3B462706"/>
    <w:rsid w:val="3CD81275"/>
    <w:rsid w:val="3D3B2F77"/>
    <w:rsid w:val="472A7B8C"/>
    <w:rsid w:val="486515BB"/>
    <w:rsid w:val="487C13BF"/>
    <w:rsid w:val="4CE12735"/>
    <w:rsid w:val="4E0C50C1"/>
    <w:rsid w:val="503C66DC"/>
    <w:rsid w:val="52D5715F"/>
    <w:rsid w:val="52F018FA"/>
    <w:rsid w:val="54592EE3"/>
    <w:rsid w:val="583A5BDB"/>
    <w:rsid w:val="5A5A775E"/>
    <w:rsid w:val="5ABE3BEF"/>
    <w:rsid w:val="5C704207"/>
    <w:rsid w:val="5DAA417B"/>
    <w:rsid w:val="5E820631"/>
    <w:rsid w:val="5F4322CC"/>
    <w:rsid w:val="5F836B97"/>
    <w:rsid w:val="61F03613"/>
    <w:rsid w:val="62B05CBC"/>
    <w:rsid w:val="64687BB8"/>
    <w:rsid w:val="648B3BA7"/>
    <w:rsid w:val="653E3759"/>
    <w:rsid w:val="66010750"/>
    <w:rsid w:val="6BBC3065"/>
    <w:rsid w:val="6EBB0C74"/>
    <w:rsid w:val="716438C8"/>
    <w:rsid w:val="722D0078"/>
    <w:rsid w:val="736F0696"/>
    <w:rsid w:val="79640FFA"/>
    <w:rsid w:val="7A5E12FA"/>
    <w:rsid w:val="7BA5261A"/>
    <w:rsid w:val="7E6377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C102F0"/>
  <w15:docId w15:val="{02F01356-B8BB-4E9B-AC23-B5FA3B70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pPr>
      <w:widowControl w:val="0"/>
      <w:spacing w:beforeLines="50" w:afterLines="50" w:line="500" w:lineRule="exact"/>
      <w:ind w:firstLineChars="236" w:firstLine="566"/>
      <w:jc w:val="both"/>
    </w:pPr>
    <w:rPr>
      <w:rFonts w:cs="宋体"/>
      <w:kern w:val="2"/>
      <w:sz w:val="24"/>
      <w:szCs w:val="24"/>
    </w:rPr>
  </w:style>
  <w:style w:type="paragraph" w:styleId="1">
    <w:name w:val="heading 1"/>
    <w:basedOn w:val="a8"/>
    <w:next w:val="a8"/>
    <w:link w:val="10"/>
    <w:uiPriority w:val="9"/>
    <w:qFormat/>
    <w:pPr>
      <w:keepNext/>
      <w:keepLines/>
      <w:spacing w:beforeLines="0" w:afterLines="0" w:line="560" w:lineRule="exact"/>
      <w:ind w:firstLineChars="200" w:firstLine="723"/>
      <w:outlineLvl w:val="0"/>
    </w:pPr>
    <w:rPr>
      <w:b/>
      <w:bCs/>
      <w:kern w:val="44"/>
      <w:sz w:val="44"/>
      <w:szCs w:val="44"/>
    </w:rPr>
  </w:style>
  <w:style w:type="paragraph" w:styleId="2">
    <w:name w:val="heading 2"/>
    <w:basedOn w:val="a8"/>
    <w:next w:val="a8"/>
    <w:link w:val="20"/>
    <w:uiPriority w:val="9"/>
    <w:unhideWhenUsed/>
    <w:qFormat/>
    <w:pPr>
      <w:keepNext/>
      <w:keepLines/>
      <w:spacing w:beforeLines="0" w:afterLines="0" w:line="560" w:lineRule="exact"/>
      <w:ind w:firstLineChars="200" w:firstLine="723"/>
      <w:outlineLvl w:val="1"/>
    </w:pPr>
    <w:rPr>
      <w:rFonts w:asciiTheme="majorHAnsi" w:eastAsiaTheme="majorEastAsia" w:hAnsiTheme="majorHAnsi" w:cstheme="majorBidi"/>
      <w:b/>
      <w:bCs/>
      <w:sz w:val="32"/>
      <w:szCs w:val="32"/>
    </w:rPr>
  </w:style>
  <w:style w:type="paragraph" w:styleId="3">
    <w:name w:val="heading 3"/>
    <w:basedOn w:val="a8"/>
    <w:next w:val="a8"/>
    <w:semiHidden/>
    <w:unhideWhenUsed/>
    <w:qFormat/>
    <w:pPr>
      <w:spacing w:beforeAutospacing="1" w:afterAutospacing="1"/>
      <w:jc w:val="left"/>
      <w:outlineLvl w:val="2"/>
    </w:pPr>
    <w:rPr>
      <w:rFonts w:ascii="宋体" w:hAnsi="宋体" w:hint="eastAsia"/>
      <w:b/>
      <w:bCs/>
      <w:kern w:val="0"/>
      <w:sz w:val="27"/>
      <w:szCs w:val="27"/>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link w:val="ad"/>
    <w:uiPriority w:val="99"/>
    <w:unhideWhenUsed/>
    <w:qFormat/>
    <w:pPr>
      <w:spacing w:after="120"/>
    </w:pPr>
  </w:style>
  <w:style w:type="paragraph" w:styleId="ae">
    <w:name w:val="annotation text"/>
    <w:basedOn w:val="a8"/>
    <w:link w:val="af"/>
    <w:uiPriority w:val="99"/>
    <w:unhideWhenUsed/>
    <w:qFormat/>
    <w:pPr>
      <w:jc w:val="left"/>
    </w:pPr>
  </w:style>
  <w:style w:type="paragraph" w:styleId="30">
    <w:name w:val="toc 3"/>
    <w:basedOn w:val="a8"/>
    <w:next w:val="a8"/>
    <w:uiPriority w:val="39"/>
    <w:unhideWhenUsed/>
    <w:qFormat/>
    <w:pPr>
      <w:widowControl/>
      <w:spacing w:beforeLines="0" w:afterLines="0" w:line="259" w:lineRule="auto"/>
      <w:ind w:left="440" w:firstLineChars="0" w:firstLine="0"/>
      <w:jc w:val="left"/>
    </w:pPr>
    <w:rPr>
      <w:rFonts w:asciiTheme="minorHAnsi" w:eastAsiaTheme="minorEastAsia" w:hAnsiTheme="minorHAnsi" w:cs="Times New Roman"/>
      <w:kern w:val="0"/>
      <w:sz w:val="22"/>
      <w:szCs w:val="22"/>
    </w:rPr>
  </w:style>
  <w:style w:type="paragraph" w:styleId="af0">
    <w:name w:val="Balloon Text"/>
    <w:basedOn w:val="a8"/>
    <w:link w:val="af1"/>
    <w:uiPriority w:val="99"/>
    <w:semiHidden/>
    <w:unhideWhenUsed/>
    <w:qFormat/>
    <w:rPr>
      <w:sz w:val="18"/>
      <w:szCs w:val="18"/>
    </w:rPr>
  </w:style>
  <w:style w:type="paragraph" w:styleId="af2">
    <w:name w:val="footer"/>
    <w:basedOn w:val="a8"/>
    <w:link w:val="af3"/>
    <w:uiPriority w:val="99"/>
    <w:qFormat/>
    <w:pPr>
      <w:tabs>
        <w:tab w:val="center" w:pos="4153"/>
        <w:tab w:val="right" w:pos="8306"/>
      </w:tabs>
      <w:snapToGrid w:val="0"/>
      <w:jc w:val="left"/>
    </w:pPr>
    <w:rPr>
      <w:kern w:val="0"/>
      <w:sz w:val="18"/>
      <w:szCs w:val="18"/>
      <w:lang w:val="zh-CN"/>
    </w:rPr>
  </w:style>
  <w:style w:type="paragraph" w:styleId="af4">
    <w:name w:val="header"/>
    <w:basedOn w:val="a8"/>
    <w:link w:val="af5"/>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1">
    <w:name w:val="toc 1"/>
    <w:basedOn w:val="a8"/>
    <w:next w:val="a8"/>
    <w:uiPriority w:val="39"/>
    <w:unhideWhenUsed/>
    <w:qFormat/>
  </w:style>
  <w:style w:type="paragraph" w:styleId="21">
    <w:name w:val="toc 2"/>
    <w:basedOn w:val="a8"/>
    <w:next w:val="a8"/>
    <w:uiPriority w:val="39"/>
    <w:unhideWhenUsed/>
    <w:qFormat/>
    <w:pPr>
      <w:ind w:leftChars="200" w:left="420"/>
    </w:pPr>
  </w:style>
  <w:style w:type="paragraph" w:styleId="af6">
    <w:name w:val="annotation subject"/>
    <w:basedOn w:val="ae"/>
    <w:next w:val="ae"/>
    <w:link w:val="af7"/>
    <w:uiPriority w:val="99"/>
    <w:semiHidden/>
    <w:unhideWhenUsed/>
    <w:qFormat/>
    <w:rPr>
      <w:b/>
      <w:bCs/>
    </w:rPr>
  </w:style>
  <w:style w:type="character" w:styleId="af8">
    <w:name w:val="page number"/>
    <w:basedOn w:val="aa"/>
    <w:uiPriority w:val="99"/>
    <w:qFormat/>
  </w:style>
  <w:style w:type="character" w:styleId="af9">
    <w:name w:val="Hyperlink"/>
    <w:basedOn w:val="aa"/>
    <w:uiPriority w:val="99"/>
    <w:unhideWhenUsed/>
    <w:qFormat/>
    <w:rPr>
      <w:color w:val="0563C1" w:themeColor="hyperlink"/>
      <w:u w:val="single"/>
    </w:rPr>
  </w:style>
  <w:style w:type="character" w:styleId="afa">
    <w:name w:val="annotation reference"/>
    <w:basedOn w:val="aa"/>
    <w:uiPriority w:val="99"/>
    <w:semiHidden/>
    <w:unhideWhenUsed/>
    <w:qFormat/>
    <w:rPr>
      <w:sz w:val="21"/>
      <w:szCs w:val="21"/>
    </w:rPr>
  </w:style>
  <w:style w:type="character" w:customStyle="1" w:styleId="af5">
    <w:name w:val="页眉 字符"/>
    <w:basedOn w:val="aa"/>
    <w:link w:val="af4"/>
    <w:uiPriority w:val="99"/>
    <w:qFormat/>
    <w:rPr>
      <w:rFonts w:ascii="Times New Roman" w:eastAsia="宋体" w:hAnsi="Times New Roman" w:cs="Times New Roman"/>
      <w:kern w:val="0"/>
      <w:sz w:val="18"/>
      <w:szCs w:val="18"/>
      <w:lang w:val="zh-CN" w:eastAsia="zh-CN"/>
    </w:rPr>
  </w:style>
  <w:style w:type="character" w:customStyle="1" w:styleId="af3">
    <w:name w:val="页脚 字符"/>
    <w:basedOn w:val="aa"/>
    <w:link w:val="af2"/>
    <w:uiPriority w:val="99"/>
    <w:qFormat/>
    <w:rPr>
      <w:rFonts w:ascii="Times New Roman" w:eastAsia="宋体" w:hAnsi="Times New Roman" w:cs="Times New Roman"/>
      <w:kern w:val="0"/>
      <w:sz w:val="18"/>
      <w:szCs w:val="18"/>
      <w:lang w:val="zh-CN" w:eastAsia="zh-CN"/>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Char">
    <w:name w:val="段 Char"/>
    <w:link w:val="afb"/>
    <w:qFormat/>
    <w:locked/>
    <w:rPr>
      <w:rFonts w:ascii="宋体" w:eastAsia="宋体" w:hAnsi="Times New Roman" w:cs="宋体"/>
      <w:kern w:val="0"/>
      <w:szCs w:val="21"/>
    </w:rPr>
  </w:style>
  <w:style w:type="paragraph" w:customStyle="1" w:styleId="a0">
    <w:name w:val="一级条标题"/>
    <w:next w:val="afb"/>
    <w:qFormat/>
    <w:pPr>
      <w:numPr>
        <w:ilvl w:val="1"/>
        <w:numId w:val="1"/>
      </w:numPr>
      <w:spacing w:beforeLines="50" w:afterLines="50"/>
      <w:outlineLvl w:val="2"/>
    </w:pPr>
    <w:rPr>
      <w:rFonts w:ascii="黑体" w:eastAsia="黑体" w:cs="黑体"/>
      <w:sz w:val="21"/>
      <w:szCs w:val="21"/>
    </w:rPr>
  </w:style>
  <w:style w:type="paragraph" w:customStyle="1" w:styleId="a">
    <w:name w:val="章标题"/>
    <w:next w:val="afb"/>
    <w:qFormat/>
    <w:pPr>
      <w:numPr>
        <w:numId w:val="1"/>
      </w:numPr>
      <w:spacing w:beforeLines="100" w:afterLines="100"/>
      <w:jc w:val="both"/>
      <w:outlineLvl w:val="1"/>
    </w:pPr>
    <w:rPr>
      <w:rFonts w:ascii="黑体" w:eastAsia="黑体" w:cs="黑体"/>
      <w:sz w:val="21"/>
      <w:szCs w:val="21"/>
    </w:rPr>
  </w:style>
  <w:style w:type="paragraph" w:customStyle="1" w:styleId="a1">
    <w:name w:val="二级条标题"/>
    <w:basedOn w:val="a0"/>
    <w:next w:val="afb"/>
    <w:qFormat/>
    <w:pPr>
      <w:numPr>
        <w:ilvl w:val="2"/>
      </w:numPr>
      <w:spacing w:before="50" w:after="50"/>
      <w:outlineLvl w:val="3"/>
    </w:pPr>
  </w:style>
  <w:style w:type="paragraph" w:customStyle="1" w:styleId="a2">
    <w:name w:val="三级条标题"/>
    <w:basedOn w:val="a1"/>
    <w:next w:val="afb"/>
    <w:qFormat/>
    <w:pPr>
      <w:numPr>
        <w:ilvl w:val="3"/>
      </w:numPr>
      <w:outlineLvl w:val="4"/>
    </w:pPr>
  </w:style>
  <w:style w:type="paragraph" w:customStyle="1" w:styleId="a3">
    <w:name w:val="四级条标题"/>
    <w:basedOn w:val="a2"/>
    <w:next w:val="afb"/>
    <w:qFormat/>
    <w:pPr>
      <w:numPr>
        <w:ilvl w:val="4"/>
      </w:numPr>
      <w:outlineLvl w:val="5"/>
    </w:pPr>
  </w:style>
  <w:style w:type="paragraph" w:customStyle="1" w:styleId="a4">
    <w:name w:val="五级条标题"/>
    <w:basedOn w:val="a3"/>
    <w:next w:val="afb"/>
    <w:qFormat/>
    <w:pPr>
      <w:numPr>
        <w:ilvl w:val="5"/>
      </w:numPr>
      <w:outlineLvl w:val="6"/>
    </w:pPr>
  </w:style>
  <w:style w:type="character" w:customStyle="1" w:styleId="af">
    <w:name w:val="批注文字 字符"/>
    <w:basedOn w:val="aa"/>
    <w:link w:val="ae"/>
    <w:uiPriority w:val="99"/>
    <w:qFormat/>
    <w:rPr>
      <w:rFonts w:ascii="Times New Roman" w:eastAsia="宋体" w:hAnsi="Times New Roman" w:cs="Times New Roman"/>
      <w:szCs w:val="21"/>
    </w:rPr>
  </w:style>
  <w:style w:type="character" w:customStyle="1" w:styleId="af7">
    <w:name w:val="批注主题 字符"/>
    <w:basedOn w:val="af"/>
    <w:link w:val="af6"/>
    <w:uiPriority w:val="99"/>
    <w:semiHidden/>
    <w:qFormat/>
    <w:rPr>
      <w:rFonts w:ascii="Times New Roman" w:eastAsia="宋体" w:hAnsi="Times New Roman" w:cs="Times New Roman"/>
      <w:b/>
      <w:bCs/>
      <w:szCs w:val="21"/>
    </w:rPr>
  </w:style>
  <w:style w:type="character" w:customStyle="1" w:styleId="af1">
    <w:name w:val="批注框文本 字符"/>
    <w:basedOn w:val="aa"/>
    <w:link w:val="af0"/>
    <w:uiPriority w:val="99"/>
    <w:semiHidden/>
    <w:qFormat/>
    <w:rPr>
      <w:rFonts w:ascii="Times New Roman" w:eastAsia="宋体" w:hAnsi="Times New Roman" w:cs="Times New Roman"/>
      <w:sz w:val="18"/>
      <w:szCs w:val="18"/>
    </w:rPr>
  </w:style>
  <w:style w:type="paragraph" w:styleId="afc">
    <w:name w:val="List Paragraph"/>
    <w:basedOn w:val="a8"/>
    <w:uiPriority w:val="1"/>
    <w:qFormat/>
    <w:pPr>
      <w:ind w:firstLineChars="200" w:firstLine="420"/>
    </w:pPr>
  </w:style>
  <w:style w:type="character" w:customStyle="1" w:styleId="10">
    <w:name w:val="标题 1 字符"/>
    <w:basedOn w:val="aa"/>
    <w:link w:val="1"/>
    <w:uiPriority w:val="9"/>
    <w:qFormat/>
    <w:rPr>
      <w:rFonts w:ascii="Times New Roman" w:eastAsia="宋体" w:hAnsi="Times New Roman" w:cs="宋体"/>
      <w:b/>
      <w:bCs/>
      <w:kern w:val="44"/>
      <w:sz w:val="44"/>
      <w:szCs w:val="44"/>
    </w:rPr>
  </w:style>
  <w:style w:type="character" w:customStyle="1" w:styleId="20">
    <w:name w:val="标题 2 字符"/>
    <w:basedOn w:val="aa"/>
    <w:link w:val="2"/>
    <w:uiPriority w:val="9"/>
    <w:qFormat/>
    <w:rPr>
      <w:rFonts w:asciiTheme="majorHAnsi" w:eastAsiaTheme="majorEastAsia" w:hAnsiTheme="majorHAnsi" w:cstheme="majorBidi"/>
      <w:b/>
      <w:bCs/>
      <w:sz w:val="32"/>
      <w:szCs w:val="32"/>
    </w:rPr>
  </w:style>
  <w:style w:type="paragraph" w:customStyle="1" w:styleId="TOC1">
    <w:name w:val="TOC 标题1"/>
    <w:basedOn w:val="1"/>
    <w:next w:val="a8"/>
    <w:uiPriority w:val="39"/>
    <w:unhideWhenUsed/>
    <w:qFormat/>
    <w:pPr>
      <w:widowControl/>
      <w:spacing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a5">
    <w:name w:val="列项——（一级）"/>
    <w:qFormat/>
    <w:pPr>
      <w:widowControl w:val="0"/>
      <w:numPr>
        <w:numId w:val="2"/>
      </w:numPr>
      <w:jc w:val="both"/>
    </w:pPr>
    <w:rPr>
      <w:rFonts w:ascii="宋体"/>
      <w:sz w:val="21"/>
    </w:rPr>
  </w:style>
  <w:style w:type="paragraph" w:customStyle="1" w:styleId="a6">
    <w:name w:val="列项●（二级）"/>
    <w:qFormat/>
    <w:pPr>
      <w:numPr>
        <w:ilvl w:val="1"/>
        <w:numId w:val="2"/>
      </w:numPr>
      <w:tabs>
        <w:tab w:val="left" w:pos="840"/>
      </w:tabs>
      <w:jc w:val="both"/>
    </w:pPr>
    <w:rPr>
      <w:rFonts w:ascii="宋体"/>
      <w:sz w:val="21"/>
    </w:rPr>
  </w:style>
  <w:style w:type="paragraph" w:customStyle="1" w:styleId="a7">
    <w:name w:val="列项◆（三级）"/>
    <w:basedOn w:val="a8"/>
    <w:qFormat/>
    <w:pPr>
      <w:numPr>
        <w:ilvl w:val="2"/>
        <w:numId w:val="2"/>
      </w:numPr>
      <w:spacing w:beforeLines="0" w:afterLines="0" w:line="240" w:lineRule="auto"/>
      <w:ind w:firstLineChars="0" w:firstLine="0"/>
    </w:pPr>
    <w:rPr>
      <w:rFonts w:ascii="宋体" w:cs="Times New Roman"/>
      <w:sz w:val="21"/>
      <w:szCs w:val="21"/>
    </w:rPr>
  </w:style>
  <w:style w:type="paragraph" w:customStyle="1" w:styleId="22">
    <w:name w:val="樣式 本文 + 第一行:  2 字元"/>
    <w:next w:val="a9"/>
    <w:qFormat/>
    <w:rPr>
      <w:rFonts w:ascii="Calibri" w:hAnsi="Calibri" w:cs="Calibri"/>
    </w:rPr>
  </w:style>
  <w:style w:type="character" w:customStyle="1" w:styleId="ad">
    <w:name w:val="正文文本 字符"/>
    <w:basedOn w:val="aa"/>
    <w:link w:val="a9"/>
    <w:uiPriority w:val="99"/>
    <w:qFormat/>
    <w:rPr>
      <w:rFonts w:ascii="Times New Roman" w:eastAsia="宋体" w:hAnsi="Times New Roman" w:cs="宋体"/>
      <w:sz w:val="24"/>
      <w:szCs w:val="24"/>
    </w:rPr>
  </w:style>
  <w:style w:type="paragraph" w:customStyle="1" w:styleId="afd">
    <w:name w:val="封面标准英文名称"/>
    <w:basedOn w:val="a8"/>
    <w:qFormat/>
    <w:pPr>
      <w:framePr w:w="9639" w:h="6917" w:hRule="exact" w:wrap="around" w:vAnchor="page" w:hAnchor="page" w:xAlign="center" w:y="6408" w:anchorLock="1"/>
      <w:spacing w:beforeLines="0" w:afterLines="0" w:line="400" w:lineRule="exact"/>
      <w:ind w:firstLineChars="0" w:firstLine="0"/>
      <w:jc w:val="center"/>
      <w:textAlignment w:val="center"/>
    </w:pPr>
    <w:rPr>
      <w:rFonts w:eastAsia="黑体" w:cs="Times New Roman"/>
      <w:kern w:val="0"/>
      <w:sz w:val="28"/>
      <w:szCs w:val="28"/>
    </w:rPr>
  </w:style>
  <w:style w:type="paragraph" w:customStyle="1" w:styleId="a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82EE55-7150-487D-B13A-3E4C1B721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9</Pages>
  <Words>1054</Words>
  <Characters>6009</Characters>
  <Application>Microsoft Office Word</Application>
  <DocSecurity>0</DocSecurity>
  <Lines>50</Lines>
  <Paragraphs>14</Paragraphs>
  <ScaleCrop>false</ScaleCrop>
  <Company>Microsoft</Company>
  <LinksUpToDate>false</LinksUpToDate>
  <CharactersWithSpaces>7049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吴薇群</dc:creator>
  <cp:lastModifiedBy>Windows8</cp:lastModifiedBy>
  <cp:revision>13</cp:revision>
  <cp:lastPrinted>2022-11-09T12:24:00Z</cp:lastPrinted>
  <dcterms:created xsi:type="dcterms:W3CDTF">2023-05-25T08:23:00Z</dcterms:created>
  <dcterms:modified xsi:type="dcterms:W3CDTF">2025-04-09T01:34:00Z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8AB494B98F5F489D99E8CCD48FD112CC_13</vt:lpwstr>
  </property>
</Properties>
</file>