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2C084B">
      <w:pPr>
        <w:pStyle w:val="128"/>
        <w:framePr w:wrap="around"/>
        <w:rPr>
          <w:rFonts w:hint="default" w:hAnsi="黑体" w:eastAsia="黑体" w:cs="黑体"/>
          <w:highlight w:val="none"/>
          <w:lang w:val="en-US" w:eastAsia="zh-CN"/>
        </w:rPr>
      </w:pPr>
      <w:r>
        <w:rPr>
          <w:rFonts w:hint="eastAsia" w:hAnsi="黑体" w:cs="黑体"/>
          <w:highlight w:val="none"/>
        </w:rPr>
        <w:t>ICS 13.020</w:t>
      </w:r>
      <w:r>
        <w:rPr>
          <w:rFonts w:hint="eastAsia" w:hAnsi="黑体" w:cs="黑体"/>
          <w:highlight w:val="none"/>
          <w:lang w:val="en-US" w:eastAsia="zh-CN"/>
        </w:rPr>
        <w:t>.99</w:t>
      </w:r>
    </w:p>
    <w:p w14:paraId="46B4F97D">
      <w:pPr>
        <w:pStyle w:val="128"/>
        <w:framePr w:wrap="around"/>
        <w:rPr>
          <w:rFonts w:ascii="Times New Roman"/>
          <w:highlight w:val="none"/>
        </w:rPr>
      </w:pPr>
      <w:r>
        <w:rPr>
          <w:rFonts w:hint="eastAsia" w:hAnsi="黑体" w:cs="黑体"/>
          <w:highlight w:val="none"/>
        </w:rPr>
        <w:t>CCS Z 00</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14:paraId="6D8A28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6D7E493C">
            <w:pPr>
              <w:pStyle w:val="128"/>
              <w:keepNext w:val="0"/>
              <w:keepLines w:val="0"/>
              <w:framePr w:wrap="around"/>
              <w:suppressLineNumbers w:val="0"/>
              <w:spacing w:before="0" w:beforeAutospacing="0" w:after="0" w:afterAutospacing="0"/>
              <w:ind w:left="0" w:right="0"/>
              <w:rPr>
                <w:rFonts w:hint="default" w:ascii="Times New Roman"/>
                <w:highlight w:val="none"/>
              </w:rPr>
            </w:pPr>
          </w:p>
        </w:tc>
      </w:tr>
    </w:tbl>
    <w:p w14:paraId="200D1FC9">
      <w:pPr>
        <w:pStyle w:val="115"/>
        <w:framePr w:wrap="around"/>
        <w:rPr>
          <w:rFonts w:ascii="Times New Roman" w:hAnsi="Times New Roman"/>
          <w:highlight w:val="none"/>
        </w:rPr>
      </w:pPr>
      <w:r>
        <w:rPr>
          <w:rFonts w:hint="eastAsia" w:ascii="Times New Roman" w:hAnsi="Times New Roman"/>
          <w:highlight w:val="none"/>
        </w:rPr>
        <w:t>团体标准</w:t>
      </w:r>
    </w:p>
    <w:p w14:paraId="0812DDA4">
      <w:pPr>
        <w:pStyle w:val="83"/>
        <w:framePr w:w="9638" w:h="6916" w:hRule="exact" w:wrap="around" w:y="6407"/>
        <w:rPr>
          <w:rFonts w:ascii="Times New Roman"/>
          <w:highlight w:val="none"/>
        </w:rPr>
      </w:pPr>
      <w:r>
        <w:rPr>
          <w:rFonts w:ascii="Times New Roman"/>
          <w:highlight w:val="none"/>
        </w:rPr>
        <w:t>绿色</w:t>
      </w:r>
      <w:r>
        <w:rPr>
          <w:rFonts w:hint="eastAsia" w:ascii="Times New Roman"/>
          <w:highlight w:val="none"/>
          <w:lang w:val="en-US" w:eastAsia="zh-CN"/>
        </w:rPr>
        <w:t>低碳</w:t>
      </w:r>
      <w:r>
        <w:rPr>
          <w:rFonts w:ascii="Times New Roman"/>
          <w:highlight w:val="none"/>
        </w:rPr>
        <w:t>产业认定行业技术规范</w:t>
      </w:r>
    </w:p>
    <w:p w14:paraId="0E832F6A">
      <w:pPr>
        <w:pStyle w:val="83"/>
        <w:framePr w:w="9638" w:h="6916" w:hRule="exact" w:wrap="around" w:y="6407"/>
        <w:rPr>
          <w:rFonts w:hint="default" w:ascii="Times New Roman" w:eastAsia="黑体"/>
          <w:sz w:val="44"/>
          <w:szCs w:val="44"/>
          <w:highlight w:val="none"/>
          <w:lang w:val="en-US" w:eastAsia="zh-CN"/>
        </w:rPr>
      </w:pPr>
      <w:r>
        <w:rPr>
          <w:rFonts w:hint="eastAsia" w:ascii="Times New Roman"/>
          <w:highlight w:val="none"/>
          <w:lang w:val="en-US" w:eastAsia="zh-CN"/>
        </w:rPr>
        <w:t>环境基础设施</w:t>
      </w:r>
    </w:p>
    <w:p w14:paraId="49BDE90E">
      <w:pPr>
        <w:pStyle w:val="84"/>
        <w:framePr w:w="9638" w:h="6916" w:hRule="exact" w:wrap="around" w:y="6407"/>
        <w:rPr>
          <w:rFonts w:hint="eastAsia" w:ascii="黑体" w:hAnsi="黑体" w:cs="黑体"/>
          <w:spacing w:val="-23"/>
          <w:highlight w:val="none"/>
        </w:rPr>
      </w:pPr>
      <w:r>
        <w:rPr>
          <w:rFonts w:hint="eastAsia" w:ascii="黑体" w:hAnsi="黑体" w:cs="黑体"/>
          <w:spacing w:val="-23"/>
          <w:highlight w:val="none"/>
        </w:rPr>
        <w:t xml:space="preserve">Technical specifications of green and </w:t>
      </w:r>
      <w:r>
        <w:rPr>
          <w:rFonts w:hint="eastAsia" w:ascii="黑体" w:hAnsi="黑体" w:cs="黑体"/>
          <w:spacing w:val="-23"/>
          <w:highlight w:val="none"/>
          <w:lang w:val="en-US" w:eastAsia="zh-CN"/>
        </w:rPr>
        <w:t>l</w:t>
      </w:r>
      <w:r>
        <w:rPr>
          <w:rFonts w:hint="eastAsia" w:ascii="黑体" w:hAnsi="黑体" w:cs="黑体"/>
          <w:spacing w:val="-23"/>
          <w:highlight w:val="none"/>
        </w:rPr>
        <w:t>ow-carbon industries  identification</w:t>
      </w:r>
    </w:p>
    <w:p w14:paraId="3544F0D5">
      <w:pPr>
        <w:pStyle w:val="84"/>
        <w:framePr w:w="9638" w:h="6916" w:hRule="exact" w:wrap="around" w:y="6407"/>
        <w:rPr>
          <w:highlight w:val="none"/>
        </w:rPr>
      </w:pPr>
      <w:r>
        <w:rPr>
          <w:rFonts w:hint="eastAsia" w:ascii="黑体" w:hAnsi="黑体" w:cs="黑体"/>
          <w:highlight w:val="none"/>
        </w:rPr>
        <w:t>—Environmental infrastructure</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0FD2A8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AE3B69D">
            <w:pPr>
              <w:pStyle w:val="86"/>
              <w:keepNext w:val="0"/>
              <w:keepLines w:val="0"/>
              <w:framePr w:w="9638" w:h="6916" w:hRule="exact" w:wrap="around" w:y="6407"/>
              <w:suppressLineNumbers w:val="0"/>
              <w:spacing w:beforeAutospacing="0" w:afterAutospacing="0"/>
              <w:ind w:left="0" w:right="0" w:firstLine="360"/>
              <w:rPr>
                <w:rFonts w:hint="default" w:ascii="Times New Roman"/>
                <w:highlight w:val="none"/>
              </w:rPr>
            </w:pPr>
          </w:p>
        </w:tc>
      </w:tr>
      <w:tr w14:paraId="0A761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4EBE62E">
            <w:pPr>
              <w:pStyle w:val="87"/>
              <w:keepNext w:val="0"/>
              <w:keepLines w:val="0"/>
              <w:framePr w:w="9638" w:h="6916" w:hRule="exact" w:wrap="around" w:y="6407"/>
              <w:suppressLineNumbers w:val="0"/>
              <w:spacing w:beforeAutospacing="0" w:afterAutospacing="0"/>
              <w:ind w:left="0" w:right="0"/>
              <w:rPr>
                <w:rFonts w:hint="default" w:ascii="Times New Roman"/>
                <w:highlight w:val="none"/>
              </w:rPr>
            </w:pPr>
            <w:r>
              <w:rPr>
                <w:rFonts w:hint="default" w:ascii="Times New Roman"/>
                <w:highlight w:val="none"/>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14:paraId="415A815C">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6192;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14:paraId="415A815C">
                            <w:pPr>
                              <w:jc w:val="center"/>
                            </w:pPr>
                          </w:p>
                        </w:txbxContent>
                      </v:textbox>
                      <w10:anchorlock/>
                    </v:rect>
                  </w:pict>
                </mc:Fallback>
              </mc:AlternateContent>
            </w:r>
          </w:p>
        </w:tc>
      </w:tr>
    </w:tbl>
    <w:p w14:paraId="079B4DB4">
      <w:pPr>
        <w:pStyle w:val="135"/>
        <w:framePr w:wrap="around" w:vAnchor="page" w:hAnchor="page" w:x="1418" w:y="14095"/>
        <w:rPr>
          <w:highlight w:val="none"/>
        </w:rPr>
      </w:pP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3360;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highlight w:val="none"/>
        </w:rPr>
        <w:t>XXXX-XX-XX发布</w:t>
      </w:r>
    </w:p>
    <w:p w14:paraId="0E2DB5CE">
      <w:pPr>
        <w:pStyle w:val="136"/>
        <w:framePr w:wrap="around" w:vAnchor="page" w:hAnchor="page" w:x="7088" w:y="14095"/>
        <w:rPr>
          <w:highlight w:val="none"/>
        </w:rPr>
      </w:pPr>
      <w:r>
        <w:rPr>
          <w:rFonts w:hint="eastAsia" w:ascii="黑体" w:hAnsi="黑体" w:cs="黑体"/>
          <w:highlight w:val="none"/>
        </w:rPr>
        <w:t>XXXX-XX-XX实施</w:t>
      </w:r>
    </w:p>
    <w:p w14:paraId="0D3B8916">
      <w:pPr>
        <w:pStyle w:val="116"/>
        <w:framePr w:w="7937" w:wrap="around" w:y="15308"/>
        <w:rPr>
          <w:rFonts w:ascii="Times New Roman"/>
          <w:highlight w:val="none"/>
        </w:rPr>
      </w:pPr>
      <w:r>
        <w:rPr>
          <w:rFonts w:hint="eastAsia" w:ascii="Times New Roman"/>
          <w:highlight w:val="none"/>
        </w:rPr>
        <w:t>深圳市深圳标准促进会</w:t>
      </w:r>
      <w:r>
        <w:rPr>
          <w:rFonts w:ascii="Times New Roman"/>
          <w:highlight w:val="none"/>
        </w:rPr>
        <w:t>   </w:t>
      </w:r>
      <w:r>
        <w:rPr>
          <w:rStyle w:val="78"/>
          <w:rFonts w:ascii="Times New Roman"/>
          <w:highlight w:val="none"/>
        </w:rPr>
        <w:t>发布</w:t>
      </w:r>
    </w:p>
    <w:p w14:paraId="379F9509">
      <w:pPr>
        <w:framePr w:w="9626" w:h="624" w:hRule="exact" w:hSpace="181" w:vSpace="181" w:wrap="around" w:vAnchor="page" w:hAnchor="page" w:x="1396" w:y="3164"/>
        <w:spacing w:before="0" w:line="280" w:lineRule="exact"/>
        <w:jc w:val="right"/>
        <w:rPr>
          <w:rFonts w:ascii="Times New Roman" w:hAnsi="Times New Roman" w:eastAsia="黑体" w:cs="Times New Roman"/>
          <w:sz w:val="28"/>
          <w:szCs w:val="28"/>
          <w:highlight w:val="none"/>
          <w:lang w:val="en-US" w:eastAsia="zh-CN" w:bidi="ar-SA"/>
        </w:rPr>
      </w:pPr>
      <w:r>
        <w:rPr>
          <w:rFonts w:hint="eastAsia" w:ascii="黑体" w:hAnsi="黑体" w:eastAsia="黑体" w:cs="黑体"/>
          <w:sz w:val="28"/>
          <w:szCs w:val="28"/>
          <w:highlight w:val="none"/>
          <w:lang w:val="en-US" w:eastAsia="zh-CN" w:bidi="ar-SA"/>
        </w:rPr>
        <w:t>T/XXX XXX—20XX</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50423B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776D71A0">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ascii="Times New Roman" w:hAnsi="Times New Roman" w:eastAsia="宋体" w:cs="Times New Roman"/>
                <w:sz w:val="21"/>
                <w:szCs w:val="21"/>
                <w:highlight w:val="none"/>
                <w:lang w:val="en-US" w:eastAsia="zh-CN" w:bidi="ar-SA"/>
              </w:rPr>
            </w:pPr>
          </w:p>
        </w:tc>
      </w:tr>
      <w:tr w14:paraId="5B4D97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6648DB07">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ascii="Times New Roman" w:hAnsi="Times New Roman" w:eastAsia="宋体" w:cs="Times New Roman"/>
                <w:sz w:val="21"/>
                <w:szCs w:val="21"/>
                <w:highlight w:val="none"/>
                <w:lang w:val="en-US" w:eastAsia="zh-CN" w:bidi="ar-SA"/>
              </w:rPr>
            </w:pPr>
          </w:p>
        </w:tc>
      </w:tr>
    </w:tbl>
    <w:p w14:paraId="56804208">
      <w:pPr>
        <w:framePr w:w="9626" w:h="624" w:hRule="exact" w:hSpace="181" w:vSpace="181" w:wrap="around" w:vAnchor="page" w:hAnchor="page" w:x="1396" w:y="3164"/>
        <w:spacing w:before="357" w:line="280" w:lineRule="exact"/>
        <w:jc w:val="right"/>
        <w:rPr>
          <w:rFonts w:ascii="Times New Roman" w:hAnsi="Times New Roman" w:eastAsia="黑体" w:cs="Times New Roman"/>
          <w:sz w:val="28"/>
          <w:szCs w:val="28"/>
          <w:highlight w:val="none"/>
          <w:lang w:val="en-US" w:eastAsia="zh-CN" w:bidi="ar-SA"/>
        </w:rPr>
      </w:pPr>
    </w:p>
    <w:p w14:paraId="200925F6">
      <w:pPr>
        <w:framePr w:w="9626" w:h="624" w:hRule="exact" w:hSpace="181" w:vSpace="181" w:wrap="around" w:vAnchor="page" w:hAnchor="page" w:x="1396" w:y="3164"/>
        <w:spacing w:before="357" w:line="280" w:lineRule="exact"/>
        <w:jc w:val="right"/>
        <w:rPr>
          <w:rFonts w:ascii="Times New Roman" w:hAnsi="Times New Roman" w:eastAsia="黑体" w:cs="Times New Roman"/>
          <w:sz w:val="28"/>
          <w:szCs w:val="28"/>
          <w:highlight w:val="none"/>
          <w:lang w:val="en-US" w:eastAsia="zh-CN" w:bidi="ar-SA"/>
        </w:rPr>
      </w:pPr>
    </w:p>
    <w:p w14:paraId="4C1AF2BC">
      <w:pPr>
        <w:pStyle w:val="26"/>
        <w:framePr w:w="9626" w:h="624" w:hRule="exact" w:hSpace="181" w:vSpace="181" w:wrap="around" w:vAnchor="page" w:hAnchor="page" w:x="1396" w:y="3164"/>
        <w:rPr>
          <w:rFonts w:ascii="Times New Roman"/>
          <w:highlight w:val="none"/>
        </w:rPr>
      </w:pPr>
    </w:p>
    <w:p w14:paraId="06824F0D">
      <w:pPr>
        <w:pStyle w:val="26"/>
        <w:framePr w:w="9626" w:h="624" w:hRule="exact" w:hSpace="181" w:vSpace="181" w:wrap="around" w:vAnchor="page" w:hAnchor="page" w:x="1396" w:y="3164"/>
        <w:rPr>
          <w:rFonts w:ascii="Times New Roman"/>
          <w:highlight w:val="none"/>
        </w:rPr>
      </w:pPr>
    </w:p>
    <w:p w14:paraId="4CFBD6A3">
      <w:pPr>
        <w:pStyle w:val="26"/>
        <w:framePr w:w="9626" w:h="624" w:hRule="exact" w:hSpace="181" w:vSpace="181" w:wrap="around" w:vAnchor="page" w:hAnchor="page" w:x="1396" w:y="3164"/>
        <w:rPr>
          <w:rFonts w:ascii="Times New Roman"/>
          <w:highlight w:val="none"/>
          <w:lang w:val="en-US" w:eastAsia="zh-CN"/>
        </w:rPr>
      </w:pPr>
    </w:p>
    <w:p w14:paraId="70CD28F3">
      <w:pPr>
        <w:pStyle w:val="26"/>
        <w:framePr w:w="9626" w:h="624" w:hRule="exact" w:hSpace="181" w:vSpace="181" w:wrap="around" w:vAnchor="page" w:hAnchor="page" w:x="1396" w:y="3164"/>
        <w:rPr>
          <w:rFonts w:ascii="Times New Roman"/>
          <w:highlight w:val="none"/>
        </w:rPr>
      </w:pPr>
    </w:p>
    <w:p w14:paraId="2C993D27">
      <w:pPr>
        <w:pStyle w:val="26"/>
        <w:framePr w:w="9626" w:h="624" w:hRule="exact" w:hSpace="181" w:vSpace="181" w:wrap="around" w:vAnchor="page" w:hAnchor="page" w:x="1396" w:y="3164"/>
        <w:rPr>
          <w:rFonts w:ascii="Times New Roman"/>
          <w:highlight w:val="none"/>
        </w:rPr>
      </w:pPr>
    </w:p>
    <w:p w14:paraId="3956885B">
      <w:pPr>
        <w:pStyle w:val="26"/>
        <w:rPr>
          <w:rFonts w:ascii="Times New Roman"/>
          <w:highlight w:val="none"/>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highlight w:val="none"/>
        </w:rPr>
        <mc:AlternateContent>
          <mc:Choice Requires="wps">
            <w:drawing>
              <wp:anchor distT="0" distB="0" distL="114300" distR="114300" simplePos="0" relativeHeight="251674624" behindDoc="0" locked="0" layoutInCell="1" allowOverlap="1">
                <wp:simplePos x="0" y="0"/>
                <wp:positionH relativeFrom="column">
                  <wp:posOffset>2051685</wp:posOffset>
                </wp:positionH>
                <wp:positionV relativeFrom="paragraph">
                  <wp:posOffset>136525</wp:posOffset>
                </wp:positionV>
                <wp:extent cx="3960495" cy="914400"/>
                <wp:effectExtent l="0" t="0" r="1905" b="0"/>
                <wp:wrapNone/>
                <wp:docPr id="17" name="文本框 17"/>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rgbClr val="FFFFFF"/>
                        </a:solidFill>
                        <a:ln w="6350">
                          <a:noFill/>
                        </a:ln>
                        <a:effectLst/>
                      </wps:spPr>
                      <wps:txbx>
                        <w:txbxContent>
                          <w:p w14:paraId="17F124C3">
                            <w:pPr>
                              <w:pStyle w:val="158"/>
                              <w:bidi w:val="0"/>
                              <w:jc w:val="right"/>
                              <w:rPr>
                                <w:rFonts w:hint="eastAsia"/>
                                <w:lang w:eastAsia="zh-CN"/>
                              </w:rPr>
                            </w:pPr>
                            <w:r>
                              <w:rPr>
                                <w:rFonts w:hint="eastAsia"/>
                                <w:lang w:eastAsia="zh-CN"/>
                              </w:rPr>
                              <w:t>T/SZS</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61.55pt;margin-top:10.75pt;height:72pt;width:311.85pt;z-index:251674624;mso-width-relative:page;mso-height-relative:page;" fillcolor="#FFFFFF" filled="t" stroked="f" coordsize="21600,21600" o:gfxdata="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3ngsdNoAAAAK&#10;AQAADwAAAAAAAAABACAAAAAiAAAAZHJzL2Rvd25yZXYueG1sUEsBAhQAFAAAAAgAh07iQHTftvhT&#10;AgAAkwQAAA4AAAAAAAAAAQAgAAAAKQEAAGRycy9lMm9Eb2MueG1sUEsFBgAAAAAGAAYAWQEAAO4F&#10;AAAAAA==&#10;">
                <v:fill on="t" focussize="0,0"/>
                <v:stroke on="f" weight="0.5pt"/>
                <v:imagedata o:title=""/>
                <o:lock v:ext="edit" aspectratio="f"/>
                <v:textbox inset="0mm,0mm,144,0mm">
                  <w:txbxContent>
                    <w:p w14:paraId="17F124C3">
                      <w:pPr>
                        <w:pStyle w:val="158"/>
                        <w:bidi w:val="0"/>
                        <w:jc w:val="right"/>
                        <w:rPr>
                          <w:rFonts w:hint="eastAsia"/>
                          <w:lang w:eastAsia="zh-CN"/>
                        </w:rPr>
                      </w:pPr>
                      <w:r>
                        <w:rPr>
                          <w:rFonts w:hint="eastAsia"/>
                          <w:lang w:eastAsia="zh-CN"/>
                        </w:rPr>
                        <w:t>T/SZS</w:t>
                      </w:r>
                    </w:p>
                  </w:txbxContent>
                </v:textbox>
              </v:shape>
            </w:pict>
          </mc:Fallback>
        </mc:AlternateContent>
      </w:r>
      <w:r>
        <w:rPr>
          <w:rFonts w:ascii="Times New Roman"/>
          <w:highlight w:val="none"/>
        </w:rPr>
        <mc:AlternateContent>
          <mc:Choice Requires="wps">
            <w:drawing>
              <wp:anchor distT="0" distB="0" distL="114300" distR="114300" simplePos="0" relativeHeight="251664384" behindDoc="0" locked="0" layoutInCell="1" allowOverlap="1">
                <wp:simplePos x="0" y="0"/>
                <wp:positionH relativeFrom="column">
                  <wp:posOffset>-5715</wp:posOffset>
                </wp:positionH>
                <wp:positionV relativeFrom="paragraph">
                  <wp:posOffset>8906510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45pt;margin-top:701.3pt;height:0pt;width:481.9pt;z-index:251664384;mso-width-relative:page;mso-height-relative:page;" filled="f" stroked="t" coordsize="21600,21600" o:gfxdata="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hL/0edUAAAALAQAADwAAAAAAAAABACAAAAAi&#10;AAAAZHJzL2Rvd25yZXYueG1sUEsBAhQAFAAAAAgAh07iQN9rkYfUAQAAoQMAAA4AAAAAAAAAAQAg&#10;AAAAJAEAAGRycy9lMm9Eb2MueG1sUEsFBgAAAAAGAAYAWQEAAGoFA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2336" behindDoc="0" locked="0" layoutInCell="1" allowOverlap="1">
                <wp:simplePos x="0" y="0"/>
                <wp:positionH relativeFrom="column">
                  <wp:posOffset>-34925</wp:posOffset>
                </wp:positionH>
                <wp:positionV relativeFrom="paragraph">
                  <wp:posOffset>2308225</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2.75pt;margin-top:181.75pt;height:0pt;width:481.9pt;z-index:251662336;mso-width-relative:page;mso-height-relative:page;" filled="f" stroked="t" coordsize="21600,21600" o:gfxdata="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Fa3gQpPDge+NP3H08/&#10;f4mrrM0QqOaQhV/FzE7t/UO4R/WNhMdFD36jS4+Ph8CJk5xR/ZWSDQpcYT18wpZjYJuwCLXvosuQ&#10;LIHYl3kcLvPQ+yQUP95MWJQrHpU6+yqoz4khUvqo0Yl8aaQ1PksFNezuKeVGoD6H5GePd8baMm7r&#10;xdDID9fT65JAaE2bnTmM4ma9sFHsIC9M+Qor9jwPi7j17bGI9SfSmedRsTW2h1U8i8GTK92ctiyv&#10;xnO7ZP/5s+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rc+PDXAAAACgEAAA8AAAAAAAAAAQAg&#10;AAAAIgAAAGRycy9kb3ducmV2LnhtbFBLAQIUABQAAAAIAIdO4kA8A4fJ1gEAAKEDAAAOAAAAAAAA&#10;AAEAIAAAACYBAABkcnMvZTJvRG9jLnhtbFBLBQYAAAAABgAGAFkBAABuBQ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5168;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p>
    <w:p w14:paraId="769B7F32">
      <w:pPr>
        <w:pStyle w:val="55"/>
        <w:rPr>
          <w:rFonts w:ascii="Times New Roman"/>
          <w:highlight w:val="none"/>
        </w:rPr>
      </w:pPr>
      <w:bookmarkStart w:id="0" w:name="_Toc17127"/>
      <w:bookmarkStart w:id="1" w:name="_Toc82157001"/>
      <w:bookmarkStart w:id="2" w:name="_Toc20208"/>
      <w:bookmarkStart w:id="3" w:name="_Toc27919"/>
      <w:bookmarkStart w:id="4" w:name="_Toc80953767"/>
      <w:bookmarkStart w:id="5" w:name="_Toc26162"/>
      <w:bookmarkStart w:id="6" w:name="_Toc80867245"/>
      <w:bookmarkStart w:id="7" w:name="_Toc5727"/>
      <w:bookmarkStart w:id="8" w:name="_Toc55807222"/>
      <w:bookmarkStart w:id="9" w:name="_Toc102992444"/>
      <w:bookmarkStart w:id="10" w:name="_Toc30742"/>
      <w:bookmarkStart w:id="11" w:name="_Toc80887602"/>
      <w:bookmarkStart w:id="12" w:name="_Toc52098618"/>
      <w:bookmarkStart w:id="13" w:name="_Toc80954701"/>
      <w:bookmarkStart w:id="14" w:name="_Toc17711"/>
      <w:bookmarkStart w:id="15" w:name="_Toc26809"/>
      <w:bookmarkStart w:id="16" w:name="_Toc28394"/>
      <w:bookmarkStart w:id="17" w:name="_Toc25224"/>
      <w:bookmarkStart w:id="18" w:name="_Toc82684134"/>
      <w:bookmarkStart w:id="19" w:name="_Toc22075"/>
      <w:bookmarkStart w:id="20" w:name="_Toc32692"/>
      <w:bookmarkStart w:id="21" w:name="_Toc80794396"/>
      <w:bookmarkStart w:id="22" w:name="_Toc22476"/>
      <w:bookmarkStart w:id="23" w:name="_Toc118281009"/>
      <w:r>
        <w:rPr>
          <w:rFonts w:ascii="Times New Roman"/>
          <w:highlight w:val="none"/>
        </w:rPr>
        <w:t>目</w:t>
      </w:r>
      <w:bookmarkStart w:id="24" w:name="BKML"/>
      <w:r>
        <w:rPr>
          <w:rFonts w:ascii="Times New Roman"/>
          <w:highlight w:val="none"/>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Start w:id="136" w:name="_GoBack"/>
      <w:bookmarkEnd w:id="136"/>
    </w:p>
    <w:sdt>
      <w:sdtPr>
        <w:rPr>
          <w:szCs w:val="24"/>
          <w:highlight w:val="none"/>
        </w:rPr>
        <w:id w:val="147478139"/>
        <w15:color w:val="DBDBDB"/>
        <w:docPartObj>
          <w:docPartGallery w:val="Table of Contents"/>
          <w:docPartUnique/>
        </w:docPartObj>
      </w:sdtPr>
      <w:sdtEndPr>
        <w:rPr>
          <w:rFonts w:hint="eastAsia" w:ascii="宋体" w:hAnsi="宋体" w:eastAsia="宋体" w:cs="宋体"/>
          <w:szCs w:val="24"/>
          <w:highlight w:val="none"/>
        </w:rPr>
      </w:sdtEndPr>
      <w:sdtContent>
        <w:p w14:paraId="5B191933">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TOC \o "1-2" \h \u </w:instrText>
          </w:r>
          <w:r>
            <w:rPr>
              <w:rFonts w:hint="eastAsia" w:ascii="宋体" w:hAnsi="宋体" w:eastAsia="宋体" w:cs="宋体"/>
              <w:highlight w:val="none"/>
            </w:rPr>
            <w:fldChar w:fldCharType="separate"/>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_Toc27419 </w:instrText>
          </w:r>
          <w:r>
            <w:rPr>
              <w:rFonts w:hint="eastAsia" w:ascii="宋体" w:hAnsi="宋体" w:eastAsia="宋体" w:cs="宋体"/>
              <w:highlight w:val="none"/>
            </w:rPr>
            <w:fldChar w:fldCharType="separate"/>
          </w:r>
          <w:r>
            <w:rPr>
              <w:rFonts w:hint="eastAsia" w:ascii="宋体" w:hAnsi="宋体" w:eastAsia="宋体" w:cs="宋体"/>
              <w:highlight w:val="none"/>
            </w:rPr>
            <w:t>前言</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_Toc27419 \h </w:instrText>
          </w:r>
          <w:r>
            <w:rPr>
              <w:rFonts w:hint="eastAsia" w:ascii="宋体" w:hAnsi="宋体" w:eastAsia="宋体" w:cs="宋体"/>
              <w:highlight w:val="none"/>
            </w:rPr>
            <w:fldChar w:fldCharType="separate"/>
          </w:r>
          <w:r>
            <w:rPr>
              <w:rFonts w:hint="eastAsia" w:ascii="宋体" w:hAnsi="宋体" w:eastAsia="宋体" w:cs="宋体"/>
              <w:highlight w:val="none"/>
            </w:rPr>
            <w:t>II</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6E7BCF1">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_Toc22638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1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范围</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_Toc22638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FAF9131">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_Toc9136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2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规范性引用文件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_Toc9136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094B46A">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_Toc13977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3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术语和定义</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_Toc13977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DCD5C6F">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_Toc9151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4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评价</w:t>
          </w:r>
          <w:r>
            <w:rPr>
              <w:rFonts w:hint="eastAsia" w:ascii="宋体" w:hAnsi="宋体" w:eastAsia="宋体" w:cs="宋体"/>
              <w:highlight w:val="none"/>
              <w:lang w:val="en-US" w:eastAsia="zh-CN"/>
            </w:rPr>
            <w:t>原</w:t>
          </w:r>
          <w:r>
            <w:rPr>
              <w:rFonts w:hint="eastAsia" w:ascii="宋体" w:hAnsi="宋体" w:eastAsia="宋体" w:cs="宋体"/>
              <w:highlight w:val="none"/>
            </w:rPr>
            <w:t>则</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_Toc9151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2AAA43D">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_Toc7903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5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lang w:val="en-US" w:eastAsia="zh-CN"/>
            </w:rPr>
            <w:t>绿色低碳产业企业</w:t>
          </w:r>
          <w:r>
            <w:rPr>
              <w:rFonts w:hint="eastAsia" w:ascii="宋体" w:hAnsi="宋体" w:eastAsia="宋体" w:cs="宋体"/>
              <w:highlight w:val="none"/>
            </w:rPr>
            <w:t>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_Toc7903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A0E6AE0">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_Toc2360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符合性评价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_Toc2360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84CBC48">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_Toc3249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综合评价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_Toc3249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DF345FF">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_Toc31147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6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lang w:val="en-US" w:eastAsia="zh-CN"/>
            </w:rPr>
            <w:t>绿色低碳产业项目评价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_Toc31147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3F79503">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_Toc11536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6.1  </w:t>
          </w:r>
          <w:r>
            <w:rPr>
              <w:rFonts w:hint="eastAsia" w:ascii="宋体" w:hAnsi="宋体" w:eastAsia="宋体" w:cs="宋体"/>
              <w:highlight w:val="none"/>
              <w:lang w:val="en-US" w:eastAsia="zh-CN"/>
            </w:rPr>
            <w:t>符合性评价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_Toc11536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77F20FE">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_Toc4922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6.2  </w:t>
          </w:r>
          <w:r>
            <w:rPr>
              <w:rFonts w:hint="eastAsia" w:ascii="宋体" w:hAnsi="宋体" w:eastAsia="宋体" w:cs="宋体"/>
              <w:highlight w:val="none"/>
              <w:lang w:val="en-US" w:eastAsia="zh-CN"/>
            </w:rPr>
            <w:t>综合评价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_Toc4922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FF2504F">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_Toc20504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7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评价程序</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_Toc20504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061A818">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_Toc19870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成立工作组</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_Toc19870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68FD08D">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_Toc29213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收集材料</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_Toc29213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007A433">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_Toc16667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编制报告</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_Toc16667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5B52E46F">
          <w:pPr>
            <w:pStyle w:val="31"/>
            <w:keepNext w:val="0"/>
            <w:keepLines w:val="0"/>
            <w:pageBreakBefore w:val="0"/>
            <w:widowControl w:val="0"/>
            <w:tabs>
              <w:tab w:val="right" w:leader="dot" w:pos="9354"/>
              <w:tab w:val="clear" w:pos="9241"/>
            </w:tabs>
            <w:kinsoku/>
            <w:wordWrap/>
            <w:overflowPunct/>
            <w:topLinePunct w:val="0"/>
            <w:autoSpaceDE/>
            <w:autoSpaceDN/>
            <w:bidi w:val="0"/>
            <w:adjustRightInd/>
            <w:snapToGrid/>
            <w:ind w:firstLine="210" w:firstLineChars="100"/>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_Toc9117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认定</w:t>
          </w:r>
          <w:r>
            <w:rPr>
              <w:rFonts w:hint="eastAsia" w:ascii="宋体" w:hAnsi="宋体" w:eastAsia="宋体" w:cs="宋体"/>
              <w:highlight w:val="none"/>
              <w:lang w:val="en-US" w:eastAsia="zh-CN"/>
            </w:rPr>
            <w:t>评审</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_Toc9117 \h </w:instrText>
          </w:r>
          <w:r>
            <w:rPr>
              <w:rFonts w:hint="eastAsia" w:ascii="宋体" w:hAnsi="宋体" w:eastAsia="宋体" w:cs="宋体"/>
              <w:highlight w:val="none"/>
            </w:rPr>
            <w:fldChar w:fldCharType="separate"/>
          </w:r>
          <w:r>
            <w:rPr>
              <w:rFonts w:hint="eastAsia" w:ascii="宋体" w:hAnsi="宋体" w:eastAsia="宋体" w:cs="宋体"/>
              <w:highlight w:val="none"/>
            </w:rPr>
            <w:t>13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57FA8B0">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_Toc16088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附录A</w:t>
          </w:r>
          <w:r>
            <w:rPr>
              <w:rFonts w:hint="eastAsia" w:ascii="宋体" w:hAnsi="宋体" w:eastAsia="宋体" w:cs="宋体"/>
              <w:highlight w:val="none"/>
            </w:rPr>
            <w:t>（</w:t>
          </w:r>
          <w:r>
            <w:rPr>
              <w:rFonts w:hint="eastAsia" w:ascii="宋体" w:hAnsi="宋体" w:eastAsia="宋体" w:cs="宋体"/>
              <w:highlight w:val="none"/>
              <w:lang w:val="en-US" w:eastAsia="zh-CN"/>
            </w:rPr>
            <w:t>规范性</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hAnsi="宋体" w:cs="宋体"/>
              <w:highlight w:val="none"/>
              <w:lang w:val="en-US" w:eastAsia="zh-CN"/>
            </w:rPr>
            <w:t>环境基础设施</w:t>
          </w:r>
          <w:r>
            <w:rPr>
              <w:rFonts w:hint="eastAsia" w:ascii="宋体" w:hAnsi="宋体" w:eastAsia="宋体" w:cs="宋体"/>
              <w:highlight w:val="none"/>
              <w:lang w:val="en-US" w:eastAsia="zh-CN"/>
            </w:rPr>
            <w:t>领域</w:t>
          </w:r>
          <w:r>
            <w:rPr>
              <w:rFonts w:hint="eastAsia" w:ascii="宋体" w:hAnsi="宋体" w:eastAsia="宋体" w:cs="宋体"/>
              <w:highlight w:val="none"/>
              <w:lang w:eastAsia="zh-CN"/>
            </w:rPr>
            <w:t>绿色低碳产业</w:t>
          </w:r>
          <w:r>
            <w:rPr>
              <w:rFonts w:hint="eastAsia" w:ascii="宋体" w:hAnsi="宋体" w:eastAsia="宋体" w:cs="宋体"/>
              <w:highlight w:val="none"/>
            </w:rPr>
            <w:t>关键技术先进性</w:t>
          </w:r>
          <w:r>
            <w:rPr>
              <w:rFonts w:hint="eastAsia" w:ascii="宋体" w:hAnsi="宋体" w:eastAsia="宋体" w:cs="宋体"/>
              <w:highlight w:val="none"/>
              <w:lang w:val="en-US" w:eastAsia="zh-CN"/>
            </w:rPr>
            <w:t>评价指标</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_Toc16088 \h </w:instrText>
          </w:r>
          <w:r>
            <w:rPr>
              <w:rFonts w:hint="eastAsia" w:ascii="宋体" w:hAnsi="宋体" w:eastAsia="宋体" w:cs="宋体"/>
              <w:highlight w:val="none"/>
            </w:rPr>
            <w:fldChar w:fldCharType="separate"/>
          </w:r>
          <w:r>
            <w:rPr>
              <w:rFonts w:hint="eastAsia" w:ascii="宋体" w:hAnsi="宋体" w:eastAsia="宋体" w:cs="宋体"/>
              <w:highlight w:val="none"/>
            </w:rPr>
            <w:t>14</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E8DB516">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_Toc20821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附录B</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环境基础设施领域环境效益指标及测算方法示例</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_Toc20821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E53FD43">
          <w:pPr>
            <w:pStyle w:val="22"/>
            <w:tabs>
              <w:tab w:val="right" w:leader="dot" w:pos="9354"/>
              <w:tab w:val="clear" w:pos="9241"/>
            </w:tabs>
            <w:rPr>
              <w:rFonts w:hint="eastAsia" w:ascii="宋体" w:hAnsi="宋体" w:eastAsia="宋体" w:cs="宋体"/>
              <w:highlight w:val="none"/>
              <w:lang w:val="en-US" w:eastAsia="zh-CN"/>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_Toc10243 </w:instrText>
          </w:r>
          <w:r>
            <w:rPr>
              <w:rFonts w:hint="eastAsia" w:ascii="宋体" w:hAnsi="宋体" w:eastAsia="宋体" w:cs="宋体"/>
              <w:highlight w:val="none"/>
            </w:rPr>
            <w:fldChar w:fldCharType="separate"/>
          </w:r>
          <w:r>
            <w:rPr>
              <w:rFonts w:hint="eastAsia" w:ascii="宋体" w:hAnsi="宋体" w:eastAsia="宋体" w:cs="宋体"/>
              <w:i w:val="0"/>
              <w:spacing w:val="0"/>
              <w:w w:val="100"/>
              <w:szCs w:val="20"/>
              <w:highlight w:val="none"/>
            </w:rPr>
            <w:t>附录C</w:t>
          </w:r>
          <w:r>
            <w:rPr>
              <w:rFonts w:hint="eastAsia" w:ascii="宋体" w:hAnsi="宋体" w:eastAsia="宋体" w:cs="宋体"/>
              <w:szCs w:val="20"/>
              <w:highlight w:val="none"/>
            </w:rPr>
            <w:t xml:space="preserve">（资料性） </w:t>
          </w:r>
          <w:r>
            <w:rPr>
              <w:rFonts w:hint="eastAsia" w:ascii="宋体" w:hAnsi="宋体" w:eastAsia="宋体" w:cs="宋体"/>
              <w:szCs w:val="20"/>
              <w:highlight w:val="none"/>
              <w:lang w:val="en-US" w:eastAsia="zh-CN"/>
            </w:rPr>
            <w:t xml:space="preserve"> 环境基础设施领域绿色低碳产业企业认定评价报告模板</w:t>
          </w:r>
          <w:r>
            <w:rPr>
              <w:rFonts w:hint="eastAsia" w:ascii="宋体" w:hAnsi="宋体" w:eastAsia="宋体" w:cs="宋体"/>
              <w:highlight w:val="none"/>
            </w:rPr>
            <w:tab/>
          </w:r>
          <w:r>
            <w:rPr>
              <w:rFonts w:hint="eastAsia" w:hAnsi="宋体" w:cs="宋体"/>
              <w:highlight w:val="none"/>
              <w:lang w:val="en-US" w:eastAsia="zh-CN"/>
            </w:rPr>
            <w:t>1</w:t>
          </w:r>
          <w:r>
            <w:rPr>
              <w:rFonts w:hint="eastAsia" w:ascii="宋体" w:hAnsi="宋体" w:eastAsia="宋体" w:cs="宋体"/>
              <w:highlight w:val="none"/>
            </w:rPr>
            <w:fldChar w:fldCharType="end"/>
          </w:r>
          <w:r>
            <w:rPr>
              <w:rFonts w:hint="eastAsia" w:hAnsi="宋体" w:cs="宋体"/>
              <w:highlight w:val="none"/>
              <w:lang w:val="en-US" w:eastAsia="zh-CN"/>
            </w:rPr>
            <w:t>9</w:t>
          </w:r>
        </w:p>
        <w:p w14:paraId="46C4B179">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_Toc2430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附录D</w:t>
          </w:r>
          <w:r>
            <w:rPr>
              <w:rFonts w:hint="eastAsia" w:ascii="宋体" w:hAnsi="宋体" w:eastAsia="宋体" w:cs="宋体"/>
              <w:highlight w:val="none"/>
            </w:rPr>
            <w:t>（资料性）</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环境基础设施领域绿色低碳产业项目认定评价报告模板</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_Toc2430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hAnsi="宋体" w:cs="宋体"/>
              <w:highlight w:val="none"/>
              <w:lang w:val="en-US" w:eastAsia="zh-CN"/>
            </w:rPr>
            <w:t>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04067FF">
          <w:pPr>
            <w:pStyle w:val="22"/>
            <w:tabs>
              <w:tab w:val="right" w:leader="dot" w:pos="9354"/>
              <w:tab w:val="clear" w:pos="9241"/>
            </w:tabs>
            <w:rPr>
              <w:rFonts w:hint="eastAsia" w:ascii="宋体" w:hAnsi="宋体" w:eastAsia="宋体" w:cs="宋体"/>
              <w:highlight w:val="none"/>
              <w:lang w:val="en-US" w:eastAsia="zh-CN"/>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_Toc17576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附录E</w:t>
          </w:r>
          <w:r>
            <w:rPr>
              <w:rFonts w:hint="eastAsia" w:ascii="宋体" w:hAnsi="宋体" w:eastAsia="宋体" w:cs="宋体"/>
              <w:highlight w:val="none"/>
            </w:rPr>
            <w:t>（资料性）</w:t>
          </w:r>
          <w:r>
            <w:rPr>
              <w:rFonts w:hint="eastAsia" w:ascii="宋体" w:hAnsi="宋体" w:eastAsia="宋体" w:cs="宋体"/>
              <w:highlight w:val="none"/>
              <w:lang w:val="en-US" w:eastAsia="zh-CN"/>
            </w:rPr>
            <w:t xml:space="preserve"> </w:t>
          </w:r>
          <w:r>
            <w:rPr>
              <w:rFonts w:hint="eastAsia" w:ascii="宋体" w:hAnsi="宋体" w:eastAsia="宋体" w:cs="宋体"/>
              <w:highlight w:val="none"/>
            </w:rPr>
            <w:t xml:space="preserve"> 环境基础设施领域绿色低碳产业认定评价指标表</w:t>
          </w:r>
          <w:r>
            <w:rPr>
              <w:rFonts w:hint="eastAsia" w:ascii="宋体" w:hAnsi="宋体" w:eastAsia="宋体" w:cs="宋体"/>
              <w:highlight w:val="none"/>
            </w:rPr>
            <w:tab/>
          </w:r>
          <w:r>
            <w:rPr>
              <w:rFonts w:hint="eastAsia" w:hAnsi="宋体" w:cs="宋体"/>
              <w:highlight w:val="none"/>
              <w:lang w:val="en-US" w:eastAsia="zh-CN"/>
            </w:rPr>
            <w:t>2</w:t>
          </w:r>
          <w:r>
            <w:rPr>
              <w:rFonts w:hint="eastAsia" w:ascii="宋体" w:hAnsi="宋体" w:eastAsia="宋体" w:cs="宋体"/>
              <w:highlight w:val="none"/>
            </w:rPr>
            <w:fldChar w:fldCharType="end"/>
          </w:r>
          <w:r>
            <w:rPr>
              <w:rFonts w:hint="eastAsia" w:hAnsi="宋体" w:cs="宋体"/>
              <w:highlight w:val="none"/>
              <w:lang w:val="en-US" w:eastAsia="zh-CN"/>
            </w:rPr>
            <w:t>7</w:t>
          </w:r>
        </w:p>
        <w:p w14:paraId="7477A796">
          <w:pPr>
            <w:pStyle w:val="22"/>
            <w:tabs>
              <w:tab w:val="right" w:leader="dot" w:pos="9354"/>
              <w:tab w:val="clear" w:pos="9241"/>
            </w:tabs>
            <w:rPr>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_Toc963 </w:instrText>
          </w:r>
          <w:r>
            <w:rPr>
              <w:rFonts w:hint="eastAsia" w:ascii="宋体" w:hAnsi="宋体" w:eastAsia="宋体" w:cs="宋体"/>
              <w:highlight w:val="none"/>
            </w:rPr>
            <w:fldChar w:fldCharType="separate"/>
          </w:r>
          <w:r>
            <w:rPr>
              <w:rFonts w:hint="eastAsia" w:ascii="宋体" w:hAnsi="宋体" w:eastAsia="宋体" w:cs="宋体"/>
              <w:highlight w:val="none"/>
            </w:rPr>
            <w:t>参考文献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_Toc963 \h </w:instrText>
          </w:r>
          <w:r>
            <w:rPr>
              <w:rFonts w:hint="eastAsia" w:ascii="宋体" w:hAnsi="宋体" w:eastAsia="宋体" w:cs="宋体"/>
              <w:highlight w:val="none"/>
            </w:rPr>
            <w:fldChar w:fldCharType="separate"/>
          </w:r>
          <w:r>
            <w:rPr>
              <w:rFonts w:hint="eastAsia" w:ascii="宋体" w:hAnsi="宋体" w:eastAsia="宋体" w:cs="宋体"/>
              <w:highlight w:val="none"/>
            </w:rPr>
            <w:t>33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6A1F2D1">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宋体" w:hAnsi="宋体" w:eastAsia="宋体" w:cs="宋体"/>
              <w:b/>
              <w:highlight w:val="none"/>
            </w:rPr>
            <w:fldChar w:fldCharType="end"/>
          </w:r>
        </w:p>
      </w:sdtContent>
    </w:sdt>
    <w:p w14:paraId="6475D116">
      <w:pPr>
        <w:pStyle w:val="117"/>
        <w:rPr>
          <w:rFonts w:ascii="Times New Roman"/>
          <w:highlight w:val="none"/>
        </w:rPr>
      </w:pPr>
      <w:bookmarkStart w:id="25" w:name="_Toc27419"/>
      <w:bookmarkStart w:id="26" w:name="_Toc24032"/>
      <w:r>
        <w:rPr>
          <w:rFonts w:ascii="Times New Roman"/>
          <w:highlight w:val="none"/>
        </w:rPr>
        <w:t>前</w:t>
      </w:r>
      <w:bookmarkStart w:id="27" w:name="BKQY"/>
      <w:r>
        <w:rPr>
          <w:rFonts w:ascii="Times New Roman"/>
          <w:highlight w:val="none"/>
        </w:rPr>
        <w:t>  言</w:t>
      </w:r>
      <w:bookmarkEnd w:id="25"/>
      <w:bookmarkEnd w:id="26"/>
      <w:bookmarkEnd w:id="27"/>
    </w:p>
    <w:p w14:paraId="68291A47">
      <w:pPr>
        <w:pStyle w:val="26"/>
        <w:rPr>
          <w:rFonts w:hAnsi="宋体" w:cs="宋体"/>
          <w:highlight w:val="none"/>
        </w:rPr>
      </w:pPr>
      <w:r>
        <w:rPr>
          <w:rFonts w:hint="eastAsia" w:hAnsi="宋体" w:cs="宋体"/>
          <w:highlight w:val="none"/>
        </w:rPr>
        <w:t>本文件按照GB/T 1.1—2020《标准化工作导则  第1部分：标准化文件的结构和起草规则》的规定起草。</w:t>
      </w:r>
    </w:p>
    <w:p w14:paraId="5CB20EF5">
      <w:pPr>
        <w:pStyle w:val="26"/>
        <w:rPr>
          <w:rFonts w:hAnsi="宋体" w:cs="宋体"/>
          <w:highlight w:val="none"/>
        </w:rPr>
      </w:pPr>
      <w:r>
        <w:rPr>
          <w:rFonts w:hint="eastAsia" w:hAnsi="宋体" w:cs="宋体"/>
          <w:highlight w:val="none"/>
        </w:rPr>
        <w:t>本文件由深圳市深圳标准促进会</w:t>
      </w:r>
      <w:r>
        <w:rPr>
          <w:rFonts w:hint="eastAsia" w:hAnsi="宋体" w:cs="宋体"/>
          <w:highlight w:val="none"/>
          <w:lang w:val="en-US" w:eastAsia="zh-CN"/>
        </w:rPr>
        <w:t>提出并</w:t>
      </w:r>
      <w:r>
        <w:rPr>
          <w:rFonts w:hint="eastAsia" w:hAnsi="宋体" w:cs="宋体"/>
          <w:highlight w:val="none"/>
        </w:rPr>
        <w:t>归口。</w:t>
      </w:r>
    </w:p>
    <w:p w14:paraId="61030E14">
      <w:pPr>
        <w:pStyle w:val="26"/>
        <w:rPr>
          <w:rFonts w:hAnsi="宋体" w:cs="宋体"/>
          <w:highlight w:val="none"/>
        </w:rPr>
      </w:pPr>
      <w:r>
        <w:rPr>
          <w:rFonts w:hint="eastAsia" w:hAnsi="宋体" w:cs="宋体"/>
          <w:highlight w:val="none"/>
        </w:rPr>
        <w:t>本文件起草单位：深圳市生态环境局、深圳市发展和改革委员会、深圳市市场监督管理局、深圳市标准技术研究院、深圳国家高技术产业创新中心</w:t>
      </w:r>
      <w:r>
        <w:rPr>
          <w:rFonts w:hint="eastAsia" w:hAnsi="宋体" w:cs="宋体"/>
          <w:highlight w:val="none"/>
          <w:lang w:eastAsia="zh-CN"/>
        </w:rPr>
        <w:t>、</w:t>
      </w:r>
      <w:r>
        <w:rPr>
          <w:rFonts w:hint="eastAsia" w:hAnsi="宋体" w:cs="宋体"/>
          <w:highlight w:val="none"/>
        </w:rPr>
        <w:t>粤港澳大湾区（深港）计量检测认证发展促进联盟</w:t>
      </w:r>
      <w:r>
        <w:rPr>
          <w:rFonts w:hint="eastAsia" w:hAnsi="宋体" w:cs="宋体"/>
          <w:highlight w:val="none"/>
          <w:lang w:eastAsia="zh-CN"/>
        </w:rPr>
        <w:t>、深圳市计量质量检测研究院、一带一路环境技术交流与转移中心（深圳）、深圳市水务集团、深圳市绿色产业促进会、深圳市华美绿生态环境集团有限公司</w:t>
      </w:r>
      <w:r>
        <w:rPr>
          <w:rFonts w:hint="eastAsia" w:hAnsi="宋体" w:cs="宋体"/>
          <w:highlight w:val="none"/>
        </w:rPr>
        <w:t>。</w:t>
      </w:r>
    </w:p>
    <w:p w14:paraId="2D7A131D">
      <w:pPr>
        <w:pStyle w:val="26"/>
        <w:rPr>
          <w:rFonts w:ascii="Times New Roman"/>
          <w:highlight w:val="none"/>
        </w:rPr>
      </w:pPr>
      <w:r>
        <w:rPr>
          <w:rFonts w:hint="eastAsia" w:hAnsi="宋体" w:cs="宋体"/>
          <w:highlight w:val="none"/>
        </w:rPr>
        <w:t>本文件主要起草人：。</w:t>
      </w:r>
    </w:p>
    <w:p w14:paraId="6F6B40F8">
      <w:pPr>
        <w:pStyle w:val="55"/>
        <w:jc w:val="both"/>
        <w:rPr>
          <w:rFonts w:ascii="Times New Roman"/>
          <w:highlight w:val="none"/>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28" w:name="_Toc80953770"/>
      <w:bookmarkStart w:id="29" w:name="_Toc80954704"/>
      <w:bookmarkStart w:id="30" w:name="_Toc80887605"/>
      <w:bookmarkStart w:id="31" w:name="_Toc82157004"/>
      <w:bookmarkStart w:id="32" w:name="_Toc80867248"/>
      <w:bookmarkStart w:id="33" w:name="_Toc80690485"/>
      <w:bookmarkStart w:id="34" w:name="_Toc24880"/>
      <w:bookmarkStart w:id="35" w:name="_Toc19299"/>
      <w:bookmarkStart w:id="36" w:name="_Toc82626056"/>
      <w:bookmarkStart w:id="37" w:name="_Toc14800"/>
      <w:bookmarkStart w:id="38" w:name="_Toc52091808"/>
    </w:p>
    <w:p w14:paraId="78340E84">
      <w:pPr>
        <w:pStyle w:val="55"/>
        <w:keepNext/>
        <w:keepLines w:val="0"/>
        <w:pageBreakBefore/>
        <w:widowControl/>
        <w:kinsoku/>
        <w:wordWrap/>
        <w:overflowPunct/>
        <w:topLinePunct w:val="0"/>
        <w:autoSpaceDE/>
        <w:autoSpaceDN/>
        <w:bidi w:val="0"/>
        <w:adjustRightInd/>
        <w:snapToGrid/>
        <w:textAlignment w:val="auto"/>
        <w:outlineLvl w:val="9"/>
        <w:rPr>
          <w:rFonts w:hint="default" w:ascii="Times New Roman" w:eastAsia="黑体"/>
          <w:highlight w:val="none"/>
          <w:lang w:val="en-US" w:eastAsia="zh-CN"/>
        </w:rPr>
      </w:pPr>
      <w:bookmarkStart w:id="39" w:name="_Toc13551"/>
      <w:bookmarkStart w:id="40" w:name="_Toc30596"/>
      <w:bookmarkStart w:id="41" w:name="_Toc25444"/>
      <w:bookmarkStart w:id="42" w:name="_Toc8525"/>
      <w:bookmarkStart w:id="43" w:name="_Toc22650"/>
      <w:bookmarkStart w:id="44" w:name="_Toc24830"/>
      <w:bookmarkStart w:id="45" w:name="_Toc118281011"/>
      <w:bookmarkStart w:id="46" w:name="_Toc711"/>
      <w:bookmarkStart w:id="47" w:name="_Toc12075"/>
      <w:r>
        <w:rPr>
          <w:rFonts w:hint="eastAsia" w:ascii="Times New Roman"/>
          <w:highlight w:val="none"/>
          <w:lang w:eastAsia="zh-CN"/>
        </w:rPr>
        <w:t>绿色低碳产业</w:t>
      </w:r>
      <w:r>
        <w:rPr>
          <w:rFonts w:ascii="Times New Roman"/>
          <w:highlight w:val="none"/>
        </w:rPr>
        <w:t>认定</w:t>
      </w:r>
      <w:bookmarkEnd w:id="28"/>
      <w:bookmarkEnd w:id="29"/>
      <w:bookmarkEnd w:id="30"/>
      <w:bookmarkEnd w:id="31"/>
      <w:bookmarkEnd w:id="32"/>
      <w:bookmarkEnd w:id="33"/>
      <w:r>
        <w:rPr>
          <w:rFonts w:ascii="Times New Roman"/>
          <w:highlight w:val="none"/>
        </w:rPr>
        <w:t xml:space="preserve">行业技术规范 </w:t>
      </w:r>
      <w:bookmarkEnd w:id="34"/>
      <w:bookmarkEnd w:id="35"/>
      <w:bookmarkEnd w:id="36"/>
      <w:bookmarkEnd w:id="37"/>
      <w:bookmarkEnd w:id="39"/>
      <w:bookmarkEnd w:id="40"/>
      <w:bookmarkEnd w:id="41"/>
      <w:bookmarkEnd w:id="42"/>
      <w:bookmarkEnd w:id="43"/>
      <w:bookmarkEnd w:id="44"/>
      <w:bookmarkEnd w:id="45"/>
      <w:bookmarkEnd w:id="46"/>
      <w:bookmarkEnd w:id="47"/>
      <w:r>
        <w:rPr>
          <w:rFonts w:hint="eastAsia" w:ascii="Times New Roman"/>
          <w:highlight w:val="none"/>
          <w:lang w:val="en-US" w:eastAsia="zh-CN"/>
        </w:rPr>
        <w:t>环境基础设施</w:t>
      </w:r>
    </w:p>
    <w:p w14:paraId="66A02402">
      <w:pPr>
        <w:pStyle w:val="50"/>
        <w:outlineLvl w:val="0"/>
        <w:rPr>
          <w:rFonts w:ascii="Times New Roman"/>
          <w:highlight w:val="none"/>
        </w:rPr>
      </w:pPr>
      <w:bookmarkStart w:id="48" w:name="_Toc22638"/>
      <w:bookmarkStart w:id="49" w:name="_Toc102992448"/>
      <w:bookmarkStart w:id="50" w:name="_Toc20861"/>
      <w:r>
        <w:rPr>
          <w:rFonts w:ascii="Times New Roman"/>
          <w:highlight w:val="none"/>
        </w:rPr>
        <w:t>范围</w:t>
      </w:r>
      <w:bookmarkEnd w:id="38"/>
      <w:bookmarkEnd w:id="48"/>
      <w:bookmarkEnd w:id="49"/>
      <w:bookmarkEnd w:id="50"/>
    </w:p>
    <w:p w14:paraId="76EC1C23">
      <w:pPr>
        <w:pStyle w:val="26"/>
        <w:rPr>
          <w:rFonts w:ascii="Times New Roman"/>
          <w:highlight w:val="none"/>
        </w:rPr>
      </w:pPr>
      <w:r>
        <w:rPr>
          <w:rFonts w:ascii="Times New Roman"/>
          <w:highlight w:val="none"/>
        </w:rPr>
        <w:t>本文件规定了</w:t>
      </w:r>
      <w:r>
        <w:rPr>
          <w:rFonts w:hint="eastAsia" w:ascii="Times New Roman"/>
          <w:highlight w:val="none"/>
          <w:lang w:val="en-US" w:eastAsia="zh-CN"/>
        </w:rPr>
        <w:t>环境基础设施领域</w:t>
      </w:r>
      <w:r>
        <w:rPr>
          <w:rFonts w:ascii="Times New Roman"/>
          <w:highlight w:val="none"/>
        </w:rPr>
        <w:t>绿色</w:t>
      </w:r>
      <w:r>
        <w:rPr>
          <w:rFonts w:hint="eastAsia" w:ascii="Times New Roman"/>
          <w:highlight w:val="none"/>
          <w:lang w:val="en-US" w:eastAsia="zh-CN"/>
        </w:rPr>
        <w:t>低碳</w:t>
      </w:r>
      <w:r>
        <w:rPr>
          <w:rFonts w:ascii="Times New Roman"/>
          <w:highlight w:val="none"/>
        </w:rPr>
        <w:t>产业认定评价的</w:t>
      </w:r>
      <w:r>
        <w:rPr>
          <w:rFonts w:hint="eastAsia" w:ascii="Times New Roman"/>
          <w:highlight w:val="none"/>
        </w:rPr>
        <w:t>评价原则</w:t>
      </w:r>
      <w:r>
        <w:rPr>
          <w:rFonts w:hint="eastAsia" w:ascii="Times New Roman"/>
          <w:highlight w:val="none"/>
          <w:lang w:eastAsia="zh-CN"/>
        </w:rPr>
        <w:t>、</w:t>
      </w:r>
      <w:r>
        <w:rPr>
          <w:rFonts w:hint="eastAsia" w:ascii="Times New Roman"/>
          <w:highlight w:val="none"/>
          <w:lang w:val="en-US" w:eastAsia="zh-CN"/>
        </w:rPr>
        <w:t>评价方法</w:t>
      </w:r>
      <w:r>
        <w:rPr>
          <w:rFonts w:hint="eastAsia" w:ascii="Times New Roman"/>
          <w:highlight w:val="none"/>
        </w:rPr>
        <w:t>、</w:t>
      </w:r>
      <w:r>
        <w:rPr>
          <w:rFonts w:ascii="Times New Roman"/>
          <w:highlight w:val="none"/>
        </w:rPr>
        <w:t>评价指标</w:t>
      </w:r>
      <w:r>
        <w:rPr>
          <w:rFonts w:hint="eastAsia" w:ascii="Times New Roman"/>
          <w:highlight w:val="none"/>
          <w:lang w:val="en-US" w:eastAsia="zh-CN"/>
        </w:rPr>
        <w:t>及</w:t>
      </w:r>
      <w:r>
        <w:rPr>
          <w:rFonts w:ascii="Times New Roman"/>
          <w:highlight w:val="none"/>
        </w:rPr>
        <w:t>评价程序。</w:t>
      </w:r>
    </w:p>
    <w:p w14:paraId="4B5689C3">
      <w:pPr>
        <w:pStyle w:val="26"/>
        <w:rPr>
          <w:rFonts w:ascii="Times New Roman"/>
          <w:highlight w:val="none"/>
        </w:rPr>
      </w:pPr>
      <w:r>
        <w:rPr>
          <w:rFonts w:ascii="Times New Roman"/>
          <w:highlight w:val="none"/>
        </w:rPr>
        <w:t>本文件适用于</w:t>
      </w:r>
      <w:r>
        <w:rPr>
          <w:rFonts w:hint="eastAsia" w:ascii="Times New Roman"/>
          <w:highlight w:val="none"/>
          <w:lang w:val="en-US" w:eastAsia="zh-CN"/>
        </w:rPr>
        <w:t>环境基础设施领域相关企事业单位或项目</w:t>
      </w:r>
      <w:r>
        <w:rPr>
          <w:rFonts w:ascii="Times New Roman"/>
          <w:highlight w:val="none"/>
        </w:rPr>
        <w:t>的</w:t>
      </w:r>
      <w:r>
        <w:rPr>
          <w:rFonts w:hint="eastAsia" w:ascii="Times New Roman"/>
          <w:highlight w:val="none"/>
          <w:lang w:eastAsia="zh-CN"/>
        </w:rPr>
        <w:t>绿色低碳产业</w:t>
      </w:r>
      <w:r>
        <w:rPr>
          <w:rFonts w:ascii="Times New Roman"/>
          <w:highlight w:val="none"/>
        </w:rPr>
        <w:t>认定评价。</w:t>
      </w:r>
    </w:p>
    <w:p w14:paraId="65681A27">
      <w:pPr>
        <w:pStyle w:val="50"/>
        <w:outlineLvl w:val="0"/>
        <w:rPr>
          <w:rFonts w:ascii="Times New Roman"/>
          <w:highlight w:val="none"/>
        </w:rPr>
      </w:pPr>
      <w:bookmarkStart w:id="51" w:name="_Toc7988"/>
      <w:bookmarkStart w:id="52" w:name="_Toc9136"/>
      <w:bookmarkStart w:id="53" w:name="_Toc102992449"/>
      <w:bookmarkStart w:id="54" w:name="_Toc52091809"/>
      <w:r>
        <w:rPr>
          <w:rFonts w:ascii="Times New Roman"/>
          <w:highlight w:val="none"/>
        </w:rPr>
        <w:t>规范性引用文件</w:t>
      </w:r>
      <w:bookmarkEnd w:id="51"/>
      <w:bookmarkEnd w:id="52"/>
      <w:bookmarkEnd w:id="53"/>
      <w:bookmarkEnd w:id="54"/>
    </w:p>
    <w:p w14:paraId="6B6CD317">
      <w:pPr>
        <w:autoSpaceDE w:val="0"/>
        <w:autoSpaceDN w:val="0"/>
        <w:ind w:firstLine="420" w:firstLineChars="200"/>
        <w:rPr>
          <w:rFonts w:ascii="宋体" w:hAnsi="宋体" w:cs="宋体"/>
          <w:highlight w:val="none"/>
        </w:rPr>
      </w:pPr>
      <w:r>
        <w:rPr>
          <w:rFonts w:hint="eastAsia" w:ascii="宋体" w:hAnsi="宋体" w:cs="宋体"/>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1803140B">
      <w:pPr>
        <w:autoSpaceDE w:val="0"/>
        <w:autoSpaceDN w:val="0"/>
        <w:ind w:firstLine="420" w:firstLineChars="200"/>
        <w:rPr>
          <w:rFonts w:hint="default" w:ascii="宋体" w:hAnsi="宋体" w:eastAsia="宋体" w:cs="宋体"/>
          <w:highlight w:val="none"/>
          <w:lang w:val="en-US" w:eastAsia="zh-CN"/>
        </w:rPr>
      </w:pPr>
      <w:r>
        <w:rPr>
          <w:rFonts w:hint="eastAsia" w:ascii="宋体" w:hAnsi="宋体" w:cs="宋体"/>
          <w:highlight w:val="none"/>
        </w:rPr>
        <w:t>GB/T 32150</w:t>
      </w:r>
      <w:r>
        <w:rPr>
          <w:rFonts w:hint="eastAsia" w:ascii="宋体" w:hAnsi="宋体" w:cs="宋体"/>
          <w:highlight w:val="none"/>
          <w:lang w:val="en-US" w:eastAsia="zh-CN"/>
        </w:rPr>
        <w:t xml:space="preserve">  工业企业温室气体排放核算和报告通则</w:t>
      </w:r>
    </w:p>
    <w:p w14:paraId="07A4E20A">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GB/T 44129-2024 </w:t>
      </w:r>
      <w:r>
        <w:rPr>
          <w:rFonts w:hint="eastAsia" w:ascii="宋体" w:hAnsi="宋体" w:cs="宋体"/>
          <w:highlight w:val="none"/>
          <w:lang w:val="en-US" w:eastAsia="zh-CN"/>
        </w:rPr>
        <w:t xml:space="preserve"> </w:t>
      </w:r>
      <w:r>
        <w:rPr>
          <w:rFonts w:hint="eastAsia" w:ascii="宋体" w:hAnsi="宋体" w:cs="宋体"/>
          <w:highlight w:val="none"/>
        </w:rPr>
        <w:t>城市供水和用水绩效评价标准</w:t>
      </w:r>
    </w:p>
    <w:p w14:paraId="19CEAC49">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GB/T 50563-2010 </w:t>
      </w:r>
      <w:r>
        <w:rPr>
          <w:rFonts w:hint="eastAsia" w:ascii="宋体" w:hAnsi="宋体" w:cs="宋体"/>
          <w:highlight w:val="none"/>
          <w:lang w:val="en-US" w:eastAsia="zh-CN"/>
        </w:rPr>
        <w:t xml:space="preserve"> </w:t>
      </w:r>
      <w:r>
        <w:rPr>
          <w:rFonts w:hint="eastAsia" w:ascii="宋体" w:hAnsi="宋体" w:cs="宋体"/>
          <w:highlight w:val="none"/>
        </w:rPr>
        <w:t>城市园林绿化评价标准</w:t>
      </w:r>
    </w:p>
    <w:p w14:paraId="208FCE30">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GB 50014-2021 </w:t>
      </w:r>
      <w:r>
        <w:rPr>
          <w:rFonts w:hint="eastAsia" w:ascii="宋体" w:hAnsi="宋体" w:cs="宋体"/>
          <w:highlight w:val="none"/>
          <w:lang w:val="en-US" w:eastAsia="zh-CN"/>
        </w:rPr>
        <w:t xml:space="preserve"> </w:t>
      </w:r>
      <w:r>
        <w:rPr>
          <w:rFonts w:hint="eastAsia" w:ascii="宋体" w:hAnsi="宋体" w:cs="宋体"/>
          <w:highlight w:val="none"/>
        </w:rPr>
        <w:t>室外排水设计标准</w:t>
      </w:r>
    </w:p>
    <w:p w14:paraId="3CB593DF">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GB 51174-2017 </w:t>
      </w:r>
      <w:r>
        <w:rPr>
          <w:rFonts w:hint="eastAsia" w:ascii="宋体" w:hAnsi="宋体" w:cs="宋体"/>
          <w:highlight w:val="none"/>
          <w:lang w:val="en-US" w:eastAsia="zh-CN"/>
        </w:rPr>
        <w:t xml:space="preserve"> </w:t>
      </w:r>
      <w:r>
        <w:rPr>
          <w:rFonts w:hint="eastAsia" w:ascii="宋体" w:hAnsi="宋体" w:cs="宋体"/>
          <w:highlight w:val="none"/>
        </w:rPr>
        <w:t>城镇雨水调蓄工程技术规范</w:t>
      </w:r>
    </w:p>
    <w:p w14:paraId="67AB6A8A">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CJJ 92-2016 </w:t>
      </w:r>
      <w:r>
        <w:rPr>
          <w:rFonts w:hint="eastAsia" w:ascii="宋体" w:hAnsi="宋体" w:cs="宋体"/>
          <w:highlight w:val="none"/>
          <w:lang w:val="en-US" w:eastAsia="zh-CN"/>
        </w:rPr>
        <w:t xml:space="preserve"> </w:t>
      </w:r>
      <w:r>
        <w:rPr>
          <w:rFonts w:hint="eastAsia" w:ascii="宋体" w:hAnsi="宋体" w:cs="宋体"/>
          <w:highlight w:val="none"/>
        </w:rPr>
        <w:t>城镇供水管网漏损控制及评定标准</w:t>
      </w:r>
    </w:p>
    <w:p w14:paraId="30DA262A">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DB11/T 2180-2023 </w:t>
      </w:r>
      <w:r>
        <w:rPr>
          <w:rFonts w:hint="eastAsia" w:ascii="宋体" w:hAnsi="宋体" w:cs="宋体"/>
          <w:highlight w:val="none"/>
          <w:lang w:val="en-US" w:eastAsia="zh-CN"/>
        </w:rPr>
        <w:t xml:space="preserve"> </w:t>
      </w:r>
      <w:r>
        <w:rPr>
          <w:rFonts w:hint="eastAsia" w:ascii="宋体" w:hAnsi="宋体" w:cs="宋体"/>
          <w:highlight w:val="none"/>
        </w:rPr>
        <w:t>水生态修复技术导则</w:t>
      </w:r>
    </w:p>
    <w:p w14:paraId="2D87012D">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DB13/T 5184-2020 </w:t>
      </w:r>
      <w:r>
        <w:rPr>
          <w:rFonts w:hint="eastAsia" w:ascii="宋体" w:hAnsi="宋体" w:cs="宋体"/>
          <w:highlight w:val="none"/>
          <w:lang w:val="en-US" w:eastAsia="zh-CN"/>
        </w:rPr>
        <w:t xml:space="preserve"> </w:t>
      </w:r>
      <w:r>
        <w:rPr>
          <w:rFonts w:hint="eastAsia" w:ascii="宋体" w:hAnsi="宋体" w:cs="宋体"/>
          <w:highlight w:val="none"/>
        </w:rPr>
        <w:t>人工湿地水质净化工程技术规范</w:t>
      </w:r>
    </w:p>
    <w:p w14:paraId="1B3B6A7A">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DB37/T 5242-2022 </w:t>
      </w:r>
      <w:r>
        <w:rPr>
          <w:rFonts w:hint="eastAsia" w:ascii="宋体" w:hAnsi="宋体" w:cs="宋体"/>
          <w:highlight w:val="none"/>
          <w:lang w:val="en-US" w:eastAsia="zh-CN"/>
        </w:rPr>
        <w:t xml:space="preserve"> </w:t>
      </w:r>
      <w:r>
        <w:rPr>
          <w:rFonts w:hint="eastAsia" w:ascii="宋体" w:hAnsi="宋体" w:cs="宋体"/>
          <w:highlight w:val="none"/>
        </w:rPr>
        <w:t>城镇供水设施建设与改造技术规程</w:t>
      </w:r>
    </w:p>
    <w:p w14:paraId="6993726F">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DB43/T 2305-2022 </w:t>
      </w:r>
      <w:r>
        <w:rPr>
          <w:rFonts w:hint="eastAsia" w:ascii="宋体" w:hAnsi="宋体" w:cs="宋体"/>
          <w:highlight w:val="none"/>
          <w:lang w:val="en-US" w:eastAsia="zh-CN"/>
        </w:rPr>
        <w:t xml:space="preserve"> </w:t>
      </w:r>
      <w:r>
        <w:rPr>
          <w:rFonts w:hint="eastAsia" w:ascii="宋体" w:hAnsi="宋体" w:cs="宋体"/>
          <w:highlight w:val="none"/>
        </w:rPr>
        <w:t>洞庭湖区水系连通工程评价技术导则</w:t>
      </w:r>
    </w:p>
    <w:p w14:paraId="24B370EE">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DB52/T 1637-2021 </w:t>
      </w:r>
      <w:r>
        <w:rPr>
          <w:rFonts w:hint="eastAsia" w:ascii="宋体" w:hAnsi="宋体" w:cs="宋体"/>
          <w:highlight w:val="none"/>
          <w:lang w:val="en-US" w:eastAsia="zh-CN"/>
        </w:rPr>
        <w:t xml:space="preserve"> </w:t>
      </w:r>
      <w:r>
        <w:rPr>
          <w:rFonts w:hint="eastAsia" w:ascii="宋体" w:hAnsi="宋体" w:cs="宋体"/>
          <w:highlight w:val="none"/>
        </w:rPr>
        <w:t>水利信息化建设管理导则</w:t>
      </w:r>
    </w:p>
    <w:p w14:paraId="0500D3DB">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DB3201/T 1150-2023 </w:t>
      </w:r>
      <w:r>
        <w:rPr>
          <w:rFonts w:hint="eastAsia" w:ascii="宋体" w:hAnsi="宋体" w:cs="宋体"/>
          <w:highlight w:val="none"/>
          <w:lang w:val="en-US" w:eastAsia="zh-CN"/>
        </w:rPr>
        <w:t xml:space="preserve"> </w:t>
      </w:r>
      <w:r>
        <w:rPr>
          <w:rFonts w:hint="eastAsia" w:ascii="宋体" w:hAnsi="宋体" w:cs="宋体"/>
          <w:highlight w:val="none"/>
        </w:rPr>
        <w:t>透水铺装建设与运行维护技术规范</w:t>
      </w:r>
    </w:p>
    <w:p w14:paraId="3A45BD02">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DB3306/T 047-2022 </w:t>
      </w:r>
      <w:r>
        <w:rPr>
          <w:rFonts w:hint="eastAsia" w:ascii="宋体" w:hAnsi="宋体" w:cs="宋体"/>
          <w:highlight w:val="none"/>
          <w:lang w:val="en-US" w:eastAsia="zh-CN"/>
        </w:rPr>
        <w:t xml:space="preserve"> </w:t>
      </w:r>
      <w:r>
        <w:rPr>
          <w:rFonts w:hint="eastAsia" w:ascii="宋体" w:hAnsi="宋体" w:cs="宋体"/>
          <w:highlight w:val="none"/>
        </w:rPr>
        <w:t>城镇供水管网漏损管理规范</w:t>
      </w:r>
    </w:p>
    <w:p w14:paraId="7D0FBED9">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DB4403/T 87-2020 </w:t>
      </w:r>
      <w:r>
        <w:rPr>
          <w:rFonts w:hint="eastAsia" w:ascii="宋体" w:hAnsi="宋体" w:cs="宋体"/>
          <w:highlight w:val="none"/>
          <w:lang w:val="en-US" w:eastAsia="zh-CN"/>
        </w:rPr>
        <w:t xml:space="preserve"> </w:t>
      </w:r>
      <w:r>
        <w:rPr>
          <w:rFonts w:hint="eastAsia" w:ascii="宋体" w:hAnsi="宋体" w:cs="宋体"/>
          <w:highlight w:val="none"/>
        </w:rPr>
        <w:t>园林绿化管养规范</w:t>
      </w:r>
    </w:p>
    <w:p w14:paraId="6FA11248">
      <w:pPr>
        <w:autoSpaceDE w:val="0"/>
        <w:autoSpaceDN w:val="0"/>
        <w:ind w:firstLine="420" w:firstLineChars="200"/>
        <w:rPr>
          <w:rFonts w:hint="eastAsia" w:ascii="宋体" w:hAnsi="宋体" w:cs="宋体"/>
          <w:highlight w:val="none"/>
        </w:rPr>
      </w:pPr>
      <w:r>
        <w:rPr>
          <w:rFonts w:hint="eastAsia" w:ascii="宋体" w:hAnsi="宋体" w:cs="宋体"/>
          <w:highlight w:val="none"/>
        </w:rPr>
        <w:t xml:space="preserve">DB6101/T 3183-2024 </w:t>
      </w:r>
      <w:r>
        <w:rPr>
          <w:rFonts w:hint="eastAsia" w:ascii="宋体" w:hAnsi="宋体" w:cs="宋体"/>
          <w:highlight w:val="none"/>
          <w:lang w:val="en-US" w:eastAsia="zh-CN"/>
        </w:rPr>
        <w:t xml:space="preserve"> </w:t>
      </w:r>
      <w:r>
        <w:rPr>
          <w:rFonts w:hint="eastAsia" w:ascii="宋体" w:hAnsi="宋体" w:cs="宋体"/>
          <w:highlight w:val="none"/>
        </w:rPr>
        <w:t>排水系统雨污混接调查技术导则</w:t>
      </w:r>
    </w:p>
    <w:p w14:paraId="19ECC502">
      <w:pPr>
        <w:autoSpaceDE w:val="0"/>
        <w:autoSpaceDN w:val="0"/>
        <w:ind w:firstLine="420" w:firstLineChars="200"/>
        <w:rPr>
          <w:rFonts w:hint="default" w:ascii="宋体" w:hAnsi="宋体" w:eastAsia="宋体" w:cs="宋体"/>
          <w:highlight w:val="none"/>
          <w:lang w:val="en-US" w:eastAsia="zh-CN"/>
        </w:rPr>
      </w:pPr>
      <w:r>
        <w:rPr>
          <w:rFonts w:hint="eastAsia" w:ascii="宋体" w:hAnsi="宋体" w:cs="宋体"/>
          <w:highlight w:val="none"/>
        </w:rPr>
        <w:t>SZDB/Z 69</w:t>
      </w:r>
      <w:r>
        <w:rPr>
          <w:rFonts w:hint="eastAsia" w:ascii="宋体" w:hAnsi="宋体" w:cs="宋体"/>
          <w:highlight w:val="none"/>
          <w:lang w:val="en-US" w:eastAsia="zh-CN"/>
        </w:rPr>
        <w:t xml:space="preserve">  组织的温室气体排放 量化和报告指南</w:t>
      </w:r>
    </w:p>
    <w:p w14:paraId="5C50D5F1">
      <w:pPr>
        <w:pStyle w:val="50"/>
        <w:outlineLvl w:val="0"/>
        <w:rPr>
          <w:rFonts w:ascii="Times New Roman"/>
          <w:highlight w:val="none"/>
        </w:rPr>
      </w:pPr>
      <w:bookmarkStart w:id="55" w:name="_Toc29220"/>
      <w:bookmarkStart w:id="56" w:name="_Toc102992450"/>
      <w:bookmarkStart w:id="57" w:name="_Toc13977"/>
      <w:r>
        <w:rPr>
          <w:rFonts w:ascii="Times New Roman"/>
          <w:highlight w:val="none"/>
        </w:rPr>
        <w:t>术语和定义</w:t>
      </w:r>
      <w:bookmarkEnd w:id="55"/>
      <w:bookmarkEnd w:id="56"/>
      <w:bookmarkEnd w:id="57"/>
    </w:p>
    <w:p w14:paraId="6B46377D">
      <w:pPr>
        <w:pStyle w:val="26"/>
        <w:rPr>
          <w:rFonts w:ascii="Times New Roman"/>
          <w:highlight w:val="none"/>
        </w:rPr>
      </w:pPr>
      <w:bookmarkStart w:id="58" w:name="_Toc55807229"/>
      <w:bookmarkEnd w:id="58"/>
      <w:bookmarkStart w:id="59" w:name="_Toc52098625"/>
      <w:bookmarkEnd w:id="59"/>
      <w:r>
        <w:rPr>
          <w:rFonts w:ascii="Times New Roman"/>
          <w:highlight w:val="none"/>
        </w:rPr>
        <w:t>下列术语和定义适用于本文件。</w:t>
      </w:r>
    </w:p>
    <w:p w14:paraId="1E8F8DC9">
      <w:pPr>
        <w:pStyle w:val="47"/>
        <w:spacing w:before="0" w:beforeLines="0" w:after="0" w:afterLines="0"/>
        <w:rPr>
          <w:rFonts w:ascii="Times New Roman"/>
          <w:highlight w:val="none"/>
        </w:rPr>
      </w:pPr>
    </w:p>
    <w:p w14:paraId="793D0F1A">
      <w:pPr>
        <w:pStyle w:val="26"/>
        <w:rPr>
          <w:rFonts w:ascii="Times New Roman" w:eastAsia="黑体"/>
          <w:highlight w:val="none"/>
        </w:rPr>
      </w:pPr>
      <w:r>
        <w:rPr>
          <w:rFonts w:hint="eastAsia" w:ascii="黑体" w:hAnsi="黑体" w:eastAsia="黑体" w:cs="黑体"/>
          <w:highlight w:val="none"/>
          <w:lang w:eastAsia="zh-CN"/>
        </w:rPr>
        <w:t xml:space="preserve">绿色低碳产业  </w:t>
      </w:r>
      <w:r>
        <w:rPr>
          <w:rFonts w:hint="eastAsia" w:ascii="黑体" w:hAnsi="黑体" w:eastAsia="黑体" w:cs="黑体"/>
          <w:highlight w:val="none"/>
          <w:lang w:val="en-US" w:eastAsia="zh-CN"/>
        </w:rPr>
        <w:t>g</w:t>
      </w:r>
      <w:r>
        <w:rPr>
          <w:rFonts w:hint="eastAsia" w:ascii="黑体" w:hAnsi="黑体" w:eastAsia="黑体" w:cs="黑体"/>
          <w:highlight w:val="none"/>
          <w:lang w:eastAsia="zh-CN"/>
        </w:rPr>
        <w:t>reen and low-carbon industr</w:t>
      </w:r>
      <w:r>
        <w:rPr>
          <w:rFonts w:hint="eastAsia" w:ascii="黑体" w:hAnsi="黑体" w:eastAsia="黑体" w:cs="黑体"/>
          <w:highlight w:val="none"/>
          <w:lang w:val="en-US" w:eastAsia="zh-CN"/>
        </w:rPr>
        <w:t>ies</w:t>
      </w:r>
    </w:p>
    <w:p w14:paraId="284C92BE">
      <w:pPr>
        <w:pStyle w:val="26"/>
        <w:rPr>
          <w:rFonts w:ascii="Times New Roman"/>
          <w:highlight w:val="none"/>
        </w:rPr>
      </w:pPr>
      <w:r>
        <w:rPr>
          <w:rFonts w:hint="eastAsia" w:ascii="Times New Roman"/>
          <w:highlight w:val="none"/>
          <w:lang w:val="en-US" w:eastAsia="zh-CN"/>
        </w:rPr>
        <w:t>以低能耗、低排放和低污染为基础，</w:t>
      </w:r>
      <w:r>
        <w:rPr>
          <w:rFonts w:ascii="Times New Roman"/>
          <w:highlight w:val="none"/>
        </w:rPr>
        <w:t>提供有利于资源节约</w:t>
      </w:r>
      <w:r>
        <w:rPr>
          <w:rFonts w:hint="eastAsia" w:asciiTheme="minorEastAsia" w:hAnsiTheme="minorEastAsia" w:eastAsiaTheme="minorEastAsia" w:cstheme="minorEastAsia"/>
          <w:highlight w:val="none"/>
        </w:rPr>
        <w:t>、环境友好、生态良好</w:t>
      </w:r>
      <w:r>
        <w:rPr>
          <w:rFonts w:ascii="Times New Roman"/>
          <w:highlight w:val="none"/>
        </w:rPr>
        <w:t>的产品或服务的企事业单位</w:t>
      </w:r>
      <w:r>
        <w:rPr>
          <w:rFonts w:hint="eastAsia" w:ascii="Times New Roman"/>
          <w:highlight w:val="none"/>
          <w:lang w:val="en-US" w:eastAsia="zh-CN"/>
        </w:rPr>
        <w:t>及项目</w:t>
      </w:r>
      <w:r>
        <w:rPr>
          <w:rFonts w:ascii="Times New Roman"/>
          <w:highlight w:val="none"/>
        </w:rPr>
        <w:t>的集合体。</w:t>
      </w:r>
    </w:p>
    <w:p w14:paraId="1D193939">
      <w:pPr>
        <w:pStyle w:val="47"/>
        <w:spacing w:before="0" w:beforeLines="0" w:after="0" w:afterLines="0"/>
        <w:rPr>
          <w:rFonts w:ascii="Times New Roman"/>
          <w:highlight w:val="none"/>
        </w:rPr>
      </w:pPr>
    </w:p>
    <w:p w14:paraId="5CB63EF3">
      <w:pPr>
        <w:pStyle w:val="26"/>
        <w:rPr>
          <w:rFonts w:ascii="Times New Roman" w:eastAsia="黑体"/>
          <w:highlight w:val="none"/>
        </w:rPr>
      </w:pPr>
      <w:r>
        <w:rPr>
          <w:rFonts w:hint="eastAsia" w:ascii="黑体" w:hAnsi="黑体" w:eastAsia="黑体" w:cs="黑体"/>
          <w:highlight w:val="none"/>
          <w:lang w:eastAsia="zh-CN"/>
        </w:rPr>
        <w:t>绿色低碳产业</w:t>
      </w:r>
      <w:r>
        <w:rPr>
          <w:rFonts w:hint="eastAsia" w:ascii="黑体" w:hAnsi="黑体" w:eastAsia="黑体" w:cs="黑体"/>
          <w:highlight w:val="none"/>
        </w:rPr>
        <w:t xml:space="preserve">企业  </w:t>
      </w:r>
      <w:r>
        <w:rPr>
          <w:rFonts w:hint="eastAsia" w:ascii="黑体" w:hAnsi="黑体" w:eastAsia="黑体" w:cs="黑体"/>
          <w:spacing w:val="-11"/>
          <w:highlight w:val="none"/>
        </w:rPr>
        <w:t>enterprises and institutions recognized as green and low-carbon industr</w:t>
      </w:r>
      <w:r>
        <w:rPr>
          <w:rFonts w:hint="eastAsia" w:ascii="黑体" w:hAnsi="黑体" w:eastAsia="黑体" w:cs="黑体"/>
          <w:spacing w:val="-11"/>
          <w:highlight w:val="none"/>
          <w:lang w:val="en-US" w:eastAsia="zh-CN"/>
        </w:rPr>
        <w:t>ies</w:t>
      </w:r>
    </w:p>
    <w:p w14:paraId="09A3D863">
      <w:pPr>
        <w:pStyle w:val="26"/>
        <w:rPr>
          <w:rFonts w:ascii="Times New Roman"/>
          <w:highlight w:val="none"/>
        </w:rPr>
      </w:pPr>
      <w:r>
        <w:rPr>
          <w:rFonts w:ascii="Times New Roman"/>
          <w:highlight w:val="none"/>
        </w:rPr>
        <w:t>经营范围</w:t>
      </w:r>
      <w:r>
        <w:rPr>
          <w:rFonts w:hint="eastAsia" w:ascii="Times New Roman"/>
          <w:highlight w:val="none"/>
        </w:rPr>
        <w:t>属于相关政府职能部门发布的绿色低碳</w:t>
      </w:r>
      <w:r>
        <w:rPr>
          <w:rFonts w:hint="eastAsia" w:ascii="宋体" w:hAnsi="宋体" w:eastAsia="宋体" w:cs="宋体"/>
          <w:highlight w:val="none"/>
        </w:rPr>
        <w:t>产业（3.1）相</w:t>
      </w:r>
      <w:r>
        <w:rPr>
          <w:rFonts w:hint="eastAsia" w:ascii="Times New Roman"/>
          <w:highlight w:val="none"/>
        </w:rPr>
        <w:t>关指导目录所涵盖的产业类别</w:t>
      </w:r>
      <w:r>
        <w:rPr>
          <w:rFonts w:ascii="Times New Roman"/>
          <w:highlight w:val="none"/>
        </w:rPr>
        <w:t>，</w:t>
      </w:r>
      <w:r>
        <w:rPr>
          <w:rFonts w:hint="eastAsia" w:ascii="Times New Roman"/>
          <w:highlight w:val="none"/>
        </w:rPr>
        <w:t>且</w:t>
      </w:r>
      <w:r>
        <w:rPr>
          <w:rFonts w:ascii="Times New Roman"/>
          <w:highlight w:val="none"/>
        </w:rPr>
        <w:t>通过绿色</w:t>
      </w:r>
      <w:r>
        <w:rPr>
          <w:rFonts w:hint="eastAsia" w:ascii="Times New Roman"/>
          <w:highlight w:val="none"/>
        </w:rPr>
        <w:t>低碳</w:t>
      </w:r>
      <w:r>
        <w:rPr>
          <w:rFonts w:ascii="Times New Roman"/>
          <w:highlight w:val="none"/>
        </w:rPr>
        <w:t>产业认定的企事业单位。</w:t>
      </w:r>
    </w:p>
    <w:p w14:paraId="4C8A9767">
      <w:pPr>
        <w:numPr>
          <w:ilvl w:val="1"/>
          <w:numId w:val="2"/>
        </w:numPr>
        <w:spacing w:before="0" w:beforeLines="0" w:after="0" w:afterLines="0"/>
        <w:outlineLvl w:val="2"/>
        <w:rPr>
          <w:rFonts w:ascii="Times New Roman" w:hAnsi="Times New Roman" w:eastAsia="黑体" w:cs="Times New Roman"/>
          <w:sz w:val="21"/>
          <w:szCs w:val="21"/>
          <w:highlight w:val="none"/>
          <w:lang w:val="en-US" w:eastAsia="zh-CN" w:bidi="ar-SA"/>
        </w:rPr>
      </w:pPr>
    </w:p>
    <w:p w14:paraId="05D38F22">
      <w:pPr>
        <w:autoSpaceDE w:val="0"/>
        <w:autoSpaceDN w:val="0"/>
        <w:ind w:firstLine="420" w:firstLineChars="200"/>
        <w:jc w:val="both"/>
        <w:rPr>
          <w:rFonts w:hint="eastAsia" w:ascii="Times New Roman" w:hAnsi="Times New Roman" w:eastAsia="黑体" w:cs="Times New Roman"/>
          <w:sz w:val="21"/>
          <w:highlight w:val="none"/>
          <w:lang w:val="en-US" w:eastAsia="zh-CN" w:bidi="ar-SA"/>
        </w:rPr>
      </w:pPr>
      <w:r>
        <w:rPr>
          <w:rFonts w:hint="eastAsia" w:ascii="黑体" w:hAnsi="黑体" w:eastAsia="黑体" w:cs="黑体"/>
          <w:sz w:val="21"/>
          <w:highlight w:val="none"/>
          <w:lang w:val="en-US" w:eastAsia="zh-CN" w:bidi="ar-SA"/>
        </w:rPr>
        <w:t xml:space="preserve">绿色低碳产业项目  projects </w:t>
      </w:r>
      <w:r>
        <w:rPr>
          <w:rFonts w:hint="eastAsia" w:ascii="黑体" w:hAnsi="黑体" w:eastAsia="黑体" w:cs="黑体"/>
          <w:spacing w:val="-11"/>
          <w:sz w:val="21"/>
          <w:highlight w:val="none"/>
          <w:lang w:val="en-US" w:eastAsia="zh-CN" w:bidi="ar-SA"/>
        </w:rPr>
        <w:t>recognized as green and low-carbon industries</w:t>
      </w:r>
    </w:p>
    <w:p w14:paraId="2E5E22A0">
      <w:pPr>
        <w:pStyle w:val="26"/>
        <w:rPr>
          <w:rFonts w:hint="eastAsia" w:ascii="Times New Roman" w:hAnsi="Times New Roman" w:eastAsia="宋体" w:cs="Times New Roman"/>
          <w:sz w:val="21"/>
          <w:highlight w:val="none"/>
          <w:lang w:val="en-US" w:eastAsia="zh-CN" w:bidi="ar-SA"/>
        </w:rPr>
      </w:pPr>
      <w:r>
        <w:rPr>
          <w:rFonts w:hint="eastAsia" w:ascii="Times New Roman" w:cs="Times New Roman"/>
          <w:sz w:val="21"/>
          <w:highlight w:val="none"/>
          <w:lang w:val="en-US" w:eastAsia="zh-CN" w:bidi="ar-SA"/>
        </w:rPr>
        <w:t>属于相关政府职能部门发布的绿色低碳产</w:t>
      </w:r>
      <w:r>
        <w:rPr>
          <w:rFonts w:hint="eastAsia" w:ascii="宋体" w:hAnsi="宋体" w:eastAsia="宋体" w:cs="宋体"/>
          <w:sz w:val="21"/>
          <w:highlight w:val="none"/>
          <w:lang w:val="en-US" w:eastAsia="zh-CN" w:bidi="ar-SA"/>
        </w:rPr>
        <w:t>业（3.1）相关</w:t>
      </w:r>
      <w:r>
        <w:rPr>
          <w:rFonts w:hint="eastAsia" w:ascii="Times New Roman" w:cs="Times New Roman"/>
          <w:sz w:val="21"/>
          <w:highlight w:val="none"/>
          <w:lang w:val="en-US" w:eastAsia="zh-CN" w:bidi="ar-SA"/>
        </w:rPr>
        <w:t>指导目录所涵盖的产业类别，且通过绿色低碳产业认定的项目。</w:t>
      </w:r>
    </w:p>
    <w:p w14:paraId="04F0460E">
      <w:pPr>
        <w:pStyle w:val="47"/>
        <w:spacing w:before="0" w:beforeLines="0" w:after="0" w:afterLines="0"/>
        <w:rPr>
          <w:rFonts w:ascii="Times New Roman"/>
          <w:highlight w:val="none"/>
        </w:rPr>
      </w:pPr>
    </w:p>
    <w:p w14:paraId="7351FB1C">
      <w:pPr>
        <w:pStyle w:val="26"/>
        <w:rPr>
          <w:rFonts w:ascii="Times New Roman" w:eastAsia="黑体"/>
          <w:highlight w:val="none"/>
        </w:rPr>
      </w:pPr>
      <w:r>
        <w:rPr>
          <w:rFonts w:hint="eastAsia" w:ascii="黑体" w:hAnsi="黑体" w:eastAsia="黑体" w:cs="黑体"/>
          <w:highlight w:val="none"/>
        </w:rPr>
        <w:t>绿色业务  green business</w:t>
      </w:r>
    </w:p>
    <w:p w14:paraId="3F02CBF3">
      <w:pPr>
        <w:pStyle w:val="26"/>
        <w:rPr>
          <w:rFonts w:ascii="Times New Roman"/>
          <w:highlight w:val="none"/>
        </w:rPr>
      </w:pPr>
      <w:r>
        <w:rPr>
          <w:rFonts w:ascii="Times New Roman"/>
          <w:highlight w:val="none"/>
        </w:rPr>
        <w:t>提供</w:t>
      </w:r>
      <w:r>
        <w:rPr>
          <w:rFonts w:hint="eastAsia" w:ascii="Times New Roman"/>
          <w:highlight w:val="none"/>
        </w:rPr>
        <w:t>相关政府职能部门发布的绿色低碳产</w:t>
      </w:r>
      <w:r>
        <w:rPr>
          <w:rFonts w:hint="eastAsia" w:ascii="宋体" w:hAnsi="宋体" w:eastAsia="宋体" w:cs="宋体"/>
          <w:highlight w:val="none"/>
        </w:rPr>
        <w:t>业（3.1）相</w:t>
      </w:r>
      <w:r>
        <w:rPr>
          <w:rFonts w:hint="eastAsia" w:ascii="Times New Roman"/>
          <w:highlight w:val="none"/>
        </w:rPr>
        <w:t>关指导目录所涵盖的产业类别的</w:t>
      </w:r>
      <w:r>
        <w:rPr>
          <w:rFonts w:ascii="Times New Roman"/>
          <w:highlight w:val="none"/>
        </w:rPr>
        <w:t>产品或服务的经营活动。</w:t>
      </w:r>
    </w:p>
    <w:p w14:paraId="49718C21">
      <w:pPr>
        <w:pStyle w:val="47"/>
        <w:spacing w:before="0" w:beforeLines="0" w:after="0" w:afterLines="0"/>
        <w:rPr>
          <w:rFonts w:ascii="Times New Roman"/>
          <w:highlight w:val="none"/>
        </w:rPr>
      </w:pPr>
    </w:p>
    <w:p w14:paraId="36D9909B">
      <w:pPr>
        <w:kinsoku w:val="0"/>
        <w:overflowPunct w:val="0"/>
        <w:autoSpaceDE w:val="0"/>
        <w:autoSpaceDN w:val="0"/>
        <w:adjustRightInd w:val="0"/>
        <w:snapToGrid w:val="0"/>
        <w:spacing w:line="300" w:lineRule="auto"/>
        <w:ind w:firstLine="420" w:firstLineChars="200"/>
        <w:jc w:val="left"/>
        <w:textAlignment w:val="baseline"/>
        <w:rPr>
          <w:rFonts w:hint="default" w:ascii="黑体" w:hAnsi="黑体" w:eastAsia="黑体" w:cs="黑体"/>
          <w:kern w:val="0"/>
          <w:sz w:val="21"/>
          <w:szCs w:val="20"/>
          <w:highlight w:val="none"/>
          <w:lang w:val="en-US" w:eastAsia="zh-CN" w:bidi="ar-SA"/>
        </w:rPr>
      </w:pPr>
      <w:r>
        <w:rPr>
          <w:rFonts w:hint="eastAsia" w:eastAsia="黑体"/>
          <w:highlight w:val="none"/>
          <w:lang w:val="en-US" w:eastAsia="zh-CN"/>
        </w:rPr>
        <w:t>优质中小企业</w:t>
      </w:r>
      <w:r>
        <w:rPr>
          <w:rFonts w:hint="eastAsia" w:eastAsia="黑体"/>
          <w:highlight w:val="none"/>
        </w:rPr>
        <w:t xml:space="preserve"> </w:t>
      </w:r>
      <w:r>
        <w:rPr>
          <w:rFonts w:hint="eastAsia" w:ascii="黑体" w:hAnsi="黑体" w:eastAsia="黑体" w:cs="黑体"/>
          <w:highlight w:val="none"/>
        </w:rPr>
        <w:t xml:space="preserve"> </w:t>
      </w:r>
      <w:r>
        <w:rPr>
          <w:rFonts w:hint="eastAsia" w:ascii="黑体" w:hAnsi="黑体" w:eastAsia="黑体" w:cs="黑体"/>
          <w:kern w:val="0"/>
          <w:sz w:val="21"/>
          <w:szCs w:val="20"/>
          <w:highlight w:val="none"/>
          <w:lang w:val="en-US" w:eastAsia="zh-CN" w:bidi="ar-SA"/>
        </w:rPr>
        <w:t>high quality small and medium-sized enterprises</w:t>
      </w:r>
    </w:p>
    <w:p w14:paraId="12D4700E">
      <w:pPr>
        <w:autoSpaceDE w:val="0"/>
        <w:autoSpaceDN w:val="0"/>
        <w:ind w:firstLine="420" w:firstLineChars="200"/>
        <w:jc w:val="both"/>
        <w:rPr>
          <w:rFonts w:ascii="Times New Roman" w:hAnsi="Times New Roman" w:eastAsia="宋体" w:cs="Times New Roman"/>
          <w:sz w:val="21"/>
          <w:highlight w:val="none"/>
          <w:lang w:val="en-US" w:eastAsia="zh-CN" w:bidi="ar-SA"/>
        </w:rPr>
      </w:pPr>
      <w:r>
        <w:rPr>
          <w:rFonts w:hint="eastAsia" w:ascii="Times New Roman" w:hAnsi="Times New Roman" w:eastAsia="宋体" w:cs="Times New Roman"/>
          <w:sz w:val="21"/>
          <w:highlight w:val="none"/>
          <w:lang w:val="en-US" w:eastAsia="zh-CN" w:bidi="ar-SA"/>
        </w:rPr>
        <w:t>在产品、技术、管理、模式等方面创新能力强、专注细分市场、成长性好的中小企业。</w:t>
      </w:r>
    </w:p>
    <w:p w14:paraId="11354EC9">
      <w:pPr>
        <w:widowControl w:val="0"/>
        <w:numPr>
          <w:ilvl w:val="0"/>
          <w:numId w:val="6"/>
        </w:numPr>
        <w:autoSpaceDE w:val="0"/>
        <w:autoSpaceDN w:val="0"/>
        <w:ind w:left="0" w:firstLine="360" w:firstLineChars="200"/>
        <w:jc w:val="both"/>
        <w:rPr>
          <w:rFonts w:ascii="Times New Roman"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优质中小企业由创新型中小企业、专精特新中小企业和专精特新“小巨人”企业三个层次组成</w:t>
      </w:r>
      <w:r>
        <w:rPr>
          <w:rFonts w:ascii="宋体" w:hAnsi="Times New Roman" w:eastAsia="宋体" w:cs="Times New Roman"/>
          <w:sz w:val="18"/>
          <w:szCs w:val="18"/>
          <w:highlight w:val="none"/>
          <w:lang w:val="en-US" w:eastAsia="zh-CN" w:bidi="ar-SA"/>
        </w:rPr>
        <w:t>。</w:t>
      </w:r>
    </w:p>
    <w:p w14:paraId="7FB1F2CA">
      <w:pPr>
        <w:pStyle w:val="47"/>
        <w:spacing w:before="0" w:beforeLines="0" w:after="0" w:afterLines="0"/>
        <w:rPr>
          <w:rFonts w:ascii="Times New Roman"/>
          <w:highlight w:val="none"/>
        </w:rPr>
      </w:pPr>
    </w:p>
    <w:p w14:paraId="2195E899">
      <w:pPr>
        <w:kinsoku w:val="0"/>
        <w:overflowPunct w:val="0"/>
        <w:autoSpaceDE w:val="0"/>
        <w:autoSpaceDN w:val="0"/>
        <w:adjustRightInd w:val="0"/>
        <w:snapToGrid w:val="0"/>
        <w:spacing w:line="300" w:lineRule="auto"/>
        <w:ind w:firstLine="420" w:firstLineChars="200"/>
        <w:jc w:val="left"/>
        <w:textAlignment w:val="baseline"/>
        <w:rPr>
          <w:rFonts w:eastAsia="黑体"/>
          <w:highlight w:val="none"/>
        </w:rPr>
      </w:pPr>
      <w:r>
        <w:rPr>
          <w:rFonts w:hint="eastAsia" w:eastAsia="黑体"/>
          <w:highlight w:val="none"/>
          <w:lang w:val="en-US" w:eastAsia="zh-CN"/>
        </w:rPr>
        <w:t>环境基础设施产业</w:t>
      </w:r>
      <w:r>
        <w:rPr>
          <w:rFonts w:hint="eastAsia" w:eastAsia="黑体"/>
          <w:highlight w:val="none"/>
        </w:rPr>
        <w:t xml:space="preserve"> </w:t>
      </w:r>
      <w:r>
        <w:rPr>
          <w:rFonts w:hint="eastAsia" w:ascii="黑体" w:hAnsi="黑体" w:eastAsia="黑体" w:cs="黑体"/>
          <w:highlight w:val="none"/>
        </w:rPr>
        <w:t xml:space="preserve"> </w:t>
      </w:r>
      <w:r>
        <w:rPr>
          <w:rFonts w:hint="eastAsia" w:ascii="黑体" w:hAnsi="黑体" w:eastAsia="黑体" w:cs="黑体"/>
          <w:highlight w:val="none"/>
          <w:lang w:val="en-US" w:eastAsia="zh-CN"/>
        </w:rPr>
        <w:t>r</w:t>
      </w:r>
      <w:r>
        <w:rPr>
          <w:rFonts w:hint="eastAsia" w:ascii="黑体" w:hAnsi="黑体" w:eastAsia="黑体" w:cs="黑体"/>
          <w:highlight w:val="none"/>
        </w:rPr>
        <w:t>esource recycling industry</w:t>
      </w:r>
    </w:p>
    <w:p w14:paraId="51937978">
      <w:pPr>
        <w:pStyle w:val="26"/>
        <w:rPr>
          <w:rFonts w:ascii="Times New Roman"/>
          <w:highlight w:val="none"/>
        </w:rPr>
      </w:pPr>
      <w:r>
        <w:rPr>
          <w:rFonts w:hint="eastAsia" w:ascii="Times New Roman"/>
          <w:highlight w:val="none"/>
        </w:rPr>
        <w:t>属于</w:t>
      </w:r>
      <w:r>
        <w:rPr>
          <w:rFonts w:hint="eastAsia" w:ascii="Times New Roman"/>
          <w:highlight w:val="none"/>
          <w:lang w:val="en-US" w:eastAsia="zh-CN"/>
        </w:rPr>
        <w:t>相关政府职能部门发布的绿色低碳产</w:t>
      </w:r>
      <w:r>
        <w:rPr>
          <w:rFonts w:hint="eastAsia" w:ascii="宋体" w:hAnsi="宋体" w:eastAsia="宋体" w:cs="宋体"/>
          <w:highlight w:val="none"/>
          <w:lang w:val="en-US" w:eastAsia="zh-CN"/>
        </w:rPr>
        <w:t>业（3.1）相</w:t>
      </w:r>
      <w:r>
        <w:rPr>
          <w:rFonts w:hint="eastAsia" w:ascii="Times New Roman"/>
          <w:highlight w:val="none"/>
          <w:lang w:val="en-US" w:eastAsia="zh-CN"/>
        </w:rPr>
        <w:t>关指导目录中</w:t>
      </w:r>
      <w:r>
        <w:rPr>
          <w:rFonts w:hint="eastAsia" w:ascii="Times New Roman"/>
          <w:highlight w:val="none"/>
        </w:rPr>
        <w:t>“</w:t>
      </w:r>
      <w:r>
        <w:rPr>
          <w:rFonts w:hint="eastAsia" w:ascii="Times New Roman"/>
          <w:highlight w:val="none"/>
          <w:lang w:val="en-US" w:eastAsia="zh-CN"/>
        </w:rPr>
        <w:t>环境基础设施产业</w:t>
      </w:r>
      <w:r>
        <w:rPr>
          <w:rFonts w:hint="eastAsia" w:ascii="Times New Roman"/>
          <w:highlight w:val="none"/>
        </w:rPr>
        <w:t>”</w:t>
      </w:r>
      <w:r>
        <w:rPr>
          <w:rFonts w:hint="eastAsia" w:ascii="Times New Roman"/>
          <w:highlight w:val="none"/>
          <w:lang w:val="en-US" w:eastAsia="zh-CN"/>
        </w:rPr>
        <w:t>列明的行业</w:t>
      </w:r>
      <w:r>
        <w:rPr>
          <w:rFonts w:ascii="Times New Roman"/>
          <w:highlight w:val="none"/>
        </w:rPr>
        <w:t>。</w:t>
      </w:r>
    </w:p>
    <w:p w14:paraId="68324E2D">
      <w:pPr>
        <w:pStyle w:val="50"/>
        <w:outlineLvl w:val="0"/>
        <w:rPr>
          <w:rFonts w:ascii="Times New Roman"/>
          <w:highlight w:val="none"/>
        </w:rPr>
      </w:pPr>
      <w:bookmarkStart w:id="60" w:name="_Toc55807233"/>
      <w:bookmarkEnd w:id="60"/>
      <w:bookmarkStart w:id="61" w:name="_Toc52098628"/>
      <w:bookmarkEnd w:id="61"/>
      <w:bookmarkStart w:id="62" w:name="_Toc55807232"/>
      <w:bookmarkEnd w:id="62"/>
      <w:bookmarkStart w:id="63" w:name="_Toc52098629"/>
      <w:bookmarkEnd w:id="63"/>
      <w:bookmarkStart w:id="64" w:name="_Toc82684143"/>
      <w:bookmarkEnd w:id="64"/>
      <w:bookmarkStart w:id="65" w:name="_Toc102992454"/>
      <w:bookmarkEnd w:id="65"/>
      <w:bookmarkStart w:id="66" w:name="_Toc102992453"/>
      <w:bookmarkEnd w:id="66"/>
      <w:bookmarkStart w:id="67" w:name="_Toc9151"/>
      <w:bookmarkStart w:id="68" w:name="_Toc69"/>
      <w:r>
        <w:rPr>
          <w:rFonts w:ascii="Times New Roman"/>
          <w:highlight w:val="none"/>
        </w:rPr>
        <w:t>评价</w:t>
      </w:r>
      <w:r>
        <w:rPr>
          <w:rFonts w:hint="eastAsia" w:ascii="Times New Roman"/>
          <w:highlight w:val="none"/>
          <w:lang w:val="en-US" w:eastAsia="zh-CN"/>
        </w:rPr>
        <w:t>原</w:t>
      </w:r>
      <w:r>
        <w:rPr>
          <w:rFonts w:hint="eastAsia" w:ascii="Times New Roman"/>
          <w:highlight w:val="none"/>
        </w:rPr>
        <w:t>则</w:t>
      </w:r>
      <w:bookmarkEnd w:id="67"/>
      <w:bookmarkEnd w:id="68"/>
      <w:bookmarkStart w:id="69" w:name="_Toc52098632"/>
    </w:p>
    <w:p w14:paraId="7DE9B6C5">
      <w:pPr>
        <w:pStyle w:val="26"/>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认定评价遵循以下原则：</w:t>
      </w:r>
    </w:p>
    <w:p w14:paraId="1754C0B0">
      <w:pPr>
        <w:pStyle w:val="26"/>
        <w:ind w:left="840" w:leftChars="200" w:hanging="420" w:hangingChars="200"/>
        <w:rPr>
          <w:rFonts w:hint="eastAsia" w:hAnsi="宋体" w:eastAsia="宋体" w:cs="宋体"/>
          <w:highlight w:val="none"/>
          <w:lang w:eastAsia="zh-CN"/>
        </w:rPr>
      </w:pPr>
      <w:r>
        <w:rPr>
          <w:rFonts w:hint="eastAsia" w:hAnsi="宋体" w:cs="宋体"/>
          <w:highlight w:val="none"/>
        </w:rPr>
        <w:t>——科学性。评价过程根据</w:t>
      </w:r>
      <w:r>
        <w:rPr>
          <w:rFonts w:hint="eastAsia" w:hAnsi="宋体" w:cs="宋体"/>
          <w:highlight w:val="none"/>
          <w:lang w:val="en-US" w:eastAsia="zh-CN"/>
        </w:rPr>
        <w:t>环境基础设施领域</w:t>
      </w:r>
      <w:r>
        <w:rPr>
          <w:rFonts w:hint="eastAsia" w:hAnsi="宋体" w:cs="宋体"/>
          <w:highlight w:val="none"/>
        </w:rPr>
        <w:t>特点和各子行业差异性，采用科学的方法，全面、客观地评价企事业单位</w:t>
      </w:r>
      <w:r>
        <w:rPr>
          <w:rFonts w:hint="eastAsia" w:hAnsi="宋体" w:cs="宋体"/>
          <w:highlight w:val="none"/>
          <w:lang w:val="en-US" w:eastAsia="zh-CN"/>
        </w:rPr>
        <w:t>或项目的</w:t>
      </w:r>
      <w:r>
        <w:rPr>
          <w:rFonts w:hint="eastAsia" w:hAnsi="宋体" w:cs="宋体"/>
          <w:highlight w:val="none"/>
        </w:rPr>
        <w:t>实际情况，给出评价结论</w:t>
      </w:r>
      <w:r>
        <w:rPr>
          <w:rFonts w:hint="eastAsia" w:hAnsi="宋体" w:cs="宋体"/>
          <w:highlight w:val="none"/>
          <w:lang w:eastAsia="zh-CN"/>
        </w:rPr>
        <w:t>；</w:t>
      </w:r>
    </w:p>
    <w:p w14:paraId="6D23417D">
      <w:pPr>
        <w:pStyle w:val="26"/>
        <w:rPr>
          <w:rFonts w:hAnsi="宋体" w:cs="宋体"/>
          <w:highlight w:val="none"/>
        </w:rPr>
      </w:pPr>
      <w:r>
        <w:rPr>
          <w:rFonts w:hint="eastAsia" w:hAnsi="宋体" w:cs="宋体"/>
          <w:highlight w:val="none"/>
        </w:rPr>
        <w:t>——可验证性。详细记录评价材料、数据、文件等的获取途径、渠道，保留原始的测试数据、材</w:t>
      </w:r>
    </w:p>
    <w:p w14:paraId="33CE52E9">
      <w:pPr>
        <w:pStyle w:val="26"/>
        <w:ind w:firstLine="840" w:firstLineChars="400"/>
        <w:rPr>
          <w:rFonts w:hint="eastAsia" w:ascii="Times New Roman" w:eastAsia="宋体"/>
          <w:highlight w:val="none"/>
          <w:lang w:eastAsia="zh-CN"/>
        </w:rPr>
      </w:pPr>
      <w:r>
        <w:rPr>
          <w:rFonts w:hint="eastAsia" w:hAnsi="宋体" w:cs="宋体"/>
          <w:highlight w:val="none"/>
        </w:rPr>
        <w:t>料，保证数据、材料的可溯源性和可验证性</w:t>
      </w:r>
      <w:r>
        <w:rPr>
          <w:rFonts w:hint="eastAsia" w:hAnsi="宋体" w:cs="宋体"/>
          <w:highlight w:val="none"/>
          <w:lang w:eastAsia="zh-CN"/>
        </w:rPr>
        <w:t>；</w:t>
      </w:r>
    </w:p>
    <w:p w14:paraId="546CC724">
      <w:pPr>
        <w:pStyle w:val="26"/>
        <w:ind w:left="840" w:leftChars="200" w:hanging="420" w:hangingChars="200"/>
        <w:rPr>
          <w:rFonts w:ascii="Times New Roman"/>
          <w:highlight w:val="none"/>
        </w:rPr>
      </w:pPr>
      <w:r>
        <w:rPr>
          <w:rFonts w:hint="eastAsia" w:hAnsi="宋体" w:cs="宋体"/>
          <w:highlight w:val="none"/>
        </w:rPr>
        <w:t>——审慎性。评价报告给出谨慎的评价意见，对于基础数据不全、信息不完整的企事业单位</w:t>
      </w:r>
      <w:r>
        <w:rPr>
          <w:rFonts w:hint="eastAsia" w:hAnsi="宋体" w:cs="宋体"/>
          <w:highlight w:val="none"/>
          <w:lang w:val="en-US" w:eastAsia="zh-CN"/>
        </w:rPr>
        <w:t>或项目</w:t>
      </w:r>
      <w:r>
        <w:rPr>
          <w:rFonts w:hint="eastAsia" w:hAnsi="宋体" w:cs="宋体"/>
          <w:highlight w:val="none"/>
        </w:rPr>
        <w:t>，说明由于条件不具备无法给出评价结论。</w:t>
      </w:r>
      <w:bookmarkEnd w:id="69"/>
    </w:p>
    <w:p w14:paraId="5403B3D8">
      <w:pPr>
        <w:pStyle w:val="50"/>
        <w:outlineLvl w:val="0"/>
        <w:rPr>
          <w:rFonts w:ascii="Times New Roman"/>
          <w:highlight w:val="none"/>
        </w:rPr>
      </w:pPr>
      <w:bookmarkStart w:id="70" w:name="_Toc7903"/>
      <w:bookmarkStart w:id="71" w:name="_Toc26006"/>
      <w:bookmarkStart w:id="72" w:name="_Toc102992458"/>
      <w:bookmarkStart w:id="73" w:name="_Toc80690492"/>
      <w:r>
        <w:rPr>
          <w:rFonts w:hint="eastAsia" w:ascii="Times New Roman"/>
          <w:highlight w:val="none"/>
          <w:lang w:val="en-US" w:eastAsia="zh-CN"/>
        </w:rPr>
        <w:t>绿色低碳产业企业</w:t>
      </w:r>
      <w:r>
        <w:rPr>
          <w:rFonts w:ascii="Times New Roman"/>
          <w:highlight w:val="none"/>
        </w:rPr>
        <w:t>评价</w:t>
      </w:r>
      <w:bookmarkEnd w:id="70"/>
      <w:bookmarkEnd w:id="71"/>
      <w:bookmarkEnd w:id="72"/>
      <w:bookmarkEnd w:id="73"/>
    </w:p>
    <w:p w14:paraId="294D12B7">
      <w:pPr>
        <w:pStyle w:val="47"/>
        <w:outlineLvl w:val="1"/>
        <w:rPr>
          <w:rFonts w:ascii="Times New Roman"/>
          <w:highlight w:val="none"/>
        </w:rPr>
      </w:pPr>
      <w:bookmarkStart w:id="74" w:name="_Toc2360"/>
      <w:bookmarkStart w:id="75" w:name="_Toc27843"/>
      <w:bookmarkStart w:id="76" w:name="_Toc102992460"/>
      <w:r>
        <w:rPr>
          <w:rFonts w:ascii="Times New Roman"/>
          <w:highlight w:val="none"/>
        </w:rPr>
        <w:t>符合性评价</w:t>
      </w:r>
      <w:bookmarkEnd w:id="74"/>
      <w:bookmarkEnd w:id="75"/>
      <w:bookmarkEnd w:id="76"/>
    </w:p>
    <w:p w14:paraId="7442DA6E">
      <w:pPr>
        <w:pStyle w:val="51"/>
        <w:spacing w:before="156" w:after="156"/>
        <w:rPr>
          <w:rFonts w:ascii="Times New Roman"/>
          <w:highlight w:val="none"/>
        </w:rPr>
      </w:pPr>
      <w:r>
        <w:rPr>
          <w:rFonts w:ascii="Times New Roman"/>
          <w:highlight w:val="none"/>
        </w:rPr>
        <w:t>目录符合</w:t>
      </w:r>
    </w:p>
    <w:p w14:paraId="4A5FF593">
      <w:pPr>
        <w:pStyle w:val="26"/>
        <w:keepNext w:val="0"/>
        <w:keepLines w:val="0"/>
        <w:pageBreakBefore w:val="0"/>
        <w:widowControl w:val="0"/>
        <w:kinsoku/>
        <w:wordWrap/>
        <w:overflowPunct/>
        <w:topLinePunct w:val="0"/>
        <w:autoSpaceDE w:val="0"/>
        <w:autoSpaceDN w:val="0"/>
        <w:bidi w:val="0"/>
        <w:adjustRightInd/>
        <w:snapToGrid/>
        <w:textAlignment w:val="auto"/>
        <w:rPr>
          <w:rFonts w:ascii="Times New Roman"/>
          <w:highlight w:val="none"/>
        </w:rPr>
      </w:pPr>
      <w:r>
        <w:rPr>
          <w:rFonts w:hint="eastAsia" w:ascii="宋体" w:hAnsi="宋体" w:eastAsia="宋体" w:cs="宋体"/>
          <w:highlight w:val="none"/>
        </w:rPr>
        <w:t>申报认定评价的</w:t>
      </w:r>
      <w:r>
        <w:rPr>
          <w:rFonts w:hint="eastAsia" w:ascii="宋体" w:hAnsi="宋体" w:eastAsia="宋体" w:cs="宋体"/>
          <w:highlight w:val="none"/>
          <w:lang w:val="en-US" w:eastAsia="zh-CN"/>
        </w:rPr>
        <w:t>绿色业务</w:t>
      </w:r>
      <w:r>
        <w:rPr>
          <w:rFonts w:hint="eastAsia" w:ascii="宋体" w:hAnsi="宋体" w:eastAsia="宋体" w:cs="宋体"/>
          <w:highlight w:val="none"/>
        </w:rPr>
        <w:t>属于</w:t>
      </w:r>
      <w:r>
        <w:rPr>
          <w:rFonts w:hint="eastAsia" w:hAnsi="宋体" w:cs="宋体"/>
          <w:highlight w:val="none"/>
          <w:lang w:val="en-US" w:eastAsia="zh-CN"/>
        </w:rPr>
        <w:t>环境基础设施</w:t>
      </w:r>
      <w:r>
        <w:rPr>
          <w:rFonts w:hint="eastAsia" w:ascii="宋体" w:hAnsi="宋体" w:eastAsia="宋体" w:cs="宋体"/>
          <w:highlight w:val="none"/>
          <w:lang w:val="en-US" w:eastAsia="zh-CN"/>
        </w:rPr>
        <w:t>领域</w:t>
      </w:r>
      <w:r>
        <w:rPr>
          <w:rFonts w:hint="eastAsia" w:ascii="宋体" w:hAnsi="宋体" w:eastAsia="宋体" w:cs="宋体"/>
          <w:highlight w:val="none"/>
        </w:rPr>
        <w:t>，且其</w:t>
      </w:r>
      <w:r>
        <w:rPr>
          <w:rFonts w:hint="eastAsia" w:hAnsi="宋体" w:cs="宋体"/>
          <w:highlight w:val="none"/>
          <w:lang w:val="en-US" w:eastAsia="zh-CN"/>
        </w:rPr>
        <w:t>环境基础设施领域</w:t>
      </w:r>
      <w:r>
        <w:rPr>
          <w:rFonts w:hint="eastAsia" w:ascii="宋体" w:hAnsi="宋体" w:eastAsia="宋体" w:cs="宋体"/>
          <w:highlight w:val="none"/>
        </w:rPr>
        <w:t>绿色业务占比达到50%</w:t>
      </w:r>
      <w:r>
        <w:rPr>
          <w:rFonts w:hint="eastAsia" w:hAnsi="宋体" w:cs="宋体"/>
          <w:highlight w:val="none"/>
          <w:lang w:val="en-US" w:eastAsia="zh-CN"/>
        </w:rPr>
        <w:t>及</w:t>
      </w:r>
      <w:r>
        <w:rPr>
          <w:rFonts w:hint="eastAsia" w:ascii="宋体" w:hAnsi="宋体" w:eastAsia="宋体" w:cs="宋体"/>
          <w:highlight w:val="none"/>
        </w:rPr>
        <w:t>以上</w:t>
      </w:r>
      <w:r>
        <w:rPr>
          <w:rFonts w:hint="eastAsia" w:ascii="宋体" w:hAnsi="宋体" w:eastAsia="宋体" w:cs="宋体"/>
          <w:highlight w:val="none"/>
          <w:lang w:eastAsia="zh-CN"/>
        </w:rPr>
        <w:t>，</w:t>
      </w:r>
      <w:r>
        <w:rPr>
          <w:rFonts w:hint="eastAsia" w:ascii="宋体" w:hAnsi="宋体" w:eastAsia="宋体" w:cs="宋体"/>
          <w:highlight w:val="none"/>
        </w:rPr>
        <w:t>或</w:t>
      </w:r>
      <w:r>
        <w:rPr>
          <w:rFonts w:hint="eastAsia" w:ascii="宋体" w:hAnsi="宋体" w:eastAsia="宋体" w:cs="宋体"/>
          <w:highlight w:val="none"/>
          <w:lang w:val="en-US" w:eastAsia="zh-CN"/>
        </w:rPr>
        <w:t>绿色业务</w:t>
      </w:r>
      <w:r>
        <w:rPr>
          <w:rFonts w:hint="eastAsia" w:ascii="宋体" w:hAnsi="宋体" w:eastAsia="宋体" w:cs="宋体"/>
          <w:highlight w:val="none"/>
        </w:rPr>
        <w:t>规模达到1亿元</w:t>
      </w:r>
      <w:r>
        <w:rPr>
          <w:rFonts w:hint="eastAsia" w:hAnsi="宋体" w:cs="宋体"/>
          <w:highlight w:val="none"/>
          <w:lang w:eastAsia="zh-CN"/>
        </w:rPr>
        <w:t>；</w:t>
      </w:r>
      <w:r>
        <w:rPr>
          <w:rFonts w:hint="eastAsia" w:ascii="宋体" w:hAnsi="宋体" w:eastAsia="宋体" w:cs="宋体"/>
          <w:highlight w:val="none"/>
        </w:rPr>
        <w:t>或在</w:t>
      </w:r>
      <w:r>
        <w:rPr>
          <w:rFonts w:hint="eastAsia" w:hAnsi="宋体" w:cs="宋体"/>
          <w:highlight w:val="none"/>
          <w:lang w:val="en-US" w:eastAsia="zh-CN"/>
        </w:rPr>
        <w:t>当地</w:t>
      </w:r>
      <w:r>
        <w:rPr>
          <w:rFonts w:hint="eastAsia" w:ascii="宋体" w:hAnsi="宋体" w:eastAsia="宋体" w:cs="宋体"/>
          <w:highlight w:val="none"/>
        </w:rPr>
        <w:t>具备一定市场规模</w:t>
      </w:r>
      <w:r>
        <w:rPr>
          <w:rFonts w:hint="eastAsia" w:hAnsi="宋体" w:cs="宋体"/>
          <w:highlight w:val="none"/>
          <w:lang w:eastAsia="zh-CN"/>
        </w:rPr>
        <w:t>、</w:t>
      </w:r>
      <w:r>
        <w:rPr>
          <w:rFonts w:hint="eastAsia" w:ascii="宋体" w:hAnsi="宋体" w:eastAsia="宋体" w:cs="宋体"/>
          <w:highlight w:val="none"/>
        </w:rPr>
        <w:t>经</w:t>
      </w:r>
      <w:r>
        <w:rPr>
          <w:rFonts w:hint="eastAsia" w:ascii="宋体" w:hAnsi="宋体" w:eastAsia="宋体" w:cs="宋体"/>
          <w:highlight w:val="none"/>
          <w:lang w:val="en-US" w:eastAsia="zh-CN"/>
        </w:rPr>
        <w:t>相关政府职能部门</w:t>
      </w:r>
      <w:r>
        <w:rPr>
          <w:rFonts w:hint="eastAsia" w:ascii="宋体" w:hAnsi="宋体" w:eastAsia="宋体" w:cs="宋体"/>
          <w:highlight w:val="none"/>
        </w:rPr>
        <w:t>认可的相关行业。</w:t>
      </w:r>
    </w:p>
    <w:p w14:paraId="10B773E4">
      <w:pPr>
        <w:pStyle w:val="51"/>
        <w:spacing w:before="156" w:after="156"/>
        <w:rPr>
          <w:rFonts w:ascii="Times New Roman"/>
          <w:highlight w:val="none"/>
        </w:rPr>
      </w:pPr>
      <w:r>
        <w:rPr>
          <w:rFonts w:ascii="Times New Roman"/>
          <w:highlight w:val="none"/>
        </w:rPr>
        <w:t>技术符合</w:t>
      </w:r>
    </w:p>
    <w:p w14:paraId="018D4F29">
      <w:pPr>
        <w:pStyle w:val="26"/>
        <w:rPr>
          <w:rFonts w:ascii="Times New Roman"/>
          <w:highlight w:val="none"/>
        </w:rPr>
      </w:pPr>
      <w:r>
        <w:rPr>
          <w:rFonts w:ascii="Times New Roman"/>
          <w:highlight w:val="none"/>
        </w:rPr>
        <w:t>提供的产品或服务应符合国家、广东省及深圳市相关主管部门发布文件列明的有关设计、能效、性能、安全、贮存、回收、标识、验收、管理</w:t>
      </w:r>
      <w:r>
        <w:rPr>
          <w:rFonts w:hint="eastAsia" w:ascii="Times New Roman"/>
          <w:highlight w:val="none"/>
        </w:rPr>
        <w:t>和</w:t>
      </w:r>
      <w:r>
        <w:rPr>
          <w:rFonts w:ascii="Times New Roman"/>
          <w:highlight w:val="none"/>
        </w:rPr>
        <w:t>运维等技术要求。</w:t>
      </w:r>
    </w:p>
    <w:p w14:paraId="4BAA192C">
      <w:pPr>
        <w:pStyle w:val="62"/>
        <w:rPr>
          <w:rFonts w:ascii="Times New Roman"/>
          <w:highlight w:val="none"/>
        </w:rPr>
      </w:pPr>
      <w:r>
        <w:rPr>
          <w:rFonts w:hint="eastAsia"/>
          <w:highlight w:val="none"/>
          <w:lang w:val="en-US" w:eastAsia="zh-CN"/>
        </w:rPr>
        <w:t>“绿色服务”类企事业单位不参评“技术符合”指标。</w:t>
      </w:r>
    </w:p>
    <w:p w14:paraId="4FAFCD23">
      <w:pPr>
        <w:pStyle w:val="47"/>
        <w:outlineLvl w:val="1"/>
        <w:rPr>
          <w:rFonts w:ascii="Times New Roman"/>
          <w:highlight w:val="none"/>
        </w:rPr>
      </w:pPr>
      <w:bookmarkStart w:id="77" w:name="_Toc82684150"/>
      <w:bookmarkEnd w:id="77"/>
      <w:bookmarkStart w:id="78" w:name="_Toc102992461"/>
      <w:bookmarkStart w:id="79" w:name="_Toc3249"/>
      <w:bookmarkStart w:id="80" w:name="_Toc6092"/>
      <w:r>
        <w:rPr>
          <w:rFonts w:ascii="Times New Roman"/>
          <w:highlight w:val="none"/>
        </w:rPr>
        <w:t>综合评价</w:t>
      </w:r>
      <w:bookmarkEnd w:id="78"/>
      <w:bookmarkEnd w:id="79"/>
      <w:bookmarkEnd w:id="80"/>
    </w:p>
    <w:p w14:paraId="5EBD6077">
      <w:pPr>
        <w:pStyle w:val="51"/>
        <w:spacing w:before="156" w:after="156"/>
        <w:rPr>
          <w:rFonts w:ascii="Times New Roman"/>
          <w:highlight w:val="none"/>
        </w:rPr>
      </w:pPr>
      <w:r>
        <w:rPr>
          <w:rFonts w:ascii="Times New Roman"/>
          <w:highlight w:val="none"/>
        </w:rPr>
        <w:t>技术表现</w:t>
      </w:r>
    </w:p>
    <w:p w14:paraId="1DBC1BD4">
      <w:pPr>
        <w:pStyle w:val="56"/>
        <w:numPr>
          <w:ilvl w:val="3"/>
          <w:numId w:val="2"/>
        </w:numPr>
        <w:spacing w:before="156" w:after="156"/>
        <w:rPr>
          <w:rFonts w:ascii="Times New Roman"/>
          <w:highlight w:val="none"/>
        </w:rPr>
      </w:pPr>
      <w:r>
        <w:rPr>
          <w:rFonts w:ascii="Times New Roman"/>
          <w:highlight w:val="none"/>
        </w:rPr>
        <w:t>先进性</w:t>
      </w:r>
    </w:p>
    <w:p w14:paraId="65EA290F">
      <w:pPr>
        <w:pStyle w:val="60"/>
        <w:spacing w:before="156" w:after="156"/>
        <w:rPr>
          <w:rFonts w:ascii="Times New Roman"/>
          <w:highlight w:val="none"/>
        </w:rPr>
      </w:pPr>
      <w:r>
        <w:rPr>
          <w:rFonts w:ascii="Times New Roman"/>
          <w:highlight w:val="none"/>
        </w:rPr>
        <w:t>有效知识产权</w:t>
      </w:r>
    </w:p>
    <w:p w14:paraId="5D55513E">
      <w:pPr>
        <w:pStyle w:val="26"/>
        <w:rPr>
          <w:rFonts w:hint="eastAsia" w:hAnsi="宋体" w:eastAsia="宋体" w:cs="宋体"/>
          <w:highlight w:val="none"/>
          <w:lang w:eastAsia="zh-CN"/>
        </w:rPr>
      </w:pPr>
      <w:r>
        <w:rPr>
          <w:rFonts w:hint="eastAsia" w:ascii="宋体" w:hAnsi="宋体" w:cs="宋体"/>
          <w:highlight w:val="none"/>
        </w:rPr>
        <w:t>采用加权法计算有效知识产权数量，基于知识产权类别和知识产权获得形式进行折算，计算方法见公式（</w:t>
      </w:r>
      <w:r>
        <w:rPr>
          <w:rFonts w:hint="eastAsia" w:ascii="宋体" w:hAnsi="宋体" w:cs="宋体"/>
          <w:highlight w:val="none"/>
          <w:lang w:val="en-US" w:eastAsia="zh-CN"/>
        </w:rPr>
        <w:t>1</w:t>
      </w:r>
      <w:r>
        <w:rPr>
          <w:rFonts w:hint="eastAsia" w:ascii="宋体" w:hAnsi="宋体" w:cs="宋体"/>
          <w:highlight w:val="none"/>
        </w:rPr>
        <w:t>），具体评分规则见表</w:t>
      </w:r>
      <w:r>
        <w:rPr>
          <w:rFonts w:hint="eastAsia" w:hAnsi="宋体" w:cs="宋体"/>
          <w:highlight w:val="none"/>
          <w:lang w:val="en-US" w:eastAsia="zh-CN"/>
        </w:rPr>
        <w:t>1</w:t>
      </w:r>
      <w:r>
        <w:rPr>
          <w:rFonts w:hint="eastAsia" w:ascii="宋体" w:hAnsi="宋体" w:cs="宋体"/>
          <w:highlight w:val="none"/>
        </w:rPr>
        <w:t>。优质中小企业在实际得分基础上增加</w:t>
      </w:r>
      <w:r>
        <w:rPr>
          <w:rFonts w:ascii="宋体" w:hAnsi="宋体" w:cs="宋体"/>
          <w:highlight w:val="none"/>
        </w:rPr>
        <w:t>15%的得分，最高得分不超过</w:t>
      </w:r>
      <w:r>
        <w:rPr>
          <w:rFonts w:hint="eastAsia" w:ascii="宋体" w:hAnsi="宋体" w:cs="宋体"/>
          <w:highlight w:val="none"/>
        </w:rPr>
        <w:t>该项指标总</w:t>
      </w:r>
      <w:r>
        <w:rPr>
          <w:rFonts w:ascii="宋体" w:hAnsi="宋体" w:cs="宋体"/>
          <w:highlight w:val="none"/>
        </w:rPr>
        <w:t>分</w:t>
      </w:r>
      <w:r>
        <w:rPr>
          <w:rFonts w:hint="eastAsia" w:ascii="宋体" w:hAnsi="宋体" w:cs="宋体"/>
          <w:highlight w:val="none"/>
        </w:rPr>
        <w:t>。</w:t>
      </w:r>
    </w:p>
    <w:p w14:paraId="72AC4A4B">
      <w:pPr>
        <w:pStyle w:val="26"/>
        <w:keepNext w:val="0"/>
        <w:keepLines w:val="0"/>
        <w:pageBreakBefore w:val="0"/>
        <w:widowControl/>
        <w:tabs>
          <w:tab w:val="center" w:leader="middleDot" w:pos="5040"/>
          <w:tab w:val="clear" w:pos="4201"/>
        </w:tabs>
        <w:kinsoku/>
        <w:wordWrap/>
        <w:overflowPunct/>
        <w:topLinePunct w:val="0"/>
        <w:autoSpaceDE/>
        <w:autoSpaceDN/>
        <w:bidi w:val="0"/>
        <w:adjustRightInd/>
        <w:snapToGrid/>
        <w:spacing w:line="480" w:lineRule="auto"/>
        <w:ind w:firstLine="0" w:firstLineChars="0"/>
        <w:jc w:val="right"/>
        <w:textAlignment w:val="auto"/>
        <w:rPr>
          <w:rFonts w:hAnsi="宋体" w:cs="宋体"/>
          <w:highlight w:val="none"/>
        </w:rPr>
      </w:pPr>
      <w:bookmarkStart w:id="81" w:name="OLE_LINK1"/>
      <m:oMath>
        <m:r>
          <m:rPr/>
          <w:rPr>
            <w:rFonts w:hint="default" w:ascii="Cambria Math" w:hAnsi="Cambria Math" w:cs="宋体"/>
            <w:highlight w:val="none"/>
          </w:rPr>
          <m:t>N</m:t>
        </m:r>
        <m:r>
          <m:rPr/>
          <w:rPr>
            <w:rFonts w:hint="eastAsia" w:ascii="Cambria Math" w:hAnsi="Cambria Math" w:cs="宋体"/>
            <w:highlight w:val="none"/>
          </w:rPr>
          <m:t>=</m:t>
        </m:r>
        <m:nary>
          <m:naryPr>
            <m:chr m:val="∑"/>
            <m:limLoc m:val="undOvr"/>
            <m:ctrlPr>
              <w:rPr>
                <w:rFonts w:hint="eastAsia" w:ascii="Cambria Math" w:hAnsi="Cambria Math" w:cs="宋体"/>
                <w:i/>
                <w:iCs/>
                <w:highlight w:val="none"/>
              </w:rPr>
            </m:ctrlPr>
          </m:naryPr>
          <m:sub>
            <m:r>
              <m:rPr/>
              <w:rPr>
                <w:rFonts w:hint="default" w:ascii="Cambria Math" w:hAnsi="Cambria Math" w:cs="宋体"/>
                <w:highlight w:val="none"/>
              </w:rPr>
              <m:t>i=1</m:t>
            </m:r>
            <m:ctrlPr>
              <w:rPr>
                <w:rFonts w:hint="eastAsia" w:ascii="Cambria Math" w:hAnsi="Cambria Math" w:cs="宋体"/>
                <w:i/>
                <w:iCs/>
                <w:highlight w:val="none"/>
              </w:rPr>
            </m:ctrlPr>
          </m:sub>
          <m:sup>
            <m:r>
              <m:rPr/>
              <w:rPr>
                <w:rFonts w:hint="default"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G</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w:r>
        <w:rPr>
          <w:rFonts w:hint="eastAsia" w:ascii="Times New Roman" w:hAnsi="Cambria Math" w:eastAsia="宋体" w:cs="宋体"/>
          <w:kern w:val="2"/>
          <w:szCs w:val="21"/>
          <w:highlight w:val="none"/>
        </w:rPr>
        <w:tab/>
      </w:r>
      <w:r>
        <w:rPr>
          <w:rFonts w:hint="eastAsia" w:ascii="Times New Roman" w:hAnsi="Cambria Math" w:cs="宋体"/>
          <w:kern w:val="2"/>
          <w:szCs w:val="21"/>
          <w:highlight w:val="none"/>
          <w:lang w:eastAsia="zh-CN"/>
        </w:rPr>
        <w:t>（</w:t>
      </w:r>
      <w:r>
        <w:rPr>
          <w:rFonts w:hint="eastAsia" w:ascii="Times New Roman" w:hAnsi="Cambria Math" w:cs="宋体"/>
          <w:kern w:val="2"/>
          <w:szCs w:val="21"/>
          <w:highlight w:val="none"/>
          <w:lang w:val="en-US" w:eastAsia="zh-CN"/>
        </w:rPr>
        <w:t>1</w:t>
      </w:r>
      <w:r>
        <w:rPr>
          <w:rFonts w:hint="eastAsia" w:ascii="Times New Roman" w:hAnsi="Cambria Math" w:cs="宋体"/>
          <w:kern w:val="2"/>
          <w:szCs w:val="21"/>
          <w:highlight w:val="none"/>
          <w:lang w:eastAsia="zh-CN"/>
        </w:rPr>
        <w:t>）</w:t>
      </w:r>
    </w:p>
    <w:p w14:paraId="2CFDFA5A">
      <w:pPr>
        <w:pStyle w:val="26"/>
        <w:rPr>
          <w:rFonts w:hAnsi="宋体" w:cs="宋体"/>
          <w:highlight w:val="none"/>
        </w:rPr>
      </w:pPr>
      <w:r>
        <w:rPr>
          <w:rFonts w:hint="eastAsia" w:hAnsi="宋体" w:cs="宋体"/>
          <w:highlight w:val="none"/>
        </w:rPr>
        <w:t>式中：</w:t>
      </w:r>
    </w:p>
    <w:p w14:paraId="0BB11568">
      <w:pPr>
        <w:pStyle w:val="26"/>
        <w:rPr>
          <w:rFonts w:hAnsi="宋体" w:cs="宋体"/>
          <w:highlight w:val="none"/>
        </w:rPr>
      </w:pPr>
      <m:oMath>
        <m:r>
          <m:rPr/>
          <w:rPr>
            <w:rFonts w:hint="default" w:ascii="Cambria Math" w:hAnsi="Cambria Math" w:cs="宋体"/>
            <w:highlight w:val="none"/>
          </w:rPr>
          <m:t>N</m:t>
        </m:r>
      </m:oMath>
      <w:r>
        <w:rPr>
          <w:rFonts w:hint="eastAsia" w:hAnsi="Cambria Math" w:cs="宋体"/>
          <w:b w:val="0"/>
          <w:i w:val="0"/>
          <w:iCs/>
          <w:spacing w:val="-45"/>
          <w:sz w:val="21"/>
          <w:highlight w:val="none"/>
          <w:lang w:val="en-US" w:eastAsia="zh-CN"/>
        </w:rPr>
        <w:t xml:space="preserve"> </w:t>
      </w:r>
      <w:r>
        <w:rPr>
          <w:rFonts w:hint="eastAsia" w:hAnsi="宋体" w:cs="宋体"/>
          <w:highlight w:val="none"/>
        </w:rPr>
        <w:t>——有效知识产权数量；</w:t>
      </w:r>
    </w:p>
    <w:p w14:paraId="342155F6">
      <w:pPr>
        <w:pStyle w:val="26"/>
        <w:rPr>
          <w:rFonts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——第i个知识产权的类别折算系数；</w:t>
      </w:r>
    </w:p>
    <w:p w14:paraId="337AAFE7">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G</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——第i个知识产权的获得形式折算系数。</w:t>
      </w:r>
    </w:p>
    <w:p w14:paraId="28892E44">
      <w:pPr>
        <w:pStyle w:val="63"/>
        <w:bidi w:val="0"/>
        <w:ind w:left="856" w:leftChars="0" w:hanging="436" w:firstLineChars="0"/>
        <w:rPr>
          <w:rFonts w:hint="eastAsia"/>
          <w:highlight w:val="none"/>
        </w:rPr>
      </w:pPr>
      <w:r>
        <w:rPr>
          <w:rFonts w:hint="eastAsia"/>
          <w:highlight w:val="none"/>
        </w:rPr>
        <w:t>有效知识产权是</w:t>
      </w:r>
      <w:r>
        <w:rPr>
          <w:rFonts w:hint="eastAsia"/>
          <w:highlight w:val="none"/>
          <w:lang w:val="en-US" w:eastAsia="zh-CN"/>
        </w:rPr>
        <w:t>在环境基础设施领域</w:t>
      </w:r>
      <w:r>
        <w:rPr>
          <w:rFonts w:hint="eastAsia"/>
          <w:highlight w:val="none"/>
        </w:rPr>
        <w:t>，通过自主研发、受让、受赠、并购等方式，获得在有效期内的发明专利、实用新型、非简单改变产品图案和形状的外观设计、软件著作权。</w:t>
      </w:r>
    </w:p>
    <w:p w14:paraId="012C1758">
      <w:pPr>
        <w:pStyle w:val="63"/>
        <w:bidi w:val="0"/>
        <w:ind w:left="856" w:leftChars="0" w:hanging="436" w:firstLineChars="0"/>
        <w:rPr>
          <w:rFonts w:hint="eastAsia"/>
          <w:highlight w:val="none"/>
        </w:rPr>
      </w:pPr>
      <w:r>
        <w:rPr>
          <w:rFonts w:hint="eastAsia"/>
          <w:highlight w:val="none"/>
        </w:rPr>
        <w:t>知识产权类别以发明专利为折算基数，实用新型专利折算系数</w:t>
      </w:r>
      <w:r>
        <w:rPr>
          <w:rFonts w:hint="eastAsia"/>
          <w:highlight w:val="none"/>
          <w:lang w:val="en-US" w:eastAsia="zh-CN"/>
        </w:rPr>
        <w:t>为</w:t>
      </w:r>
      <w:r>
        <w:rPr>
          <w:rFonts w:hint="eastAsia"/>
          <w:highlight w:val="none"/>
        </w:rPr>
        <w:t>0.2</w:t>
      </w:r>
      <w:r>
        <w:rPr>
          <w:rFonts w:hint="eastAsia"/>
          <w:highlight w:val="none"/>
          <w:lang w:eastAsia="zh-CN"/>
        </w:rPr>
        <w:t>，</w:t>
      </w:r>
      <w:r>
        <w:rPr>
          <w:rFonts w:hint="eastAsia"/>
          <w:highlight w:val="none"/>
        </w:rPr>
        <w:t>软件著作权、外观设计专利折算系数</w:t>
      </w:r>
      <w:r>
        <w:rPr>
          <w:rFonts w:hint="eastAsia"/>
          <w:highlight w:val="none"/>
          <w:lang w:val="en-US" w:eastAsia="zh-CN"/>
        </w:rPr>
        <w:t>为</w:t>
      </w:r>
      <w:r>
        <w:rPr>
          <w:rFonts w:hint="eastAsia"/>
          <w:highlight w:val="none"/>
        </w:rPr>
        <w:t>0.1。</w:t>
      </w:r>
    </w:p>
    <w:p w14:paraId="204175A3">
      <w:pPr>
        <w:pStyle w:val="63"/>
        <w:bidi w:val="0"/>
        <w:ind w:left="856" w:leftChars="0" w:hanging="436" w:firstLineChars="0"/>
        <w:rPr>
          <w:rFonts w:hint="eastAsia"/>
          <w:highlight w:val="none"/>
        </w:rPr>
      </w:pPr>
      <w:r>
        <w:rPr>
          <w:rFonts w:hint="eastAsia"/>
          <w:highlight w:val="none"/>
        </w:rPr>
        <w:t>知识产权获得形式以自主研发为折算基数，通过受让、受赠、并购方式获取其所有权的折算系数</w:t>
      </w:r>
      <w:r>
        <w:rPr>
          <w:rFonts w:hint="eastAsia"/>
          <w:highlight w:val="none"/>
          <w:lang w:val="en-US" w:eastAsia="zh-CN"/>
        </w:rPr>
        <w:t>为</w:t>
      </w:r>
      <w:r>
        <w:rPr>
          <w:rFonts w:hint="eastAsia"/>
          <w:highlight w:val="none"/>
        </w:rPr>
        <w:t>0.5。</w:t>
      </w:r>
    </w:p>
    <w:bookmarkEnd w:id="81"/>
    <w:p w14:paraId="55FE5A46">
      <w:pPr>
        <w:pStyle w:val="131"/>
        <w:ind w:left="0" w:firstLine="0"/>
        <w:rPr>
          <w:rFonts w:ascii="Times New Roman"/>
          <w:highlight w:val="none"/>
        </w:rPr>
      </w:pPr>
      <w:r>
        <w:rPr>
          <w:rFonts w:ascii="Times New Roman"/>
          <w:highlight w:val="none"/>
        </w:rPr>
        <w:t>有效知识产权评分规则</w:t>
      </w:r>
    </w:p>
    <w:tbl>
      <w:tblPr>
        <w:tblStyle w:val="36"/>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1"/>
        <w:gridCol w:w="4781"/>
      </w:tblGrid>
      <w:tr w14:paraId="7D2E5C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bottom w:val="single" w:color="auto" w:sz="12" w:space="0"/>
            </w:tcBorders>
            <w:vAlign w:val="center"/>
          </w:tcPr>
          <w:p w14:paraId="63299510">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6"/>
                <w:highlight w:val="none"/>
                <w:lang w:val="en-US" w:eastAsia="zh-CN"/>
              </w:rPr>
            </w:pPr>
            <w:r>
              <w:rPr>
                <w:rFonts w:hint="eastAsia" w:ascii="Times New Roman"/>
                <w:b/>
                <w:bCs/>
                <w:sz w:val="18"/>
                <w:szCs w:val="16"/>
                <w:highlight w:val="none"/>
                <w:lang w:val="en-US" w:eastAsia="zh-CN"/>
              </w:rPr>
              <w:t>评分规则</w:t>
            </w:r>
          </w:p>
        </w:tc>
        <w:tc>
          <w:tcPr>
            <w:tcW w:w="2500" w:type="pct"/>
            <w:tcBorders>
              <w:bottom w:val="single" w:color="auto" w:sz="12" w:space="0"/>
            </w:tcBorders>
            <w:vAlign w:val="center"/>
          </w:tcPr>
          <w:p w14:paraId="062BF342">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default" w:ascii="Times New Roman"/>
                <w:b/>
                <w:bCs/>
                <w:sz w:val="18"/>
                <w:szCs w:val="16"/>
                <w:highlight w:val="none"/>
              </w:rPr>
              <w:t>分值</w:t>
            </w:r>
            <w:r>
              <w:rPr>
                <w:rFonts w:hint="eastAsia" w:ascii="Times New Roman"/>
                <w:b/>
                <w:bCs/>
                <w:sz w:val="18"/>
                <w:szCs w:val="16"/>
                <w:highlight w:val="none"/>
              </w:rPr>
              <w:t>（分）</w:t>
            </w:r>
          </w:p>
        </w:tc>
      </w:tr>
      <w:tr w14:paraId="11BE39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0" w:hRule="atLeast"/>
          <w:jc w:val="center"/>
        </w:trPr>
        <w:tc>
          <w:tcPr>
            <w:tcW w:w="2500" w:type="pct"/>
            <w:tcBorders>
              <w:top w:val="single" w:color="auto" w:sz="12" w:space="0"/>
              <w:tl2br w:val="nil"/>
              <w:tr2bl w:val="nil"/>
            </w:tcBorders>
            <w:vAlign w:val="center"/>
          </w:tcPr>
          <w:p w14:paraId="6133B82F">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6"/>
                <w:highlight w:val="none"/>
                <w:lang w:val="en-US" w:eastAsia="zh-CN"/>
              </w:rPr>
            </w:pPr>
            <w:r>
              <w:rPr>
                <w:rFonts w:hint="eastAsia" w:hAnsi="宋体" w:cs="宋体"/>
                <w:sz w:val="18"/>
                <w:szCs w:val="16"/>
                <w:highlight w:val="none"/>
              </w:rPr>
              <w:t>采用加权法计算后有效知识产权数量乘以</w:t>
            </w:r>
            <w:r>
              <w:rPr>
                <w:rFonts w:hint="eastAsia" w:hAnsi="宋体" w:cs="宋体"/>
                <w:sz w:val="18"/>
                <w:szCs w:val="16"/>
                <w:highlight w:val="none"/>
                <w:lang w:val="en-US" w:eastAsia="zh-CN"/>
              </w:rPr>
              <w:t>1</w:t>
            </w:r>
            <w:r>
              <w:rPr>
                <w:rFonts w:hint="eastAsia" w:hAnsi="宋体" w:cs="宋体"/>
                <w:sz w:val="18"/>
                <w:szCs w:val="16"/>
                <w:highlight w:val="none"/>
              </w:rPr>
              <w:t>分</w:t>
            </w:r>
          </w:p>
        </w:tc>
        <w:tc>
          <w:tcPr>
            <w:tcW w:w="2500" w:type="pct"/>
            <w:tcBorders>
              <w:top w:val="single" w:color="auto" w:sz="12" w:space="0"/>
              <w:tl2br w:val="nil"/>
              <w:tr2bl w:val="nil"/>
            </w:tcBorders>
            <w:vAlign w:val="center"/>
          </w:tcPr>
          <w:p w14:paraId="4B42ECB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4</w:t>
            </w:r>
          </w:p>
        </w:tc>
      </w:tr>
    </w:tbl>
    <w:p w14:paraId="2A117FAD">
      <w:pPr>
        <w:pStyle w:val="60"/>
        <w:spacing w:before="156" w:after="156"/>
        <w:rPr>
          <w:rFonts w:ascii="Times New Roman"/>
          <w:highlight w:val="none"/>
        </w:rPr>
      </w:pPr>
      <w:r>
        <w:rPr>
          <w:rFonts w:ascii="Times New Roman"/>
          <w:highlight w:val="none"/>
        </w:rPr>
        <w:t>制修订标准</w:t>
      </w:r>
    </w:p>
    <w:p w14:paraId="02B6CFF8">
      <w:pPr>
        <w:pStyle w:val="26"/>
        <w:keepNext w:val="0"/>
        <w:keepLines w:val="0"/>
        <w:pageBreakBefore w:val="0"/>
        <w:widowControl w:val="0"/>
        <w:kinsoku/>
        <w:wordWrap/>
        <w:overflowPunct/>
        <w:topLinePunct w:val="0"/>
        <w:autoSpaceDE w:val="0"/>
        <w:autoSpaceDN w:val="0"/>
        <w:bidi w:val="0"/>
        <w:adjustRightInd/>
        <w:snapToGrid/>
        <w:textAlignment w:val="auto"/>
        <w:rPr>
          <w:rFonts w:hint="eastAsia" w:hAnsi="宋体" w:eastAsia="宋体" w:cs="宋体"/>
          <w:highlight w:val="none"/>
          <w:lang w:eastAsia="zh-CN"/>
        </w:rPr>
      </w:pPr>
      <w:r>
        <w:rPr>
          <w:rFonts w:hint="eastAsia" w:hAnsi="宋体" w:cs="宋体"/>
          <w:highlight w:val="none"/>
        </w:rPr>
        <w:t>采用加权法计算制修订标准数量，基于标准类别、标准编制形式和标准制修订程度进行折算，计算方法见公式（</w:t>
      </w:r>
      <w:r>
        <w:rPr>
          <w:rFonts w:hint="eastAsia" w:hAnsi="宋体" w:cs="宋体"/>
          <w:highlight w:val="none"/>
          <w:lang w:val="en-US" w:eastAsia="zh-CN"/>
        </w:rPr>
        <w:t>2</w:t>
      </w:r>
      <w:r>
        <w:rPr>
          <w:rFonts w:hint="eastAsia" w:hAnsi="宋体" w:cs="宋体"/>
          <w:highlight w:val="none"/>
        </w:rPr>
        <w:t>），具体评分规则见表</w:t>
      </w:r>
      <w:r>
        <w:rPr>
          <w:rFonts w:hint="eastAsia" w:hAnsi="宋体" w:cs="宋体"/>
          <w:highlight w:val="none"/>
          <w:lang w:val="en-US" w:eastAsia="zh-CN"/>
        </w:rPr>
        <w:t>2</w:t>
      </w:r>
      <w:r>
        <w:rPr>
          <w:rFonts w:hint="eastAsia" w:hAnsi="宋体" w:cs="宋体"/>
          <w:highlight w:val="none"/>
        </w:rPr>
        <w:t>。优质中小企业在实际得分基础上增加15%的得分，</w:t>
      </w:r>
      <w:r>
        <w:rPr>
          <w:rFonts w:hAnsi="宋体" w:cs="宋体"/>
          <w:highlight w:val="none"/>
        </w:rPr>
        <w:t>最高得分不超过</w:t>
      </w:r>
      <w:r>
        <w:rPr>
          <w:rFonts w:hint="eastAsia" w:hAnsi="宋体" w:cs="宋体"/>
          <w:highlight w:val="none"/>
        </w:rPr>
        <w:t>该项指标总</w:t>
      </w:r>
      <w:r>
        <w:rPr>
          <w:rFonts w:hAnsi="宋体" w:cs="宋体"/>
          <w:highlight w:val="none"/>
        </w:rPr>
        <w:t>分</w:t>
      </w:r>
      <w:r>
        <w:rPr>
          <w:rFonts w:hint="eastAsia" w:hAnsi="宋体" w:cs="宋体"/>
          <w:highlight w:val="none"/>
          <w:lang w:eastAsia="zh-CN"/>
        </w:rPr>
        <w:t>。</w:t>
      </w:r>
    </w:p>
    <w:p w14:paraId="6D27D6C1">
      <w:pPr>
        <w:pStyle w:val="26"/>
        <w:keepNext w:val="0"/>
        <w:keepLines w:val="0"/>
        <w:pageBreakBefore w:val="0"/>
        <w:widowControl/>
        <w:tabs>
          <w:tab w:val="left" w:leader="middleDot" w:pos="5260"/>
          <w:tab w:val="right" w:leader="middleDot" w:pos="9298"/>
          <w:tab w:val="clear" w:pos="4201"/>
        </w:tabs>
        <w:kinsoku/>
        <w:wordWrap/>
        <w:overflowPunct/>
        <w:topLinePunct w:val="0"/>
        <w:autoSpaceDE w:val="0"/>
        <w:autoSpaceDN w:val="0"/>
        <w:bidi w:val="0"/>
        <w:adjustRightInd/>
        <w:snapToGrid/>
        <w:spacing w:line="480" w:lineRule="auto"/>
        <w:jc w:val="right"/>
        <w:textAlignment w:val="auto"/>
        <w:rPr>
          <w:rFonts w:hint="eastAsia" w:hAnsi="宋体" w:eastAsia="宋体" w:cs="宋体"/>
          <w:highlight w:val="none"/>
          <w:lang w:eastAsia="zh-CN"/>
        </w:rPr>
      </w:pPr>
      <m:oMath>
        <m:r>
          <m:rPr/>
          <w:rPr>
            <w:rFonts w:hint="default" w:ascii="Cambria Math" w:hAnsi="Cambria Math" w:cs="宋体"/>
            <w:highlight w:val="none"/>
          </w:rPr>
          <m:t>N=</m:t>
        </m:r>
        <m:nary>
          <m:naryPr>
            <m:chr m:val="∑"/>
            <m:limLoc m:val="undOvr"/>
            <m:ctrlPr>
              <w:rPr>
                <w:rFonts w:hint="eastAsia" w:ascii="Cambria Math" w:hAnsi="Cambria Math" w:cs="宋体"/>
                <w:i/>
                <w:iCs/>
                <w:highlight w:val="none"/>
              </w:rPr>
            </m:ctrlPr>
          </m:naryPr>
          <m:sub>
            <m:r>
              <m:rPr/>
              <w:rPr>
                <w:rFonts w:hint="default" w:ascii="Cambria Math" w:hAnsi="Cambria Math" w:cs="宋体"/>
                <w:highlight w:val="none"/>
              </w:rPr>
              <m:t>i=1</m:t>
            </m:r>
            <m:ctrlPr>
              <w:rPr>
                <w:rFonts w:hint="eastAsia" w:ascii="Cambria Math" w:hAnsi="Cambria Math" w:cs="宋体"/>
                <w:i/>
                <w:iCs/>
                <w:highlight w:val="none"/>
              </w:rPr>
            </m:ctrlPr>
          </m:sub>
          <m:sup>
            <m:r>
              <m:rPr/>
              <w:rPr>
                <w:rFonts w:hint="default"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hint="default" w:ascii="Cambria Math" w:hAnsi="Cambria Math" w:cs="宋体"/>
                    <w:highlight w:val="none"/>
                  </w:rPr>
                  <m:t>F</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D</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w:r>
        <w:rPr>
          <w:rFonts w:hint="eastAsia" w:ascii="Times New Roman" w:hAnsi="Cambria Math" w:eastAsia="宋体" w:cs="宋体"/>
          <w:kern w:val="2"/>
          <w:szCs w:val="21"/>
          <w:highlight w:val="none"/>
        </w:rPr>
        <w:tab/>
      </w:r>
      <w:r>
        <w:rPr>
          <w:rFonts w:hint="eastAsia" w:hAnsi="宋体" w:cs="宋体"/>
          <w:color w:val="auto"/>
          <w:szCs w:val="21"/>
          <w:highlight w:val="none"/>
          <w:lang w:eastAsia="zh-CN"/>
        </w:rPr>
        <w:t>（</w:t>
      </w:r>
      <w:r>
        <w:rPr>
          <w:rFonts w:hint="eastAsia" w:hAnsi="宋体" w:cs="宋体"/>
          <w:color w:val="auto"/>
          <w:szCs w:val="21"/>
          <w:highlight w:val="none"/>
          <w:lang w:val="en-US" w:eastAsia="zh-CN"/>
        </w:rPr>
        <w:t>2</w:t>
      </w:r>
      <w:r>
        <w:rPr>
          <w:rFonts w:hint="eastAsia" w:hAnsi="宋体" w:cs="宋体"/>
          <w:color w:val="auto"/>
          <w:szCs w:val="21"/>
          <w:highlight w:val="none"/>
          <w:lang w:eastAsia="zh-CN"/>
        </w:rPr>
        <w:t>）</w:t>
      </w:r>
    </w:p>
    <w:p w14:paraId="204E36AF">
      <w:pPr>
        <w:pStyle w:val="26"/>
        <w:rPr>
          <w:rFonts w:hint="eastAsia" w:hAnsi="宋体" w:cs="宋体"/>
          <w:highlight w:val="none"/>
        </w:rPr>
      </w:pPr>
      <w:r>
        <w:rPr>
          <w:rFonts w:hint="eastAsia" w:hAnsi="宋体" w:cs="宋体"/>
          <w:highlight w:val="none"/>
        </w:rPr>
        <w:t>式中：</w:t>
      </w:r>
    </w:p>
    <w:p w14:paraId="623C640F">
      <w:pPr>
        <w:pStyle w:val="26"/>
        <w:rPr>
          <w:rFonts w:hint="eastAsia" w:hAnsi="宋体" w:cs="宋体"/>
          <w:highlight w:val="none"/>
        </w:rPr>
      </w:pPr>
      <m:oMath>
        <m:r>
          <m:rPr/>
          <w:rPr>
            <w:rFonts w:hint="default" w:ascii="Cambria Math" w:hAnsi="Cambria Math" w:cs="宋体"/>
            <w:highlight w:val="none"/>
          </w:rPr>
          <m:t>N</m:t>
        </m:r>
      </m:oMath>
      <w:r>
        <w:rPr>
          <w:rFonts w:hint="eastAsia" w:hAnsi="Cambria Math" w:cs="宋体"/>
          <w:b w:val="0"/>
          <w:i w:val="0"/>
          <w:spacing w:val="-20"/>
          <w:sz w:val="21"/>
          <w:highlight w:val="none"/>
          <w:lang w:val="en-US" w:eastAsia="zh-CN"/>
        </w:rPr>
        <w:t xml:space="preserve"> </w:t>
      </w:r>
      <w:r>
        <w:rPr>
          <w:rFonts w:hint="eastAsia" w:hAnsi="宋体" w:cs="宋体"/>
          <w:highlight w:val="none"/>
        </w:rPr>
        <w:t>——制修订标准数量；</w:t>
      </w:r>
    </w:p>
    <w:p w14:paraId="135744E6">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F</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Cambria Math" w:cs="宋体"/>
          <w:i w:val="0"/>
          <w:spacing w:val="-34"/>
          <w:sz w:val="21"/>
          <w:highlight w:val="none"/>
          <w:lang w:val="en-US" w:eastAsia="zh-CN"/>
        </w:rPr>
        <w:t xml:space="preserve"> </w:t>
      </w:r>
      <w:r>
        <w:rPr>
          <w:rFonts w:hint="eastAsia" w:hAnsi="宋体" w:cs="宋体"/>
          <w:highlight w:val="none"/>
        </w:rPr>
        <w:t>——第i个标准的编制形式折算系数；</w:t>
      </w:r>
    </w:p>
    <w:p w14:paraId="5F5505F5">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D</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——第i个标准的制修订参与程度折算系数；</w:t>
      </w:r>
    </w:p>
    <w:p w14:paraId="2564CC44">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Cambria Math" w:cs="宋体"/>
          <w:i w:val="0"/>
          <w:spacing w:val="-45"/>
          <w:sz w:val="21"/>
          <w:highlight w:val="none"/>
          <w:lang w:val="en-US" w:eastAsia="zh-CN"/>
        </w:rPr>
        <w:t xml:space="preserve"> </w:t>
      </w:r>
      <w:r>
        <w:rPr>
          <w:rFonts w:hint="eastAsia" w:hAnsi="宋体" w:cs="宋体"/>
          <w:highlight w:val="none"/>
        </w:rPr>
        <w:t>——第i个标准的类别折算系数。</w:t>
      </w:r>
    </w:p>
    <w:p w14:paraId="6270D16E">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制修订标准是</w:t>
      </w:r>
      <w:r>
        <w:rPr>
          <w:rFonts w:hint="eastAsia"/>
          <w:highlight w:val="none"/>
          <w:lang w:val="en-US" w:eastAsia="zh-CN"/>
        </w:rPr>
        <w:t>在环境基础设施领域</w:t>
      </w:r>
      <w:r>
        <w:rPr>
          <w:rFonts w:hint="eastAsia"/>
          <w:highlight w:val="none"/>
        </w:rPr>
        <w:t>，近五年内已正式发布的国际标准、国家标准、行业标准、地方标准</w:t>
      </w:r>
      <w:r>
        <w:rPr>
          <w:rFonts w:hint="eastAsia"/>
          <w:highlight w:val="none"/>
          <w:lang w:eastAsia="zh-CN"/>
        </w:rPr>
        <w:t>、</w:t>
      </w:r>
      <w:r>
        <w:rPr>
          <w:rFonts w:hint="eastAsia"/>
          <w:highlight w:val="none"/>
          <w:lang w:val="en-US" w:eastAsia="zh-CN"/>
        </w:rPr>
        <w:t>团体标准</w:t>
      </w:r>
      <w:r>
        <w:rPr>
          <w:rFonts w:hint="eastAsia"/>
          <w:highlight w:val="none"/>
        </w:rPr>
        <w:t>。</w:t>
      </w:r>
    </w:p>
    <w:p w14:paraId="6F5B05DB">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标准类别以国家标准及行业标准为折算基数，国际标准按折算系数</w:t>
      </w:r>
      <w:r>
        <w:rPr>
          <w:rFonts w:hint="eastAsia"/>
          <w:highlight w:val="none"/>
          <w:lang w:val="en-US" w:eastAsia="zh-CN"/>
        </w:rPr>
        <w:t>为</w:t>
      </w:r>
      <w:r>
        <w:rPr>
          <w:rFonts w:hint="eastAsia"/>
          <w:highlight w:val="none"/>
        </w:rPr>
        <w:t>1.2，地方标准折算系数</w:t>
      </w:r>
      <w:r>
        <w:rPr>
          <w:rFonts w:hint="eastAsia"/>
          <w:highlight w:val="none"/>
          <w:lang w:val="en-US" w:eastAsia="zh-CN"/>
        </w:rPr>
        <w:t>为</w:t>
      </w:r>
      <w:r>
        <w:rPr>
          <w:rFonts w:hint="eastAsia"/>
          <w:highlight w:val="none"/>
        </w:rPr>
        <w:t>0.5</w:t>
      </w:r>
      <w:r>
        <w:rPr>
          <w:rFonts w:hint="eastAsia"/>
          <w:highlight w:val="none"/>
          <w:lang w:eastAsia="zh-CN"/>
        </w:rPr>
        <w:t>，</w:t>
      </w:r>
      <w:r>
        <w:rPr>
          <w:rFonts w:hint="eastAsia"/>
          <w:highlight w:val="none"/>
          <w:lang w:val="en-US" w:eastAsia="zh-CN"/>
        </w:rPr>
        <w:t>团体</w:t>
      </w:r>
      <w:r>
        <w:rPr>
          <w:rFonts w:hint="eastAsia"/>
          <w:highlight w:val="none"/>
          <w:lang w:eastAsia="zh-CN"/>
        </w:rPr>
        <w:t>标准折算系数</w:t>
      </w:r>
      <w:r>
        <w:rPr>
          <w:rFonts w:hint="eastAsia"/>
          <w:highlight w:val="none"/>
          <w:lang w:val="en-US" w:eastAsia="zh-CN"/>
        </w:rPr>
        <w:t>为</w:t>
      </w:r>
      <w:r>
        <w:rPr>
          <w:rFonts w:hint="eastAsia"/>
          <w:highlight w:val="none"/>
          <w:lang w:eastAsia="zh-CN"/>
        </w:rPr>
        <w:t>0.</w:t>
      </w:r>
      <w:r>
        <w:rPr>
          <w:rFonts w:hint="eastAsia"/>
          <w:highlight w:val="none"/>
          <w:lang w:val="en-US" w:eastAsia="zh-CN"/>
        </w:rPr>
        <w:t>2</w:t>
      </w:r>
      <w:r>
        <w:rPr>
          <w:rFonts w:hint="eastAsia"/>
          <w:highlight w:val="none"/>
        </w:rPr>
        <w:t>。</w:t>
      </w:r>
    </w:p>
    <w:p w14:paraId="7766A639">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标准编制形式以制定标准为折算基数，修订标准折算系数</w:t>
      </w:r>
      <w:r>
        <w:rPr>
          <w:rFonts w:hint="eastAsia"/>
          <w:highlight w:val="none"/>
          <w:lang w:val="en-US" w:eastAsia="zh-CN"/>
        </w:rPr>
        <w:t>为</w:t>
      </w:r>
      <w:r>
        <w:rPr>
          <w:rFonts w:hint="eastAsia"/>
          <w:highlight w:val="none"/>
        </w:rPr>
        <w:t>0.5。</w:t>
      </w:r>
    </w:p>
    <w:p w14:paraId="112244F8">
      <w:pPr>
        <w:pStyle w:val="63"/>
        <w:keepNext w:val="0"/>
        <w:keepLines w:val="0"/>
        <w:pageBreakBefore w:val="0"/>
        <w:widowControl w:val="0"/>
        <w:numPr>
          <w:ilvl w:val="0"/>
          <w:numId w:val="19"/>
        </w:numPr>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在标准文本“主要起草单位”中排名前两名，视为主导制定起草单位；在标准文本“主要起草单位”中排名第三到第五名，视为参与制定标准单位。如排名前五名的起草单位中有行政机关单位的，名次可相应顺延。</w:t>
      </w:r>
      <w:r>
        <w:rPr>
          <w:rFonts w:hint="eastAsia"/>
          <w:highlight w:val="none"/>
          <w:lang w:val="en-US" w:eastAsia="zh-CN"/>
        </w:rPr>
        <w:t>若标准中明确起草单位排名不分先后，均视为主导制定起草单位。标准制修订参与程度以主导制定起草单位为折算基数，参与制定标准单位折算系数为0.2。</w:t>
      </w:r>
    </w:p>
    <w:p w14:paraId="4ED0809D">
      <w:pPr>
        <w:pStyle w:val="131"/>
        <w:rPr>
          <w:rFonts w:ascii="Times New Roman"/>
          <w:highlight w:val="none"/>
        </w:rPr>
      </w:pPr>
      <w:r>
        <w:rPr>
          <w:rFonts w:ascii="Times New Roman"/>
          <w:highlight w:val="none"/>
        </w:rPr>
        <w:t>制修订标准评分规则</w:t>
      </w:r>
    </w:p>
    <w:tbl>
      <w:tblPr>
        <w:tblStyle w:val="36"/>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1"/>
        <w:gridCol w:w="4781"/>
      </w:tblGrid>
      <w:tr w14:paraId="53C3389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bottom w:val="single" w:color="auto" w:sz="12" w:space="0"/>
            </w:tcBorders>
            <w:vAlign w:val="center"/>
          </w:tcPr>
          <w:p w14:paraId="1DD25897">
            <w:pPr>
              <w:pStyle w:val="26"/>
              <w:keepNext w:val="0"/>
              <w:keepLines w:val="0"/>
              <w:widowControl/>
              <w:suppressLineNumbers w:val="0"/>
              <w:spacing w:before="0" w:beforeAutospacing="0" w:after="0" w:afterAutospacing="0"/>
              <w:ind w:left="0" w:right="0" w:firstLine="0" w:firstLineChars="0"/>
              <w:jc w:val="center"/>
              <w:rPr>
                <w:rFonts w:hint="eastAsia" w:ascii="Times New Roman" w:eastAsia="宋体"/>
                <w:b/>
                <w:bCs/>
                <w:sz w:val="18"/>
                <w:szCs w:val="16"/>
                <w:highlight w:val="none"/>
                <w:lang w:eastAsia="zh-CN"/>
              </w:rPr>
            </w:pPr>
            <w:r>
              <w:rPr>
                <w:rFonts w:hint="eastAsia" w:ascii="Times New Roman"/>
                <w:b/>
                <w:bCs/>
                <w:sz w:val="18"/>
                <w:szCs w:val="16"/>
                <w:highlight w:val="none"/>
                <w:lang w:val="en-US" w:eastAsia="zh-CN"/>
              </w:rPr>
              <w:t>评分规则</w:t>
            </w:r>
          </w:p>
        </w:tc>
        <w:tc>
          <w:tcPr>
            <w:tcW w:w="2500" w:type="pct"/>
            <w:tcBorders>
              <w:bottom w:val="single" w:color="auto" w:sz="12" w:space="0"/>
            </w:tcBorders>
            <w:vAlign w:val="center"/>
          </w:tcPr>
          <w:p w14:paraId="456649A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default" w:ascii="Times New Roman"/>
                <w:b/>
                <w:bCs/>
                <w:sz w:val="18"/>
                <w:szCs w:val="16"/>
                <w:highlight w:val="none"/>
              </w:rPr>
              <w:t>分值</w:t>
            </w:r>
            <w:r>
              <w:rPr>
                <w:rFonts w:hint="eastAsia" w:ascii="Times New Roman"/>
                <w:b/>
                <w:bCs/>
                <w:sz w:val="18"/>
                <w:szCs w:val="16"/>
                <w:highlight w:val="none"/>
              </w:rPr>
              <w:t>（分）</w:t>
            </w:r>
          </w:p>
        </w:tc>
      </w:tr>
      <w:tr w14:paraId="4F45E3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12" w:space="0"/>
              <w:tl2br w:val="nil"/>
              <w:tr2bl w:val="nil"/>
            </w:tcBorders>
            <w:vAlign w:val="center"/>
          </w:tcPr>
          <w:p w14:paraId="52A96A1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采用加权法计算后制修订标准数量乘以2分</w:t>
            </w:r>
          </w:p>
        </w:tc>
        <w:tc>
          <w:tcPr>
            <w:tcW w:w="2500" w:type="pct"/>
            <w:tcBorders>
              <w:top w:val="single" w:color="auto" w:sz="12" w:space="0"/>
              <w:tl2br w:val="nil"/>
              <w:tr2bl w:val="nil"/>
            </w:tcBorders>
            <w:vAlign w:val="center"/>
          </w:tcPr>
          <w:p w14:paraId="4AE66FC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4</w:t>
            </w:r>
          </w:p>
        </w:tc>
      </w:tr>
    </w:tbl>
    <w:p w14:paraId="12598FD0">
      <w:pPr>
        <w:pStyle w:val="60"/>
        <w:spacing w:before="156" w:after="156"/>
        <w:rPr>
          <w:szCs w:val="21"/>
          <w:highlight w:val="none"/>
        </w:rPr>
      </w:pPr>
      <w:r>
        <w:rPr>
          <w:rFonts w:ascii="Times New Roman"/>
          <w:highlight w:val="none"/>
        </w:rPr>
        <w:t>关键技术先进性</w:t>
      </w:r>
    </w:p>
    <w:p w14:paraId="3074EAED">
      <w:pPr>
        <w:autoSpaceDE w:val="0"/>
        <w:autoSpaceDN w:val="0"/>
        <w:ind w:firstLine="420" w:firstLineChars="200"/>
        <w:rPr>
          <w:szCs w:val="21"/>
          <w:highlight w:val="none"/>
        </w:rPr>
      </w:pPr>
      <w:r>
        <w:rPr>
          <w:rFonts w:hint="eastAsia" w:ascii="宋体" w:hAnsi="宋体" w:cs="宋体"/>
          <w:szCs w:val="21"/>
          <w:highlight w:val="none"/>
          <w:lang w:bidi="ar"/>
        </w:rPr>
        <w:t>根据不同子行业、不同设备</w:t>
      </w:r>
      <w:r>
        <w:rPr>
          <w:rFonts w:hint="eastAsia" w:ascii="宋体" w:hAnsi="宋体" w:cs="宋体"/>
          <w:szCs w:val="21"/>
          <w:highlight w:val="none"/>
          <w:lang w:val="en-US" w:eastAsia="zh-CN" w:bidi="ar"/>
        </w:rPr>
        <w:t>类型</w:t>
      </w:r>
      <w:r>
        <w:rPr>
          <w:rFonts w:hint="eastAsia" w:ascii="宋体" w:hAnsi="宋体" w:cs="宋体"/>
          <w:szCs w:val="21"/>
          <w:highlight w:val="none"/>
          <w:lang w:bidi="ar"/>
        </w:rPr>
        <w:t>选取不同评价指标，具体评分规则见表</w:t>
      </w:r>
      <w:r>
        <w:rPr>
          <w:rFonts w:hint="eastAsia" w:ascii="宋体" w:hAnsi="宋体" w:cs="宋体"/>
          <w:szCs w:val="21"/>
          <w:highlight w:val="none"/>
          <w:lang w:val="en-US" w:eastAsia="zh-CN" w:bidi="ar"/>
        </w:rPr>
        <w:t>3</w:t>
      </w:r>
      <w:r>
        <w:rPr>
          <w:rFonts w:hint="eastAsia" w:ascii="宋体" w:hAnsi="宋体" w:cs="宋体"/>
          <w:szCs w:val="21"/>
          <w:highlight w:val="none"/>
          <w:lang w:eastAsia="zh-CN" w:bidi="ar"/>
        </w:rPr>
        <w:t>，</w:t>
      </w:r>
      <w:r>
        <w:rPr>
          <w:rFonts w:hint="eastAsia" w:ascii="宋体" w:hAnsi="宋体" w:cs="宋体"/>
          <w:szCs w:val="21"/>
          <w:highlight w:val="none"/>
          <w:lang w:bidi="ar"/>
        </w:rPr>
        <w:t>具体评价内容及评价方法见</w:t>
      </w:r>
      <w:r>
        <w:rPr>
          <w:rFonts w:hint="eastAsia" w:ascii="宋体" w:hAnsi="宋体" w:cs="宋体"/>
          <w:szCs w:val="21"/>
          <w:highlight w:val="none"/>
          <w:lang w:val="en-US" w:eastAsia="zh-CN" w:bidi="ar"/>
        </w:rPr>
        <w:t>附录A</w:t>
      </w:r>
      <w:r>
        <w:rPr>
          <w:rFonts w:hint="eastAsia" w:ascii="宋体" w:hAnsi="宋体" w:cs="宋体"/>
          <w:szCs w:val="21"/>
          <w:highlight w:val="none"/>
          <w:lang w:bidi="ar"/>
        </w:rPr>
        <w:t>。</w:t>
      </w:r>
    </w:p>
    <w:p w14:paraId="2E04E16C">
      <w:pPr>
        <w:pStyle w:val="131"/>
        <w:rPr>
          <w:rFonts w:ascii="Times New Roman"/>
          <w:kern w:val="2"/>
          <w:szCs w:val="21"/>
          <w:highlight w:val="none"/>
        </w:rPr>
      </w:pPr>
      <w:r>
        <w:rPr>
          <w:rFonts w:hint="eastAsia" w:hAnsi="宋体" w:cs="黑体"/>
          <w:kern w:val="2"/>
          <w:szCs w:val="21"/>
          <w:highlight w:val="none"/>
          <w:lang w:val="en-US" w:eastAsia="zh-CN" w:bidi="ar"/>
        </w:rPr>
        <w:t>关键</w:t>
      </w:r>
      <w:r>
        <w:rPr>
          <w:rFonts w:hint="eastAsia" w:hAnsi="宋体" w:cs="黑体"/>
          <w:kern w:val="2"/>
          <w:szCs w:val="21"/>
          <w:highlight w:val="none"/>
          <w:lang w:bidi="ar"/>
        </w:rPr>
        <w:t>技术先进水平评分规则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006"/>
        <w:gridCol w:w="2560"/>
      </w:tblGrid>
      <w:tr w14:paraId="7FE7F8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61" w:type="pct"/>
            <w:tcBorders>
              <w:bottom w:val="single" w:color="auto" w:sz="12" w:space="0"/>
            </w:tcBorders>
            <w:shd w:val="clear" w:color="auto" w:fill="auto"/>
            <w:vAlign w:val="center"/>
          </w:tcPr>
          <w:p w14:paraId="6F7C296B">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eastAsia" w:ascii="宋体" w:hAnsi="宋体" w:cs="宋体"/>
                <w:b/>
                <w:bCs/>
                <w:sz w:val="18"/>
                <w:szCs w:val="18"/>
                <w:highlight w:val="none"/>
                <w:lang w:val="en-US" w:eastAsia="zh-CN" w:bidi="ar"/>
              </w:rPr>
              <w:t>关键</w:t>
            </w:r>
            <w:r>
              <w:rPr>
                <w:rFonts w:hint="eastAsia" w:ascii="宋体" w:hAnsi="宋体" w:cs="宋体"/>
                <w:b/>
                <w:bCs/>
                <w:sz w:val="18"/>
                <w:szCs w:val="18"/>
                <w:highlight w:val="none"/>
                <w:lang w:bidi="ar"/>
              </w:rPr>
              <w:t>技术先进水平</w:t>
            </w:r>
          </w:p>
        </w:tc>
        <w:tc>
          <w:tcPr>
            <w:tcW w:w="1338" w:type="pct"/>
            <w:tcBorders>
              <w:bottom w:val="single" w:color="auto" w:sz="12" w:space="0"/>
            </w:tcBorders>
            <w:shd w:val="clear" w:color="auto" w:fill="auto"/>
            <w:vAlign w:val="center"/>
          </w:tcPr>
          <w:p w14:paraId="4E9A79C7">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eastAsia" w:ascii="宋体" w:hAnsi="宋体" w:cs="宋体"/>
                <w:b/>
                <w:bCs/>
                <w:sz w:val="18"/>
                <w:szCs w:val="18"/>
                <w:highlight w:val="none"/>
                <w:lang w:bidi="ar"/>
              </w:rPr>
              <w:t>分值（分）</w:t>
            </w:r>
          </w:p>
        </w:tc>
      </w:tr>
      <w:tr w14:paraId="4C7B17A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op w:val="single" w:color="auto" w:sz="12" w:space="0"/>
              <w:tl2br w:val="nil"/>
              <w:tr2bl w:val="nil"/>
            </w:tcBorders>
            <w:shd w:val="clear" w:color="auto" w:fill="auto"/>
            <w:vAlign w:val="top"/>
          </w:tcPr>
          <w:p w14:paraId="0107B61E">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处于行业领先水平，对产业（行业）具有显著技术引领作用</w:t>
            </w:r>
          </w:p>
        </w:tc>
        <w:tc>
          <w:tcPr>
            <w:tcW w:w="2560" w:type="dxa"/>
            <w:tcBorders>
              <w:top w:val="single" w:color="auto" w:sz="12" w:space="0"/>
              <w:tl2br w:val="nil"/>
              <w:tr2bl w:val="nil"/>
            </w:tcBorders>
            <w:shd w:val="clear" w:color="auto" w:fill="auto"/>
            <w:vAlign w:val="center"/>
          </w:tcPr>
          <w:p w14:paraId="321F75A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(8,12]</w:t>
            </w:r>
          </w:p>
        </w:tc>
      </w:tr>
      <w:tr w14:paraId="24E009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l2br w:val="nil"/>
              <w:tr2bl w:val="nil"/>
            </w:tcBorders>
            <w:shd w:val="clear" w:color="auto" w:fill="auto"/>
            <w:vAlign w:val="top"/>
          </w:tcPr>
          <w:p w14:paraId="2C4A7CBA">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处于行业较好水平，对产业（行业）具有一定技术推动作用</w:t>
            </w:r>
          </w:p>
        </w:tc>
        <w:tc>
          <w:tcPr>
            <w:tcW w:w="2560" w:type="dxa"/>
            <w:tcBorders>
              <w:tl2br w:val="nil"/>
              <w:tr2bl w:val="nil"/>
            </w:tcBorders>
            <w:shd w:val="clear" w:color="auto" w:fill="auto"/>
            <w:vAlign w:val="center"/>
          </w:tcPr>
          <w:p w14:paraId="7B6840C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(4,8]</w:t>
            </w:r>
          </w:p>
        </w:tc>
      </w:tr>
      <w:tr w14:paraId="5BB96D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l2br w:val="nil"/>
              <w:tr2bl w:val="nil"/>
            </w:tcBorders>
            <w:shd w:val="clear" w:color="auto" w:fill="auto"/>
            <w:vAlign w:val="top"/>
          </w:tcPr>
          <w:p w14:paraId="6218155F">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处于行业平均水平</w:t>
            </w:r>
          </w:p>
        </w:tc>
        <w:tc>
          <w:tcPr>
            <w:tcW w:w="2560" w:type="dxa"/>
            <w:tcBorders>
              <w:tl2br w:val="nil"/>
              <w:tr2bl w:val="nil"/>
            </w:tcBorders>
            <w:shd w:val="clear" w:color="auto" w:fill="auto"/>
            <w:vAlign w:val="center"/>
          </w:tcPr>
          <w:p w14:paraId="0E1FCF0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(0,4]</w:t>
            </w:r>
          </w:p>
        </w:tc>
      </w:tr>
      <w:tr w14:paraId="483485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l2br w:val="nil"/>
              <w:tr2bl w:val="nil"/>
            </w:tcBorders>
            <w:shd w:val="clear" w:color="auto" w:fill="auto"/>
            <w:vAlign w:val="top"/>
          </w:tcPr>
          <w:p w14:paraId="4B584E8B">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未满足上述任何一项</w:t>
            </w:r>
          </w:p>
        </w:tc>
        <w:tc>
          <w:tcPr>
            <w:tcW w:w="2560" w:type="dxa"/>
            <w:tcBorders>
              <w:tl2br w:val="nil"/>
              <w:tr2bl w:val="nil"/>
            </w:tcBorders>
            <w:shd w:val="clear" w:color="auto" w:fill="auto"/>
            <w:vAlign w:val="center"/>
          </w:tcPr>
          <w:p w14:paraId="401CE85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0</w:t>
            </w:r>
          </w:p>
        </w:tc>
      </w:tr>
    </w:tbl>
    <w:p w14:paraId="44D29BFB">
      <w:pPr>
        <w:pStyle w:val="56"/>
        <w:numPr>
          <w:ilvl w:val="3"/>
          <w:numId w:val="2"/>
        </w:numPr>
        <w:spacing w:before="156" w:after="156"/>
        <w:rPr>
          <w:rFonts w:ascii="Times New Roman"/>
          <w:highlight w:val="none"/>
        </w:rPr>
      </w:pPr>
      <w:r>
        <w:rPr>
          <w:rFonts w:ascii="Times New Roman"/>
          <w:highlight w:val="none"/>
        </w:rPr>
        <w:t>环境效益</w:t>
      </w:r>
    </w:p>
    <w:p w14:paraId="15A4D78D">
      <w:pPr>
        <w:autoSpaceDE w:val="0"/>
        <w:autoSpaceDN w:val="0"/>
        <w:ind w:firstLine="420" w:firstLineChars="200"/>
        <w:rPr>
          <w:rFonts w:hint="eastAsia" w:ascii="宋体" w:hAnsi="宋体" w:cs="宋体"/>
          <w:highlight w:val="none"/>
        </w:rPr>
      </w:pPr>
      <w:r>
        <w:rPr>
          <w:rFonts w:hint="eastAsia" w:ascii="宋体" w:hAnsi="宋体" w:cs="宋体"/>
          <w:highlight w:val="none"/>
          <w:lang w:val="en-US" w:eastAsia="zh-CN"/>
        </w:rPr>
        <w:t>评估采购方应用环境基础设施领域相关产品或服务产生的资源节约、环境友好、生态良好等环境效益贡献量和涉及的环境效益种类数量，环境效益种类包括</w:t>
      </w:r>
      <w:r>
        <w:rPr>
          <w:rFonts w:hint="eastAsia" w:ascii="宋体" w:hAnsi="宋体" w:cs="宋体"/>
          <w:highlight w:val="none"/>
        </w:rPr>
        <w:t>生态环保效益、资源综合利用</w:t>
      </w:r>
      <w:r>
        <w:rPr>
          <w:rFonts w:hint="eastAsia" w:ascii="宋体" w:hAnsi="宋体" w:cs="宋体"/>
          <w:highlight w:val="none"/>
          <w:lang w:val="en-US" w:eastAsia="zh-CN"/>
        </w:rPr>
        <w:t>效益以及其他</w:t>
      </w:r>
      <w:r>
        <w:rPr>
          <w:rFonts w:hint="eastAsia" w:ascii="宋体" w:hAnsi="宋体" w:cs="宋体"/>
          <w:highlight w:val="none"/>
        </w:rPr>
        <w:t>效益，</w:t>
      </w:r>
      <w:r>
        <w:rPr>
          <w:rFonts w:hint="eastAsia" w:ascii="宋体" w:hAnsi="宋体" w:cs="宋体"/>
          <w:highlight w:val="none"/>
          <w:lang w:val="en-US" w:eastAsia="zh-CN"/>
        </w:rPr>
        <w:t>不同子行业选取的环境效益指标见表4</w:t>
      </w:r>
      <w:r>
        <w:rPr>
          <w:rFonts w:hint="eastAsia" w:ascii="宋体" w:hAnsi="宋体" w:cs="宋体"/>
          <w:highlight w:val="none"/>
          <w:lang w:eastAsia="zh-CN"/>
        </w:rPr>
        <w:t>，</w:t>
      </w:r>
      <w:r>
        <w:rPr>
          <w:rFonts w:hint="eastAsia" w:ascii="宋体" w:hAnsi="宋体" w:cs="宋体"/>
          <w:highlight w:val="none"/>
          <w:lang w:val="en-US" w:eastAsia="zh-CN"/>
        </w:rPr>
        <w:t>环境效益</w:t>
      </w:r>
      <w:r>
        <w:rPr>
          <w:rFonts w:hint="eastAsia" w:ascii="宋体" w:hAnsi="宋体" w:cs="宋体"/>
          <w:highlight w:val="none"/>
          <w:lang w:eastAsia="zh-CN"/>
        </w:rPr>
        <w:t>评分规则见表</w:t>
      </w:r>
      <w:r>
        <w:rPr>
          <w:rFonts w:hint="eastAsia" w:ascii="宋体" w:hAnsi="宋体" w:cs="宋体"/>
          <w:highlight w:val="none"/>
          <w:lang w:val="en-US" w:eastAsia="zh-CN"/>
        </w:rPr>
        <w:t>5</w:t>
      </w:r>
      <w:r>
        <w:rPr>
          <w:rFonts w:hint="eastAsia" w:ascii="宋体" w:hAnsi="宋体" w:cs="宋体"/>
          <w:highlight w:val="none"/>
          <w:lang w:eastAsia="zh-CN"/>
        </w:rPr>
        <w:t>。</w:t>
      </w:r>
      <w:r>
        <w:rPr>
          <w:rFonts w:hint="eastAsia" w:ascii="宋体" w:hAnsi="宋体" w:cs="宋体"/>
          <w:highlight w:val="none"/>
          <w:lang w:val="en-US" w:eastAsia="zh-CN"/>
        </w:rPr>
        <w:t>环境效益贡献量</w:t>
      </w:r>
      <w:r>
        <w:rPr>
          <w:rFonts w:hint="eastAsia" w:ascii="宋体" w:hAnsi="宋体" w:cs="宋体"/>
          <w:highlight w:val="none"/>
        </w:rPr>
        <w:t>以</w:t>
      </w:r>
      <w:r>
        <w:rPr>
          <w:rFonts w:hint="eastAsia" w:ascii="宋体" w:hAnsi="宋体" w:cs="宋体"/>
          <w:highlight w:val="none"/>
          <w:lang w:val="en-US" w:eastAsia="zh-CN"/>
        </w:rPr>
        <w:t>环境基础设施领域</w:t>
      </w:r>
      <w:r>
        <w:rPr>
          <w:rFonts w:hint="eastAsia" w:ascii="宋体" w:hAnsi="宋体" w:cs="宋体"/>
          <w:highlight w:val="none"/>
        </w:rPr>
        <w:t>相关产品或服务应用前为基准线</w:t>
      </w:r>
      <w:r>
        <w:rPr>
          <w:rFonts w:hint="eastAsia" w:ascii="宋体" w:hAnsi="宋体" w:cs="宋体"/>
          <w:highlight w:val="none"/>
          <w:lang w:val="en-US" w:eastAsia="zh-CN"/>
        </w:rPr>
        <w:t>情景</w:t>
      </w:r>
      <w:r>
        <w:rPr>
          <w:rFonts w:hint="eastAsia" w:ascii="宋体" w:hAnsi="宋体" w:cs="宋体"/>
          <w:highlight w:val="none"/>
        </w:rPr>
        <w:t>，按年度评估其应用后带来的有利影响增量或不利影响减量</w:t>
      </w:r>
      <w:r>
        <w:rPr>
          <w:rFonts w:hint="eastAsia" w:ascii="宋体" w:hAnsi="宋体" w:cs="宋体"/>
          <w:highlight w:val="none"/>
          <w:lang w:eastAsia="zh-CN"/>
        </w:rPr>
        <w:t>，</w:t>
      </w:r>
      <w:r>
        <w:rPr>
          <w:rFonts w:hint="eastAsia" w:ascii="宋体" w:hAnsi="宋体" w:cs="宋体"/>
          <w:highlight w:val="none"/>
          <w:lang w:val="en-US" w:eastAsia="zh-CN"/>
        </w:rPr>
        <w:t>环境效益指标及测算方法见附录B</w:t>
      </w:r>
      <w:r>
        <w:rPr>
          <w:rFonts w:hint="eastAsia" w:ascii="宋体" w:hAnsi="宋体" w:cs="宋体"/>
          <w:highlight w:val="none"/>
        </w:rPr>
        <w:t>。</w:t>
      </w:r>
    </w:p>
    <w:p w14:paraId="4EBD6D3B">
      <w:pPr>
        <w:pStyle w:val="62"/>
        <w:bidi w:val="0"/>
        <w:rPr>
          <w:highlight w:val="none"/>
        </w:rPr>
      </w:pPr>
      <w:r>
        <w:rPr>
          <w:rFonts w:hint="eastAsia"/>
          <w:highlight w:val="none"/>
          <w:lang w:val="en-US" w:eastAsia="zh-CN"/>
        </w:rPr>
        <w:t>“绿色服务”类企事业单位不参评“环境效益”指标。</w:t>
      </w:r>
    </w:p>
    <w:p w14:paraId="512070BA">
      <w:pPr>
        <w:pStyle w:val="131"/>
        <w:ind w:left="0" w:firstLine="0"/>
        <w:rPr>
          <w:rFonts w:ascii="Times New Roman"/>
          <w:highlight w:val="none"/>
        </w:rPr>
      </w:pPr>
      <w:r>
        <w:rPr>
          <w:rFonts w:hint="eastAsia" w:ascii="Times New Roman"/>
          <w:highlight w:val="none"/>
          <w:lang w:val="en-US" w:eastAsia="zh-CN"/>
        </w:rPr>
        <w:t>环境效益指标</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668"/>
        <w:gridCol w:w="1903"/>
        <w:gridCol w:w="3988"/>
      </w:tblGrid>
      <w:tr w14:paraId="4CE2AB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pct"/>
            <w:tcBorders>
              <w:bottom w:val="single" w:color="auto" w:sz="12" w:space="0"/>
            </w:tcBorders>
            <w:vAlign w:val="center"/>
          </w:tcPr>
          <w:p w14:paraId="24EEAB97">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子行业</w:t>
            </w:r>
          </w:p>
        </w:tc>
        <w:tc>
          <w:tcPr>
            <w:tcW w:w="995" w:type="pct"/>
            <w:tcBorders>
              <w:bottom w:val="single" w:color="auto" w:sz="12" w:space="0"/>
            </w:tcBorders>
            <w:vAlign w:val="center"/>
          </w:tcPr>
          <w:p w14:paraId="2998FFCC">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环境效益</w:t>
            </w:r>
          </w:p>
        </w:tc>
        <w:tc>
          <w:tcPr>
            <w:tcW w:w="2085" w:type="pct"/>
            <w:tcBorders>
              <w:bottom w:val="single" w:color="auto" w:sz="12" w:space="0"/>
            </w:tcBorders>
            <w:vAlign w:val="center"/>
          </w:tcPr>
          <w:p w14:paraId="09F4055A">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具体指标</w:t>
            </w:r>
          </w:p>
        </w:tc>
      </w:tr>
      <w:tr w14:paraId="1F4E48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pct"/>
            <w:tcBorders>
              <w:top w:val="single" w:color="auto" w:sz="12" w:space="0"/>
              <w:tl2br w:val="nil"/>
              <w:tr2bl w:val="nil"/>
            </w:tcBorders>
            <w:vAlign w:val="center"/>
          </w:tcPr>
          <w:p w14:paraId="771D83B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lang w:val="en-US"/>
              </w:rPr>
            </w:pPr>
            <w:r>
              <w:rPr>
                <w:rFonts w:hint="eastAsia" w:ascii="宋体" w:hAnsi="宋体" w:cs="宋体"/>
                <w:sz w:val="18"/>
                <w:szCs w:val="16"/>
                <w:highlight w:val="none"/>
                <w:lang w:val="en-US" w:eastAsia="zh-CN"/>
              </w:rPr>
              <w:t>园林绿化建设、养护管理和运营</w:t>
            </w:r>
          </w:p>
        </w:tc>
        <w:tc>
          <w:tcPr>
            <w:tcW w:w="995" w:type="pct"/>
            <w:tcBorders>
              <w:top w:val="single" w:color="auto" w:sz="12" w:space="0"/>
              <w:tl2br w:val="nil"/>
              <w:tr2bl w:val="nil"/>
            </w:tcBorders>
            <w:vAlign w:val="center"/>
          </w:tcPr>
          <w:p w14:paraId="67F50F2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生态环保效益</w:t>
            </w:r>
          </w:p>
        </w:tc>
        <w:tc>
          <w:tcPr>
            <w:tcW w:w="2085" w:type="pct"/>
            <w:tcBorders>
              <w:top w:val="single" w:color="auto" w:sz="12" w:space="0"/>
              <w:tl2br w:val="nil"/>
              <w:tr2bl w:val="nil"/>
            </w:tcBorders>
            <w:vAlign w:val="center"/>
          </w:tcPr>
          <w:p w14:paraId="60EC0CB6">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绿化面积、固碳量、释氧量</w:t>
            </w:r>
          </w:p>
        </w:tc>
      </w:tr>
      <w:tr w14:paraId="574460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pct"/>
            <w:tcBorders>
              <w:tl2br w:val="nil"/>
              <w:tr2bl w:val="nil"/>
            </w:tcBorders>
            <w:vAlign w:val="center"/>
          </w:tcPr>
          <w:p w14:paraId="6578E44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lang w:val="en-US"/>
              </w:rPr>
            </w:pPr>
            <w:r>
              <w:rPr>
                <w:rFonts w:hint="eastAsia" w:ascii="宋体" w:hAnsi="宋体" w:cs="宋体"/>
                <w:sz w:val="18"/>
                <w:szCs w:val="16"/>
                <w:highlight w:val="none"/>
                <w:lang w:val="en-US" w:eastAsia="zh-CN"/>
              </w:rPr>
              <w:t>海绵城市建设和运营</w:t>
            </w:r>
          </w:p>
        </w:tc>
        <w:tc>
          <w:tcPr>
            <w:tcW w:w="995" w:type="pct"/>
            <w:tcBorders>
              <w:tl2br w:val="nil"/>
              <w:tr2bl w:val="nil"/>
            </w:tcBorders>
            <w:vAlign w:val="center"/>
          </w:tcPr>
          <w:p w14:paraId="38CBB20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lang w:val="en-US" w:eastAsia="zh-CN"/>
              </w:rPr>
              <w:t>资源综合利用效益</w:t>
            </w:r>
          </w:p>
        </w:tc>
        <w:tc>
          <w:tcPr>
            <w:tcW w:w="2085" w:type="pct"/>
            <w:tcBorders>
              <w:tl2br w:val="nil"/>
              <w:tr2bl w:val="nil"/>
            </w:tcBorders>
            <w:vAlign w:val="center"/>
          </w:tcPr>
          <w:p w14:paraId="27EC40F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年径流污染去除率、年径流总量控制率、水环境基础设施量</w:t>
            </w:r>
          </w:p>
        </w:tc>
      </w:tr>
      <w:tr w14:paraId="79F82D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pct"/>
            <w:tcBorders>
              <w:tl2br w:val="nil"/>
              <w:tr2bl w:val="nil"/>
            </w:tcBorders>
            <w:vAlign w:val="center"/>
          </w:tcPr>
          <w:p w14:paraId="661ED27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lang w:val="en-US"/>
              </w:rPr>
            </w:pPr>
            <w:r>
              <w:rPr>
                <w:rFonts w:hint="eastAsia" w:ascii="宋体" w:hAnsi="宋体" w:cs="宋体"/>
                <w:sz w:val="18"/>
                <w:szCs w:val="16"/>
                <w:highlight w:val="none"/>
                <w:lang w:val="en-US" w:eastAsia="zh-CN"/>
              </w:rPr>
              <w:t>城镇供水管网分区计量漏损控制建设和运营</w:t>
            </w:r>
          </w:p>
        </w:tc>
        <w:tc>
          <w:tcPr>
            <w:tcW w:w="995" w:type="pct"/>
            <w:tcBorders>
              <w:tl2br w:val="nil"/>
              <w:tr2bl w:val="nil"/>
            </w:tcBorders>
            <w:vAlign w:val="center"/>
          </w:tcPr>
          <w:p w14:paraId="10BCC9D2">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资源综合利用效益</w:t>
            </w:r>
          </w:p>
        </w:tc>
        <w:tc>
          <w:tcPr>
            <w:tcW w:w="2085" w:type="pct"/>
            <w:tcBorders>
              <w:tl2br w:val="nil"/>
              <w:tr2bl w:val="nil"/>
            </w:tcBorders>
            <w:vAlign w:val="center"/>
          </w:tcPr>
          <w:p w14:paraId="25407B61">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节水量</w:t>
            </w:r>
          </w:p>
        </w:tc>
      </w:tr>
      <w:tr w14:paraId="26E06F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pct"/>
            <w:tcBorders>
              <w:tl2br w:val="nil"/>
              <w:tr2bl w:val="nil"/>
            </w:tcBorders>
            <w:vAlign w:val="center"/>
          </w:tcPr>
          <w:p w14:paraId="64067DC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水利设施智能化建设</w:t>
            </w:r>
          </w:p>
        </w:tc>
        <w:tc>
          <w:tcPr>
            <w:tcW w:w="995" w:type="pct"/>
            <w:tcBorders>
              <w:tl2br w:val="nil"/>
              <w:tr2bl w:val="nil"/>
            </w:tcBorders>
            <w:vAlign w:val="center"/>
          </w:tcPr>
          <w:p w14:paraId="086A9A98">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6"/>
                <w:highlight w:val="none"/>
                <w:lang w:val="en-US" w:eastAsia="zh-CN"/>
              </w:rPr>
            </w:pPr>
            <w:r>
              <w:rPr>
                <w:rFonts w:hint="eastAsia" w:ascii="宋体" w:hAnsi="宋体" w:cs="宋体"/>
                <w:sz w:val="18"/>
                <w:szCs w:val="16"/>
                <w:highlight w:val="none"/>
                <w:lang w:val="en-US" w:eastAsia="zh-CN"/>
              </w:rPr>
              <w:t>其他效益</w:t>
            </w:r>
          </w:p>
        </w:tc>
        <w:tc>
          <w:tcPr>
            <w:tcW w:w="2085" w:type="pct"/>
            <w:tcBorders>
              <w:tl2br w:val="nil"/>
              <w:tr2bl w:val="nil"/>
            </w:tcBorders>
            <w:vAlign w:val="center"/>
          </w:tcPr>
          <w:p w14:paraId="78C65ACA">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6"/>
                <w:highlight w:val="none"/>
                <w:lang w:val="en-US" w:eastAsia="zh-CN"/>
              </w:rPr>
            </w:pPr>
            <w:r>
              <w:rPr>
                <w:rFonts w:hint="eastAsia" w:ascii="宋体" w:hAnsi="宋体" w:cs="宋体"/>
                <w:sz w:val="18"/>
                <w:szCs w:val="16"/>
                <w:highlight w:val="none"/>
                <w:lang w:val="en-US" w:eastAsia="zh-CN"/>
              </w:rPr>
              <w:t>减灾量、减灾面积</w:t>
            </w:r>
          </w:p>
        </w:tc>
      </w:tr>
      <w:tr w14:paraId="12596C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8" w:type="pct"/>
            <w:tcBorders>
              <w:tl2br w:val="nil"/>
              <w:tr2bl w:val="nil"/>
            </w:tcBorders>
            <w:vAlign w:val="center"/>
          </w:tcPr>
          <w:p w14:paraId="5A6FCBC1">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6"/>
                <w:highlight w:val="none"/>
                <w:lang w:val="en-US" w:eastAsia="zh-CN"/>
              </w:rPr>
            </w:pPr>
            <w:r>
              <w:rPr>
                <w:rFonts w:hint="eastAsia" w:ascii="宋体" w:hAnsi="宋体" w:cs="宋体"/>
                <w:sz w:val="18"/>
                <w:szCs w:val="16"/>
                <w:highlight w:val="none"/>
                <w:lang w:val="en-US" w:eastAsia="zh-CN"/>
              </w:rPr>
              <w:t>生态安全预警体系和生态保护修复信息平台建设和运维</w:t>
            </w:r>
          </w:p>
        </w:tc>
        <w:tc>
          <w:tcPr>
            <w:tcW w:w="995" w:type="pct"/>
            <w:tcBorders>
              <w:tl2br w:val="nil"/>
              <w:tr2bl w:val="nil"/>
            </w:tcBorders>
            <w:vAlign w:val="center"/>
          </w:tcPr>
          <w:p w14:paraId="01E3CB6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其他效益</w:t>
            </w:r>
          </w:p>
        </w:tc>
        <w:tc>
          <w:tcPr>
            <w:tcW w:w="2085" w:type="pct"/>
            <w:tcBorders>
              <w:tl2br w:val="nil"/>
              <w:tr2bl w:val="nil"/>
            </w:tcBorders>
            <w:vAlign w:val="center"/>
          </w:tcPr>
          <w:p w14:paraId="175B041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减灾量、减灾面积</w:t>
            </w:r>
          </w:p>
        </w:tc>
      </w:tr>
    </w:tbl>
    <w:p w14:paraId="3FCA66B5">
      <w:pPr>
        <w:pStyle w:val="131"/>
        <w:rPr>
          <w:rFonts w:hint="eastAsia" w:ascii="Times New Roman"/>
          <w:highlight w:val="none"/>
        </w:rPr>
      </w:pPr>
      <w:r>
        <w:rPr>
          <w:rFonts w:hint="eastAsia" w:ascii="Times New Roman"/>
          <w:highlight w:val="none"/>
        </w:rPr>
        <w:t>环境效益评分规则</w:t>
      </w:r>
    </w:p>
    <w:tbl>
      <w:tblPr>
        <w:tblStyle w:val="36"/>
        <w:tblW w:w="499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5"/>
        <w:gridCol w:w="2955"/>
      </w:tblGrid>
      <w:tr w14:paraId="3E42BC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2" w:hRule="atLeast"/>
          <w:jc w:val="center"/>
        </w:trPr>
        <w:tc>
          <w:tcPr>
            <w:tcW w:w="3454" w:type="pct"/>
            <w:tcBorders>
              <w:bottom w:val="single" w:color="auto" w:sz="12" w:space="0"/>
            </w:tcBorders>
            <w:vAlign w:val="center"/>
          </w:tcPr>
          <w:p w14:paraId="323E8878">
            <w:pPr>
              <w:keepNext w:val="0"/>
              <w:keepLines w:val="0"/>
              <w:suppressLineNumbers w:val="0"/>
              <w:autoSpaceDE w:val="0"/>
              <w:autoSpaceDN w:val="0"/>
              <w:spacing w:before="0" w:beforeAutospacing="0" w:after="0" w:afterAutospacing="0"/>
              <w:ind w:left="0" w:right="0"/>
              <w:jc w:val="center"/>
              <w:rPr>
                <w:rFonts w:hint="default"/>
                <w:b/>
                <w:bCs/>
                <w:sz w:val="18"/>
                <w:szCs w:val="16"/>
                <w:highlight w:val="none"/>
              </w:rPr>
            </w:pPr>
            <w:r>
              <w:rPr>
                <w:rFonts w:hint="eastAsia"/>
                <w:b/>
                <w:bCs/>
                <w:sz w:val="18"/>
                <w:szCs w:val="16"/>
                <w:highlight w:val="none"/>
              </w:rPr>
              <w:t>环境效益</w:t>
            </w:r>
            <w:r>
              <w:rPr>
                <w:rFonts w:hint="default"/>
                <w:b/>
                <w:bCs/>
                <w:sz w:val="18"/>
                <w:szCs w:val="16"/>
                <w:highlight w:val="none"/>
              </w:rPr>
              <w:t>水平</w:t>
            </w:r>
          </w:p>
        </w:tc>
        <w:tc>
          <w:tcPr>
            <w:tcW w:w="1545" w:type="pct"/>
            <w:tcBorders>
              <w:bottom w:val="single" w:color="auto" w:sz="12" w:space="0"/>
            </w:tcBorders>
            <w:vAlign w:val="center"/>
          </w:tcPr>
          <w:p w14:paraId="0BDF6D22">
            <w:pPr>
              <w:keepNext w:val="0"/>
              <w:keepLines w:val="0"/>
              <w:suppressLineNumbers w:val="0"/>
              <w:autoSpaceDE w:val="0"/>
              <w:autoSpaceDN w:val="0"/>
              <w:spacing w:before="0" w:beforeAutospacing="0" w:after="0" w:afterAutospacing="0"/>
              <w:ind w:left="0" w:right="0"/>
              <w:jc w:val="center"/>
              <w:rPr>
                <w:rFonts w:hint="default"/>
                <w:b/>
                <w:bCs/>
                <w:sz w:val="18"/>
                <w:szCs w:val="16"/>
                <w:highlight w:val="none"/>
              </w:rPr>
            </w:pPr>
            <w:r>
              <w:rPr>
                <w:rFonts w:hint="eastAsia"/>
                <w:b/>
                <w:bCs/>
                <w:sz w:val="18"/>
                <w:szCs w:val="16"/>
                <w:highlight w:val="none"/>
                <w:lang w:val="en-US" w:eastAsia="zh-CN"/>
              </w:rPr>
              <w:t>分值</w:t>
            </w:r>
            <w:r>
              <w:rPr>
                <w:rFonts w:hint="eastAsia"/>
                <w:b/>
                <w:bCs/>
                <w:sz w:val="18"/>
                <w:szCs w:val="16"/>
                <w:highlight w:val="none"/>
              </w:rPr>
              <w:t>（分）</w:t>
            </w:r>
          </w:p>
        </w:tc>
      </w:tr>
      <w:tr w14:paraId="5F365D0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3454" w:type="pct"/>
            <w:tcBorders>
              <w:top w:val="single" w:color="auto" w:sz="12" w:space="0"/>
              <w:tl2br w:val="nil"/>
              <w:tr2bl w:val="nil"/>
            </w:tcBorders>
            <w:vAlign w:val="center"/>
          </w:tcPr>
          <w:p w14:paraId="7FDCCFDD">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sz w:val="18"/>
                <w:szCs w:val="16"/>
                <w:highlight w:val="none"/>
                <w:lang w:eastAsia="zh-CN"/>
              </w:rPr>
            </w:pPr>
            <w:r>
              <w:rPr>
                <w:rFonts w:hint="eastAsia"/>
                <w:sz w:val="18"/>
                <w:szCs w:val="16"/>
                <w:highlight w:val="none"/>
              </w:rPr>
              <w:t>涉及环境效益种类较多，产生实际环境效益贡献量较</w:t>
            </w:r>
            <w:r>
              <w:rPr>
                <w:rFonts w:hint="eastAsia"/>
                <w:sz w:val="18"/>
                <w:szCs w:val="16"/>
                <w:highlight w:val="none"/>
                <w:lang w:val="en-US" w:eastAsia="zh-CN"/>
              </w:rPr>
              <w:t>多</w:t>
            </w:r>
          </w:p>
        </w:tc>
        <w:tc>
          <w:tcPr>
            <w:tcW w:w="1545" w:type="pct"/>
            <w:tcBorders>
              <w:top w:val="single" w:color="auto" w:sz="12" w:space="0"/>
              <w:tl2br w:val="nil"/>
              <w:tr2bl w:val="nil"/>
            </w:tcBorders>
            <w:vAlign w:val="center"/>
          </w:tcPr>
          <w:p w14:paraId="1FDEDAC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w:t>
            </w:r>
            <w:r>
              <w:rPr>
                <w:rFonts w:hint="eastAsia" w:ascii="宋体" w:hAnsi="宋体" w:cs="宋体"/>
                <w:sz w:val="18"/>
                <w:szCs w:val="16"/>
                <w:highlight w:val="none"/>
                <w:lang w:val="en-US" w:eastAsia="zh-CN"/>
              </w:rPr>
              <w:t>14</w:t>
            </w:r>
            <w:r>
              <w:rPr>
                <w:rFonts w:hint="eastAsia" w:ascii="宋体" w:hAnsi="宋体" w:cs="宋体"/>
                <w:sz w:val="18"/>
                <w:szCs w:val="16"/>
                <w:highlight w:val="none"/>
              </w:rPr>
              <w:t>,</w:t>
            </w:r>
            <w:r>
              <w:rPr>
                <w:rFonts w:hint="eastAsia" w:ascii="宋体" w:hAnsi="宋体" w:cs="宋体"/>
                <w:sz w:val="18"/>
                <w:szCs w:val="16"/>
                <w:highlight w:val="none"/>
                <w:lang w:val="en-US" w:eastAsia="zh-CN"/>
              </w:rPr>
              <w:t>2</w:t>
            </w:r>
            <w:r>
              <w:rPr>
                <w:rFonts w:hint="eastAsia" w:ascii="宋体" w:hAnsi="宋体" w:cs="宋体"/>
                <w:sz w:val="18"/>
                <w:szCs w:val="16"/>
                <w:highlight w:val="none"/>
              </w:rPr>
              <w:t>0]</w:t>
            </w:r>
          </w:p>
        </w:tc>
      </w:tr>
      <w:tr w14:paraId="14A433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3454" w:type="pct"/>
            <w:tcBorders>
              <w:tl2br w:val="nil"/>
              <w:tr2bl w:val="nil"/>
            </w:tcBorders>
            <w:vAlign w:val="center"/>
          </w:tcPr>
          <w:p w14:paraId="5C8CB433">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涉及环境效益种类一般，产生实际环境效益贡献量一般</w:t>
            </w:r>
          </w:p>
        </w:tc>
        <w:tc>
          <w:tcPr>
            <w:tcW w:w="1545" w:type="pct"/>
            <w:tcBorders>
              <w:tl2br w:val="nil"/>
              <w:tr2bl w:val="nil"/>
            </w:tcBorders>
            <w:vAlign w:val="center"/>
          </w:tcPr>
          <w:p w14:paraId="4D67363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w:t>
            </w:r>
            <w:r>
              <w:rPr>
                <w:rFonts w:hint="eastAsia" w:ascii="宋体" w:hAnsi="宋体" w:cs="宋体"/>
                <w:sz w:val="18"/>
                <w:szCs w:val="16"/>
                <w:highlight w:val="none"/>
                <w:lang w:val="en-US" w:eastAsia="zh-CN"/>
              </w:rPr>
              <w:t>6</w:t>
            </w:r>
            <w:r>
              <w:rPr>
                <w:rFonts w:hint="eastAsia" w:ascii="宋体" w:hAnsi="宋体" w:cs="宋体"/>
                <w:sz w:val="18"/>
                <w:szCs w:val="16"/>
                <w:highlight w:val="none"/>
              </w:rPr>
              <w:t>,</w:t>
            </w:r>
            <w:r>
              <w:rPr>
                <w:rFonts w:hint="eastAsia" w:ascii="宋体" w:hAnsi="宋体" w:cs="宋体"/>
                <w:sz w:val="18"/>
                <w:szCs w:val="16"/>
                <w:highlight w:val="none"/>
                <w:lang w:val="en-US" w:eastAsia="zh-CN"/>
              </w:rPr>
              <w:t>14</w:t>
            </w:r>
            <w:r>
              <w:rPr>
                <w:rFonts w:hint="eastAsia" w:ascii="宋体" w:hAnsi="宋体" w:cs="宋体"/>
                <w:sz w:val="18"/>
                <w:szCs w:val="16"/>
                <w:highlight w:val="none"/>
              </w:rPr>
              <w:t>]</w:t>
            </w:r>
          </w:p>
        </w:tc>
      </w:tr>
      <w:tr w14:paraId="25EAF9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3454" w:type="pct"/>
            <w:tcBorders>
              <w:bottom w:val="single" w:color="auto" w:sz="4" w:space="0"/>
              <w:tl2br w:val="nil"/>
              <w:tr2bl w:val="nil"/>
            </w:tcBorders>
            <w:vAlign w:val="center"/>
          </w:tcPr>
          <w:p w14:paraId="3DB65FED">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涉及环境效益种类较少，产生实际环境效益贡献量较少</w:t>
            </w:r>
          </w:p>
        </w:tc>
        <w:tc>
          <w:tcPr>
            <w:tcW w:w="1545" w:type="pct"/>
            <w:tcBorders>
              <w:bottom w:val="single" w:color="auto" w:sz="4" w:space="0"/>
              <w:tl2br w:val="nil"/>
              <w:tr2bl w:val="nil"/>
            </w:tcBorders>
            <w:vAlign w:val="center"/>
          </w:tcPr>
          <w:p w14:paraId="1F026C2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(0,</w:t>
            </w:r>
            <w:r>
              <w:rPr>
                <w:rFonts w:hint="eastAsia" w:ascii="宋体" w:hAnsi="宋体" w:cs="宋体"/>
                <w:sz w:val="18"/>
                <w:szCs w:val="16"/>
                <w:highlight w:val="none"/>
                <w:lang w:val="en-US" w:eastAsia="zh-CN"/>
              </w:rPr>
              <w:t>6</w:t>
            </w:r>
            <w:r>
              <w:rPr>
                <w:rFonts w:hint="eastAsia" w:ascii="宋体" w:hAnsi="宋体" w:cs="宋体"/>
                <w:sz w:val="18"/>
                <w:szCs w:val="16"/>
                <w:highlight w:val="none"/>
              </w:rPr>
              <w:t>]</w:t>
            </w:r>
          </w:p>
        </w:tc>
      </w:tr>
      <w:tr w14:paraId="6C43C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3454" w:type="pct"/>
            <w:tcBorders>
              <w:top w:val="single" w:color="auto" w:sz="4" w:space="0"/>
            </w:tcBorders>
            <w:vAlign w:val="center"/>
          </w:tcPr>
          <w:p w14:paraId="023B56D2">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未产生实际环境效益</w:t>
            </w:r>
          </w:p>
        </w:tc>
        <w:tc>
          <w:tcPr>
            <w:tcW w:w="1545" w:type="pct"/>
            <w:tcBorders>
              <w:top w:val="single" w:color="auto" w:sz="4" w:space="0"/>
            </w:tcBorders>
            <w:vAlign w:val="center"/>
          </w:tcPr>
          <w:p w14:paraId="36FCBE9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0</w:t>
            </w:r>
          </w:p>
        </w:tc>
      </w:tr>
    </w:tbl>
    <w:p w14:paraId="08861835">
      <w:pPr>
        <w:pStyle w:val="51"/>
        <w:spacing w:before="156" w:after="156"/>
        <w:rPr>
          <w:rFonts w:ascii="Times New Roman"/>
          <w:highlight w:val="none"/>
        </w:rPr>
      </w:pPr>
      <w:r>
        <w:rPr>
          <w:rFonts w:ascii="Times New Roman"/>
          <w:highlight w:val="none"/>
        </w:rPr>
        <w:t>业务表现</w:t>
      </w:r>
    </w:p>
    <w:p w14:paraId="14594DA4">
      <w:pPr>
        <w:pStyle w:val="56"/>
        <w:numPr>
          <w:ilvl w:val="3"/>
          <w:numId w:val="2"/>
        </w:numPr>
        <w:spacing w:before="156" w:after="156"/>
        <w:rPr>
          <w:rFonts w:ascii="Times New Roman"/>
          <w:highlight w:val="none"/>
        </w:rPr>
      </w:pPr>
      <w:r>
        <w:rPr>
          <w:rFonts w:ascii="Times New Roman"/>
          <w:highlight w:val="none"/>
        </w:rPr>
        <w:t>发展能力</w:t>
      </w:r>
    </w:p>
    <w:p w14:paraId="7722A8E0">
      <w:pPr>
        <w:pStyle w:val="60"/>
        <w:spacing w:before="156" w:after="156"/>
        <w:rPr>
          <w:rFonts w:ascii="Times New Roman"/>
          <w:highlight w:val="none"/>
        </w:rPr>
      </w:pPr>
      <w:r>
        <w:rPr>
          <w:rFonts w:ascii="Times New Roman"/>
          <w:highlight w:val="none"/>
        </w:rPr>
        <w:t>团队技术实力</w:t>
      </w:r>
    </w:p>
    <w:p w14:paraId="3B9C6D5F">
      <w:pPr>
        <w:pStyle w:val="26"/>
        <w:rPr>
          <w:rFonts w:hint="eastAsia" w:hAnsi="宋体" w:cs="宋体"/>
          <w:highlight w:val="none"/>
        </w:rPr>
      </w:pPr>
      <w:r>
        <w:rPr>
          <w:rFonts w:hint="eastAsia" w:hAnsi="宋体" w:cs="宋体"/>
          <w:highlight w:val="none"/>
        </w:rPr>
        <w:t>从专业覆盖面、学历职称、相关工作年限等方面进行综合评价，具体评分规则见表</w:t>
      </w:r>
      <w:r>
        <w:rPr>
          <w:rFonts w:hint="eastAsia" w:hAnsi="宋体" w:cs="宋体"/>
          <w:highlight w:val="none"/>
          <w:lang w:val="en-US" w:eastAsia="zh-CN"/>
        </w:rPr>
        <w:t>6</w:t>
      </w:r>
      <w:r>
        <w:rPr>
          <w:rFonts w:hint="eastAsia" w:hAnsi="宋体" w:cs="宋体"/>
          <w:highlight w:val="none"/>
        </w:rPr>
        <w:t>。优质中小企业在实际得分基础上增加15%的得分，最高得分不超过该项指标总分。</w:t>
      </w:r>
    </w:p>
    <w:p w14:paraId="2BF2C361">
      <w:pPr>
        <w:pStyle w:val="131"/>
        <w:rPr>
          <w:rFonts w:ascii="Times New Roman"/>
          <w:highlight w:val="none"/>
        </w:rPr>
      </w:pPr>
      <w:r>
        <w:rPr>
          <w:rFonts w:ascii="Times New Roman"/>
          <w:highlight w:val="none"/>
        </w:rPr>
        <w:t>团队技术实力评分规则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82"/>
        <w:gridCol w:w="944"/>
        <w:gridCol w:w="969"/>
        <w:gridCol w:w="2664"/>
      </w:tblGrid>
      <w:tr w14:paraId="349094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06" w:type="pct"/>
            <w:tcBorders>
              <w:bottom w:val="single" w:color="auto" w:sz="12" w:space="0"/>
            </w:tcBorders>
            <w:vAlign w:val="center"/>
          </w:tcPr>
          <w:p w14:paraId="18102AA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团队技术实力</w:t>
            </w:r>
          </w:p>
        </w:tc>
        <w:tc>
          <w:tcPr>
            <w:tcW w:w="494" w:type="pct"/>
            <w:tcBorders>
              <w:bottom w:val="single" w:color="auto" w:sz="12" w:space="0"/>
            </w:tcBorders>
            <w:vAlign w:val="center"/>
          </w:tcPr>
          <w:p w14:paraId="1990434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基础分值</w:t>
            </w:r>
            <w:r>
              <w:rPr>
                <w:rFonts w:hint="eastAsia" w:ascii="Times New Roman"/>
                <w:b/>
                <w:bCs/>
                <w:sz w:val="18"/>
                <w:szCs w:val="18"/>
                <w:highlight w:val="none"/>
              </w:rPr>
              <w:t>（分）</w:t>
            </w:r>
          </w:p>
        </w:tc>
        <w:tc>
          <w:tcPr>
            <w:tcW w:w="507" w:type="pct"/>
            <w:tcBorders>
              <w:bottom w:val="single" w:color="auto" w:sz="12" w:space="0"/>
            </w:tcBorders>
            <w:vAlign w:val="center"/>
          </w:tcPr>
          <w:p w14:paraId="09ECD51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最高分值</w:t>
            </w:r>
            <w:r>
              <w:rPr>
                <w:rFonts w:hint="eastAsia" w:ascii="Times New Roman"/>
                <w:b/>
                <w:bCs/>
                <w:sz w:val="18"/>
                <w:szCs w:val="18"/>
                <w:highlight w:val="none"/>
              </w:rPr>
              <w:t>（分）</w:t>
            </w:r>
          </w:p>
        </w:tc>
        <w:tc>
          <w:tcPr>
            <w:tcW w:w="1390" w:type="pct"/>
            <w:tcBorders>
              <w:bottom w:val="single" w:color="auto" w:sz="12" w:space="0"/>
            </w:tcBorders>
            <w:vAlign w:val="center"/>
          </w:tcPr>
          <w:p w14:paraId="1E32AFBB">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加分规则</w:t>
            </w:r>
          </w:p>
        </w:tc>
      </w:tr>
      <w:tr w14:paraId="520920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2606" w:type="pct"/>
            <w:tcBorders>
              <w:top w:val="single" w:color="auto" w:sz="12" w:space="0"/>
              <w:tl2br w:val="nil"/>
              <w:tr2bl w:val="nil"/>
            </w:tcBorders>
            <w:vAlign w:val="center"/>
          </w:tcPr>
          <w:p w14:paraId="245E7E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人员配置合理，涵盖所需专业，研发部门中30%以上科研人员从事</w:t>
            </w:r>
            <w:r>
              <w:rPr>
                <w:rFonts w:hint="eastAsia" w:hAnsi="宋体" w:cs="宋体"/>
                <w:sz w:val="18"/>
                <w:szCs w:val="18"/>
                <w:highlight w:val="none"/>
                <w:lang w:val="en-US" w:eastAsia="zh-CN"/>
              </w:rPr>
              <w:t>环境基础设施领域</w:t>
            </w:r>
            <w:r>
              <w:rPr>
                <w:rFonts w:hint="eastAsia" w:hAnsi="宋体" w:cs="宋体"/>
                <w:sz w:val="18"/>
                <w:szCs w:val="18"/>
                <w:highlight w:val="none"/>
              </w:rPr>
              <w:t>相关工作达3年或以上年限，至少配备一名高级职称或博士技术人员</w:t>
            </w:r>
          </w:p>
        </w:tc>
        <w:tc>
          <w:tcPr>
            <w:tcW w:w="494" w:type="pct"/>
            <w:tcBorders>
              <w:top w:val="single" w:color="auto" w:sz="12" w:space="0"/>
              <w:tl2br w:val="nil"/>
              <w:tr2bl w:val="nil"/>
            </w:tcBorders>
            <w:vAlign w:val="center"/>
          </w:tcPr>
          <w:p w14:paraId="1FB9CDB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4</w:t>
            </w:r>
          </w:p>
        </w:tc>
        <w:tc>
          <w:tcPr>
            <w:tcW w:w="507" w:type="pct"/>
            <w:tcBorders>
              <w:top w:val="single" w:color="auto" w:sz="12" w:space="0"/>
              <w:tl2br w:val="nil"/>
              <w:tr2bl w:val="nil"/>
            </w:tcBorders>
            <w:vAlign w:val="center"/>
          </w:tcPr>
          <w:p w14:paraId="5FAA7C3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8</w:t>
            </w:r>
          </w:p>
        </w:tc>
        <w:tc>
          <w:tcPr>
            <w:tcW w:w="1390" w:type="pct"/>
            <w:vMerge w:val="restart"/>
            <w:tcBorders>
              <w:top w:val="single" w:color="auto" w:sz="12" w:space="0"/>
              <w:tl2br w:val="nil"/>
              <w:tr2bl w:val="nil"/>
            </w:tcBorders>
            <w:vAlign w:val="center"/>
          </w:tcPr>
          <w:p w14:paraId="64C7F6C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eastAsia="zh-CN"/>
              </w:rPr>
              <w:t>（</w:t>
            </w:r>
            <w:r>
              <w:rPr>
                <w:rFonts w:hint="eastAsia" w:hAnsi="宋体" w:cs="宋体"/>
                <w:sz w:val="18"/>
                <w:szCs w:val="18"/>
                <w:highlight w:val="none"/>
                <w:lang w:val="en-US" w:eastAsia="zh-CN"/>
              </w:rPr>
              <w:t>1</w:t>
            </w:r>
            <w:r>
              <w:rPr>
                <w:rFonts w:hint="eastAsia" w:hAnsi="宋体" w:cs="宋体"/>
                <w:sz w:val="18"/>
                <w:szCs w:val="18"/>
                <w:highlight w:val="none"/>
                <w:lang w:eastAsia="zh-CN"/>
              </w:rPr>
              <w:t>）</w:t>
            </w:r>
            <w:r>
              <w:rPr>
                <w:rFonts w:hint="eastAsia" w:hAnsi="宋体" w:cs="宋体"/>
                <w:sz w:val="18"/>
                <w:szCs w:val="18"/>
                <w:highlight w:val="none"/>
              </w:rPr>
              <w:t>每增加一名从事</w:t>
            </w:r>
            <w:r>
              <w:rPr>
                <w:rFonts w:hint="eastAsia" w:hAnsi="宋体" w:cs="宋体"/>
                <w:sz w:val="18"/>
                <w:szCs w:val="18"/>
                <w:highlight w:val="none"/>
                <w:lang w:val="en-US" w:eastAsia="zh-CN"/>
              </w:rPr>
              <w:t>环境基础设施领域</w:t>
            </w:r>
            <w:r>
              <w:rPr>
                <w:rFonts w:hint="eastAsia" w:hAnsi="宋体" w:cs="宋体"/>
                <w:sz w:val="18"/>
                <w:szCs w:val="18"/>
                <w:highlight w:val="none"/>
              </w:rPr>
              <w:t>相关技术领域的高级职称或博士技术人员，加0.5分</w:t>
            </w:r>
          </w:p>
          <w:p w14:paraId="57AFCE3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eastAsia="zh-CN"/>
              </w:rPr>
              <w:t>（</w:t>
            </w:r>
            <w:r>
              <w:rPr>
                <w:rFonts w:hint="eastAsia" w:hAnsi="宋体" w:cs="宋体"/>
                <w:sz w:val="18"/>
                <w:szCs w:val="18"/>
                <w:highlight w:val="none"/>
                <w:lang w:val="en-US" w:eastAsia="zh-CN"/>
              </w:rPr>
              <w:t>2</w:t>
            </w:r>
            <w:r>
              <w:rPr>
                <w:rFonts w:hint="eastAsia" w:hAnsi="宋体" w:cs="宋体"/>
                <w:sz w:val="18"/>
                <w:szCs w:val="18"/>
                <w:highlight w:val="none"/>
                <w:lang w:eastAsia="zh-CN"/>
              </w:rPr>
              <w:t>）</w:t>
            </w:r>
            <w:r>
              <w:rPr>
                <w:rFonts w:hint="eastAsia" w:hAnsi="宋体" w:cs="宋体"/>
                <w:sz w:val="18"/>
                <w:szCs w:val="18"/>
                <w:highlight w:val="none"/>
              </w:rPr>
              <w:t>每增加5%从事</w:t>
            </w:r>
            <w:r>
              <w:rPr>
                <w:rFonts w:hint="eastAsia" w:hAnsi="宋体" w:cs="宋体"/>
                <w:sz w:val="18"/>
                <w:szCs w:val="18"/>
                <w:highlight w:val="none"/>
                <w:lang w:val="en-US" w:eastAsia="zh-CN"/>
              </w:rPr>
              <w:t>环境基础设施领域</w:t>
            </w:r>
            <w:r>
              <w:rPr>
                <w:rFonts w:hint="eastAsia" w:hAnsi="宋体" w:cs="宋体"/>
                <w:sz w:val="18"/>
                <w:szCs w:val="18"/>
                <w:highlight w:val="none"/>
              </w:rPr>
              <w:t>相关工作达3年或以上年限的团队人员，加0.5分</w:t>
            </w:r>
          </w:p>
        </w:tc>
      </w:tr>
      <w:tr w14:paraId="27E5BA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2606" w:type="pct"/>
            <w:tcBorders>
              <w:tl2br w:val="nil"/>
              <w:tr2bl w:val="nil"/>
            </w:tcBorders>
            <w:vAlign w:val="center"/>
          </w:tcPr>
          <w:p w14:paraId="1716426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人员配置基本合理，涵盖所需专业，研发部门中20%以上科研人员从事</w:t>
            </w:r>
            <w:r>
              <w:rPr>
                <w:rFonts w:hint="eastAsia" w:hAnsi="宋体" w:cs="宋体"/>
                <w:sz w:val="18"/>
                <w:szCs w:val="18"/>
                <w:highlight w:val="none"/>
                <w:lang w:val="en-US" w:eastAsia="zh-CN"/>
              </w:rPr>
              <w:t>环境基础设施领域</w:t>
            </w:r>
            <w:r>
              <w:rPr>
                <w:rFonts w:hint="eastAsia" w:hAnsi="宋体" w:cs="宋体"/>
                <w:sz w:val="18"/>
                <w:szCs w:val="18"/>
                <w:highlight w:val="none"/>
              </w:rPr>
              <w:t>相关工作达3年或以上年限，至少配备一名高级职称或博士技术人员</w:t>
            </w:r>
          </w:p>
        </w:tc>
        <w:tc>
          <w:tcPr>
            <w:tcW w:w="494" w:type="pct"/>
            <w:tcBorders>
              <w:tl2br w:val="nil"/>
              <w:tr2bl w:val="nil"/>
            </w:tcBorders>
            <w:vAlign w:val="center"/>
          </w:tcPr>
          <w:p w14:paraId="310320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507" w:type="pct"/>
            <w:tcBorders>
              <w:tl2br w:val="nil"/>
              <w:tr2bl w:val="nil"/>
            </w:tcBorders>
            <w:vAlign w:val="center"/>
          </w:tcPr>
          <w:p w14:paraId="34CB6B2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7</w:t>
            </w:r>
          </w:p>
        </w:tc>
        <w:tc>
          <w:tcPr>
            <w:tcW w:w="1390" w:type="pct"/>
            <w:vMerge w:val="continue"/>
            <w:tcBorders>
              <w:tl2br w:val="nil"/>
              <w:tr2bl w:val="nil"/>
            </w:tcBorders>
            <w:vAlign w:val="center"/>
          </w:tcPr>
          <w:p w14:paraId="676311E1">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5FF6CA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06" w:type="pct"/>
            <w:tcBorders>
              <w:tl2br w:val="nil"/>
              <w:tr2bl w:val="nil"/>
            </w:tcBorders>
            <w:vAlign w:val="center"/>
          </w:tcPr>
          <w:p w14:paraId="62C82DB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人员配置未完全覆盖所需专业，团队实力一般</w:t>
            </w:r>
          </w:p>
        </w:tc>
        <w:tc>
          <w:tcPr>
            <w:tcW w:w="494" w:type="pct"/>
            <w:tcBorders>
              <w:tl2br w:val="nil"/>
              <w:tr2bl w:val="nil"/>
            </w:tcBorders>
            <w:vAlign w:val="center"/>
          </w:tcPr>
          <w:p w14:paraId="4E52804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507" w:type="pct"/>
            <w:tcBorders>
              <w:tl2br w:val="nil"/>
              <w:tr2bl w:val="nil"/>
            </w:tcBorders>
            <w:vAlign w:val="center"/>
          </w:tcPr>
          <w:p w14:paraId="6F3CD38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1390" w:type="pct"/>
            <w:vMerge w:val="continue"/>
            <w:tcBorders>
              <w:tl2br w:val="nil"/>
              <w:tr2bl w:val="nil"/>
            </w:tcBorders>
            <w:vAlign w:val="center"/>
          </w:tcPr>
          <w:p w14:paraId="4D4F99B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54B49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00" w:type="pct"/>
            <w:gridSpan w:val="4"/>
            <w:tcBorders>
              <w:tl2br w:val="nil"/>
              <w:tr2bl w:val="nil"/>
            </w:tcBorders>
            <w:vAlign w:val="center"/>
          </w:tcPr>
          <w:p w14:paraId="33B89229">
            <w:pPr>
              <w:pStyle w:val="62"/>
              <w:keepNext w:val="0"/>
              <w:keepLines w:val="0"/>
              <w:suppressLineNumbers w:val="0"/>
              <w:bidi w:val="0"/>
              <w:spacing w:before="0" w:beforeAutospacing="0" w:after="0" w:afterAutospacing="0"/>
              <w:ind w:left="0" w:right="0"/>
              <w:rPr>
                <w:rFonts w:hint="default" w:hAnsi="宋体" w:cs="宋体"/>
                <w:szCs w:val="18"/>
                <w:highlight w:val="none"/>
              </w:rPr>
            </w:pPr>
            <w:r>
              <w:rPr>
                <w:rFonts w:hint="eastAsia"/>
                <w:highlight w:val="none"/>
              </w:rPr>
              <w:t>科研人员是直接从事研发和相关技术创新活动，以及专门从事上述活动的管理或提供直接技术服务的，累计实际工作时间在183天以上的人员，包括在职、兼职和临时聘用人员。在职人员通过企事业单位是否签订了劳动合同或缴纳社会保险费来鉴别；兼职、临时聘用人员通过是否全年在企事业单位累计工作183天以上来鉴别。</w:t>
            </w:r>
          </w:p>
        </w:tc>
      </w:tr>
    </w:tbl>
    <w:p w14:paraId="3CB582CA">
      <w:pPr>
        <w:pStyle w:val="60"/>
        <w:spacing w:before="156" w:after="156"/>
        <w:rPr>
          <w:rFonts w:ascii="Times New Roman"/>
          <w:highlight w:val="none"/>
        </w:rPr>
      </w:pPr>
      <w:r>
        <w:rPr>
          <w:rFonts w:ascii="Times New Roman"/>
          <w:highlight w:val="none"/>
        </w:rPr>
        <w:t>研发投入</w:t>
      </w:r>
    </w:p>
    <w:p w14:paraId="0C5CA686">
      <w:pPr>
        <w:pStyle w:val="26"/>
        <w:rPr>
          <w:rFonts w:hint="eastAsia" w:hAnsi="宋体" w:cs="宋体"/>
          <w:highlight w:val="none"/>
        </w:rPr>
      </w:pPr>
      <w:r>
        <w:rPr>
          <w:rFonts w:hint="eastAsia" w:hAnsi="宋体" w:cs="宋体"/>
          <w:highlight w:val="none"/>
        </w:rPr>
        <w:t>从</w:t>
      </w:r>
      <w:r>
        <w:rPr>
          <w:rFonts w:hint="eastAsia" w:hAnsi="宋体" w:cs="宋体"/>
          <w:highlight w:val="none"/>
          <w:lang w:val="en-US" w:eastAsia="zh-CN"/>
        </w:rPr>
        <w:t>环境基础设施领域</w:t>
      </w:r>
      <w:r>
        <w:rPr>
          <w:rFonts w:hint="eastAsia" w:hAnsi="宋体" w:cs="宋体"/>
          <w:highlight w:val="none"/>
        </w:rPr>
        <w:t>的研发投入占比或研发投入金额等方面进行综合评价，具体评分规则见表</w:t>
      </w:r>
      <w:r>
        <w:rPr>
          <w:rFonts w:hint="eastAsia" w:hAnsi="宋体" w:cs="宋体"/>
          <w:highlight w:val="none"/>
          <w:lang w:val="en-US" w:eastAsia="zh-CN"/>
        </w:rPr>
        <w:t>7</w:t>
      </w:r>
      <w:r>
        <w:rPr>
          <w:rFonts w:hint="eastAsia" w:hAnsi="宋体" w:cs="宋体"/>
          <w:highlight w:val="none"/>
        </w:rPr>
        <w:t>。</w:t>
      </w:r>
    </w:p>
    <w:p w14:paraId="3A9D0D7B">
      <w:pPr>
        <w:pStyle w:val="62"/>
        <w:bidi w:val="0"/>
        <w:rPr>
          <w:rFonts w:hint="eastAsia" w:hAnsi="宋体" w:cs="宋体"/>
          <w:highlight w:val="none"/>
        </w:rPr>
      </w:pPr>
      <w:r>
        <w:rPr>
          <w:rFonts w:hint="eastAsia"/>
          <w:highlight w:val="none"/>
          <w:lang w:val="en-US" w:eastAsia="zh-CN"/>
        </w:rPr>
        <w:t>环境基础设施领域</w:t>
      </w:r>
      <w:r>
        <w:rPr>
          <w:rFonts w:hint="eastAsia"/>
          <w:highlight w:val="none"/>
        </w:rPr>
        <w:t>的研发投入占比是上一个会计年度（实际经营期不满一年的，按实际经营时间计算）的</w:t>
      </w:r>
      <w:r>
        <w:rPr>
          <w:rFonts w:hint="eastAsia"/>
          <w:highlight w:val="none"/>
          <w:lang w:val="en-US" w:eastAsia="zh-CN"/>
        </w:rPr>
        <w:t>环境基础设施领域相关</w:t>
      </w:r>
      <w:r>
        <w:rPr>
          <w:rFonts w:hint="eastAsia"/>
          <w:highlight w:val="none"/>
        </w:rPr>
        <w:t>绿色业务研究开发费用总额与同期绿色业务营业收入总额的比值。其中，研究开发费用包含研发人员人工费用、直接投入费用、折旧费用与长期待摊费用、无形资产摊销费用、设计费用、装备调试费用与试验费用、委托外部研究开发费用等。</w:t>
      </w:r>
    </w:p>
    <w:p w14:paraId="37C619C7">
      <w:pPr>
        <w:pStyle w:val="131"/>
        <w:rPr>
          <w:rFonts w:ascii="Times New Roman"/>
          <w:highlight w:val="none"/>
        </w:rPr>
      </w:pPr>
      <w:r>
        <w:rPr>
          <w:rFonts w:ascii="Times New Roman"/>
          <w:highlight w:val="none"/>
        </w:rPr>
        <w:t>研发投入评分规则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22"/>
        <w:gridCol w:w="1637"/>
      </w:tblGrid>
      <w:tr w14:paraId="242EF1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bottom w:val="single" w:color="auto" w:sz="12" w:space="0"/>
            </w:tcBorders>
            <w:vAlign w:val="center"/>
          </w:tcPr>
          <w:p w14:paraId="405CBFAC">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default" w:ascii="Times New Roman"/>
                <w:b/>
                <w:bCs/>
                <w:sz w:val="18"/>
                <w:szCs w:val="18"/>
                <w:highlight w:val="none"/>
              </w:rPr>
              <w:t>研发投入占比</w:t>
            </w:r>
            <w:r>
              <w:rPr>
                <w:rFonts w:hint="eastAsia" w:ascii="Times New Roman"/>
                <w:b/>
                <w:bCs/>
                <w:sz w:val="18"/>
                <w:szCs w:val="18"/>
                <w:highlight w:val="none"/>
                <w:lang w:val="en-US" w:eastAsia="zh-CN"/>
              </w:rPr>
              <w:t>/金额</w:t>
            </w:r>
          </w:p>
        </w:tc>
        <w:tc>
          <w:tcPr>
            <w:tcW w:w="856" w:type="pct"/>
            <w:tcBorders>
              <w:bottom w:val="single" w:color="auto" w:sz="12" w:space="0"/>
            </w:tcBorders>
            <w:vAlign w:val="center"/>
          </w:tcPr>
          <w:p w14:paraId="69ACB74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5C7D58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op w:val="single" w:color="auto" w:sz="12" w:space="0"/>
              <w:tl2br w:val="nil"/>
              <w:tr2bl w:val="nil"/>
            </w:tcBorders>
            <w:vAlign w:val="center"/>
          </w:tcPr>
          <w:p w14:paraId="13A3967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收入在2亿元以上的企事业单位，比例不低于3%</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或不低于600万元</w:t>
            </w:r>
          </w:p>
        </w:tc>
        <w:tc>
          <w:tcPr>
            <w:tcW w:w="856" w:type="pct"/>
            <w:vMerge w:val="restart"/>
            <w:tcBorders>
              <w:top w:val="single" w:color="auto" w:sz="12" w:space="0"/>
              <w:tl2br w:val="nil"/>
              <w:tr2bl w:val="nil"/>
            </w:tcBorders>
            <w:vAlign w:val="center"/>
          </w:tcPr>
          <w:p w14:paraId="0968F34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6</w:t>
            </w:r>
          </w:p>
        </w:tc>
      </w:tr>
      <w:tr w14:paraId="0205C11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l2br w:val="nil"/>
              <w:tr2bl w:val="nil"/>
            </w:tcBorders>
            <w:vAlign w:val="center"/>
          </w:tcPr>
          <w:p w14:paraId="1C5CC7F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收入在5000万元至2亿元（含）的企事业单位，比例不低于4%</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或不低于400万元</w:t>
            </w:r>
          </w:p>
        </w:tc>
        <w:tc>
          <w:tcPr>
            <w:tcW w:w="856" w:type="pct"/>
            <w:vMerge w:val="continue"/>
            <w:tcBorders>
              <w:tl2br w:val="nil"/>
              <w:tr2bl w:val="nil"/>
            </w:tcBorders>
            <w:vAlign w:val="center"/>
          </w:tcPr>
          <w:p w14:paraId="1F5389D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6F9E73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l2br w:val="nil"/>
              <w:tr2bl w:val="nil"/>
            </w:tcBorders>
            <w:vAlign w:val="center"/>
          </w:tcPr>
          <w:p w14:paraId="3E61884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收入小于5000万元（含）的企事业单位，比例不低于5%</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或不低于250万元</w:t>
            </w:r>
          </w:p>
        </w:tc>
        <w:tc>
          <w:tcPr>
            <w:tcW w:w="856" w:type="pct"/>
            <w:vMerge w:val="continue"/>
            <w:tcBorders>
              <w:tl2br w:val="nil"/>
              <w:tr2bl w:val="nil"/>
            </w:tcBorders>
            <w:vAlign w:val="center"/>
          </w:tcPr>
          <w:p w14:paraId="6FAA5098">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614C5C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l2br w:val="nil"/>
              <w:tr2bl w:val="nil"/>
            </w:tcBorders>
            <w:vAlign w:val="center"/>
          </w:tcPr>
          <w:p w14:paraId="6948922E">
            <w:pPr>
              <w:pStyle w:val="26"/>
              <w:keepNext w:val="0"/>
              <w:keepLines w:val="0"/>
              <w:widowControl/>
              <w:suppressLineNumbers w:val="0"/>
              <w:spacing w:before="0" w:beforeAutospacing="0" w:after="0" w:afterAutospacing="0"/>
              <w:ind w:left="0" w:right="0" w:firstLine="0" w:firstLineChars="0"/>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856" w:type="pct"/>
            <w:tcBorders>
              <w:tl2br w:val="nil"/>
              <w:tr2bl w:val="nil"/>
            </w:tcBorders>
            <w:vAlign w:val="center"/>
          </w:tcPr>
          <w:p w14:paraId="7DB76A3E">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w:t>
            </w:r>
          </w:p>
        </w:tc>
      </w:tr>
    </w:tbl>
    <w:p w14:paraId="5B05DAE4">
      <w:pPr>
        <w:numPr>
          <w:ilvl w:val="4"/>
          <w:numId w:val="2"/>
        </w:numPr>
        <w:spacing w:before="156" w:beforeLines="50" w:after="156" w:afterLines="50"/>
        <w:outlineLvl w:val="5"/>
        <w:rPr>
          <w:rFonts w:eastAsia="黑体"/>
          <w:szCs w:val="21"/>
          <w:highlight w:val="none"/>
        </w:rPr>
      </w:pPr>
      <w:r>
        <w:rPr>
          <w:rFonts w:hint="eastAsia" w:eastAsia="黑体"/>
          <w:szCs w:val="21"/>
          <w:highlight w:val="none"/>
          <w:lang w:val="en-US" w:eastAsia="zh-CN"/>
        </w:rPr>
        <w:t>运营效益水平</w:t>
      </w:r>
    </w:p>
    <w:p w14:paraId="124BB704">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从业务增长率、净利润率</w:t>
      </w:r>
      <w:r>
        <w:rPr>
          <w:rFonts w:hint="eastAsia" w:ascii="宋体" w:hAnsi="宋体" w:cs="宋体"/>
          <w:sz w:val="21"/>
          <w:highlight w:val="none"/>
          <w:lang w:val="en-US" w:eastAsia="zh-CN" w:bidi="ar-SA"/>
        </w:rPr>
        <w:t>两</w:t>
      </w:r>
      <w:r>
        <w:rPr>
          <w:rFonts w:hint="eastAsia" w:ascii="宋体" w:hAnsi="宋体" w:eastAsia="宋体" w:cs="宋体"/>
          <w:sz w:val="21"/>
          <w:highlight w:val="none"/>
          <w:lang w:val="en-US" w:eastAsia="zh-CN" w:bidi="ar-SA"/>
        </w:rPr>
        <w:t>方面进行综合评价，采用近三年平均值进行评估（实际经营期不满三年的，按实际经营时间计算），具体评分规则见表</w:t>
      </w:r>
      <w:r>
        <w:rPr>
          <w:rFonts w:hint="eastAsia" w:ascii="宋体" w:hAnsi="宋体" w:cs="宋体"/>
          <w:sz w:val="21"/>
          <w:highlight w:val="none"/>
          <w:lang w:val="en-US" w:eastAsia="zh-CN" w:bidi="ar-SA"/>
        </w:rPr>
        <w:t>8</w:t>
      </w:r>
      <w:r>
        <w:rPr>
          <w:rFonts w:hint="eastAsia" w:ascii="宋体" w:hAnsi="宋体" w:eastAsia="宋体" w:cs="宋体"/>
          <w:sz w:val="21"/>
          <w:highlight w:val="none"/>
          <w:lang w:val="en-US" w:eastAsia="zh-CN" w:bidi="ar-SA"/>
        </w:rPr>
        <w:t>。</w:t>
      </w:r>
    </w:p>
    <w:p w14:paraId="2401D041">
      <w:pPr>
        <w:widowControl w:val="0"/>
        <w:numPr>
          <w:ilvl w:val="0"/>
          <w:numId w:val="20"/>
        </w:numPr>
        <w:autoSpaceDE w:val="0"/>
        <w:autoSpaceDN w:val="0"/>
        <w:ind w:left="780" w:leftChars="200" w:hanging="360" w:hanging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业务增长率是当年主营业务收入增长额与上年主营业务收入总额的比值。</w:t>
      </w:r>
    </w:p>
    <w:p w14:paraId="4BCCFD3E">
      <w:pPr>
        <w:widowControl w:val="0"/>
        <w:numPr>
          <w:ilvl w:val="0"/>
          <w:numId w:val="20"/>
        </w:numPr>
        <w:autoSpaceDE w:val="0"/>
        <w:autoSpaceDN w:val="0"/>
        <w:ind w:left="780" w:leftChars="200" w:hanging="360" w:hanging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净利润率是当年经营所得的净利润占营业收入总额的百分比，或占投入资本额的百分比。</w:t>
      </w:r>
    </w:p>
    <w:p w14:paraId="134AAD76">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运营效益水平</w:t>
      </w:r>
      <w:r>
        <w:rPr>
          <w:rFonts w:ascii="Times New Roman" w:hAnsi="Times New Roman" w:eastAsia="黑体" w:cs="Times New Roman"/>
          <w:sz w:val="21"/>
          <w:highlight w:val="none"/>
          <w:lang w:val="en-US" w:eastAsia="zh-CN" w:bidi="ar-SA"/>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788"/>
        <w:gridCol w:w="1788"/>
        <w:gridCol w:w="1719"/>
        <w:gridCol w:w="1605"/>
        <w:gridCol w:w="2659"/>
      </w:tblGrid>
      <w:tr w14:paraId="20C4DF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5" w:type="pct"/>
            <w:tcBorders>
              <w:bottom w:val="single" w:color="auto" w:sz="12" w:space="0"/>
            </w:tcBorders>
            <w:vAlign w:val="center"/>
          </w:tcPr>
          <w:p w14:paraId="5F5E7E3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业务增长率（%）</w:t>
            </w:r>
          </w:p>
        </w:tc>
        <w:tc>
          <w:tcPr>
            <w:tcW w:w="935" w:type="pct"/>
            <w:tcBorders>
              <w:bottom w:val="single" w:color="auto" w:sz="12" w:space="0"/>
            </w:tcBorders>
            <w:vAlign w:val="center"/>
          </w:tcPr>
          <w:p w14:paraId="4C50BDF8">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c>
          <w:tcPr>
            <w:tcW w:w="899" w:type="pct"/>
            <w:tcBorders>
              <w:bottom w:val="single" w:color="auto" w:sz="12" w:space="0"/>
            </w:tcBorders>
            <w:vAlign w:val="center"/>
          </w:tcPr>
          <w:p w14:paraId="005FFBE6">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净利润率（%）</w:t>
            </w:r>
          </w:p>
        </w:tc>
        <w:tc>
          <w:tcPr>
            <w:tcW w:w="839" w:type="pct"/>
            <w:tcBorders>
              <w:bottom w:val="single" w:color="auto" w:sz="12" w:space="0"/>
            </w:tcBorders>
            <w:vAlign w:val="center"/>
          </w:tcPr>
          <w:p w14:paraId="3197E316">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c>
          <w:tcPr>
            <w:tcW w:w="1390" w:type="pct"/>
            <w:tcBorders>
              <w:bottom w:val="single" w:color="auto" w:sz="12" w:space="0"/>
            </w:tcBorders>
            <w:vAlign w:val="center"/>
          </w:tcPr>
          <w:p w14:paraId="38A9261D">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总分值（分）</w:t>
            </w:r>
          </w:p>
        </w:tc>
      </w:tr>
      <w:tr w14:paraId="57F478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5" w:type="pct"/>
            <w:tcBorders>
              <w:top w:val="single" w:color="auto" w:sz="12" w:space="0"/>
              <w:tl2br w:val="nil"/>
              <w:tr2bl w:val="nil"/>
            </w:tcBorders>
            <w:vAlign w:val="center"/>
          </w:tcPr>
          <w:p w14:paraId="6A59803F">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w:t>
            </w:r>
            <w:r>
              <w:rPr>
                <w:rFonts w:hint="eastAsia" w:ascii="宋体" w:hAnsi="宋体" w:cs="宋体"/>
                <w:sz w:val="18"/>
                <w:szCs w:val="18"/>
                <w:highlight w:val="none"/>
                <w:lang w:val="en-US" w:eastAsia="zh-CN"/>
              </w:rPr>
              <w:t>6</w:t>
            </w:r>
          </w:p>
        </w:tc>
        <w:tc>
          <w:tcPr>
            <w:tcW w:w="935" w:type="pct"/>
            <w:tcBorders>
              <w:top w:val="single" w:color="auto" w:sz="12" w:space="0"/>
              <w:tl2br w:val="nil"/>
              <w:tr2bl w:val="nil"/>
            </w:tcBorders>
            <w:vAlign w:val="center"/>
          </w:tcPr>
          <w:p w14:paraId="0890B7AF">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2</w:t>
            </w:r>
          </w:p>
        </w:tc>
        <w:tc>
          <w:tcPr>
            <w:tcW w:w="899" w:type="pct"/>
            <w:tcBorders>
              <w:top w:val="single" w:color="auto" w:sz="12" w:space="0"/>
              <w:tl2br w:val="nil"/>
              <w:tr2bl w:val="nil"/>
            </w:tcBorders>
            <w:vAlign w:val="center"/>
          </w:tcPr>
          <w:p w14:paraId="2F03E7D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≥6</w:t>
            </w:r>
          </w:p>
        </w:tc>
        <w:tc>
          <w:tcPr>
            <w:tcW w:w="839" w:type="pct"/>
            <w:tcBorders>
              <w:top w:val="single" w:color="auto" w:sz="12" w:space="0"/>
              <w:tl2br w:val="nil"/>
              <w:tr2bl w:val="nil"/>
            </w:tcBorders>
            <w:vAlign w:val="center"/>
          </w:tcPr>
          <w:p w14:paraId="40EEF6EB">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2</w:t>
            </w:r>
          </w:p>
        </w:tc>
        <w:tc>
          <w:tcPr>
            <w:tcW w:w="1390" w:type="pct"/>
            <w:vMerge w:val="restart"/>
            <w:tcBorders>
              <w:top w:val="single" w:color="auto" w:sz="12" w:space="0"/>
              <w:tl2br w:val="nil"/>
              <w:tr2bl w:val="nil"/>
            </w:tcBorders>
            <w:vAlign w:val="center"/>
          </w:tcPr>
          <w:p w14:paraId="5503FBFF">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该项得分为两项指标累计得分</w:t>
            </w:r>
          </w:p>
        </w:tc>
      </w:tr>
      <w:tr w14:paraId="4BCFAD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5" w:type="pct"/>
            <w:tcBorders>
              <w:tl2br w:val="nil"/>
              <w:tr2bl w:val="nil"/>
            </w:tcBorders>
            <w:vAlign w:val="center"/>
          </w:tcPr>
          <w:p w14:paraId="58727E1D">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0</w:t>
            </w:r>
            <w:r>
              <w:rPr>
                <w:rFonts w:hint="eastAsia" w:ascii="宋体" w:hAnsi="宋体" w:cs="宋体"/>
                <w:sz w:val="18"/>
                <w:szCs w:val="18"/>
                <w:highlight w:val="none"/>
              </w:rPr>
              <w:t>,</w:t>
            </w:r>
            <w:r>
              <w:rPr>
                <w:rFonts w:hint="eastAsia" w:ascii="宋体" w:hAnsi="宋体" w:cs="宋体"/>
                <w:sz w:val="18"/>
                <w:szCs w:val="18"/>
                <w:highlight w:val="none"/>
                <w:lang w:val="en-US" w:eastAsia="zh-CN"/>
              </w:rPr>
              <w:t>6</w:t>
            </w:r>
            <w:r>
              <w:rPr>
                <w:rFonts w:hint="eastAsia" w:ascii="宋体" w:hAnsi="宋体" w:cs="宋体"/>
                <w:sz w:val="18"/>
                <w:szCs w:val="18"/>
                <w:highlight w:val="none"/>
              </w:rPr>
              <w:t>)</w:t>
            </w:r>
          </w:p>
        </w:tc>
        <w:tc>
          <w:tcPr>
            <w:tcW w:w="935" w:type="pct"/>
            <w:tcBorders>
              <w:tl2br w:val="nil"/>
              <w:tr2bl w:val="nil"/>
            </w:tcBorders>
            <w:vAlign w:val="center"/>
          </w:tcPr>
          <w:p w14:paraId="6A246615">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1</w:t>
            </w:r>
          </w:p>
        </w:tc>
        <w:tc>
          <w:tcPr>
            <w:tcW w:w="899" w:type="pct"/>
            <w:tcBorders>
              <w:tl2br w:val="nil"/>
              <w:tr2bl w:val="nil"/>
            </w:tcBorders>
            <w:vAlign w:val="center"/>
          </w:tcPr>
          <w:p w14:paraId="4195525E">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0</w:t>
            </w:r>
            <w:r>
              <w:rPr>
                <w:rFonts w:hint="eastAsia" w:ascii="宋体" w:hAnsi="宋体" w:cs="宋体"/>
                <w:sz w:val="18"/>
                <w:szCs w:val="18"/>
                <w:highlight w:val="none"/>
              </w:rPr>
              <w:t>,6)</w:t>
            </w:r>
          </w:p>
        </w:tc>
        <w:tc>
          <w:tcPr>
            <w:tcW w:w="839" w:type="pct"/>
            <w:tcBorders>
              <w:tl2br w:val="nil"/>
              <w:tr2bl w:val="nil"/>
            </w:tcBorders>
            <w:vAlign w:val="center"/>
          </w:tcPr>
          <w:p w14:paraId="2E22599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1</w:t>
            </w:r>
          </w:p>
        </w:tc>
        <w:tc>
          <w:tcPr>
            <w:tcW w:w="1390" w:type="pct"/>
            <w:vMerge w:val="continue"/>
            <w:tcBorders>
              <w:tl2br w:val="nil"/>
              <w:tr2bl w:val="nil"/>
            </w:tcBorders>
            <w:vAlign w:val="center"/>
          </w:tcPr>
          <w:p w14:paraId="420D025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r w14:paraId="128109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5" w:type="pct"/>
            <w:tcBorders>
              <w:tl2br w:val="nil"/>
              <w:tr2bl w:val="nil"/>
            </w:tcBorders>
            <w:vAlign w:val="center"/>
          </w:tcPr>
          <w:p w14:paraId="741BD0C4">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935" w:type="pct"/>
            <w:tcBorders>
              <w:tl2br w:val="nil"/>
              <w:tr2bl w:val="nil"/>
            </w:tcBorders>
            <w:vAlign w:val="center"/>
          </w:tcPr>
          <w:p w14:paraId="628E6A69">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899" w:type="pct"/>
            <w:tcBorders>
              <w:tl2br w:val="nil"/>
              <w:tr2bl w:val="nil"/>
            </w:tcBorders>
            <w:vAlign w:val="center"/>
          </w:tcPr>
          <w:p w14:paraId="028D0DF1">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839" w:type="pct"/>
            <w:tcBorders>
              <w:tl2br w:val="nil"/>
              <w:tr2bl w:val="nil"/>
            </w:tcBorders>
            <w:vAlign w:val="center"/>
          </w:tcPr>
          <w:p w14:paraId="0ECADFB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1390" w:type="pct"/>
            <w:vMerge w:val="continue"/>
            <w:tcBorders>
              <w:tl2br w:val="nil"/>
              <w:tr2bl w:val="nil"/>
            </w:tcBorders>
            <w:vAlign w:val="center"/>
          </w:tcPr>
          <w:p w14:paraId="7E2EC2C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bl>
    <w:p w14:paraId="1138284A">
      <w:pPr>
        <w:pStyle w:val="56"/>
        <w:numPr>
          <w:ilvl w:val="3"/>
          <w:numId w:val="2"/>
        </w:numPr>
        <w:spacing w:before="156" w:after="156"/>
        <w:rPr>
          <w:rFonts w:ascii="Times New Roman"/>
          <w:highlight w:val="none"/>
        </w:rPr>
      </w:pPr>
      <w:r>
        <w:rPr>
          <w:rFonts w:ascii="Times New Roman"/>
          <w:highlight w:val="none"/>
        </w:rPr>
        <w:t>市场影响</w:t>
      </w:r>
    </w:p>
    <w:p w14:paraId="4F25C623">
      <w:pPr>
        <w:pStyle w:val="60"/>
        <w:spacing w:before="156" w:after="156"/>
        <w:rPr>
          <w:rFonts w:ascii="Times New Roman"/>
          <w:highlight w:val="none"/>
        </w:rPr>
      </w:pPr>
      <w:r>
        <w:rPr>
          <w:rFonts w:ascii="Times New Roman"/>
          <w:highlight w:val="none"/>
        </w:rPr>
        <w:t>市场竞争力</w:t>
      </w:r>
    </w:p>
    <w:p w14:paraId="01C95A7B">
      <w:pPr>
        <w:pStyle w:val="26"/>
        <w:rPr>
          <w:rFonts w:ascii="Times New Roman"/>
          <w:highlight w:val="none"/>
        </w:rPr>
      </w:pPr>
      <w:r>
        <w:rPr>
          <w:rFonts w:hint="eastAsia" w:hAnsi="宋体" w:cs="宋体"/>
          <w:highlight w:val="none"/>
        </w:rPr>
        <w:t>从</w:t>
      </w:r>
      <w:r>
        <w:rPr>
          <w:rFonts w:hint="eastAsia" w:hAnsi="宋体" w:cs="宋体"/>
          <w:highlight w:val="none"/>
          <w:lang w:val="en-US" w:eastAsia="zh-CN"/>
        </w:rPr>
        <w:t>环境基础设施领域相关产品或服务</w:t>
      </w:r>
      <w:r>
        <w:rPr>
          <w:rFonts w:hint="eastAsia" w:hAnsi="宋体" w:cs="宋体"/>
          <w:highlight w:val="none"/>
        </w:rPr>
        <w:t>的市场占有率、稳定提供</w:t>
      </w:r>
      <w:r>
        <w:rPr>
          <w:rFonts w:hint="eastAsia" w:hAnsi="宋体" w:cs="宋体"/>
          <w:highlight w:val="none"/>
          <w:lang w:val="en-US" w:eastAsia="zh-CN"/>
        </w:rPr>
        <w:t>环境基础设施领域</w:t>
      </w:r>
      <w:r>
        <w:rPr>
          <w:rFonts w:hint="eastAsia" w:hAnsi="宋体" w:cs="宋体"/>
          <w:highlight w:val="none"/>
        </w:rPr>
        <w:t>相关产品或服务的年限等方面进行综合评价，具体评分规则见表</w:t>
      </w:r>
      <w:r>
        <w:rPr>
          <w:rFonts w:hint="eastAsia" w:hAnsi="宋体" w:cs="宋体"/>
          <w:highlight w:val="none"/>
          <w:lang w:val="en-US" w:eastAsia="zh-CN"/>
        </w:rPr>
        <w:t>9</w:t>
      </w:r>
      <w:r>
        <w:rPr>
          <w:rFonts w:hint="eastAsia" w:hAnsi="宋体" w:cs="宋体"/>
          <w:highlight w:val="none"/>
        </w:rPr>
        <w:t>。优质中小企业在实际得分基础上增加15%的得分，最高得分不超过该项指标总分。</w:t>
      </w:r>
    </w:p>
    <w:p w14:paraId="53EA1A08">
      <w:pPr>
        <w:pStyle w:val="131"/>
        <w:rPr>
          <w:rFonts w:ascii="Times New Roman"/>
          <w:highlight w:val="none"/>
        </w:rPr>
      </w:pPr>
      <w:r>
        <w:rPr>
          <w:rFonts w:ascii="Times New Roman"/>
          <w:highlight w:val="none"/>
        </w:rPr>
        <w:t>市场竞争力评分规则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511"/>
        <w:gridCol w:w="2301"/>
        <w:gridCol w:w="1588"/>
        <w:gridCol w:w="1217"/>
      </w:tblGrid>
      <w:tr w14:paraId="33476A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bottom w:val="single" w:color="auto" w:sz="12" w:space="0"/>
            </w:tcBorders>
            <w:vAlign w:val="center"/>
          </w:tcPr>
          <w:p w14:paraId="1A58E4BD">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市场占有</w:t>
            </w:r>
            <w:r>
              <w:rPr>
                <w:rFonts w:hint="eastAsia" w:ascii="Times New Roman"/>
                <w:b/>
                <w:bCs/>
                <w:sz w:val="18"/>
                <w:szCs w:val="18"/>
                <w:highlight w:val="none"/>
              </w:rPr>
              <w:t>率</w:t>
            </w:r>
          </w:p>
        </w:tc>
        <w:tc>
          <w:tcPr>
            <w:tcW w:w="790" w:type="pct"/>
            <w:tcBorders>
              <w:bottom w:val="single" w:color="auto" w:sz="12" w:space="0"/>
            </w:tcBorders>
            <w:vAlign w:val="center"/>
          </w:tcPr>
          <w:p w14:paraId="634EA22C">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203" w:type="pct"/>
            <w:tcBorders>
              <w:bottom w:val="single" w:color="auto" w:sz="12" w:space="0"/>
            </w:tcBorders>
            <w:vAlign w:val="center"/>
          </w:tcPr>
          <w:p w14:paraId="06313B1A">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稳定提供产品或服务年限</w:t>
            </w:r>
          </w:p>
        </w:tc>
        <w:tc>
          <w:tcPr>
            <w:tcW w:w="830" w:type="pct"/>
            <w:tcBorders>
              <w:bottom w:val="single" w:color="auto" w:sz="12" w:space="0"/>
            </w:tcBorders>
            <w:vAlign w:val="center"/>
          </w:tcPr>
          <w:p w14:paraId="438C5926">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636" w:type="pct"/>
            <w:tcBorders>
              <w:bottom w:val="single" w:color="auto" w:sz="12" w:space="0"/>
            </w:tcBorders>
            <w:vAlign w:val="center"/>
          </w:tcPr>
          <w:p w14:paraId="559C241E">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52CB98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top w:val="single" w:color="auto" w:sz="12" w:space="0"/>
              <w:tl2br w:val="nil"/>
              <w:tr2bl w:val="nil"/>
            </w:tcBorders>
            <w:vAlign w:val="center"/>
          </w:tcPr>
          <w:p w14:paraId="000D660C">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行业内市场占有率处于较高水平</w:t>
            </w:r>
          </w:p>
        </w:tc>
        <w:tc>
          <w:tcPr>
            <w:tcW w:w="790" w:type="pct"/>
            <w:tcBorders>
              <w:top w:val="single" w:color="auto" w:sz="12" w:space="0"/>
              <w:tl2br w:val="nil"/>
              <w:tr2bl w:val="nil"/>
            </w:tcBorders>
            <w:vAlign w:val="center"/>
          </w:tcPr>
          <w:p w14:paraId="4B9975A9">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(3,5]</w:t>
            </w:r>
          </w:p>
        </w:tc>
        <w:tc>
          <w:tcPr>
            <w:tcW w:w="1203" w:type="pct"/>
            <w:tcBorders>
              <w:top w:val="single" w:color="auto" w:sz="12" w:space="0"/>
              <w:tl2br w:val="nil"/>
              <w:tr2bl w:val="nil"/>
            </w:tcBorders>
            <w:vAlign w:val="center"/>
          </w:tcPr>
          <w:p w14:paraId="2B7A04A8">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＞10</w:t>
            </w:r>
          </w:p>
        </w:tc>
        <w:tc>
          <w:tcPr>
            <w:tcW w:w="830" w:type="pct"/>
            <w:tcBorders>
              <w:top w:val="single" w:color="auto" w:sz="12" w:space="0"/>
              <w:tl2br w:val="nil"/>
              <w:tr2bl w:val="nil"/>
            </w:tcBorders>
            <w:vAlign w:val="center"/>
          </w:tcPr>
          <w:p w14:paraId="469607D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636" w:type="pct"/>
            <w:vMerge w:val="restart"/>
            <w:tcBorders>
              <w:top w:val="single" w:color="auto" w:sz="12" w:space="0"/>
              <w:tl2br w:val="nil"/>
              <w:tr2bl w:val="nil"/>
            </w:tcBorders>
            <w:vAlign w:val="center"/>
          </w:tcPr>
          <w:p w14:paraId="063A43D1">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该项得分为两项指标累计得分</w:t>
            </w:r>
          </w:p>
        </w:tc>
      </w:tr>
      <w:tr w14:paraId="74CD08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tl2br w:val="nil"/>
              <w:tr2bl w:val="nil"/>
            </w:tcBorders>
            <w:vAlign w:val="center"/>
          </w:tcPr>
          <w:p w14:paraId="7AA0AE29">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行业内市场占有率处于中等水平</w:t>
            </w:r>
          </w:p>
        </w:tc>
        <w:tc>
          <w:tcPr>
            <w:tcW w:w="790" w:type="pct"/>
            <w:tcBorders>
              <w:tl2br w:val="nil"/>
              <w:tr2bl w:val="nil"/>
            </w:tcBorders>
            <w:vAlign w:val="center"/>
          </w:tcPr>
          <w:p w14:paraId="7F7AF5B7">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(1,3]</w:t>
            </w:r>
          </w:p>
        </w:tc>
        <w:tc>
          <w:tcPr>
            <w:tcW w:w="1203" w:type="pct"/>
            <w:tcBorders>
              <w:tl2br w:val="nil"/>
              <w:tr2bl w:val="nil"/>
            </w:tcBorders>
            <w:vAlign w:val="center"/>
          </w:tcPr>
          <w:p w14:paraId="492C08BE">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(5,10]</w:t>
            </w:r>
          </w:p>
        </w:tc>
        <w:tc>
          <w:tcPr>
            <w:tcW w:w="830" w:type="pct"/>
            <w:tcBorders>
              <w:tl2br w:val="nil"/>
              <w:tr2bl w:val="nil"/>
            </w:tcBorders>
            <w:vAlign w:val="center"/>
          </w:tcPr>
          <w:p w14:paraId="6013C340">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2</w:t>
            </w:r>
          </w:p>
        </w:tc>
        <w:tc>
          <w:tcPr>
            <w:tcW w:w="636" w:type="pct"/>
            <w:vMerge w:val="continue"/>
            <w:tcBorders>
              <w:tl2br w:val="nil"/>
              <w:tr2bl w:val="nil"/>
            </w:tcBorders>
            <w:vAlign w:val="center"/>
          </w:tcPr>
          <w:p w14:paraId="7C3FE8FE">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p>
        </w:tc>
      </w:tr>
      <w:tr w14:paraId="2C767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tl2br w:val="nil"/>
              <w:tr2bl w:val="nil"/>
            </w:tcBorders>
            <w:vAlign w:val="center"/>
          </w:tcPr>
          <w:p w14:paraId="53C0F2B8">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行业内市场占有率处于一般水平</w:t>
            </w:r>
          </w:p>
        </w:tc>
        <w:tc>
          <w:tcPr>
            <w:tcW w:w="790" w:type="pct"/>
            <w:tcBorders>
              <w:tl2br w:val="nil"/>
              <w:tr2bl w:val="nil"/>
            </w:tcBorders>
            <w:vAlign w:val="center"/>
          </w:tcPr>
          <w:p w14:paraId="5D7DA613">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[0,1]</w:t>
            </w:r>
          </w:p>
        </w:tc>
        <w:tc>
          <w:tcPr>
            <w:tcW w:w="1203" w:type="pct"/>
            <w:tcBorders>
              <w:tl2br w:val="nil"/>
              <w:tr2bl w:val="nil"/>
            </w:tcBorders>
            <w:vAlign w:val="center"/>
          </w:tcPr>
          <w:p w14:paraId="487122E3">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(2,5]</w:t>
            </w:r>
          </w:p>
        </w:tc>
        <w:tc>
          <w:tcPr>
            <w:tcW w:w="830" w:type="pct"/>
            <w:tcBorders>
              <w:tl2br w:val="nil"/>
              <w:tr2bl w:val="nil"/>
            </w:tcBorders>
            <w:vAlign w:val="center"/>
          </w:tcPr>
          <w:p w14:paraId="788E8F37">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636" w:type="pct"/>
            <w:vMerge w:val="continue"/>
            <w:tcBorders>
              <w:tl2br w:val="nil"/>
              <w:tr2bl w:val="nil"/>
            </w:tcBorders>
            <w:vAlign w:val="center"/>
          </w:tcPr>
          <w:p w14:paraId="41FBA555">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p>
        </w:tc>
      </w:tr>
    </w:tbl>
    <w:p w14:paraId="68E170CC">
      <w:pPr>
        <w:pStyle w:val="60"/>
        <w:spacing w:before="156" w:after="156"/>
        <w:rPr>
          <w:rFonts w:ascii="Times New Roman"/>
          <w:highlight w:val="none"/>
        </w:rPr>
      </w:pPr>
      <w:r>
        <w:rPr>
          <w:rFonts w:ascii="Times New Roman"/>
          <w:highlight w:val="none"/>
        </w:rPr>
        <w:t>产业影响力</w:t>
      </w:r>
    </w:p>
    <w:p w14:paraId="1FFAA2EA">
      <w:pPr>
        <w:pStyle w:val="26"/>
        <w:rPr>
          <w:rFonts w:hint="eastAsia" w:hAnsi="宋体" w:cs="宋体"/>
          <w:highlight w:val="none"/>
        </w:rPr>
      </w:pPr>
      <w:r>
        <w:rPr>
          <w:rFonts w:hint="eastAsia" w:hAnsi="宋体" w:cs="宋体"/>
          <w:highlight w:val="none"/>
        </w:rPr>
        <w:t>从</w:t>
      </w:r>
      <w:r>
        <w:rPr>
          <w:rFonts w:hint="eastAsia" w:hAnsi="宋体" w:cs="宋体"/>
          <w:highlight w:val="none"/>
          <w:lang w:val="en-US" w:eastAsia="zh-CN"/>
        </w:rPr>
        <w:t>环境基础设施领域</w:t>
      </w:r>
      <w:r>
        <w:rPr>
          <w:rFonts w:hint="eastAsia" w:hAnsi="宋体" w:cs="宋体"/>
          <w:highlight w:val="none"/>
        </w:rPr>
        <w:t>的</w:t>
      </w:r>
      <w:r>
        <w:rPr>
          <w:rFonts w:hint="eastAsia" w:hAnsi="宋体" w:cs="宋体"/>
          <w:highlight w:val="none"/>
          <w:lang w:val="en-US" w:eastAsia="zh-CN"/>
        </w:rPr>
        <w:t>相</w:t>
      </w:r>
      <w:r>
        <w:rPr>
          <w:rFonts w:hint="eastAsia" w:hAnsi="宋体" w:cs="宋体"/>
          <w:highlight w:val="none"/>
        </w:rPr>
        <w:t>关产品或服务引领绿色低碳产业技术创新或市场发展的影响能力等方面进行综合评价，如在产业链关键环节及领域取得“补短板”“锻长链”“填空白”的实际技术突破，或有助于新产业、新业态、新商业模式的培育壮大等，具体评分规则见表</w:t>
      </w:r>
      <w:r>
        <w:rPr>
          <w:rFonts w:hint="eastAsia" w:hAnsi="宋体" w:cs="宋体"/>
          <w:highlight w:val="none"/>
          <w:lang w:val="en-US" w:eastAsia="zh-CN"/>
        </w:rPr>
        <w:t>10</w:t>
      </w:r>
      <w:r>
        <w:rPr>
          <w:rFonts w:hint="eastAsia" w:hAnsi="宋体" w:cs="宋体"/>
          <w:highlight w:val="none"/>
        </w:rPr>
        <w:t>。优质中小企业在实际得分基础上增加15%的得分，最高得分不超过该项指标总分。</w:t>
      </w:r>
    </w:p>
    <w:p w14:paraId="340B90AE">
      <w:pPr>
        <w:pStyle w:val="62"/>
        <w:bidi w:val="0"/>
        <w:rPr>
          <w:rFonts w:hint="eastAsia"/>
          <w:highlight w:val="none"/>
          <w:lang w:val="en-US" w:eastAsia="zh-CN"/>
        </w:rPr>
      </w:pPr>
      <w:r>
        <w:rPr>
          <w:rFonts w:hint="eastAsia"/>
          <w:highlight w:val="none"/>
          <w:lang w:val="en-US" w:eastAsia="zh-CN"/>
        </w:rPr>
        <w:t>环境基础设施产业链关键环节及领域包括但不限于屋顶绿化、架空层绿化、墙（面）体绿化、棚架绿化、桥体绿化；珍稀、濒危植物保护和繁衍技术，山海城园有机融合的生态修复技术，建筑、道路、绿地和水系协同的雨水吸纳与缓释技术，雨水渗透、蓄滞、净化等生态修复技术‌，海绵城市动态监测系统，数字孪生技术在雨水管网模拟、灾害预警等场景的应用，管网柔性接口技术应用，应用水力模型、压力调控技术及漏损定位算法对管网漏损精准识别和动态分析，水利工程全生命周期应用建筑信息模型（BIM）、地理信息系统（GIS）和数字孪生技术，海绵城市技术与水利工程的融合，空天地一体化的生态安全监测网络的构建，数字孪生技术在生态修复模拟、灾害应急响应等场景的应用‌‌。</w:t>
      </w:r>
    </w:p>
    <w:p w14:paraId="013B602A">
      <w:pPr>
        <w:pStyle w:val="131"/>
        <w:rPr>
          <w:rFonts w:ascii="Times New Roman"/>
          <w:highlight w:val="none"/>
        </w:rPr>
      </w:pPr>
      <w:r>
        <w:rPr>
          <w:rFonts w:ascii="Times New Roman"/>
          <w:highlight w:val="none"/>
        </w:rPr>
        <w:t>产业影响力评分规则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54"/>
        <w:gridCol w:w="2612"/>
      </w:tblGrid>
      <w:tr w14:paraId="6A2988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34" w:type="pct"/>
            <w:tcBorders>
              <w:bottom w:val="single" w:color="auto" w:sz="12" w:space="0"/>
            </w:tcBorders>
          </w:tcPr>
          <w:p w14:paraId="51132AA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产业影响力水平</w:t>
            </w:r>
          </w:p>
        </w:tc>
        <w:tc>
          <w:tcPr>
            <w:tcW w:w="1365" w:type="pct"/>
            <w:tcBorders>
              <w:bottom w:val="single" w:color="auto" w:sz="12" w:space="0"/>
            </w:tcBorders>
          </w:tcPr>
          <w:p w14:paraId="4DE9F8A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0D156D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op w:val="single" w:color="auto" w:sz="12" w:space="0"/>
              <w:tl2br w:val="nil"/>
              <w:tr2bl w:val="nil"/>
            </w:tcBorders>
          </w:tcPr>
          <w:p w14:paraId="64C40845">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具有显著的引领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op w:val="single" w:color="auto" w:sz="12" w:space="0"/>
              <w:tl2br w:val="nil"/>
              <w:tr2bl w:val="nil"/>
            </w:tcBorders>
            <w:vAlign w:val="center"/>
          </w:tcPr>
          <w:p w14:paraId="7709B7E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(5,7]</w:t>
            </w:r>
          </w:p>
        </w:tc>
      </w:tr>
      <w:tr w14:paraId="1B3174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l2br w:val="nil"/>
              <w:tr2bl w:val="nil"/>
            </w:tcBorders>
          </w:tcPr>
          <w:p w14:paraId="4C0F45B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具有较强的引领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l2br w:val="nil"/>
              <w:tr2bl w:val="nil"/>
            </w:tcBorders>
            <w:vAlign w:val="center"/>
          </w:tcPr>
          <w:p w14:paraId="6D63104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(3,5]</w:t>
            </w:r>
          </w:p>
        </w:tc>
      </w:tr>
      <w:tr w14:paraId="677E79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l2br w:val="nil"/>
              <w:tr2bl w:val="nil"/>
            </w:tcBorders>
          </w:tcPr>
          <w:p w14:paraId="050949D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具有一定的引领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l2br w:val="nil"/>
              <w:tr2bl w:val="nil"/>
            </w:tcBorders>
            <w:vAlign w:val="center"/>
          </w:tcPr>
          <w:p w14:paraId="6CE1E0F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(0,3]</w:t>
            </w:r>
          </w:p>
        </w:tc>
      </w:tr>
      <w:tr w14:paraId="387D4F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l2br w:val="nil"/>
              <w:tr2bl w:val="nil"/>
            </w:tcBorders>
          </w:tcPr>
          <w:p w14:paraId="4FD88E0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未产生明显产业影响力</w:t>
            </w:r>
          </w:p>
        </w:tc>
        <w:tc>
          <w:tcPr>
            <w:tcW w:w="1365" w:type="pct"/>
            <w:tcBorders>
              <w:tl2br w:val="nil"/>
              <w:tr2bl w:val="nil"/>
            </w:tcBorders>
            <w:vAlign w:val="center"/>
          </w:tcPr>
          <w:p w14:paraId="382EBAC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r>
    </w:tbl>
    <w:p w14:paraId="7A6D4EF6">
      <w:pPr>
        <w:pStyle w:val="60"/>
        <w:spacing w:before="156" w:after="156"/>
        <w:rPr>
          <w:rFonts w:ascii="Times New Roman"/>
          <w:highlight w:val="none"/>
        </w:rPr>
      </w:pPr>
      <w:r>
        <w:rPr>
          <w:rFonts w:ascii="Times New Roman"/>
          <w:highlight w:val="none"/>
        </w:rPr>
        <w:t>行业资质荣誉</w:t>
      </w:r>
    </w:p>
    <w:p w14:paraId="28E75ED0">
      <w:pPr>
        <w:pStyle w:val="26"/>
        <w:rPr>
          <w:rFonts w:hint="eastAsia" w:hAnsi="宋体" w:cs="宋体"/>
          <w:highlight w:val="none"/>
          <w:lang w:eastAsia="zh-CN"/>
        </w:rPr>
      </w:pPr>
      <w:r>
        <w:rPr>
          <w:rFonts w:hint="eastAsia" w:hAnsi="宋体" w:cs="宋体"/>
          <w:highlight w:val="none"/>
        </w:rPr>
        <w:t>在</w:t>
      </w:r>
      <w:r>
        <w:rPr>
          <w:rFonts w:hint="eastAsia" w:hAnsi="宋体" w:cs="宋体"/>
          <w:highlight w:val="none"/>
          <w:lang w:val="en-US" w:eastAsia="zh-CN"/>
        </w:rPr>
        <w:t>环境基础设施领域</w:t>
      </w:r>
      <w:r>
        <w:rPr>
          <w:rFonts w:hint="eastAsia" w:hAnsi="宋体" w:cs="宋体"/>
          <w:highlight w:val="none"/>
        </w:rPr>
        <w:t>获得的国家级、省部级、市级或区级奖项、资质、荣誉、认定及证书的情况，具体评分规则见表</w:t>
      </w:r>
      <w:r>
        <w:rPr>
          <w:rFonts w:hint="eastAsia" w:hAnsi="宋体" w:cs="宋体"/>
          <w:highlight w:val="none"/>
          <w:lang w:val="en-US" w:eastAsia="zh-CN"/>
        </w:rPr>
        <w:t>11</w:t>
      </w:r>
      <w:r>
        <w:rPr>
          <w:rFonts w:hint="eastAsia" w:hAnsi="宋体" w:cs="宋体"/>
          <w:highlight w:val="none"/>
        </w:rPr>
        <w:t>。优质中小企业在实际得分基础上增加15%的得分，最高得分不超过该项指标总分。</w:t>
      </w:r>
    </w:p>
    <w:p w14:paraId="0CBF3DAE">
      <w:pPr>
        <w:pStyle w:val="63"/>
        <w:keepNext w:val="0"/>
        <w:keepLines w:val="0"/>
        <w:pageBreakBefore w:val="0"/>
        <w:widowControl w:val="0"/>
        <w:numPr>
          <w:ilvl w:val="0"/>
          <w:numId w:val="21"/>
        </w:numPr>
        <w:kinsoku/>
        <w:wordWrap/>
        <w:overflowPunct/>
        <w:topLinePunct w:val="0"/>
        <w:autoSpaceDE w:val="0"/>
        <w:autoSpaceDN w:val="0"/>
        <w:bidi w:val="0"/>
        <w:adjustRightInd/>
        <w:snapToGrid/>
        <w:ind w:left="0" w:leftChars="0" w:firstLine="360" w:firstLineChars="200"/>
        <w:textAlignment w:val="auto"/>
        <w:rPr>
          <w:rFonts w:hint="eastAsia"/>
          <w:highlight w:val="none"/>
          <w:lang w:eastAsia="zh-CN"/>
        </w:rPr>
      </w:pPr>
      <w:r>
        <w:rPr>
          <w:rFonts w:hint="eastAsia"/>
          <w:highlight w:val="none"/>
          <w:lang w:eastAsia="zh-CN"/>
        </w:rPr>
        <w:t>国家级行业协会颁发的相关资质、荣誉、认定或证书视为省部级。</w:t>
      </w:r>
    </w:p>
    <w:p w14:paraId="5AE05411">
      <w:pPr>
        <w:pStyle w:val="63"/>
        <w:keepNext w:val="0"/>
        <w:keepLines w:val="0"/>
        <w:pageBreakBefore w:val="0"/>
        <w:widowControl w:val="0"/>
        <w:numPr>
          <w:ilvl w:val="0"/>
          <w:numId w:val="21"/>
        </w:numPr>
        <w:kinsoku/>
        <w:wordWrap/>
        <w:overflowPunct/>
        <w:topLinePunct w:val="0"/>
        <w:autoSpaceDE w:val="0"/>
        <w:autoSpaceDN w:val="0"/>
        <w:bidi w:val="0"/>
        <w:adjustRightInd/>
        <w:snapToGrid/>
        <w:ind w:left="0" w:leftChars="0" w:firstLine="360" w:firstLineChars="200"/>
        <w:textAlignment w:val="auto"/>
        <w:rPr>
          <w:rFonts w:hint="eastAsia"/>
          <w:highlight w:val="none"/>
          <w:lang w:eastAsia="zh-CN"/>
        </w:rPr>
      </w:pPr>
      <w:r>
        <w:rPr>
          <w:rFonts w:hint="eastAsia"/>
          <w:highlight w:val="none"/>
          <w:lang w:val="en-US" w:eastAsia="zh-CN"/>
        </w:rPr>
        <w:t>在国际上获得行业认可的同等级别行业资质荣誉，按对应等级行业资质荣誉得分。</w:t>
      </w:r>
    </w:p>
    <w:p w14:paraId="17BC6C6A">
      <w:pPr>
        <w:pStyle w:val="131"/>
        <w:rPr>
          <w:rFonts w:ascii="Times New Roman"/>
          <w:highlight w:val="none"/>
        </w:rPr>
      </w:pPr>
      <w:r>
        <w:rPr>
          <w:rFonts w:ascii="Times New Roman"/>
          <w:highlight w:val="none"/>
        </w:rPr>
        <w:t>行业资质荣誉评分规则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292"/>
        <w:gridCol w:w="3232"/>
        <w:gridCol w:w="1035"/>
      </w:tblGrid>
      <w:tr w14:paraId="3A4BB7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2768" w:type="pct"/>
            <w:tcBorders>
              <w:bottom w:val="single" w:color="auto" w:sz="12" w:space="0"/>
            </w:tcBorders>
            <w:vAlign w:val="center"/>
          </w:tcPr>
          <w:p w14:paraId="3695CD4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行业资质荣誉</w:t>
            </w:r>
          </w:p>
        </w:tc>
        <w:tc>
          <w:tcPr>
            <w:tcW w:w="1690" w:type="pct"/>
            <w:tcBorders>
              <w:bottom w:val="single" w:color="auto" w:sz="12" w:space="0"/>
            </w:tcBorders>
            <w:vAlign w:val="center"/>
          </w:tcPr>
          <w:p w14:paraId="37D8C9ED">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加分规则</w:t>
            </w:r>
          </w:p>
        </w:tc>
        <w:tc>
          <w:tcPr>
            <w:tcW w:w="541" w:type="pct"/>
            <w:tcBorders>
              <w:bottom w:val="single" w:color="auto" w:sz="12" w:space="0"/>
            </w:tcBorders>
            <w:vAlign w:val="center"/>
          </w:tcPr>
          <w:p w14:paraId="0C7D4E4B">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0E20BD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9" w:hRule="exact"/>
          <w:jc w:val="center"/>
        </w:trPr>
        <w:tc>
          <w:tcPr>
            <w:tcW w:w="2768" w:type="pct"/>
            <w:tcBorders>
              <w:top w:val="single" w:color="auto" w:sz="12" w:space="0"/>
              <w:tl2br w:val="nil"/>
              <w:tr2bl w:val="nil"/>
            </w:tcBorders>
            <w:vAlign w:val="center"/>
          </w:tcPr>
          <w:p w14:paraId="2C8A4BB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以获得的一项最高级别行业资质荣誉为评价标准，国家级、省部级、市级</w:t>
            </w:r>
            <w:r>
              <w:rPr>
                <w:rFonts w:hint="eastAsia" w:hAnsi="宋体" w:cs="宋体"/>
                <w:sz w:val="18"/>
                <w:szCs w:val="18"/>
                <w:highlight w:val="none"/>
                <w:lang w:val="en-US" w:eastAsia="zh-CN"/>
              </w:rPr>
              <w:t>区级</w:t>
            </w:r>
            <w:r>
              <w:rPr>
                <w:rFonts w:hint="eastAsia" w:hAnsi="宋体" w:cs="宋体"/>
                <w:sz w:val="18"/>
                <w:szCs w:val="18"/>
                <w:highlight w:val="none"/>
              </w:rPr>
              <w:t>行业资质荣誉分别得</w:t>
            </w:r>
            <w:r>
              <w:rPr>
                <w:rFonts w:hint="eastAsia" w:hAnsi="宋体" w:cs="宋体"/>
                <w:sz w:val="18"/>
                <w:szCs w:val="18"/>
                <w:highlight w:val="none"/>
                <w:lang w:val="en-US" w:eastAsia="zh-CN"/>
              </w:rPr>
              <w:t>5</w:t>
            </w:r>
            <w:r>
              <w:rPr>
                <w:rFonts w:hint="eastAsia" w:hAnsi="宋体" w:cs="宋体"/>
                <w:sz w:val="18"/>
                <w:szCs w:val="18"/>
                <w:highlight w:val="none"/>
              </w:rPr>
              <w:t>分、</w:t>
            </w:r>
            <w:r>
              <w:rPr>
                <w:rFonts w:hint="eastAsia" w:hAnsi="宋体" w:cs="宋体"/>
                <w:sz w:val="18"/>
                <w:szCs w:val="18"/>
                <w:highlight w:val="none"/>
                <w:lang w:val="en-US" w:eastAsia="zh-CN"/>
              </w:rPr>
              <w:t>4</w:t>
            </w:r>
            <w:r>
              <w:rPr>
                <w:rFonts w:hint="eastAsia" w:hAnsi="宋体" w:cs="宋体"/>
                <w:sz w:val="18"/>
                <w:szCs w:val="18"/>
                <w:highlight w:val="none"/>
              </w:rPr>
              <w:t>分、</w:t>
            </w:r>
            <w:r>
              <w:rPr>
                <w:rFonts w:hint="eastAsia" w:hAnsi="宋体" w:cs="宋体"/>
                <w:sz w:val="18"/>
                <w:szCs w:val="18"/>
                <w:highlight w:val="none"/>
                <w:lang w:val="en-US" w:eastAsia="zh-CN"/>
              </w:rPr>
              <w:t>3</w:t>
            </w:r>
            <w:r>
              <w:rPr>
                <w:rFonts w:hint="eastAsia" w:hAnsi="宋体" w:cs="宋体"/>
                <w:sz w:val="18"/>
                <w:szCs w:val="18"/>
                <w:highlight w:val="none"/>
              </w:rPr>
              <w:t>分、</w:t>
            </w:r>
            <w:r>
              <w:rPr>
                <w:rFonts w:hint="eastAsia" w:hAnsi="宋体" w:cs="宋体"/>
                <w:sz w:val="18"/>
                <w:szCs w:val="18"/>
                <w:highlight w:val="none"/>
                <w:lang w:val="en-US" w:eastAsia="zh-CN"/>
              </w:rPr>
              <w:t>2</w:t>
            </w:r>
            <w:r>
              <w:rPr>
                <w:rFonts w:hint="eastAsia" w:hAnsi="宋体" w:cs="宋体"/>
                <w:sz w:val="18"/>
                <w:szCs w:val="18"/>
                <w:highlight w:val="none"/>
              </w:rPr>
              <w:t>分的基础分</w:t>
            </w:r>
          </w:p>
        </w:tc>
        <w:tc>
          <w:tcPr>
            <w:tcW w:w="1690" w:type="pct"/>
            <w:tcBorders>
              <w:top w:val="single" w:color="auto" w:sz="12" w:space="0"/>
              <w:tl2br w:val="nil"/>
              <w:tr2bl w:val="nil"/>
            </w:tcBorders>
            <w:vAlign w:val="center"/>
          </w:tcPr>
          <w:p w14:paraId="17E58D5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每多获得一项省部级、市级、区级行业资质荣誉，分别加1分、0.5分、0.3分</w:t>
            </w:r>
          </w:p>
        </w:tc>
        <w:tc>
          <w:tcPr>
            <w:tcW w:w="541" w:type="pct"/>
            <w:tcBorders>
              <w:top w:val="single" w:color="auto" w:sz="12" w:space="0"/>
              <w:tl2br w:val="nil"/>
              <w:tr2bl w:val="nil"/>
            </w:tcBorders>
            <w:vAlign w:val="center"/>
          </w:tcPr>
          <w:p w14:paraId="590835D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w:t>
            </w:r>
          </w:p>
        </w:tc>
      </w:tr>
    </w:tbl>
    <w:p w14:paraId="646CC2B7">
      <w:pPr>
        <w:pStyle w:val="51"/>
        <w:spacing w:before="156" w:after="156"/>
        <w:rPr>
          <w:rFonts w:ascii="Times New Roman"/>
          <w:highlight w:val="none"/>
        </w:rPr>
      </w:pPr>
      <w:r>
        <w:rPr>
          <w:rFonts w:ascii="Times New Roman"/>
          <w:highlight w:val="none"/>
        </w:rPr>
        <w:t>环境表现</w:t>
      </w:r>
    </w:p>
    <w:p w14:paraId="295465D2">
      <w:pPr>
        <w:numPr>
          <w:ilvl w:val="3"/>
          <w:numId w:val="2"/>
        </w:numPr>
        <w:spacing w:before="156" w:beforeLines="50" w:after="156" w:afterLines="50"/>
        <w:ind w:left="0" w:firstLine="0"/>
        <w:outlineLvl w:val="4"/>
        <w:rPr>
          <w:rFonts w:eastAsia="黑体"/>
          <w:szCs w:val="21"/>
          <w:highlight w:val="none"/>
        </w:rPr>
      </w:pPr>
      <w:r>
        <w:rPr>
          <w:rFonts w:hint="eastAsia" w:eastAsia="黑体"/>
          <w:szCs w:val="21"/>
          <w:highlight w:val="none"/>
        </w:rPr>
        <w:t>温室气体</w:t>
      </w:r>
      <w:r>
        <w:rPr>
          <w:rFonts w:eastAsia="黑体"/>
          <w:szCs w:val="21"/>
          <w:highlight w:val="none"/>
        </w:rPr>
        <w:t>排放</w:t>
      </w:r>
      <w:r>
        <w:rPr>
          <w:rFonts w:hint="eastAsia" w:eastAsia="黑体"/>
          <w:szCs w:val="21"/>
          <w:highlight w:val="none"/>
        </w:rPr>
        <w:t>水平</w:t>
      </w:r>
    </w:p>
    <w:p w14:paraId="241A7AD7">
      <w:pPr>
        <w:autoSpaceDE w:val="0"/>
        <w:autoSpaceDN w:val="0"/>
        <w:ind w:firstLine="420" w:firstLineChars="200"/>
        <w:rPr>
          <w:rFonts w:hint="eastAsia" w:ascii="宋体" w:hAnsi="宋体" w:cs="宋体"/>
          <w:highlight w:val="none"/>
        </w:rPr>
      </w:pPr>
      <w:r>
        <w:rPr>
          <w:rFonts w:hint="eastAsia" w:ascii="宋体" w:hAnsi="宋体" w:cs="宋体"/>
          <w:highlight w:val="none"/>
        </w:rPr>
        <w:t>从企事业单位自身生产运营过程向环境排放温室气体的情况进行评价，具体评分规则见表</w:t>
      </w:r>
      <w:r>
        <w:rPr>
          <w:rFonts w:hint="eastAsia" w:ascii="宋体" w:hAnsi="宋体" w:cs="宋体"/>
          <w:highlight w:val="none"/>
          <w:lang w:val="en-US" w:eastAsia="zh-CN"/>
        </w:rPr>
        <w:t>12</w:t>
      </w:r>
      <w:r>
        <w:rPr>
          <w:rFonts w:hint="eastAsia" w:ascii="宋体" w:hAnsi="宋体" w:cs="宋体"/>
          <w:highlight w:val="none"/>
        </w:rPr>
        <w:t>。碳排放量核算方法参照</w:t>
      </w:r>
      <w:r>
        <w:rPr>
          <w:rFonts w:hint="eastAsia" w:ascii="宋体" w:hAnsi="宋体" w:cs="宋体"/>
          <w:highlight w:val="none"/>
          <w:lang w:val="en-US" w:eastAsia="zh-CN"/>
        </w:rPr>
        <w:t>GB/T 32150、</w:t>
      </w:r>
      <w:r>
        <w:rPr>
          <w:rFonts w:hint="eastAsia" w:ascii="宋体" w:hAnsi="宋体" w:cs="宋体"/>
          <w:highlight w:val="none"/>
        </w:rPr>
        <w:t>SZDB/Z 69</w:t>
      </w:r>
      <w:r>
        <w:rPr>
          <w:rFonts w:hint="eastAsia" w:ascii="宋体" w:hAnsi="宋体" w:cs="宋体"/>
          <w:highlight w:val="none"/>
          <w:lang w:val="en-US" w:eastAsia="zh-CN"/>
        </w:rPr>
        <w:t>等相关</w:t>
      </w:r>
      <w:r>
        <w:rPr>
          <w:rFonts w:hint="eastAsia" w:ascii="宋体" w:hAnsi="宋体" w:cs="宋体"/>
          <w:highlight w:val="none"/>
        </w:rPr>
        <w:t>政府职能部门印发的</w:t>
      </w:r>
      <w:r>
        <w:rPr>
          <w:rFonts w:hint="eastAsia" w:ascii="宋体" w:hAnsi="宋体" w:cs="宋体"/>
          <w:highlight w:val="none"/>
          <w:lang w:val="en-US" w:eastAsia="zh-CN"/>
        </w:rPr>
        <w:t>规范性</w:t>
      </w:r>
      <w:r>
        <w:rPr>
          <w:rFonts w:hint="eastAsia" w:ascii="宋体" w:hAnsi="宋体" w:cs="宋体"/>
          <w:highlight w:val="none"/>
        </w:rPr>
        <w:t>文件，宜以碳排放核查机构出具的报告数据为准。</w:t>
      </w:r>
    </w:p>
    <w:p w14:paraId="26B51697">
      <w:pPr>
        <w:pStyle w:val="131"/>
        <w:ind w:left="0" w:firstLine="0"/>
        <w:rPr>
          <w:rFonts w:ascii="Times New Roman"/>
          <w:highlight w:val="none"/>
        </w:rPr>
      </w:pPr>
      <w:r>
        <w:rPr>
          <w:rFonts w:hint="eastAsia" w:ascii="Times New Roman"/>
          <w:highlight w:val="none"/>
        </w:rPr>
        <w:t>温室气体</w:t>
      </w:r>
      <w:r>
        <w:rPr>
          <w:rFonts w:ascii="Times New Roman"/>
          <w:highlight w:val="none"/>
        </w:rPr>
        <w:t>排放</w:t>
      </w:r>
      <w:r>
        <w:rPr>
          <w:rFonts w:hint="eastAsia" w:ascii="Times New Roman"/>
          <w:highlight w:val="none"/>
        </w:rPr>
        <w:t>水平</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38"/>
        <w:gridCol w:w="1328"/>
      </w:tblGrid>
      <w:tr w14:paraId="5EEC54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bottom w:val="single" w:color="auto" w:sz="12" w:space="0"/>
            </w:tcBorders>
            <w:vAlign w:val="center"/>
          </w:tcPr>
          <w:p w14:paraId="3F803614">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温室气体排放水平</w:t>
            </w:r>
          </w:p>
        </w:tc>
        <w:tc>
          <w:tcPr>
            <w:tcW w:w="693" w:type="pct"/>
            <w:tcBorders>
              <w:bottom w:val="single" w:color="auto" w:sz="12" w:space="0"/>
            </w:tcBorders>
            <w:vAlign w:val="center"/>
          </w:tcPr>
          <w:p w14:paraId="357193AC">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分值</w:t>
            </w:r>
            <w:r>
              <w:rPr>
                <w:rFonts w:hint="eastAsia"/>
                <w:b/>
                <w:bCs/>
                <w:sz w:val="18"/>
                <w:szCs w:val="18"/>
                <w:highlight w:val="none"/>
              </w:rPr>
              <w:t>（分）</w:t>
            </w:r>
          </w:p>
        </w:tc>
      </w:tr>
      <w:tr w14:paraId="1AC84BF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top w:val="single" w:color="auto" w:sz="12" w:space="0"/>
              <w:tl2br w:val="nil"/>
              <w:tr2bl w:val="nil"/>
            </w:tcBorders>
            <w:vAlign w:val="center"/>
          </w:tcPr>
          <w:p w14:paraId="520C1C3E">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生产制造类企业碳排放强度相较上一年度的下降比例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6%</w:t>
            </w:r>
          </w:p>
          <w:p w14:paraId="28D77DA6">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建设运营类企业碳排放强度相较上一年度的下降比例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3%</w:t>
            </w:r>
          </w:p>
        </w:tc>
        <w:tc>
          <w:tcPr>
            <w:tcW w:w="693" w:type="pct"/>
            <w:tcBorders>
              <w:top w:val="single" w:color="auto" w:sz="12" w:space="0"/>
              <w:tl2br w:val="nil"/>
              <w:tr2bl w:val="nil"/>
            </w:tcBorders>
            <w:vAlign w:val="center"/>
          </w:tcPr>
          <w:p w14:paraId="123DB0B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4</w:t>
            </w:r>
          </w:p>
        </w:tc>
      </w:tr>
      <w:tr w14:paraId="7EA8ED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7" w:hRule="atLeast"/>
          <w:jc w:val="center"/>
        </w:trPr>
        <w:tc>
          <w:tcPr>
            <w:tcW w:w="4306" w:type="pct"/>
            <w:tcBorders>
              <w:tl2br w:val="nil"/>
              <w:tr2bl w:val="nil"/>
            </w:tcBorders>
            <w:vAlign w:val="center"/>
          </w:tcPr>
          <w:p w14:paraId="081E26FA">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生产制造类企业碳排放强度相较上一年度的下降比例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3%、</w:t>
            </w:r>
            <w:r>
              <w:rPr>
                <w:rFonts w:hint="eastAsia" w:ascii="宋体" w:hAnsi="宋体" w:cs="宋体"/>
                <w:sz w:val="18"/>
                <w:szCs w:val="18"/>
                <w:highlight w:val="none"/>
                <w:lang w:val="en-US" w:eastAsia="zh-CN"/>
              </w:rPr>
              <w:t>小于</w:t>
            </w:r>
            <w:r>
              <w:rPr>
                <w:rFonts w:hint="eastAsia" w:ascii="宋体" w:hAnsi="宋体" w:cs="宋体"/>
                <w:sz w:val="18"/>
                <w:szCs w:val="18"/>
                <w:highlight w:val="none"/>
              </w:rPr>
              <w:t>6%</w:t>
            </w:r>
          </w:p>
          <w:p w14:paraId="7B8B097E">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建设运营类企业碳排放强度相较上一年度的下降比例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1%、</w:t>
            </w:r>
            <w:r>
              <w:rPr>
                <w:rFonts w:hint="eastAsia" w:ascii="宋体" w:hAnsi="宋体" w:cs="宋体"/>
                <w:sz w:val="18"/>
                <w:szCs w:val="18"/>
                <w:highlight w:val="none"/>
                <w:lang w:val="en-US" w:eastAsia="zh-CN"/>
              </w:rPr>
              <w:t>小于</w:t>
            </w:r>
            <w:r>
              <w:rPr>
                <w:rFonts w:hint="eastAsia" w:ascii="宋体" w:hAnsi="宋体" w:cs="宋体"/>
                <w:sz w:val="18"/>
                <w:szCs w:val="18"/>
                <w:highlight w:val="none"/>
              </w:rPr>
              <w:t>3%</w:t>
            </w:r>
          </w:p>
        </w:tc>
        <w:tc>
          <w:tcPr>
            <w:tcW w:w="693" w:type="pct"/>
            <w:tcBorders>
              <w:tl2br w:val="nil"/>
              <w:tr2bl w:val="nil"/>
            </w:tcBorders>
            <w:vAlign w:val="center"/>
          </w:tcPr>
          <w:p w14:paraId="04889C5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2</w:t>
            </w:r>
          </w:p>
        </w:tc>
      </w:tr>
      <w:tr w14:paraId="7088E6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tl2br w:val="nil"/>
              <w:tr2bl w:val="nil"/>
            </w:tcBorders>
            <w:vAlign w:val="center"/>
          </w:tcPr>
          <w:p w14:paraId="770B4055">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val="en-US" w:eastAsia="zh-CN"/>
              </w:rPr>
              <w:t>未</w:t>
            </w:r>
            <w:r>
              <w:rPr>
                <w:rFonts w:hint="eastAsia" w:ascii="宋体" w:hAnsi="宋体" w:cs="宋体"/>
                <w:sz w:val="18"/>
                <w:szCs w:val="18"/>
                <w:highlight w:val="none"/>
              </w:rPr>
              <w:t>满足上述任何一项</w:t>
            </w:r>
          </w:p>
        </w:tc>
        <w:tc>
          <w:tcPr>
            <w:tcW w:w="693" w:type="pct"/>
            <w:tcBorders>
              <w:tl2br w:val="nil"/>
              <w:tr2bl w:val="nil"/>
            </w:tcBorders>
            <w:vAlign w:val="center"/>
          </w:tcPr>
          <w:p w14:paraId="536CE82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0</w:t>
            </w:r>
          </w:p>
        </w:tc>
      </w:tr>
      <w:tr w14:paraId="0B84DF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69" w:hRule="atLeast"/>
          <w:jc w:val="center"/>
        </w:trPr>
        <w:tc>
          <w:tcPr>
            <w:tcW w:w="5000" w:type="pct"/>
            <w:gridSpan w:val="2"/>
            <w:tcBorders>
              <w:tl2br w:val="nil"/>
              <w:tr2bl w:val="nil"/>
            </w:tcBorders>
            <w:vAlign w:val="center"/>
          </w:tcPr>
          <w:p w14:paraId="779EA4EE">
            <w:pPr>
              <w:keepNext w:val="0"/>
              <w:keepLines w:val="0"/>
              <w:widowControl w:val="0"/>
              <w:numPr>
                <w:ilvl w:val="0"/>
                <w:numId w:val="22"/>
              </w:numPr>
              <w:suppressLineNumbers w:val="0"/>
              <w:autoSpaceDE w:val="0"/>
              <w:autoSpaceDN w:val="0"/>
              <w:spacing w:before="0" w:beforeAutospacing="0" w:after="0" w:afterAutospacing="0"/>
              <w:ind w:left="809" w:leftChars="171" w:right="0" w:hanging="450" w:hangingChars="250"/>
              <w:jc w:val="both"/>
              <w:rPr>
                <w:rFonts w:hint="eastAsia" w:ascii="宋体" w:hAnsi="宋体" w:cs="宋体"/>
                <w:sz w:val="18"/>
                <w:szCs w:val="18"/>
                <w:highlight w:val="none"/>
              </w:rPr>
            </w:pPr>
            <w:r>
              <w:rPr>
                <w:rFonts w:hint="eastAsia" w:ascii="宋体" w:hAnsi="Times New Roman" w:eastAsia="宋体" w:cs="Times New Roman"/>
                <w:sz w:val="18"/>
                <w:szCs w:val="18"/>
                <w:highlight w:val="none"/>
                <w:lang w:val="en-US" w:eastAsia="zh-CN" w:bidi="ar-SA"/>
              </w:rPr>
              <w:t>生产制造类企事业单位是以生产制造为主要业务，通过生产过程将原材料转化为具有特定功能和性能产品的企事业单位；建设运营类企事业单位是以建设、开发、运营和管理各类基础设施和公共设施为主营业务，为社会提供必要的公共服务和产品的企事业单位。</w:t>
            </w:r>
          </w:p>
          <w:p w14:paraId="754F2640">
            <w:pPr>
              <w:keepNext w:val="0"/>
              <w:keepLines w:val="0"/>
              <w:widowControl w:val="0"/>
              <w:numPr>
                <w:ilvl w:val="0"/>
                <w:numId w:val="22"/>
              </w:numPr>
              <w:suppressLineNumbers w:val="0"/>
              <w:autoSpaceDE w:val="0"/>
              <w:autoSpaceDN w:val="0"/>
              <w:spacing w:before="0" w:beforeAutospacing="0" w:after="0" w:afterAutospacing="0"/>
              <w:ind w:left="809" w:leftChars="171" w:right="0" w:hanging="450" w:hangingChars="250"/>
              <w:jc w:val="both"/>
              <w:rPr>
                <w:rFonts w:hint="eastAsia" w:ascii="宋体" w:hAnsi="宋体" w:cs="宋体"/>
                <w:sz w:val="18"/>
                <w:szCs w:val="18"/>
                <w:highlight w:val="none"/>
              </w:rPr>
            </w:pPr>
            <w:r>
              <w:rPr>
                <w:rFonts w:hint="default"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碳排放量</w:t>
            </w:r>
            <w:r>
              <w:rPr>
                <w:rFonts w:hint="default" w:ascii="宋体" w:hAnsi="Times New Roman" w:eastAsia="宋体" w:cs="Times New Roman"/>
                <w:sz w:val="18"/>
                <w:szCs w:val="18"/>
                <w:highlight w:val="none"/>
                <w:lang w:val="en-US" w:eastAsia="zh-CN" w:bidi="ar-SA"/>
              </w:rPr>
              <w:t>与</w:t>
            </w:r>
            <w:r>
              <w:rPr>
                <w:rFonts w:hint="eastAsia" w:ascii="宋体" w:hAnsi="Times New Roman" w:eastAsia="宋体" w:cs="Times New Roman"/>
                <w:sz w:val="18"/>
                <w:szCs w:val="18"/>
                <w:highlight w:val="none"/>
                <w:lang w:val="en-US" w:eastAsia="zh-CN" w:bidi="ar-SA"/>
              </w:rPr>
              <w:t>生产活动产出数据</w:t>
            </w:r>
            <w:r>
              <w:rPr>
                <w:rFonts w:hint="default" w:ascii="宋体" w:hAnsi="Times New Roman" w:eastAsia="宋体" w:cs="Times New Roman"/>
                <w:sz w:val="18"/>
                <w:szCs w:val="18"/>
                <w:highlight w:val="none"/>
                <w:lang w:val="en-US" w:eastAsia="zh-CN" w:bidi="ar-SA"/>
              </w:rPr>
              <w:t>的比值</w:t>
            </w:r>
            <w:r>
              <w:rPr>
                <w:rFonts w:hint="eastAsia" w:ascii="宋体" w:hAnsi="Times New Roman" w:eastAsia="宋体" w:cs="Times New Roman"/>
                <w:sz w:val="18"/>
                <w:szCs w:val="18"/>
                <w:highlight w:val="none"/>
                <w:lang w:val="en-US" w:eastAsia="zh-CN" w:bidi="ar-SA"/>
              </w:rPr>
              <w:t>，生产活动产出数据根据企事业单位所属行业的不同，包括增加值等统计指标数据。</w:t>
            </w:r>
          </w:p>
        </w:tc>
      </w:tr>
    </w:tbl>
    <w:p w14:paraId="33AF33EF">
      <w:pPr>
        <w:pStyle w:val="56"/>
        <w:numPr>
          <w:ilvl w:val="3"/>
          <w:numId w:val="2"/>
        </w:numPr>
        <w:spacing w:before="156" w:after="156"/>
        <w:rPr>
          <w:rFonts w:ascii="Times New Roman"/>
          <w:highlight w:val="none"/>
        </w:rPr>
      </w:pPr>
      <w:r>
        <w:rPr>
          <w:rFonts w:ascii="Times New Roman"/>
          <w:highlight w:val="none"/>
        </w:rPr>
        <w:t>工艺设备材料</w:t>
      </w:r>
    </w:p>
    <w:p w14:paraId="7FFE49F9">
      <w:pPr>
        <w:pStyle w:val="26"/>
        <w:rPr>
          <w:rFonts w:hint="eastAsia" w:hAnsi="宋体" w:cs="宋体"/>
          <w:highlight w:val="none"/>
        </w:rPr>
      </w:pPr>
      <w:r>
        <w:rPr>
          <w:rFonts w:hint="eastAsia" w:hAnsi="宋体" w:cs="宋体"/>
          <w:highlight w:val="none"/>
        </w:rPr>
        <w:t>从企事业单位自身生产运营过程采用工艺、设备及原材料的绿色化水平进行综合评价，具体评分规则见表</w:t>
      </w:r>
      <w:r>
        <w:rPr>
          <w:rFonts w:hint="eastAsia" w:hAnsi="宋体" w:cs="宋体"/>
          <w:highlight w:val="none"/>
          <w:lang w:val="en-US" w:eastAsia="zh-CN"/>
        </w:rPr>
        <w:t>13</w:t>
      </w:r>
      <w:r>
        <w:rPr>
          <w:rFonts w:hint="eastAsia" w:hAnsi="宋体" w:cs="宋体"/>
          <w:highlight w:val="none"/>
        </w:rPr>
        <w:t>。工艺及设备绿色化水平宜从企事业单位选用列入国家节能、环保相关技术推荐目录的工艺技术和装备设备的情况进行评价，材料绿色化水平宜从企事业单位参照《国家鼓励的有毒有害原料（产品）替代品目录》等目录实现有毒有害原材料替代的情况进行评价。</w:t>
      </w:r>
    </w:p>
    <w:p w14:paraId="76D8130D">
      <w:pPr>
        <w:pStyle w:val="131"/>
        <w:rPr>
          <w:rFonts w:ascii="Times New Roman"/>
          <w:highlight w:val="none"/>
        </w:rPr>
      </w:pPr>
      <w:r>
        <w:rPr>
          <w:rFonts w:ascii="Times New Roman"/>
          <w:highlight w:val="none"/>
        </w:rPr>
        <w:t>工艺设备材料评分规则</w:t>
      </w:r>
    </w:p>
    <w:tbl>
      <w:tblPr>
        <w:tblStyle w:val="36"/>
        <w:tblW w:w="508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1325"/>
        <w:gridCol w:w="1549"/>
        <w:gridCol w:w="1376"/>
        <w:gridCol w:w="1499"/>
        <w:gridCol w:w="1337"/>
        <w:gridCol w:w="981"/>
      </w:tblGrid>
      <w:tr w14:paraId="77926A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70" w:type="dxa"/>
            <w:tcBorders>
              <w:bottom w:val="single" w:color="auto" w:sz="12" w:space="0"/>
            </w:tcBorders>
            <w:vAlign w:val="center"/>
          </w:tcPr>
          <w:p w14:paraId="6B55C5A2">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工艺绿色化水平</w:t>
            </w:r>
          </w:p>
        </w:tc>
        <w:tc>
          <w:tcPr>
            <w:tcW w:w="1325" w:type="dxa"/>
            <w:tcBorders>
              <w:bottom w:val="single" w:color="auto" w:sz="12" w:space="0"/>
            </w:tcBorders>
            <w:vAlign w:val="center"/>
          </w:tcPr>
          <w:p w14:paraId="0697C608">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549" w:type="dxa"/>
            <w:tcBorders>
              <w:bottom w:val="single" w:color="auto" w:sz="12" w:space="0"/>
            </w:tcBorders>
            <w:vAlign w:val="center"/>
          </w:tcPr>
          <w:p w14:paraId="54A5106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设备绿色化水平</w:t>
            </w:r>
          </w:p>
        </w:tc>
        <w:tc>
          <w:tcPr>
            <w:tcW w:w="1376" w:type="dxa"/>
            <w:tcBorders>
              <w:bottom w:val="single" w:color="auto" w:sz="12" w:space="0"/>
            </w:tcBorders>
            <w:vAlign w:val="center"/>
          </w:tcPr>
          <w:p w14:paraId="6D979E0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499" w:type="dxa"/>
            <w:tcBorders>
              <w:bottom w:val="single" w:color="auto" w:sz="12" w:space="0"/>
            </w:tcBorders>
            <w:vAlign w:val="center"/>
          </w:tcPr>
          <w:p w14:paraId="61A9E445">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材料绿色化水平</w:t>
            </w:r>
          </w:p>
        </w:tc>
        <w:tc>
          <w:tcPr>
            <w:tcW w:w="1337" w:type="dxa"/>
            <w:tcBorders>
              <w:bottom w:val="single" w:color="auto" w:sz="12" w:space="0"/>
            </w:tcBorders>
            <w:vAlign w:val="center"/>
          </w:tcPr>
          <w:p w14:paraId="7F6179B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981" w:type="dxa"/>
            <w:tcBorders>
              <w:bottom w:val="single" w:color="auto" w:sz="12" w:space="0"/>
            </w:tcBorders>
            <w:vAlign w:val="center"/>
          </w:tcPr>
          <w:p w14:paraId="1B598AF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03F478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 w:hRule="atLeast"/>
          <w:jc w:val="center"/>
        </w:trPr>
        <w:tc>
          <w:tcPr>
            <w:tcW w:w="1670" w:type="dxa"/>
            <w:tcBorders>
              <w:top w:val="single" w:color="auto" w:sz="12" w:space="0"/>
              <w:tl2br w:val="nil"/>
              <w:tr2bl w:val="nil"/>
            </w:tcBorders>
            <w:vAlign w:val="center"/>
          </w:tcPr>
          <w:p w14:paraId="2D7FB3F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全部选用推荐工艺</w:t>
            </w:r>
          </w:p>
        </w:tc>
        <w:tc>
          <w:tcPr>
            <w:tcW w:w="1325" w:type="dxa"/>
            <w:tcBorders>
              <w:top w:val="single" w:color="auto" w:sz="12" w:space="0"/>
              <w:tl2br w:val="nil"/>
              <w:tr2bl w:val="nil"/>
            </w:tcBorders>
            <w:vAlign w:val="center"/>
          </w:tcPr>
          <w:p w14:paraId="7683EC6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1549" w:type="dxa"/>
            <w:tcBorders>
              <w:top w:val="single" w:color="auto" w:sz="12" w:space="0"/>
              <w:tl2br w:val="nil"/>
              <w:tr2bl w:val="nil"/>
            </w:tcBorders>
            <w:vAlign w:val="center"/>
          </w:tcPr>
          <w:p w14:paraId="0725D53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推荐目录采购比例超过50%</w:t>
            </w:r>
          </w:p>
        </w:tc>
        <w:tc>
          <w:tcPr>
            <w:tcW w:w="1376" w:type="dxa"/>
            <w:tcBorders>
              <w:top w:val="single" w:color="auto" w:sz="12" w:space="0"/>
              <w:tl2br w:val="nil"/>
              <w:tr2bl w:val="nil"/>
            </w:tcBorders>
            <w:vAlign w:val="center"/>
          </w:tcPr>
          <w:p w14:paraId="6A74D12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1499" w:type="dxa"/>
            <w:tcBorders>
              <w:top w:val="single" w:color="auto" w:sz="12" w:space="0"/>
              <w:tl2br w:val="nil"/>
              <w:tr2bl w:val="nil"/>
            </w:tcBorders>
            <w:vAlign w:val="center"/>
          </w:tcPr>
          <w:p w14:paraId="673E1C9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全面实施无毒无害原材料替代</w:t>
            </w:r>
          </w:p>
        </w:tc>
        <w:tc>
          <w:tcPr>
            <w:tcW w:w="1337" w:type="dxa"/>
            <w:tcBorders>
              <w:top w:val="single" w:color="auto" w:sz="12" w:space="0"/>
              <w:tl2br w:val="nil"/>
              <w:tr2bl w:val="nil"/>
            </w:tcBorders>
            <w:vAlign w:val="center"/>
          </w:tcPr>
          <w:p w14:paraId="6438FFF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981" w:type="dxa"/>
            <w:vMerge w:val="restart"/>
            <w:tcBorders>
              <w:top w:val="single" w:color="auto" w:sz="12" w:space="0"/>
              <w:tl2br w:val="nil"/>
              <w:tr2bl w:val="nil"/>
            </w:tcBorders>
            <w:vAlign w:val="center"/>
          </w:tcPr>
          <w:p w14:paraId="2E253D31">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该项得分为三项指标累计得分</w:t>
            </w:r>
          </w:p>
        </w:tc>
      </w:tr>
      <w:tr w14:paraId="06D249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4" w:hRule="atLeast"/>
          <w:jc w:val="center"/>
        </w:trPr>
        <w:tc>
          <w:tcPr>
            <w:tcW w:w="1670" w:type="dxa"/>
            <w:tcBorders>
              <w:tl2br w:val="nil"/>
              <w:tr2bl w:val="nil"/>
            </w:tcBorders>
            <w:vAlign w:val="center"/>
          </w:tcPr>
          <w:p w14:paraId="5712AD81">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部分选用推荐工艺</w:t>
            </w:r>
          </w:p>
        </w:tc>
        <w:tc>
          <w:tcPr>
            <w:tcW w:w="1325" w:type="dxa"/>
            <w:tcBorders>
              <w:tl2br w:val="nil"/>
              <w:tr2bl w:val="nil"/>
            </w:tcBorders>
            <w:vAlign w:val="center"/>
          </w:tcPr>
          <w:p w14:paraId="19C72A1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1549" w:type="dxa"/>
            <w:tcBorders>
              <w:tl2br w:val="nil"/>
              <w:tr2bl w:val="nil"/>
            </w:tcBorders>
            <w:vAlign w:val="center"/>
          </w:tcPr>
          <w:p w14:paraId="3374521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推荐目录采购比例超过30%</w:t>
            </w:r>
          </w:p>
        </w:tc>
        <w:tc>
          <w:tcPr>
            <w:tcW w:w="1376" w:type="dxa"/>
            <w:tcBorders>
              <w:tl2br w:val="nil"/>
              <w:tr2bl w:val="nil"/>
            </w:tcBorders>
            <w:vAlign w:val="center"/>
          </w:tcPr>
          <w:p w14:paraId="6559E9A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1499" w:type="dxa"/>
            <w:tcBorders>
              <w:tl2br w:val="nil"/>
              <w:tr2bl w:val="nil"/>
            </w:tcBorders>
            <w:vAlign w:val="center"/>
          </w:tcPr>
          <w:p w14:paraId="0AD30ED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部分实施无毒无害原材料替代</w:t>
            </w:r>
          </w:p>
        </w:tc>
        <w:tc>
          <w:tcPr>
            <w:tcW w:w="1337" w:type="dxa"/>
            <w:tcBorders>
              <w:tl2br w:val="nil"/>
              <w:tr2bl w:val="nil"/>
            </w:tcBorders>
            <w:vAlign w:val="center"/>
          </w:tcPr>
          <w:p w14:paraId="5AB9520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981" w:type="dxa"/>
            <w:vMerge w:val="continue"/>
            <w:tcBorders>
              <w:tl2br w:val="nil"/>
              <w:tr2bl w:val="nil"/>
            </w:tcBorders>
            <w:vAlign w:val="center"/>
          </w:tcPr>
          <w:p w14:paraId="48F22F5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6D387A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70" w:type="dxa"/>
            <w:tcBorders>
              <w:tl2br w:val="nil"/>
              <w:tr2bl w:val="nil"/>
            </w:tcBorders>
            <w:vAlign w:val="center"/>
          </w:tcPr>
          <w:p w14:paraId="1A3A481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未选用推荐工艺</w:t>
            </w:r>
          </w:p>
        </w:tc>
        <w:tc>
          <w:tcPr>
            <w:tcW w:w="1325" w:type="dxa"/>
            <w:tcBorders>
              <w:tl2br w:val="nil"/>
              <w:tr2bl w:val="nil"/>
            </w:tcBorders>
            <w:vAlign w:val="center"/>
          </w:tcPr>
          <w:p w14:paraId="60EE1E6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549" w:type="dxa"/>
            <w:tcBorders>
              <w:tl2br w:val="nil"/>
              <w:tr2bl w:val="nil"/>
            </w:tcBorders>
            <w:vAlign w:val="center"/>
          </w:tcPr>
          <w:p w14:paraId="509B63B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推荐目录采购比例未超过30%</w:t>
            </w:r>
          </w:p>
        </w:tc>
        <w:tc>
          <w:tcPr>
            <w:tcW w:w="1376" w:type="dxa"/>
            <w:tcBorders>
              <w:tl2br w:val="nil"/>
              <w:tr2bl w:val="nil"/>
            </w:tcBorders>
            <w:vAlign w:val="center"/>
          </w:tcPr>
          <w:p w14:paraId="12310EB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499" w:type="dxa"/>
            <w:tcBorders>
              <w:tl2br w:val="nil"/>
              <w:tr2bl w:val="nil"/>
            </w:tcBorders>
            <w:vAlign w:val="center"/>
          </w:tcPr>
          <w:p w14:paraId="6209DBF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未实施无毒无害原材料替代</w:t>
            </w:r>
          </w:p>
        </w:tc>
        <w:tc>
          <w:tcPr>
            <w:tcW w:w="1337" w:type="dxa"/>
            <w:tcBorders>
              <w:tl2br w:val="nil"/>
              <w:tr2bl w:val="nil"/>
            </w:tcBorders>
            <w:vAlign w:val="center"/>
          </w:tcPr>
          <w:p w14:paraId="11A8D26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981" w:type="dxa"/>
            <w:vMerge w:val="continue"/>
            <w:tcBorders>
              <w:tl2br w:val="nil"/>
              <w:tr2bl w:val="nil"/>
            </w:tcBorders>
            <w:vAlign w:val="center"/>
          </w:tcPr>
          <w:p w14:paraId="05A425A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bl>
    <w:p w14:paraId="02D7F417">
      <w:pPr>
        <w:pStyle w:val="56"/>
        <w:numPr>
          <w:ilvl w:val="3"/>
          <w:numId w:val="2"/>
        </w:numPr>
        <w:spacing w:before="156" w:after="156"/>
        <w:rPr>
          <w:rFonts w:ascii="Times New Roman"/>
          <w:highlight w:val="none"/>
        </w:rPr>
      </w:pPr>
      <w:r>
        <w:rPr>
          <w:rFonts w:ascii="Times New Roman"/>
          <w:highlight w:val="none"/>
        </w:rPr>
        <w:t>能源资源利用</w:t>
      </w:r>
    </w:p>
    <w:p w14:paraId="413F17D7">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从企事业单位自身生产运营过程的可再生能源占比、非常规水资源利用率的情况进行综合评价，具体评分规则见表</w:t>
      </w:r>
      <w:r>
        <w:rPr>
          <w:rFonts w:hint="eastAsia" w:ascii="宋体" w:hAnsi="宋体" w:cs="宋体"/>
          <w:sz w:val="21"/>
          <w:highlight w:val="none"/>
          <w:lang w:val="en-US" w:eastAsia="zh-CN" w:bidi="ar-SA"/>
        </w:rPr>
        <w:t>14</w:t>
      </w:r>
      <w:r>
        <w:rPr>
          <w:rFonts w:hint="eastAsia" w:ascii="宋体" w:hAnsi="宋体" w:eastAsia="宋体" w:cs="宋体"/>
          <w:sz w:val="21"/>
          <w:highlight w:val="none"/>
          <w:lang w:val="en-US" w:eastAsia="zh-CN" w:bidi="ar-SA"/>
        </w:rPr>
        <w:t>。</w:t>
      </w:r>
    </w:p>
    <w:p w14:paraId="5E73144A">
      <w:pPr>
        <w:widowControl w:val="0"/>
        <w:numPr>
          <w:ilvl w:val="0"/>
          <w:numId w:val="23"/>
        </w:numPr>
        <w:autoSpaceDE w:val="0"/>
        <w:autoSpaceDN w:val="0"/>
        <w:ind w:left="0" w:firstLine="360" w:firstLine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可再生能源占比是可再生能源消费量与终端能源消费总量的比值。</w:t>
      </w:r>
    </w:p>
    <w:p w14:paraId="2479766C">
      <w:pPr>
        <w:widowControl w:val="0"/>
        <w:numPr>
          <w:ilvl w:val="0"/>
          <w:numId w:val="23"/>
        </w:numPr>
        <w:autoSpaceDE w:val="0"/>
        <w:autoSpaceDN w:val="0"/>
        <w:ind w:left="0" w:firstLine="360" w:firstLineChars="200"/>
        <w:jc w:val="both"/>
        <w:rPr>
          <w:rFonts w:ascii="宋体" w:hAnsi="宋体" w:eastAsia="宋体" w:cs="宋体"/>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非常规水资源利用率是再生水、雨水、海水、矿井水、苦咸水等非常规水资源利用总量与用水总量的比值。</w:t>
      </w:r>
    </w:p>
    <w:p w14:paraId="17619220">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能源资源利用</w:t>
      </w:r>
      <w:r>
        <w:rPr>
          <w:rFonts w:ascii="Times New Roman" w:hAnsi="Times New Roman" w:eastAsia="黑体" w:cs="Times New Roman"/>
          <w:sz w:val="21"/>
          <w:highlight w:val="none"/>
          <w:lang w:val="en-US" w:eastAsia="zh-CN" w:bidi="ar-SA"/>
        </w:rPr>
        <w:t>评分规则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28"/>
        <w:gridCol w:w="1657"/>
        <w:gridCol w:w="2200"/>
        <w:gridCol w:w="1928"/>
        <w:gridCol w:w="1846"/>
      </w:tblGrid>
      <w:tr w14:paraId="2EFB28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8" w:type="pct"/>
            <w:tcBorders>
              <w:bottom w:val="single" w:color="auto" w:sz="12" w:space="0"/>
            </w:tcBorders>
            <w:vAlign w:val="center"/>
          </w:tcPr>
          <w:p w14:paraId="39C55BA1">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可再生能源占比</w:t>
            </w:r>
            <w:r>
              <w:rPr>
                <w:rFonts w:hint="eastAsia" w:ascii="宋体" w:hAnsi="宋体" w:eastAsia="宋体" w:cs="宋体"/>
                <w:b/>
                <w:bCs/>
                <w:sz w:val="18"/>
                <w:szCs w:val="18"/>
                <w:highlight w:val="none"/>
                <w:lang w:val="en-US" w:eastAsia="zh-CN" w:bidi="ar-SA"/>
              </w:rPr>
              <w:t>（%）</w:t>
            </w:r>
          </w:p>
        </w:tc>
        <w:tc>
          <w:tcPr>
            <w:tcW w:w="866" w:type="pct"/>
            <w:tcBorders>
              <w:bottom w:val="single" w:color="auto" w:sz="12" w:space="0"/>
            </w:tcBorders>
            <w:vAlign w:val="center"/>
          </w:tcPr>
          <w:p w14:paraId="3CAC4BD6">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单项</w:t>
            </w:r>
            <w:r>
              <w:rPr>
                <w:rFonts w:hint="default"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c>
          <w:tcPr>
            <w:tcW w:w="1150" w:type="pct"/>
            <w:tcBorders>
              <w:bottom w:val="single" w:color="auto" w:sz="12" w:space="0"/>
            </w:tcBorders>
            <w:vAlign w:val="center"/>
          </w:tcPr>
          <w:p w14:paraId="34A9090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非常规水资源利用率（%）</w:t>
            </w:r>
          </w:p>
        </w:tc>
        <w:tc>
          <w:tcPr>
            <w:tcW w:w="1008" w:type="pct"/>
            <w:tcBorders>
              <w:bottom w:val="single" w:color="auto" w:sz="12" w:space="0"/>
            </w:tcBorders>
            <w:vAlign w:val="center"/>
          </w:tcPr>
          <w:p w14:paraId="13D2847B">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c>
          <w:tcPr>
            <w:tcW w:w="965" w:type="pct"/>
            <w:tcBorders>
              <w:bottom w:val="single" w:color="auto" w:sz="12" w:space="0"/>
            </w:tcBorders>
            <w:vAlign w:val="center"/>
          </w:tcPr>
          <w:p w14:paraId="578089E6">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总分值（分）</w:t>
            </w:r>
          </w:p>
        </w:tc>
      </w:tr>
      <w:tr w14:paraId="1EE226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8" w:type="pct"/>
            <w:tcBorders>
              <w:top w:val="single" w:color="auto" w:sz="12" w:space="0"/>
              <w:tl2br w:val="nil"/>
              <w:tr2bl w:val="nil"/>
            </w:tcBorders>
            <w:vAlign w:val="center"/>
          </w:tcPr>
          <w:p w14:paraId="0E93356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≥10</w:t>
            </w:r>
          </w:p>
        </w:tc>
        <w:tc>
          <w:tcPr>
            <w:tcW w:w="866" w:type="pct"/>
            <w:tcBorders>
              <w:top w:val="single" w:color="auto" w:sz="12" w:space="0"/>
              <w:tl2br w:val="nil"/>
              <w:tr2bl w:val="nil"/>
            </w:tcBorders>
            <w:vAlign w:val="center"/>
          </w:tcPr>
          <w:p w14:paraId="3BC5C56E">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3</w:t>
            </w:r>
          </w:p>
        </w:tc>
        <w:tc>
          <w:tcPr>
            <w:tcW w:w="1150" w:type="pct"/>
            <w:tcBorders>
              <w:top w:val="single" w:color="auto" w:sz="12" w:space="0"/>
              <w:tl2br w:val="nil"/>
              <w:tr2bl w:val="nil"/>
            </w:tcBorders>
            <w:vAlign w:val="center"/>
          </w:tcPr>
          <w:p w14:paraId="0FCCE367">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≥60</w:t>
            </w:r>
          </w:p>
        </w:tc>
        <w:tc>
          <w:tcPr>
            <w:tcW w:w="1008" w:type="pct"/>
            <w:tcBorders>
              <w:top w:val="single" w:color="auto" w:sz="12" w:space="0"/>
              <w:tl2br w:val="nil"/>
              <w:tr2bl w:val="nil"/>
            </w:tcBorders>
            <w:vAlign w:val="center"/>
          </w:tcPr>
          <w:p w14:paraId="65B18FCF">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c>
          <w:tcPr>
            <w:tcW w:w="965" w:type="pct"/>
            <w:vMerge w:val="restart"/>
            <w:tcBorders>
              <w:top w:val="single" w:color="auto" w:sz="12" w:space="0"/>
              <w:tl2br w:val="nil"/>
              <w:tr2bl w:val="nil"/>
            </w:tcBorders>
            <w:vAlign w:val="center"/>
          </w:tcPr>
          <w:p w14:paraId="454A30FF">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该项得分为两项指标累计得分</w:t>
            </w:r>
          </w:p>
        </w:tc>
      </w:tr>
      <w:tr w14:paraId="710EAC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8" w:type="pct"/>
            <w:tcBorders>
              <w:tl2br w:val="nil"/>
              <w:tr2bl w:val="nil"/>
            </w:tcBorders>
            <w:vAlign w:val="center"/>
          </w:tcPr>
          <w:p w14:paraId="24F5EC9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（0，10）</w:t>
            </w:r>
          </w:p>
        </w:tc>
        <w:tc>
          <w:tcPr>
            <w:tcW w:w="866" w:type="pct"/>
            <w:tcBorders>
              <w:tl2br w:val="nil"/>
              <w:tr2bl w:val="nil"/>
            </w:tcBorders>
            <w:vAlign w:val="center"/>
          </w:tcPr>
          <w:p w14:paraId="32054B71">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c>
          <w:tcPr>
            <w:tcW w:w="1150" w:type="pct"/>
            <w:tcBorders>
              <w:tl2br w:val="nil"/>
              <w:tr2bl w:val="nil"/>
            </w:tcBorders>
            <w:vAlign w:val="center"/>
          </w:tcPr>
          <w:p w14:paraId="2A9EA93D">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（0，60）</w:t>
            </w:r>
          </w:p>
        </w:tc>
        <w:tc>
          <w:tcPr>
            <w:tcW w:w="1008" w:type="pct"/>
            <w:tcBorders>
              <w:tl2br w:val="nil"/>
              <w:tr2bl w:val="nil"/>
            </w:tcBorders>
            <w:vAlign w:val="center"/>
          </w:tcPr>
          <w:p w14:paraId="6A439EB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965" w:type="pct"/>
            <w:vMerge w:val="continue"/>
            <w:tcBorders>
              <w:tl2br w:val="nil"/>
              <w:tr2bl w:val="nil"/>
            </w:tcBorders>
            <w:vAlign w:val="center"/>
          </w:tcPr>
          <w:p w14:paraId="24957A46">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r w14:paraId="680C51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8" w:type="pct"/>
            <w:tcBorders>
              <w:tl2br w:val="nil"/>
              <w:tr2bl w:val="nil"/>
            </w:tcBorders>
            <w:vAlign w:val="center"/>
          </w:tcPr>
          <w:p w14:paraId="5A85478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866" w:type="pct"/>
            <w:tcBorders>
              <w:tl2br w:val="nil"/>
              <w:tr2bl w:val="nil"/>
            </w:tcBorders>
            <w:vAlign w:val="center"/>
          </w:tcPr>
          <w:p w14:paraId="0F65E4F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150" w:type="pct"/>
            <w:tcBorders>
              <w:tl2br w:val="nil"/>
              <w:tr2bl w:val="nil"/>
            </w:tcBorders>
            <w:vAlign w:val="center"/>
          </w:tcPr>
          <w:p w14:paraId="3FF3E08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008" w:type="pct"/>
            <w:tcBorders>
              <w:tl2br w:val="nil"/>
              <w:tr2bl w:val="nil"/>
            </w:tcBorders>
            <w:vAlign w:val="center"/>
          </w:tcPr>
          <w:p w14:paraId="08F6566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965" w:type="pct"/>
            <w:vMerge w:val="continue"/>
            <w:tcBorders>
              <w:tl2br w:val="nil"/>
              <w:tr2bl w:val="nil"/>
            </w:tcBorders>
            <w:vAlign w:val="center"/>
          </w:tcPr>
          <w:p w14:paraId="3B6502CC">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bl>
    <w:p w14:paraId="25A09BA1">
      <w:pPr>
        <w:numPr>
          <w:ilvl w:val="3"/>
          <w:numId w:val="2"/>
        </w:numPr>
        <w:spacing w:before="156" w:beforeLines="50" w:after="156" w:afterLines="50"/>
        <w:outlineLvl w:val="4"/>
        <w:rPr>
          <w:rFonts w:eastAsia="黑体"/>
          <w:szCs w:val="21"/>
          <w:highlight w:val="none"/>
        </w:rPr>
      </w:pPr>
      <w:r>
        <w:rPr>
          <w:rFonts w:hint="eastAsia" w:eastAsia="黑体"/>
          <w:szCs w:val="21"/>
          <w:highlight w:val="none"/>
        </w:rPr>
        <w:t>污染物</w:t>
      </w:r>
      <w:r>
        <w:rPr>
          <w:rFonts w:eastAsia="黑体"/>
          <w:szCs w:val="21"/>
          <w:highlight w:val="none"/>
        </w:rPr>
        <w:t>排放</w:t>
      </w:r>
      <w:r>
        <w:rPr>
          <w:rFonts w:hint="eastAsia" w:eastAsia="黑体"/>
          <w:szCs w:val="21"/>
          <w:highlight w:val="none"/>
        </w:rPr>
        <w:t>水平</w:t>
      </w:r>
    </w:p>
    <w:p w14:paraId="6A22D5A4">
      <w:pPr>
        <w:autoSpaceDE w:val="0"/>
        <w:autoSpaceDN w:val="0"/>
        <w:ind w:firstLine="420" w:firstLineChars="200"/>
        <w:rPr>
          <w:rFonts w:ascii="宋体" w:hAnsi="宋体" w:cs="宋体"/>
          <w:highlight w:val="none"/>
        </w:rPr>
      </w:pPr>
      <w:r>
        <w:rPr>
          <w:rFonts w:hint="eastAsia" w:ascii="宋体" w:hAnsi="宋体" w:cs="宋体"/>
          <w:highlight w:val="none"/>
        </w:rPr>
        <w:t>从企事业单位自身生产运营过程向环境排放污染物的情况进行评价</w:t>
      </w:r>
      <w:r>
        <w:rPr>
          <w:rFonts w:hint="eastAsia" w:ascii="宋体" w:hAnsi="宋体" w:cs="宋体"/>
          <w:highlight w:val="none"/>
          <w:lang w:eastAsia="zh-CN"/>
        </w:rPr>
        <w:t>，</w:t>
      </w:r>
      <w:r>
        <w:rPr>
          <w:rFonts w:hint="eastAsia" w:ascii="宋体" w:hAnsi="宋体" w:cs="宋体"/>
          <w:highlight w:val="none"/>
        </w:rPr>
        <w:t>具体评分规则见表</w:t>
      </w:r>
      <w:r>
        <w:rPr>
          <w:rFonts w:hint="eastAsia" w:ascii="宋体" w:hAnsi="宋体" w:cs="宋体"/>
          <w:highlight w:val="none"/>
          <w:lang w:val="en-US" w:eastAsia="zh-CN"/>
        </w:rPr>
        <w:t>15</w:t>
      </w:r>
      <w:r>
        <w:rPr>
          <w:rFonts w:hint="eastAsia" w:ascii="宋体" w:hAnsi="宋体" w:cs="宋体"/>
          <w:highlight w:val="none"/>
        </w:rPr>
        <w:t>。污染物排放水平数据宜以</w:t>
      </w:r>
      <w:r>
        <w:rPr>
          <w:rFonts w:hint="eastAsia" w:ascii="宋体" w:hAnsi="宋体" w:cs="宋体"/>
          <w:highlight w:val="none"/>
          <w:lang w:val="en-US" w:eastAsia="zh-CN"/>
        </w:rPr>
        <w:t>近一年</w:t>
      </w:r>
      <w:r>
        <w:rPr>
          <w:rFonts w:hint="eastAsia" w:ascii="宋体" w:hAnsi="宋体" w:cs="宋体"/>
          <w:highlight w:val="none"/>
        </w:rPr>
        <w:t>全国污染源监测数据管理与共享系统平台的自行监测数据为准。</w:t>
      </w:r>
    </w:p>
    <w:p w14:paraId="488C8D65">
      <w:pPr>
        <w:pStyle w:val="131"/>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53"/>
        <w:gridCol w:w="2306"/>
      </w:tblGrid>
      <w:tr w14:paraId="6CB286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jc w:val="center"/>
        </w:trPr>
        <w:tc>
          <w:tcPr>
            <w:tcW w:w="3793" w:type="pct"/>
            <w:tcBorders>
              <w:bottom w:val="single" w:color="auto" w:sz="12" w:space="0"/>
            </w:tcBorders>
            <w:vAlign w:val="center"/>
          </w:tcPr>
          <w:p w14:paraId="56E7E808">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污染物排放水平</w:t>
            </w:r>
          </w:p>
        </w:tc>
        <w:tc>
          <w:tcPr>
            <w:tcW w:w="1206" w:type="pct"/>
            <w:tcBorders>
              <w:bottom w:val="single" w:color="auto" w:sz="12" w:space="0"/>
            </w:tcBorders>
            <w:vAlign w:val="center"/>
          </w:tcPr>
          <w:p w14:paraId="766D2FF1">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分值</w:t>
            </w:r>
            <w:r>
              <w:rPr>
                <w:rFonts w:hint="eastAsia"/>
                <w:b/>
                <w:bCs/>
                <w:sz w:val="18"/>
                <w:szCs w:val="18"/>
                <w:highlight w:val="none"/>
              </w:rPr>
              <w:t>（分）</w:t>
            </w:r>
          </w:p>
        </w:tc>
      </w:tr>
      <w:tr w14:paraId="6AF98E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93" w:type="pct"/>
            <w:tcBorders>
              <w:top w:val="single" w:color="auto" w:sz="12" w:space="0"/>
              <w:tl2br w:val="nil"/>
              <w:tr2bl w:val="nil"/>
            </w:tcBorders>
            <w:vAlign w:val="center"/>
          </w:tcPr>
          <w:p w14:paraId="037014D1">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不排放污染物，或根据排污许可相关管理条例实行排污登记管理，或需控制的污染物有80%的种类优于排污许可证限值20%，或优于排放源所在地同类行业污染物排放限值20%</w:t>
            </w:r>
          </w:p>
        </w:tc>
        <w:tc>
          <w:tcPr>
            <w:tcW w:w="1206" w:type="pct"/>
            <w:tcBorders>
              <w:top w:val="single" w:color="auto" w:sz="12" w:space="0"/>
              <w:tl2br w:val="nil"/>
              <w:tr2bl w:val="nil"/>
            </w:tcBorders>
            <w:vAlign w:val="center"/>
          </w:tcPr>
          <w:p w14:paraId="3E5A99B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4</w:t>
            </w:r>
          </w:p>
        </w:tc>
      </w:tr>
      <w:tr w14:paraId="0D30E8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3793" w:type="pct"/>
            <w:tcBorders>
              <w:tl2br w:val="nil"/>
              <w:tr2bl w:val="nil"/>
            </w:tcBorders>
            <w:vAlign w:val="center"/>
          </w:tcPr>
          <w:p w14:paraId="1EFEC6B9">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需控制的污染物有80%的种类优于排污许可证限值10%，或优于排放源所在地同类行业污染物排放限值10%</w:t>
            </w:r>
          </w:p>
        </w:tc>
        <w:tc>
          <w:tcPr>
            <w:tcW w:w="1206" w:type="pct"/>
            <w:tcBorders>
              <w:tl2br w:val="nil"/>
              <w:tr2bl w:val="nil"/>
            </w:tcBorders>
            <w:vAlign w:val="center"/>
          </w:tcPr>
          <w:p w14:paraId="306DB17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2</w:t>
            </w:r>
          </w:p>
        </w:tc>
      </w:tr>
      <w:tr w14:paraId="4728DF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793" w:type="pct"/>
            <w:tcBorders>
              <w:tl2br w:val="nil"/>
              <w:tr2bl w:val="nil"/>
            </w:tcBorders>
            <w:vAlign w:val="center"/>
          </w:tcPr>
          <w:p w14:paraId="4E057B84">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val="en-US" w:eastAsia="zh-CN"/>
              </w:rPr>
              <w:t>未</w:t>
            </w:r>
            <w:r>
              <w:rPr>
                <w:rFonts w:hint="eastAsia" w:ascii="宋体" w:hAnsi="宋体" w:cs="宋体"/>
                <w:sz w:val="18"/>
                <w:szCs w:val="18"/>
                <w:highlight w:val="none"/>
              </w:rPr>
              <w:t>满足上述任何一项</w:t>
            </w:r>
          </w:p>
        </w:tc>
        <w:tc>
          <w:tcPr>
            <w:tcW w:w="1206" w:type="pct"/>
            <w:tcBorders>
              <w:tl2br w:val="nil"/>
              <w:tr2bl w:val="nil"/>
            </w:tcBorders>
            <w:vAlign w:val="center"/>
          </w:tcPr>
          <w:p w14:paraId="66CDFCC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0</w:t>
            </w:r>
          </w:p>
        </w:tc>
      </w:tr>
    </w:tbl>
    <w:p w14:paraId="03D5ED55">
      <w:pPr>
        <w:pStyle w:val="51"/>
        <w:spacing w:before="156" w:after="156"/>
        <w:rPr>
          <w:rFonts w:ascii="Times New Roman"/>
          <w:highlight w:val="none"/>
        </w:rPr>
      </w:pPr>
      <w:r>
        <w:rPr>
          <w:rFonts w:ascii="Times New Roman"/>
          <w:highlight w:val="none"/>
        </w:rPr>
        <w:t>社会表现</w:t>
      </w:r>
    </w:p>
    <w:p w14:paraId="020E3B45">
      <w:pPr>
        <w:pStyle w:val="56"/>
        <w:numPr>
          <w:ilvl w:val="3"/>
          <w:numId w:val="2"/>
        </w:numPr>
        <w:spacing w:before="156" w:after="156"/>
        <w:rPr>
          <w:rFonts w:ascii="Times New Roman"/>
          <w:highlight w:val="none"/>
        </w:rPr>
      </w:pPr>
      <w:r>
        <w:rPr>
          <w:rFonts w:ascii="Times New Roman"/>
          <w:highlight w:val="none"/>
        </w:rPr>
        <w:t>内部行动</w:t>
      </w:r>
    </w:p>
    <w:p w14:paraId="70B1E1F1">
      <w:pPr>
        <w:pStyle w:val="26"/>
        <w:rPr>
          <w:rFonts w:hint="eastAsia" w:hAnsi="宋体" w:cs="宋体"/>
          <w:highlight w:val="none"/>
        </w:rPr>
      </w:pPr>
      <w:r>
        <w:rPr>
          <w:rFonts w:hint="eastAsia" w:hAnsi="宋体" w:cs="宋体"/>
          <w:highlight w:val="none"/>
        </w:rPr>
        <w:t>从企事业单位开展绿色行动、信息披露</w:t>
      </w:r>
      <w:r>
        <w:rPr>
          <w:rFonts w:hint="eastAsia" w:hAnsi="宋体" w:cs="宋体"/>
          <w:highlight w:val="none"/>
          <w:lang w:eastAsia="zh-CN"/>
        </w:rPr>
        <w:t>、</w:t>
      </w:r>
      <w:r>
        <w:rPr>
          <w:rFonts w:hint="eastAsia" w:hAnsi="宋体" w:cs="宋体"/>
          <w:highlight w:val="none"/>
        </w:rPr>
        <w:t>低碳培训</w:t>
      </w:r>
      <w:r>
        <w:rPr>
          <w:rFonts w:hint="eastAsia" w:hAnsi="宋体" w:cs="宋体"/>
          <w:highlight w:val="none"/>
          <w:lang w:val="en-US" w:eastAsia="zh-CN"/>
        </w:rPr>
        <w:t>等方面</w:t>
      </w:r>
      <w:r>
        <w:rPr>
          <w:rFonts w:hint="eastAsia" w:hAnsi="宋体" w:cs="宋体"/>
          <w:highlight w:val="none"/>
        </w:rPr>
        <w:t>进行</w:t>
      </w:r>
      <w:r>
        <w:rPr>
          <w:rFonts w:hint="eastAsia" w:hAnsi="宋体" w:cs="宋体"/>
          <w:highlight w:val="none"/>
          <w:lang w:val="en-US" w:eastAsia="zh-CN"/>
        </w:rPr>
        <w:t>综合</w:t>
      </w:r>
      <w:r>
        <w:rPr>
          <w:rFonts w:hint="eastAsia" w:hAnsi="宋体" w:cs="宋体"/>
          <w:highlight w:val="none"/>
        </w:rPr>
        <w:t>评价</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16</w:t>
      </w:r>
      <w:r>
        <w:rPr>
          <w:rFonts w:hint="eastAsia" w:hAnsi="宋体" w:cs="宋体"/>
          <w:highlight w:val="none"/>
        </w:rPr>
        <w:t>。</w:t>
      </w:r>
    </w:p>
    <w:p w14:paraId="77C3ED1A">
      <w:pPr>
        <w:pStyle w:val="131"/>
        <w:rPr>
          <w:rFonts w:ascii="Times New Roman"/>
          <w:highlight w:val="none"/>
        </w:rPr>
      </w:pPr>
      <w:r>
        <w:rPr>
          <w:rFonts w:ascii="Times New Roman"/>
          <w:highlight w:val="none"/>
        </w:rPr>
        <w:t>内部行动评分规则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78"/>
        <w:gridCol w:w="5304"/>
        <w:gridCol w:w="1431"/>
        <w:gridCol w:w="1146"/>
      </w:tblGrid>
      <w:tr w14:paraId="12F238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878" w:type="pct"/>
            <w:tcBorders>
              <w:bottom w:val="single" w:color="auto" w:sz="12" w:space="0"/>
            </w:tcBorders>
            <w:vAlign w:val="center"/>
          </w:tcPr>
          <w:p w14:paraId="195FDC4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内部行动</w:t>
            </w:r>
          </w:p>
        </w:tc>
        <w:tc>
          <w:tcPr>
            <w:tcW w:w="2773" w:type="pct"/>
            <w:tcBorders>
              <w:bottom w:val="single" w:color="auto" w:sz="12" w:space="0"/>
            </w:tcBorders>
            <w:vAlign w:val="center"/>
          </w:tcPr>
          <w:p w14:paraId="1EABAAF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开展情况</w:t>
            </w:r>
          </w:p>
        </w:tc>
        <w:tc>
          <w:tcPr>
            <w:tcW w:w="748" w:type="pct"/>
            <w:tcBorders>
              <w:bottom w:val="single" w:color="auto" w:sz="12" w:space="0"/>
            </w:tcBorders>
            <w:vAlign w:val="center"/>
          </w:tcPr>
          <w:p w14:paraId="1F17FB1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599" w:type="pct"/>
            <w:tcBorders>
              <w:bottom w:val="single" w:color="auto" w:sz="12" w:space="0"/>
            </w:tcBorders>
            <w:vAlign w:val="center"/>
          </w:tcPr>
          <w:p w14:paraId="74B94428">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42423A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78" w:type="pct"/>
            <w:tcBorders>
              <w:top w:val="single" w:color="auto" w:sz="12" w:space="0"/>
              <w:tl2br w:val="nil"/>
              <w:tr2bl w:val="nil"/>
            </w:tcBorders>
            <w:vAlign w:val="center"/>
          </w:tcPr>
          <w:p w14:paraId="5AE9A3A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绿色行动</w:t>
            </w:r>
          </w:p>
        </w:tc>
        <w:tc>
          <w:tcPr>
            <w:tcW w:w="2773" w:type="pct"/>
            <w:tcBorders>
              <w:top w:val="single" w:color="auto" w:sz="12" w:space="0"/>
              <w:tl2br w:val="nil"/>
              <w:tr2bl w:val="nil"/>
            </w:tcBorders>
            <w:vAlign w:val="center"/>
          </w:tcPr>
          <w:p w14:paraId="7669687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发布碳中和规划或行动方案、创建近零碳排放试点、开展产品碳足迹核算、创建碳普惠低碳场景或实现多场大型活动碳中和等绿色行动</w:t>
            </w:r>
          </w:p>
        </w:tc>
        <w:tc>
          <w:tcPr>
            <w:tcW w:w="748" w:type="pct"/>
            <w:tcBorders>
              <w:top w:val="single" w:color="auto" w:sz="12" w:space="0"/>
              <w:tl2br w:val="nil"/>
              <w:tr2bl w:val="nil"/>
            </w:tcBorders>
            <w:vAlign w:val="center"/>
          </w:tcPr>
          <w:p w14:paraId="2A8CACD2">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2</w:t>
            </w:r>
          </w:p>
        </w:tc>
        <w:tc>
          <w:tcPr>
            <w:tcW w:w="599" w:type="pct"/>
            <w:vMerge w:val="restart"/>
            <w:tcBorders>
              <w:top w:val="single" w:color="auto" w:sz="12" w:space="0"/>
              <w:tl2br w:val="nil"/>
              <w:tr2bl w:val="nil"/>
            </w:tcBorders>
            <w:vAlign w:val="center"/>
          </w:tcPr>
          <w:p w14:paraId="00FDC94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该项得分为三项指标累计得分</w:t>
            </w:r>
          </w:p>
        </w:tc>
      </w:tr>
      <w:tr w14:paraId="3ADCE7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878" w:type="pct"/>
            <w:tcBorders>
              <w:tl2br w:val="nil"/>
              <w:tr2bl w:val="nil"/>
            </w:tcBorders>
            <w:vAlign w:val="center"/>
          </w:tcPr>
          <w:p w14:paraId="33E89D9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信息披露</w:t>
            </w:r>
          </w:p>
        </w:tc>
        <w:tc>
          <w:tcPr>
            <w:tcW w:w="2773" w:type="pct"/>
            <w:tcBorders>
              <w:tl2br w:val="nil"/>
              <w:tr2bl w:val="nil"/>
            </w:tcBorders>
            <w:vAlign w:val="center"/>
          </w:tcPr>
          <w:p w14:paraId="76BE7475">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主动依据《企业环境信息依法披露管理办法》，通过公开渠道披露产品或服务技术性能、资源能源消耗情况、环境信息等相关内容，或依法依规披露环境、社会和公司治理（ESG）情况</w:t>
            </w:r>
          </w:p>
        </w:tc>
        <w:tc>
          <w:tcPr>
            <w:tcW w:w="748" w:type="pct"/>
            <w:tcBorders>
              <w:tl2br w:val="nil"/>
              <w:tr2bl w:val="nil"/>
            </w:tcBorders>
            <w:vAlign w:val="center"/>
          </w:tcPr>
          <w:p w14:paraId="280F2401">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2</w:t>
            </w:r>
          </w:p>
        </w:tc>
        <w:tc>
          <w:tcPr>
            <w:tcW w:w="599" w:type="pct"/>
            <w:vMerge w:val="continue"/>
            <w:tcBorders>
              <w:tl2br w:val="nil"/>
              <w:tr2bl w:val="nil"/>
            </w:tcBorders>
            <w:vAlign w:val="center"/>
          </w:tcPr>
          <w:p w14:paraId="2D5F19A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2B3C105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878" w:type="pct"/>
            <w:tcBorders>
              <w:tl2br w:val="nil"/>
              <w:tr2bl w:val="nil"/>
            </w:tcBorders>
            <w:vAlign w:val="center"/>
          </w:tcPr>
          <w:p w14:paraId="348DC73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低碳培训</w:t>
            </w:r>
          </w:p>
        </w:tc>
        <w:tc>
          <w:tcPr>
            <w:tcW w:w="2773" w:type="pct"/>
            <w:tcBorders>
              <w:tl2br w:val="nil"/>
              <w:tr2bl w:val="nil"/>
            </w:tcBorders>
            <w:vAlign w:val="center"/>
          </w:tcPr>
          <w:p w14:paraId="0F05D7D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每年对员工开展2次及以上低碳环保、节能减排、循环经济等主题培训</w:t>
            </w:r>
          </w:p>
        </w:tc>
        <w:tc>
          <w:tcPr>
            <w:tcW w:w="748" w:type="pct"/>
            <w:tcBorders>
              <w:tl2br w:val="nil"/>
              <w:tr2bl w:val="nil"/>
            </w:tcBorders>
            <w:vAlign w:val="center"/>
          </w:tcPr>
          <w:p w14:paraId="79890953">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w:t>
            </w:r>
          </w:p>
        </w:tc>
        <w:tc>
          <w:tcPr>
            <w:tcW w:w="599" w:type="pct"/>
            <w:vMerge w:val="continue"/>
            <w:tcBorders>
              <w:tl2br w:val="nil"/>
              <w:tr2bl w:val="nil"/>
            </w:tcBorders>
            <w:vAlign w:val="center"/>
          </w:tcPr>
          <w:p w14:paraId="35EB02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bl>
    <w:p w14:paraId="56A3CACE">
      <w:pPr>
        <w:pStyle w:val="56"/>
        <w:numPr>
          <w:ilvl w:val="3"/>
          <w:numId w:val="2"/>
        </w:numPr>
        <w:spacing w:before="156" w:after="156"/>
        <w:rPr>
          <w:rFonts w:ascii="Times New Roman"/>
          <w:highlight w:val="none"/>
        </w:rPr>
      </w:pPr>
      <w:r>
        <w:rPr>
          <w:rFonts w:ascii="Times New Roman"/>
          <w:highlight w:val="none"/>
        </w:rPr>
        <w:t>社会责任</w:t>
      </w:r>
    </w:p>
    <w:p w14:paraId="5E0367BE">
      <w:pPr>
        <w:pStyle w:val="26"/>
        <w:rPr>
          <w:rFonts w:hint="eastAsia" w:hAnsi="宋体" w:cs="宋体"/>
          <w:highlight w:val="none"/>
        </w:rPr>
      </w:pPr>
      <w:r>
        <w:rPr>
          <w:rFonts w:hint="eastAsia" w:hAnsi="宋体" w:cs="宋体"/>
          <w:highlight w:val="none"/>
        </w:rPr>
        <w:t>从企事业单位履行公共关系和社会公益责任、实施供应链绿色管理等情况进行评价。具体评分规则见表</w:t>
      </w:r>
      <w:r>
        <w:rPr>
          <w:rFonts w:hint="eastAsia" w:hAnsi="宋体" w:cs="宋体"/>
          <w:highlight w:val="none"/>
          <w:lang w:val="en-US" w:eastAsia="zh-CN"/>
        </w:rPr>
        <w:t>17</w:t>
      </w:r>
      <w:r>
        <w:rPr>
          <w:rFonts w:hint="eastAsia" w:hAnsi="宋体" w:cs="宋体"/>
          <w:highlight w:val="none"/>
        </w:rPr>
        <w:t>。</w:t>
      </w:r>
    </w:p>
    <w:p w14:paraId="3F4F5000">
      <w:pPr>
        <w:pStyle w:val="131"/>
        <w:rPr>
          <w:rFonts w:ascii="Times New Roman"/>
          <w:highlight w:val="none"/>
        </w:rPr>
      </w:pPr>
      <w:r>
        <w:rPr>
          <w:rFonts w:ascii="Times New Roman"/>
          <w:highlight w:val="none"/>
        </w:rPr>
        <w:t>社会责任评分规则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5201"/>
        <w:gridCol w:w="1576"/>
        <w:gridCol w:w="1432"/>
      </w:tblGrid>
      <w:tr w14:paraId="0D2B87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jc w:val="center"/>
        </w:trPr>
        <w:tc>
          <w:tcPr>
            <w:tcW w:w="706" w:type="pct"/>
            <w:tcBorders>
              <w:bottom w:val="single" w:color="auto" w:sz="12" w:space="0"/>
            </w:tcBorders>
            <w:vAlign w:val="center"/>
          </w:tcPr>
          <w:p w14:paraId="66E7F574">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社会责任</w:t>
            </w:r>
          </w:p>
        </w:tc>
        <w:tc>
          <w:tcPr>
            <w:tcW w:w="2720" w:type="pct"/>
            <w:tcBorders>
              <w:bottom w:val="single" w:color="auto" w:sz="12" w:space="0"/>
            </w:tcBorders>
            <w:vAlign w:val="center"/>
          </w:tcPr>
          <w:p w14:paraId="0093A037">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开展情况</w:t>
            </w:r>
          </w:p>
        </w:tc>
        <w:tc>
          <w:tcPr>
            <w:tcW w:w="824" w:type="pct"/>
            <w:tcBorders>
              <w:bottom w:val="single" w:color="auto" w:sz="12" w:space="0"/>
            </w:tcBorders>
            <w:vAlign w:val="center"/>
          </w:tcPr>
          <w:p w14:paraId="58C4F32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749" w:type="pct"/>
            <w:tcBorders>
              <w:bottom w:val="single" w:color="auto" w:sz="12" w:space="0"/>
            </w:tcBorders>
            <w:vAlign w:val="center"/>
          </w:tcPr>
          <w:p w14:paraId="2838298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7E332C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7" w:hRule="atLeast"/>
          <w:jc w:val="center"/>
        </w:trPr>
        <w:tc>
          <w:tcPr>
            <w:tcW w:w="706" w:type="pct"/>
            <w:tcBorders>
              <w:top w:val="single" w:color="auto" w:sz="12" w:space="0"/>
              <w:tl2br w:val="nil"/>
              <w:tr2bl w:val="nil"/>
            </w:tcBorders>
            <w:vAlign w:val="center"/>
          </w:tcPr>
          <w:p w14:paraId="1F46D0A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公共关系和社会公益责任</w:t>
            </w:r>
          </w:p>
        </w:tc>
        <w:tc>
          <w:tcPr>
            <w:tcW w:w="2720" w:type="pct"/>
            <w:tcBorders>
              <w:top w:val="single" w:color="auto" w:sz="12" w:space="0"/>
              <w:tl2br w:val="nil"/>
              <w:tr2bl w:val="nil"/>
            </w:tcBorders>
            <w:vAlign w:val="center"/>
          </w:tcPr>
          <w:p w14:paraId="506D95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主动举办环保公益活动，或参加环境保护、教育、扶贫济困等公益活动，或积极对重大自然灾害、突发事件提供援助</w:t>
            </w:r>
          </w:p>
        </w:tc>
        <w:tc>
          <w:tcPr>
            <w:tcW w:w="824" w:type="pct"/>
            <w:tcBorders>
              <w:top w:val="single" w:color="auto" w:sz="12" w:space="0"/>
              <w:tl2br w:val="nil"/>
              <w:tr2bl w:val="nil"/>
            </w:tcBorders>
            <w:vAlign w:val="center"/>
          </w:tcPr>
          <w:p w14:paraId="065AB06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749" w:type="pct"/>
            <w:vMerge w:val="restart"/>
            <w:tcBorders>
              <w:top w:val="single" w:color="auto" w:sz="12" w:space="0"/>
              <w:tl2br w:val="nil"/>
              <w:tr2bl w:val="nil"/>
            </w:tcBorders>
            <w:vAlign w:val="center"/>
          </w:tcPr>
          <w:p w14:paraId="15675F2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w:t>
            </w:r>
            <w:r>
              <w:rPr>
                <w:rFonts w:hint="eastAsia" w:hAnsi="宋体" w:cs="宋体"/>
                <w:sz w:val="18"/>
                <w:szCs w:val="18"/>
                <w:highlight w:val="none"/>
                <w:lang w:val="en-US" w:eastAsia="zh-CN"/>
              </w:rPr>
              <w:t>两</w:t>
            </w:r>
            <w:r>
              <w:rPr>
                <w:rFonts w:hint="eastAsia" w:hAnsi="宋体" w:cs="宋体"/>
                <w:sz w:val="18"/>
                <w:szCs w:val="18"/>
                <w:highlight w:val="none"/>
              </w:rPr>
              <w:t>项指标累计得分</w:t>
            </w:r>
          </w:p>
        </w:tc>
      </w:tr>
      <w:tr w14:paraId="7E8EC1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atLeast"/>
          <w:jc w:val="center"/>
        </w:trPr>
        <w:tc>
          <w:tcPr>
            <w:tcW w:w="706" w:type="pct"/>
            <w:tcBorders>
              <w:tl2br w:val="nil"/>
              <w:tr2bl w:val="nil"/>
            </w:tcBorders>
            <w:vAlign w:val="center"/>
          </w:tcPr>
          <w:p w14:paraId="042F1A91">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绿色化管理</w:t>
            </w:r>
          </w:p>
        </w:tc>
        <w:tc>
          <w:tcPr>
            <w:tcW w:w="2720" w:type="pct"/>
            <w:tcBorders>
              <w:tl2br w:val="nil"/>
              <w:tr2bl w:val="nil"/>
            </w:tcBorders>
            <w:vAlign w:val="center"/>
          </w:tcPr>
          <w:p w14:paraId="27E6599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获得在有效期内的绿色供应链管理体系认证证书，或实施供应商绿色化管理相关制度</w:t>
            </w:r>
          </w:p>
        </w:tc>
        <w:tc>
          <w:tcPr>
            <w:tcW w:w="824" w:type="pct"/>
            <w:tcBorders>
              <w:tl2br w:val="nil"/>
              <w:tr2bl w:val="nil"/>
            </w:tcBorders>
            <w:vAlign w:val="center"/>
          </w:tcPr>
          <w:p w14:paraId="02F68FD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749" w:type="pct"/>
            <w:vMerge w:val="continue"/>
            <w:tcBorders>
              <w:tl2br w:val="nil"/>
              <w:tr2bl w:val="nil"/>
            </w:tcBorders>
            <w:vAlign w:val="center"/>
          </w:tcPr>
          <w:p w14:paraId="03F0C11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bl>
    <w:p w14:paraId="7C84EA35">
      <w:pPr>
        <w:pStyle w:val="50"/>
        <w:outlineLvl w:val="0"/>
        <w:rPr>
          <w:rFonts w:ascii="Times New Roman"/>
          <w:highlight w:val="none"/>
        </w:rPr>
      </w:pPr>
      <w:bookmarkStart w:id="82" w:name="_Toc24755"/>
      <w:bookmarkStart w:id="83" w:name="_Toc31147"/>
      <w:bookmarkStart w:id="84" w:name="_Toc102992462"/>
      <w:r>
        <w:rPr>
          <w:rFonts w:hint="eastAsia" w:ascii="Times New Roman"/>
          <w:highlight w:val="none"/>
          <w:lang w:val="en-US" w:eastAsia="zh-CN"/>
        </w:rPr>
        <w:t>绿色低碳产业项目评价</w:t>
      </w:r>
      <w:bookmarkEnd w:id="82"/>
      <w:bookmarkEnd w:id="83"/>
    </w:p>
    <w:p w14:paraId="01775161">
      <w:pPr>
        <w:pStyle w:val="47"/>
        <w:keepNext w:val="0"/>
        <w:keepLines w:val="0"/>
        <w:pageBreakBefore w:val="0"/>
        <w:widowControl/>
        <w:kinsoku/>
        <w:wordWrap/>
        <w:overflowPunct/>
        <w:topLinePunct w:val="0"/>
        <w:autoSpaceDE/>
        <w:autoSpaceDN/>
        <w:bidi w:val="0"/>
        <w:adjustRightInd/>
        <w:snapToGrid/>
        <w:textAlignment w:val="auto"/>
        <w:outlineLvl w:val="1"/>
        <w:rPr>
          <w:rFonts w:hint="eastAsia"/>
          <w:highlight w:val="none"/>
          <w:lang w:val="en-US" w:eastAsia="zh-CN"/>
        </w:rPr>
      </w:pPr>
      <w:bookmarkStart w:id="85" w:name="_Toc11536"/>
      <w:r>
        <w:rPr>
          <w:rFonts w:hint="eastAsia"/>
          <w:highlight w:val="none"/>
          <w:lang w:val="en-US" w:eastAsia="zh-CN"/>
        </w:rPr>
        <w:t>符合性评价</w:t>
      </w:r>
      <w:bookmarkEnd w:id="85"/>
    </w:p>
    <w:p w14:paraId="392B9BFF">
      <w:pPr>
        <w:pStyle w:val="51"/>
        <w:bidi w:val="0"/>
        <w:rPr>
          <w:rFonts w:hint="eastAsia"/>
          <w:highlight w:val="none"/>
          <w:lang w:val="en-US" w:eastAsia="zh-CN"/>
        </w:rPr>
      </w:pPr>
      <w:r>
        <w:rPr>
          <w:rFonts w:hint="eastAsia"/>
          <w:highlight w:val="none"/>
          <w:lang w:val="en-US" w:eastAsia="zh-CN"/>
        </w:rPr>
        <w:t>目录符合</w:t>
      </w:r>
    </w:p>
    <w:p w14:paraId="30E28B07">
      <w:pPr>
        <w:pStyle w:val="26"/>
        <w:rPr>
          <w:rFonts w:hint="default"/>
          <w:highlight w:val="none"/>
          <w:lang w:val="en-US" w:eastAsia="zh-CN"/>
        </w:rPr>
      </w:pPr>
      <w:r>
        <w:rPr>
          <w:rFonts w:hint="eastAsia"/>
          <w:highlight w:val="none"/>
          <w:lang w:val="en-US" w:eastAsia="zh-CN"/>
        </w:rPr>
        <w:t>申报认定评价的项目应属于环境基础设施领域，或在当地具备一定市场规模、经相关政府职能部门认可的其他相关行业。</w:t>
      </w:r>
    </w:p>
    <w:p w14:paraId="771134FF">
      <w:pPr>
        <w:pStyle w:val="51"/>
        <w:bidi w:val="0"/>
        <w:rPr>
          <w:rFonts w:hint="eastAsia"/>
          <w:highlight w:val="none"/>
          <w:lang w:val="en-US" w:eastAsia="zh-CN"/>
        </w:rPr>
      </w:pPr>
      <w:r>
        <w:rPr>
          <w:rFonts w:hint="eastAsia"/>
          <w:highlight w:val="none"/>
          <w:lang w:val="en-US" w:eastAsia="zh-CN"/>
        </w:rPr>
        <w:t>技术符合</w:t>
      </w:r>
    </w:p>
    <w:p w14:paraId="64F264DE">
      <w:pPr>
        <w:pStyle w:val="26"/>
        <w:rPr>
          <w:rFonts w:ascii="Times New Roman"/>
          <w:highlight w:val="none"/>
        </w:rPr>
      </w:pPr>
      <w:r>
        <w:rPr>
          <w:rFonts w:ascii="Times New Roman"/>
          <w:highlight w:val="none"/>
        </w:rPr>
        <w:t>提供的产品或服务应符合国家、广东省及深圳市相关主管部门发布文件列明的有关设计、能效、性能、安全、贮存、回收、标识、验收、管理</w:t>
      </w:r>
      <w:r>
        <w:rPr>
          <w:rFonts w:hint="eastAsia" w:ascii="Times New Roman"/>
          <w:highlight w:val="none"/>
        </w:rPr>
        <w:t>和</w:t>
      </w:r>
      <w:r>
        <w:rPr>
          <w:rFonts w:ascii="Times New Roman"/>
          <w:highlight w:val="none"/>
        </w:rPr>
        <w:t>运维等技术要求。</w:t>
      </w:r>
    </w:p>
    <w:p w14:paraId="22415370">
      <w:pPr>
        <w:pStyle w:val="62"/>
        <w:bidi w:val="0"/>
        <w:rPr>
          <w:rFonts w:hint="default" w:ascii="Times New Roman"/>
          <w:highlight w:val="none"/>
          <w:lang w:val="en-US" w:eastAsia="zh-CN"/>
        </w:rPr>
      </w:pPr>
      <w:r>
        <w:rPr>
          <w:rFonts w:hint="eastAsia"/>
          <w:highlight w:val="none"/>
          <w:lang w:val="en-US" w:eastAsia="zh-CN"/>
        </w:rPr>
        <w:t>“绿色服务”类项目不参评“技术符合”指标。</w:t>
      </w:r>
    </w:p>
    <w:p w14:paraId="7D5AA812">
      <w:pPr>
        <w:pStyle w:val="47"/>
        <w:keepNext w:val="0"/>
        <w:keepLines w:val="0"/>
        <w:pageBreakBefore w:val="0"/>
        <w:widowControl/>
        <w:kinsoku/>
        <w:wordWrap/>
        <w:overflowPunct/>
        <w:topLinePunct w:val="0"/>
        <w:autoSpaceDE/>
        <w:autoSpaceDN/>
        <w:bidi w:val="0"/>
        <w:adjustRightInd/>
        <w:snapToGrid/>
        <w:textAlignment w:val="auto"/>
        <w:outlineLvl w:val="1"/>
        <w:rPr>
          <w:rFonts w:hint="eastAsia"/>
          <w:highlight w:val="none"/>
          <w:lang w:val="en-US" w:eastAsia="zh-CN"/>
        </w:rPr>
      </w:pPr>
      <w:bookmarkStart w:id="86" w:name="_Toc4922"/>
      <w:r>
        <w:rPr>
          <w:rFonts w:hint="eastAsia"/>
          <w:highlight w:val="none"/>
          <w:lang w:val="en-US" w:eastAsia="zh-CN"/>
        </w:rPr>
        <w:t>综合评价</w:t>
      </w:r>
      <w:bookmarkEnd w:id="86"/>
    </w:p>
    <w:p w14:paraId="59D8CE15">
      <w:pPr>
        <w:pStyle w:val="51"/>
        <w:bidi w:val="0"/>
        <w:rPr>
          <w:rFonts w:hint="eastAsia" w:ascii="Times New Roman" w:eastAsia="宋体"/>
          <w:highlight w:val="none"/>
          <w:lang w:val="en-US" w:eastAsia="zh-CN"/>
        </w:rPr>
      </w:pPr>
      <w:r>
        <w:rPr>
          <w:rFonts w:hint="eastAsia"/>
          <w:highlight w:val="none"/>
          <w:lang w:val="en-US" w:eastAsia="zh-CN"/>
        </w:rPr>
        <w:t>技术表现</w:t>
      </w:r>
    </w:p>
    <w:p w14:paraId="08519B4C">
      <w:pPr>
        <w:pStyle w:val="56"/>
        <w:numPr>
          <w:ilvl w:val="3"/>
          <w:numId w:val="2"/>
        </w:numPr>
        <w:spacing w:before="156" w:after="156"/>
        <w:rPr>
          <w:rFonts w:hint="eastAsia" w:ascii="Times New Roman" w:eastAsia="宋体"/>
          <w:highlight w:val="none"/>
          <w:lang w:val="en-US" w:eastAsia="zh-CN"/>
        </w:rPr>
      </w:pPr>
      <w:r>
        <w:rPr>
          <w:rFonts w:hint="eastAsia"/>
          <w:highlight w:val="none"/>
          <w:lang w:val="en-US" w:eastAsia="zh-CN"/>
        </w:rPr>
        <w:t>有效知识产权</w:t>
      </w:r>
    </w:p>
    <w:p w14:paraId="70680D34">
      <w:pPr>
        <w:pStyle w:val="60"/>
        <w:numPr>
          <w:ilvl w:val="-1"/>
          <w:numId w:val="0"/>
        </w:numPr>
        <w:adjustRightInd w:val="0"/>
        <w:ind w:firstLine="420" w:firstLineChars="200"/>
        <w:outlineLvl w:val="9"/>
        <w:rPr>
          <w:rFonts w:hint="eastAsia" w:ascii="Times New Roman" w:eastAsia="宋体"/>
          <w:highlight w:val="none"/>
          <w:lang w:val="en-US" w:eastAsia="zh-CN"/>
        </w:rPr>
      </w:pPr>
      <w:r>
        <w:rPr>
          <w:rFonts w:hint="eastAsia" w:ascii="宋体" w:hAnsi="宋体" w:eastAsia="宋体" w:cs="宋体"/>
          <w:highlight w:val="none"/>
          <w:lang w:val="en-US" w:eastAsia="zh-CN"/>
        </w:rPr>
        <w:t>从项目直接应用的、与环境基础设施领域相关的有效知识产权数量情况进行评价，具体类别及加权计算规则见5.2.1.1.1，具体评分规则见表18。</w:t>
      </w:r>
    </w:p>
    <w:p w14:paraId="09C57B0B">
      <w:pPr>
        <w:pStyle w:val="131"/>
        <w:ind w:left="0" w:firstLine="0"/>
        <w:rPr>
          <w:rFonts w:ascii="Times New Roman"/>
          <w:highlight w:val="none"/>
        </w:rPr>
      </w:pPr>
      <w:r>
        <w:rPr>
          <w:rFonts w:hint="eastAsia" w:ascii="Times New Roman"/>
          <w:highlight w:val="none"/>
          <w:lang w:val="en-US" w:eastAsia="zh-CN"/>
        </w:rPr>
        <w:t>有效知识产权</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96"/>
        <w:gridCol w:w="2970"/>
      </w:tblGrid>
      <w:tr w14:paraId="4160C8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3447" w:type="pct"/>
            <w:tcBorders>
              <w:bottom w:val="single" w:color="auto" w:sz="12" w:space="0"/>
            </w:tcBorders>
            <w:vAlign w:val="center"/>
          </w:tcPr>
          <w:p w14:paraId="555A9F6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有效知识产权</w:t>
            </w:r>
          </w:p>
        </w:tc>
        <w:tc>
          <w:tcPr>
            <w:tcW w:w="1552" w:type="pct"/>
            <w:tcBorders>
              <w:bottom w:val="single" w:color="auto" w:sz="12" w:space="0"/>
            </w:tcBorders>
            <w:vAlign w:val="center"/>
          </w:tcPr>
          <w:p w14:paraId="00D93B0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14:paraId="2697C0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3447" w:type="pct"/>
            <w:tcBorders>
              <w:top w:val="single" w:color="auto" w:sz="12" w:space="0"/>
              <w:tl2br w:val="nil"/>
              <w:tr2bl w:val="nil"/>
            </w:tcBorders>
            <w:vAlign w:val="center"/>
          </w:tcPr>
          <w:p w14:paraId="7B817D1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有效知识产权应用数量处于行业领先水平</w:t>
            </w:r>
          </w:p>
        </w:tc>
        <w:tc>
          <w:tcPr>
            <w:tcW w:w="1552" w:type="pct"/>
            <w:tcBorders>
              <w:top w:val="single" w:color="auto" w:sz="12" w:space="0"/>
              <w:tl2br w:val="nil"/>
              <w:tr2bl w:val="nil"/>
            </w:tcBorders>
            <w:vAlign w:val="center"/>
          </w:tcPr>
          <w:p w14:paraId="1F4BBD7E">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r>
              <w:rPr>
                <w:rFonts w:hint="eastAsia" w:hAnsi="宋体" w:cs="宋体"/>
                <w:sz w:val="18"/>
                <w:szCs w:val="18"/>
                <w:highlight w:val="none"/>
                <w:lang w:val="en-US" w:eastAsia="zh-CN"/>
              </w:rPr>
              <w:t>15</w:t>
            </w:r>
            <w:r>
              <w:rPr>
                <w:rFonts w:hint="eastAsia" w:hAnsi="宋体" w:cs="宋体"/>
                <w:sz w:val="18"/>
                <w:szCs w:val="18"/>
                <w:highlight w:val="none"/>
              </w:rPr>
              <w:t>]</w:t>
            </w:r>
          </w:p>
        </w:tc>
      </w:tr>
      <w:tr w14:paraId="2144C0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3447" w:type="pct"/>
            <w:tcBorders>
              <w:tl2br w:val="nil"/>
              <w:tr2bl w:val="nil"/>
            </w:tcBorders>
            <w:vAlign w:val="center"/>
          </w:tcPr>
          <w:p w14:paraId="0E07A67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有效知识产权应用数量处于行业良好水平</w:t>
            </w:r>
          </w:p>
        </w:tc>
        <w:tc>
          <w:tcPr>
            <w:tcW w:w="1552" w:type="pct"/>
            <w:tcBorders>
              <w:tl2br w:val="nil"/>
              <w:tr2bl w:val="nil"/>
            </w:tcBorders>
            <w:vAlign w:val="center"/>
          </w:tcPr>
          <w:p w14:paraId="05952EB6">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(5,10]</w:t>
            </w:r>
          </w:p>
        </w:tc>
      </w:tr>
      <w:tr w14:paraId="0C7742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jc w:val="center"/>
        </w:trPr>
        <w:tc>
          <w:tcPr>
            <w:tcW w:w="3447" w:type="pct"/>
            <w:tcBorders>
              <w:tl2br w:val="nil"/>
              <w:tr2bl w:val="nil"/>
            </w:tcBorders>
            <w:vAlign w:val="center"/>
          </w:tcPr>
          <w:p w14:paraId="19FECFB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有效知识产权应用数量处于行业一般水平</w:t>
            </w:r>
          </w:p>
        </w:tc>
        <w:tc>
          <w:tcPr>
            <w:tcW w:w="1552" w:type="pct"/>
            <w:tcBorders>
              <w:tl2br w:val="nil"/>
              <w:tr2bl w:val="nil"/>
            </w:tcBorders>
            <w:vAlign w:val="center"/>
          </w:tcPr>
          <w:p w14:paraId="3F938DA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[0,5]</w:t>
            </w:r>
          </w:p>
        </w:tc>
      </w:tr>
    </w:tbl>
    <w:p w14:paraId="197ED573">
      <w:pPr>
        <w:pStyle w:val="56"/>
        <w:numPr>
          <w:ilvl w:val="3"/>
          <w:numId w:val="2"/>
        </w:numPr>
        <w:spacing w:before="156" w:after="156"/>
        <w:rPr>
          <w:rFonts w:hint="default" w:ascii="Times New Roman" w:eastAsia="宋体"/>
          <w:highlight w:val="none"/>
          <w:lang w:val="en-US" w:eastAsia="zh-CN"/>
        </w:rPr>
      </w:pPr>
      <w:r>
        <w:rPr>
          <w:rFonts w:hint="eastAsia"/>
          <w:highlight w:val="none"/>
          <w:lang w:val="en-US" w:eastAsia="zh-CN"/>
        </w:rPr>
        <w:t>关键技术先进性</w:t>
      </w:r>
    </w:p>
    <w:p w14:paraId="68BB08DF">
      <w:pPr>
        <w:pStyle w:val="60"/>
        <w:numPr>
          <w:ilvl w:val="-1"/>
          <w:numId w:val="0"/>
        </w:numPr>
        <w:bidi w:val="0"/>
        <w:adjustRightInd w:val="0"/>
        <w:spacing w:before="156" w:after="156"/>
        <w:ind w:firstLine="420" w:firstLineChars="200"/>
        <w:outlineLvl w:val="9"/>
        <w:rPr>
          <w:rFonts w:hint="eastAsia" w:ascii="宋体" w:hAnsi="宋体" w:eastAsia="宋体" w:cs="宋体"/>
          <w:highlight w:val="none"/>
          <w:lang w:val="en-US" w:eastAsia="zh-CN"/>
        </w:rPr>
      </w:pPr>
      <w:r>
        <w:rPr>
          <w:rFonts w:hint="eastAsia" w:ascii="宋体" w:hAnsi="宋体" w:eastAsia="宋体" w:cs="宋体"/>
          <w:highlight w:val="none"/>
          <w:lang w:val="en-US" w:eastAsia="zh-CN"/>
        </w:rPr>
        <w:t>具体评价内容见5.2.1.1.3，</w:t>
      </w:r>
      <w:r>
        <w:rPr>
          <w:rFonts w:hint="eastAsia" w:ascii="Times New Roman" w:eastAsia="宋体"/>
          <w:highlight w:val="none"/>
          <w:lang w:val="en-US" w:eastAsia="zh-CN"/>
        </w:rPr>
        <w:t>具体评分规则</w:t>
      </w:r>
      <w:r>
        <w:rPr>
          <w:rFonts w:hint="eastAsia" w:ascii="宋体" w:hAnsi="宋体" w:eastAsia="宋体" w:cs="宋体"/>
          <w:highlight w:val="none"/>
          <w:lang w:val="en-US" w:eastAsia="zh-CN"/>
        </w:rPr>
        <w:t>见表19。</w:t>
      </w:r>
    </w:p>
    <w:p w14:paraId="1F52C07A">
      <w:pPr>
        <w:pStyle w:val="131"/>
        <w:ind w:left="0" w:firstLine="0"/>
        <w:rPr>
          <w:rFonts w:ascii="Times New Roman"/>
          <w:highlight w:val="none"/>
        </w:rPr>
      </w:pPr>
      <w:r>
        <w:rPr>
          <w:rFonts w:hint="eastAsia" w:ascii="Times New Roman"/>
          <w:highlight w:val="none"/>
          <w:lang w:val="en-US" w:eastAsia="zh-CN"/>
        </w:rPr>
        <w:t>关键技术先进性</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9"/>
        <w:gridCol w:w="2957"/>
      </w:tblGrid>
      <w:tr w14:paraId="79262A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tblHeader/>
          <w:jc w:val="center"/>
        </w:trPr>
        <w:tc>
          <w:tcPr>
            <w:tcW w:w="3454" w:type="pct"/>
            <w:tcBorders>
              <w:bottom w:val="single" w:color="auto" w:sz="12" w:space="0"/>
            </w:tcBorders>
            <w:vAlign w:val="center"/>
          </w:tcPr>
          <w:p w14:paraId="02AD0139">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关键技术先进性</w:t>
            </w:r>
          </w:p>
        </w:tc>
        <w:tc>
          <w:tcPr>
            <w:tcW w:w="1545" w:type="pct"/>
            <w:tcBorders>
              <w:bottom w:val="single" w:color="auto" w:sz="12" w:space="0"/>
            </w:tcBorders>
            <w:vAlign w:val="center"/>
          </w:tcPr>
          <w:p w14:paraId="76128FB5">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14:paraId="2FC57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tblHeader/>
          <w:jc w:val="center"/>
        </w:trPr>
        <w:tc>
          <w:tcPr>
            <w:tcW w:w="3454" w:type="pct"/>
            <w:tcBorders>
              <w:top w:val="single" w:color="auto" w:sz="12" w:space="0"/>
              <w:tl2br w:val="nil"/>
              <w:tr2bl w:val="nil"/>
            </w:tcBorders>
            <w:vAlign w:val="center"/>
          </w:tcPr>
          <w:p w14:paraId="6282CC8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关键技术处于行业领先水平，具有显著技术引领作用</w:t>
            </w:r>
          </w:p>
        </w:tc>
        <w:tc>
          <w:tcPr>
            <w:tcW w:w="1545" w:type="pct"/>
            <w:tcBorders>
              <w:top w:val="single" w:color="auto" w:sz="12" w:space="0"/>
              <w:tl2br w:val="nil"/>
              <w:tr2bl w:val="nil"/>
            </w:tcBorders>
            <w:vAlign w:val="center"/>
          </w:tcPr>
          <w:p w14:paraId="2A8A0BC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20</w:t>
            </w:r>
            <w:r>
              <w:rPr>
                <w:rFonts w:hint="eastAsia" w:hAnsi="宋体" w:cs="宋体"/>
                <w:sz w:val="18"/>
                <w:szCs w:val="18"/>
                <w:highlight w:val="none"/>
              </w:rPr>
              <w:t>,</w:t>
            </w:r>
            <w:r>
              <w:rPr>
                <w:rFonts w:hint="eastAsia" w:hAnsi="宋体" w:cs="宋体"/>
                <w:sz w:val="18"/>
                <w:szCs w:val="18"/>
                <w:highlight w:val="none"/>
                <w:lang w:val="en-US" w:eastAsia="zh-CN"/>
              </w:rPr>
              <w:t>25</w:t>
            </w:r>
            <w:r>
              <w:rPr>
                <w:rFonts w:hint="eastAsia" w:hAnsi="宋体" w:cs="宋体"/>
                <w:sz w:val="18"/>
                <w:szCs w:val="18"/>
                <w:highlight w:val="none"/>
              </w:rPr>
              <w:t>]</w:t>
            </w:r>
          </w:p>
        </w:tc>
      </w:tr>
      <w:tr w14:paraId="7C26D5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tblHeader/>
          <w:jc w:val="center"/>
        </w:trPr>
        <w:tc>
          <w:tcPr>
            <w:tcW w:w="3454" w:type="pct"/>
            <w:tcBorders>
              <w:tl2br w:val="nil"/>
              <w:tr2bl w:val="nil"/>
            </w:tcBorders>
            <w:vAlign w:val="center"/>
          </w:tcPr>
          <w:p w14:paraId="417CAA32">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关键技术处于行业较好水平，具有一定技术推动作用</w:t>
            </w:r>
          </w:p>
        </w:tc>
        <w:tc>
          <w:tcPr>
            <w:tcW w:w="1545" w:type="pct"/>
            <w:tcBorders>
              <w:tl2br w:val="nil"/>
              <w:tr2bl w:val="nil"/>
            </w:tcBorders>
            <w:vAlign w:val="center"/>
          </w:tcPr>
          <w:p w14:paraId="21A6BFBE">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(10,20]</w:t>
            </w:r>
          </w:p>
        </w:tc>
      </w:tr>
      <w:tr w14:paraId="4553E5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tblHeader/>
          <w:jc w:val="center"/>
        </w:trPr>
        <w:tc>
          <w:tcPr>
            <w:tcW w:w="3454" w:type="pct"/>
            <w:tcBorders>
              <w:tl2br w:val="nil"/>
              <w:tr2bl w:val="nil"/>
            </w:tcBorders>
            <w:vAlign w:val="center"/>
          </w:tcPr>
          <w:p w14:paraId="29345519">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关键技术处于行业平均水平</w:t>
            </w:r>
          </w:p>
        </w:tc>
        <w:tc>
          <w:tcPr>
            <w:tcW w:w="1545" w:type="pct"/>
            <w:tcBorders>
              <w:tl2br w:val="nil"/>
              <w:tr2bl w:val="nil"/>
            </w:tcBorders>
            <w:vAlign w:val="center"/>
          </w:tcPr>
          <w:p w14:paraId="4D94E51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(0,10]</w:t>
            </w:r>
          </w:p>
        </w:tc>
      </w:tr>
      <w:tr w14:paraId="3943A7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6" w:hRule="exact"/>
          <w:tblHeader/>
          <w:jc w:val="center"/>
        </w:trPr>
        <w:tc>
          <w:tcPr>
            <w:tcW w:w="3454" w:type="pct"/>
            <w:tcBorders>
              <w:tl2br w:val="nil"/>
              <w:tr2bl w:val="nil"/>
            </w:tcBorders>
            <w:vAlign w:val="center"/>
          </w:tcPr>
          <w:p w14:paraId="3F498A09">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1545" w:type="pct"/>
            <w:tcBorders>
              <w:tl2br w:val="nil"/>
              <w:tr2bl w:val="nil"/>
            </w:tcBorders>
            <w:vAlign w:val="center"/>
          </w:tcPr>
          <w:p w14:paraId="3FA2C658">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0</w:t>
            </w:r>
          </w:p>
        </w:tc>
      </w:tr>
    </w:tbl>
    <w:p w14:paraId="5FF93A7F">
      <w:pPr>
        <w:pStyle w:val="56"/>
        <w:numPr>
          <w:ilvl w:val="3"/>
          <w:numId w:val="2"/>
        </w:numPr>
        <w:spacing w:before="156" w:after="156"/>
        <w:rPr>
          <w:rFonts w:hint="eastAsia" w:ascii="Times New Roman" w:eastAsia="宋体"/>
          <w:highlight w:val="none"/>
          <w:lang w:val="en-US" w:eastAsia="zh-CN"/>
        </w:rPr>
      </w:pPr>
      <w:r>
        <w:rPr>
          <w:rFonts w:hint="eastAsia" w:ascii="黑体" w:eastAsia="黑体"/>
          <w:highlight w:val="none"/>
          <w:lang w:val="en-US" w:eastAsia="zh-CN"/>
        </w:rPr>
        <w:t>环境效益</w:t>
      </w:r>
    </w:p>
    <w:p w14:paraId="3BCC0240">
      <w:pPr>
        <w:pStyle w:val="26"/>
        <w:numPr>
          <w:ilvl w:val="-1"/>
          <w:numId w:val="0"/>
        </w:numPr>
        <w:spacing w:before="156" w:after="156"/>
        <w:ind w:firstLine="420" w:firstLineChars="200"/>
        <w:rPr>
          <w:rFonts w:hint="eastAsia" w:ascii="Times New Roman" w:eastAsia="宋体"/>
          <w:highlight w:val="none"/>
          <w:lang w:val="en-US" w:eastAsia="zh-CN"/>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见5.2.1.2，环境效益指标及测算方法见附录B</w:t>
      </w:r>
      <w:r>
        <w:rPr>
          <w:rFonts w:hint="eastAsia" w:hAnsi="宋体" w:cs="宋体"/>
          <w:highlight w:val="none"/>
          <w:lang w:eastAsia="zh-CN"/>
        </w:rPr>
        <w:t>，</w:t>
      </w:r>
      <w:r>
        <w:rPr>
          <w:rFonts w:hint="eastAsia" w:ascii="宋体" w:hAnsi="宋体" w:eastAsia="宋体" w:cs="宋体"/>
          <w:highlight w:val="none"/>
          <w:lang w:val="en-US" w:eastAsia="zh-CN"/>
        </w:rPr>
        <w:t>具体评分规则见表</w:t>
      </w:r>
      <w:r>
        <w:rPr>
          <w:rFonts w:hint="eastAsia" w:hAnsi="宋体" w:cs="宋体"/>
          <w:highlight w:val="none"/>
          <w:lang w:val="en-US" w:eastAsia="zh-CN"/>
        </w:rPr>
        <w:t>20</w:t>
      </w:r>
      <w:r>
        <w:rPr>
          <w:rFonts w:hint="eastAsia" w:ascii="宋体" w:hAnsi="宋体" w:eastAsia="宋体" w:cs="宋体"/>
          <w:highlight w:val="none"/>
          <w:lang w:val="en-US" w:eastAsia="zh-CN"/>
        </w:rPr>
        <w:t>。</w:t>
      </w:r>
    </w:p>
    <w:p w14:paraId="4D66936D">
      <w:pPr>
        <w:pStyle w:val="131"/>
        <w:ind w:left="0" w:firstLine="0"/>
        <w:rPr>
          <w:rFonts w:ascii="Times New Roman"/>
          <w:highlight w:val="none"/>
        </w:rPr>
      </w:pPr>
      <w:r>
        <w:rPr>
          <w:rFonts w:hint="eastAsia" w:ascii="Times New Roman"/>
          <w:highlight w:val="none"/>
          <w:lang w:val="en-US" w:eastAsia="zh-CN"/>
        </w:rPr>
        <w:t>环境效益</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36"/>
        <w:gridCol w:w="2930"/>
      </w:tblGrid>
      <w:tr w14:paraId="3E14E9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3468" w:type="pct"/>
            <w:tcBorders>
              <w:bottom w:val="single" w:color="auto" w:sz="12" w:space="0"/>
            </w:tcBorders>
            <w:vAlign w:val="center"/>
          </w:tcPr>
          <w:p w14:paraId="2FA95286">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环境效益水平</w:t>
            </w:r>
          </w:p>
        </w:tc>
        <w:tc>
          <w:tcPr>
            <w:tcW w:w="1531" w:type="pct"/>
            <w:tcBorders>
              <w:bottom w:val="single" w:color="auto" w:sz="12" w:space="0"/>
            </w:tcBorders>
            <w:vAlign w:val="center"/>
          </w:tcPr>
          <w:p w14:paraId="6791C5A1">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分值（分）</w:t>
            </w:r>
          </w:p>
        </w:tc>
      </w:tr>
      <w:tr w14:paraId="057DF7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3468" w:type="pct"/>
            <w:tcBorders>
              <w:top w:val="single" w:color="auto" w:sz="12" w:space="0"/>
              <w:tl2br w:val="nil"/>
              <w:tr2bl w:val="nil"/>
            </w:tcBorders>
            <w:vAlign w:val="center"/>
          </w:tcPr>
          <w:p w14:paraId="306C0B1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rPr>
            </w:pPr>
            <w:r>
              <w:rPr>
                <w:rFonts w:hint="eastAsia" w:hAnsi="宋体" w:cs="宋体"/>
                <w:sz w:val="18"/>
                <w:szCs w:val="18"/>
                <w:highlight w:val="none"/>
                <w:lang w:val="en-US" w:eastAsia="zh-CN"/>
              </w:rPr>
              <w:t>取得的环境效益效果显著，处于行业领先水平</w:t>
            </w:r>
          </w:p>
        </w:tc>
        <w:tc>
          <w:tcPr>
            <w:tcW w:w="1531" w:type="pct"/>
            <w:tcBorders>
              <w:top w:val="single" w:color="auto" w:sz="12" w:space="0"/>
              <w:tl2br w:val="nil"/>
              <w:tr2bl w:val="nil"/>
            </w:tcBorders>
            <w:vAlign w:val="center"/>
          </w:tcPr>
          <w:p w14:paraId="61E225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15</w:t>
            </w:r>
            <w:r>
              <w:rPr>
                <w:rFonts w:hint="eastAsia" w:hAnsi="宋体" w:cs="宋体"/>
                <w:sz w:val="18"/>
                <w:szCs w:val="18"/>
                <w:highlight w:val="none"/>
              </w:rPr>
              <w:t>,</w:t>
            </w:r>
            <w:r>
              <w:rPr>
                <w:rFonts w:hint="eastAsia" w:hAnsi="宋体" w:cs="宋体"/>
                <w:sz w:val="18"/>
                <w:szCs w:val="18"/>
                <w:highlight w:val="none"/>
                <w:lang w:val="en-US" w:eastAsia="zh-CN"/>
              </w:rPr>
              <w:t>20</w:t>
            </w:r>
            <w:r>
              <w:rPr>
                <w:rFonts w:hint="eastAsia" w:hAnsi="宋体" w:cs="宋体"/>
                <w:sz w:val="18"/>
                <w:szCs w:val="18"/>
                <w:highlight w:val="none"/>
              </w:rPr>
              <w:t>]</w:t>
            </w:r>
          </w:p>
        </w:tc>
      </w:tr>
      <w:tr w14:paraId="19B894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3468" w:type="pct"/>
            <w:tcBorders>
              <w:tl2br w:val="nil"/>
              <w:tr2bl w:val="nil"/>
            </w:tcBorders>
            <w:vAlign w:val="center"/>
          </w:tcPr>
          <w:p w14:paraId="5103AEE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取得的环境效益效果较好，处于行业良好水平</w:t>
            </w:r>
          </w:p>
        </w:tc>
        <w:tc>
          <w:tcPr>
            <w:tcW w:w="1531" w:type="pct"/>
            <w:tcBorders>
              <w:tl2br w:val="nil"/>
              <w:tr2bl w:val="nil"/>
            </w:tcBorders>
            <w:vAlign w:val="center"/>
          </w:tcPr>
          <w:p w14:paraId="21FCB40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(10,15]</w:t>
            </w:r>
          </w:p>
        </w:tc>
      </w:tr>
      <w:tr w14:paraId="5BD692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468" w:type="pct"/>
            <w:tcBorders>
              <w:tl2br w:val="nil"/>
              <w:tr2bl w:val="nil"/>
            </w:tcBorders>
            <w:vAlign w:val="center"/>
          </w:tcPr>
          <w:p w14:paraId="5BF4E15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取得的环境效益效果一般，处于行业一般水平</w:t>
            </w:r>
          </w:p>
        </w:tc>
        <w:tc>
          <w:tcPr>
            <w:tcW w:w="1531" w:type="pct"/>
            <w:tcBorders>
              <w:tl2br w:val="nil"/>
              <w:tr2bl w:val="nil"/>
            </w:tcBorders>
            <w:vAlign w:val="center"/>
          </w:tcPr>
          <w:p w14:paraId="3A3FC34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[0,10]</w:t>
            </w:r>
          </w:p>
        </w:tc>
      </w:tr>
    </w:tbl>
    <w:p w14:paraId="00371B8B">
      <w:pPr>
        <w:pStyle w:val="51"/>
        <w:bidi w:val="0"/>
        <w:rPr>
          <w:rFonts w:hint="eastAsia" w:ascii="Times New Roman" w:eastAsia="宋体"/>
          <w:highlight w:val="none"/>
          <w:lang w:val="en-US" w:eastAsia="zh-CN"/>
        </w:rPr>
      </w:pPr>
      <w:r>
        <w:rPr>
          <w:rFonts w:hint="default" w:ascii="黑体" w:eastAsia="黑体"/>
          <w:highlight w:val="none"/>
          <w:lang w:val="en-US" w:eastAsia="zh-CN"/>
        </w:rPr>
        <w:t>环境表现</w:t>
      </w:r>
    </w:p>
    <w:p w14:paraId="3EE4030F">
      <w:pPr>
        <w:pStyle w:val="56"/>
        <w:numPr>
          <w:ilvl w:val="3"/>
          <w:numId w:val="2"/>
        </w:numPr>
        <w:spacing w:before="156" w:after="156"/>
        <w:ind w:left="0" w:firstLine="0"/>
        <w:rPr>
          <w:rFonts w:hint="eastAsia" w:ascii="Times New Roman" w:eastAsia="宋体"/>
          <w:highlight w:val="none"/>
          <w:lang w:val="en-US" w:eastAsia="zh-CN"/>
        </w:rPr>
      </w:pPr>
      <w:r>
        <w:rPr>
          <w:rFonts w:hint="eastAsia" w:ascii="黑体" w:eastAsia="黑体"/>
          <w:highlight w:val="none"/>
          <w:lang w:val="en-US" w:eastAsia="zh-CN"/>
        </w:rPr>
        <w:t>绿色</w:t>
      </w:r>
      <w:r>
        <w:rPr>
          <w:rFonts w:hint="eastAsia"/>
          <w:highlight w:val="none"/>
          <w:lang w:val="en-US" w:eastAsia="zh-CN"/>
        </w:rPr>
        <w:t>低碳</w:t>
      </w:r>
      <w:r>
        <w:rPr>
          <w:rFonts w:hint="eastAsia" w:ascii="黑体" w:eastAsia="黑体"/>
          <w:highlight w:val="none"/>
          <w:lang w:val="en-US" w:eastAsia="zh-CN"/>
        </w:rPr>
        <w:t>运营</w:t>
      </w:r>
    </w:p>
    <w:p w14:paraId="45B6B748">
      <w:pPr>
        <w:pStyle w:val="26"/>
        <w:rPr>
          <w:rFonts w:hint="eastAsia"/>
          <w:highlight w:val="none"/>
          <w:lang w:val="en-US" w:eastAsia="zh-CN"/>
        </w:rPr>
      </w:pPr>
      <w:r>
        <w:rPr>
          <w:rFonts w:hint="eastAsia"/>
          <w:highlight w:val="none"/>
          <w:lang w:val="en-US" w:eastAsia="zh-CN"/>
        </w:rPr>
        <w:t>从单位总投资综合能耗、单位总投资用水量、单位总投资用地面积、单位总投资碳排放量、可再生能源占比等方面进行综合评估，</w:t>
      </w:r>
      <w:r>
        <w:rPr>
          <w:rFonts w:hint="eastAsia" w:hAnsi="宋体" w:cs="宋体"/>
          <w:highlight w:val="none"/>
          <w:lang w:val="en-US" w:eastAsia="zh-CN"/>
        </w:rPr>
        <w:t>具体评分规则见表21</w:t>
      </w:r>
      <w:r>
        <w:rPr>
          <w:rFonts w:hint="eastAsia"/>
          <w:highlight w:val="none"/>
          <w:lang w:val="en-US" w:eastAsia="zh-CN"/>
        </w:rPr>
        <w:t>。</w:t>
      </w:r>
    </w:p>
    <w:p w14:paraId="42E048E2">
      <w:pPr>
        <w:widowControl w:val="0"/>
        <w:numPr>
          <w:ilvl w:val="0"/>
          <w:numId w:val="6"/>
        </w:numPr>
        <w:autoSpaceDE w:val="0"/>
        <w:autoSpaceDN w:val="0"/>
        <w:bidi w:val="0"/>
        <w:jc w:val="both"/>
        <w:rPr>
          <w:rFonts w:hint="eastAsia"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可再生能源占比具体评价内容见5.2.3.3。</w:t>
      </w:r>
    </w:p>
    <w:p w14:paraId="4C3A5ECA">
      <w:pPr>
        <w:pStyle w:val="131"/>
        <w:ind w:left="0" w:firstLine="0"/>
        <w:rPr>
          <w:rFonts w:ascii="Times New Roman"/>
          <w:highlight w:val="none"/>
        </w:rPr>
      </w:pPr>
      <w:r>
        <w:rPr>
          <w:rFonts w:hint="eastAsia" w:ascii="Times New Roman"/>
          <w:highlight w:val="none"/>
          <w:lang w:val="en-US" w:eastAsia="zh-CN"/>
        </w:rPr>
        <w:t>绿色低碳运营</w:t>
      </w:r>
      <w:r>
        <w:rPr>
          <w:rFonts w:ascii="Times New Roman"/>
          <w:highlight w:val="none"/>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01"/>
        <w:gridCol w:w="4658"/>
      </w:tblGrid>
      <w:tr w14:paraId="32CEC3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2563" w:type="pct"/>
            <w:tcBorders>
              <w:bottom w:val="single" w:color="auto" w:sz="12" w:space="0"/>
            </w:tcBorders>
            <w:vAlign w:val="center"/>
          </w:tcPr>
          <w:p w14:paraId="4F3BBBCE">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项目投资水平</w:t>
            </w:r>
          </w:p>
        </w:tc>
        <w:tc>
          <w:tcPr>
            <w:tcW w:w="2436" w:type="pct"/>
            <w:tcBorders>
              <w:bottom w:val="single" w:color="auto" w:sz="12" w:space="0"/>
            </w:tcBorders>
            <w:vAlign w:val="center"/>
          </w:tcPr>
          <w:p w14:paraId="46C6B88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评分依据及分值</w:t>
            </w:r>
            <w:r>
              <w:rPr>
                <w:rFonts w:hint="eastAsia" w:ascii="Times New Roman"/>
                <w:b/>
                <w:bCs/>
                <w:sz w:val="18"/>
                <w:szCs w:val="18"/>
                <w:highlight w:val="none"/>
              </w:rPr>
              <w:t>（分）</w:t>
            </w:r>
          </w:p>
        </w:tc>
      </w:tr>
      <w:tr w14:paraId="7E93C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563" w:type="pct"/>
            <w:tcBorders>
              <w:top w:val="single" w:color="auto" w:sz="12" w:space="0"/>
              <w:tl2br w:val="nil"/>
              <w:tr2bl w:val="nil"/>
            </w:tcBorders>
            <w:vAlign w:val="center"/>
          </w:tcPr>
          <w:p w14:paraId="3928A76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单位总投资综合能耗</w:t>
            </w:r>
          </w:p>
        </w:tc>
        <w:tc>
          <w:tcPr>
            <w:tcW w:w="2436" w:type="pct"/>
            <w:vMerge w:val="restart"/>
            <w:tcBorders>
              <w:top w:val="single" w:color="auto" w:sz="12" w:space="0"/>
              <w:tl2br w:val="nil"/>
              <w:tr2bl w:val="nil"/>
            </w:tcBorders>
            <w:vAlign w:val="center"/>
          </w:tcPr>
          <w:p w14:paraId="6FF3DD06">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五项指标达到业内领先水平(16,20]</w:t>
            </w:r>
          </w:p>
          <w:p w14:paraId="69796096">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四项指标达到业内领先水平(12,16]</w:t>
            </w:r>
          </w:p>
          <w:p w14:paraId="0EE14C87">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三项指标达到业内领先水平(8,12]</w:t>
            </w:r>
          </w:p>
          <w:p w14:paraId="20235C9E">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两项指标达到业内领先水平(4,8]</w:t>
            </w:r>
          </w:p>
          <w:p w14:paraId="0990713E">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一项指标达到业内领先水平(0,4]</w:t>
            </w:r>
          </w:p>
        </w:tc>
      </w:tr>
      <w:tr w14:paraId="2FC652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2563" w:type="pct"/>
            <w:tcBorders>
              <w:tl2br w:val="nil"/>
              <w:tr2bl w:val="nil"/>
            </w:tcBorders>
            <w:vAlign w:val="center"/>
          </w:tcPr>
          <w:p w14:paraId="34E938F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单位总投资用水量</w:t>
            </w:r>
          </w:p>
        </w:tc>
        <w:tc>
          <w:tcPr>
            <w:tcW w:w="2436" w:type="pct"/>
            <w:vMerge w:val="continue"/>
            <w:tcBorders>
              <w:tl2br w:val="nil"/>
              <w:tr2bl w:val="nil"/>
            </w:tcBorders>
            <w:vAlign w:val="center"/>
          </w:tcPr>
          <w:p w14:paraId="47C62A5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2477A2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2563" w:type="pct"/>
            <w:tcBorders>
              <w:tl2br w:val="nil"/>
              <w:tr2bl w:val="nil"/>
            </w:tcBorders>
            <w:vAlign w:val="center"/>
          </w:tcPr>
          <w:p w14:paraId="1F7CD0C5">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单位总投资用地面积</w:t>
            </w:r>
          </w:p>
        </w:tc>
        <w:tc>
          <w:tcPr>
            <w:tcW w:w="2436" w:type="pct"/>
            <w:vMerge w:val="continue"/>
            <w:tcBorders>
              <w:tl2br w:val="nil"/>
              <w:tr2bl w:val="nil"/>
            </w:tcBorders>
            <w:vAlign w:val="center"/>
          </w:tcPr>
          <w:p w14:paraId="33C95CB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r>
      <w:tr w14:paraId="047EBE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2" w:hRule="atLeast"/>
          <w:jc w:val="center"/>
        </w:trPr>
        <w:tc>
          <w:tcPr>
            <w:tcW w:w="2563" w:type="pct"/>
            <w:tcBorders>
              <w:tl2br w:val="nil"/>
              <w:tr2bl w:val="nil"/>
            </w:tcBorders>
            <w:vAlign w:val="center"/>
          </w:tcPr>
          <w:p w14:paraId="55887F73">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单位总投资碳排放量</w:t>
            </w:r>
          </w:p>
        </w:tc>
        <w:tc>
          <w:tcPr>
            <w:tcW w:w="2436" w:type="pct"/>
            <w:vMerge w:val="continue"/>
            <w:tcBorders>
              <w:tl2br w:val="nil"/>
              <w:tr2bl w:val="nil"/>
            </w:tcBorders>
            <w:vAlign w:val="center"/>
          </w:tcPr>
          <w:p w14:paraId="2C2431B8">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r>
      <w:tr w14:paraId="612987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2563" w:type="pct"/>
            <w:tcBorders>
              <w:tl2br w:val="nil"/>
              <w:tr2bl w:val="nil"/>
            </w:tcBorders>
            <w:vAlign w:val="center"/>
          </w:tcPr>
          <w:p w14:paraId="4663489B">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可再生能源占比</w:t>
            </w:r>
          </w:p>
        </w:tc>
        <w:tc>
          <w:tcPr>
            <w:tcW w:w="2436" w:type="pct"/>
            <w:vMerge w:val="continue"/>
            <w:tcBorders>
              <w:tl2br w:val="nil"/>
              <w:tr2bl w:val="nil"/>
            </w:tcBorders>
            <w:vAlign w:val="center"/>
          </w:tcPr>
          <w:p w14:paraId="431A0D74">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p>
        </w:tc>
      </w:tr>
    </w:tbl>
    <w:p w14:paraId="44311CB5">
      <w:pPr>
        <w:pStyle w:val="56"/>
        <w:numPr>
          <w:ilvl w:val="3"/>
          <w:numId w:val="2"/>
        </w:numPr>
        <w:spacing w:before="156" w:after="156"/>
        <w:rPr>
          <w:rFonts w:ascii="Times New Roman"/>
          <w:highlight w:val="none"/>
        </w:rPr>
      </w:pPr>
      <w:r>
        <w:rPr>
          <w:rFonts w:ascii="Times New Roman"/>
          <w:highlight w:val="none"/>
        </w:rPr>
        <w:t>工艺设备材料</w:t>
      </w:r>
    </w:p>
    <w:p w14:paraId="26E50697">
      <w:pPr>
        <w:pStyle w:val="26"/>
        <w:rPr>
          <w:rFonts w:ascii="Times New Roman"/>
          <w:highlight w:val="none"/>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见5.2.3.2</w:t>
      </w:r>
      <w:r>
        <w:rPr>
          <w:rFonts w:hint="eastAsia" w:ascii="宋体" w:hAnsi="宋体" w:eastAsia="宋体" w:cs="宋体"/>
          <w:highlight w:val="none"/>
          <w:lang w:val="en-US" w:eastAsia="zh-CN"/>
        </w:rPr>
        <w:t>，</w:t>
      </w:r>
      <w:r>
        <w:rPr>
          <w:rFonts w:hint="eastAsia" w:hAnsi="宋体" w:cs="宋体"/>
          <w:highlight w:val="none"/>
        </w:rPr>
        <w:t>具体评分规则见表</w:t>
      </w:r>
      <w:r>
        <w:rPr>
          <w:rFonts w:hint="eastAsia" w:hAnsi="宋体" w:cs="宋体"/>
          <w:highlight w:val="none"/>
          <w:lang w:val="en-US" w:eastAsia="zh-CN"/>
        </w:rPr>
        <w:t>22</w:t>
      </w:r>
      <w:r>
        <w:rPr>
          <w:rFonts w:hint="eastAsia" w:hAnsi="宋体" w:cs="宋体"/>
          <w:highlight w:val="none"/>
        </w:rPr>
        <w:t>。</w:t>
      </w:r>
    </w:p>
    <w:p w14:paraId="72EAA5A5">
      <w:pPr>
        <w:pStyle w:val="131"/>
        <w:ind w:left="0" w:firstLine="0"/>
        <w:rPr>
          <w:rFonts w:ascii="Times New Roman"/>
          <w:highlight w:val="none"/>
        </w:rPr>
      </w:pPr>
      <w:r>
        <w:rPr>
          <w:rFonts w:ascii="Times New Roman"/>
          <w:highlight w:val="none"/>
        </w:rPr>
        <w:t>工艺设备材料评分规则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49"/>
        <w:gridCol w:w="2910"/>
      </w:tblGrid>
      <w:tr w14:paraId="1FAE4D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3477" w:type="pct"/>
            <w:tcBorders>
              <w:bottom w:val="single" w:color="auto" w:sz="12" w:space="0"/>
            </w:tcBorders>
            <w:vAlign w:val="center"/>
          </w:tcPr>
          <w:p w14:paraId="1E90EAFC">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工艺设备材料</w:t>
            </w:r>
          </w:p>
        </w:tc>
        <w:tc>
          <w:tcPr>
            <w:tcW w:w="1522" w:type="pct"/>
            <w:tcBorders>
              <w:bottom w:val="single" w:color="auto" w:sz="12" w:space="0"/>
            </w:tcBorders>
            <w:vAlign w:val="center"/>
          </w:tcPr>
          <w:p w14:paraId="3E3ED789">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分值</w:t>
            </w:r>
            <w:r>
              <w:rPr>
                <w:rFonts w:hint="eastAsia" w:ascii="Times New Roman"/>
                <w:b/>
                <w:bCs/>
                <w:sz w:val="18"/>
                <w:szCs w:val="18"/>
                <w:highlight w:val="none"/>
              </w:rPr>
              <w:t>（分）</w:t>
            </w:r>
          </w:p>
        </w:tc>
      </w:tr>
      <w:tr w14:paraId="7A995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3477" w:type="pct"/>
            <w:tcBorders>
              <w:top w:val="single" w:color="auto" w:sz="12" w:space="0"/>
              <w:bottom w:val="single" w:color="auto" w:sz="4" w:space="0"/>
            </w:tcBorders>
            <w:vAlign w:val="center"/>
          </w:tcPr>
          <w:p w14:paraId="2DF8DA9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工艺设备材料绿色化程度较高</w:t>
            </w:r>
          </w:p>
        </w:tc>
        <w:tc>
          <w:tcPr>
            <w:tcW w:w="1522" w:type="pct"/>
            <w:tcBorders>
              <w:top w:val="single" w:color="auto" w:sz="12" w:space="0"/>
              <w:bottom w:val="single" w:color="auto" w:sz="4" w:space="0"/>
            </w:tcBorders>
            <w:vAlign w:val="center"/>
          </w:tcPr>
          <w:p w14:paraId="5E00018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(7,10]</w:t>
            </w:r>
          </w:p>
        </w:tc>
      </w:tr>
      <w:tr w14:paraId="680F0AB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3477" w:type="pct"/>
            <w:tcBorders>
              <w:top w:val="single" w:color="auto" w:sz="4" w:space="0"/>
              <w:bottom w:val="single" w:color="auto" w:sz="4" w:space="0"/>
            </w:tcBorders>
            <w:vAlign w:val="center"/>
          </w:tcPr>
          <w:p w14:paraId="08E09E1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工艺设备材料绿色化程度中等</w:t>
            </w:r>
          </w:p>
        </w:tc>
        <w:tc>
          <w:tcPr>
            <w:tcW w:w="1522" w:type="pct"/>
            <w:tcBorders>
              <w:top w:val="single" w:color="auto" w:sz="4" w:space="0"/>
              <w:bottom w:val="single" w:color="auto" w:sz="4" w:space="0"/>
            </w:tcBorders>
            <w:vAlign w:val="center"/>
          </w:tcPr>
          <w:p w14:paraId="4128A1C5">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(4,7]</w:t>
            </w:r>
          </w:p>
        </w:tc>
      </w:tr>
      <w:tr w14:paraId="0BA453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77" w:type="pct"/>
            <w:tcBorders>
              <w:top w:val="single" w:color="auto" w:sz="4" w:space="0"/>
            </w:tcBorders>
            <w:vAlign w:val="center"/>
          </w:tcPr>
          <w:p w14:paraId="24ED7BD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工艺设备材料绿色化程度一般</w:t>
            </w:r>
          </w:p>
        </w:tc>
        <w:tc>
          <w:tcPr>
            <w:tcW w:w="1522" w:type="pct"/>
            <w:tcBorders>
              <w:top w:val="single" w:color="auto" w:sz="4" w:space="0"/>
            </w:tcBorders>
            <w:vAlign w:val="center"/>
          </w:tcPr>
          <w:p w14:paraId="1B7E2A7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[0,4]</w:t>
            </w:r>
          </w:p>
        </w:tc>
      </w:tr>
    </w:tbl>
    <w:p w14:paraId="770B245C">
      <w:pPr>
        <w:pStyle w:val="56"/>
        <w:numPr>
          <w:ilvl w:val="3"/>
          <w:numId w:val="2"/>
        </w:numPr>
        <w:spacing w:before="156" w:after="156"/>
        <w:rPr>
          <w:rFonts w:ascii="Times New Roman"/>
          <w:highlight w:val="none"/>
        </w:rPr>
      </w:pPr>
      <w:r>
        <w:rPr>
          <w:rFonts w:hint="eastAsia"/>
          <w:highlight w:val="none"/>
          <w:lang w:val="en-US" w:eastAsia="zh-CN"/>
        </w:rPr>
        <w:t>污染物</w:t>
      </w:r>
      <w:r>
        <w:rPr>
          <w:highlight w:val="none"/>
        </w:rPr>
        <w:t>排放</w:t>
      </w:r>
      <w:r>
        <w:rPr>
          <w:rFonts w:hint="eastAsia"/>
          <w:highlight w:val="none"/>
        </w:rPr>
        <w:t>水平</w:t>
      </w:r>
    </w:p>
    <w:p w14:paraId="149C857F">
      <w:pPr>
        <w:pStyle w:val="26"/>
        <w:rPr>
          <w:rFonts w:hAnsi="宋体" w:cs="宋体"/>
          <w:highlight w:val="none"/>
        </w:rPr>
      </w:pPr>
      <w:r>
        <w:rPr>
          <w:rFonts w:hint="eastAsia" w:hAnsi="宋体" w:cs="宋体"/>
          <w:highlight w:val="none"/>
        </w:rPr>
        <w:t>从项目近一年自身生产运营过程向环境排放污染物的情况进行评价</w:t>
      </w:r>
      <w:r>
        <w:rPr>
          <w:rFonts w:hint="eastAsia" w:hAnsi="宋体" w:cs="宋体"/>
          <w:highlight w:val="none"/>
          <w:lang w:eastAsia="zh-CN"/>
        </w:rPr>
        <w:t>，</w:t>
      </w:r>
      <w:r>
        <w:rPr>
          <w:rFonts w:hint="eastAsia" w:ascii="宋体" w:hAnsi="宋体" w:eastAsia="宋体" w:cs="宋体"/>
          <w:highlight w:val="none"/>
          <w:lang w:val="en-US" w:eastAsia="zh-CN"/>
        </w:rPr>
        <w:t>具体评价内容</w:t>
      </w:r>
      <w:r>
        <w:rPr>
          <w:rFonts w:hint="eastAsia" w:hAnsi="宋体" w:cs="宋体"/>
          <w:highlight w:val="none"/>
          <w:lang w:val="en-US" w:eastAsia="zh-CN"/>
        </w:rPr>
        <w:t>见5.2.3.4，</w:t>
      </w:r>
      <w:r>
        <w:rPr>
          <w:rFonts w:hint="eastAsia" w:hAnsi="宋体" w:cs="宋体"/>
          <w:highlight w:val="none"/>
        </w:rPr>
        <w:t>具体评分规则见表</w:t>
      </w:r>
      <w:r>
        <w:rPr>
          <w:rFonts w:hint="eastAsia" w:hAnsi="宋体" w:cs="宋体"/>
          <w:highlight w:val="none"/>
          <w:lang w:val="en-US" w:eastAsia="zh-CN"/>
        </w:rPr>
        <w:t>23</w:t>
      </w:r>
      <w:r>
        <w:rPr>
          <w:rFonts w:hint="eastAsia" w:hAnsi="宋体" w:cs="宋体"/>
          <w:highlight w:val="none"/>
        </w:rPr>
        <w:t>。</w:t>
      </w:r>
    </w:p>
    <w:p w14:paraId="3762A25A">
      <w:pPr>
        <w:pStyle w:val="131"/>
        <w:ind w:left="0" w:firstLine="0"/>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评分规则表</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79"/>
        <w:gridCol w:w="1180"/>
      </w:tblGrid>
      <w:tr w14:paraId="4802E7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4382" w:type="pct"/>
            <w:tcBorders>
              <w:bottom w:val="single" w:color="auto" w:sz="12" w:space="0"/>
            </w:tcBorders>
            <w:vAlign w:val="center"/>
          </w:tcPr>
          <w:p w14:paraId="2573CC5D">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污染物排放水平</w:t>
            </w:r>
          </w:p>
        </w:tc>
        <w:tc>
          <w:tcPr>
            <w:tcW w:w="617" w:type="pct"/>
            <w:tcBorders>
              <w:bottom w:val="single" w:color="auto" w:sz="12" w:space="0"/>
            </w:tcBorders>
            <w:vAlign w:val="center"/>
          </w:tcPr>
          <w:p w14:paraId="5A5D1F6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29C49D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4382" w:type="pct"/>
            <w:tcBorders>
              <w:top w:val="single" w:color="auto" w:sz="12" w:space="0"/>
              <w:tl2br w:val="nil"/>
              <w:tr2bl w:val="nil"/>
            </w:tcBorders>
            <w:vAlign w:val="center"/>
          </w:tcPr>
          <w:p w14:paraId="35C7888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不排放污染物，或根据排污许可相关管理条例实行排污登记管理，或需控制的污染物有80%的种类优于排污许可证限值20%，或优于排放源所在地同类行业污染物排放限值20%</w:t>
            </w:r>
          </w:p>
        </w:tc>
        <w:tc>
          <w:tcPr>
            <w:tcW w:w="617" w:type="pct"/>
            <w:tcBorders>
              <w:top w:val="single" w:color="auto" w:sz="12" w:space="0"/>
              <w:tl2br w:val="nil"/>
              <w:tr2bl w:val="nil"/>
            </w:tcBorders>
            <w:vAlign w:val="center"/>
          </w:tcPr>
          <w:p w14:paraId="61793161">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p>
        </w:tc>
      </w:tr>
      <w:tr w14:paraId="3BCB67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82" w:type="pct"/>
            <w:tcBorders>
              <w:tl2br w:val="nil"/>
              <w:tr2bl w:val="nil"/>
            </w:tcBorders>
            <w:vAlign w:val="center"/>
          </w:tcPr>
          <w:p w14:paraId="27EF1C88">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需控制的污染物有80%的种类优于排污许可证限值10%，或优于排放源所在地同类行业污染物排放限值10%</w:t>
            </w:r>
          </w:p>
        </w:tc>
        <w:tc>
          <w:tcPr>
            <w:tcW w:w="617" w:type="pct"/>
            <w:tcBorders>
              <w:tl2br w:val="nil"/>
              <w:tr2bl w:val="nil"/>
            </w:tcBorders>
            <w:vAlign w:val="center"/>
          </w:tcPr>
          <w:p w14:paraId="48CD4D9D">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(0,5]</w:t>
            </w:r>
          </w:p>
        </w:tc>
      </w:tr>
      <w:tr w14:paraId="40C6A1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4382" w:type="pct"/>
            <w:tcBorders>
              <w:tl2br w:val="nil"/>
              <w:tr2bl w:val="nil"/>
            </w:tcBorders>
            <w:vAlign w:val="center"/>
          </w:tcPr>
          <w:p w14:paraId="56A50FF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不满足上述任何一项</w:t>
            </w:r>
          </w:p>
        </w:tc>
        <w:tc>
          <w:tcPr>
            <w:tcW w:w="617" w:type="pct"/>
            <w:tcBorders>
              <w:tl2br w:val="nil"/>
              <w:tr2bl w:val="nil"/>
            </w:tcBorders>
            <w:vAlign w:val="center"/>
          </w:tcPr>
          <w:p w14:paraId="04860F0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r>
    </w:tbl>
    <w:p w14:paraId="60B5E8C3">
      <w:pPr>
        <w:pStyle w:val="50"/>
        <w:outlineLvl w:val="0"/>
        <w:rPr>
          <w:rFonts w:ascii="Times New Roman"/>
          <w:highlight w:val="none"/>
        </w:rPr>
      </w:pPr>
      <w:bookmarkStart w:id="87" w:name="_Toc17639"/>
      <w:bookmarkStart w:id="88" w:name="_Toc20504"/>
      <w:r>
        <w:rPr>
          <w:rFonts w:ascii="Times New Roman"/>
          <w:highlight w:val="none"/>
        </w:rPr>
        <w:t>评价程序</w:t>
      </w:r>
      <w:bookmarkEnd w:id="84"/>
      <w:bookmarkEnd w:id="87"/>
      <w:bookmarkEnd w:id="88"/>
    </w:p>
    <w:p w14:paraId="1AB251D2">
      <w:pPr>
        <w:pStyle w:val="47"/>
        <w:outlineLvl w:val="1"/>
        <w:rPr>
          <w:rFonts w:ascii="Times New Roman"/>
          <w:highlight w:val="none"/>
        </w:rPr>
      </w:pPr>
      <w:bookmarkStart w:id="89" w:name="_Toc17600"/>
      <w:bookmarkStart w:id="90" w:name="_Toc19870"/>
      <w:bookmarkStart w:id="91" w:name="_Toc19162"/>
      <w:r>
        <w:rPr>
          <w:rFonts w:ascii="Times New Roman"/>
          <w:highlight w:val="none"/>
        </w:rPr>
        <w:t>成立工作组</w:t>
      </w:r>
      <w:bookmarkEnd w:id="89"/>
      <w:bookmarkEnd w:id="90"/>
      <w:bookmarkEnd w:id="91"/>
    </w:p>
    <w:p w14:paraId="571F26E4">
      <w:pPr>
        <w:ind w:firstLine="420" w:firstLineChars="200"/>
        <w:rPr>
          <w:highlight w:val="none"/>
        </w:rPr>
      </w:pPr>
      <w:r>
        <w:rPr>
          <w:rFonts w:hint="eastAsia"/>
          <w:highlight w:val="none"/>
          <w:lang w:val="en-US" w:eastAsia="zh-CN"/>
        </w:rPr>
        <w:t>企事业单位或项目主体</w:t>
      </w:r>
      <w:r>
        <w:rPr>
          <w:rFonts w:hint="eastAsia"/>
          <w:highlight w:val="none"/>
        </w:rPr>
        <w:t>成立</w:t>
      </w:r>
      <w:r>
        <w:rPr>
          <w:rFonts w:hint="eastAsia"/>
          <w:highlight w:val="none"/>
          <w:lang w:eastAsia="zh-CN"/>
        </w:rPr>
        <w:t>绿色低碳产业</w:t>
      </w:r>
      <w:r>
        <w:rPr>
          <w:rFonts w:hint="eastAsia"/>
          <w:highlight w:val="none"/>
        </w:rPr>
        <w:t>认定</w:t>
      </w:r>
      <w:r>
        <w:rPr>
          <w:rFonts w:hint="eastAsia"/>
          <w:highlight w:val="none"/>
          <w:lang w:val="en-US" w:eastAsia="zh-CN"/>
        </w:rPr>
        <w:t>申报</w:t>
      </w:r>
      <w:r>
        <w:rPr>
          <w:rFonts w:hint="eastAsia"/>
          <w:highlight w:val="none"/>
        </w:rPr>
        <w:t>工作组，负责具体协调、组织和实施</w:t>
      </w:r>
      <w:r>
        <w:rPr>
          <w:rFonts w:hint="eastAsia"/>
          <w:highlight w:val="none"/>
          <w:lang w:eastAsia="zh-CN"/>
        </w:rPr>
        <w:t>绿色低碳产业</w:t>
      </w:r>
      <w:r>
        <w:rPr>
          <w:rFonts w:hint="eastAsia"/>
          <w:highlight w:val="none"/>
        </w:rPr>
        <w:t>认定</w:t>
      </w:r>
      <w:r>
        <w:rPr>
          <w:rFonts w:hint="eastAsia"/>
          <w:highlight w:val="none"/>
          <w:lang w:val="en-US" w:eastAsia="zh-CN"/>
        </w:rPr>
        <w:t>申报</w:t>
      </w:r>
      <w:r>
        <w:rPr>
          <w:rFonts w:hint="eastAsia"/>
          <w:highlight w:val="none"/>
        </w:rPr>
        <w:t>工作。要求工作组成员</w:t>
      </w:r>
      <w:r>
        <w:rPr>
          <w:rFonts w:hint="eastAsia"/>
          <w:highlight w:val="none"/>
          <w:lang w:val="en-US" w:eastAsia="zh-CN"/>
        </w:rPr>
        <w:t>应满足以下条件</w:t>
      </w:r>
      <w:r>
        <w:rPr>
          <w:rFonts w:hint="eastAsia"/>
          <w:highlight w:val="none"/>
        </w:rPr>
        <w:t>：</w:t>
      </w:r>
    </w:p>
    <w:p w14:paraId="140BA9AD">
      <w:pPr>
        <w:ind w:firstLine="420" w:firstLineChars="200"/>
        <w:rPr>
          <w:highlight w:val="none"/>
        </w:rPr>
      </w:pPr>
      <w:r>
        <w:rPr>
          <w:rFonts w:hint="eastAsia"/>
          <w:highlight w:val="none"/>
        </w:rPr>
        <w:t>——具有</w:t>
      </w:r>
      <w:r>
        <w:rPr>
          <w:rFonts w:hint="eastAsia"/>
          <w:highlight w:val="none"/>
          <w:lang w:eastAsia="zh-CN"/>
        </w:rPr>
        <w:t>环境基础设施</w:t>
      </w:r>
      <w:r>
        <w:rPr>
          <w:rFonts w:hint="eastAsia"/>
          <w:highlight w:val="none"/>
        </w:rPr>
        <w:t>、环境、财务等相关专业背景；</w:t>
      </w:r>
    </w:p>
    <w:p w14:paraId="0801435A">
      <w:pPr>
        <w:ind w:firstLine="420" w:firstLineChars="200"/>
        <w:rPr>
          <w:highlight w:val="none"/>
        </w:rPr>
      </w:pPr>
      <w:r>
        <w:rPr>
          <w:rFonts w:hint="eastAsia"/>
          <w:highlight w:val="none"/>
        </w:rPr>
        <w:t>——熟悉掌握</w:t>
      </w:r>
      <w:r>
        <w:rPr>
          <w:rFonts w:hint="eastAsia"/>
          <w:highlight w:val="none"/>
          <w:lang w:eastAsia="zh-CN"/>
        </w:rPr>
        <w:t>绿色低碳产业</w:t>
      </w:r>
      <w:r>
        <w:rPr>
          <w:rFonts w:hint="eastAsia"/>
          <w:highlight w:val="none"/>
        </w:rPr>
        <w:t>认定评价方法和步骤；</w:t>
      </w:r>
    </w:p>
    <w:p w14:paraId="3A9554B8">
      <w:pPr>
        <w:ind w:firstLine="420" w:firstLineChars="200"/>
        <w:rPr>
          <w:highlight w:val="none"/>
        </w:rPr>
      </w:pPr>
      <w:r>
        <w:rPr>
          <w:rFonts w:hint="eastAsia"/>
          <w:highlight w:val="none"/>
        </w:rPr>
        <w:t>——具备良好的沟通协调能力和文字表达能力。</w:t>
      </w:r>
    </w:p>
    <w:p w14:paraId="6B3D2C31">
      <w:pPr>
        <w:pStyle w:val="47"/>
        <w:outlineLvl w:val="1"/>
        <w:rPr>
          <w:rFonts w:ascii="Times New Roman"/>
          <w:highlight w:val="none"/>
        </w:rPr>
      </w:pPr>
      <w:bookmarkStart w:id="92" w:name="_Toc17475"/>
      <w:bookmarkStart w:id="93" w:name="_Toc29213"/>
      <w:r>
        <w:rPr>
          <w:rFonts w:hint="eastAsia" w:ascii="Times New Roman"/>
          <w:highlight w:val="none"/>
        </w:rPr>
        <w:t>收集材料</w:t>
      </w:r>
      <w:bookmarkEnd w:id="92"/>
      <w:bookmarkEnd w:id="93"/>
    </w:p>
    <w:p w14:paraId="1F08ECAB">
      <w:pPr>
        <w:pStyle w:val="26"/>
        <w:rPr>
          <w:rFonts w:hint="eastAsia"/>
          <w:highlight w:val="none"/>
        </w:rPr>
      </w:pPr>
      <w:r>
        <w:rPr>
          <w:rFonts w:hint="eastAsia"/>
          <w:highlight w:val="none"/>
          <w:lang w:val="en-US" w:eastAsia="zh-CN"/>
        </w:rPr>
        <w:t>企事业单位或项目主体开展环境基础设施领域</w:t>
      </w:r>
      <w:r>
        <w:rPr>
          <w:rFonts w:hint="eastAsia"/>
          <w:highlight w:val="none"/>
          <w:lang w:eastAsia="zh-CN"/>
        </w:rPr>
        <w:t>绿色低碳产业</w:t>
      </w:r>
      <w:r>
        <w:rPr>
          <w:rFonts w:hint="eastAsia"/>
          <w:highlight w:val="none"/>
        </w:rPr>
        <w:t>认定评价应收集的信息和文件资料见表</w:t>
      </w:r>
      <w:r>
        <w:rPr>
          <w:rFonts w:hint="eastAsia"/>
          <w:highlight w:val="none"/>
          <w:lang w:val="en-US" w:eastAsia="zh-CN"/>
        </w:rPr>
        <w:t>24</w:t>
      </w:r>
      <w:r>
        <w:rPr>
          <w:rFonts w:hint="eastAsia"/>
          <w:highlight w:val="none"/>
          <w:lang w:eastAsia="zh-CN"/>
        </w:rPr>
        <w:t>、</w:t>
      </w:r>
      <w:r>
        <w:rPr>
          <w:highlight w:val="none"/>
        </w:rPr>
        <w:t>表</w:t>
      </w:r>
      <w:r>
        <w:rPr>
          <w:rFonts w:hint="eastAsia"/>
          <w:highlight w:val="none"/>
          <w:lang w:val="en-US" w:eastAsia="zh-CN"/>
        </w:rPr>
        <w:t>25、表26和表27</w:t>
      </w:r>
      <w:r>
        <w:rPr>
          <w:rFonts w:hint="eastAsia"/>
          <w:highlight w:val="none"/>
        </w:rPr>
        <w:t>。</w:t>
      </w:r>
    </w:p>
    <w:p w14:paraId="62AB1A85">
      <w:pPr>
        <w:numPr>
          <w:ilvl w:val="0"/>
          <w:numId w:val="17"/>
        </w:numPr>
        <w:spacing w:before="156" w:beforeLines="50" w:after="156" w:afterLines="50"/>
        <w:jc w:val="center"/>
        <w:rPr>
          <w:highlight w:val="none"/>
        </w:rPr>
      </w:pPr>
      <w:r>
        <w:rPr>
          <w:rFonts w:hint="eastAsia" w:eastAsia="黑体"/>
          <w:highlight w:val="none"/>
          <w:lang w:val="en-US" w:eastAsia="zh-CN"/>
        </w:rPr>
        <w:t>环境基础设施领域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符合性评价证明材料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94"/>
        <w:gridCol w:w="5495"/>
        <w:gridCol w:w="2970"/>
      </w:tblGrid>
      <w:tr w14:paraId="6EAC704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572" w:type="pct"/>
            <w:tcBorders>
              <w:bottom w:val="single" w:color="000000" w:sz="12" w:space="0"/>
            </w:tcBorders>
            <w:vAlign w:val="center"/>
          </w:tcPr>
          <w:p w14:paraId="771224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指标</w:t>
            </w:r>
          </w:p>
        </w:tc>
        <w:tc>
          <w:tcPr>
            <w:tcW w:w="2873" w:type="pct"/>
            <w:tcBorders>
              <w:bottom w:val="single" w:color="000000" w:sz="12" w:space="0"/>
            </w:tcBorders>
            <w:vAlign w:val="center"/>
          </w:tcPr>
          <w:p w14:paraId="256A9E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评价内容</w:t>
            </w:r>
          </w:p>
        </w:tc>
        <w:tc>
          <w:tcPr>
            <w:tcW w:w="1553" w:type="pct"/>
            <w:tcBorders>
              <w:bottom w:val="single" w:color="000000" w:sz="12" w:space="0"/>
            </w:tcBorders>
            <w:vAlign w:val="center"/>
          </w:tcPr>
          <w:p w14:paraId="428A59C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00A22B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35" w:hRule="atLeast"/>
          <w:jc w:val="center"/>
        </w:trPr>
        <w:tc>
          <w:tcPr>
            <w:tcW w:w="572" w:type="pct"/>
            <w:tcBorders>
              <w:top w:val="single" w:color="000000" w:sz="12" w:space="0"/>
              <w:tl2br w:val="nil"/>
              <w:tr2bl w:val="nil"/>
            </w:tcBorders>
            <w:vAlign w:val="center"/>
          </w:tcPr>
          <w:p w14:paraId="5E52A41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目录符合</w:t>
            </w:r>
          </w:p>
        </w:tc>
        <w:tc>
          <w:tcPr>
            <w:tcW w:w="2873" w:type="pct"/>
            <w:tcBorders>
              <w:top w:val="single" w:color="000000" w:sz="12" w:space="0"/>
              <w:tl2br w:val="nil"/>
              <w:tr2bl w:val="nil"/>
            </w:tcBorders>
            <w:vAlign w:val="center"/>
          </w:tcPr>
          <w:p w14:paraId="0702E660">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kern w:val="0"/>
                <w:sz w:val="18"/>
                <w:szCs w:val="18"/>
                <w:highlight w:val="none"/>
              </w:rPr>
              <w:t>申报认定评价的</w:t>
            </w:r>
            <w:r>
              <w:rPr>
                <w:rFonts w:hint="eastAsia" w:ascii="宋体"/>
                <w:kern w:val="0"/>
                <w:sz w:val="18"/>
                <w:szCs w:val="18"/>
                <w:highlight w:val="none"/>
                <w:lang w:val="en-US" w:eastAsia="zh-CN"/>
              </w:rPr>
              <w:t>绿色业务</w:t>
            </w:r>
            <w:r>
              <w:rPr>
                <w:rFonts w:hint="eastAsia" w:ascii="宋体"/>
                <w:kern w:val="0"/>
                <w:sz w:val="18"/>
                <w:szCs w:val="18"/>
                <w:highlight w:val="none"/>
              </w:rPr>
              <w:t>属于</w:t>
            </w:r>
            <w:r>
              <w:rPr>
                <w:rFonts w:hint="eastAsia" w:ascii="宋体"/>
                <w:kern w:val="0"/>
                <w:sz w:val="18"/>
                <w:szCs w:val="18"/>
                <w:highlight w:val="none"/>
                <w:lang w:val="en-US" w:eastAsia="zh-CN"/>
              </w:rPr>
              <w:t>环境基础设施领域</w:t>
            </w:r>
            <w:r>
              <w:rPr>
                <w:rFonts w:hint="eastAsia" w:ascii="宋体"/>
                <w:kern w:val="0"/>
                <w:sz w:val="18"/>
                <w:szCs w:val="18"/>
                <w:highlight w:val="none"/>
              </w:rPr>
              <w:t>，且其</w:t>
            </w:r>
            <w:r>
              <w:rPr>
                <w:rFonts w:hint="eastAsia" w:ascii="宋体"/>
                <w:kern w:val="0"/>
                <w:sz w:val="18"/>
                <w:szCs w:val="18"/>
                <w:highlight w:val="none"/>
                <w:lang w:val="en-US" w:eastAsia="zh-CN"/>
              </w:rPr>
              <w:t>环境基础设施领域</w:t>
            </w:r>
            <w:r>
              <w:rPr>
                <w:rFonts w:hint="eastAsia" w:ascii="宋体"/>
                <w:kern w:val="0"/>
                <w:sz w:val="18"/>
                <w:szCs w:val="18"/>
                <w:highlight w:val="none"/>
              </w:rPr>
              <w:t>绿色业务占比达到50%</w:t>
            </w:r>
            <w:r>
              <w:rPr>
                <w:rFonts w:hint="eastAsia" w:ascii="宋体"/>
                <w:kern w:val="0"/>
                <w:sz w:val="18"/>
                <w:szCs w:val="18"/>
                <w:highlight w:val="none"/>
                <w:lang w:val="en-US" w:eastAsia="zh-CN"/>
              </w:rPr>
              <w:t>及</w:t>
            </w:r>
            <w:r>
              <w:rPr>
                <w:rFonts w:hint="eastAsia" w:ascii="宋体"/>
                <w:kern w:val="0"/>
                <w:sz w:val="18"/>
                <w:szCs w:val="18"/>
                <w:highlight w:val="none"/>
              </w:rPr>
              <w:t>以上</w:t>
            </w:r>
            <w:r>
              <w:rPr>
                <w:rFonts w:hint="eastAsia" w:ascii="宋体"/>
                <w:kern w:val="0"/>
                <w:sz w:val="18"/>
                <w:szCs w:val="18"/>
                <w:highlight w:val="none"/>
                <w:lang w:eastAsia="zh-CN"/>
              </w:rPr>
              <w:t>，</w:t>
            </w:r>
            <w:r>
              <w:rPr>
                <w:rFonts w:hint="eastAsia" w:ascii="宋体"/>
                <w:kern w:val="0"/>
                <w:sz w:val="18"/>
                <w:szCs w:val="18"/>
                <w:highlight w:val="none"/>
              </w:rPr>
              <w:t>或</w:t>
            </w:r>
            <w:r>
              <w:rPr>
                <w:rFonts w:hint="eastAsia" w:ascii="宋体"/>
                <w:kern w:val="0"/>
                <w:sz w:val="18"/>
                <w:szCs w:val="18"/>
                <w:highlight w:val="none"/>
                <w:lang w:val="en-US" w:eastAsia="zh-CN"/>
              </w:rPr>
              <w:t>绿色业务</w:t>
            </w:r>
            <w:r>
              <w:rPr>
                <w:rFonts w:hint="eastAsia" w:ascii="宋体"/>
                <w:kern w:val="0"/>
                <w:sz w:val="18"/>
                <w:szCs w:val="18"/>
                <w:highlight w:val="none"/>
              </w:rPr>
              <w:t>规模达到1亿元</w:t>
            </w:r>
            <w:r>
              <w:rPr>
                <w:rFonts w:hint="eastAsia" w:ascii="宋体"/>
                <w:kern w:val="0"/>
                <w:sz w:val="18"/>
                <w:szCs w:val="18"/>
                <w:highlight w:val="none"/>
                <w:lang w:eastAsia="zh-CN"/>
              </w:rPr>
              <w:t>；</w:t>
            </w:r>
            <w:r>
              <w:rPr>
                <w:rFonts w:hint="eastAsia" w:ascii="宋体"/>
                <w:kern w:val="0"/>
                <w:sz w:val="18"/>
                <w:szCs w:val="18"/>
                <w:highlight w:val="none"/>
              </w:rPr>
              <w:t>或在</w:t>
            </w:r>
            <w:r>
              <w:rPr>
                <w:rFonts w:hint="eastAsia" w:ascii="宋体"/>
                <w:kern w:val="0"/>
                <w:sz w:val="18"/>
                <w:szCs w:val="18"/>
                <w:highlight w:val="none"/>
                <w:lang w:val="en-US" w:eastAsia="zh-CN"/>
              </w:rPr>
              <w:t>当地</w:t>
            </w:r>
            <w:r>
              <w:rPr>
                <w:rFonts w:hint="eastAsia" w:ascii="宋体"/>
                <w:kern w:val="0"/>
                <w:sz w:val="18"/>
                <w:szCs w:val="18"/>
                <w:highlight w:val="none"/>
              </w:rPr>
              <w:t>具备一定市场规模</w:t>
            </w:r>
            <w:r>
              <w:rPr>
                <w:rFonts w:hint="eastAsia" w:ascii="宋体"/>
                <w:kern w:val="0"/>
                <w:sz w:val="18"/>
                <w:szCs w:val="18"/>
                <w:highlight w:val="none"/>
                <w:lang w:eastAsia="zh-CN"/>
              </w:rPr>
              <w:t>、</w:t>
            </w:r>
            <w:r>
              <w:rPr>
                <w:rFonts w:hint="eastAsia" w:ascii="宋体"/>
                <w:kern w:val="0"/>
                <w:sz w:val="18"/>
                <w:szCs w:val="18"/>
                <w:highlight w:val="none"/>
              </w:rPr>
              <w:t>经</w:t>
            </w:r>
            <w:r>
              <w:rPr>
                <w:rFonts w:hint="eastAsia" w:ascii="宋体"/>
                <w:kern w:val="0"/>
                <w:sz w:val="18"/>
                <w:szCs w:val="18"/>
                <w:highlight w:val="none"/>
                <w:lang w:val="en-US" w:eastAsia="zh-CN"/>
              </w:rPr>
              <w:t>相关政府职能部门</w:t>
            </w:r>
            <w:r>
              <w:rPr>
                <w:rFonts w:hint="eastAsia" w:ascii="宋体"/>
                <w:kern w:val="0"/>
                <w:sz w:val="18"/>
                <w:szCs w:val="18"/>
                <w:highlight w:val="none"/>
              </w:rPr>
              <w:t>认可的相关行业</w:t>
            </w:r>
          </w:p>
        </w:tc>
        <w:tc>
          <w:tcPr>
            <w:tcW w:w="1553" w:type="pct"/>
            <w:tcBorders>
              <w:top w:val="single" w:color="000000" w:sz="12" w:space="0"/>
              <w:tl2br w:val="nil"/>
              <w:tr2bl w:val="nil"/>
            </w:tcBorders>
            <w:vAlign w:val="center"/>
          </w:tcPr>
          <w:p w14:paraId="7C145F0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default" w:ascii="宋体"/>
                <w:kern w:val="0"/>
                <w:sz w:val="18"/>
                <w:szCs w:val="18"/>
                <w:highlight w:val="none"/>
              </w:rPr>
            </w:pPr>
            <w:r>
              <w:rPr>
                <w:rFonts w:hint="eastAsia" w:ascii="宋体"/>
                <w:kern w:val="0"/>
                <w:sz w:val="18"/>
                <w:szCs w:val="18"/>
                <w:highlight w:val="none"/>
                <w:lang w:val="en-US" w:eastAsia="zh-CN"/>
              </w:rPr>
              <w:t>（1）</w:t>
            </w:r>
            <w:r>
              <w:rPr>
                <w:rFonts w:hint="default" w:ascii="宋体"/>
                <w:kern w:val="0"/>
                <w:sz w:val="18"/>
                <w:szCs w:val="18"/>
                <w:highlight w:val="none"/>
              </w:rPr>
              <w:t>有效营业执照</w:t>
            </w:r>
          </w:p>
          <w:p w14:paraId="20C3C4B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val="en-US" w:eastAsia="zh-CN"/>
              </w:rPr>
            </w:pPr>
            <w:r>
              <w:rPr>
                <w:rFonts w:hint="eastAsia" w:ascii="宋体"/>
                <w:kern w:val="0"/>
                <w:sz w:val="18"/>
                <w:szCs w:val="18"/>
                <w:highlight w:val="none"/>
                <w:lang w:val="en-US" w:eastAsia="zh-CN"/>
              </w:rPr>
              <w:t>（2）</w:t>
            </w:r>
            <w:r>
              <w:rPr>
                <w:rFonts w:hint="eastAsia" w:ascii="宋体"/>
                <w:kern w:val="0"/>
                <w:sz w:val="18"/>
                <w:szCs w:val="18"/>
                <w:highlight w:val="none"/>
              </w:rPr>
              <w:t>绿色低碳产业产品（服务）收入专项审计或鉴证报告</w:t>
            </w:r>
          </w:p>
        </w:tc>
      </w:tr>
      <w:tr w14:paraId="778ED9A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18" w:hRule="atLeast"/>
          <w:jc w:val="center"/>
        </w:trPr>
        <w:tc>
          <w:tcPr>
            <w:tcW w:w="572" w:type="pct"/>
            <w:tcBorders>
              <w:bottom w:val="single" w:color="000000" w:sz="12" w:space="0"/>
              <w:tl2br w:val="nil"/>
              <w:tr2bl w:val="nil"/>
            </w:tcBorders>
            <w:vAlign w:val="center"/>
          </w:tcPr>
          <w:p w14:paraId="4A07E24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技术符合</w:t>
            </w:r>
          </w:p>
        </w:tc>
        <w:tc>
          <w:tcPr>
            <w:tcW w:w="2873" w:type="pct"/>
            <w:tcBorders>
              <w:bottom w:val="single" w:color="000000" w:sz="12" w:space="0"/>
              <w:tl2br w:val="nil"/>
              <w:tr2bl w:val="nil"/>
            </w:tcBorders>
            <w:vAlign w:val="center"/>
          </w:tcPr>
          <w:p w14:paraId="6CC83B3A">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sz w:val="18"/>
                <w:szCs w:val="18"/>
                <w:highlight w:val="none"/>
              </w:rPr>
              <w:t>提供的产品或服务应符合国家、广东省及深圳市相关主管部门发布文件列明的有关设计、能效、性能、安全、贮存、回收、标识、验收、管理和运维等技术要求</w:t>
            </w:r>
          </w:p>
        </w:tc>
        <w:tc>
          <w:tcPr>
            <w:tcW w:w="1553" w:type="pct"/>
            <w:tcBorders>
              <w:bottom w:val="single" w:color="000000" w:sz="12" w:space="0"/>
              <w:tl2br w:val="nil"/>
              <w:tr2bl w:val="nil"/>
            </w:tcBorders>
            <w:vAlign w:val="center"/>
          </w:tcPr>
          <w:p w14:paraId="261ACFD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left"/>
              <w:rPr>
                <w:rFonts w:hint="default" w:ascii="宋体"/>
                <w:kern w:val="0"/>
                <w:sz w:val="18"/>
                <w:szCs w:val="18"/>
                <w:highlight w:val="none"/>
              </w:rPr>
            </w:pPr>
            <w:r>
              <w:rPr>
                <w:rFonts w:hint="default" w:ascii="宋体"/>
                <w:kern w:val="0"/>
                <w:sz w:val="18"/>
                <w:szCs w:val="18"/>
                <w:highlight w:val="none"/>
              </w:rPr>
              <w:t>第三方检验报告及相关证明材料</w:t>
            </w:r>
          </w:p>
        </w:tc>
      </w:tr>
    </w:tbl>
    <w:p w14:paraId="23DAB4DE">
      <w:pPr>
        <w:numPr>
          <w:ilvl w:val="0"/>
          <w:numId w:val="17"/>
        </w:numPr>
        <w:spacing w:before="156" w:beforeLines="50" w:after="156" w:afterLines="50"/>
        <w:jc w:val="center"/>
        <w:rPr>
          <w:highlight w:val="none"/>
        </w:rPr>
      </w:pPr>
      <w:r>
        <w:rPr>
          <w:rFonts w:hint="eastAsia" w:eastAsia="黑体"/>
          <w:highlight w:val="none"/>
          <w:lang w:val="en-US" w:eastAsia="zh-CN"/>
        </w:rPr>
        <w:t>环境基础设施领域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综合</w:t>
      </w:r>
      <w:r>
        <w:rPr>
          <w:rFonts w:eastAsia="黑体"/>
          <w:highlight w:val="none"/>
        </w:rPr>
        <w:t>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65"/>
        <w:gridCol w:w="1138"/>
        <w:gridCol w:w="2189"/>
        <w:gridCol w:w="5167"/>
      </w:tblGrid>
      <w:tr w14:paraId="78C945D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7" w:type="pct"/>
            <w:tcBorders>
              <w:bottom w:val="single" w:color="000000" w:sz="12" w:space="0"/>
            </w:tcBorders>
            <w:vAlign w:val="center"/>
          </w:tcPr>
          <w:p w14:paraId="4F6121F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一级指标</w:t>
            </w:r>
          </w:p>
        </w:tc>
        <w:tc>
          <w:tcPr>
            <w:tcW w:w="595" w:type="pct"/>
            <w:tcBorders>
              <w:bottom w:val="single" w:color="000000" w:sz="12" w:space="0"/>
            </w:tcBorders>
            <w:vAlign w:val="center"/>
          </w:tcPr>
          <w:p w14:paraId="1E0582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二级指标</w:t>
            </w:r>
          </w:p>
        </w:tc>
        <w:tc>
          <w:tcPr>
            <w:tcW w:w="1144" w:type="pct"/>
            <w:tcBorders>
              <w:bottom w:val="single" w:color="000000" w:sz="12" w:space="0"/>
            </w:tcBorders>
            <w:vAlign w:val="center"/>
          </w:tcPr>
          <w:p w14:paraId="48BD28E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三级指标</w:t>
            </w:r>
          </w:p>
        </w:tc>
        <w:tc>
          <w:tcPr>
            <w:tcW w:w="2702" w:type="pct"/>
            <w:tcBorders>
              <w:bottom w:val="single" w:color="000000" w:sz="12" w:space="0"/>
            </w:tcBorders>
            <w:vAlign w:val="center"/>
          </w:tcPr>
          <w:p w14:paraId="08A975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292E909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7" w:type="pct"/>
            <w:vMerge w:val="restart"/>
            <w:tcBorders>
              <w:top w:val="single" w:color="000000" w:sz="12" w:space="0"/>
              <w:tl2br w:val="nil"/>
              <w:tr2bl w:val="nil"/>
            </w:tcBorders>
            <w:vAlign w:val="center"/>
          </w:tcPr>
          <w:p w14:paraId="70A116A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技术表现</w:t>
            </w:r>
          </w:p>
        </w:tc>
        <w:tc>
          <w:tcPr>
            <w:tcW w:w="595" w:type="pct"/>
            <w:vMerge w:val="restart"/>
            <w:tcBorders>
              <w:top w:val="single" w:color="000000" w:sz="12" w:space="0"/>
              <w:tl2br w:val="nil"/>
              <w:tr2bl w:val="nil"/>
            </w:tcBorders>
            <w:vAlign w:val="center"/>
          </w:tcPr>
          <w:p w14:paraId="7B2E1A3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先进性</w:t>
            </w:r>
          </w:p>
        </w:tc>
        <w:tc>
          <w:tcPr>
            <w:tcW w:w="1144" w:type="pct"/>
            <w:tcBorders>
              <w:top w:val="single" w:color="000000" w:sz="12" w:space="0"/>
              <w:tl2br w:val="nil"/>
              <w:tr2bl w:val="nil"/>
            </w:tcBorders>
            <w:vAlign w:val="center"/>
          </w:tcPr>
          <w:p w14:paraId="08B4811D">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有效知识产权</w:t>
            </w:r>
          </w:p>
        </w:tc>
        <w:tc>
          <w:tcPr>
            <w:tcW w:w="2702" w:type="pct"/>
            <w:tcBorders>
              <w:top w:val="single" w:color="000000" w:sz="12" w:space="0"/>
              <w:tl2br w:val="nil"/>
              <w:tr2bl w:val="nil"/>
            </w:tcBorders>
            <w:vAlign w:val="center"/>
          </w:tcPr>
          <w:p w14:paraId="4979C34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default" w:ascii="宋体"/>
                <w:kern w:val="0"/>
                <w:sz w:val="18"/>
                <w:szCs w:val="18"/>
                <w:highlight w:val="none"/>
              </w:rPr>
              <w:t>相关知识产权证明</w:t>
            </w:r>
            <w:r>
              <w:rPr>
                <w:rFonts w:hint="eastAsia" w:ascii="宋体"/>
                <w:kern w:val="0"/>
                <w:sz w:val="18"/>
                <w:szCs w:val="18"/>
                <w:highlight w:val="none"/>
                <w:lang w:val="en-US" w:eastAsia="zh-CN"/>
              </w:rPr>
              <w:t>材料</w:t>
            </w:r>
          </w:p>
        </w:tc>
      </w:tr>
      <w:tr w14:paraId="401AEBB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7" w:type="pct"/>
            <w:vMerge w:val="continue"/>
            <w:tcBorders>
              <w:tl2br w:val="nil"/>
              <w:tr2bl w:val="nil"/>
            </w:tcBorders>
            <w:vAlign w:val="center"/>
          </w:tcPr>
          <w:p w14:paraId="74EF5A9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46A77F4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7E16D1A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制修订标准</w:t>
            </w:r>
          </w:p>
        </w:tc>
        <w:tc>
          <w:tcPr>
            <w:tcW w:w="2702" w:type="pct"/>
            <w:tcBorders>
              <w:tl2br w:val="nil"/>
              <w:tr2bl w:val="nil"/>
            </w:tcBorders>
            <w:vAlign w:val="center"/>
          </w:tcPr>
          <w:p w14:paraId="628D67A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相关</w:t>
            </w:r>
            <w:r>
              <w:rPr>
                <w:rFonts w:hint="eastAsia" w:ascii="宋体"/>
                <w:kern w:val="0"/>
                <w:sz w:val="18"/>
                <w:szCs w:val="18"/>
                <w:highlight w:val="none"/>
              </w:rPr>
              <w:t>标准</w:t>
            </w:r>
            <w:r>
              <w:rPr>
                <w:rFonts w:hint="eastAsia" w:ascii="宋体"/>
                <w:kern w:val="0"/>
                <w:sz w:val="18"/>
                <w:szCs w:val="18"/>
                <w:highlight w:val="none"/>
                <w:lang w:val="en-US" w:eastAsia="zh-CN"/>
              </w:rPr>
              <w:t>发布稿材料</w:t>
            </w:r>
          </w:p>
        </w:tc>
      </w:tr>
      <w:tr w14:paraId="006046B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0F9BC5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66C2D02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15271DE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sz w:val="18"/>
                <w:szCs w:val="18"/>
                <w:highlight w:val="none"/>
                <w:lang w:val="en-US" w:eastAsia="zh-CN"/>
              </w:rPr>
              <w:t>关键</w:t>
            </w:r>
            <w:r>
              <w:rPr>
                <w:rFonts w:hint="eastAsia" w:ascii="宋体"/>
                <w:sz w:val="18"/>
                <w:szCs w:val="18"/>
                <w:highlight w:val="none"/>
              </w:rPr>
              <w:t>技术先进水平</w:t>
            </w:r>
          </w:p>
        </w:tc>
        <w:tc>
          <w:tcPr>
            <w:tcW w:w="2702" w:type="pct"/>
            <w:tcBorders>
              <w:tl2br w:val="nil"/>
              <w:tr2bl w:val="nil"/>
            </w:tcBorders>
            <w:vAlign w:val="center"/>
          </w:tcPr>
          <w:p w14:paraId="7883B0A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default" w:ascii="宋体"/>
                <w:kern w:val="0"/>
                <w:sz w:val="18"/>
                <w:szCs w:val="18"/>
                <w:highlight w:val="none"/>
              </w:rPr>
              <w:t>第三方检验报告</w:t>
            </w:r>
            <w:r>
              <w:rPr>
                <w:rFonts w:hint="eastAsia" w:ascii="宋体"/>
                <w:kern w:val="0"/>
                <w:sz w:val="18"/>
                <w:szCs w:val="18"/>
                <w:highlight w:val="none"/>
                <w:lang w:val="en-US" w:eastAsia="zh-CN"/>
              </w:rPr>
              <w:t>/企业相关自证材料</w:t>
            </w:r>
            <w:r>
              <w:rPr>
                <w:rFonts w:hint="eastAsia" w:ascii="宋体"/>
                <w:kern w:val="0"/>
                <w:sz w:val="18"/>
                <w:szCs w:val="18"/>
                <w:highlight w:val="none"/>
                <w:vertAlign w:val="superscript"/>
                <w:lang w:val="en-US" w:eastAsia="zh-CN"/>
              </w:rPr>
              <w:t>a</w:t>
            </w:r>
          </w:p>
        </w:tc>
      </w:tr>
      <w:tr w14:paraId="20B9F3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7" w:type="pct"/>
            <w:vMerge w:val="continue"/>
            <w:tcBorders>
              <w:tl2br w:val="nil"/>
              <w:tr2bl w:val="nil"/>
            </w:tcBorders>
            <w:vAlign w:val="center"/>
          </w:tcPr>
          <w:p w14:paraId="763ADA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0C1A3C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sz w:val="18"/>
                <w:szCs w:val="18"/>
                <w:highlight w:val="none"/>
              </w:rPr>
            </w:pPr>
            <w:r>
              <w:rPr>
                <w:rFonts w:hint="default" w:ascii="宋体"/>
                <w:kern w:val="0"/>
                <w:sz w:val="18"/>
                <w:szCs w:val="18"/>
                <w:highlight w:val="none"/>
              </w:rPr>
              <w:t>环境效益</w:t>
            </w:r>
          </w:p>
        </w:tc>
        <w:tc>
          <w:tcPr>
            <w:tcW w:w="2702" w:type="pct"/>
            <w:tcBorders>
              <w:tl2br w:val="nil"/>
              <w:tr2bl w:val="nil"/>
            </w:tcBorders>
            <w:vAlign w:val="center"/>
          </w:tcPr>
          <w:p w14:paraId="613AE87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default" w:ascii="宋体"/>
                <w:kern w:val="0"/>
                <w:sz w:val="18"/>
                <w:szCs w:val="18"/>
                <w:highlight w:val="none"/>
              </w:rPr>
              <w:t>企业相关自证材料</w:t>
            </w:r>
            <w:r>
              <w:rPr>
                <w:rFonts w:hint="eastAsia" w:ascii="宋体"/>
                <w:kern w:val="0"/>
                <w:sz w:val="18"/>
                <w:szCs w:val="18"/>
                <w:highlight w:val="none"/>
                <w:vertAlign w:val="superscript"/>
                <w:lang w:val="en-US" w:eastAsia="zh-CN"/>
              </w:rPr>
              <w:t>b</w:t>
            </w:r>
          </w:p>
        </w:tc>
      </w:tr>
      <w:tr w14:paraId="7E82462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restart"/>
            <w:tcBorders>
              <w:tl2br w:val="nil"/>
              <w:tr2bl w:val="nil"/>
            </w:tcBorders>
            <w:vAlign w:val="center"/>
          </w:tcPr>
          <w:p w14:paraId="514CC72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业务表现</w:t>
            </w:r>
          </w:p>
        </w:tc>
        <w:tc>
          <w:tcPr>
            <w:tcW w:w="595" w:type="pct"/>
            <w:vMerge w:val="restart"/>
            <w:tcBorders>
              <w:tl2br w:val="nil"/>
              <w:tr2bl w:val="nil"/>
            </w:tcBorders>
            <w:vAlign w:val="center"/>
          </w:tcPr>
          <w:p w14:paraId="44E35E1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发展能力</w:t>
            </w:r>
          </w:p>
        </w:tc>
        <w:tc>
          <w:tcPr>
            <w:tcW w:w="1144" w:type="pct"/>
            <w:tcBorders>
              <w:tl2br w:val="nil"/>
              <w:tr2bl w:val="nil"/>
            </w:tcBorders>
            <w:vAlign w:val="center"/>
          </w:tcPr>
          <w:p w14:paraId="1566194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团队技术实力</w:t>
            </w:r>
          </w:p>
        </w:tc>
        <w:tc>
          <w:tcPr>
            <w:tcW w:w="2702" w:type="pct"/>
            <w:tcBorders>
              <w:tl2br w:val="nil"/>
              <w:tr2bl w:val="nil"/>
            </w:tcBorders>
            <w:vAlign w:val="center"/>
          </w:tcPr>
          <w:p w14:paraId="48A1A31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合同</w:t>
            </w:r>
            <w:r>
              <w:rPr>
                <w:rFonts w:hint="eastAsia" w:ascii="宋体"/>
                <w:kern w:val="0"/>
                <w:sz w:val="18"/>
                <w:szCs w:val="18"/>
                <w:highlight w:val="none"/>
              </w:rPr>
              <w:t>、学历职称证书</w:t>
            </w:r>
            <w:r>
              <w:rPr>
                <w:rFonts w:hint="default" w:ascii="宋体"/>
                <w:kern w:val="0"/>
                <w:sz w:val="18"/>
                <w:szCs w:val="18"/>
                <w:highlight w:val="none"/>
              </w:rPr>
              <w:t>及社保等相关材料</w:t>
            </w:r>
          </w:p>
        </w:tc>
      </w:tr>
      <w:tr w14:paraId="16C86B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4986F33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0CDDC9E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7F10090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sz w:val="18"/>
                <w:szCs w:val="18"/>
                <w:highlight w:val="none"/>
              </w:rPr>
              <w:t>研发投入</w:t>
            </w:r>
          </w:p>
        </w:tc>
        <w:tc>
          <w:tcPr>
            <w:tcW w:w="2702" w:type="pct"/>
            <w:tcBorders>
              <w:tl2br w:val="nil"/>
              <w:tr2bl w:val="nil"/>
            </w:tcBorders>
            <w:vAlign w:val="center"/>
          </w:tcPr>
          <w:p w14:paraId="446C753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专项审计或鉴证报告</w:t>
            </w:r>
            <w:r>
              <w:rPr>
                <w:rFonts w:hint="eastAsia" w:ascii="宋体"/>
                <w:kern w:val="0"/>
                <w:sz w:val="18"/>
                <w:szCs w:val="18"/>
                <w:highlight w:val="none"/>
                <w:vertAlign w:val="superscript"/>
                <w:lang w:val="en-US" w:eastAsia="zh-CN"/>
              </w:rPr>
              <w:t>c</w:t>
            </w:r>
          </w:p>
        </w:tc>
      </w:tr>
      <w:tr w14:paraId="747003C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3C7FAD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65EB24E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51CA0D6D">
            <w:pPr>
              <w:keepNext w:val="0"/>
              <w:keepLines w:val="0"/>
              <w:suppressLineNumbers w:val="0"/>
              <w:autoSpaceDE w:val="0"/>
              <w:autoSpaceDN w:val="0"/>
              <w:spacing w:before="0" w:beforeAutospacing="0" w:after="0" w:afterAutospacing="0"/>
              <w:ind w:left="0" w:right="0"/>
              <w:jc w:val="center"/>
              <w:rPr>
                <w:rFonts w:hint="default" w:ascii="宋体" w:eastAsia="宋体"/>
                <w:sz w:val="18"/>
                <w:szCs w:val="18"/>
                <w:highlight w:val="none"/>
                <w:lang w:val="en-US" w:eastAsia="zh-CN"/>
              </w:rPr>
            </w:pPr>
            <w:r>
              <w:rPr>
                <w:rFonts w:hint="eastAsia" w:ascii="宋体"/>
                <w:sz w:val="18"/>
                <w:szCs w:val="18"/>
                <w:highlight w:val="none"/>
                <w:lang w:val="en-US" w:eastAsia="zh-CN"/>
              </w:rPr>
              <w:t>运营效益水平</w:t>
            </w:r>
          </w:p>
        </w:tc>
        <w:tc>
          <w:tcPr>
            <w:tcW w:w="2702" w:type="pct"/>
            <w:tcBorders>
              <w:tl2br w:val="nil"/>
              <w:tr2bl w:val="nil"/>
            </w:tcBorders>
            <w:vAlign w:val="center"/>
          </w:tcPr>
          <w:p w14:paraId="7190784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财务审计报告</w:t>
            </w:r>
            <w:r>
              <w:rPr>
                <w:rFonts w:hint="eastAsia" w:ascii="宋体"/>
                <w:kern w:val="0"/>
                <w:sz w:val="18"/>
                <w:szCs w:val="18"/>
                <w:highlight w:val="none"/>
                <w:vertAlign w:val="superscript"/>
                <w:lang w:val="en-US" w:eastAsia="zh-CN"/>
              </w:rPr>
              <w:t>d</w:t>
            </w:r>
          </w:p>
        </w:tc>
      </w:tr>
      <w:tr w14:paraId="439D05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6A7D5AB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restart"/>
            <w:tcBorders>
              <w:tl2br w:val="nil"/>
              <w:tr2bl w:val="nil"/>
            </w:tcBorders>
            <w:vAlign w:val="center"/>
          </w:tcPr>
          <w:p w14:paraId="356A314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市场影响</w:t>
            </w:r>
          </w:p>
        </w:tc>
        <w:tc>
          <w:tcPr>
            <w:tcW w:w="1144" w:type="pct"/>
            <w:tcBorders>
              <w:tl2br w:val="nil"/>
              <w:tr2bl w:val="nil"/>
            </w:tcBorders>
            <w:vAlign w:val="center"/>
          </w:tcPr>
          <w:p w14:paraId="4F05459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市场竞争力</w:t>
            </w:r>
          </w:p>
        </w:tc>
        <w:tc>
          <w:tcPr>
            <w:tcW w:w="2702" w:type="pct"/>
            <w:tcBorders>
              <w:tl2br w:val="nil"/>
              <w:tr2bl w:val="nil"/>
            </w:tcBorders>
            <w:vAlign w:val="center"/>
          </w:tcPr>
          <w:p w14:paraId="07CAA35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2A920F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52B801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4D9E980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98AADD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产业影响力</w:t>
            </w:r>
          </w:p>
        </w:tc>
        <w:tc>
          <w:tcPr>
            <w:tcW w:w="2702" w:type="pct"/>
            <w:tcBorders>
              <w:tl2br w:val="nil"/>
              <w:tr2bl w:val="nil"/>
            </w:tcBorders>
            <w:vAlign w:val="center"/>
          </w:tcPr>
          <w:p w14:paraId="79CEE6B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企业相关自证材料</w:t>
            </w:r>
          </w:p>
        </w:tc>
      </w:tr>
    </w:tbl>
    <w:p w14:paraId="4F012369">
      <w:pPr>
        <w:numPr>
          <w:ilvl w:val="0"/>
          <w:numId w:val="0"/>
        </w:numPr>
        <w:spacing w:before="156" w:beforeLines="50" w:after="156" w:afterLines="50"/>
        <w:ind w:leftChars="0"/>
        <w:jc w:val="center"/>
        <w:rPr>
          <w:rFonts w:hint="eastAsia" w:asciiTheme="majorEastAsia" w:hAnsiTheme="majorEastAsia" w:eastAsiaTheme="majorEastAsia" w:cstheme="majorEastAsia"/>
          <w:highlight w:val="none"/>
          <w:lang w:eastAsia="zh-CN"/>
        </w:rPr>
      </w:pPr>
      <w:r>
        <w:rPr>
          <w:rFonts w:hint="eastAsia" w:ascii="黑体" w:hAnsi="黑体" w:eastAsia="黑体" w:cs="黑体"/>
          <w:highlight w:val="none"/>
          <w:lang w:val="en-US" w:eastAsia="zh-CN"/>
        </w:rPr>
        <w:t>表25  环境基础设</w:t>
      </w:r>
      <w:r>
        <w:rPr>
          <w:rFonts w:hint="eastAsia" w:eastAsia="黑体"/>
          <w:highlight w:val="none"/>
          <w:lang w:val="en-US" w:eastAsia="zh-CN"/>
        </w:rPr>
        <w:t>施领域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综合</w:t>
      </w:r>
      <w:r>
        <w:rPr>
          <w:rFonts w:eastAsia="黑体"/>
          <w:highlight w:val="none"/>
        </w:rPr>
        <w:t>评价证明材料</w:t>
      </w:r>
      <w:r>
        <w:rPr>
          <w:rFonts w:hint="eastAsia" w:asciiTheme="majorEastAsia" w:hAnsiTheme="majorEastAsia" w:eastAsiaTheme="majorEastAsia" w:cstheme="majorEastAsia"/>
          <w:highlight w:val="none"/>
          <w:lang w:eastAsia="zh-CN"/>
        </w:rPr>
        <w:t>（</w:t>
      </w:r>
      <w:r>
        <w:rPr>
          <w:rFonts w:hint="eastAsia" w:asciiTheme="majorEastAsia" w:hAnsiTheme="majorEastAsia" w:eastAsiaTheme="majorEastAsia" w:cstheme="majorEastAsia"/>
          <w:highlight w:val="none"/>
          <w:lang w:val="en-US" w:eastAsia="zh-CN"/>
        </w:rPr>
        <w:t>续</w:t>
      </w:r>
      <w:r>
        <w:rPr>
          <w:rFonts w:hint="eastAsia" w:asciiTheme="majorEastAsia" w:hAnsiTheme="majorEastAsia" w:eastAsiaTheme="majorEastAsia" w:cstheme="majorEastAsia"/>
          <w:highlight w:val="none"/>
          <w:lang w:eastAsia="zh-CN"/>
        </w:rPr>
        <w:t>）</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64"/>
        <w:gridCol w:w="1138"/>
        <w:gridCol w:w="2189"/>
        <w:gridCol w:w="5168"/>
      </w:tblGrid>
      <w:tr w14:paraId="6E309C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1066" w:type="dxa"/>
            <w:tcBorders>
              <w:bottom w:val="single" w:color="000000" w:sz="12" w:space="0"/>
            </w:tcBorders>
            <w:vAlign w:val="center"/>
          </w:tcPr>
          <w:p w14:paraId="10A7F8BB">
            <w:pPr>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jc w:val="center"/>
              <w:rPr>
                <w:rFonts w:hint="default" w:ascii="宋体"/>
                <w:kern w:val="0"/>
                <w:sz w:val="18"/>
                <w:szCs w:val="18"/>
                <w:highlight w:val="none"/>
              </w:rPr>
            </w:pPr>
            <w:r>
              <w:rPr>
                <w:rFonts w:hint="eastAsia" w:ascii="宋体" w:hAnsi="宋体" w:eastAsia="宋体" w:cs="宋体"/>
                <w:b/>
                <w:bCs w:val="0"/>
                <w:kern w:val="0"/>
                <w:sz w:val="18"/>
                <w:szCs w:val="18"/>
                <w:lang w:val="en-US" w:eastAsia="zh-CN" w:bidi="ar"/>
              </w:rPr>
              <w:t>一级指标</w:t>
            </w:r>
          </w:p>
        </w:tc>
        <w:tc>
          <w:tcPr>
            <w:tcW w:w="1138" w:type="dxa"/>
            <w:tcBorders>
              <w:bottom w:val="single" w:color="000000" w:sz="12" w:space="0"/>
            </w:tcBorders>
            <w:vAlign w:val="center"/>
          </w:tcPr>
          <w:p w14:paraId="6535AB90">
            <w:pPr>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jc w:val="center"/>
              <w:rPr>
                <w:rFonts w:hint="default" w:ascii="宋体"/>
                <w:kern w:val="0"/>
                <w:sz w:val="18"/>
                <w:szCs w:val="18"/>
                <w:highlight w:val="none"/>
              </w:rPr>
            </w:pPr>
            <w:r>
              <w:rPr>
                <w:rFonts w:hint="eastAsia" w:ascii="宋体" w:hAnsi="宋体" w:eastAsia="宋体" w:cs="宋体"/>
                <w:b/>
                <w:bCs w:val="0"/>
                <w:kern w:val="0"/>
                <w:sz w:val="18"/>
                <w:szCs w:val="18"/>
                <w:lang w:val="en-US" w:eastAsia="zh-CN" w:bidi="ar"/>
              </w:rPr>
              <w:t>二级指标</w:t>
            </w:r>
          </w:p>
        </w:tc>
        <w:tc>
          <w:tcPr>
            <w:tcW w:w="2189" w:type="dxa"/>
            <w:tcBorders>
              <w:bottom w:val="single" w:color="000000" w:sz="12" w:space="0"/>
            </w:tcBorders>
            <w:vAlign w:val="center"/>
          </w:tcPr>
          <w:p w14:paraId="50652FA2">
            <w:pPr>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jc w:val="center"/>
              <w:rPr>
                <w:rFonts w:hint="default" w:ascii="宋体"/>
                <w:sz w:val="18"/>
                <w:szCs w:val="18"/>
                <w:highlight w:val="none"/>
              </w:rPr>
            </w:pPr>
            <w:r>
              <w:rPr>
                <w:rFonts w:hint="eastAsia" w:ascii="宋体" w:hAnsi="宋体" w:eastAsia="宋体" w:cs="宋体"/>
                <w:b/>
                <w:bCs w:val="0"/>
                <w:kern w:val="0"/>
                <w:sz w:val="18"/>
                <w:szCs w:val="18"/>
                <w:lang w:val="en-US" w:eastAsia="zh-CN" w:bidi="ar"/>
              </w:rPr>
              <w:t>三级指标</w:t>
            </w:r>
          </w:p>
        </w:tc>
        <w:tc>
          <w:tcPr>
            <w:tcW w:w="5166" w:type="dxa"/>
            <w:tcBorders>
              <w:bottom w:val="single" w:color="000000" w:sz="12" w:space="0"/>
            </w:tcBorders>
            <w:vAlign w:val="center"/>
          </w:tcPr>
          <w:p w14:paraId="51DDF33A">
            <w:pPr>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jc w:val="center"/>
              <w:rPr>
                <w:rFonts w:hint="eastAsia" w:ascii="宋体"/>
                <w:kern w:val="0"/>
                <w:sz w:val="18"/>
                <w:szCs w:val="18"/>
                <w:highlight w:val="none"/>
              </w:rPr>
            </w:pPr>
            <w:r>
              <w:rPr>
                <w:rFonts w:hint="eastAsia" w:ascii="宋体" w:hAnsi="宋体" w:eastAsia="宋体" w:cs="宋体"/>
                <w:b/>
                <w:bCs w:val="0"/>
                <w:kern w:val="0"/>
                <w:sz w:val="18"/>
                <w:szCs w:val="18"/>
                <w:lang w:val="en-US" w:eastAsia="zh-CN" w:bidi="ar"/>
              </w:rPr>
              <w:t>证明材料</w:t>
            </w:r>
          </w:p>
        </w:tc>
      </w:tr>
      <w:tr w14:paraId="41979A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tcBorders>
              <w:top w:val="single" w:color="000000" w:sz="12" w:space="0"/>
              <w:tl2br w:val="nil"/>
              <w:tr2bl w:val="nil"/>
            </w:tcBorders>
            <w:vAlign w:val="center"/>
          </w:tcPr>
          <w:p w14:paraId="594D166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业务表现</w:t>
            </w:r>
          </w:p>
        </w:tc>
        <w:tc>
          <w:tcPr>
            <w:tcW w:w="595" w:type="pct"/>
            <w:tcBorders>
              <w:top w:val="single" w:color="000000" w:sz="12" w:space="0"/>
              <w:tl2br w:val="nil"/>
              <w:tr2bl w:val="nil"/>
            </w:tcBorders>
            <w:vAlign w:val="center"/>
          </w:tcPr>
          <w:p w14:paraId="1541457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市场影响</w:t>
            </w:r>
          </w:p>
        </w:tc>
        <w:tc>
          <w:tcPr>
            <w:tcW w:w="1144" w:type="pct"/>
            <w:tcBorders>
              <w:top w:val="single" w:color="000000" w:sz="12" w:space="0"/>
              <w:tl2br w:val="nil"/>
              <w:tr2bl w:val="nil"/>
            </w:tcBorders>
            <w:vAlign w:val="center"/>
          </w:tcPr>
          <w:p w14:paraId="56A5F0F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行业资质</w:t>
            </w:r>
            <w:r>
              <w:rPr>
                <w:rFonts w:hint="eastAsia" w:ascii="宋体"/>
                <w:sz w:val="18"/>
                <w:szCs w:val="18"/>
                <w:highlight w:val="none"/>
              </w:rPr>
              <w:t>荣誉</w:t>
            </w:r>
          </w:p>
        </w:tc>
        <w:tc>
          <w:tcPr>
            <w:tcW w:w="2702" w:type="pct"/>
            <w:tcBorders>
              <w:top w:val="single" w:color="000000" w:sz="12" w:space="0"/>
              <w:tl2br w:val="nil"/>
              <w:tr2bl w:val="nil"/>
            </w:tcBorders>
            <w:vAlign w:val="center"/>
          </w:tcPr>
          <w:p w14:paraId="06B4BA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相关机构颁发的证明文件</w:t>
            </w:r>
          </w:p>
        </w:tc>
      </w:tr>
      <w:tr w14:paraId="33C2848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restart"/>
            <w:tcBorders>
              <w:tl2br w:val="nil"/>
              <w:tr2bl w:val="nil"/>
            </w:tcBorders>
            <w:vAlign w:val="center"/>
          </w:tcPr>
          <w:p w14:paraId="45978BF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环境表现</w:t>
            </w:r>
          </w:p>
        </w:tc>
        <w:tc>
          <w:tcPr>
            <w:tcW w:w="1740" w:type="pct"/>
            <w:gridSpan w:val="2"/>
            <w:tcBorders>
              <w:tl2br w:val="nil"/>
              <w:tr2bl w:val="nil"/>
            </w:tcBorders>
            <w:vAlign w:val="center"/>
          </w:tcPr>
          <w:p w14:paraId="26B28BD5">
            <w:pPr>
              <w:keepNext w:val="0"/>
              <w:keepLines w:val="0"/>
              <w:suppressLineNumbers w:val="0"/>
              <w:autoSpaceDE w:val="0"/>
              <w:autoSpaceDN w:val="0"/>
              <w:spacing w:before="0" w:beforeAutospacing="0" w:after="0" w:afterAutospacing="0"/>
              <w:ind w:left="0" w:right="0"/>
              <w:jc w:val="center"/>
              <w:rPr>
                <w:rFonts w:hint="default" w:ascii="宋体" w:hAnsi="Times New Roman" w:eastAsia="宋体" w:cs="Times New Roman"/>
                <w:kern w:val="0"/>
                <w:sz w:val="18"/>
                <w:szCs w:val="18"/>
                <w:highlight w:val="none"/>
                <w:lang w:val="en-US" w:eastAsia="zh-CN" w:bidi="ar-SA"/>
              </w:rPr>
            </w:pPr>
            <w:r>
              <w:rPr>
                <w:rFonts w:hint="eastAsia" w:ascii="宋体"/>
                <w:kern w:val="0"/>
                <w:sz w:val="18"/>
                <w:szCs w:val="18"/>
                <w:highlight w:val="none"/>
              </w:rPr>
              <w:t>温室气体排放水平</w:t>
            </w:r>
          </w:p>
        </w:tc>
        <w:tc>
          <w:tcPr>
            <w:tcW w:w="2702" w:type="pct"/>
            <w:tcBorders>
              <w:tl2br w:val="nil"/>
              <w:tr2bl w:val="nil"/>
            </w:tcBorders>
            <w:vAlign w:val="center"/>
          </w:tcPr>
          <w:p w14:paraId="2D3EDEC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Times New Roman" w:eastAsia="宋体" w:cs="Times New Roman"/>
                <w:kern w:val="0"/>
                <w:sz w:val="18"/>
                <w:szCs w:val="18"/>
                <w:highlight w:val="none"/>
                <w:lang w:val="en-US" w:eastAsia="zh-CN" w:bidi="ar-SA"/>
              </w:rPr>
            </w:pPr>
            <w:r>
              <w:rPr>
                <w:rFonts w:hint="eastAsia" w:ascii="宋体"/>
                <w:kern w:val="0"/>
                <w:sz w:val="18"/>
                <w:szCs w:val="18"/>
                <w:highlight w:val="none"/>
                <w:lang w:val="en-US" w:eastAsia="zh-CN"/>
              </w:rPr>
              <w:t>温室气体核算</w:t>
            </w:r>
            <w:r>
              <w:rPr>
                <w:rFonts w:hint="default" w:ascii="宋体"/>
                <w:kern w:val="0"/>
                <w:sz w:val="18"/>
                <w:szCs w:val="18"/>
                <w:highlight w:val="none"/>
              </w:rPr>
              <w:t>报告</w:t>
            </w:r>
            <w:r>
              <w:rPr>
                <w:rFonts w:hint="eastAsia" w:ascii="宋体"/>
                <w:kern w:val="0"/>
                <w:sz w:val="18"/>
                <w:szCs w:val="18"/>
                <w:highlight w:val="none"/>
                <w:vertAlign w:val="superscript"/>
                <w:lang w:val="en-US" w:eastAsia="zh-CN"/>
              </w:rPr>
              <w:t>e</w:t>
            </w:r>
          </w:p>
        </w:tc>
      </w:tr>
      <w:tr w14:paraId="5E2D750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7A105FF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3792607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工艺设备材料</w:t>
            </w:r>
          </w:p>
        </w:tc>
        <w:tc>
          <w:tcPr>
            <w:tcW w:w="2702" w:type="pct"/>
            <w:tcBorders>
              <w:tl2br w:val="nil"/>
              <w:tr2bl w:val="nil"/>
            </w:tcBorders>
            <w:vAlign w:val="center"/>
          </w:tcPr>
          <w:p w14:paraId="238B787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2B2BB6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1BA2DA1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229EEDB5">
            <w:pPr>
              <w:keepNext w:val="0"/>
              <w:keepLines w:val="0"/>
              <w:suppressLineNumbers w:val="0"/>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能源资源利用</w:t>
            </w:r>
          </w:p>
        </w:tc>
        <w:tc>
          <w:tcPr>
            <w:tcW w:w="2702" w:type="pct"/>
            <w:tcBorders>
              <w:tl2br w:val="nil"/>
              <w:tr2bl w:val="nil"/>
            </w:tcBorders>
            <w:vAlign w:val="center"/>
          </w:tcPr>
          <w:p w14:paraId="204E9FD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624547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tl2br w:val="nil"/>
              <w:tr2bl w:val="nil"/>
            </w:tcBorders>
            <w:vAlign w:val="center"/>
          </w:tcPr>
          <w:p w14:paraId="79F2105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6588B1A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污染物排放水平</w:t>
            </w:r>
          </w:p>
        </w:tc>
        <w:tc>
          <w:tcPr>
            <w:tcW w:w="2702" w:type="pct"/>
            <w:tcBorders>
              <w:tl2br w:val="nil"/>
              <w:tr2bl w:val="nil"/>
            </w:tcBorders>
            <w:vAlign w:val="center"/>
          </w:tcPr>
          <w:p w14:paraId="12233F3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全国污染源监测数据管理与共享系统平台的自行监测数据</w:t>
            </w:r>
          </w:p>
        </w:tc>
      </w:tr>
      <w:tr w14:paraId="7EE2818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restart"/>
            <w:tcBorders>
              <w:tl2br w:val="nil"/>
              <w:tr2bl w:val="nil"/>
            </w:tcBorders>
            <w:vAlign w:val="center"/>
          </w:tcPr>
          <w:p w14:paraId="0E37BD7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社会表现</w:t>
            </w:r>
          </w:p>
        </w:tc>
        <w:tc>
          <w:tcPr>
            <w:tcW w:w="1740" w:type="pct"/>
            <w:gridSpan w:val="2"/>
            <w:tcBorders>
              <w:tl2br w:val="nil"/>
              <w:tr2bl w:val="nil"/>
            </w:tcBorders>
            <w:vAlign w:val="center"/>
          </w:tcPr>
          <w:p w14:paraId="0E756DEA">
            <w:pPr>
              <w:keepNext w:val="0"/>
              <w:keepLines w:val="0"/>
              <w:widowControl/>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内部行动</w:t>
            </w:r>
          </w:p>
        </w:tc>
        <w:tc>
          <w:tcPr>
            <w:tcW w:w="2702" w:type="pct"/>
            <w:tcBorders>
              <w:tl2br w:val="nil"/>
              <w:tr2bl w:val="nil"/>
            </w:tcBorders>
            <w:vAlign w:val="center"/>
          </w:tcPr>
          <w:p w14:paraId="3C5539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企业相关自证材料</w:t>
            </w:r>
          </w:p>
        </w:tc>
      </w:tr>
      <w:tr w14:paraId="50C188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7" w:type="pct"/>
            <w:vMerge w:val="continue"/>
            <w:tcBorders>
              <w:bottom w:val="single" w:color="000000" w:sz="12" w:space="0"/>
              <w:tl2br w:val="nil"/>
              <w:tr2bl w:val="nil"/>
            </w:tcBorders>
            <w:vAlign w:val="center"/>
          </w:tcPr>
          <w:p w14:paraId="42A4AEC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bottom w:val="single" w:color="000000" w:sz="12" w:space="0"/>
              <w:tl2br w:val="nil"/>
              <w:tr2bl w:val="nil"/>
            </w:tcBorders>
            <w:vAlign w:val="center"/>
          </w:tcPr>
          <w:p w14:paraId="23861B4F">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kern w:val="0"/>
                <w:sz w:val="18"/>
                <w:szCs w:val="18"/>
                <w:highlight w:val="none"/>
              </w:rPr>
              <w:t>社会责任</w:t>
            </w:r>
          </w:p>
        </w:tc>
        <w:tc>
          <w:tcPr>
            <w:tcW w:w="2702" w:type="pct"/>
            <w:tcBorders>
              <w:bottom w:val="single" w:color="000000" w:sz="12" w:space="0"/>
              <w:tl2br w:val="nil"/>
              <w:tr2bl w:val="nil"/>
            </w:tcBorders>
            <w:vAlign w:val="center"/>
          </w:tcPr>
          <w:p w14:paraId="6884D71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1CD59CD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4"/>
            <w:tcBorders>
              <w:top w:val="single" w:color="000000" w:sz="12" w:space="0"/>
            </w:tcBorders>
            <w:vAlign w:val="center"/>
          </w:tcPr>
          <w:p w14:paraId="52B429DB">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bookmarkStart w:id="94" w:name="_Toc23498"/>
            <w:r>
              <w:rPr>
                <w:rFonts w:hint="eastAsia" w:ascii="宋体"/>
                <w:kern w:val="0"/>
                <w:sz w:val="18"/>
                <w:szCs w:val="18"/>
                <w:highlight w:val="none"/>
                <w:vertAlign w:val="superscript"/>
                <w:lang w:val="en-US" w:eastAsia="zh-CN"/>
              </w:rPr>
              <w:t>a</w:t>
            </w:r>
            <w:r>
              <w:rPr>
                <w:rFonts w:hint="eastAsia" w:ascii="宋体"/>
                <w:kern w:val="0"/>
                <w:sz w:val="18"/>
                <w:szCs w:val="18"/>
                <w:highlight w:val="none"/>
                <w:vertAlign w:val="baseline"/>
                <w:lang w:val="en-US" w:eastAsia="zh-CN"/>
              </w:rPr>
              <w:t xml:space="preserve">  </w:t>
            </w:r>
            <w:r>
              <w:rPr>
                <w:rFonts w:hint="eastAsia" w:ascii="宋体"/>
                <w:kern w:val="0"/>
                <w:sz w:val="18"/>
                <w:szCs w:val="18"/>
                <w:highlight w:val="none"/>
                <w:lang w:val="en-US" w:eastAsia="zh-CN"/>
              </w:rPr>
              <w:t>提供能证明技术产品（服务）的关键技术和技术指标的相关材料。</w:t>
            </w:r>
          </w:p>
          <w:p w14:paraId="4A44C439">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b</w:t>
            </w:r>
            <w:r>
              <w:rPr>
                <w:rFonts w:hint="eastAsia" w:ascii="宋体"/>
                <w:kern w:val="0"/>
                <w:sz w:val="18"/>
                <w:szCs w:val="18"/>
                <w:highlight w:val="none"/>
                <w:lang w:val="en-US" w:eastAsia="zh-CN"/>
              </w:rPr>
              <w:t xml:space="preserve">  提供环境效益测算的过程材料以及相关佐证材料。</w:t>
            </w:r>
          </w:p>
          <w:p w14:paraId="0517733A">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c</w:t>
            </w:r>
            <w:r>
              <w:rPr>
                <w:rFonts w:hint="eastAsia" w:ascii="宋体"/>
                <w:kern w:val="0"/>
                <w:sz w:val="18"/>
                <w:szCs w:val="18"/>
                <w:highlight w:val="none"/>
                <w:lang w:val="en-US" w:eastAsia="zh-CN"/>
              </w:rPr>
              <w:t xml:space="preserve">  提供近1个会计年度绿色低碳领域研究开发费用、营业收入专项审计或鉴证报告。</w:t>
            </w:r>
          </w:p>
          <w:p w14:paraId="6DD8FA16">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d</w:t>
            </w:r>
            <w:r>
              <w:rPr>
                <w:rFonts w:hint="eastAsia" w:ascii="宋体"/>
                <w:kern w:val="0"/>
                <w:sz w:val="18"/>
                <w:szCs w:val="18"/>
                <w:highlight w:val="none"/>
                <w:lang w:val="en-US" w:eastAsia="zh-CN"/>
              </w:rPr>
              <w:t xml:space="preserve">  提供经具有资质的中介机构出具的企业近3年财务审计报告。</w:t>
            </w:r>
          </w:p>
          <w:p w14:paraId="184442D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591" w:leftChars="171" w:right="0" w:hanging="232" w:hangingChars="129"/>
              <w:jc w:val="left"/>
              <w:textAlignment w:val="auto"/>
              <w:rPr>
                <w:rFonts w:hint="default" w:ascii="宋体"/>
                <w:kern w:val="0"/>
                <w:sz w:val="18"/>
                <w:szCs w:val="18"/>
                <w:highlight w:val="none"/>
                <w:lang w:val="en-US" w:eastAsia="zh-CN"/>
              </w:rPr>
            </w:pPr>
            <w:r>
              <w:rPr>
                <w:rFonts w:hint="eastAsia" w:ascii="宋体"/>
                <w:kern w:val="0"/>
                <w:sz w:val="18"/>
                <w:szCs w:val="18"/>
                <w:highlight w:val="none"/>
                <w:vertAlign w:val="superscript"/>
                <w:lang w:val="en-US" w:eastAsia="zh-CN"/>
              </w:rPr>
              <w:t>e</w:t>
            </w:r>
            <w:r>
              <w:rPr>
                <w:rFonts w:hint="eastAsia" w:ascii="宋体"/>
                <w:kern w:val="0"/>
                <w:sz w:val="18"/>
                <w:szCs w:val="18"/>
                <w:highlight w:val="none"/>
                <w:lang w:val="en-US" w:eastAsia="zh-CN"/>
              </w:rPr>
              <w:t xml:space="preserve">  提供碳排放核查机构出具的报告，或企事业单位参照GB/T 32150、SZDB/Z 69等相关政府职能部门印发的规范性文件编制的温室气体核算报告。</w:t>
            </w:r>
          </w:p>
        </w:tc>
      </w:tr>
    </w:tbl>
    <w:p w14:paraId="05739EB8">
      <w:pPr>
        <w:numPr>
          <w:ilvl w:val="0"/>
          <w:numId w:val="17"/>
        </w:numPr>
        <w:spacing w:before="156" w:beforeLines="50" w:after="156" w:afterLines="50"/>
        <w:ind w:left="0" w:firstLine="0"/>
        <w:jc w:val="center"/>
        <w:rPr>
          <w:highlight w:val="none"/>
        </w:rPr>
      </w:pPr>
      <w:r>
        <w:rPr>
          <w:rFonts w:hint="eastAsia" w:eastAsia="黑体"/>
          <w:highlight w:val="none"/>
          <w:lang w:val="en-US" w:eastAsia="zh-CN"/>
        </w:rPr>
        <w:t>环境基础设施领域</w:t>
      </w:r>
      <w:r>
        <w:rPr>
          <w:rFonts w:hint="eastAsia" w:eastAsia="黑体"/>
          <w:highlight w:val="none"/>
          <w:lang w:eastAsia="zh-CN"/>
        </w:rPr>
        <w:t>绿色低碳产业</w:t>
      </w:r>
      <w:r>
        <w:rPr>
          <w:rFonts w:hint="eastAsia" w:eastAsia="黑体"/>
          <w:highlight w:val="none"/>
          <w:lang w:val="en-US" w:eastAsia="zh-CN"/>
        </w:rPr>
        <w:t>项目认定</w:t>
      </w:r>
      <w:r>
        <w:rPr>
          <w:rFonts w:hint="eastAsia" w:eastAsia="黑体"/>
          <w:highlight w:val="none"/>
        </w:rPr>
        <w:t>符合性评价证明材料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95"/>
        <w:gridCol w:w="5436"/>
        <w:gridCol w:w="3028"/>
      </w:tblGrid>
      <w:tr w14:paraId="79E5E4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573" w:type="pct"/>
            <w:tcBorders>
              <w:bottom w:val="single" w:color="000000" w:sz="12" w:space="0"/>
            </w:tcBorders>
            <w:vAlign w:val="center"/>
          </w:tcPr>
          <w:p w14:paraId="2F88274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指标</w:t>
            </w:r>
          </w:p>
        </w:tc>
        <w:tc>
          <w:tcPr>
            <w:tcW w:w="2842" w:type="pct"/>
            <w:tcBorders>
              <w:bottom w:val="single" w:color="000000" w:sz="12" w:space="0"/>
            </w:tcBorders>
            <w:vAlign w:val="center"/>
          </w:tcPr>
          <w:p w14:paraId="0909967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评价内容</w:t>
            </w:r>
          </w:p>
        </w:tc>
        <w:tc>
          <w:tcPr>
            <w:tcW w:w="1583" w:type="pct"/>
            <w:tcBorders>
              <w:bottom w:val="single" w:color="000000" w:sz="12" w:space="0"/>
            </w:tcBorders>
            <w:vAlign w:val="center"/>
          </w:tcPr>
          <w:p w14:paraId="22306F7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3D9109C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73" w:type="pct"/>
            <w:tcBorders>
              <w:top w:val="single" w:color="000000" w:sz="12" w:space="0"/>
              <w:tl2br w:val="nil"/>
              <w:tr2bl w:val="nil"/>
            </w:tcBorders>
            <w:vAlign w:val="center"/>
          </w:tcPr>
          <w:p w14:paraId="5CACE3B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目录符合</w:t>
            </w:r>
          </w:p>
        </w:tc>
        <w:tc>
          <w:tcPr>
            <w:tcW w:w="2842" w:type="pct"/>
            <w:tcBorders>
              <w:top w:val="single" w:color="000000" w:sz="12" w:space="0"/>
              <w:tl2br w:val="nil"/>
              <w:tr2bl w:val="nil"/>
            </w:tcBorders>
            <w:vAlign w:val="center"/>
          </w:tcPr>
          <w:p w14:paraId="049BD4D8">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sz w:val="18"/>
                <w:szCs w:val="18"/>
                <w:highlight w:val="none"/>
                <w:lang w:val="en-US" w:eastAsia="zh-CN"/>
              </w:rPr>
              <w:t>项目</w:t>
            </w:r>
            <w:r>
              <w:rPr>
                <w:rFonts w:hint="eastAsia" w:ascii="宋体"/>
                <w:sz w:val="18"/>
                <w:szCs w:val="18"/>
                <w:highlight w:val="none"/>
              </w:rPr>
              <w:t>属于</w:t>
            </w:r>
            <w:r>
              <w:rPr>
                <w:rFonts w:hint="eastAsia" w:ascii="宋体"/>
                <w:sz w:val="18"/>
                <w:szCs w:val="18"/>
                <w:highlight w:val="none"/>
                <w:lang w:val="en-US" w:eastAsia="zh-CN"/>
              </w:rPr>
              <w:t>环境基础设施领域，或在当地具备一定市场规模、经相关政府职能部门认可的其他相关行业</w:t>
            </w:r>
          </w:p>
        </w:tc>
        <w:tc>
          <w:tcPr>
            <w:tcW w:w="1583" w:type="pct"/>
            <w:tcBorders>
              <w:top w:val="single" w:color="000000" w:sz="12" w:space="0"/>
              <w:tl2br w:val="nil"/>
              <w:tr2bl w:val="nil"/>
            </w:tcBorders>
            <w:vAlign w:val="center"/>
          </w:tcPr>
          <w:p w14:paraId="167060A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val="en-US" w:eastAsia="zh-CN"/>
              </w:rPr>
            </w:pPr>
            <w:r>
              <w:rPr>
                <w:rFonts w:hint="default" w:ascii="宋体"/>
                <w:kern w:val="0"/>
                <w:sz w:val="18"/>
                <w:szCs w:val="18"/>
                <w:highlight w:val="none"/>
              </w:rPr>
              <w:t>有效营业执照</w:t>
            </w:r>
          </w:p>
        </w:tc>
      </w:tr>
      <w:tr w14:paraId="6B6B8D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73" w:type="pct"/>
            <w:tcBorders>
              <w:bottom w:val="single" w:color="000000" w:sz="12" w:space="0"/>
              <w:tl2br w:val="nil"/>
              <w:tr2bl w:val="nil"/>
            </w:tcBorders>
            <w:vAlign w:val="center"/>
          </w:tcPr>
          <w:p w14:paraId="5F89223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技术符合</w:t>
            </w:r>
          </w:p>
        </w:tc>
        <w:tc>
          <w:tcPr>
            <w:tcW w:w="2842" w:type="pct"/>
            <w:tcBorders>
              <w:bottom w:val="single" w:color="000000" w:sz="12" w:space="0"/>
              <w:tl2br w:val="nil"/>
              <w:tr2bl w:val="nil"/>
            </w:tcBorders>
            <w:vAlign w:val="center"/>
          </w:tcPr>
          <w:p w14:paraId="0E3B426F">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eastAsia" w:ascii="宋体" w:eastAsia="宋体"/>
                <w:kern w:val="0"/>
                <w:sz w:val="18"/>
                <w:szCs w:val="18"/>
                <w:highlight w:val="none"/>
                <w:lang w:val="en-US" w:eastAsia="zh-CN"/>
              </w:rPr>
            </w:pPr>
            <w:r>
              <w:rPr>
                <w:rFonts w:hint="eastAsia" w:ascii="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583" w:type="pct"/>
            <w:tcBorders>
              <w:bottom w:val="single" w:color="000000" w:sz="12" w:space="0"/>
              <w:tl2br w:val="nil"/>
              <w:tr2bl w:val="nil"/>
            </w:tcBorders>
            <w:vAlign w:val="center"/>
          </w:tcPr>
          <w:p w14:paraId="7CE4219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left"/>
              <w:rPr>
                <w:rFonts w:hint="default" w:ascii="宋体"/>
                <w:kern w:val="0"/>
                <w:sz w:val="18"/>
                <w:szCs w:val="18"/>
                <w:highlight w:val="none"/>
              </w:rPr>
            </w:pPr>
            <w:r>
              <w:rPr>
                <w:rFonts w:hint="default" w:ascii="宋体"/>
                <w:kern w:val="0"/>
                <w:sz w:val="18"/>
                <w:szCs w:val="18"/>
                <w:highlight w:val="none"/>
              </w:rPr>
              <w:t>第三方检验报告及相关证明材料</w:t>
            </w:r>
          </w:p>
        </w:tc>
      </w:tr>
    </w:tbl>
    <w:p w14:paraId="72C15090">
      <w:pPr>
        <w:numPr>
          <w:ilvl w:val="0"/>
          <w:numId w:val="17"/>
        </w:numPr>
        <w:spacing w:before="156" w:beforeLines="50" w:after="156" w:afterLines="50"/>
        <w:ind w:left="0" w:firstLine="0"/>
        <w:jc w:val="center"/>
        <w:rPr>
          <w:highlight w:val="none"/>
        </w:rPr>
      </w:pPr>
      <w:r>
        <w:rPr>
          <w:rFonts w:hint="eastAsia" w:eastAsia="黑体"/>
          <w:highlight w:val="none"/>
          <w:lang w:val="en-US" w:eastAsia="zh-CN"/>
        </w:rPr>
        <w:t>环境基础设施领域</w:t>
      </w:r>
      <w:r>
        <w:rPr>
          <w:rFonts w:hint="eastAsia" w:eastAsia="黑体"/>
          <w:highlight w:val="none"/>
          <w:lang w:eastAsia="zh-CN"/>
        </w:rPr>
        <w:t>绿色低碳产业</w:t>
      </w:r>
      <w:r>
        <w:rPr>
          <w:rFonts w:hint="eastAsia" w:eastAsia="黑体"/>
          <w:highlight w:val="none"/>
          <w:lang w:val="en-US" w:eastAsia="zh-CN"/>
        </w:rPr>
        <w:t>项目认定</w:t>
      </w:r>
      <w:r>
        <w:rPr>
          <w:rFonts w:hint="eastAsia" w:eastAsia="黑体"/>
          <w:highlight w:val="none"/>
        </w:rPr>
        <w:t>综合</w:t>
      </w:r>
      <w:r>
        <w:rPr>
          <w:rFonts w:eastAsia="黑体"/>
          <w:highlight w:val="none"/>
        </w:rPr>
        <w:t>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267"/>
        <w:gridCol w:w="2308"/>
        <w:gridCol w:w="4"/>
        <w:gridCol w:w="11"/>
        <w:gridCol w:w="5969"/>
      </w:tblGrid>
      <w:tr w14:paraId="7FF3B9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tcBorders>
              <w:bottom w:val="single" w:color="000000" w:sz="12" w:space="0"/>
            </w:tcBorders>
            <w:vAlign w:val="center"/>
          </w:tcPr>
          <w:p w14:paraId="0F8BA17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一级指标</w:t>
            </w:r>
          </w:p>
        </w:tc>
        <w:tc>
          <w:tcPr>
            <w:tcW w:w="1215" w:type="pct"/>
            <w:gridSpan w:val="3"/>
            <w:tcBorders>
              <w:bottom w:val="single" w:color="000000" w:sz="12" w:space="0"/>
            </w:tcBorders>
            <w:vAlign w:val="center"/>
          </w:tcPr>
          <w:p w14:paraId="6DCF677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二级指标</w:t>
            </w:r>
          </w:p>
        </w:tc>
        <w:tc>
          <w:tcPr>
            <w:tcW w:w="3121" w:type="pct"/>
            <w:tcBorders>
              <w:bottom w:val="single" w:color="000000" w:sz="12" w:space="0"/>
            </w:tcBorders>
            <w:vAlign w:val="center"/>
          </w:tcPr>
          <w:p w14:paraId="1CA9E4F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5E029D0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vMerge w:val="restart"/>
            <w:tcBorders>
              <w:top w:val="single" w:color="000000" w:sz="12" w:space="0"/>
              <w:bottom w:val="single" w:color="000000" w:sz="4" w:space="0"/>
            </w:tcBorders>
            <w:vAlign w:val="center"/>
          </w:tcPr>
          <w:p w14:paraId="0BDAC46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技术表现</w:t>
            </w:r>
          </w:p>
        </w:tc>
        <w:tc>
          <w:tcPr>
            <w:tcW w:w="1215" w:type="pct"/>
            <w:gridSpan w:val="3"/>
            <w:tcBorders>
              <w:top w:val="single" w:color="000000" w:sz="12" w:space="0"/>
              <w:bottom w:val="single" w:color="000000" w:sz="4" w:space="0"/>
            </w:tcBorders>
            <w:vAlign w:val="center"/>
          </w:tcPr>
          <w:p w14:paraId="13F199E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有效知识产权</w:t>
            </w:r>
          </w:p>
        </w:tc>
        <w:tc>
          <w:tcPr>
            <w:tcW w:w="3121" w:type="pct"/>
            <w:tcBorders>
              <w:top w:val="single" w:color="000000" w:sz="12" w:space="0"/>
              <w:bottom w:val="single" w:color="000000" w:sz="4" w:space="0"/>
            </w:tcBorders>
            <w:vAlign w:val="center"/>
          </w:tcPr>
          <w:p w14:paraId="334F723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相关知识产权证明</w:t>
            </w:r>
          </w:p>
        </w:tc>
      </w:tr>
      <w:tr w14:paraId="69DF6CA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vMerge w:val="continue"/>
            <w:tcBorders>
              <w:top w:val="single" w:color="000000" w:sz="4" w:space="0"/>
              <w:bottom w:val="single" w:color="000000" w:sz="4" w:space="0"/>
            </w:tcBorders>
            <w:vAlign w:val="center"/>
          </w:tcPr>
          <w:p w14:paraId="297BED4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15" w:type="pct"/>
            <w:gridSpan w:val="3"/>
            <w:tcBorders>
              <w:top w:val="single" w:color="000000" w:sz="4" w:space="0"/>
              <w:bottom w:val="single" w:color="000000" w:sz="4" w:space="0"/>
            </w:tcBorders>
            <w:vAlign w:val="center"/>
          </w:tcPr>
          <w:p w14:paraId="71FCE54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关键技术先进性</w:t>
            </w:r>
          </w:p>
        </w:tc>
        <w:tc>
          <w:tcPr>
            <w:tcW w:w="3121" w:type="pct"/>
            <w:tcBorders>
              <w:top w:val="single" w:color="000000" w:sz="4" w:space="0"/>
              <w:bottom w:val="single" w:color="000000" w:sz="4" w:space="0"/>
            </w:tcBorders>
            <w:vAlign w:val="center"/>
          </w:tcPr>
          <w:p w14:paraId="7F8149E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第三方检验报告</w:t>
            </w:r>
            <w:r>
              <w:rPr>
                <w:rFonts w:hint="eastAsia" w:ascii="宋体"/>
                <w:kern w:val="0"/>
                <w:sz w:val="18"/>
                <w:szCs w:val="18"/>
                <w:highlight w:val="none"/>
                <w:lang w:val="en-US" w:eastAsia="zh-CN"/>
              </w:rPr>
              <w:t>/企业相关自证材料</w:t>
            </w:r>
          </w:p>
        </w:tc>
      </w:tr>
      <w:tr w14:paraId="0B42F43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63" w:type="pct"/>
            <w:vMerge w:val="continue"/>
            <w:tcBorders>
              <w:top w:val="single" w:color="000000" w:sz="4" w:space="0"/>
              <w:bottom w:val="single" w:color="000000" w:sz="4" w:space="0"/>
            </w:tcBorders>
            <w:vAlign w:val="center"/>
          </w:tcPr>
          <w:p w14:paraId="00FE94D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15" w:type="pct"/>
            <w:gridSpan w:val="3"/>
            <w:tcBorders>
              <w:top w:val="single" w:color="000000" w:sz="4" w:space="0"/>
              <w:bottom w:val="single" w:color="000000" w:sz="4" w:space="0"/>
            </w:tcBorders>
            <w:vAlign w:val="center"/>
          </w:tcPr>
          <w:p w14:paraId="4E71E7F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环境效益</w:t>
            </w:r>
          </w:p>
        </w:tc>
        <w:tc>
          <w:tcPr>
            <w:tcW w:w="3121" w:type="pct"/>
            <w:tcBorders>
              <w:top w:val="single" w:color="000000" w:sz="4" w:space="0"/>
              <w:bottom w:val="single" w:color="000000" w:sz="4" w:space="0"/>
            </w:tcBorders>
            <w:vAlign w:val="center"/>
          </w:tcPr>
          <w:p w14:paraId="1444E5F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055A41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63" w:type="pct"/>
            <w:vMerge w:val="restart"/>
            <w:tcBorders>
              <w:top w:val="single" w:color="000000" w:sz="4" w:space="0"/>
              <w:bottom w:val="single" w:color="000000" w:sz="4" w:space="0"/>
            </w:tcBorders>
            <w:vAlign w:val="center"/>
          </w:tcPr>
          <w:p w14:paraId="3B8C637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环境表现</w:t>
            </w:r>
          </w:p>
        </w:tc>
        <w:tc>
          <w:tcPr>
            <w:tcW w:w="1215" w:type="pct"/>
            <w:gridSpan w:val="3"/>
            <w:tcBorders>
              <w:top w:val="single" w:color="000000" w:sz="4" w:space="0"/>
              <w:bottom w:val="single" w:color="000000" w:sz="4" w:space="0"/>
            </w:tcBorders>
            <w:vAlign w:val="center"/>
          </w:tcPr>
          <w:p w14:paraId="696FB72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工艺设备材料</w:t>
            </w:r>
          </w:p>
        </w:tc>
        <w:tc>
          <w:tcPr>
            <w:tcW w:w="3121" w:type="pct"/>
            <w:tcBorders>
              <w:top w:val="single" w:color="000000" w:sz="4" w:space="0"/>
              <w:bottom w:val="single" w:color="000000" w:sz="4" w:space="0"/>
            </w:tcBorders>
            <w:vAlign w:val="center"/>
          </w:tcPr>
          <w:p w14:paraId="5E122E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1FDA569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vMerge w:val="continue"/>
            <w:tcBorders>
              <w:top w:val="single" w:color="000000" w:sz="4" w:space="0"/>
              <w:bottom w:val="single" w:color="000000" w:sz="4" w:space="0"/>
            </w:tcBorders>
            <w:vAlign w:val="center"/>
          </w:tcPr>
          <w:p w14:paraId="7C2FEC8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09" w:type="pct"/>
            <w:gridSpan w:val="2"/>
            <w:tcBorders>
              <w:top w:val="single" w:color="000000" w:sz="4" w:space="0"/>
              <w:bottom w:val="single" w:color="000000" w:sz="4" w:space="0"/>
            </w:tcBorders>
            <w:vAlign w:val="center"/>
          </w:tcPr>
          <w:p w14:paraId="2E6536EC">
            <w:pPr>
              <w:keepNext w:val="0"/>
              <w:keepLines w:val="0"/>
              <w:suppressLineNumbers w:val="0"/>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绿色低碳运营</w:t>
            </w:r>
          </w:p>
        </w:tc>
        <w:tc>
          <w:tcPr>
            <w:tcW w:w="3126" w:type="pct"/>
            <w:gridSpan w:val="2"/>
            <w:tcBorders>
              <w:top w:val="single" w:color="000000" w:sz="4" w:space="0"/>
              <w:bottom w:val="single" w:color="000000" w:sz="4" w:space="0"/>
            </w:tcBorders>
            <w:vAlign w:val="center"/>
          </w:tcPr>
          <w:p w14:paraId="0A7F6AB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财务报表，项目耗能、耗水、用地及其他企业相关自证材料</w:t>
            </w:r>
          </w:p>
        </w:tc>
      </w:tr>
      <w:tr w14:paraId="47200F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63" w:type="pct"/>
            <w:vMerge w:val="continue"/>
            <w:tcBorders>
              <w:top w:val="single" w:color="000000" w:sz="4" w:space="0"/>
              <w:bottom w:val="single" w:color="000000" w:sz="12" w:space="0"/>
            </w:tcBorders>
            <w:vAlign w:val="center"/>
          </w:tcPr>
          <w:p w14:paraId="6E6D0F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07" w:type="pct"/>
            <w:tcBorders>
              <w:top w:val="single" w:color="000000" w:sz="4" w:space="0"/>
              <w:bottom w:val="single" w:color="000000" w:sz="12" w:space="0"/>
            </w:tcBorders>
            <w:vAlign w:val="center"/>
          </w:tcPr>
          <w:p w14:paraId="35FED7F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污染物排放水平</w:t>
            </w:r>
          </w:p>
        </w:tc>
        <w:tc>
          <w:tcPr>
            <w:tcW w:w="3128" w:type="pct"/>
            <w:gridSpan w:val="3"/>
            <w:tcBorders>
              <w:top w:val="single" w:color="000000" w:sz="4" w:space="0"/>
              <w:bottom w:val="single" w:color="000000" w:sz="12" w:space="0"/>
            </w:tcBorders>
            <w:vAlign w:val="center"/>
          </w:tcPr>
          <w:p w14:paraId="4AA2C9D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企业相关自证材料</w:t>
            </w:r>
            <w:r>
              <w:rPr>
                <w:rFonts w:hint="eastAsia" w:ascii="宋体"/>
                <w:kern w:val="0"/>
                <w:sz w:val="18"/>
                <w:szCs w:val="18"/>
                <w:highlight w:val="none"/>
                <w:vertAlign w:val="superscript"/>
                <w:lang w:val="en-US" w:eastAsia="zh-CN"/>
              </w:rPr>
              <w:t>a</w:t>
            </w:r>
          </w:p>
        </w:tc>
      </w:tr>
      <w:tr w14:paraId="62EBF98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5000" w:type="pct"/>
            <w:gridSpan w:val="5"/>
            <w:tcBorders>
              <w:top w:val="single" w:color="000000" w:sz="12" w:space="0"/>
            </w:tcBorders>
            <w:vAlign w:val="center"/>
          </w:tcPr>
          <w:p w14:paraId="1A413BD9">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575" w:leftChars="171" w:right="0" w:hanging="216" w:hangingChars="120"/>
              <w:jc w:val="left"/>
              <w:textAlignment w:val="auto"/>
              <w:rPr>
                <w:rFonts w:hint="eastAsia" w:ascii="宋体"/>
                <w:kern w:val="0"/>
                <w:sz w:val="18"/>
                <w:szCs w:val="18"/>
                <w:highlight w:val="none"/>
                <w:lang w:val="en-US" w:eastAsia="zh-CN"/>
              </w:rPr>
            </w:pPr>
            <w:bookmarkStart w:id="95" w:name="_Toc31555"/>
            <w:r>
              <w:rPr>
                <w:rFonts w:hint="eastAsia" w:ascii="宋体"/>
                <w:kern w:val="0"/>
                <w:sz w:val="18"/>
                <w:szCs w:val="18"/>
                <w:highlight w:val="none"/>
                <w:vertAlign w:val="superscript"/>
                <w:lang w:val="en-US" w:eastAsia="zh-CN"/>
              </w:rPr>
              <w:t>a</w:t>
            </w:r>
            <w:r>
              <w:rPr>
                <w:rFonts w:hint="eastAsia" w:ascii="宋体"/>
                <w:kern w:val="0"/>
                <w:sz w:val="18"/>
                <w:szCs w:val="18"/>
                <w:highlight w:val="none"/>
                <w:lang w:val="en-US" w:eastAsia="zh-CN"/>
              </w:rPr>
              <w:t xml:space="preserve">  已开展的项目采用</w:t>
            </w:r>
            <w:r>
              <w:rPr>
                <w:rFonts w:hint="eastAsia" w:ascii="宋体"/>
                <w:kern w:val="0"/>
                <w:sz w:val="18"/>
                <w:szCs w:val="18"/>
                <w:highlight w:val="none"/>
              </w:rPr>
              <w:t>全国污染源监测数据管理与共享系统平台的自行监测数据</w:t>
            </w:r>
            <w:r>
              <w:rPr>
                <w:rFonts w:hint="eastAsia" w:ascii="宋体"/>
                <w:kern w:val="0"/>
                <w:sz w:val="18"/>
                <w:szCs w:val="18"/>
                <w:highlight w:val="none"/>
                <w:lang w:eastAsia="zh-CN"/>
              </w:rPr>
              <w:t>，</w:t>
            </w:r>
            <w:r>
              <w:rPr>
                <w:rFonts w:hint="eastAsia" w:ascii="宋体"/>
                <w:kern w:val="0"/>
                <w:sz w:val="18"/>
                <w:szCs w:val="18"/>
                <w:highlight w:val="none"/>
                <w:lang w:val="en-US" w:eastAsia="zh-CN"/>
              </w:rPr>
              <w:t>未开展的项目采用环境影响评价报告。</w:t>
            </w:r>
          </w:p>
        </w:tc>
      </w:tr>
    </w:tbl>
    <w:p w14:paraId="7D277DD1">
      <w:pPr>
        <w:pStyle w:val="47"/>
        <w:ind w:left="0" w:firstLine="0"/>
        <w:outlineLvl w:val="1"/>
        <w:rPr>
          <w:rFonts w:ascii="Times New Roman"/>
          <w:highlight w:val="none"/>
        </w:rPr>
      </w:pPr>
      <w:bookmarkStart w:id="96" w:name="_Toc16667"/>
      <w:bookmarkStart w:id="97" w:name="_Toc23959"/>
      <w:r>
        <w:rPr>
          <w:rFonts w:hint="eastAsia" w:ascii="Times New Roman"/>
          <w:highlight w:val="none"/>
        </w:rPr>
        <w:t>编制报告</w:t>
      </w:r>
      <w:bookmarkEnd w:id="96"/>
      <w:bookmarkEnd w:id="97"/>
    </w:p>
    <w:p w14:paraId="1289B335">
      <w:pPr>
        <w:autoSpaceDE w:val="0"/>
        <w:autoSpaceDN w:val="0"/>
        <w:ind w:firstLine="420" w:firstLineChars="200"/>
        <w:rPr>
          <w:rFonts w:ascii="宋体" w:hAnsi="宋体" w:cs="宋体"/>
          <w:highlight w:val="none"/>
        </w:rPr>
      </w:pPr>
      <w:r>
        <w:rPr>
          <w:rFonts w:hint="eastAsia" w:ascii="宋体" w:hAnsi="宋体" w:cs="宋体"/>
          <w:highlight w:val="none"/>
          <w:lang w:val="en-US" w:eastAsia="zh-CN"/>
        </w:rPr>
        <w:t>企事业单位或项目主体编制环境基础设施领域绿色低碳产业认定评价报告（环境基础设施领域绿色低碳产业企业的报告模板格式见附录C，环境基础设施领域绿色低碳产业项目的报告模板格式见附录D）</w:t>
      </w:r>
      <w:r>
        <w:rPr>
          <w:rFonts w:hint="eastAsia" w:hAnsi="宋体" w:cs="宋体"/>
          <w:highlight w:val="none"/>
        </w:rPr>
        <w:t>，</w:t>
      </w:r>
      <w:r>
        <w:rPr>
          <w:rFonts w:hint="eastAsia" w:ascii="宋体" w:hAnsi="宋体" w:cs="宋体"/>
          <w:highlight w:val="none"/>
        </w:rPr>
        <w:t>内容包括但不限于：</w:t>
      </w:r>
    </w:p>
    <w:p w14:paraId="36C4217E">
      <w:pPr>
        <w:autoSpaceDE w:val="0"/>
        <w:autoSpaceDN w:val="0"/>
        <w:ind w:firstLine="420" w:firstLineChars="200"/>
        <w:rPr>
          <w:rFonts w:ascii="宋体" w:hAnsi="宋体" w:cs="宋体"/>
          <w:highlight w:val="none"/>
        </w:rPr>
      </w:pPr>
      <w:r>
        <w:rPr>
          <w:rFonts w:hint="eastAsia" w:ascii="宋体" w:hAnsi="宋体" w:cs="宋体"/>
          <w:highlight w:val="none"/>
        </w:rPr>
        <w:t>——基本信息表，包括企事业单位</w:t>
      </w:r>
      <w:r>
        <w:rPr>
          <w:rFonts w:hint="eastAsia" w:ascii="宋体" w:hAnsi="宋体" w:cs="宋体"/>
          <w:highlight w:val="none"/>
          <w:lang w:val="en-US" w:eastAsia="zh-CN"/>
        </w:rPr>
        <w:t>或项目基本信息</w:t>
      </w:r>
      <w:r>
        <w:rPr>
          <w:rFonts w:hint="eastAsia" w:ascii="宋体" w:hAnsi="宋体" w:cs="宋体"/>
          <w:highlight w:val="none"/>
        </w:rPr>
        <w:t>；</w:t>
      </w:r>
    </w:p>
    <w:p w14:paraId="663331AA">
      <w:pPr>
        <w:autoSpaceDE w:val="0"/>
        <w:autoSpaceDN w:val="0"/>
        <w:ind w:firstLine="420" w:firstLineChars="200"/>
        <w:rPr>
          <w:rFonts w:ascii="宋体" w:hAnsi="宋体" w:cs="宋体"/>
          <w:highlight w:val="none"/>
        </w:rPr>
      </w:pPr>
      <w:r>
        <w:rPr>
          <w:rFonts w:hint="eastAsia" w:ascii="宋体" w:hAnsi="宋体" w:cs="宋体"/>
          <w:highlight w:val="none"/>
        </w:rPr>
        <w:t>——基本情况，概述企事业单位</w:t>
      </w:r>
      <w:r>
        <w:rPr>
          <w:rFonts w:hint="eastAsia" w:ascii="宋体" w:hAnsi="宋体" w:cs="宋体"/>
          <w:highlight w:val="none"/>
          <w:lang w:val="en-US" w:eastAsia="zh-CN"/>
        </w:rPr>
        <w:t>或项目</w:t>
      </w:r>
      <w:r>
        <w:rPr>
          <w:rFonts w:hint="eastAsia" w:ascii="宋体" w:hAnsi="宋体" w:cs="宋体"/>
          <w:highlight w:val="none"/>
        </w:rPr>
        <w:t>发展现状以及在绿色</w:t>
      </w:r>
      <w:r>
        <w:rPr>
          <w:rFonts w:hint="eastAsia" w:ascii="宋体" w:hAnsi="宋体" w:cs="宋体"/>
          <w:highlight w:val="none"/>
          <w:lang w:val="en-US" w:eastAsia="zh-CN"/>
        </w:rPr>
        <w:t>低碳</w:t>
      </w:r>
      <w:r>
        <w:rPr>
          <w:rFonts w:hint="eastAsia" w:ascii="宋体" w:hAnsi="宋体" w:cs="宋体"/>
          <w:highlight w:val="none"/>
        </w:rPr>
        <w:t>方面开展的重点工作；</w:t>
      </w:r>
    </w:p>
    <w:p w14:paraId="2647E728">
      <w:pPr>
        <w:autoSpaceDE w:val="0"/>
        <w:autoSpaceDN w:val="0"/>
        <w:ind w:firstLine="420"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评价工作</w:t>
      </w:r>
      <w:r>
        <w:rPr>
          <w:rFonts w:hint="eastAsia" w:ascii="宋体" w:hAnsi="宋体" w:cs="宋体"/>
          <w:highlight w:val="none"/>
        </w:rPr>
        <w:t>，</w:t>
      </w:r>
      <w:r>
        <w:rPr>
          <w:rFonts w:hint="eastAsia" w:ascii="宋体" w:hAnsi="宋体" w:cs="宋体"/>
          <w:highlight w:val="none"/>
          <w:lang w:val="en-US" w:eastAsia="zh-CN"/>
        </w:rPr>
        <w:t>概述绿色低碳产业认定评价工作具体开展情况</w:t>
      </w:r>
      <w:r>
        <w:rPr>
          <w:rFonts w:hint="eastAsia" w:ascii="宋体" w:hAnsi="宋体" w:cs="宋体"/>
          <w:highlight w:val="none"/>
        </w:rPr>
        <w:t>；</w:t>
      </w:r>
    </w:p>
    <w:p w14:paraId="1F0F2FE4">
      <w:pPr>
        <w:autoSpaceDE w:val="0"/>
        <w:autoSpaceDN w:val="0"/>
        <w:ind w:firstLine="420" w:firstLineChars="200"/>
        <w:rPr>
          <w:rFonts w:ascii="宋体" w:hAnsi="宋体" w:cs="宋体"/>
          <w:highlight w:val="none"/>
        </w:rPr>
      </w:pPr>
      <w:r>
        <w:rPr>
          <w:rFonts w:hint="eastAsia" w:ascii="宋体" w:hAnsi="宋体" w:cs="宋体"/>
          <w:highlight w:val="none"/>
        </w:rPr>
        <w:t>——认定情况，对符合性评价要求及综合评价要求等内容进行</w:t>
      </w:r>
      <w:r>
        <w:rPr>
          <w:rFonts w:hint="eastAsia" w:ascii="宋体" w:hAnsi="宋体" w:cs="宋体"/>
          <w:highlight w:val="none"/>
          <w:lang w:val="en-US" w:eastAsia="zh-CN"/>
        </w:rPr>
        <w:t>具体</w:t>
      </w:r>
      <w:r>
        <w:rPr>
          <w:rFonts w:hint="eastAsia" w:ascii="宋体" w:hAnsi="宋体" w:cs="宋体"/>
          <w:highlight w:val="none"/>
        </w:rPr>
        <w:t>描述；</w:t>
      </w:r>
    </w:p>
    <w:p w14:paraId="17007A6F">
      <w:pPr>
        <w:autoSpaceDE w:val="0"/>
        <w:autoSpaceDN w:val="0"/>
        <w:ind w:firstLine="420"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评价表</w:t>
      </w:r>
      <w:r>
        <w:rPr>
          <w:rFonts w:hint="eastAsia" w:ascii="宋体" w:hAnsi="宋体" w:cs="宋体"/>
          <w:highlight w:val="none"/>
        </w:rPr>
        <w:t>，</w:t>
      </w:r>
      <w:r>
        <w:rPr>
          <w:rFonts w:hint="eastAsia" w:ascii="宋体" w:hAnsi="宋体" w:cs="宋体"/>
          <w:highlight w:val="none"/>
          <w:lang w:val="en-US" w:eastAsia="zh-CN"/>
        </w:rPr>
        <w:t>对符合性评价及综合评价指标得分情况进行量化</w:t>
      </w:r>
      <w:r>
        <w:rPr>
          <w:rFonts w:hint="eastAsia" w:ascii="宋体" w:hAnsi="宋体" w:cs="宋体"/>
          <w:highlight w:val="none"/>
        </w:rPr>
        <w:t>；</w:t>
      </w:r>
    </w:p>
    <w:p w14:paraId="2D57F890">
      <w:pPr>
        <w:autoSpaceDE w:val="0"/>
        <w:autoSpaceDN w:val="0"/>
        <w:ind w:firstLine="420" w:firstLineChars="200"/>
        <w:rPr>
          <w:rFonts w:ascii="Times New Roman"/>
          <w:highlight w:val="none"/>
        </w:rPr>
      </w:pPr>
      <w:r>
        <w:rPr>
          <w:rFonts w:hint="eastAsia" w:ascii="宋体" w:hAnsi="宋体" w:eastAsia="宋体" w:cs="宋体"/>
          <w:kern w:val="2"/>
          <w:sz w:val="21"/>
          <w:szCs w:val="24"/>
          <w:highlight w:val="none"/>
          <w:lang w:val="en-US" w:eastAsia="zh-CN" w:bidi="ar-SA"/>
        </w:rPr>
        <w:t>——相关支持材料。</w:t>
      </w:r>
    </w:p>
    <w:p w14:paraId="1E68189C">
      <w:pPr>
        <w:pStyle w:val="47"/>
        <w:outlineLvl w:val="1"/>
        <w:rPr>
          <w:rFonts w:ascii="Times New Roman"/>
          <w:highlight w:val="none"/>
        </w:rPr>
      </w:pPr>
      <w:bookmarkStart w:id="98" w:name="_Toc9117"/>
      <w:r>
        <w:rPr>
          <w:rFonts w:hint="eastAsia" w:ascii="Times New Roman"/>
          <w:highlight w:val="none"/>
        </w:rPr>
        <w:t>认定</w:t>
      </w:r>
      <w:bookmarkEnd w:id="94"/>
      <w:bookmarkEnd w:id="95"/>
      <w:r>
        <w:rPr>
          <w:rFonts w:hint="eastAsia" w:ascii="Times New Roman"/>
          <w:highlight w:val="none"/>
          <w:lang w:val="en-US" w:eastAsia="zh-CN"/>
        </w:rPr>
        <w:t>评审</w:t>
      </w:r>
      <w:bookmarkEnd w:id="98"/>
    </w:p>
    <w:p w14:paraId="1BD18990">
      <w:pPr>
        <w:pStyle w:val="51"/>
        <w:spacing w:before="156" w:after="156"/>
        <w:rPr>
          <w:rFonts w:ascii="Times New Roman"/>
          <w:highlight w:val="none"/>
        </w:rPr>
      </w:pPr>
      <w:r>
        <w:rPr>
          <w:rFonts w:ascii="Times New Roman"/>
          <w:highlight w:val="none"/>
        </w:rPr>
        <w:t>评价方式</w:t>
      </w:r>
    </w:p>
    <w:p w14:paraId="4B51420A">
      <w:pPr>
        <w:pStyle w:val="26"/>
        <w:rPr>
          <w:rFonts w:ascii="宋体" w:hAnsi="宋体" w:eastAsia="宋体" w:cs="宋体"/>
          <w:sz w:val="21"/>
          <w:highlight w:val="none"/>
          <w:lang w:val="en-US" w:eastAsia="zh-CN" w:bidi="ar-SA"/>
        </w:rPr>
      </w:pPr>
      <w:r>
        <w:rPr>
          <w:rFonts w:hint="eastAsia" w:ascii="Times New Roman"/>
          <w:highlight w:val="none"/>
          <w:lang w:val="en-US" w:eastAsia="zh-CN"/>
        </w:rPr>
        <w:t>依据符合性评价指标对企事业单位或项目申请认定评价的绿色业务进行界定，达到符合性评价要求的，进一步依据综合评价指标对其绿色业务影响力（技术表现、业务表现）和自身绿色化程度（环境表现、社会表现）进行综合评价。</w:t>
      </w:r>
      <w:r>
        <w:rPr>
          <w:rFonts w:hint="eastAsia" w:hAnsi="宋体" w:cs="宋体"/>
          <w:sz w:val="21"/>
          <w:highlight w:val="none"/>
          <w:lang w:val="en-US" w:eastAsia="zh-CN" w:bidi="ar-SA"/>
        </w:rPr>
        <w:t>环境基础设施领域</w:t>
      </w:r>
      <w:r>
        <w:rPr>
          <w:rFonts w:hint="eastAsia" w:ascii="宋体" w:hAnsi="宋体" w:eastAsia="宋体" w:cs="宋体"/>
          <w:sz w:val="21"/>
          <w:highlight w:val="none"/>
          <w:lang w:val="en-US" w:eastAsia="zh-CN" w:bidi="ar-SA"/>
        </w:rPr>
        <w:t>绿色低碳产业认定评价等级划分见表</w:t>
      </w:r>
      <w:r>
        <w:rPr>
          <w:rFonts w:hint="eastAsia" w:hAnsi="宋体" w:cs="宋体"/>
          <w:sz w:val="21"/>
          <w:highlight w:val="none"/>
          <w:lang w:val="en-US" w:eastAsia="zh-CN" w:bidi="ar-SA"/>
        </w:rPr>
        <w:t>28</w:t>
      </w:r>
      <w:r>
        <w:rPr>
          <w:rFonts w:hint="eastAsia" w:ascii="宋体" w:hAnsi="宋体" w:eastAsia="宋体" w:cs="宋体"/>
          <w:sz w:val="21"/>
          <w:highlight w:val="none"/>
          <w:lang w:val="en-US" w:eastAsia="zh-CN" w:bidi="ar-SA"/>
        </w:rPr>
        <w:t>。</w:t>
      </w:r>
    </w:p>
    <w:p w14:paraId="18C00CB0">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环境基础设施领域</w:t>
      </w:r>
      <w:r>
        <w:rPr>
          <w:rFonts w:hint="eastAsia" w:ascii="Times New Roman" w:hAnsi="Times New Roman" w:eastAsia="黑体" w:cs="Times New Roman"/>
          <w:sz w:val="21"/>
          <w:highlight w:val="none"/>
          <w:lang w:val="en-US" w:eastAsia="zh-CN" w:bidi="ar-SA"/>
        </w:rPr>
        <w:t>绿色低碳产业认定评价等级划分</w:t>
      </w:r>
    </w:p>
    <w:tbl>
      <w:tblPr>
        <w:tblStyle w:val="36"/>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79"/>
        <w:gridCol w:w="2294"/>
        <w:gridCol w:w="2294"/>
        <w:gridCol w:w="2301"/>
      </w:tblGrid>
      <w:tr w14:paraId="43651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0" w:type="pct"/>
            <w:vMerge w:val="restart"/>
            <w:vAlign w:val="center"/>
          </w:tcPr>
          <w:p w14:paraId="739ACD40">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评价对象</w:t>
            </w:r>
          </w:p>
        </w:tc>
        <w:tc>
          <w:tcPr>
            <w:tcW w:w="3599" w:type="pct"/>
            <w:gridSpan w:val="3"/>
            <w:vAlign w:val="center"/>
          </w:tcPr>
          <w:p w14:paraId="612982D4">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评价等级</w:t>
            </w:r>
          </w:p>
        </w:tc>
      </w:tr>
      <w:tr w14:paraId="6928C5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400" w:type="pct"/>
            <w:vMerge w:val="continue"/>
            <w:tcBorders>
              <w:bottom w:val="single" w:color="auto" w:sz="12" w:space="0"/>
            </w:tcBorders>
          </w:tcPr>
          <w:p w14:paraId="7E6B3C0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p>
        </w:tc>
        <w:tc>
          <w:tcPr>
            <w:tcW w:w="1199" w:type="pct"/>
            <w:tcBorders>
              <w:bottom w:val="single" w:color="auto" w:sz="12" w:space="0"/>
            </w:tcBorders>
          </w:tcPr>
          <w:p w14:paraId="4D5F550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浅绿</w:t>
            </w:r>
          </w:p>
        </w:tc>
        <w:tc>
          <w:tcPr>
            <w:tcW w:w="1199" w:type="pct"/>
            <w:tcBorders>
              <w:bottom w:val="single" w:color="auto" w:sz="12" w:space="0"/>
            </w:tcBorders>
          </w:tcPr>
          <w:p w14:paraId="090F60C7">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中绿</w:t>
            </w:r>
          </w:p>
        </w:tc>
        <w:tc>
          <w:tcPr>
            <w:tcW w:w="1200" w:type="pct"/>
            <w:tcBorders>
              <w:bottom w:val="single" w:color="auto" w:sz="12" w:space="0"/>
            </w:tcBorders>
          </w:tcPr>
          <w:p w14:paraId="5F2FEE3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深绿</w:t>
            </w:r>
          </w:p>
        </w:tc>
      </w:tr>
      <w:tr w14:paraId="63E928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00" w:type="pct"/>
            <w:tcBorders>
              <w:top w:val="single" w:color="auto" w:sz="12" w:space="0"/>
              <w:tl2br w:val="nil"/>
              <w:tr2bl w:val="nil"/>
            </w:tcBorders>
          </w:tcPr>
          <w:p w14:paraId="0B75D4F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绿色低碳产业企业</w:t>
            </w:r>
          </w:p>
        </w:tc>
        <w:tc>
          <w:tcPr>
            <w:tcW w:w="1199" w:type="pct"/>
            <w:tcBorders>
              <w:top w:val="single" w:color="auto" w:sz="12" w:space="0"/>
              <w:tl2br w:val="nil"/>
              <w:tr2bl w:val="nil"/>
            </w:tcBorders>
          </w:tcPr>
          <w:p w14:paraId="43A8498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60分≤S＜70分</w:t>
            </w:r>
          </w:p>
        </w:tc>
        <w:tc>
          <w:tcPr>
            <w:tcW w:w="1199" w:type="pct"/>
            <w:tcBorders>
              <w:top w:val="single" w:color="auto" w:sz="12" w:space="0"/>
              <w:tl2br w:val="nil"/>
              <w:tr2bl w:val="nil"/>
            </w:tcBorders>
          </w:tcPr>
          <w:p w14:paraId="6B435E1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70分≤S＜85分</w:t>
            </w:r>
          </w:p>
        </w:tc>
        <w:tc>
          <w:tcPr>
            <w:tcW w:w="1200" w:type="pct"/>
            <w:tcBorders>
              <w:top w:val="single" w:color="auto" w:sz="12" w:space="0"/>
              <w:tl2br w:val="nil"/>
              <w:tr2bl w:val="nil"/>
            </w:tcBorders>
          </w:tcPr>
          <w:p w14:paraId="6D4A98B6">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S≥85分</w:t>
            </w:r>
          </w:p>
        </w:tc>
      </w:tr>
      <w:tr w14:paraId="25898E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00" w:type="pct"/>
            <w:tcBorders>
              <w:bottom w:val="single" w:color="auto" w:sz="12" w:space="0"/>
              <w:tl2br w:val="nil"/>
              <w:tr2bl w:val="nil"/>
            </w:tcBorders>
          </w:tcPr>
          <w:p w14:paraId="7D11B3EE">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绿色低碳产业项目</w:t>
            </w:r>
          </w:p>
        </w:tc>
        <w:tc>
          <w:tcPr>
            <w:tcW w:w="1199" w:type="pct"/>
            <w:tcBorders>
              <w:bottom w:val="single" w:color="auto" w:sz="12" w:space="0"/>
              <w:tl2br w:val="nil"/>
              <w:tr2bl w:val="nil"/>
            </w:tcBorders>
          </w:tcPr>
          <w:p w14:paraId="1BC658C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满足符合性评价要求</w:t>
            </w:r>
          </w:p>
        </w:tc>
        <w:tc>
          <w:tcPr>
            <w:tcW w:w="1199" w:type="pct"/>
            <w:tcBorders>
              <w:bottom w:val="single" w:color="auto" w:sz="12" w:space="0"/>
              <w:tl2br w:val="nil"/>
              <w:tr2bl w:val="nil"/>
            </w:tcBorders>
          </w:tcPr>
          <w:p w14:paraId="22E8BA1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60分≤S＜80分</w:t>
            </w:r>
          </w:p>
        </w:tc>
        <w:tc>
          <w:tcPr>
            <w:tcW w:w="1200" w:type="pct"/>
            <w:tcBorders>
              <w:bottom w:val="single" w:color="auto" w:sz="12" w:space="0"/>
              <w:tl2br w:val="nil"/>
              <w:tr2bl w:val="nil"/>
            </w:tcBorders>
          </w:tcPr>
          <w:p w14:paraId="1581F78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S≥80分</w:t>
            </w:r>
          </w:p>
        </w:tc>
      </w:tr>
      <w:tr w14:paraId="59FABE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4"/>
            <w:tcBorders>
              <w:top w:val="single" w:color="auto" w:sz="12" w:space="0"/>
            </w:tcBorders>
          </w:tcPr>
          <w:p w14:paraId="13AD1569">
            <w:pPr>
              <w:keepNext w:val="0"/>
              <w:keepLines w:val="0"/>
              <w:widowControl w:val="0"/>
              <w:numPr>
                <w:ilvl w:val="0"/>
                <w:numId w:val="6"/>
              </w:numPr>
              <w:suppressLineNumbers w:val="0"/>
              <w:autoSpaceDE w:val="0"/>
              <w:autoSpaceDN w:val="0"/>
              <w:spacing w:before="0" w:beforeAutospacing="0" w:after="0" w:afterAutospacing="0"/>
              <w:ind w:left="726" w:right="0" w:hanging="363"/>
              <w:jc w:val="both"/>
              <w:rPr>
                <w:rFonts w:hint="eastAsia" w:ascii="宋体" w:hAnsi="宋体" w:eastAsia="宋体" w:cs="宋体"/>
                <w:sz w:val="18"/>
                <w:szCs w:val="16"/>
                <w:highlight w:val="none"/>
                <w:lang w:val="en-US" w:eastAsia="zh-CN" w:bidi="ar-SA"/>
              </w:rPr>
            </w:pPr>
            <w:r>
              <w:rPr>
                <w:rFonts w:hint="eastAsia" w:ascii="宋体" w:hAnsi="Times New Roman" w:eastAsia="宋体" w:cs="Times New Roman"/>
                <w:sz w:val="18"/>
                <w:szCs w:val="18"/>
                <w:highlight w:val="none"/>
                <w:lang w:val="en-US" w:eastAsia="zh-CN" w:bidi="ar-SA"/>
              </w:rPr>
              <w:t>S为绿色低碳产业企业或项目认定综合评价值。</w:t>
            </w:r>
          </w:p>
        </w:tc>
      </w:tr>
    </w:tbl>
    <w:p w14:paraId="49F2FB36">
      <w:pPr>
        <w:pStyle w:val="51"/>
        <w:spacing w:before="156" w:after="156"/>
        <w:rPr>
          <w:rFonts w:hint="default"/>
          <w:highlight w:val="none"/>
          <w:lang w:val="en-US" w:eastAsia="zh-CN"/>
        </w:rPr>
      </w:pPr>
      <w:r>
        <w:rPr>
          <w:rFonts w:ascii="Times New Roman"/>
          <w:highlight w:val="none"/>
        </w:rPr>
        <w:t>评价</w:t>
      </w:r>
      <w:r>
        <w:rPr>
          <w:rFonts w:hint="eastAsia" w:ascii="Times New Roman"/>
          <w:highlight w:val="none"/>
        </w:rPr>
        <w:t>打分</w:t>
      </w:r>
    </w:p>
    <w:p w14:paraId="4AE25A56">
      <w:pPr>
        <w:pStyle w:val="26"/>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w:t>
      </w:r>
      <w:r>
        <w:rPr>
          <w:rFonts w:hint="eastAsia" w:hAnsi="宋体" w:cs="宋体"/>
          <w:highlight w:val="none"/>
          <w:lang w:val="en-US" w:eastAsia="zh-CN"/>
        </w:rPr>
        <w:t>的符合性评价为一票否决项，绿色低碳产业认定综合评价</w:t>
      </w:r>
      <w:r>
        <w:rPr>
          <w:rFonts w:hint="eastAsia" w:hAnsi="宋体" w:cs="宋体"/>
          <w:highlight w:val="none"/>
        </w:rPr>
        <w:t>值为各项指标得分的累计叠加值，满分为100分，计算</w:t>
      </w:r>
      <w:r>
        <w:rPr>
          <w:rFonts w:hint="eastAsia" w:hAnsi="宋体" w:cs="宋体"/>
          <w:highlight w:val="none"/>
          <w:lang w:val="en-US" w:eastAsia="zh-CN"/>
        </w:rPr>
        <w:t>方法见公式（3）。</w:t>
      </w:r>
    </w:p>
    <w:p w14:paraId="18E94C24">
      <w:pPr>
        <w:pStyle w:val="26"/>
        <w:tabs>
          <w:tab w:val="center" w:leader="middleDot" w:pos="5460"/>
          <w:tab w:val="clear" w:pos="4201"/>
        </w:tabs>
        <w:autoSpaceDE/>
        <w:autoSpaceDN/>
        <w:spacing w:line="480" w:lineRule="auto"/>
        <w:jc w:val="right"/>
        <w:rPr>
          <w:rFonts w:hAnsi="宋体" w:cs="宋体"/>
          <w:highlight w:val="none"/>
        </w:rPr>
      </w:pPr>
      <m:oMath>
        <m:r>
          <m:rPr/>
          <w:rPr>
            <w:rFonts w:hint="default" w:ascii="Cambria Math" w:hAnsi="Cambria Math" w:eastAsiaTheme="minorEastAsia" w:cstheme="minorEastAsia"/>
            <w:highlight w:val="none"/>
          </w:rPr>
          <m:t>S=</m:t>
        </m:r>
        <m:nary>
          <m:naryPr>
            <m:chr m:val="∑"/>
            <m:limLoc m:val="undOvr"/>
            <m:ctrlPr>
              <w:rPr>
                <w:rFonts w:hint="eastAsia" w:ascii="Cambria Math" w:hAnsi="Cambria Math" w:eastAsiaTheme="minorEastAsia" w:cstheme="minorEastAsia"/>
                <w:i/>
                <w:iCs/>
                <w:highlight w:val="none"/>
              </w:rPr>
            </m:ctrlPr>
          </m:naryPr>
          <m:sub>
            <m:r>
              <m:rPr/>
              <w:rPr>
                <w:rFonts w:hint="default" w:ascii="Cambria Math" w:hAnsi="Cambria Math" w:eastAsiaTheme="minorEastAsia" w:cstheme="minorEastAsia"/>
                <w:highlight w:val="none"/>
              </w:rPr>
              <m:t>i=1</m:t>
            </m:r>
            <m:ctrlPr>
              <w:rPr>
                <w:rFonts w:hint="eastAsia" w:ascii="Cambria Math" w:hAnsi="Cambria Math" w:eastAsiaTheme="minorEastAsia" w:cstheme="minorEastAsia"/>
                <w:i/>
                <w:iCs/>
                <w:highlight w:val="none"/>
              </w:rPr>
            </m:ctrlPr>
          </m:sub>
          <m:sup>
            <m:r>
              <m:rPr/>
              <w:rPr>
                <w:rFonts w:hint="default" w:ascii="Cambria Math" w:hAnsi="Cambria Math" w:eastAsiaTheme="minorEastAsia" w:cstheme="minorEastAsia"/>
                <w:highlight w:val="none"/>
              </w:rPr>
              <m:t>n</m:t>
            </m:r>
            <m:ctrlPr>
              <w:rPr>
                <w:rFonts w:hint="eastAsia" w:ascii="Cambria Math" w:hAnsi="Cambria Math" w:eastAsiaTheme="minorEastAsia" w:cstheme="minorEastAsia"/>
                <w:i/>
                <w:iCs/>
                <w:highlight w:val="none"/>
              </w:rPr>
            </m:ctrlPr>
          </m:sup>
          <m:e>
            <m:sSub>
              <m:sSubPr>
                <m:ctrlPr>
                  <w:rPr>
                    <w:rFonts w:hint="eastAsia" w:ascii="Cambria Math" w:hAnsi="Cambria Math" w:eastAsiaTheme="minorEastAsia" w:cstheme="minorEastAsia"/>
                    <w:i/>
                    <w:iCs/>
                    <w:highlight w:val="none"/>
                  </w:rPr>
                </m:ctrlPr>
              </m:sSubPr>
              <m:e>
                <m:r>
                  <m:rPr/>
                  <w:rPr>
                    <w:rFonts w:hint="default" w:ascii="Cambria Math" w:hAnsi="Cambria Math" w:eastAsiaTheme="minorEastAsia" w:cstheme="minorEastAsia"/>
                    <w:highlight w:val="none"/>
                  </w:rPr>
                  <m:t>X</m:t>
                </m:r>
                <m:ctrlPr>
                  <w:rPr>
                    <w:rFonts w:hint="eastAsia" w:ascii="Cambria Math" w:hAnsi="Cambria Math" w:eastAsiaTheme="minorEastAsia" w:cstheme="minorEastAsia"/>
                    <w:i/>
                    <w:iCs/>
                    <w:highlight w:val="none"/>
                  </w:rPr>
                </m:ctrlPr>
              </m:e>
              <m:sub>
                <m:r>
                  <m:rPr/>
                  <w:rPr>
                    <w:rFonts w:hint="default" w:ascii="Cambria Math" w:hAnsi="Cambria Math" w:eastAsiaTheme="minorEastAsia" w:cstheme="minorEastAsia"/>
                    <w:highlight w:val="none"/>
                  </w:rPr>
                  <m:t>i</m:t>
                </m:r>
                <m:ctrlPr>
                  <w:rPr>
                    <w:rFonts w:hint="eastAsia" w:ascii="Cambria Math" w:hAnsi="Cambria Math" w:eastAsiaTheme="minorEastAsia" w:cstheme="minorEastAsia"/>
                    <w:i/>
                    <w:iCs/>
                    <w:highlight w:val="none"/>
                  </w:rPr>
                </m:ctrlPr>
              </m:sub>
            </m:sSub>
            <m:ctrlPr>
              <w:rPr>
                <w:rFonts w:hint="eastAsia" w:ascii="Cambria Math" w:hAnsi="Cambria Math" w:eastAsiaTheme="minorEastAsia" w:cstheme="minorEastAsia"/>
                <w:i/>
                <w:iCs/>
                <w:highlight w:val="none"/>
              </w:rPr>
            </m:ctrlPr>
          </m:e>
        </m:nary>
      </m:oMath>
      <w:r>
        <w:rPr>
          <w:rFonts w:hint="eastAsia" w:hAnsi="Cambria Math" w:cs="宋体"/>
          <w:i w:val="0"/>
          <w:iCs/>
          <w:highlight w:val="none"/>
          <w:lang w:val="en-US"/>
        </w:rPr>
        <w:tab/>
      </w:r>
      <w:r>
        <w:rPr>
          <w:rFonts w:hint="eastAsia" w:hAnsi="Cambria Math" w:cs="宋体"/>
          <w:i w:val="0"/>
          <w:iCs/>
          <w:highlight w:val="none"/>
          <w:lang w:val="en-US" w:eastAsia="zh-CN"/>
        </w:rPr>
        <w:t>（3）</w:t>
      </w:r>
    </w:p>
    <w:p w14:paraId="604B704B">
      <w:pPr>
        <w:pStyle w:val="26"/>
        <w:rPr>
          <w:rFonts w:hAnsi="宋体" w:cs="宋体"/>
          <w:highlight w:val="none"/>
        </w:rPr>
      </w:pPr>
      <w:r>
        <w:rPr>
          <w:rFonts w:hint="eastAsia" w:hAnsi="宋体" w:cs="宋体"/>
          <w:highlight w:val="none"/>
        </w:rPr>
        <w:t>式中：</w:t>
      </w:r>
    </w:p>
    <w:p w14:paraId="1B40E958">
      <w:pPr>
        <w:pStyle w:val="26"/>
        <w:rPr>
          <w:rFonts w:hAnsi="宋体" w:cs="宋体"/>
          <w:highlight w:val="none"/>
        </w:rPr>
      </w:pPr>
      <m:oMath>
        <m:r>
          <m:rPr/>
          <w:rPr>
            <w:rFonts w:hint="default" w:ascii="Cambria Math" w:hAnsi="Cambria Math" w:cs="宋体"/>
            <w:highlight w:val="none"/>
          </w:rPr>
          <m:t>S</m:t>
        </m:r>
      </m:oMath>
      <w:r>
        <w:rPr>
          <w:rFonts w:hint="eastAsia" w:hAnsi="Cambria Math" w:cs="宋体"/>
          <w:b w:val="0"/>
          <w:i w:val="0"/>
          <w:iCs/>
          <w:spacing w:val="-11"/>
          <w:sz w:val="21"/>
          <w:highlight w:val="none"/>
          <w:lang w:val="en-US" w:eastAsia="zh-CN"/>
        </w:rPr>
        <w:t xml:space="preserve"> </w:t>
      </w:r>
      <w:r>
        <w:rPr>
          <w:rFonts w:hint="eastAsia" w:hAnsi="宋体" w:cs="宋体"/>
          <w:highlight w:val="none"/>
        </w:rPr>
        <w:t>——</w:t>
      </w:r>
      <w:r>
        <w:rPr>
          <w:rFonts w:hint="eastAsia" w:hAnsi="宋体" w:cs="宋体"/>
          <w:highlight w:val="none"/>
          <w:lang w:eastAsia="zh-CN"/>
        </w:rPr>
        <w:t>绿色低碳产业</w:t>
      </w:r>
      <w:r>
        <w:rPr>
          <w:rFonts w:hint="eastAsia" w:hAnsi="宋体" w:cs="宋体"/>
          <w:highlight w:val="none"/>
        </w:rPr>
        <w:t>认定综合评价值；</w:t>
      </w:r>
    </w:p>
    <w:p w14:paraId="0E16F0C7">
      <w:pPr>
        <w:pStyle w:val="26"/>
        <w:rPr>
          <w:rFonts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X</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——各综合评价指标得分值。</w:t>
      </w:r>
    </w:p>
    <w:p w14:paraId="0D99D637">
      <w:pPr>
        <w:pStyle w:val="63"/>
        <w:keepNext w:val="0"/>
        <w:keepLines w:val="0"/>
        <w:pageBreakBefore w:val="0"/>
        <w:widowControl w:val="0"/>
        <w:numPr>
          <w:ilvl w:val="0"/>
          <w:numId w:val="24"/>
        </w:numPr>
        <w:kinsoku/>
        <w:wordWrap/>
        <w:overflowPunct/>
        <w:topLinePunct w:val="0"/>
        <w:autoSpaceDE w:val="0"/>
        <w:autoSpaceDN w:val="0"/>
        <w:bidi w:val="0"/>
        <w:adjustRightInd/>
        <w:snapToGrid/>
        <w:ind w:left="780" w:leftChars="200" w:hanging="360" w:hangingChars="200"/>
        <w:textAlignment w:val="auto"/>
        <w:rPr>
          <w:rFonts w:hint="default"/>
          <w:highlight w:val="none"/>
          <w:lang w:val="en-US"/>
        </w:rPr>
      </w:pPr>
      <w:r>
        <w:rPr>
          <w:rFonts w:hint="eastAsia"/>
          <w:highlight w:val="none"/>
          <w:lang w:val="en-US" w:eastAsia="zh-CN"/>
        </w:rPr>
        <w:t>“绿色服务”类企事业单位或项目，不参评“环境表现”类指标。</w:t>
      </w:r>
    </w:p>
    <w:p w14:paraId="5DAD12E6">
      <w:pPr>
        <w:pStyle w:val="63"/>
        <w:keepNext w:val="0"/>
        <w:keepLines w:val="0"/>
        <w:pageBreakBefore w:val="0"/>
        <w:widowControl w:val="0"/>
        <w:numPr>
          <w:ilvl w:val="0"/>
          <w:numId w:val="24"/>
        </w:numPr>
        <w:kinsoku/>
        <w:wordWrap/>
        <w:overflowPunct/>
        <w:topLinePunct w:val="0"/>
        <w:autoSpaceDE w:val="0"/>
        <w:autoSpaceDN w:val="0"/>
        <w:bidi w:val="0"/>
        <w:adjustRightInd/>
        <w:snapToGrid/>
        <w:ind w:left="870" w:leftChars="200" w:hanging="450" w:hangingChars="250"/>
        <w:textAlignment w:val="auto"/>
        <w:rPr>
          <w:rFonts w:hint="default"/>
          <w:highlight w:val="none"/>
          <w:lang w:val="en-US"/>
        </w:rPr>
      </w:pPr>
      <w:r>
        <w:rPr>
          <w:rFonts w:hint="eastAsia"/>
          <w:highlight w:val="none"/>
        </w:rPr>
        <w:t>若</w:t>
      </w:r>
      <w:r>
        <w:rPr>
          <w:rFonts w:hint="eastAsia"/>
          <w:highlight w:val="none"/>
          <w:lang w:val="en-US" w:eastAsia="zh-CN"/>
        </w:rPr>
        <w:t>综合评价指标的部分指标不适用于某子行业，经专家评估审定后可不参评该指标，其</w:t>
      </w:r>
      <w:r>
        <w:rPr>
          <w:rFonts w:hint="eastAsia"/>
          <w:highlight w:val="none"/>
        </w:rPr>
        <w:t>综合值折算方法为：综合</w:t>
      </w:r>
      <w:r>
        <w:rPr>
          <w:rFonts w:hint="eastAsia"/>
          <w:highlight w:val="none"/>
          <w:lang w:val="en-US" w:eastAsia="zh-CN"/>
        </w:rPr>
        <w:t>评价</w:t>
      </w:r>
      <w:r>
        <w:rPr>
          <w:rFonts w:hint="eastAsia"/>
          <w:highlight w:val="none"/>
        </w:rPr>
        <w:t>值=参评项得分值/参评项总分值×100。</w:t>
      </w:r>
    </w:p>
    <w:p w14:paraId="319251CE">
      <w:pPr>
        <w:pStyle w:val="51"/>
        <w:bidi w:val="0"/>
        <w:rPr>
          <w:highlight w:val="none"/>
        </w:rPr>
      </w:pPr>
      <w:bookmarkStart w:id="99" w:name="_Toc26832"/>
      <w:bookmarkStart w:id="100" w:name="_Toc20408"/>
      <w:bookmarkStart w:id="101" w:name="_Toc21004"/>
      <w:r>
        <w:rPr>
          <w:rFonts w:hint="eastAsia"/>
          <w:highlight w:val="none"/>
        </w:rPr>
        <w:t>专家评审</w:t>
      </w:r>
      <w:bookmarkEnd w:id="99"/>
      <w:bookmarkEnd w:id="100"/>
      <w:bookmarkEnd w:id="101"/>
    </w:p>
    <w:p w14:paraId="2036B676">
      <w:pPr>
        <w:pStyle w:val="26"/>
        <w:rPr>
          <w:rFonts w:hint="eastAsia" w:hAnsi="宋体" w:cs="宋体"/>
          <w:sz w:val="21"/>
          <w:highlight w:val="none"/>
          <w:lang w:val="en-US" w:eastAsia="zh-CN" w:bidi="ar-SA"/>
        </w:rPr>
      </w:pPr>
      <w:r>
        <w:rPr>
          <w:rFonts w:hint="eastAsia" w:hAnsi="宋体" w:cs="宋体"/>
          <w:sz w:val="21"/>
          <w:highlight w:val="none"/>
          <w:lang w:val="en-US" w:eastAsia="zh-CN" w:bidi="ar-SA"/>
        </w:rPr>
        <w:t>由相关政府职能部门组织具备环境基础设施领域专业技术能力的专家，查看收集的报告文件、统计报表、原始记录，依据本文件要求根据环境基础设施领域绿色低碳产业认定评价指标表（见附录E）对申报材料进行评审打分并给出具体评审结论。</w:t>
      </w:r>
      <w:r>
        <w:rPr>
          <w:rFonts w:hint="eastAsia" w:hAnsi="宋体" w:cs="宋体"/>
          <w:sz w:val="21"/>
          <w:highlight w:val="none"/>
          <w:lang w:val="en-US" w:eastAsia="zh-CN" w:bidi="ar-SA"/>
        </w:rPr>
        <w:br w:type="page"/>
      </w:r>
    </w:p>
    <w:p w14:paraId="41EB4A50">
      <w:pPr>
        <w:pStyle w:val="89"/>
        <w:shd w:val="clear" w:color="FFFFFF" w:fill="FFFFFF"/>
        <w:rPr>
          <w:rFonts w:ascii="Times New Roman"/>
          <w:highlight w:val="none"/>
        </w:rPr>
      </w:pPr>
      <w:bookmarkStart w:id="102" w:name="_Toc16088"/>
      <w:r>
        <w:rPr>
          <w:rFonts w:ascii="Times New Roman"/>
          <w:highlight w:val="none"/>
        </w:rPr>
        <w:br w:type="textWrapping"/>
      </w:r>
      <w:r>
        <w:rPr>
          <w:rFonts w:ascii="Times New Roman"/>
          <w:highlight w:val="none"/>
        </w:rPr>
        <w:t>（</w:t>
      </w:r>
      <w:r>
        <w:rPr>
          <w:rFonts w:hint="eastAsia" w:ascii="Times New Roman"/>
          <w:highlight w:val="none"/>
          <w:lang w:val="en-US" w:eastAsia="zh-CN"/>
        </w:rPr>
        <w:t>规范性</w:t>
      </w:r>
      <w:r>
        <w:rPr>
          <w:rFonts w:ascii="Times New Roman"/>
          <w:highlight w:val="none"/>
        </w:rPr>
        <w:t>）</w:t>
      </w:r>
      <w:r>
        <w:rPr>
          <w:rFonts w:ascii="Times New Roman"/>
          <w:highlight w:val="none"/>
        </w:rPr>
        <w:br w:type="textWrapping"/>
      </w:r>
      <w:r>
        <w:rPr>
          <w:rFonts w:hint="eastAsia" w:ascii="Times New Roman"/>
          <w:highlight w:val="none"/>
          <w:lang w:val="en-US" w:eastAsia="zh-CN"/>
        </w:rPr>
        <w:t>环境基础设施领域</w:t>
      </w:r>
      <w:r>
        <w:rPr>
          <w:rFonts w:hint="eastAsia" w:ascii="Times New Roman"/>
          <w:highlight w:val="none"/>
          <w:lang w:eastAsia="zh-CN"/>
        </w:rPr>
        <w:t>绿色低碳产业</w:t>
      </w:r>
      <w:r>
        <w:rPr>
          <w:rFonts w:hint="eastAsia" w:ascii="Times New Roman"/>
          <w:highlight w:val="none"/>
        </w:rPr>
        <w:t>关键技术先进性</w:t>
      </w:r>
      <w:r>
        <w:rPr>
          <w:rFonts w:hint="eastAsia" w:ascii="Times New Roman"/>
          <w:highlight w:val="none"/>
          <w:lang w:val="en-US" w:eastAsia="zh-CN"/>
        </w:rPr>
        <w:t>评价指标</w:t>
      </w:r>
      <w:bookmarkEnd w:id="102"/>
    </w:p>
    <w:p w14:paraId="63996F1A">
      <w:pPr>
        <w:widowControl w:val="0"/>
        <w:numPr>
          <w:ilvl w:val="1"/>
          <w:numId w:val="0"/>
        </w:numPr>
        <w:spacing w:before="156" w:beforeLines="50" w:after="156" w:afterLines="50"/>
        <w:jc w:val="both"/>
        <w:rPr>
          <w:rFonts w:hint="default"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A.1  园林绿化建设、养护管理和运营</w:t>
      </w:r>
    </w:p>
    <w:p w14:paraId="45101DAC">
      <w:pPr>
        <w:autoSpaceDE w:val="0"/>
        <w:autoSpaceDN w:val="0"/>
        <w:ind w:firstLine="420" w:firstLineChars="200"/>
        <w:rPr>
          <w:rFonts w:ascii="宋体" w:hAnsi="宋体" w:cs="宋体"/>
          <w:szCs w:val="21"/>
          <w:highlight w:val="none"/>
        </w:rPr>
      </w:pPr>
      <w:r>
        <w:rPr>
          <w:rFonts w:hint="eastAsia" w:ascii="宋体" w:hAnsi="宋体" w:cs="宋体"/>
          <w:szCs w:val="21"/>
          <w:highlight w:val="none"/>
          <w:lang w:val="en-US" w:eastAsia="zh-CN" w:bidi="ar"/>
        </w:rPr>
        <w:t>园林绿化建设、养护管理和运营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A.1</w:t>
      </w:r>
      <w:r>
        <w:rPr>
          <w:rFonts w:hint="eastAsia" w:ascii="宋体" w:hAnsi="宋体" w:cs="宋体"/>
          <w:szCs w:val="21"/>
          <w:highlight w:val="none"/>
          <w:lang w:bidi="ar"/>
        </w:rPr>
        <w:t>。</w:t>
      </w:r>
    </w:p>
    <w:p w14:paraId="34697DE3">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表A.1  园林绿化建设、养护管理和运营关键</w:t>
      </w:r>
      <w:r>
        <w:rPr>
          <w:rFonts w:hint="eastAsia" w:hAnsi="宋体" w:cs="黑体"/>
          <w:kern w:val="2"/>
          <w:szCs w:val="21"/>
          <w:highlight w:val="none"/>
          <w:lang w:bidi="ar"/>
        </w:rPr>
        <w:t>技术先进水平评价规则</w:t>
      </w:r>
    </w:p>
    <w:tbl>
      <w:tblPr>
        <w:tblStyle w:val="37"/>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5"/>
        <w:gridCol w:w="1890"/>
        <w:gridCol w:w="3956"/>
        <w:gridCol w:w="2251"/>
      </w:tblGrid>
      <w:tr w14:paraId="32AB69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tcBorders>
              <w:bottom w:val="single" w:color="auto" w:sz="12" w:space="0"/>
            </w:tcBorders>
            <w:shd w:val="clear" w:color="auto" w:fill="auto"/>
          </w:tcPr>
          <w:p w14:paraId="4A5371E5">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988" w:type="pct"/>
            <w:tcBorders>
              <w:bottom w:val="single" w:color="auto" w:sz="12" w:space="0"/>
            </w:tcBorders>
            <w:shd w:val="clear" w:color="auto" w:fill="auto"/>
          </w:tcPr>
          <w:p w14:paraId="41BBCD67">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2068" w:type="pct"/>
            <w:tcBorders>
              <w:bottom w:val="single" w:color="auto" w:sz="12" w:space="0"/>
            </w:tcBorders>
            <w:shd w:val="clear" w:color="auto" w:fill="auto"/>
          </w:tcPr>
          <w:p w14:paraId="72C4B74C">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177" w:type="pct"/>
            <w:tcBorders>
              <w:bottom w:val="single" w:color="auto" w:sz="12" w:space="0"/>
            </w:tcBorders>
            <w:shd w:val="clear" w:color="auto" w:fill="auto"/>
          </w:tcPr>
          <w:p w14:paraId="4CFBC6BB">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002FC6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66" w:type="pct"/>
            <w:vMerge w:val="restart"/>
            <w:tcBorders>
              <w:top w:val="single" w:color="auto" w:sz="12" w:space="0"/>
              <w:bottom w:val="single" w:color="auto" w:sz="4" w:space="0"/>
            </w:tcBorders>
            <w:shd w:val="clear" w:color="auto" w:fill="auto"/>
            <w:vAlign w:val="center"/>
          </w:tcPr>
          <w:p w14:paraId="658E0D9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bidi="ar"/>
              </w:rPr>
              <w:t>建设阶段</w:t>
            </w:r>
          </w:p>
        </w:tc>
        <w:tc>
          <w:tcPr>
            <w:tcW w:w="988" w:type="pct"/>
            <w:tcBorders>
              <w:top w:val="single" w:color="auto" w:sz="12" w:space="0"/>
              <w:bottom w:val="single" w:color="auto" w:sz="4" w:space="0"/>
            </w:tcBorders>
            <w:shd w:val="clear" w:color="auto" w:fill="auto"/>
            <w:vAlign w:val="center"/>
          </w:tcPr>
          <w:p w14:paraId="050E421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bidi="ar"/>
              </w:rPr>
              <w:t>公园绿地</w:t>
            </w:r>
          </w:p>
        </w:tc>
        <w:tc>
          <w:tcPr>
            <w:tcW w:w="2068" w:type="pct"/>
            <w:tcBorders>
              <w:top w:val="single" w:color="auto" w:sz="12" w:space="0"/>
              <w:bottom w:val="single" w:color="auto" w:sz="4" w:space="0"/>
            </w:tcBorders>
            <w:shd w:val="clear" w:color="auto" w:fill="auto"/>
            <w:vAlign w:val="center"/>
          </w:tcPr>
          <w:p w14:paraId="58AB9261">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绿地率、绿化覆盖率、节约型绿地建设率</w:t>
            </w:r>
          </w:p>
        </w:tc>
        <w:tc>
          <w:tcPr>
            <w:tcW w:w="1177" w:type="pct"/>
            <w:tcBorders>
              <w:top w:val="single" w:color="auto" w:sz="12" w:space="0"/>
              <w:bottom w:val="single" w:color="auto" w:sz="4" w:space="0"/>
            </w:tcBorders>
            <w:shd w:val="clear" w:color="auto" w:fill="auto"/>
            <w:vAlign w:val="center"/>
          </w:tcPr>
          <w:p w14:paraId="031189EA">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lang w:val="en-US"/>
              </w:rPr>
            </w:pPr>
            <w:r>
              <w:rPr>
                <w:rFonts w:hint="eastAsia" w:ascii="宋体" w:hAnsi="宋体" w:cs="宋体"/>
                <w:sz w:val="18"/>
                <w:szCs w:val="18"/>
                <w:highlight w:val="none"/>
              </w:rPr>
              <w:t>GB/T 50563-2010</w:t>
            </w:r>
          </w:p>
        </w:tc>
      </w:tr>
      <w:tr w14:paraId="4464D9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66" w:type="pct"/>
            <w:vMerge w:val="continue"/>
            <w:tcBorders>
              <w:top w:val="single" w:color="auto" w:sz="4" w:space="0"/>
              <w:bottom w:val="single" w:color="auto" w:sz="4" w:space="0"/>
            </w:tcBorders>
            <w:shd w:val="clear" w:color="auto" w:fill="auto"/>
            <w:vAlign w:val="center"/>
          </w:tcPr>
          <w:p w14:paraId="01510AB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988" w:type="pct"/>
            <w:tcBorders>
              <w:top w:val="single" w:color="auto" w:sz="4" w:space="0"/>
              <w:bottom w:val="single" w:color="auto" w:sz="4" w:space="0"/>
            </w:tcBorders>
            <w:shd w:val="clear" w:color="auto" w:fill="auto"/>
            <w:vAlign w:val="center"/>
          </w:tcPr>
          <w:p w14:paraId="6B2F9DD1">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其他用地附属绿地</w:t>
            </w:r>
          </w:p>
        </w:tc>
        <w:tc>
          <w:tcPr>
            <w:tcW w:w="2068" w:type="pct"/>
            <w:tcBorders>
              <w:top w:val="single" w:color="auto" w:sz="4" w:space="0"/>
              <w:bottom w:val="single" w:color="auto" w:sz="4" w:space="0"/>
            </w:tcBorders>
            <w:shd w:val="clear" w:color="auto" w:fill="auto"/>
            <w:vAlign w:val="center"/>
          </w:tcPr>
          <w:p w14:paraId="09786296">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园林绿化管养质量</w:t>
            </w:r>
            <w:r>
              <w:rPr>
                <w:rFonts w:hint="eastAsia" w:ascii="宋体" w:hAnsi="宋体" w:cs="宋体"/>
                <w:sz w:val="18"/>
                <w:szCs w:val="18"/>
                <w:highlight w:val="none"/>
                <w:lang w:val="en-US" w:eastAsia="zh-CN"/>
              </w:rPr>
              <w:t>等级</w:t>
            </w:r>
          </w:p>
        </w:tc>
        <w:tc>
          <w:tcPr>
            <w:tcW w:w="1177" w:type="pct"/>
            <w:tcBorders>
              <w:top w:val="single" w:color="auto" w:sz="4" w:space="0"/>
              <w:bottom w:val="single" w:color="auto" w:sz="4" w:space="0"/>
            </w:tcBorders>
            <w:shd w:val="clear" w:color="auto" w:fill="auto"/>
            <w:vAlign w:val="center"/>
          </w:tcPr>
          <w:p w14:paraId="2EB4AD63">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rPr>
            </w:pPr>
            <w:r>
              <w:rPr>
                <w:rFonts w:hint="eastAsia" w:ascii="宋体" w:hAnsi="宋体" w:cs="宋体"/>
                <w:sz w:val="18"/>
                <w:szCs w:val="18"/>
                <w:highlight w:val="none"/>
              </w:rPr>
              <w:t>DB4403/T 87-2020</w:t>
            </w:r>
          </w:p>
        </w:tc>
      </w:tr>
      <w:tr w14:paraId="53D380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4" w:hRule="atLeast"/>
          <w:jc w:val="center"/>
        </w:trPr>
        <w:tc>
          <w:tcPr>
            <w:tcW w:w="766" w:type="pct"/>
            <w:vMerge w:val="continue"/>
            <w:tcBorders>
              <w:top w:val="single" w:color="auto" w:sz="4" w:space="0"/>
              <w:bottom w:val="single" w:color="auto" w:sz="4" w:space="0"/>
            </w:tcBorders>
            <w:shd w:val="clear" w:color="auto" w:fill="auto"/>
            <w:vAlign w:val="center"/>
          </w:tcPr>
          <w:p w14:paraId="00BC66BD">
            <w:pPr>
              <w:keepNext w:val="0"/>
              <w:keepLines w:val="0"/>
              <w:suppressLineNumbers w:val="0"/>
              <w:spacing w:before="0" w:beforeAutospacing="0" w:after="0" w:afterAutospacing="0"/>
              <w:ind w:left="0" w:right="0"/>
              <w:jc w:val="center"/>
              <w:rPr>
                <w:rFonts w:hint="default" w:ascii="宋体" w:hAnsi="宋体" w:cs="宋体"/>
                <w:sz w:val="18"/>
                <w:szCs w:val="18"/>
                <w:highlight w:val="none"/>
              </w:rPr>
            </w:pPr>
          </w:p>
        </w:tc>
        <w:tc>
          <w:tcPr>
            <w:tcW w:w="988" w:type="pct"/>
            <w:tcBorders>
              <w:top w:val="single" w:color="auto" w:sz="4" w:space="0"/>
              <w:bottom w:val="single" w:color="auto" w:sz="4" w:space="0"/>
            </w:tcBorders>
            <w:shd w:val="clear" w:color="auto" w:fill="auto"/>
            <w:vAlign w:val="center"/>
          </w:tcPr>
          <w:p w14:paraId="1A8D6B6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bidi="ar"/>
              </w:rPr>
              <w:t>公路绿带</w:t>
            </w:r>
          </w:p>
        </w:tc>
        <w:tc>
          <w:tcPr>
            <w:tcW w:w="2068" w:type="pct"/>
            <w:tcBorders>
              <w:top w:val="single" w:color="auto" w:sz="4" w:space="0"/>
              <w:bottom w:val="single" w:color="auto" w:sz="4" w:space="0"/>
            </w:tcBorders>
            <w:shd w:val="clear" w:color="auto" w:fill="auto"/>
            <w:vAlign w:val="center"/>
          </w:tcPr>
          <w:p w14:paraId="7A2F3B1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rPr>
              <w:t>园林绿化管养质量</w:t>
            </w:r>
            <w:r>
              <w:rPr>
                <w:rFonts w:hint="eastAsia" w:ascii="宋体" w:hAnsi="宋体" w:cs="宋体"/>
                <w:sz w:val="18"/>
                <w:szCs w:val="18"/>
                <w:highlight w:val="none"/>
                <w:lang w:val="en-US" w:eastAsia="zh-CN"/>
              </w:rPr>
              <w:t>等级</w:t>
            </w:r>
          </w:p>
        </w:tc>
        <w:tc>
          <w:tcPr>
            <w:tcW w:w="1177" w:type="pct"/>
            <w:tcBorders>
              <w:top w:val="single" w:color="auto" w:sz="4" w:space="0"/>
              <w:bottom w:val="single" w:color="auto" w:sz="4" w:space="0"/>
            </w:tcBorders>
            <w:shd w:val="clear" w:color="auto" w:fill="auto"/>
            <w:vAlign w:val="center"/>
          </w:tcPr>
          <w:p w14:paraId="336F154A">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DB4403/T 87-2020</w:t>
            </w:r>
          </w:p>
        </w:tc>
      </w:tr>
      <w:tr w14:paraId="720F21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op w:val="single" w:color="auto" w:sz="4" w:space="0"/>
            </w:tcBorders>
            <w:shd w:val="clear" w:color="auto" w:fill="auto"/>
            <w:vAlign w:val="center"/>
          </w:tcPr>
          <w:p w14:paraId="4C7862AC">
            <w:pPr>
              <w:keepNext w:val="0"/>
              <w:keepLines w:val="0"/>
              <w:suppressLineNumbers w:val="0"/>
              <w:spacing w:before="0" w:beforeAutospacing="0" w:after="0" w:afterAutospacing="0"/>
              <w:ind w:left="0" w:right="0"/>
              <w:jc w:val="center"/>
              <w:rPr>
                <w:rFonts w:hint="default" w:ascii="宋体" w:hAnsi="宋体" w:cs="宋体"/>
                <w:sz w:val="18"/>
                <w:szCs w:val="18"/>
                <w:highlight w:val="none"/>
              </w:rPr>
            </w:pPr>
          </w:p>
        </w:tc>
        <w:tc>
          <w:tcPr>
            <w:tcW w:w="988" w:type="pct"/>
            <w:tcBorders>
              <w:top w:val="single" w:color="auto" w:sz="4" w:space="0"/>
            </w:tcBorders>
            <w:shd w:val="clear" w:color="auto" w:fill="auto"/>
            <w:vAlign w:val="center"/>
          </w:tcPr>
          <w:p w14:paraId="004C3612">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立体空间绿化</w:t>
            </w:r>
          </w:p>
        </w:tc>
        <w:tc>
          <w:tcPr>
            <w:tcW w:w="2068" w:type="pct"/>
            <w:tcBorders>
              <w:top w:val="single" w:color="auto" w:sz="4" w:space="0"/>
            </w:tcBorders>
            <w:shd w:val="clear" w:color="auto" w:fill="auto"/>
            <w:vAlign w:val="center"/>
          </w:tcPr>
          <w:p w14:paraId="48D60C3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rPr>
              <w:t>园林绿化管养质量</w:t>
            </w:r>
            <w:r>
              <w:rPr>
                <w:rFonts w:hint="eastAsia" w:ascii="宋体" w:hAnsi="宋体" w:cs="宋体"/>
                <w:sz w:val="18"/>
                <w:szCs w:val="18"/>
                <w:highlight w:val="none"/>
                <w:lang w:val="en-US" w:eastAsia="zh-CN"/>
              </w:rPr>
              <w:t>等级</w:t>
            </w:r>
          </w:p>
        </w:tc>
        <w:tc>
          <w:tcPr>
            <w:tcW w:w="1177" w:type="pct"/>
            <w:tcBorders>
              <w:top w:val="single" w:color="auto" w:sz="4" w:space="0"/>
            </w:tcBorders>
            <w:shd w:val="clear" w:color="auto" w:fill="auto"/>
            <w:vAlign w:val="center"/>
          </w:tcPr>
          <w:p w14:paraId="2901A18C">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DB4403/T 87-2020</w:t>
            </w:r>
          </w:p>
        </w:tc>
      </w:tr>
    </w:tbl>
    <w:p w14:paraId="3E65276B">
      <w:pPr>
        <w:widowControl w:val="0"/>
        <w:numPr>
          <w:ilvl w:val="1"/>
          <w:numId w:val="0"/>
        </w:numPr>
        <w:spacing w:before="156" w:beforeLines="50" w:after="156" w:afterLines="50"/>
        <w:jc w:val="both"/>
        <w:rPr>
          <w:rFonts w:hint="default" w:ascii="Times New Roman" w:hAnsi="Times New Roman" w:eastAsia="Times New Roman"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A.2  海绵城市建设和运营</w:t>
      </w:r>
    </w:p>
    <w:p w14:paraId="3321A1BC">
      <w:pPr>
        <w:autoSpaceDE w:val="0"/>
        <w:autoSpaceDN w:val="0"/>
        <w:ind w:firstLine="420" w:firstLineChars="200"/>
        <w:rPr>
          <w:szCs w:val="21"/>
          <w:highlight w:val="none"/>
        </w:rPr>
      </w:pPr>
      <w:r>
        <w:rPr>
          <w:rFonts w:hint="eastAsia" w:ascii="宋体" w:hAnsi="宋体" w:cs="宋体"/>
          <w:szCs w:val="21"/>
          <w:highlight w:val="none"/>
          <w:lang w:val="en-US" w:eastAsia="zh-CN" w:bidi="ar"/>
        </w:rPr>
        <w:t>海绵城市建设和运营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A.2</w:t>
      </w:r>
      <w:r>
        <w:rPr>
          <w:rFonts w:hint="eastAsia" w:ascii="宋体" w:hAnsi="宋体" w:cs="宋体"/>
          <w:szCs w:val="21"/>
          <w:highlight w:val="none"/>
          <w:lang w:bidi="ar"/>
        </w:rPr>
        <w:t>。</w:t>
      </w:r>
    </w:p>
    <w:p w14:paraId="0013F7A5">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表A.2  海绵城市建设和运营关键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22"/>
        <w:gridCol w:w="3870"/>
        <w:gridCol w:w="2577"/>
        <w:gridCol w:w="1990"/>
      </w:tblGrid>
      <w:tr w14:paraId="196D9E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87" w:type="pct"/>
            <w:tcBorders>
              <w:bottom w:val="single" w:color="auto" w:sz="12" w:space="0"/>
            </w:tcBorders>
            <w:shd w:val="clear" w:color="auto" w:fill="auto"/>
          </w:tcPr>
          <w:p w14:paraId="1B78BAD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2023" w:type="pct"/>
            <w:tcBorders>
              <w:bottom w:val="single" w:color="auto" w:sz="12" w:space="0"/>
            </w:tcBorders>
            <w:shd w:val="clear" w:color="auto" w:fill="auto"/>
          </w:tcPr>
          <w:p w14:paraId="7BEC1C7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347" w:type="pct"/>
            <w:tcBorders>
              <w:bottom w:val="single" w:color="auto" w:sz="12" w:space="0"/>
            </w:tcBorders>
            <w:shd w:val="clear" w:color="auto" w:fill="auto"/>
          </w:tcPr>
          <w:p w14:paraId="1B75F557">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040" w:type="pct"/>
            <w:tcBorders>
              <w:bottom w:val="single" w:color="auto" w:sz="12" w:space="0"/>
            </w:tcBorders>
            <w:shd w:val="clear" w:color="auto" w:fill="auto"/>
          </w:tcPr>
          <w:p w14:paraId="042C08AC">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5A053C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587" w:type="pct"/>
            <w:vMerge w:val="restart"/>
            <w:tcBorders>
              <w:top w:val="single" w:color="auto" w:sz="12" w:space="0"/>
              <w:bottom w:val="single" w:color="auto" w:sz="4" w:space="0"/>
            </w:tcBorders>
            <w:shd w:val="clear" w:color="auto" w:fill="auto"/>
            <w:vAlign w:val="center"/>
          </w:tcPr>
          <w:p w14:paraId="1EE3B0C2">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bidi="ar"/>
              </w:rPr>
              <w:t>建设运营</w:t>
            </w:r>
          </w:p>
        </w:tc>
        <w:tc>
          <w:tcPr>
            <w:tcW w:w="2023" w:type="pct"/>
            <w:tcBorders>
              <w:top w:val="single" w:color="auto" w:sz="12" w:space="0"/>
              <w:bottom w:val="single" w:color="auto" w:sz="4" w:space="0"/>
            </w:tcBorders>
            <w:shd w:val="clear" w:color="auto" w:fill="auto"/>
            <w:vAlign w:val="center"/>
          </w:tcPr>
          <w:p w14:paraId="5D0D6E92">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8"/>
                <w:highlight w:val="none"/>
                <w:lang w:val="en-US" w:eastAsia="zh-CN"/>
              </w:rPr>
            </w:pPr>
            <w:r>
              <w:rPr>
                <w:rFonts w:hint="eastAsia" w:ascii="宋体" w:hAnsi="宋体" w:cs="宋体"/>
                <w:sz w:val="18"/>
                <w:szCs w:val="18"/>
                <w:highlight w:val="none"/>
              </w:rPr>
              <w:t>建筑及居住小区</w:t>
            </w:r>
            <w:r>
              <w:rPr>
                <w:rFonts w:hint="eastAsia" w:ascii="宋体" w:hAnsi="宋体" w:cs="宋体"/>
                <w:sz w:val="18"/>
                <w:szCs w:val="18"/>
                <w:highlight w:val="none"/>
                <w:lang w:val="en-US" w:eastAsia="zh-CN"/>
              </w:rPr>
              <w:t>雨水源头控制设施</w:t>
            </w:r>
          </w:p>
        </w:tc>
        <w:tc>
          <w:tcPr>
            <w:tcW w:w="1347" w:type="pct"/>
            <w:tcBorders>
              <w:top w:val="single" w:color="auto" w:sz="12" w:space="0"/>
              <w:bottom w:val="single" w:color="auto" w:sz="4" w:space="0"/>
            </w:tcBorders>
            <w:shd w:val="clear" w:color="auto" w:fill="auto"/>
            <w:vAlign w:val="center"/>
          </w:tcPr>
          <w:p w14:paraId="077BA23B">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调蓄量</w:t>
            </w:r>
          </w:p>
        </w:tc>
        <w:tc>
          <w:tcPr>
            <w:tcW w:w="1040" w:type="pct"/>
            <w:tcBorders>
              <w:top w:val="single" w:color="auto" w:sz="12" w:space="0"/>
              <w:bottom w:val="single" w:color="auto" w:sz="4" w:space="0"/>
            </w:tcBorders>
            <w:shd w:val="clear" w:color="auto" w:fill="auto"/>
            <w:vAlign w:val="center"/>
          </w:tcPr>
          <w:p w14:paraId="0690777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rPr>
              <w:t>GB 51174-2017</w:t>
            </w:r>
          </w:p>
        </w:tc>
      </w:tr>
      <w:tr w14:paraId="068604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587" w:type="pct"/>
            <w:vMerge w:val="continue"/>
            <w:tcBorders>
              <w:top w:val="single" w:color="auto" w:sz="4" w:space="0"/>
              <w:bottom w:val="single" w:color="auto" w:sz="4" w:space="0"/>
            </w:tcBorders>
            <w:shd w:val="clear" w:color="auto" w:fill="auto"/>
            <w:vAlign w:val="center"/>
          </w:tcPr>
          <w:p w14:paraId="141630E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4" w:space="0"/>
            </w:tcBorders>
            <w:shd w:val="clear" w:color="auto" w:fill="auto"/>
            <w:vAlign w:val="center"/>
          </w:tcPr>
          <w:p w14:paraId="2D3D7184">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lang w:val="en-US" w:eastAsia="zh-CN"/>
              </w:rPr>
            </w:pPr>
            <w:r>
              <w:rPr>
                <w:rFonts w:hint="eastAsia" w:ascii="宋体" w:hAnsi="宋体" w:cs="宋体"/>
                <w:sz w:val="18"/>
                <w:szCs w:val="18"/>
                <w:highlight w:val="none"/>
              </w:rPr>
              <w:t>道路及广场</w:t>
            </w:r>
            <w:r>
              <w:rPr>
                <w:rFonts w:hint="eastAsia" w:ascii="宋体" w:hAnsi="宋体" w:cs="宋体"/>
                <w:sz w:val="18"/>
                <w:szCs w:val="18"/>
                <w:highlight w:val="none"/>
                <w:lang w:val="en-US" w:eastAsia="zh-CN"/>
              </w:rPr>
              <w:t>透水铺装设施</w:t>
            </w:r>
          </w:p>
        </w:tc>
        <w:tc>
          <w:tcPr>
            <w:tcW w:w="1347" w:type="pct"/>
            <w:tcBorders>
              <w:top w:val="single" w:color="auto" w:sz="4" w:space="0"/>
              <w:bottom w:val="single" w:color="auto" w:sz="4" w:space="0"/>
            </w:tcBorders>
            <w:shd w:val="clear" w:color="auto" w:fill="auto"/>
            <w:vAlign w:val="center"/>
          </w:tcPr>
          <w:p w14:paraId="10F44245">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透水铺装率、渗透系数</w:t>
            </w:r>
          </w:p>
        </w:tc>
        <w:tc>
          <w:tcPr>
            <w:tcW w:w="1040" w:type="pct"/>
            <w:tcBorders>
              <w:top w:val="single" w:color="auto" w:sz="4" w:space="0"/>
              <w:bottom w:val="single" w:color="auto" w:sz="4" w:space="0"/>
            </w:tcBorders>
            <w:shd w:val="clear" w:color="auto" w:fill="auto"/>
            <w:vAlign w:val="center"/>
          </w:tcPr>
          <w:p w14:paraId="5547689B">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rPr>
              <w:t>DB3201/T 1150-2023</w:t>
            </w:r>
          </w:p>
        </w:tc>
      </w:tr>
      <w:tr w14:paraId="25127EE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587" w:type="pct"/>
            <w:vMerge w:val="continue"/>
            <w:tcBorders>
              <w:top w:val="single" w:color="auto" w:sz="4" w:space="0"/>
              <w:bottom w:val="single" w:color="auto" w:sz="4" w:space="0"/>
            </w:tcBorders>
            <w:shd w:val="clear" w:color="auto" w:fill="auto"/>
            <w:vAlign w:val="center"/>
          </w:tcPr>
          <w:p w14:paraId="1A61E19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4" w:space="0"/>
            </w:tcBorders>
            <w:shd w:val="clear" w:color="auto" w:fill="auto"/>
            <w:vAlign w:val="center"/>
          </w:tcPr>
          <w:p w14:paraId="6BB43893">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lang w:val="en-US" w:eastAsia="zh-CN"/>
              </w:rPr>
            </w:pPr>
            <w:r>
              <w:rPr>
                <w:rFonts w:hint="eastAsia" w:ascii="宋体" w:hAnsi="宋体" w:cs="宋体"/>
                <w:sz w:val="18"/>
                <w:szCs w:val="18"/>
                <w:highlight w:val="none"/>
              </w:rPr>
              <w:t>道路及广场雨水收集利用与污染防治设施</w:t>
            </w:r>
          </w:p>
        </w:tc>
        <w:tc>
          <w:tcPr>
            <w:tcW w:w="1347" w:type="pct"/>
            <w:tcBorders>
              <w:top w:val="single" w:color="auto" w:sz="4" w:space="0"/>
              <w:bottom w:val="single" w:color="auto" w:sz="4" w:space="0"/>
            </w:tcBorders>
            <w:shd w:val="clear" w:color="auto" w:fill="auto"/>
            <w:vAlign w:val="center"/>
          </w:tcPr>
          <w:p w14:paraId="22445E2E">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调蓄量、悬浮物削减值</w:t>
            </w:r>
          </w:p>
        </w:tc>
        <w:tc>
          <w:tcPr>
            <w:tcW w:w="1040" w:type="pct"/>
            <w:tcBorders>
              <w:top w:val="single" w:color="auto" w:sz="4" w:space="0"/>
              <w:bottom w:val="single" w:color="auto" w:sz="4" w:space="0"/>
            </w:tcBorders>
            <w:shd w:val="clear" w:color="auto" w:fill="auto"/>
            <w:vAlign w:val="center"/>
          </w:tcPr>
          <w:p w14:paraId="020F6780">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rPr>
            </w:pPr>
            <w:r>
              <w:rPr>
                <w:rFonts w:hint="eastAsia" w:ascii="宋体" w:hAnsi="宋体" w:cs="宋体"/>
                <w:sz w:val="18"/>
                <w:szCs w:val="18"/>
                <w:highlight w:val="none"/>
              </w:rPr>
              <w:t>GB 51174-2017</w:t>
            </w:r>
          </w:p>
        </w:tc>
      </w:tr>
      <w:tr w14:paraId="39826E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jc w:val="center"/>
        </w:trPr>
        <w:tc>
          <w:tcPr>
            <w:tcW w:w="587" w:type="pct"/>
            <w:vMerge w:val="continue"/>
            <w:tcBorders>
              <w:top w:val="single" w:color="auto" w:sz="4" w:space="0"/>
              <w:bottom w:val="single" w:color="auto" w:sz="4" w:space="0"/>
            </w:tcBorders>
            <w:shd w:val="clear" w:color="auto" w:fill="auto"/>
            <w:vAlign w:val="center"/>
          </w:tcPr>
          <w:p w14:paraId="7C4806D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4" w:space="0"/>
            </w:tcBorders>
            <w:shd w:val="clear" w:color="auto" w:fill="auto"/>
            <w:vAlign w:val="center"/>
          </w:tcPr>
          <w:p w14:paraId="15D46AF8">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rPr>
            </w:pPr>
            <w:r>
              <w:rPr>
                <w:rFonts w:hint="eastAsia" w:ascii="宋体" w:hAnsi="宋体" w:cs="宋体"/>
                <w:sz w:val="18"/>
                <w:szCs w:val="18"/>
                <w:highlight w:val="none"/>
              </w:rPr>
              <w:t>城镇公园和公共绿地雨水自然净化与调蓄设施</w:t>
            </w:r>
          </w:p>
        </w:tc>
        <w:tc>
          <w:tcPr>
            <w:tcW w:w="1347" w:type="pct"/>
            <w:tcBorders>
              <w:top w:val="single" w:color="auto" w:sz="4" w:space="0"/>
              <w:bottom w:val="single" w:color="auto" w:sz="4" w:space="0"/>
            </w:tcBorders>
            <w:shd w:val="clear" w:color="auto" w:fill="auto"/>
            <w:vAlign w:val="center"/>
          </w:tcPr>
          <w:p w14:paraId="7457FC96">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渗透系数、污染物面积负荷</w:t>
            </w:r>
          </w:p>
        </w:tc>
        <w:tc>
          <w:tcPr>
            <w:tcW w:w="1040" w:type="pct"/>
            <w:tcBorders>
              <w:top w:val="single" w:color="auto" w:sz="4" w:space="0"/>
              <w:bottom w:val="single" w:color="auto" w:sz="4" w:space="0"/>
            </w:tcBorders>
            <w:shd w:val="clear" w:color="auto" w:fill="auto"/>
            <w:vAlign w:val="center"/>
          </w:tcPr>
          <w:p w14:paraId="245978FD">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rPr>
            </w:pPr>
            <w:r>
              <w:rPr>
                <w:rFonts w:hint="eastAsia" w:ascii="宋体" w:hAnsi="宋体" w:cs="宋体"/>
                <w:sz w:val="18"/>
                <w:szCs w:val="18"/>
                <w:highlight w:val="none"/>
              </w:rPr>
              <w:t>DB13/T 5184</w:t>
            </w:r>
            <w:r>
              <w:rPr>
                <w:rFonts w:hint="eastAsia" w:ascii="宋体" w:hAnsi="宋体" w:cs="宋体"/>
                <w:sz w:val="18"/>
                <w:szCs w:val="18"/>
                <w:highlight w:val="none"/>
                <w:lang w:val="en-US" w:eastAsia="zh-CN"/>
              </w:rPr>
              <w:t>-</w:t>
            </w:r>
            <w:r>
              <w:rPr>
                <w:rFonts w:hint="eastAsia" w:ascii="宋体" w:hAnsi="宋体" w:cs="宋体"/>
                <w:sz w:val="18"/>
                <w:szCs w:val="18"/>
                <w:highlight w:val="none"/>
              </w:rPr>
              <w:t>2020</w:t>
            </w:r>
          </w:p>
        </w:tc>
      </w:tr>
      <w:tr w14:paraId="48DE98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7" w:type="pct"/>
            <w:vMerge w:val="continue"/>
            <w:tcBorders>
              <w:top w:val="single" w:color="auto" w:sz="4" w:space="0"/>
              <w:bottom w:val="single" w:color="auto" w:sz="4" w:space="0"/>
            </w:tcBorders>
            <w:shd w:val="clear" w:color="auto" w:fill="auto"/>
            <w:vAlign w:val="center"/>
          </w:tcPr>
          <w:p w14:paraId="3F4DE5E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4" w:space="0"/>
            </w:tcBorders>
            <w:shd w:val="clear" w:color="auto" w:fill="auto"/>
            <w:vAlign w:val="center"/>
          </w:tcPr>
          <w:p w14:paraId="6F4692A7">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rPr>
            </w:pPr>
            <w:r>
              <w:rPr>
                <w:rFonts w:hint="eastAsia" w:ascii="宋体" w:hAnsi="宋体" w:cs="宋体"/>
                <w:sz w:val="18"/>
                <w:szCs w:val="18"/>
                <w:highlight w:val="none"/>
              </w:rPr>
              <w:t>城市排水防涝设施</w:t>
            </w:r>
          </w:p>
        </w:tc>
        <w:tc>
          <w:tcPr>
            <w:tcW w:w="1347" w:type="pct"/>
            <w:tcBorders>
              <w:top w:val="single" w:color="auto" w:sz="4" w:space="0"/>
              <w:bottom w:val="single" w:color="auto" w:sz="4" w:space="0"/>
            </w:tcBorders>
            <w:shd w:val="clear" w:color="auto" w:fill="auto"/>
            <w:vAlign w:val="center"/>
          </w:tcPr>
          <w:p w14:paraId="05F58AD3">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排水流量、混接点密度</w:t>
            </w:r>
          </w:p>
        </w:tc>
        <w:tc>
          <w:tcPr>
            <w:tcW w:w="1040" w:type="pct"/>
            <w:tcBorders>
              <w:top w:val="single" w:color="auto" w:sz="4" w:space="0"/>
              <w:bottom w:val="single" w:color="auto" w:sz="4" w:space="0"/>
            </w:tcBorders>
            <w:shd w:val="clear" w:color="auto" w:fill="auto"/>
            <w:vAlign w:val="center"/>
          </w:tcPr>
          <w:p w14:paraId="5027C0EC">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rPr>
            </w:pPr>
            <w:r>
              <w:rPr>
                <w:rFonts w:hint="eastAsia" w:ascii="宋体" w:hAnsi="宋体" w:cs="宋体"/>
                <w:sz w:val="18"/>
                <w:szCs w:val="18"/>
                <w:highlight w:val="none"/>
              </w:rPr>
              <w:t xml:space="preserve">GB 50014-2021 </w:t>
            </w:r>
          </w:p>
          <w:p w14:paraId="6215FE90">
            <w:pPr>
              <w:keepNext w:val="0"/>
              <w:keepLines w:val="0"/>
              <w:suppressLineNumbers w:val="0"/>
              <w:autoSpaceDE w:val="0"/>
              <w:autoSpaceDN w:val="0"/>
              <w:spacing w:before="0" w:beforeAutospacing="0" w:after="0" w:afterAutospacing="0"/>
              <w:ind w:left="0" w:right="0"/>
              <w:jc w:val="both"/>
              <w:rPr>
                <w:rFonts w:hint="eastAsia"/>
                <w:highlight w:val="none"/>
              </w:rPr>
            </w:pPr>
            <w:r>
              <w:rPr>
                <w:rFonts w:hint="eastAsia" w:ascii="宋体" w:hAnsi="宋体" w:cs="宋体"/>
                <w:sz w:val="18"/>
                <w:szCs w:val="18"/>
                <w:highlight w:val="none"/>
              </w:rPr>
              <w:t>DB6101/T 3183-2024</w:t>
            </w:r>
          </w:p>
        </w:tc>
      </w:tr>
      <w:tr w14:paraId="14786B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87" w:type="pct"/>
            <w:vMerge w:val="continue"/>
            <w:tcBorders>
              <w:top w:val="single" w:color="auto" w:sz="4" w:space="0"/>
              <w:bottom w:val="single" w:color="auto" w:sz="4" w:space="0"/>
            </w:tcBorders>
            <w:shd w:val="clear" w:color="auto" w:fill="auto"/>
            <w:vAlign w:val="center"/>
          </w:tcPr>
          <w:p w14:paraId="187B949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4" w:space="0"/>
            </w:tcBorders>
            <w:shd w:val="clear" w:color="auto" w:fill="auto"/>
            <w:vAlign w:val="center"/>
          </w:tcPr>
          <w:p w14:paraId="6661C415">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rPr>
            </w:pPr>
            <w:r>
              <w:rPr>
                <w:rFonts w:hint="eastAsia" w:ascii="宋体" w:hAnsi="宋体" w:cs="宋体"/>
                <w:sz w:val="18"/>
                <w:szCs w:val="18"/>
                <w:highlight w:val="none"/>
              </w:rPr>
              <w:t>溢流污废水净化设施</w:t>
            </w:r>
          </w:p>
        </w:tc>
        <w:tc>
          <w:tcPr>
            <w:tcW w:w="1347" w:type="pct"/>
            <w:tcBorders>
              <w:top w:val="single" w:color="auto" w:sz="4" w:space="0"/>
              <w:bottom w:val="single" w:color="auto" w:sz="4" w:space="0"/>
            </w:tcBorders>
            <w:shd w:val="clear" w:color="auto" w:fill="auto"/>
            <w:vAlign w:val="center"/>
          </w:tcPr>
          <w:p w14:paraId="7AE0A523">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污染物面积负荷、水力负荷、渗透系数</w:t>
            </w:r>
          </w:p>
        </w:tc>
        <w:tc>
          <w:tcPr>
            <w:tcW w:w="1040" w:type="pct"/>
            <w:tcBorders>
              <w:top w:val="single" w:color="auto" w:sz="4" w:space="0"/>
              <w:bottom w:val="single" w:color="auto" w:sz="4" w:space="0"/>
            </w:tcBorders>
            <w:shd w:val="clear" w:color="auto" w:fill="auto"/>
            <w:vAlign w:val="center"/>
          </w:tcPr>
          <w:p w14:paraId="7E5E3EB6">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rPr>
            </w:pPr>
            <w:r>
              <w:rPr>
                <w:rFonts w:hint="eastAsia" w:ascii="宋体" w:hAnsi="宋体" w:cs="宋体"/>
                <w:sz w:val="18"/>
                <w:szCs w:val="18"/>
                <w:highlight w:val="none"/>
              </w:rPr>
              <w:t>DB13/T 5184</w:t>
            </w:r>
            <w:r>
              <w:rPr>
                <w:rFonts w:hint="eastAsia" w:ascii="宋体" w:hAnsi="宋体" w:cs="宋体"/>
                <w:sz w:val="18"/>
                <w:szCs w:val="18"/>
                <w:highlight w:val="none"/>
                <w:lang w:val="en-US" w:eastAsia="zh-CN"/>
              </w:rPr>
              <w:t>-</w:t>
            </w:r>
            <w:r>
              <w:rPr>
                <w:rFonts w:hint="eastAsia" w:ascii="宋体" w:hAnsi="宋体" w:cs="宋体"/>
                <w:sz w:val="18"/>
                <w:szCs w:val="18"/>
                <w:highlight w:val="none"/>
              </w:rPr>
              <w:t>2020</w:t>
            </w:r>
          </w:p>
        </w:tc>
      </w:tr>
      <w:tr w14:paraId="1633CA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587" w:type="pct"/>
            <w:vMerge w:val="continue"/>
            <w:tcBorders>
              <w:top w:val="single" w:color="auto" w:sz="4" w:space="0"/>
              <w:bottom w:val="single" w:color="auto" w:sz="4" w:space="0"/>
            </w:tcBorders>
            <w:shd w:val="clear" w:color="auto" w:fill="auto"/>
            <w:vAlign w:val="center"/>
          </w:tcPr>
          <w:p w14:paraId="547CDCC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4" w:space="0"/>
            </w:tcBorders>
            <w:shd w:val="clear" w:color="auto" w:fill="auto"/>
            <w:vAlign w:val="center"/>
          </w:tcPr>
          <w:p w14:paraId="5F4818C4">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rPr>
            </w:pPr>
            <w:r>
              <w:rPr>
                <w:rFonts w:hint="eastAsia" w:ascii="宋体" w:hAnsi="宋体" w:cs="宋体"/>
                <w:sz w:val="18"/>
                <w:szCs w:val="18"/>
                <w:highlight w:val="none"/>
              </w:rPr>
              <w:t>水系连通</w:t>
            </w:r>
            <w:r>
              <w:rPr>
                <w:rFonts w:hint="eastAsia" w:ascii="宋体" w:hAnsi="宋体" w:cs="宋体"/>
                <w:sz w:val="18"/>
                <w:szCs w:val="18"/>
                <w:highlight w:val="none"/>
                <w:lang w:val="en-US" w:eastAsia="zh-CN"/>
              </w:rPr>
              <w:t>工程</w:t>
            </w:r>
          </w:p>
        </w:tc>
        <w:tc>
          <w:tcPr>
            <w:tcW w:w="1347" w:type="pct"/>
            <w:tcBorders>
              <w:top w:val="single" w:color="auto" w:sz="4" w:space="0"/>
              <w:bottom w:val="single" w:color="auto" w:sz="4" w:space="0"/>
            </w:tcBorders>
            <w:shd w:val="clear" w:color="auto" w:fill="auto"/>
            <w:vAlign w:val="center"/>
          </w:tcPr>
          <w:p w14:paraId="3C78AC2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水系连通度、生态流量保证率</w:t>
            </w:r>
          </w:p>
        </w:tc>
        <w:tc>
          <w:tcPr>
            <w:tcW w:w="1040" w:type="pct"/>
            <w:tcBorders>
              <w:top w:val="single" w:color="auto" w:sz="4" w:space="0"/>
              <w:bottom w:val="single" w:color="auto" w:sz="4" w:space="0"/>
            </w:tcBorders>
            <w:shd w:val="clear" w:color="auto" w:fill="auto"/>
            <w:vAlign w:val="center"/>
          </w:tcPr>
          <w:p w14:paraId="2962111D">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rPr>
            </w:pPr>
            <w:r>
              <w:rPr>
                <w:rFonts w:hint="eastAsia" w:ascii="宋体" w:hAnsi="宋体" w:cs="宋体"/>
                <w:sz w:val="18"/>
                <w:szCs w:val="18"/>
                <w:highlight w:val="none"/>
              </w:rPr>
              <w:t>DB43/T 2305-2022</w:t>
            </w:r>
          </w:p>
        </w:tc>
      </w:tr>
      <w:tr w14:paraId="673B3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587" w:type="pct"/>
            <w:vMerge w:val="continue"/>
            <w:tcBorders>
              <w:top w:val="single" w:color="auto" w:sz="4" w:space="0"/>
              <w:bottom w:val="single" w:color="auto" w:sz="12" w:space="0"/>
            </w:tcBorders>
            <w:shd w:val="clear" w:color="auto" w:fill="auto"/>
            <w:vAlign w:val="center"/>
          </w:tcPr>
          <w:p w14:paraId="5F390EB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bidi="ar"/>
              </w:rPr>
            </w:pPr>
          </w:p>
        </w:tc>
        <w:tc>
          <w:tcPr>
            <w:tcW w:w="2023" w:type="pct"/>
            <w:tcBorders>
              <w:top w:val="single" w:color="auto" w:sz="4" w:space="0"/>
              <w:bottom w:val="single" w:color="auto" w:sz="12" w:space="0"/>
            </w:tcBorders>
            <w:shd w:val="clear" w:color="auto" w:fill="auto"/>
            <w:vAlign w:val="center"/>
          </w:tcPr>
          <w:p w14:paraId="7226EE14">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rPr>
            </w:pPr>
            <w:r>
              <w:rPr>
                <w:rFonts w:hint="eastAsia" w:ascii="宋体" w:hAnsi="宋体" w:cs="宋体"/>
                <w:sz w:val="18"/>
                <w:szCs w:val="18"/>
                <w:highlight w:val="none"/>
              </w:rPr>
              <w:t>生态修复工程</w:t>
            </w:r>
          </w:p>
        </w:tc>
        <w:tc>
          <w:tcPr>
            <w:tcW w:w="1347" w:type="pct"/>
            <w:tcBorders>
              <w:top w:val="single" w:color="auto" w:sz="4" w:space="0"/>
              <w:bottom w:val="single" w:color="auto" w:sz="12" w:space="0"/>
            </w:tcBorders>
            <w:shd w:val="clear" w:color="auto" w:fill="auto"/>
            <w:vAlign w:val="center"/>
          </w:tcPr>
          <w:p w14:paraId="0D974981">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控制断面水质达标率</w:t>
            </w:r>
            <w:r>
              <w:rPr>
                <w:rFonts w:hint="eastAsia" w:ascii="宋体" w:hAnsi="宋体" w:cs="宋体"/>
                <w:sz w:val="18"/>
                <w:szCs w:val="18"/>
                <w:highlight w:val="none"/>
                <w:lang w:eastAsia="zh-CN"/>
              </w:rPr>
              <w:t>、</w:t>
            </w:r>
            <w:r>
              <w:rPr>
                <w:rFonts w:hint="eastAsia" w:ascii="宋体" w:hAnsi="宋体" w:cs="宋体"/>
                <w:sz w:val="18"/>
                <w:szCs w:val="18"/>
                <w:highlight w:val="none"/>
              </w:rPr>
              <w:t>水功能区达标率</w:t>
            </w:r>
            <w:r>
              <w:rPr>
                <w:rFonts w:hint="eastAsia" w:ascii="宋体" w:hAnsi="宋体" w:cs="宋体"/>
                <w:sz w:val="18"/>
                <w:szCs w:val="18"/>
                <w:highlight w:val="none"/>
                <w:lang w:eastAsia="zh-CN"/>
              </w:rPr>
              <w:t>、</w:t>
            </w:r>
            <w:r>
              <w:rPr>
                <w:rFonts w:hint="eastAsia" w:ascii="宋体" w:hAnsi="宋体" w:cs="宋体"/>
                <w:sz w:val="18"/>
                <w:szCs w:val="18"/>
                <w:highlight w:val="none"/>
              </w:rPr>
              <w:t>河（湖、库）滨带植被覆盖度</w:t>
            </w:r>
            <w:r>
              <w:rPr>
                <w:rFonts w:hint="eastAsia" w:ascii="宋体" w:hAnsi="宋体" w:cs="宋体"/>
                <w:sz w:val="18"/>
                <w:szCs w:val="18"/>
                <w:highlight w:val="none"/>
                <w:lang w:eastAsia="zh-CN"/>
              </w:rPr>
              <w:t>、</w:t>
            </w:r>
            <w:r>
              <w:rPr>
                <w:rFonts w:hint="eastAsia" w:ascii="宋体" w:hAnsi="宋体" w:cs="宋体"/>
                <w:sz w:val="18"/>
                <w:szCs w:val="18"/>
                <w:highlight w:val="none"/>
              </w:rPr>
              <w:t>河（湖、库）岸稳定性</w:t>
            </w:r>
          </w:p>
        </w:tc>
        <w:tc>
          <w:tcPr>
            <w:tcW w:w="1040" w:type="pct"/>
            <w:tcBorders>
              <w:top w:val="single" w:color="auto" w:sz="4" w:space="0"/>
              <w:bottom w:val="single" w:color="auto" w:sz="12" w:space="0"/>
            </w:tcBorders>
            <w:shd w:val="clear" w:color="auto" w:fill="auto"/>
            <w:vAlign w:val="center"/>
          </w:tcPr>
          <w:p w14:paraId="302FBB80">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rPr>
            </w:pPr>
            <w:r>
              <w:rPr>
                <w:rFonts w:hint="eastAsia" w:ascii="宋体" w:hAnsi="宋体" w:cs="宋体"/>
                <w:sz w:val="18"/>
                <w:szCs w:val="18"/>
                <w:highlight w:val="none"/>
              </w:rPr>
              <w:t>DB11/T 2180-2023</w:t>
            </w:r>
          </w:p>
        </w:tc>
      </w:tr>
    </w:tbl>
    <w:p w14:paraId="7FC2CAA2">
      <w:pPr>
        <w:keepNext w:val="0"/>
        <w:keepLines w:val="0"/>
        <w:pageBreakBefore w:val="0"/>
        <w:widowControl w:val="0"/>
        <w:numPr>
          <w:ilvl w:val="1"/>
          <w:numId w:val="0"/>
        </w:numPr>
        <w:kinsoku/>
        <w:wordWrap/>
        <w:overflowPunct/>
        <w:topLinePunct w:val="0"/>
        <w:autoSpaceDE/>
        <w:autoSpaceDN/>
        <w:bidi w:val="0"/>
        <w:adjustRightInd w:val="0"/>
        <w:snapToGrid w:val="0"/>
        <w:spacing w:before="157" w:beforeLines="50" w:after="156" w:afterLines="50"/>
        <w:jc w:val="both"/>
        <w:textAlignment w:val="auto"/>
        <w:rPr>
          <w:rFonts w:hint="default"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A.3  城镇供水管网分区计量漏损控制建设和运营</w:t>
      </w:r>
    </w:p>
    <w:p w14:paraId="416C1A66">
      <w:pPr>
        <w:autoSpaceDE w:val="0"/>
        <w:autoSpaceDN w:val="0"/>
        <w:ind w:firstLine="420" w:firstLineChars="200"/>
        <w:rPr>
          <w:szCs w:val="21"/>
          <w:highlight w:val="none"/>
        </w:rPr>
      </w:pPr>
      <w:r>
        <w:rPr>
          <w:rFonts w:hint="eastAsia" w:ascii="宋体" w:hAnsi="宋体" w:cs="宋体"/>
          <w:szCs w:val="21"/>
          <w:highlight w:val="none"/>
          <w:lang w:val="en-US" w:eastAsia="zh-CN" w:bidi="ar"/>
        </w:rPr>
        <w:t>城镇供水管网分区计量漏损控制建设和运营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A.3</w:t>
      </w:r>
      <w:r>
        <w:rPr>
          <w:rFonts w:hint="eastAsia" w:ascii="宋体" w:hAnsi="宋体" w:cs="宋体"/>
          <w:szCs w:val="21"/>
          <w:highlight w:val="none"/>
          <w:lang w:bidi="ar"/>
        </w:rPr>
        <w:t>。</w:t>
      </w:r>
    </w:p>
    <w:p w14:paraId="143D9302">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表A.3  城镇供水管网分区计量漏损控制建设和运营关键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620"/>
        <w:gridCol w:w="2735"/>
        <w:gridCol w:w="3228"/>
        <w:gridCol w:w="1976"/>
      </w:tblGrid>
      <w:tr w14:paraId="069220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7" w:hRule="atLeast"/>
          <w:jc w:val="center"/>
        </w:trPr>
        <w:tc>
          <w:tcPr>
            <w:tcW w:w="847" w:type="pct"/>
            <w:tcBorders>
              <w:bottom w:val="single" w:color="auto" w:sz="12" w:space="0"/>
            </w:tcBorders>
            <w:shd w:val="clear" w:color="auto" w:fill="auto"/>
          </w:tcPr>
          <w:p w14:paraId="31182652">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430" w:type="pct"/>
            <w:tcBorders>
              <w:bottom w:val="single" w:color="auto" w:sz="12" w:space="0"/>
            </w:tcBorders>
            <w:shd w:val="clear" w:color="auto" w:fill="auto"/>
          </w:tcPr>
          <w:p w14:paraId="56F08F76">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688" w:type="pct"/>
            <w:tcBorders>
              <w:bottom w:val="single" w:color="auto" w:sz="12" w:space="0"/>
            </w:tcBorders>
            <w:shd w:val="clear" w:color="auto" w:fill="auto"/>
          </w:tcPr>
          <w:p w14:paraId="3DCC258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033" w:type="pct"/>
            <w:tcBorders>
              <w:bottom w:val="single" w:color="auto" w:sz="12" w:space="0"/>
            </w:tcBorders>
            <w:shd w:val="clear" w:color="auto" w:fill="auto"/>
          </w:tcPr>
          <w:p w14:paraId="246AC67B">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45181C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847" w:type="pct"/>
            <w:vMerge w:val="restart"/>
            <w:tcBorders>
              <w:top w:val="single" w:color="auto" w:sz="12" w:space="0"/>
              <w:tl2br w:val="nil"/>
              <w:tr2bl w:val="nil"/>
            </w:tcBorders>
            <w:shd w:val="clear" w:color="auto" w:fill="auto"/>
            <w:vAlign w:val="center"/>
          </w:tcPr>
          <w:p w14:paraId="705F180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bidi="ar"/>
              </w:rPr>
              <w:t>建设运营</w:t>
            </w:r>
          </w:p>
        </w:tc>
        <w:tc>
          <w:tcPr>
            <w:tcW w:w="1430" w:type="pct"/>
            <w:tcBorders>
              <w:top w:val="single" w:color="auto" w:sz="12" w:space="0"/>
              <w:tl2br w:val="nil"/>
              <w:tr2bl w:val="nil"/>
            </w:tcBorders>
            <w:shd w:val="clear" w:color="auto" w:fill="auto"/>
            <w:vAlign w:val="center"/>
          </w:tcPr>
          <w:p w14:paraId="3BA5BC4B">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公共供水设施</w:t>
            </w:r>
          </w:p>
        </w:tc>
        <w:tc>
          <w:tcPr>
            <w:tcW w:w="1688" w:type="pct"/>
            <w:tcBorders>
              <w:top w:val="single" w:color="auto" w:sz="12" w:space="0"/>
              <w:tl2br w:val="nil"/>
              <w:tr2bl w:val="nil"/>
            </w:tcBorders>
            <w:shd w:val="clear" w:color="auto" w:fill="auto"/>
            <w:vAlign w:val="center"/>
          </w:tcPr>
          <w:p w14:paraId="753F66F6">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default" w:ascii="宋体" w:hAnsi="宋体" w:cs="宋体"/>
                <w:sz w:val="18"/>
                <w:szCs w:val="18"/>
                <w:highlight w:val="none"/>
              </w:rPr>
              <w:t>产销差率</w:t>
            </w:r>
            <w:r>
              <w:rPr>
                <w:rFonts w:hint="eastAsia" w:ascii="宋体" w:hAnsi="宋体" w:cs="宋体"/>
                <w:sz w:val="18"/>
                <w:szCs w:val="18"/>
                <w:highlight w:val="none"/>
                <w:lang w:eastAsia="zh-CN"/>
              </w:rPr>
              <w:t>、</w:t>
            </w:r>
            <w:r>
              <w:rPr>
                <w:rFonts w:hint="eastAsia" w:ascii="宋体" w:hAnsi="宋体" w:cs="宋体"/>
                <w:sz w:val="18"/>
                <w:szCs w:val="18"/>
                <w:highlight w:val="none"/>
              </w:rPr>
              <w:t>自用水率</w:t>
            </w:r>
          </w:p>
        </w:tc>
        <w:tc>
          <w:tcPr>
            <w:tcW w:w="1033" w:type="pct"/>
            <w:tcBorders>
              <w:top w:val="single" w:color="auto" w:sz="12" w:space="0"/>
              <w:tl2br w:val="nil"/>
              <w:tr2bl w:val="nil"/>
            </w:tcBorders>
            <w:shd w:val="clear" w:color="auto" w:fill="auto"/>
            <w:vAlign w:val="center"/>
          </w:tcPr>
          <w:p w14:paraId="33B70003">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GB/T44129-2024</w:t>
            </w:r>
          </w:p>
        </w:tc>
      </w:tr>
      <w:tr w14:paraId="1509B7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847" w:type="pct"/>
            <w:vMerge w:val="continue"/>
            <w:tcBorders>
              <w:tl2br w:val="nil"/>
              <w:tr2bl w:val="nil"/>
            </w:tcBorders>
            <w:shd w:val="clear" w:color="auto" w:fill="auto"/>
            <w:vAlign w:val="center"/>
          </w:tcPr>
          <w:p w14:paraId="3E6624E8">
            <w:pPr>
              <w:keepNext w:val="0"/>
              <w:keepLines w:val="0"/>
              <w:suppressLineNumbers w:val="0"/>
              <w:spacing w:before="0" w:beforeAutospacing="0" w:after="0" w:afterAutospacing="0"/>
              <w:ind w:left="0" w:right="0"/>
              <w:jc w:val="center"/>
              <w:rPr>
                <w:rFonts w:hint="default" w:ascii="宋体" w:hAnsi="宋体" w:cs="宋体"/>
                <w:sz w:val="18"/>
                <w:szCs w:val="18"/>
                <w:highlight w:val="none"/>
              </w:rPr>
            </w:pPr>
          </w:p>
        </w:tc>
        <w:tc>
          <w:tcPr>
            <w:tcW w:w="1430" w:type="pct"/>
            <w:tcBorders>
              <w:tl2br w:val="nil"/>
              <w:tr2bl w:val="nil"/>
            </w:tcBorders>
            <w:shd w:val="clear" w:color="auto" w:fill="auto"/>
            <w:vAlign w:val="center"/>
          </w:tcPr>
          <w:p w14:paraId="7621AE40">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供水管网流量计量</w:t>
            </w:r>
          </w:p>
        </w:tc>
        <w:tc>
          <w:tcPr>
            <w:tcW w:w="1688" w:type="pct"/>
            <w:tcBorders>
              <w:tl2br w:val="nil"/>
              <w:tr2bl w:val="nil"/>
            </w:tcBorders>
            <w:shd w:val="clear" w:color="auto" w:fill="auto"/>
            <w:vAlign w:val="center"/>
          </w:tcPr>
          <w:p w14:paraId="10B5FAA5">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漏损率、漏失率</w:t>
            </w:r>
          </w:p>
        </w:tc>
        <w:tc>
          <w:tcPr>
            <w:tcW w:w="1033" w:type="pct"/>
            <w:tcBorders>
              <w:tl2br w:val="nil"/>
              <w:tr2bl w:val="nil"/>
            </w:tcBorders>
            <w:shd w:val="clear" w:color="auto" w:fill="auto"/>
            <w:vAlign w:val="center"/>
          </w:tcPr>
          <w:p w14:paraId="603A7F48">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rPr>
              <w:t>CJJ 92-2016</w:t>
            </w:r>
          </w:p>
        </w:tc>
      </w:tr>
    </w:tbl>
    <w:p w14:paraId="11A05E16">
      <w:pPr>
        <w:pStyle w:val="131"/>
        <w:numPr>
          <w:ilvl w:val="0"/>
          <w:numId w:val="0"/>
        </w:numPr>
        <w:ind w:leftChars="0"/>
        <w:jc w:val="center"/>
        <w:rPr>
          <w:rFonts w:hint="eastAsia" w:ascii="Times New Roman" w:eastAsia="黑体"/>
          <w:kern w:val="2"/>
          <w:szCs w:val="21"/>
          <w:highlight w:val="none"/>
          <w:lang w:eastAsia="zh-CN"/>
        </w:rPr>
      </w:pPr>
      <w:r>
        <w:rPr>
          <w:rFonts w:hint="eastAsia" w:hAnsi="宋体" w:cs="黑体"/>
          <w:kern w:val="2"/>
          <w:szCs w:val="21"/>
          <w:highlight w:val="none"/>
          <w:lang w:val="en-US" w:eastAsia="zh-CN" w:bidi="ar"/>
        </w:rPr>
        <w:t>表A.3  城镇供水管网分区计量漏损控制建设和运营关键</w:t>
      </w:r>
      <w:r>
        <w:rPr>
          <w:rFonts w:hint="eastAsia" w:hAnsi="宋体" w:cs="黑体"/>
          <w:kern w:val="2"/>
          <w:szCs w:val="21"/>
          <w:highlight w:val="none"/>
          <w:lang w:bidi="ar"/>
        </w:rPr>
        <w:t>技术先进水平评价规则</w:t>
      </w:r>
      <w:r>
        <w:rPr>
          <w:rFonts w:hint="eastAsia" w:asciiTheme="majorEastAsia" w:hAnsiTheme="majorEastAsia" w:eastAsiaTheme="majorEastAsia" w:cstheme="majorEastAsia"/>
          <w:kern w:val="2"/>
          <w:szCs w:val="21"/>
          <w:highlight w:val="none"/>
          <w:lang w:eastAsia="zh-CN" w:bidi="ar"/>
        </w:rPr>
        <w:t>（</w:t>
      </w:r>
      <w:r>
        <w:rPr>
          <w:rFonts w:hint="eastAsia" w:asciiTheme="majorEastAsia" w:hAnsiTheme="majorEastAsia" w:eastAsiaTheme="majorEastAsia" w:cstheme="majorEastAsia"/>
          <w:kern w:val="2"/>
          <w:szCs w:val="21"/>
          <w:highlight w:val="none"/>
          <w:lang w:val="en-US" w:eastAsia="zh-CN" w:bidi="ar"/>
        </w:rPr>
        <w:t>续</w:t>
      </w:r>
      <w:r>
        <w:rPr>
          <w:rFonts w:hint="eastAsia" w:asciiTheme="majorEastAsia" w:hAnsiTheme="majorEastAsia" w:eastAsiaTheme="majorEastAsia" w:cstheme="majorEastAsia"/>
          <w:kern w:val="2"/>
          <w:szCs w:val="21"/>
          <w:highlight w:val="none"/>
          <w:lang w:eastAsia="zh-CN" w:bidi="ar"/>
        </w:rPr>
        <w:t>）</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224"/>
        <w:gridCol w:w="2492"/>
        <w:gridCol w:w="4500"/>
        <w:gridCol w:w="1343"/>
      </w:tblGrid>
      <w:tr w14:paraId="370D64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4" w:type="dxa"/>
            <w:tcBorders>
              <w:bottom w:val="single" w:color="auto" w:sz="12" w:space="0"/>
            </w:tcBorders>
            <w:shd w:val="clear" w:color="auto" w:fill="auto"/>
            <w:vAlign w:val="top"/>
          </w:tcPr>
          <w:p w14:paraId="63A0CA66">
            <w:pPr>
              <w:keepNext w:val="0"/>
              <w:keepLines w:val="0"/>
              <w:widowControl w:val="0"/>
              <w:suppressLineNumbers w:val="0"/>
              <w:autoSpaceDE w:val="0"/>
              <w:autoSpaceDN w:val="0"/>
              <w:spacing w:before="0" w:beforeAutospacing="0" w:after="0" w:afterAutospacing="0"/>
              <w:ind w:left="0" w:leftChars="0" w:right="0" w:rightChars="0"/>
              <w:jc w:val="center"/>
              <w:rPr>
                <w:rFonts w:hint="default" w:ascii="宋体" w:hAnsi="宋体" w:cs="宋体"/>
                <w:sz w:val="18"/>
                <w:szCs w:val="18"/>
                <w:highlight w:val="none"/>
              </w:rPr>
            </w:pPr>
            <w:r>
              <w:rPr>
                <w:rFonts w:hint="eastAsia" w:ascii="宋体" w:hAnsi="宋体" w:eastAsia="宋体" w:cs="宋体"/>
                <w:b/>
                <w:bCs/>
                <w:kern w:val="2"/>
                <w:sz w:val="18"/>
                <w:szCs w:val="18"/>
                <w:lang w:val="en-US" w:eastAsia="zh-CN" w:bidi="ar"/>
              </w:rPr>
              <w:t>评价环节</w:t>
            </w:r>
          </w:p>
        </w:tc>
        <w:tc>
          <w:tcPr>
            <w:tcW w:w="2492" w:type="dxa"/>
            <w:tcBorders>
              <w:bottom w:val="single" w:color="auto" w:sz="12" w:space="0"/>
            </w:tcBorders>
            <w:shd w:val="clear" w:color="auto" w:fill="auto"/>
            <w:vAlign w:val="top"/>
          </w:tcPr>
          <w:p w14:paraId="4834FE79">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rPr>
            </w:pPr>
            <w:r>
              <w:rPr>
                <w:rFonts w:hint="eastAsia" w:ascii="宋体" w:hAnsi="宋体" w:eastAsia="宋体" w:cs="宋体"/>
                <w:b/>
                <w:bCs/>
                <w:kern w:val="2"/>
                <w:sz w:val="18"/>
                <w:szCs w:val="18"/>
                <w:lang w:val="en-US" w:eastAsia="zh-CN" w:bidi="ar"/>
              </w:rPr>
              <w:t>评价对象</w:t>
            </w:r>
          </w:p>
        </w:tc>
        <w:tc>
          <w:tcPr>
            <w:tcW w:w="4500" w:type="dxa"/>
            <w:tcBorders>
              <w:bottom w:val="single" w:color="auto" w:sz="12" w:space="0"/>
            </w:tcBorders>
            <w:shd w:val="clear" w:color="auto" w:fill="auto"/>
            <w:vAlign w:val="top"/>
          </w:tcPr>
          <w:p w14:paraId="6F91AA05">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rPr>
            </w:pPr>
            <w:r>
              <w:rPr>
                <w:rFonts w:hint="eastAsia" w:ascii="宋体" w:hAnsi="宋体" w:eastAsia="宋体" w:cs="宋体"/>
                <w:b/>
                <w:bCs/>
                <w:kern w:val="2"/>
                <w:sz w:val="18"/>
                <w:szCs w:val="18"/>
                <w:lang w:val="en-US" w:eastAsia="zh-CN" w:bidi="ar"/>
              </w:rPr>
              <w:t>核心评价指标</w:t>
            </w:r>
          </w:p>
        </w:tc>
        <w:tc>
          <w:tcPr>
            <w:tcW w:w="1343" w:type="dxa"/>
            <w:tcBorders>
              <w:bottom w:val="single" w:color="auto" w:sz="12" w:space="0"/>
            </w:tcBorders>
            <w:shd w:val="clear" w:color="auto" w:fill="auto"/>
            <w:vAlign w:val="top"/>
          </w:tcPr>
          <w:p w14:paraId="41BAAB62">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rPr>
            </w:pPr>
            <w:r>
              <w:rPr>
                <w:rFonts w:hint="eastAsia" w:ascii="宋体" w:hAnsi="宋体" w:eastAsia="宋体" w:cs="宋体"/>
                <w:b/>
                <w:bCs/>
                <w:kern w:val="2"/>
                <w:sz w:val="18"/>
                <w:szCs w:val="18"/>
                <w:lang w:val="en-US" w:eastAsia="zh-CN" w:bidi="ar"/>
              </w:rPr>
              <w:t>评价依据</w:t>
            </w:r>
          </w:p>
        </w:tc>
      </w:tr>
      <w:tr w14:paraId="032ABE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4" w:type="dxa"/>
            <w:vMerge w:val="restart"/>
            <w:tcBorders>
              <w:top w:val="single" w:color="auto" w:sz="12" w:space="0"/>
              <w:tl2br w:val="nil"/>
              <w:tr2bl w:val="nil"/>
            </w:tcBorders>
            <w:shd w:val="clear" w:color="auto" w:fill="auto"/>
            <w:vAlign w:val="center"/>
          </w:tcPr>
          <w:p w14:paraId="57B33EAE">
            <w:pPr>
              <w:keepNext w:val="0"/>
              <w:keepLines w:val="0"/>
              <w:suppressLineNumbers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建设运营</w:t>
            </w:r>
          </w:p>
        </w:tc>
        <w:tc>
          <w:tcPr>
            <w:tcW w:w="2492" w:type="dxa"/>
            <w:tcBorders>
              <w:top w:val="single" w:color="auto" w:sz="12" w:space="0"/>
              <w:tl2br w:val="nil"/>
              <w:tr2bl w:val="nil"/>
            </w:tcBorders>
            <w:shd w:val="clear" w:color="auto" w:fill="auto"/>
            <w:vAlign w:val="center"/>
          </w:tcPr>
          <w:p w14:paraId="2C283A0D">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供水管网水质监测</w:t>
            </w:r>
          </w:p>
        </w:tc>
        <w:tc>
          <w:tcPr>
            <w:tcW w:w="4500" w:type="dxa"/>
            <w:tcBorders>
              <w:top w:val="single" w:color="auto" w:sz="12" w:space="0"/>
              <w:tl2br w:val="nil"/>
              <w:tr2bl w:val="nil"/>
            </w:tcBorders>
            <w:shd w:val="clear" w:color="auto" w:fill="auto"/>
            <w:vAlign w:val="center"/>
          </w:tcPr>
          <w:p w14:paraId="5EF74777">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生物稳定性评价：可生物同化有机碳、可生物降解有机物、异养菌平板计数、消毒剂余量评价</w:t>
            </w:r>
          </w:p>
          <w:p w14:paraId="361AE3E4">
            <w:pPr>
              <w:keepNext w:val="0"/>
              <w:keepLines w:val="0"/>
              <w:suppressLineNumbers w:val="0"/>
              <w:autoSpaceDE w:val="0"/>
              <w:autoSpaceDN w:val="0"/>
              <w:spacing w:before="0" w:beforeAutospacing="0" w:after="0" w:afterAutospacing="0"/>
              <w:ind w:left="0" w:right="0"/>
              <w:jc w:val="left"/>
              <w:rPr>
                <w:rFonts w:hint="default" w:eastAsia="宋体"/>
                <w:highlight w:val="none"/>
                <w:lang w:val="en-US" w:eastAsia="zh-CN"/>
              </w:rPr>
            </w:pPr>
            <w:r>
              <w:rPr>
                <w:rFonts w:hint="eastAsia" w:ascii="宋体" w:hAnsi="宋体" w:cs="宋体"/>
                <w:sz w:val="18"/>
                <w:szCs w:val="18"/>
                <w:highlight w:val="none"/>
                <w:lang w:val="en-US" w:eastAsia="zh-CN"/>
              </w:rPr>
              <w:t>化学稳定性评价：铸铁管采用</w:t>
            </w:r>
            <w:r>
              <w:rPr>
                <w:rFonts w:hint="eastAsia" w:ascii="宋体" w:hAnsi="宋体" w:cs="宋体"/>
                <w:sz w:val="18"/>
                <w:szCs w:val="18"/>
                <w:highlight w:val="none"/>
              </w:rPr>
              <w:t>腐蚀指数Iv和</w:t>
            </w:r>
            <w:r>
              <w:rPr>
                <w:rFonts w:hint="eastAsia" w:ascii="宋体" w:hAnsi="宋体" w:cs="宋体"/>
                <w:sz w:val="18"/>
                <w:szCs w:val="18"/>
                <w:highlight w:val="none"/>
                <w:lang w:val="en-US" w:eastAsia="zh-CN"/>
              </w:rPr>
              <w:t>L</w:t>
            </w:r>
            <w:r>
              <w:rPr>
                <w:rFonts w:hint="eastAsia" w:ascii="宋体" w:hAnsi="宋体" w:cs="宋体"/>
                <w:sz w:val="18"/>
                <w:szCs w:val="18"/>
                <w:highlight w:val="none"/>
              </w:rPr>
              <w:t>arson比率指标</w:t>
            </w:r>
            <w:r>
              <w:rPr>
                <w:rFonts w:hint="eastAsia" w:ascii="宋体" w:hAnsi="宋体" w:cs="宋体"/>
                <w:sz w:val="18"/>
                <w:szCs w:val="18"/>
                <w:highlight w:val="none"/>
                <w:lang w:eastAsia="zh-CN"/>
              </w:rPr>
              <w:t>，</w:t>
            </w:r>
            <w:r>
              <w:rPr>
                <w:rFonts w:hint="eastAsia" w:ascii="宋体" w:hAnsi="宋体" w:cs="宋体"/>
                <w:sz w:val="18"/>
                <w:szCs w:val="18"/>
                <w:highlight w:val="none"/>
                <w:lang w:val="en-US" w:eastAsia="zh-CN"/>
              </w:rPr>
              <w:t>水泥管采用侵蚀指数AI指标</w:t>
            </w:r>
          </w:p>
        </w:tc>
        <w:tc>
          <w:tcPr>
            <w:tcW w:w="1343" w:type="dxa"/>
            <w:tcBorders>
              <w:top w:val="single" w:color="auto" w:sz="12" w:space="0"/>
              <w:tl2br w:val="nil"/>
              <w:tr2bl w:val="nil"/>
            </w:tcBorders>
            <w:shd w:val="clear" w:color="auto" w:fill="auto"/>
            <w:vAlign w:val="center"/>
          </w:tcPr>
          <w:p w14:paraId="28518804">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rPr>
              <w:t>DB37/T 5242-2022</w:t>
            </w:r>
          </w:p>
        </w:tc>
      </w:tr>
      <w:tr w14:paraId="48D9F0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4" w:type="dxa"/>
            <w:vMerge w:val="continue"/>
            <w:tcBorders>
              <w:tl2br w:val="nil"/>
              <w:tr2bl w:val="nil"/>
            </w:tcBorders>
            <w:shd w:val="clear" w:color="auto" w:fill="auto"/>
            <w:vAlign w:val="center"/>
          </w:tcPr>
          <w:p w14:paraId="1891839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2492" w:type="dxa"/>
            <w:tcBorders>
              <w:tl2br w:val="nil"/>
              <w:tr2bl w:val="nil"/>
            </w:tcBorders>
            <w:shd w:val="clear" w:color="auto" w:fill="auto"/>
            <w:vAlign w:val="center"/>
          </w:tcPr>
          <w:p w14:paraId="091E8A1A">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供水管网压力调控</w:t>
            </w:r>
          </w:p>
        </w:tc>
        <w:tc>
          <w:tcPr>
            <w:tcW w:w="4500" w:type="dxa"/>
            <w:tcBorders>
              <w:tl2br w:val="nil"/>
              <w:tr2bl w:val="nil"/>
            </w:tcBorders>
            <w:shd w:val="clear" w:color="auto" w:fill="auto"/>
            <w:vAlign w:val="center"/>
          </w:tcPr>
          <w:p w14:paraId="6B8C1725">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lang w:val="en-US"/>
              </w:rPr>
            </w:pPr>
            <w:r>
              <w:rPr>
                <w:rFonts w:hint="eastAsia" w:ascii="宋体" w:hAnsi="宋体" w:cs="宋体"/>
                <w:sz w:val="18"/>
                <w:szCs w:val="18"/>
                <w:highlight w:val="none"/>
                <w:lang w:val="en-US" w:eastAsia="zh-CN"/>
              </w:rPr>
              <w:t>分区压力</w:t>
            </w:r>
          </w:p>
        </w:tc>
        <w:tc>
          <w:tcPr>
            <w:tcW w:w="1343" w:type="dxa"/>
            <w:tcBorders>
              <w:tl2br w:val="nil"/>
              <w:tr2bl w:val="nil"/>
            </w:tcBorders>
            <w:shd w:val="clear" w:color="auto" w:fill="auto"/>
            <w:vAlign w:val="center"/>
          </w:tcPr>
          <w:p w14:paraId="1E191BAC">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rPr>
              <w:t>CJJ 92-2016</w:t>
            </w:r>
          </w:p>
        </w:tc>
      </w:tr>
      <w:tr w14:paraId="7226BF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224" w:type="dxa"/>
            <w:vMerge w:val="continue"/>
            <w:tcBorders>
              <w:tl2br w:val="nil"/>
              <w:tr2bl w:val="nil"/>
            </w:tcBorders>
            <w:shd w:val="clear" w:color="auto" w:fill="auto"/>
            <w:vAlign w:val="center"/>
          </w:tcPr>
          <w:p w14:paraId="186A215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2492" w:type="dxa"/>
            <w:tcBorders>
              <w:tl2br w:val="nil"/>
              <w:tr2bl w:val="nil"/>
            </w:tcBorders>
            <w:shd w:val="clear" w:color="auto" w:fill="auto"/>
            <w:vAlign w:val="center"/>
          </w:tcPr>
          <w:p w14:paraId="28A289C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供水管网数据采集与远传</w:t>
            </w:r>
          </w:p>
        </w:tc>
        <w:tc>
          <w:tcPr>
            <w:tcW w:w="4500" w:type="dxa"/>
            <w:tcBorders>
              <w:tl2br w:val="nil"/>
              <w:tr2bl w:val="nil"/>
            </w:tcBorders>
            <w:shd w:val="clear" w:color="auto" w:fill="auto"/>
            <w:vAlign w:val="center"/>
          </w:tcPr>
          <w:p w14:paraId="6D263E0F">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GIS系统和SCADA系统建设情况</w:t>
            </w:r>
          </w:p>
        </w:tc>
        <w:tc>
          <w:tcPr>
            <w:tcW w:w="1343" w:type="dxa"/>
            <w:tcBorders>
              <w:tl2br w:val="nil"/>
              <w:tr2bl w:val="nil"/>
            </w:tcBorders>
            <w:shd w:val="clear" w:color="auto" w:fill="auto"/>
            <w:vAlign w:val="center"/>
          </w:tcPr>
          <w:p w14:paraId="7D7081E7">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DB3306/T 047-2022</w:t>
            </w:r>
          </w:p>
        </w:tc>
      </w:tr>
    </w:tbl>
    <w:p w14:paraId="38C52273">
      <w:pPr>
        <w:keepNext w:val="0"/>
        <w:keepLines w:val="0"/>
        <w:pageBreakBefore w:val="0"/>
        <w:widowControl w:val="0"/>
        <w:numPr>
          <w:ilvl w:val="1"/>
          <w:numId w:val="0"/>
        </w:numPr>
        <w:kinsoku/>
        <w:wordWrap/>
        <w:overflowPunct/>
        <w:topLinePunct w:val="0"/>
        <w:autoSpaceDE/>
        <w:autoSpaceDN/>
        <w:bidi w:val="0"/>
        <w:adjustRightInd w:val="0"/>
        <w:snapToGrid w:val="0"/>
        <w:spacing w:before="156" w:beforeLines="50" w:after="156" w:afterLines="50"/>
        <w:jc w:val="both"/>
        <w:textAlignment w:val="auto"/>
        <w:rPr>
          <w:rFonts w:hint="default"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A.4  水利设施智能化建设</w:t>
      </w:r>
    </w:p>
    <w:p w14:paraId="0B6ADB94">
      <w:pPr>
        <w:autoSpaceDE w:val="0"/>
        <w:autoSpaceDN w:val="0"/>
        <w:ind w:firstLine="420" w:firstLineChars="200"/>
        <w:rPr>
          <w:szCs w:val="21"/>
          <w:highlight w:val="none"/>
        </w:rPr>
      </w:pPr>
      <w:r>
        <w:rPr>
          <w:rFonts w:hint="eastAsia" w:ascii="宋体" w:hAnsi="宋体" w:cs="宋体"/>
          <w:szCs w:val="21"/>
          <w:highlight w:val="none"/>
          <w:lang w:val="en-US" w:eastAsia="zh-CN" w:bidi="ar"/>
        </w:rPr>
        <w:t>水利设施智能化建设</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A.4</w:t>
      </w:r>
      <w:r>
        <w:rPr>
          <w:rFonts w:hint="eastAsia" w:ascii="宋体" w:hAnsi="宋体" w:cs="宋体"/>
          <w:szCs w:val="21"/>
          <w:highlight w:val="none"/>
          <w:lang w:bidi="ar"/>
        </w:rPr>
        <w:t>。</w:t>
      </w:r>
    </w:p>
    <w:p w14:paraId="025BD1B0">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表A.4  水利设施智能化建设关键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96"/>
        <w:gridCol w:w="1962"/>
        <w:gridCol w:w="4294"/>
        <w:gridCol w:w="2207"/>
      </w:tblGrid>
      <w:tr w14:paraId="60FBB1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tcBorders>
              <w:bottom w:val="single" w:color="auto" w:sz="12" w:space="0"/>
            </w:tcBorders>
            <w:shd w:val="clear" w:color="auto" w:fill="auto"/>
          </w:tcPr>
          <w:p w14:paraId="2AB6F87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026" w:type="pct"/>
            <w:tcBorders>
              <w:bottom w:val="single" w:color="auto" w:sz="12" w:space="0"/>
            </w:tcBorders>
            <w:shd w:val="clear" w:color="auto" w:fill="auto"/>
          </w:tcPr>
          <w:p w14:paraId="1FACA049">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2245" w:type="pct"/>
            <w:tcBorders>
              <w:bottom w:val="single" w:color="auto" w:sz="12" w:space="0"/>
            </w:tcBorders>
            <w:shd w:val="clear" w:color="auto" w:fill="auto"/>
          </w:tcPr>
          <w:p w14:paraId="5E5D961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154" w:type="pct"/>
            <w:tcBorders>
              <w:bottom w:val="single" w:color="auto" w:sz="12" w:space="0"/>
            </w:tcBorders>
            <w:shd w:val="clear" w:color="auto" w:fill="auto"/>
          </w:tcPr>
          <w:p w14:paraId="0C2294A2">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43FE80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3" w:type="pct"/>
            <w:vMerge w:val="restart"/>
            <w:tcBorders>
              <w:tl2br w:val="nil"/>
              <w:tr2bl w:val="nil"/>
            </w:tcBorders>
            <w:shd w:val="clear" w:color="auto" w:fill="auto"/>
            <w:vAlign w:val="center"/>
          </w:tcPr>
          <w:p w14:paraId="0D47068A">
            <w:pPr>
              <w:keepNext w:val="0"/>
              <w:keepLines w:val="0"/>
              <w:suppressLineNumbers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建设运营</w:t>
            </w:r>
          </w:p>
        </w:tc>
        <w:tc>
          <w:tcPr>
            <w:tcW w:w="1026" w:type="pct"/>
            <w:tcBorders>
              <w:tl2br w:val="nil"/>
              <w:tr2bl w:val="nil"/>
            </w:tcBorders>
            <w:shd w:val="clear" w:color="auto" w:fill="auto"/>
            <w:vAlign w:val="center"/>
          </w:tcPr>
          <w:p w14:paraId="027EF31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数字孪生平台</w:t>
            </w:r>
          </w:p>
        </w:tc>
        <w:tc>
          <w:tcPr>
            <w:tcW w:w="2245" w:type="pct"/>
            <w:tcBorders>
              <w:tl2br w:val="nil"/>
              <w:tr2bl w:val="nil"/>
            </w:tcBorders>
            <w:shd w:val="clear" w:color="auto" w:fill="auto"/>
            <w:vAlign w:val="center"/>
          </w:tcPr>
          <w:p w14:paraId="5218AB70">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水力模型先进性</w:t>
            </w:r>
          </w:p>
        </w:tc>
        <w:tc>
          <w:tcPr>
            <w:tcW w:w="1154" w:type="pct"/>
            <w:tcBorders>
              <w:tl2br w:val="nil"/>
              <w:tr2bl w:val="nil"/>
            </w:tcBorders>
            <w:shd w:val="clear" w:color="auto" w:fill="auto"/>
            <w:vAlign w:val="center"/>
          </w:tcPr>
          <w:p w14:paraId="104C5E92">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rPr>
              <w:t>DB52/T 1637-2021</w:t>
            </w:r>
          </w:p>
        </w:tc>
      </w:tr>
      <w:tr w14:paraId="43D540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3" w:type="pct"/>
            <w:vMerge w:val="continue"/>
            <w:tcBorders>
              <w:tl2br w:val="nil"/>
              <w:tr2bl w:val="nil"/>
            </w:tcBorders>
            <w:shd w:val="clear" w:color="auto" w:fill="auto"/>
            <w:vAlign w:val="center"/>
          </w:tcPr>
          <w:p w14:paraId="5CCB44FE">
            <w:pPr>
              <w:keepNext w:val="0"/>
              <w:keepLines w:val="0"/>
              <w:suppressLineNumbers w:val="0"/>
              <w:spacing w:before="0" w:beforeAutospacing="0" w:after="0" w:afterAutospacing="0"/>
              <w:ind w:left="0" w:right="0"/>
              <w:jc w:val="center"/>
              <w:rPr>
                <w:rFonts w:hint="default" w:ascii="宋体" w:hAnsi="宋体" w:cs="宋体"/>
                <w:sz w:val="18"/>
                <w:szCs w:val="18"/>
                <w:highlight w:val="none"/>
                <w:lang w:val="en-US" w:eastAsia="zh-CN"/>
              </w:rPr>
            </w:pPr>
          </w:p>
        </w:tc>
        <w:tc>
          <w:tcPr>
            <w:tcW w:w="1026" w:type="pct"/>
            <w:tcBorders>
              <w:tl2br w:val="nil"/>
              <w:tr2bl w:val="nil"/>
            </w:tcBorders>
            <w:shd w:val="clear" w:color="auto" w:fill="auto"/>
            <w:vAlign w:val="center"/>
          </w:tcPr>
          <w:p w14:paraId="6DECF00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信息化基础设施</w:t>
            </w:r>
          </w:p>
        </w:tc>
        <w:tc>
          <w:tcPr>
            <w:tcW w:w="2245" w:type="pct"/>
            <w:tcBorders>
              <w:tl2br w:val="nil"/>
              <w:tr2bl w:val="nil"/>
            </w:tcBorders>
            <w:shd w:val="clear" w:color="auto" w:fill="auto"/>
            <w:vAlign w:val="center"/>
          </w:tcPr>
          <w:p w14:paraId="181A2F9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感知监测、通信网络、数据资源、功能模块情况</w:t>
            </w:r>
          </w:p>
        </w:tc>
        <w:tc>
          <w:tcPr>
            <w:tcW w:w="1154" w:type="pct"/>
            <w:tcBorders>
              <w:tl2br w:val="nil"/>
              <w:tr2bl w:val="nil"/>
            </w:tcBorders>
            <w:shd w:val="clear" w:color="auto" w:fill="auto"/>
            <w:vAlign w:val="center"/>
          </w:tcPr>
          <w:p w14:paraId="0F84F44C">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rPr>
            </w:pPr>
            <w:r>
              <w:rPr>
                <w:rFonts w:hint="eastAsia" w:ascii="宋体" w:hAnsi="宋体" w:cs="宋体"/>
                <w:sz w:val="18"/>
                <w:szCs w:val="18"/>
                <w:highlight w:val="none"/>
              </w:rPr>
              <w:t>DB52/T 1637-2021</w:t>
            </w:r>
          </w:p>
        </w:tc>
      </w:tr>
    </w:tbl>
    <w:p w14:paraId="5776043E">
      <w:pPr>
        <w:widowControl w:val="0"/>
        <w:numPr>
          <w:ilvl w:val="1"/>
          <w:numId w:val="0"/>
        </w:numPr>
        <w:spacing w:before="156" w:beforeLines="50" w:after="156" w:afterLines="50"/>
        <w:jc w:val="both"/>
        <w:rPr>
          <w:rFonts w:hint="default"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A.5  生态安全预警体系和生态保护修复信息平台建设和运维</w:t>
      </w:r>
    </w:p>
    <w:p w14:paraId="14429D5B">
      <w:pPr>
        <w:autoSpaceDE w:val="0"/>
        <w:autoSpaceDN w:val="0"/>
        <w:ind w:firstLine="420" w:firstLineChars="200"/>
        <w:rPr>
          <w:szCs w:val="21"/>
          <w:highlight w:val="none"/>
        </w:rPr>
      </w:pPr>
      <w:r>
        <w:rPr>
          <w:rFonts w:hint="eastAsia" w:ascii="宋体" w:hAnsi="宋体" w:cs="宋体"/>
          <w:szCs w:val="21"/>
          <w:highlight w:val="none"/>
          <w:lang w:val="en-US" w:eastAsia="zh-CN" w:bidi="ar"/>
        </w:rPr>
        <w:t>生态安全预警体系和生态保护修复信息平台建设和运维</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A.5</w:t>
      </w:r>
      <w:r>
        <w:rPr>
          <w:rFonts w:hint="eastAsia" w:ascii="宋体" w:hAnsi="宋体" w:cs="宋体"/>
          <w:szCs w:val="21"/>
          <w:highlight w:val="none"/>
          <w:lang w:bidi="ar"/>
        </w:rPr>
        <w:t>。</w:t>
      </w:r>
    </w:p>
    <w:p w14:paraId="481A28A8">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表A.5  生态安全预警体系和生态保护修复信息平台建设和运维关键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2391"/>
        <w:gridCol w:w="3137"/>
        <w:gridCol w:w="2662"/>
      </w:tblGrid>
      <w:tr w14:paraId="090CDF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16" w:type="pct"/>
            <w:tcBorders>
              <w:bottom w:val="single" w:color="auto" w:sz="12" w:space="0"/>
            </w:tcBorders>
            <w:shd w:val="clear" w:color="auto" w:fill="auto"/>
          </w:tcPr>
          <w:p w14:paraId="5A3CBED6">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250" w:type="pct"/>
            <w:tcBorders>
              <w:bottom w:val="single" w:color="auto" w:sz="12" w:space="0"/>
            </w:tcBorders>
            <w:shd w:val="clear" w:color="auto" w:fill="auto"/>
          </w:tcPr>
          <w:p w14:paraId="4FEE4A96">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640" w:type="pct"/>
            <w:tcBorders>
              <w:bottom w:val="single" w:color="auto" w:sz="12" w:space="0"/>
            </w:tcBorders>
            <w:shd w:val="clear" w:color="auto" w:fill="auto"/>
          </w:tcPr>
          <w:p w14:paraId="35FC13D5">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392" w:type="pct"/>
            <w:tcBorders>
              <w:bottom w:val="single" w:color="auto" w:sz="12" w:space="0"/>
            </w:tcBorders>
            <w:shd w:val="clear" w:color="auto" w:fill="auto"/>
          </w:tcPr>
          <w:p w14:paraId="702E6EFD">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4C998C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pct"/>
            <w:vMerge w:val="restart"/>
            <w:tcBorders>
              <w:top w:val="single" w:color="auto" w:sz="12" w:space="0"/>
              <w:bottom w:val="single" w:color="auto" w:sz="4" w:space="0"/>
            </w:tcBorders>
            <w:shd w:val="clear" w:color="auto" w:fill="auto"/>
            <w:vAlign w:val="center"/>
          </w:tcPr>
          <w:p w14:paraId="3F2BCAE6">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bidi="ar"/>
              </w:rPr>
              <w:t>建设运维</w:t>
            </w:r>
          </w:p>
        </w:tc>
        <w:tc>
          <w:tcPr>
            <w:tcW w:w="1250" w:type="pct"/>
            <w:tcBorders>
              <w:top w:val="single" w:color="auto" w:sz="12" w:space="0"/>
              <w:bottom w:val="single" w:color="auto" w:sz="4" w:space="0"/>
            </w:tcBorders>
            <w:shd w:val="clear" w:color="auto" w:fill="auto"/>
            <w:vAlign w:val="center"/>
          </w:tcPr>
          <w:p w14:paraId="0C1BAC4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生态安全预警体系</w:t>
            </w:r>
          </w:p>
        </w:tc>
        <w:tc>
          <w:tcPr>
            <w:tcW w:w="1640" w:type="pct"/>
            <w:tcBorders>
              <w:top w:val="single" w:color="auto" w:sz="12" w:space="0"/>
              <w:bottom w:val="single" w:color="auto" w:sz="4" w:space="0"/>
            </w:tcBorders>
            <w:shd w:val="clear" w:color="auto" w:fill="auto"/>
            <w:vAlign w:val="center"/>
          </w:tcPr>
          <w:p w14:paraId="73123E34">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信息化、智能化水平</w:t>
            </w:r>
          </w:p>
        </w:tc>
        <w:tc>
          <w:tcPr>
            <w:tcW w:w="1392" w:type="pct"/>
            <w:tcBorders>
              <w:top w:val="single" w:color="auto" w:sz="12" w:space="0"/>
              <w:bottom w:val="single" w:color="auto" w:sz="4" w:space="0"/>
            </w:tcBorders>
            <w:shd w:val="clear" w:color="auto" w:fill="auto"/>
            <w:vAlign w:val="center"/>
          </w:tcPr>
          <w:p w14:paraId="13CC61BB">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w:t>
            </w:r>
          </w:p>
        </w:tc>
      </w:tr>
      <w:tr w14:paraId="7BF0BE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pct"/>
            <w:vMerge w:val="continue"/>
            <w:tcBorders>
              <w:top w:val="single" w:color="auto" w:sz="4" w:space="0"/>
              <w:bottom w:val="single" w:color="auto" w:sz="12" w:space="0"/>
            </w:tcBorders>
            <w:shd w:val="clear" w:color="auto" w:fill="auto"/>
            <w:vAlign w:val="center"/>
          </w:tcPr>
          <w:p w14:paraId="1A2CB72A">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250" w:type="pct"/>
            <w:tcBorders>
              <w:top w:val="single" w:color="auto" w:sz="4" w:space="0"/>
              <w:bottom w:val="single" w:color="auto" w:sz="12" w:space="0"/>
            </w:tcBorders>
            <w:shd w:val="clear" w:color="auto" w:fill="auto"/>
            <w:vAlign w:val="center"/>
          </w:tcPr>
          <w:p w14:paraId="672E72D4">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生态保护修复平台系统</w:t>
            </w:r>
          </w:p>
        </w:tc>
        <w:tc>
          <w:tcPr>
            <w:tcW w:w="1640" w:type="pct"/>
            <w:tcBorders>
              <w:top w:val="single" w:color="auto" w:sz="4" w:space="0"/>
              <w:bottom w:val="single" w:color="auto" w:sz="12" w:space="0"/>
            </w:tcBorders>
            <w:shd w:val="clear" w:color="auto" w:fill="auto"/>
            <w:vAlign w:val="center"/>
          </w:tcPr>
          <w:p w14:paraId="1B88813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信息化、智能化水平</w:t>
            </w:r>
          </w:p>
        </w:tc>
        <w:tc>
          <w:tcPr>
            <w:tcW w:w="1392" w:type="pct"/>
            <w:tcBorders>
              <w:top w:val="single" w:color="auto" w:sz="4" w:space="0"/>
              <w:bottom w:val="single" w:color="auto" w:sz="12" w:space="0"/>
            </w:tcBorders>
            <w:shd w:val="clear" w:color="auto" w:fill="auto"/>
            <w:vAlign w:val="center"/>
          </w:tcPr>
          <w:p w14:paraId="3E548299">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w:t>
            </w:r>
          </w:p>
        </w:tc>
      </w:tr>
    </w:tbl>
    <w:p w14:paraId="1A87BB10">
      <w:pPr>
        <w:pStyle w:val="26"/>
        <w:ind w:left="0" w:leftChars="0" w:firstLine="0" w:firstLineChars="0"/>
        <w:rPr>
          <w:rFonts w:hint="default" w:ascii="Times New Roman"/>
          <w:highlight w:val="none"/>
          <w:lang w:val="en-US"/>
        </w:rPr>
        <w:sectPr>
          <w:footerReference r:id="rId8" w:type="default"/>
          <w:foot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p>
    <w:p w14:paraId="4F89232A">
      <w:pPr>
        <w:pStyle w:val="89"/>
        <w:keepNext/>
        <w:keepLines w:val="0"/>
        <w:pageBreakBefore w:val="0"/>
        <w:widowControl/>
        <w:shd w:val="clear" w:color="FFFFFF" w:fill="FFFFFF"/>
        <w:kinsoku/>
        <w:wordWrap/>
        <w:overflowPunct/>
        <w:topLinePunct w:val="0"/>
        <w:autoSpaceDE/>
        <w:autoSpaceDN/>
        <w:bidi w:val="0"/>
        <w:adjustRightInd/>
        <w:snapToGrid/>
        <w:spacing w:beforeLines="0" w:afterLines="0"/>
        <w:textAlignment w:val="auto"/>
        <w:rPr>
          <w:rFonts w:ascii="Times New Roman"/>
          <w:highlight w:val="none"/>
        </w:rPr>
      </w:pPr>
      <w:bookmarkStart w:id="103" w:name="_Toc82684170"/>
      <w:bookmarkEnd w:id="103"/>
      <w:bookmarkStart w:id="104" w:name="_Toc82684165"/>
      <w:bookmarkEnd w:id="104"/>
      <w:bookmarkStart w:id="105" w:name="_Toc82684159"/>
      <w:bookmarkEnd w:id="105"/>
      <w:bookmarkStart w:id="106" w:name="_Toc82684167"/>
      <w:bookmarkEnd w:id="106"/>
      <w:bookmarkStart w:id="107" w:name="_Toc82684162"/>
      <w:bookmarkEnd w:id="107"/>
      <w:bookmarkStart w:id="108" w:name="_Toc82684163"/>
      <w:bookmarkEnd w:id="108"/>
      <w:bookmarkStart w:id="109" w:name="_Toc82684160"/>
      <w:bookmarkEnd w:id="109"/>
      <w:bookmarkStart w:id="110" w:name="_Toc82684164"/>
      <w:bookmarkEnd w:id="110"/>
      <w:bookmarkStart w:id="111" w:name="_Toc82684169"/>
      <w:bookmarkEnd w:id="111"/>
      <w:bookmarkStart w:id="112" w:name="_Toc82684161"/>
      <w:bookmarkEnd w:id="112"/>
      <w:bookmarkStart w:id="113" w:name="_Toc82684168"/>
      <w:bookmarkEnd w:id="113"/>
      <w:bookmarkStart w:id="114" w:name="_Toc82684157"/>
      <w:bookmarkEnd w:id="114"/>
      <w:bookmarkStart w:id="115" w:name="_Toc82684158"/>
      <w:bookmarkEnd w:id="115"/>
      <w:bookmarkStart w:id="116" w:name="_Toc82684166"/>
      <w:bookmarkEnd w:id="116"/>
      <w:bookmarkStart w:id="117" w:name="_Toc17576"/>
      <w:bookmarkStart w:id="118" w:name="_Toc20821"/>
      <w:bookmarkStart w:id="119" w:name="_Toc8613"/>
      <w:bookmarkStart w:id="120" w:name="BKCKWX"/>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lang w:val="en-US" w:eastAsia="zh-CN"/>
        </w:rPr>
        <w:t>环境基础设施领域环境效益指标及测算方法示例</w:t>
      </w:r>
      <w:bookmarkEnd w:id="117"/>
    </w:p>
    <w:p w14:paraId="6FE082F2">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bookmarkStart w:id="121" w:name="_Toc11116"/>
      <w:bookmarkStart w:id="122" w:name="_Toc25362"/>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1</w:t>
      </w:r>
      <w:r>
        <w:rPr>
          <w:rFonts w:hint="eastAsia" w:ascii="黑体"/>
          <w:highlight w:val="none"/>
          <w:lang w:val="en-US" w:eastAsia="zh-CN"/>
        </w:rPr>
        <w:t xml:space="preserve">  </w:t>
      </w:r>
      <w:r>
        <w:rPr>
          <w:rFonts w:hint="eastAsia"/>
          <w:highlight w:val="none"/>
          <w:lang w:val="en-US" w:eastAsia="zh-CN"/>
        </w:rPr>
        <w:t>绿化面积</w:t>
      </w:r>
    </w:p>
    <w:p w14:paraId="226A0B25">
      <w:pPr>
        <w:pStyle w:val="132"/>
        <w:autoSpaceDE/>
        <w:autoSpaceDN/>
        <w:ind w:firstLine="420" w:firstLineChars="200"/>
        <w:jc w:val="both"/>
        <w:rPr>
          <w:rFonts w:hint="eastAsia" w:hAnsi="宋体" w:cs="宋体"/>
          <w:highlight w:val="none"/>
          <w:lang w:val="en-US" w:eastAsia="zh-CN"/>
        </w:rPr>
      </w:pPr>
      <w:r>
        <w:rPr>
          <w:rFonts w:hint="eastAsia" w:hAnsi="宋体" w:cs="宋体"/>
          <w:highlight w:val="none"/>
          <w:lang w:val="en-US" w:eastAsia="zh-CN"/>
        </w:rPr>
        <w:t>公园绿地、附属绿地、绿道系统、道路绿化、立体绿化等项目，实施内容中符合相应标准或技术规范要求的绿化面积。计算公式见公式（B.1）。</w:t>
      </w:r>
    </w:p>
    <w:p w14:paraId="36FE8D65">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S</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s</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（B.1）</w:t>
      </w:r>
    </w:p>
    <w:p w14:paraId="41091131">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16315E52">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S</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项目绿化面积</w:t>
      </w:r>
      <w:r>
        <w:rPr>
          <w:rFonts w:hint="eastAsia" w:hAnsi="宋体" w:cs="宋体"/>
          <w:highlight w:val="none"/>
        </w:rPr>
        <w:t>，</w:t>
      </w:r>
      <w:r>
        <w:rPr>
          <w:rFonts w:hint="eastAsia" w:hAnsi="宋体" w:cs="宋体"/>
          <w:highlight w:val="none"/>
          <w:lang w:val="en-US" w:eastAsia="zh-CN"/>
        </w:rPr>
        <w:t>单位为平方米（m</w:t>
      </w:r>
      <w:r>
        <w:rPr>
          <w:rFonts w:hint="eastAsia" w:hAnsi="宋体" w:cs="宋体"/>
          <w:highlight w:val="none"/>
          <w:vertAlign w:val="superscript"/>
          <w:lang w:val="en-US" w:eastAsia="zh-CN"/>
        </w:rPr>
        <w:t>2</w:t>
      </w:r>
      <w:r>
        <w:rPr>
          <w:rFonts w:hint="eastAsia" w:hAnsi="宋体" w:cs="宋体"/>
          <w:highlight w:val="none"/>
          <w:lang w:val="en-US" w:eastAsia="zh-CN"/>
        </w:rPr>
        <w:t>）</w:t>
      </w:r>
      <w:r>
        <w:rPr>
          <w:rFonts w:hint="eastAsia" w:hAnsi="宋体" w:cs="宋体"/>
          <w:highlight w:val="none"/>
        </w:rPr>
        <w:t>；</w:t>
      </w:r>
    </w:p>
    <w:p w14:paraId="2F0639E3">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s</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第i类绿地类型得到绿化面积，单位为平方米（m</w:t>
      </w:r>
      <w:r>
        <w:rPr>
          <w:rFonts w:hint="eastAsia" w:hAnsi="宋体" w:cs="宋体"/>
          <w:highlight w:val="none"/>
          <w:vertAlign w:val="superscript"/>
          <w:lang w:val="en-US" w:eastAsia="zh-CN"/>
        </w:rPr>
        <w:t>2</w:t>
      </w:r>
      <w:r>
        <w:rPr>
          <w:rFonts w:hint="eastAsia" w:hAnsi="宋体" w:cs="宋体"/>
          <w:highlight w:val="none"/>
          <w:lang w:val="en-US" w:eastAsia="zh-CN"/>
        </w:rPr>
        <w:t>）。</w:t>
      </w:r>
    </w:p>
    <w:p w14:paraId="1DCF69C4">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2</w:t>
      </w:r>
      <w:r>
        <w:rPr>
          <w:rFonts w:hint="eastAsia" w:ascii="黑体"/>
          <w:highlight w:val="none"/>
          <w:lang w:val="en-US" w:eastAsia="zh-CN"/>
        </w:rPr>
        <w:t xml:space="preserve">  </w:t>
      </w:r>
      <w:r>
        <w:rPr>
          <w:rFonts w:hint="eastAsia"/>
          <w:highlight w:val="none"/>
          <w:lang w:val="en-US" w:eastAsia="zh-CN"/>
        </w:rPr>
        <w:t>固碳量</w:t>
      </w:r>
    </w:p>
    <w:p w14:paraId="61FADD4C">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hAnsi="宋体" w:cs="宋体"/>
          <w:highlight w:val="none"/>
          <w:lang w:val="en-US" w:eastAsia="zh-CN"/>
        </w:rPr>
      </w:pPr>
      <w:r>
        <w:rPr>
          <w:rFonts w:hint="eastAsia" w:hAnsi="宋体" w:cs="宋体"/>
          <w:highlight w:val="none"/>
          <w:lang w:val="en-US" w:eastAsia="zh-CN"/>
        </w:rPr>
        <w:t>以生态系统的净生产力乘以园林绿化面积来计算。计算公式见公式（B.2.1）。</w:t>
      </w:r>
    </w:p>
    <w:p w14:paraId="0039FD1B">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highlight w:val="none"/>
            <w:lang w:val="en-US" w:eastAsia="zh-CN"/>
          </w:rPr>
          <m:t>G</m:t>
        </m:r>
        <m:r>
          <m:rPr/>
          <w:rPr>
            <w:rFonts w:hint="eastAsia" w:ascii="Cambria Math" w:hAnsi="Cambria Math" w:cs="宋体"/>
            <w:highlight w:val="none"/>
          </w:rPr>
          <m:t>=</m:t>
        </m:r>
        <m:nary>
          <m:naryPr>
            <m:chr m:val="∑"/>
            <m:limLoc m:val="subSup"/>
            <m:ctrlPr>
              <w:rPr>
                <w:rFonts w:hint="eastAsia" w:ascii="Cambria Math" w:hAnsi="Cambria Math" w:cs="宋体"/>
                <w:i/>
                <w:highlight w:val="none"/>
              </w:rPr>
            </m:ctrlPr>
          </m:naryPr>
          <m:sub>
            <m:r>
              <m:rPr/>
              <w:rPr>
                <w:rFonts w:hint="default" w:ascii="Cambria Math" w:hAnsi="Cambria Math" w:cs="宋体"/>
                <w:highlight w:val="none"/>
                <w:lang w:val="en-US" w:eastAsia="zh-CN"/>
              </w:rPr>
              <m:t>i=1</m:t>
            </m:r>
            <m:ctrlPr>
              <w:rPr>
                <w:rFonts w:hint="eastAsia" w:ascii="Cambria Math" w:hAnsi="Cambria Math" w:cs="宋体"/>
                <w:i/>
                <w:highlight w:val="none"/>
              </w:rPr>
            </m:ctrlPr>
          </m:sub>
          <m:sup>
            <m:r>
              <m:rPr/>
              <w:rPr>
                <w:rFonts w:hint="default" w:ascii="Cambria Math" w:hAnsi="Cambria Math" w:cs="宋体"/>
                <w:highlight w:val="none"/>
                <w:lang w:val="en-US" w:eastAsia="zh-CN"/>
              </w:rPr>
              <m:t>n</m:t>
            </m:r>
            <m:ctrlPr>
              <w:rPr>
                <w:rFonts w:hint="eastAsia" w:ascii="Cambria Math" w:hAnsi="Cambria Math" w:cs="宋体"/>
                <w:i/>
                <w:highlight w:val="none"/>
              </w:rPr>
            </m:ctrlPr>
          </m:sup>
          <m:e>
            <m:d>
              <m:dPr>
                <m:ctrlPr>
                  <w:rPr>
                    <w:rFonts w:hint="eastAsia" w:ascii="Cambria Math" w:hAnsi="Cambria Math" w:cs="宋体"/>
                    <w:i/>
                    <w:highlight w:val="none"/>
                  </w:rPr>
                </m:ctrlPr>
              </m:dPr>
              <m:e>
                <m:sSub>
                  <m:sSubPr>
                    <m:ctrlPr>
                      <w:rPr>
                        <w:rFonts w:hint="eastAsia" w:ascii="Cambria Math" w:hAnsi="Cambria Math" w:cs="宋体"/>
                        <w:i/>
                        <w:highlight w:val="none"/>
                      </w:rPr>
                    </m:ctrlPr>
                  </m:sSubPr>
                  <m:e>
                    <m:r>
                      <m:rPr/>
                      <w:rPr>
                        <w:rFonts w:hint="default" w:ascii="Cambria Math" w:hAnsi="Cambria Math" w:cs="宋体"/>
                        <w:highlight w:val="none"/>
                        <w:lang w:val="en-US" w:eastAsia="zh-CN"/>
                      </w:rPr>
                      <m:t>NEP</m:t>
                    </m:r>
                    <m:ctrlPr>
                      <w:rPr>
                        <w:rFonts w:hint="eastAsia" w:ascii="Cambria Math" w:hAnsi="Cambria Math" w:cs="宋体"/>
                        <w:i/>
                        <w:highlight w:val="none"/>
                      </w:rPr>
                    </m:ctrlPr>
                  </m:e>
                  <m:sub>
                    <m:r>
                      <m:rPr/>
                      <w:rPr>
                        <w:rFonts w:hint="default" w:ascii="Cambria Math" w:hAnsi="Cambria Math" w:cs="宋体"/>
                        <w:highlight w:val="none"/>
                        <w:lang w:val="en-US" w:eastAsia="zh-CN"/>
                      </w:rPr>
                      <m:t>i</m:t>
                    </m:r>
                    <m:ctrlPr>
                      <w:rPr>
                        <w:rFonts w:hint="eastAsia" w:ascii="Cambria Math" w:hAnsi="Cambria Math" w:cs="宋体"/>
                        <w:i/>
                        <w:highlight w:val="none"/>
                      </w:rPr>
                    </m:ctrlPr>
                  </m:sub>
                </m:sSub>
                <m:r>
                  <m:rPr/>
                  <w:rPr>
                    <w:rFonts w:hint="default" w:ascii="Cambria Math" w:hAnsi="Cambria Math" w:cs="Cambria Math"/>
                    <w:highlight w:val="none"/>
                    <w:lang w:val="en-US" w:eastAsia="zh-CN"/>
                  </w:rPr>
                  <m:t>×</m:t>
                </m:r>
                <m:sSub>
                  <m:sSubPr>
                    <m:ctrlPr>
                      <w:rPr>
                        <w:rFonts w:hint="default" w:ascii="Cambria Math" w:hAnsi="Cambria Math" w:cs="Cambria Math"/>
                        <w:i/>
                        <w:highlight w:val="none"/>
                        <w:lang w:val="en-US" w:eastAsia="zh-CN"/>
                      </w:rPr>
                    </m:ctrlPr>
                  </m:sSubPr>
                  <m:e>
                    <m:r>
                      <m:rPr/>
                      <w:rPr>
                        <w:rFonts w:hint="default" w:ascii="Cambria Math" w:hAnsi="Cambria Math" w:cs="Cambria Math"/>
                        <w:highlight w:val="none"/>
                        <w:lang w:val="en-US" w:eastAsia="zh-CN"/>
                      </w:rPr>
                      <m:t>s</m:t>
                    </m:r>
                    <m:ctrlPr>
                      <w:rPr>
                        <w:rFonts w:hint="default" w:ascii="Cambria Math" w:hAnsi="Cambria Math" w:cs="Cambria Math"/>
                        <w:i/>
                        <w:highlight w:val="none"/>
                        <w:lang w:val="en-US" w:eastAsia="zh-CN"/>
                      </w:rPr>
                    </m:ctrlPr>
                  </m:e>
                  <m:sub>
                    <m:r>
                      <m:rPr/>
                      <w:rPr>
                        <w:rFonts w:hint="default" w:ascii="Cambria Math" w:hAnsi="Cambria Math" w:cs="Cambria Math"/>
                        <w:highlight w:val="none"/>
                        <w:lang w:val="en-US" w:eastAsia="zh-CN"/>
                      </w:rPr>
                      <m:t>i</m:t>
                    </m:r>
                    <m:ctrlPr>
                      <w:rPr>
                        <w:rFonts w:hint="default" w:ascii="Cambria Math" w:hAnsi="Cambria Math" w:cs="Cambria Math"/>
                        <w:i/>
                        <w:highlight w:val="none"/>
                        <w:lang w:val="en-US" w:eastAsia="zh-CN"/>
                      </w:rPr>
                    </m:ctrlPr>
                  </m:sub>
                </m:sSub>
                <m:ctrlPr>
                  <w:rPr>
                    <w:rFonts w:hint="eastAsia" w:ascii="Cambria Math" w:hAnsi="Cambria Math" w:cs="宋体"/>
                    <w:i/>
                    <w:highlight w:val="none"/>
                  </w:rPr>
                </m:ctrlPr>
              </m:e>
            </m:d>
            <m:ctrlPr>
              <w:rPr>
                <w:rFonts w:hint="eastAsia" w:ascii="Cambria Math" w:hAnsi="Cambria Math" w:cs="宋体"/>
                <w:i/>
                <w:highlight w:val="none"/>
              </w:rPr>
            </m:ctrlPr>
          </m:e>
        </m:nary>
        <m:r>
          <m:rPr/>
          <w:rPr>
            <w:rFonts w:hint="default" w:ascii="Cambria Math" w:hAnsi="Cambria Math" w:cs="Cambria Math"/>
            <w:highlight w:val="none"/>
            <w:lang w:val="en-US" w:eastAsia="zh-CN"/>
          </w:rPr>
          <m:t>×t</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（B.2.1）</w:t>
      </w:r>
    </w:p>
    <w:p w14:paraId="727699AD">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48C2D897">
      <w:pPr>
        <w:pStyle w:val="132"/>
        <w:ind w:firstLine="420" w:firstLineChars="200"/>
        <w:rPr>
          <w:rFonts w:hint="default" w:hAnsi="Cambria Math" w:cs="宋体"/>
          <w:b w:val="0"/>
          <w:i w:val="0"/>
          <w:highlight w:val="none"/>
          <w:lang w:val="en-US" w:eastAsia="zh-CN"/>
        </w:rPr>
      </w:pPr>
      <m:oMath>
        <m:r>
          <m:rPr>
            <m:sty m:val="p"/>
          </m:rPr>
          <w:rPr>
            <w:rFonts w:hint="default" w:ascii="Cambria Math" w:hAnsi="Cambria Math" w:cs="宋体"/>
            <w:highlight w:val="none"/>
            <w:lang w:val="en-US" w:eastAsia="zh-CN"/>
          </w:rPr>
          <m:t>G</m:t>
        </m:r>
      </m:oMath>
      <w:r>
        <w:rPr>
          <w:rFonts w:hint="eastAsia" w:hAnsi="Cambria Math" w:cs="宋体"/>
          <w:i w:val="0"/>
          <w:spacing w:val="28"/>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园林绿化的固碳量，单位为克碳（gC）</w:t>
      </w:r>
      <w:r>
        <w:rPr>
          <w:rFonts w:hint="eastAsia" w:hAnsi="宋体" w:cs="宋体"/>
          <w:highlight w:val="none"/>
        </w:rPr>
        <w:t>；</w:t>
      </w:r>
    </w:p>
    <w:p w14:paraId="524E62E2">
      <w:pPr>
        <w:pStyle w:val="132"/>
        <w:ind w:firstLine="420" w:firstLineChars="200"/>
        <w:rPr>
          <w:rFonts w:hint="eastAsia" w:hAnsi="宋体" w:cs="宋体"/>
          <w:highlight w:val="none"/>
        </w:rPr>
      </w:pPr>
      <m:oMath>
        <m:sSub>
          <m:sSubPr>
            <m:ctrlPr>
              <w:rPr>
                <w:rFonts w:hint="eastAsia" w:ascii="Cambria Math" w:hAnsi="Cambria Math" w:cs="宋体"/>
                <w:i/>
                <w:highlight w:val="none"/>
              </w:rPr>
            </m:ctrlPr>
          </m:sSubPr>
          <m:e>
            <m:r>
              <m:rPr/>
              <w:rPr>
                <w:rFonts w:hint="default" w:ascii="Cambria Math" w:hAnsi="Cambria Math" w:cs="宋体"/>
                <w:highlight w:val="none"/>
                <w:lang w:val="en-US" w:eastAsia="zh-CN"/>
              </w:rPr>
              <m:t>NEP</m:t>
            </m:r>
            <m:ctrlPr>
              <w:rPr>
                <w:rFonts w:hint="eastAsia" w:ascii="Cambria Math" w:hAnsi="Cambria Math" w:cs="宋体"/>
                <w:i/>
                <w:highlight w:val="none"/>
              </w:rPr>
            </m:ctrlPr>
          </m:e>
          <m:sub>
            <m:r>
              <m:rPr/>
              <w:rPr>
                <w:rFonts w:hint="default" w:ascii="Cambria Math" w:hAnsi="Cambria Math" w:cs="宋体"/>
                <w:highlight w:val="none"/>
                <w:lang w:val="en-US" w:eastAsia="zh-CN"/>
              </w:rPr>
              <m:t>i</m:t>
            </m:r>
            <m:ctrlPr>
              <w:rPr>
                <w:rFonts w:hint="eastAsia" w:ascii="Cambria Math" w:hAnsi="Cambria Math" w:cs="宋体"/>
                <w:i/>
                <w:highlight w:val="none"/>
              </w:rPr>
            </m:ctrlPr>
          </m:sub>
        </m:sSub>
      </m:oMath>
      <w:r>
        <w:rPr>
          <w:rFonts w:hint="eastAsia" w:hAnsi="Cambria Math" w:cs="宋体"/>
          <w:i w:val="0"/>
          <w:spacing w:val="28"/>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第i类绿地类型的净生态系统生产力，单位为克碳每平方米每年（gCm</w:t>
      </w:r>
      <w:r>
        <w:rPr>
          <w:rFonts w:hint="eastAsia" w:hAnsi="宋体" w:cs="宋体"/>
          <w:highlight w:val="none"/>
          <w:vertAlign w:val="superscript"/>
          <w:lang w:val="en-US" w:eastAsia="zh-CN"/>
        </w:rPr>
        <w:t>-2</w:t>
      </w:r>
      <w:r>
        <w:rPr>
          <w:rFonts w:hint="eastAsia" w:hAnsi="宋体" w:cs="宋体"/>
          <w:highlight w:val="none"/>
          <w:lang w:val="en-US" w:eastAsia="zh-CN"/>
        </w:rPr>
        <w:t>yr</w:t>
      </w:r>
      <w:r>
        <w:rPr>
          <w:rFonts w:hint="eastAsia" w:hAnsi="宋体" w:cs="宋体"/>
          <w:highlight w:val="none"/>
          <w:vertAlign w:val="superscript"/>
          <w:lang w:val="en-US" w:eastAsia="zh-CN"/>
        </w:rPr>
        <w:t>-1</w:t>
      </w:r>
      <w:r>
        <w:rPr>
          <w:rFonts w:hint="eastAsia" w:hAnsi="宋体" w:cs="宋体"/>
          <w:highlight w:val="none"/>
          <w:lang w:val="en-US" w:eastAsia="zh-CN"/>
        </w:rPr>
        <w:t>）</w:t>
      </w:r>
      <w:r>
        <w:rPr>
          <w:rFonts w:hint="eastAsia" w:hAnsi="宋体" w:cs="宋体"/>
          <w:highlight w:val="none"/>
        </w:rPr>
        <w:t>；</w:t>
      </w:r>
    </w:p>
    <w:p w14:paraId="4A4492B8">
      <w:pPr>
        <w:pStyle w:val="26"/>
        <w:rPr>
          <w:rFonts w:hint="default"/>
          <w:highlight w:val="none"/>
          <w:lang w:val="en-US"/>
        </w:rPr>
      </w:pPr>
      <m:oMath>
        <m:sSub>
          <m:sSubPr>
            <m:ctrlPr>
              <w:rPr>
                <w:rFonts w:hint="default" w:ascii="Cambria Math" w:hAnsi="Cambria Math" w:cs="Cambria Math"/>
                <w:i/>
                <w:highlight w:val="none"/>
                <w:lang w:val="en-US" w:eastAsia="zh-CN"/>
              </w:rPr>
            </m:ctrlPr>
          </m:sSubPr>
          <m:e>
            <m:r>
              <m:rPr/>
              <w:rPr>
                <w:rFonts w:hint="default" w:ascii="Cambria Math" w:hAnsi="Cambria Math" w:cs="Cambria Math"/>
                <w:highlight w:val="none"/>
                <w:lang w:val="en-US" w:eastAsia="zh-CN"/>
              </w:rPr>
              <m:t>s</m:t>
            </m:r>
            <m:ctrlPr>
              <w:rPr>
                <w:rFonts w:hint="default" w:ascii="Cambria Math" w:hAnsi="Cambria Math" w:cs="Cambria Math"/>
                <w:i/>
                <w:highlight w:val="none"/>
                <w:lang w:val="en-US" w:eastAsia="zh-CN"/>
              </w:rPr>
            </m:ctrlPr>
          </m:e>
          <m:sub>
            <m:r>
              <m:rPr/>
              <w:rPr>
                <w:rFonts w:hint="default" w:ascii="Cambria Math" w:hAnsi="Cambria Math" w:cs="Cambria Math"/>
                <w:highlight w:val="none"/>
                <w:lang w:val="en-US" w:eastAsia="zh-CN"/>
              </w:rPr>
              <m:t>i</m:t>
            </m:r>
            <m:ctrlPr>
              <w:rPr>
                <w:rFonts w:hint="default" w:ascii="Cambria Math" w:hAnsi="Cambria Math" w:cs="Cambria Math"/>
                <w:i/>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第i类绿地类型的绿化面积，单位为平方米（m</w:t>
      </w:r>
      <w:r>
        <w:rPr>
          <w:rFonts w:hint="eastAsia" w:hAnsi="宋体" w:cs="宋体"/>
          <w:highlight w:val="none"/>
          <w:vertAlign w:val="superscript"/>
          <w:lang w:val="en-US" w:eastAsia="zh-CN"/>
        </w:rPr>
        <w:t>2</w:t>
      </w:r>
      <w:r>
        <w:rPr>
          <w:rFonts w:hint="eastAsia" w:hAnsi="宋体" w:cs="宋体"/>
          <w:highlight w:val="none"/>
          <w:lang w:val="en-US" w:eastAsia="zh-CN"/>
        </w:rPr>
        <w:t>）；</w:t>
      </w:r>
    </w:p>
    <w:p w14:paraId="51670513">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eastAsia="宋体" w:cs="宋体"/>
          <w:highlight w:val="none"/>
          <w:lang w:val="en-US" w:eastAsia="zh-CN"/>
        </w:rPr>
      </w:pPr>
      <m:oMath>
        <m:r>
          <m:rPr>
            <m:sty m:val="p"/>
          </m:rPr>
          <w:rPr>
            <w:rFonts w:hint="eastAsia" w:ascii="Cambria Math" w:hAnsi="Cambria Math" w:cs="宋体"/>
            <w:highlight w:val="none"/>
            <w:lang w:val="en-US" w:eastAsia="zh-CN"/>
          </w:rPr>
          <m:t>t</m:t>
        </m:r>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计算周期</w:t>
      </w:r>
      <w:r>
        <w:rPr>
          <w:rFonts w:hint="eastAsia" w:hAnsi="宋体" w:cs="宋体"/>
          <w:highlight w:val="none"/>
          <w:lang w:eastAsia="zh-CN"/>
        </w:rPr>
        <w:t>，</w:t>
      </w:r>
      <w:r>
        <w:rPr>
          <w:rFonts w:hint="eastAsia" w:hAnsi="宋体" w:cs="宋体"/>
          <w:highlight w:val="none"/>
          <w:lang w:val="en-US" w:eastAsia="zh-CN"/>
        </w:rPr>
        <w:t>t=1，</w:t>
      </w:r>
      <w:r>
        <w:rPr>
          <w:rFonts w:hint="eastAsia" w:hAnsi="宋体" w:cs="宋体"/>
          <w:highlight w:val="none"/>
          <w:lang w:eastAsia="zh-CN"/>
        </w:rPr>
        <w:t>单位为年</w:t>
      </w:r>
      <w:r>
        <w:rPr>
          <w:rFonts w:hint="eastAsia" w:hAnsi="宋体" w:cs="宋体"/>
          <w:highlight w:val="none"/>
          <w:lang w:val="en-US" w:eastAsia="zh-CN"/>
        </w:rPr>
        <w:t>（y）。</w:t>
      </w:r>
    </w:p>
    <w:p w14:paraId="0DC588C4">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NEP</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NPP</m:t>
        </m:r>
        <m:r>
          <m:rPr/>
          <w:rPr>
            <w:rFonts w:ascii="Cambria Math" w:hAnsi="Cambria Math" w:cs="宋体"/>
            <w:sz w:val="21"/>
            <w:highlight w:val="none"/>
            <w:lang w:val="en-US" w:bidi="ar-SA"/>
          </w:rPr>
          <m:t>−</m:t>
        </m:r>
        <m:r>
          <m:rPr/>
          <w:rPr>
            <w:rFonts w:hint="default" w:ascii="Cambria Math" w:hAnsi="Cambria Math" w:cs="宋体"/>
            <w:sz w:val="21"/>
            <w:highlight w:val="none"/>
            <w:lang w:val="en-US" w:eastAsia="zh-CN" w:bidi="ar-SA"/>
          </w:rPr>
          <m:t>Rℎ</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（B.2.2）</w:t>
      </w:r>
    </w:p>
    <w:p w14:paraId="21861928">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06CE77A8">
      <w:pPr>
        <w:pStyle w:val="132"/>
        <w:ind w:firstLine="420" w:firstLineChars="200"/>
        <w:rPr>
          <w:rFonts w:hint="eastAsia" w:hAnsi="宋体" w:cs="宋体"/>
          <w:highlight w:val="none"/>
        </w:rPr>
      </w:pPr>
      <m:oMath>
        <m:r>
          <m:rPr>
            <m:sty m:val="p"/>
          </m:rPr>
          <w:rPr>
            <w:rFonts w:hint="default" w:ascii="Cambria Math" w:hAnsi="Cambria Math" w:cs="宋体"/>
            <w:highlight w:val="none"/>
            <w:lang w:val="en-US" w:eastAsia="zh-CN"/>
          </w:rPr>
          <m:t>NEP</m:t>
        </m:r>
      </m:oMath>
      <w:r>
        <w:rPr>
          <w:rFonts w:hint="eastAsia" w:hAnsi="Cambria Math" w:cs="宋体"/>
          <w:i w:val="0"/>
          <w:spacing w:val="28"/>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净生态系统生产力，单位为克碳每平方米每年（gCm</w:t>
      </w:r>
      <w:r>
        <w:rPr>
          <w:rFonts w:hint="eastAsia" w:hAnsi="宋体" w:cs="宋体"/>
          <w:highlight w:val="none"/>
          <w:vertAlign w:val="superscript"/>
          <w:lang w:val="en-US" w:eastAsia="zh-CN"/>
        </w:rPr>
        <w:t>-2</w:t>
      </w:r>
      <w:r>
        <w:rPr>
          <w:rFonts w:hint="eastAsia" w:hAnsi="宋体" w:cs="宋体"/>
          <w:highlight w:val="none"/>
          <w:lang w:val="en-US" w:eastAsia="zh-CN"/>
        </w:rPr>
        <w:t>yr</w:t>
      </w:r>
      <w:r>
        <w:rPr>
          <w:rFonts w:hint="eastAsia" w:hAnsi="宋体" w:cs="宋体"/>
          <w:highlight w:val="none"/>
          <w:vertAlign w:val="superscript"/>
          <w:lang w:val="en-US" w:eastAsia="zh-CN"/>
        </w:rPr>
        <w:t>-1</w:t>
      </w:r>
      <w:r>
        <w:rPr>
          <w:rFonts w:hint="eastAsia" w:hAnsi="宋体" w:cs="宋体"/>
          <w:highlight w:val="none"/>
          <w:lang w:val="en-US" w:eastAsia="zh-CN"/>
        </w:rPr>
        <w:t>）</w:t>
      </w:r>
      <w:r>
        <w:rPr>
          <w:rFonts w:hint="eastAsia" w:hAnsi="宋体" w:cs="宋体"/>
          <w:highlight w:val="none"/>
        </w:rPr>
        <w:t>；</w:t>
      </w:r>
    </w:p>
    <w:p w14:paraId="72E0AD52">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cs="宋体"/>
          <w:highlight w:val="none"/>
        </w:rPr>
      </w:pPr>
      <m:oMath>
        <m:r>
          <m:rPr>
            <m:sty m:val="p"/>
          </m:rPr>
          <w:rPr>
            <w:rFonts w:hint="default" w:ascii="Cambria Math" w:hAnsi="Cambria Math" w:cs="宋体"/>
            <w:highlight w:val="none"/>
            <w:lang w:val="en-US" w:eastAsia="zh-CN"/>
          </w:rPr>
          <m:t>NPP</m:t>
        </m:r>
      </m:oMath>
      <w:r>
        <w:rPr>
          <w:rFonts w:hint="eastAsia" w:hAnsi="Cambria Math" w:cs="宋体"/>
          <w:i w:val="0"/>
          <w:iCs/>
          <w:highlight w:val="none"/>
          <w:lang w:val="en-US" w:eastAsia="zh-CN"/>
        </w:rPr>
        <w:t xml:space="preserve"> </w:t>
      </w:r>
      <w:r>
        <w:rPr>
          <w:rFonts w:hint="eastAsia" w:hAnsi="宋体" w:cs="宋体"/>
          <w:highlight w:val="none"/>
          <w:lang w:eastAsia="zh-CN"/>
        </w:rPr>
        <w:t>——净初级生产力，单位为克碳每平方米每年</w:t>
      </w:r>
      <w:r>
        <w:rPr>
          <w:rFonts w:hint="eastAsia" w:hAnsi="宋体" w:cs="宋体"/>
          <w:highlight w:val="none"/>
          <w:lang w:val="en-US" w:eastAsia="zh-CN"/>
        </w:rPr>
        <w:t>（gCm</w:t>
      </w:r>
      <w:r>
        <w:rPr>
          <w:rFonts w:hint="eastAsia" w:hAnsi="宋体" w:cs="宋体"/>
          <w:highlight w:val="none"/>
          <w:vertAlign w:val="superscript"/>
          <w:lang w:val="en-US" w:eastAsia="zh-CN"/>
        </w:rPr>
        <w:t>-2</w:t>
      </w:r>
      <w:r>
        <w:rPr>
          <w:rFonts w:hint="eastAsia" w:hAnsi="宋体" w:cs="宋体"/>
          <w:highlight w:val="none"/>
          <w:lang w:val="en-US" w:eastAsia="zh-CN"/>
        </w:rPr>
        <w:t>yr</w:t>
      </w:r>
      <w:r>
        <w:rPr>
          <w:rFonts w:hint="eastAsia" w:hAnsi="宋体" w:cs="宋体"/>
          <w:highlight w:val="none"/>
          <w:vertAlign w:val="superscript"/>
          <w:lang w:val="en-US" w:eastAsia="zh-CN"/>
        </w:rPr>
        <w:t>-1</w:t>
      </w:r>
      <w:r>
        <w:rPr>
          <w:rFonts w:hint="eastAsia" w:hAnsi="宋体" w:cs="宋体"/>
          <w:highlight w:val="none"/>
          <w:lang w:val="en-US" w:eastAsia="zh-CN"/>
        </w:rPr>
        <w:t>），计算见公式（B.2.2）</w:t>
      </w:r>
      <w:r>
        <w:rPr>
          <w:rFonts w:hint="eastAsia" w:hAnsi="宋体" w:cs="宋体"/>
          <w:highlight w:val="none"/>
        </w:rPr>
        <w:t>；</w:t>
      </w:r>
    </w:p>
    <w:p w14:paraId="4A7F68F7">
      <w:pPr>
        <w:pStyle w:val="132"/>
        <w:ind w:firstLine="420" w:firstLineChars="200"/>
        <w:rPr>
          <w:rFonts w:hint="eastAsia" w:hAnsi="宋体" w:cs="宋体"/>
          <w:highlight w:val="none"/>
          <w:lang w:val="en-US" w:eastAsia="zh-CN"/>
        </w:rPr>
      </w:pPr>
      <m:oMath>
        <m:r>
          <m:rPr>
            <m:sty m:val="p"/>
          </m:rPr>
          <w:rPr>
            <w:rFonts w:hint="default" w:ascii="Cambria Math" w:hAnsi="Cambria Math" w:cs="宋体"/>
            <w:highlight w:val="none"/>
            <w:lang w:val="en-US" w:eastAsia="zh-CN"/>
          </w:rPr>
          <m:t>R</m:t>
        </m:r>
        <m:r>
          <m:rPr>
            <m:sty m:val="p"/>
          </m:rPr>
          <w:rPr>
            <w:rFonts w:hint="eastAsia" w:ascii="Cambria Math" w:hAnsi="Cambria Math" w:cs="宋体"/>
            <w:highlight w:val="none"/>
            <w:lang w:val="en-US" w:eastAsia="zh-CN"/>
          </w:rPr>
          <m:t>h</m:t>
        </m:r>
      </m:oMath>
      <w:r>
        <w:rPr>
          <w:rFonts w:hint="eastAsia" w:hAnsi="Cambria Math" w:cs="宋体"/>
          <w:b w:val="0"/>
          <w:i w:val="0"/>
          <w:highlight w:val="none"/>
          <w:lang w:val="en-US" w:eastAsia="zh-CN"/>
        </w:rPr>
        <w:t xml:space="preserve"> </w:t>
      </w:r>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土壤异养呼吸，单位为克碳每平方米每年（gCm</w:t>
      </w:r>
      <w:r>
        <w:rPr>
          <w:rFonts w:hint="eastAsia" w:hAnsi="宋体" w:cs="宋体"/>
          <w:highlight w:val="none"/>
          <w:vertAlign w:val="superscript"/>
          <w:lang w:val="en-US" w:eastAsia="zh-CN"/>
        </w:rPr>
        <w:t>-2</w:t>
      </w:r>
      <w:r>
        <w:rPr>
          <w:rFonts w:hint="eastAsia" w:hAnsi="宋体" w:cs="宋体"/>
          <w:highlight w:val="none"/>
          <w:lang w:val="en-US" w:eastAsia="zh-CN"/>
        </w:rPr>
        <w:t>yr</w:t>
      </w:r>
      <w:r>
        <w:rPr>
          <w:rFonts w:hint="eastAsia" w:hAnsi="宋体" w:cs="宋体"/>
          <w:highlight w:val="none"/>
          <w:vertAlign w:val="superscript"/>
          <w:lang w:val="en-US" w:eastAsia="zh-CN"/>
        </w:rPr>
        <w:t>-1</w:t>
      </w:r>
      <w:r>
        <w:rPr>
          <w:rFonts w:hint="eastAsia" w:hAnsi="宋体" w:cs="宋体"/>
          <w:highlight w:val="none"/>
          <w:lang w:val="en-US" w:eastAsia="zh-CN"/>
        </w:rPr>
        <w:t>）。</w:t>
      </w:r>
    </w:p>
    <w:p w14:paraId="6B67AA7A">
      <w:pPr>
        <w:pStyle w:val="60"/>
        <w:keepNext w:val="0"/>
        <w:keepLines w:val="0"/>
        <w:pageBreakBefore w:val="0"/>
        <w:widowControl/>
        <w:numPr>
          <w:ilvl w:val="-1"/>
          <w:numId w:val="0"/>
        </w:numPr>
        <w:kinsoku/>
        <w:wordWrap/>
        <w:overflowPunct/>
        <w:topLinePunct w:val="0"/>
        <w:autoSpaceDE/>
        <w:autoSpaceDN/>
        <w:bidi w:val="0"/>
        <w:adjustRightInd/>
        <w:snapToGrid/>
        <w:spacing w:before="157" w:beforeLines="50" w:after="157" w:afterLines="50"/>
        <w:ind w:left="0" w:firstLine="0"/>
        <w:textAlignment w:val="auto"/>
        <w:outlineLvl w:val="9"/>
        <w:rPr>
          <w:rFonts w:hAnsi="宋体" w:cs="宋体"/>
          <w:highlight w:val="none"/>
        </w:rPr>
      </w:pPr>
      <w:r>
        <w:rPr>
          <w:rFonts w:hint="eastAsia"/>
          <w:highlight w:val="none"/>
          <w:lang w:val="en-US" w:eastAsia="zh-CN"/>
        </w:rPr>
        <w:t>B.3  释氧量</w:t>
      </w:r>
      <w:bookmarkEnd w:id="121"/>
      <w:bookmarkEnd w:id="122"/>
    </w:p>
    <w:p w14:paraId="3E7C4C81">
      <w:pPr>
        <w:pStyle w:val="132"/>
        <w:autoSpaceDE/>
        <w:autoSpaceDN/>
        <w:ind w:firstLine="420" w:firstLineChars="200"/>
        <w:jc w:val="both"/>
        <w:rPr>
          <w:rFonts w:hint="default" w:hAnsi="Cambria Math" w:eastAsia="宋体" w:cs="宋体"/>
          <w:i w:val="0"/>
          <w:iCs w:val="0"/>
          <w:sz w:val="21"/>
          <w:highlight w:val="none"/>
          <w:lang w:val="en-US" w:eastAsia="zh-CN" w:bidi="ar-SA"/>
        </w:rPr>
      </w:pPr>
      <w:r>
        <w:rPr>
          <w:rFonts w:hint="eastAsia" w:hAnsi="宋体" w:cs="宋体"/>
          <w:highlight w:val="none"/>
          <w:lang w:val="en-US" w:eastAsia="zh-CN"/>
        </w:rPr>
        <w:t>通过园林绿化建设、养护管理和运营新增的氧气释放量。</w:t>
      </w:r>
      <w:r>
        <w:rPr>
          <w:rFonts w:hint="eastAsia" w:hAnsi="宋体" w:cs="宋体"/>
          <w:highlight w:val="none"/>
        </w:rPr>
        <w:t>计算公式</w:t>
      </w:r>
      <w:r>
        <w:rPr>
          <w:rFonts w:hint="eastAsia" w:hAnsi="宋体" w:cs="宋体"/>
          <w:highlight w:val="none"/>
          <w:lang w:val="en-US" w:eastAsia="zh-CN"/>
        </w:rPr>
        <w:t>见公式（B.3）。</w:t>
      </w:r>
    </w:p>
    <w:p w14:paraId="7153D57E">
      <w:pPr>
        <w:pStyle w:val="132"/>
        <w:keepNext w:val="0"/>
        <w:keepLines w:val="0"/>
        <w:pageBreakBefore w:val="0"/>
        <w:widowControl/>
        <w:tabs>
          <w:tab w:val="right" w:leader="middleDot" w:pos="5880"/>
          <w:tab w:val="clear" w:pos="4201"/>
          <w:tab w:val="clear" w:pos="9298"/>
        </w:tabs>
        <w:kinsoku/>
        <w:wordWrap/>
        <w:overflowPunct/>
        <w:topLinePunct w:val="0"/>
        <w:autoSpaceDE w:val="0"/>
        <w:autoSpaceDN w:val="0"/>
        <w:bidi w:val="0"/>
        <w:adjustRightInd/>
        <w:snapToGrid/>
        <w:ind w:firstLine="0" w:firstLineChars="0"/>
        <w:jc w:val="right"/>
        <w:textAlignment w:val="auto"/>
        <w:rPr>
          <w:rFonts w:hint="eastAsia" w:hAnsi="宋体" w:cs="宋体"/>
          <w:highlight w:val="none"/>
        </w:rPr>
      </w:pPr>
      <w:r>
        <w:rPr>
          <w:rFonts w:hint="eastAsia" w:hAnsi="Cambria Math" w:cs="宋体"/>
          <w:i w:val="0"/>
          <w:sz w:val="21"/>
          <w:highlight w:val="none"/>
          <w:lang w:val="en-US" w:eastAsia="zh-CN" w:bidi="ar-SA"/>
        </w:rPr>
        <w:t xml:space="preserve">       </w:t>
      </w:r>
      <m:oMath>
        <m:r>
          <m:rPr/>
          <w:rPr>
            <w:rFonts w:hint="default" w:ascii="Cambria Math" w:hAnsi="Cambria Math" w:cs="宋体"/>
            <w:sz w:val="21"/>
            <w:highlight w:val="none"/>
            <w:lang w:val="en-US" w:eastAsia="zh-CN" w:bidi="ar-SA"/>
          </w:rPr>
          <m:t>Q</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d>
              <m:dPr>
                <m:ctrlPr>
                  <w:rPr>
                    <w:rFonts w:hint="eastAsia" w:ascii="Cambria Math" w:hAnsi="Cambria Math" w:cs="宋体"/>
                    <w:i/>
                    <w:sz w:val="21"/>
                    <w:highlight w:val="none"/>
                    <w:lang w:val="en-US" w:eastAsia="zh-CN" w:bidi="ar-SA"/>
                  </w:rPr>
                </m:ctrlPr>
              </m:dPr>
              <m:e>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q</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r>
                  <m:rPr/>
                  <w:rPr>
                    <w:rFonts w:hint="default" w:ascii="Cambria Math" w:hAnsi="Cambria Math" w:cs="Cambria Math"/>
                    <w:highlight w:val="none"/>
                    <w:lang w:val="en-US" w:eastAsia="zh-CN"/>
                  </w:rPr>
                  <m:t>×</m:t>
                </m:r>
                <m:sSub>
                  <m:sSubPr>
                    <m:ctrlPr>
                      <w:rPr>
                        <w:rFonts w:hint="default" w:ascii="Cambria Math" w:hAnsi="Cambria Math" w:cs="Cambria Math"/>
                        <w:i/>
                        <w:highlight w:val="none"/>
                        <w:lang w:val="en-US" w:eastAsia="zh-CN"/>
                      </w:rPr>
                    </m:ctrlPr>
                  </m:sSubPr>
                  <m:e>
                    <m:r>
                      <m:rPr/>
                      <w:rPr>
                        <w:rFonts w:hint="default" w:ascii="Cambria Math" w:hAnsi="Cambria Math" w:cs="Cambria Math"/>
                        <w:highlight w:val="none"/>
                        <w:lang w:val="en-US" w:eastAsia="zh-CN"/>
                      </w:rPr>
                      <m:t>s</m:t>
                    </m:r>
                    <m:ctrlPr>
                      <w:rPr>
                        <w:rFonts w:hint="default" w:ascii="Cambria Math" w:hAnsi="Cambria Math" w:cs="Cambria Math"/>
                        <w:i/>
                        <w:highlight w:val="none"/>
                        <w:lang w:val="en-US" w:eastAsia="zh-CN"/>
                      </w:rPr>
                    </m:ctrlPr>
                  </m:e>
                  <m:sub>
                    <m:r>
                      <m:rPr/>
                      <w:rPr>
                        <w:rFonts w:hint="default" w:ascii="Cambria Math" w:hAnsi="Cambria Math" w:cs="Cambria Math"/>
                        <w:highlight w:val="none"/>
                        <w:lang w:val="en-US" w:eastAsia="zh-CN"/>
                      </w:rPr>
                      <m:t>i</m:t>
                    </m:r>
                    <m:ctrlPr>
                      <w:rPr>
                        <w:rFonts w:hint="default" w:ascii="Cambria Math" w:hAnsi="Cambria Math" w:cs="Cambria Math"/>
                        <w:i/>
                        <w:highlight w:val="none"/>
                        <w:lang w:val="en-US" w:eastAsia="zh-CN"/>
                      </w:rPr>
                    </m:ctrlPr>
                  </m:sub>
                </m:sSub>
                <m:ctrlPr>
                  <w:rPr>
                    <w:rFonts w:hint="eastAsia" w:ascii="Cambria Math" w:hAnsi="Cambria Math" w:cs="宋体"/>
                    <w:i/>
                    <w:sz w:val="21"/>
                    <w:highlight w:val="none"/>
                    <w:lang w:val="en-US" w:eastAsia="zh-CN" w:bidi="ar-SA"/>
                  </w:rPr>
                </m:ctrlPr>
              </m:e>
            </m:d>
            <m:ctrlPr>
              <w:rPr>
                <w:rFonts w:hint="eastAsia" w:ascii="Cambria Math" w:hAnsi="Cambria Math" w:cs="宋体"/>
                <w:i/>
                <w:sz w:val="21"/>
                <w:highlight w:val="none"/>
                <w:lang w:val="en-US" w:eastAsia="zh-CN" w:bidi="ar-SA"/>
              </w:rPr>
            </m:ctrlPr>
          </m:e>
        </m:nary>
        <m:r>
          <m:rPr/>
          <w:rPr>
            <w:rFonts w:hint="default" w:ascii="Cambria Math" w:hAnsi="Cambria Math" w:cs="Cambria Math"/>
            <w:highlight w:val="none"/>
            <w:lang w:val="en-US" w:eastAsia="zh-CN"/>
          </w:rPr>
          <m:t>×t</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（B.3）</w:t>
      </w:r>
    </w:p>
    <w:p w14:paraId="04054B13">
      <w:pPr>
        <w:pStyle w:val="132"/>
        <w:ind w:firstLine="420" w:firstLineChars="200"/>
        <w:rPr>
          <w:rFonts w:hint="eastAsia" w:hAnsi="宋体" w:cs="宋体"/>
          <w:highlight w:val="none"/>
        </w:rPr>
      </w:pPr>
      <w:r>
        <w:rPr>
          <w:rFonts w:hint="eastAsia" w:hAnsi="宋体" w:cs="宋体"/>
          <w:highlight w:val="none"/>
        </w:rPr>
        <w:t>式中：</w:t>
      </w:r>
    </w:p>
    <w:p w14:paraId="36996451">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Q</m:t>
        </m:r>
      </m:oMath>
      <w:r>
        <w:rPr>
          <w:rFonts w:hint="eastAsia" w:hAnsi="Cambria Math" w:cs="宋体"/>
          <w:i w:val="0"/>
          <w:spacing w:val="28"/>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氧气释放量</w:t>
      </w:r>
      <w:r>
        <w:rPr>
          <w:rFonts w:hint="eastAsia" w:hAnsi="宋体" w:cs="宋体"/>
          <w:highlight w:val="none"/>
        </w:rPr>
        <w:t>，单位</w:t>
      </w:r>
      <w:r>
        <w:rPr>
          <w:rFonts w:hint="eastAsia" w:hAnsi="宋体" w:cs="宋体"/>
          <w:highlight w:val="none"/>
          <w:lang w:val="en-US" w:eastAsia="zh-CN"/>
        </w:rPr>
        <w:t>为克氧气每平方米每年（gO</w:t>
      </w:r>
      <w:r>
        <w:rPr>
          <w:rFonts w:hint="eastAsia" w:hAnsi="宋体" w:cs="宋体"/>
          <w:highlight w:val="none"/>
          <w:vertAlign w:val="subscript"/>
          <w:lang w:val="en-US" w:eastAsia="zh-CN"/>
        </w:rPr>
        <w:t>2</w:t>
      </w:r>
      <w:r>
        <w:rPr>
          <w:rFonts w:hint="eastAsia" w:hAnsi="宋体" w:cs="宋体"/>
          <w:highlight w:val="none"/>
          <w:lang w:val="en-US" w:eastAsia="zh-CN"/>
        </w:rPr>
        <w:t>m</w:t>
      </w:r>
      <w:r>
        <w:rPr>
          <w:rFonts w:hint="eastAsia" w:hAnsi="宋体" w:cs="宋体"/>
          <w:highlight w:val="none"/>
          <w:vertAlign w:val="superscript"/>
          <w:lang w:val="en-US" w:eastAsia="zh-CN"/>
        </w:rPr>
        <w:t>-2</w:t>
      </w:r>
      <w:r>
        <w:rPr>
          <w:rFonts w:hint="eastAsia" w:hAnsi="宋体" w:cs="宋体"/>
          <w:highlight w:val="none"/>
          <w:lang w:val="en-US" w:eastAsia="zh-CN"/>
        </w:rPr>
        <w:t>yr</w:t>
      </w:r>
      <w:r>
        <w:rPr>
          <w:rFonts w:hint="eastAsia" w:hAnsi="宋体" w:cs="宋体"/>
          <w:highlight w:val="none"/>
          <w:vertAlign w:val="superscript"/>
          <w:lang w:val="en-US" w:eastAsia="zh-CN"/>
        </w:rPr>
        <w:t>-1</w:t>
      </w:r>
      <w:r>
        <w:rPr>
          <w:rFonts w:hint="eastAsia" w:hAnsi="宋体" w:cs="宋体"/>
          <w:highlight w:val="none"/>
          <w:lang w:val="en-US" w:eastAsia="zh-CN"/>
        </w:rPr>
        <w:t>）</w:t>
      </w:r>
      <w:r>
        <w:rPr>
          <w:rFonts w:hint="eastAsia" w:hAnsi="宋体" w:cs="宋体"/>
          <w:highlight w:val="none"/>
        </w:rPr>
        <w:t>；</w:t>
      </w:r>
    </w:p>
    <w:p w14:paraId="12A89EAA">
      <w:pPr>
        <w:pStyle w:val="132"/>
        <w:keepNext w:val="0"/>
        <w:keepLines w:val="0"/>
        <w:pageBreakBefore w:val="0"/>
        <w:widowControl/>
        <w:kinsoku/>
        <w:wordWrap/>
        <w:overflowPunct/>
        <w:topLinePunct w:val="0"/>
        <w:autoSpaceDE w:val="0"/>
        <w:autoSpaceDN w:val="0"/>
        <w:bidi w:val="0"/>
        <w:adjustRightInd/>
        <w:snapToGrid/>
        <w:ind w:left="1155" w:leftChars="200" w:hanging="735" w:hangingChars="350"/>
        <w:textAlignment w:val="auto"/>
        <w:rPr>
          <w:rFonts w:hint="eastAsia" w:hAnsi="宋体" w:cs="宋体"/>
          <w:highlight w:val="none"/>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q</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第i类绿地类型的单位面积氧气释放量（gO</w:t>
      </w:r>
      <w:r>
        <w:rPr>
          <w:rFonts w:hint="eastAsia" w:hAnsi="宋体" w:cs="宋体"/>
          <w:highlight w:val="none"/>
          <w:vertAlign w:val="subscript"/>
          <w:lang w:val="en-US" w:eastAsia="zh-CN"/>
        </w:rPr>
        <w:t>2</w:t>
      </w:r>
      <w:r>
        <w:rPr>
          <w:rFonts w:hint="eastAsia" w:hAnsi="宋体" w:cs="宋体"/>
          <w:highlight w:val="none"/>
          <w:lang w:val="en-US" w:eastAsia="zh-CN"/>
        </w:rPr>
        <w:t>m</w:t>
      </w:r>
      <w:r>
        <w:rPr>
          <w:rFonts w:hint="eastAsia" w:hAnsi="宋体" w:cs="宋体"/>
          <w:highlight w:val="none"/>
          <w:vertAlign w:val="superscript"/>
          <w:lang w:val="en-US" w:eastAsia="zh-CN"/>
        </w:rPr>
        <w:t>-2</w:t>
      </w:r>
      <w:r>
        <w:rPr>
          <w:rFonts w:hint="eastAsia" w:hAnsi="宋体" w:cs="宋体"/>
          <w:highlight w:val="none"/>
          <w:lang w:val="en-US" w:eastAsia="zh-CN"/>
        </w:rPr>
        <w:t>yr</w:t>
      </w:r>
      <w:r>
        <w:rPr>
          <w:rFonts w:hint="eastAsia" w:hAnsi="宋体" w:cs="宋体"/>
          <w:highlight w:val="none"/>
          <w:vertAlign w:val="superscript"/>
          <w:lang w:val="en-US" w:eastAsia="zh-CN"/>
        </w:rPr>
        <w:t>-1</w:t>
      </w:r>
      <w:r>
        <w:rPr>
          <w:rFonts w:hint="eastAsia" w:hAnsi="宋体" w:cs="宋体"/>
          <w:highlight w:val="none"/>
          <w:lang w:val="en-US" w:eastAsia="zh-CN"/>
        </w:rPr>
        <w:t>），</w:t>
      </w:r>
      <w:r>
        <w:rPr>
          <w:rFonts w:hint="eastAsia" w:hAnsi="宋体" w:cs="宋体"/>
          <w:highlight w:val="none"/>
        </w:rPr>
        <w:t>；</w:t>
      </w:r>
    </w:p>
    <w:p w14:paraId="4C30CBB0">
      <w:pPr>
        <w:pStyle w:val="26"/>
        <w:rPr>
          <w:rFonts w:hint="default"/>
          <w:highlight w:val="none"/>
          <w:lang w:val="en-US"/>
        </w:rPr>
      </w:pPr>
      <m:oMath>
        <m:sSub>
          <m:sSubPr>
            <m:ctrlPr>
              <w:rPr>
                <w:rFonts w:hint="default" w:ascii="Cambria Math" w:hAnsi="Cambria Math" w:cs="Cambria Math"/>
                <w:i/>
                <w:highlight w:val="none"/>
                <w:lang w:val="en-US" w:eastAsia="zh-CN"/>
              </w:rPr>
            </m:ctrlPr>
          </m:sSubPr>
          <m:e>
            <m:r>
              <m:rPr/>
              <w:rPr>
                <w:rFonts w:hint="default" w:ascii="Cambria Math" w:hAnsi="Cambria Math" w:cs="Cambria Math"/>
                <w:highlight w:val="none"/>
                <w:lang w:val="en-US" w:eastAsia="zh-CN"/>
              </w:rPr>
              <m:t>s</m:t>
            </m:r>
            <m:ctrlPr>
              <w:rPr>
                <w:rFonts w:hint="default" w:ascii="Cambria Math" w:hAnsi="Cambria Math" w:cs="Cambria Math"/>
                <w:i/>
                <w:highlight w:val="none"/>
                <w:lang w:val="en-US" w:eastAsia="zh-CN"/>
              </w:rPr>
            </m:ctrlPr>
          </m:e>
          <m:sub>
            <m:r>
              <m:rPr/>
              <w:rPr>
                <w:rFonts w:hint="default" w:ascii="Cambria Math" w:hAnsi="Cambria Math" w:cs="Cambria Math"/>
                <w:highlight w:val="none"/>
                <w:lang w:val="en-US" w:eastAsia="zh-CN"/>
              </w:rPr>
              <m:t>i</m:t>
            </m:r>
            <m:ctrlPr>
              <w:rPr>
                <w:rFonts w:hint="default" w:ascii="Cambria Math" w:hAnsi="Cambria Math" w:cs="Cambria Math"/>
                <w:i/>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第i类绿地类型的绿化面积，单位为平方米（m</w:t>
      </w:r>
      <w:r>
        <w:rPr>
          <w:rFonts w:hint="eastAsia" w:hAnsi="宋体" w:cs="宋体"/>
          <w:highlight w:val="none"/>
          <w:vertAlign w:val="superscript"/>
          <w:lang w:val="en-US" w:eastAsia="zh-CN"/>
        </w:rPr>
        <w:t>2</w:t>
      </w:r>
      <w:r>
        <w:rPr>
          <w:rFonts w:hint="eastAsia" w:hAnsi="宋体" w:cs="宋体"/>
          <w:highlight w:val="none"/>
          <w:lang w:val="en-US" w:eastAsia="zh-CN"/>
        </w:rPr>
        <w:t>）；</w:t>
      </w:r>
    </w:p>
    <w:p w14:paraId="1461E2AB">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eastAsia="宋体" w:cs="宋体"/>
          <w:highlight w:val="none"/>
          <w:lang w:val="en-US" w:eastAsia="zh-CN"/>
        </w:rPr>
      </w:pPr>
      <m:oMath>
        <m:r>
          <m:rPr>
            <m:sty m:val="p"/>
          </m:rPr>
          <w:rPr>
            <w:rFonts w:hint="eastAsia" w:ascii="Cambria Math" w:hAnsi="Cambria Math" w:cs="宋体"/>
            <w:highlight w:val="none"/>
            <w:lang w:val="en-US" w:eastAsia="zh-CN"/>
          </w:rPr>
          <m:t>t</m:t>
        </m:r>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计算周期</w:t>
      </w:r>
      <w:r>
        <w:rPr>
          <w:rFonts w:hint="eastAsia" w:hAnsi="宋体" w:cs="宋体"/>
          <w:highlight w:val="none"/>
          <w:lang w:eastAsia="zh-CN"/>
        </w:rPr>
        <w:t>，</w:t>
      </w:r>
      <w:r>
        <w:rPr>
          <w:rFonts w:hint="eastAsia" w:hAnsi="宋体" w:cs="宋体"/>
          <w:highlight w:val="none"/>
          <w:lang w:val="en-US" w:eastAsia="zh-CN"/>
        </w:rPr>
        <w:t>t=1，</w:t>
      </w:r>
      <w:r>
        <w:rPr>
          <w:rFonts w:hint="eastAsia" w:hAnsi="宋体" w:cs="宋体"/>
          <w:highlight w:val="none"/>
          <w:lang w:eastAsia="zh-CN"/>
        </w:rPr>
        <w:t>单位为年</w:t>
      </w:r>
      <w:r>
        <w:rPr>
          <w:rFonts w:hint="eastAsia" w:hAnsi="宋体" w:cs="宋体"/>
          <w:highlight w:val="none"/>
          <w:lang w:val="en-US" w:eastAsia="zh-CN"/>
        </w:rPr>
        <w:t>（y）。</w:t>
      </w:r>
    </w:p>
    <w:p w14:paraId="404B959C">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宋体" w:eastAsia="黑体" w:cs="宋体"/>
          <w:highlight w:val="none"/>
          <w:lang w:val="en-US" w:eastAsia="zh-CN"/>
        </w:rPr>
      </w:pPr>
      <w:bookmarkStart w:id="123" w:name="_Toc24925"/>
      <w:bookmarkStart w:id="124" w:name="_Toc19057"/>
      <w:r>
        <w:rPr>
          <w:rFonts w:hint="eastAsia" w:cs="Times New Roman"/>
          <w:highlight w:val="none"/>
          <w:lang w:val="en-US" w:eastAsia="zh-CN"/>
        </w:rPr>
        <w:t xml:space="preserve">B.4  </w:t>
      </w:r>
      <w:bookmarkEnd w:id="123"/>
      <w:bookmarkEnd w:id="124"/>
      <w:r>
        <w:rPr>
          <w:rFonts w:hint="eastAsia" w:cs="Times New Roman"/>
          <w:highlight w:val="none"/>
          <w:lang w:val="en-US" w:eastAsia="zh-CN"/>
        </w:rPr>
        <w:t>年径流污染去除率</w:t>
      </w:r>
    </w:p>
    <w:p w14:paraId="536E2D2F">
      <w:pPr>
        <w:pStyle w:val="26"/>
        <w:rPr>
          <w:rFonts w:hAnsi="宋体" w:cs="宋体"/>
          <w:highlight w:val="none"/>
        </w:rPr>
      </w:pPr>
      <w:r>
        <w:rPr>
          <w:rFonts w:hint="eastAsia" w:hAnsi="宋体" w:cs="宋体"/>
          <w:highlight w:val="none"/>
          <w:lang w:val="en-US" w:eastAsia="zh-CN"/>
        </w:rPr>
        <w:t>海绵城市设施等项目的场地内，年平均悬浮物（SS）总量去除的比例。通过海绵城市设施的建设和运营实现悬浮物去除，减少环境污染</w:t>
      </w:r>
      <w:r>
        <w:rPr>
          <w:rFonts w:hint="eastAsia" w:hAnsi="宋体" w:cs="宋体"/>
          <w:highlight w:val="none"/>
        </w:rPr>
        <w:t>。计算公式</w:t>
      </w:r>
      <w:r>
        <w:rPr>
          <w:rFonts w:hint="eastAsia" w:hAnsi="宋体" w:cs="宋体"/>
          <w:highlight w:val="none"/>
          <w:lang w:val="en-US" w:eastAsia="zh-CN"/>
        </w:rPr>
        <w:t>见公式（B.4）各单体设施年径流污染总量削减率可按表B.1取值。</w:t>
      </w:r>
    </w:p>
    <w:p w14:paraId="1D71E09F">
      <w:pPr>
        <w:pStyle w:val="132"/>
        <w:keepNext w:val="0"/>
        <w:keepLines w:val="0"/>
        <w:pageBreakBefore w:val="0"/>
        <w:widowControl/>
        <w:tabs>
          <w:tab w:val="right" w:leader="middleDot" w:pos="9298"/>
          <w:tab w:val="clear" w:pos="4201"/>
        </w:tabs>
        <w:kinsoku/>
        <w:wordWrap/>
        <w:overflowPunct/>
        <w:topLinePunct w:val="0"/>
        <w:autoSpaceDE w:val="0"/>
        <w:autoSpaceDN w:val="0"/>
        <w:bidi w:val="0"/>
        <w:adjustRightInd/>
        <w:snapToGrid/>
        <w:ind w:firstLine="3780" w:firstLineChars="1800"/>
        <w:textAlignment w:val="auto"/>
        <w:rPr>
          <w:rFonts w:hAnsi="宋体" w:cs="宋体"/>
          <w:highlight w:val="none"/>
        </w:rPr>
      </w:pPr>
      <m:oMath>
        <m:r>
          <m:rPr/>
          <w:rPr>
            <w:rFonts w:hint="default" w:ascii="Cambria Math" w:hAnsi="Cambria Math" w:cs="宋体"/>
            <w:highlight w:val="none"/>
            <w:lang w:val="en-US" w:eastAsia="zh-CN"/>
          </w:rPr>
          <m:t>C</m:t>
        </m:r>
        <m:r>
          <m:rPr/>
          <w:rPr>
            <w:rFonts w:hint="eastAsia" w:ascii="Cambria Math" w:hAnsi="Cambria Math" w:cs="宋体"/>
            <w:highlight w:val="none"/>
          </w:rPr>
          <m:t>=</m:t>
        </m:r>
        <m:f>
          <m:fPr>
            <m:ctrlPr>
              <w:rPr>
                <w:rFonts w:hint="eastAsia" w:ascii="Cambria Math" w:hAnsi="Cambria Math" w:cs="宋体"/>
                <w:i/>
                <w:highlight w:val="none"/>
              </w:rPr>
            </m:ctrlPr>
          </m:fPr>
          <m:num>
            <m:r>
              <m:rPr/>
              <w:rPr>
                <w:rFonts w:ascii="Cambria Math" w:hAnsi="Cambria Math" w:cs="宋体"/>
                <w:highlight w:val="none"/>
              </w:rPr>
              <m:t>α</m:t>
            </m:r>
            <m:nary>
              <m:naryPr>
                <m:chr m:val="∑"/>
                <m:limLoc m:val="undOvr"/>
                <m:subHide m:val="1"/>
                <m:supHide m:val="1"/>
                <m:ctrlPr>
                  <w:rPr>
                    <w:rFonts w:ascii="Cambria Math" w:hAnsi="Cambria Math" w:cs="宋体"/>
                    <w:i/>
                    <w:highlight w:val="none"/>
                  </w:rPr>
                </m:ctrlPr>
              </m:naryPr>
              <m:sub>
                <m:ctrlPr>
                  <w:rPr>
                    <w:rFonts w:ascii="Cambria Math" w:hAnsi="Cambria Math" w:cs="宋体"/>
                    <w:i/>
                    <w:highlight w:val="none"/>
                  </w:rPr>
                </m:ctrlPr>
              </m:sub>
              <m:sup>
                <m:ctrlPr>
                  <w:rPr>
                    <w:rFonts w:ascii="Cambria Math" w:hAnsi="Cambria Math" w:cs="宋体"/>
                    <w:i/>
                    <w:highlight w:val="none"/>
                  </w:rPr>
                </m:ctrlPr>
              </m:sup>
              <m:e>
                <m:sSub>
                  <m:sSubPr>
                    <m:ctrlPr>
                      <w:rPr>
                        <w:rFonts w:ascii="Cambria Math" w:hAnsi="Cambria Math" w:cs="宋体"/>
                        <w:i/>
                        <w:highlight w:val="none"/>
                      </w:rPr>
                    </m:ctrlPr>
                  </m:sSubPr>
                  <m:e>
                    <m:r>
                      <m:rPr/>
                      <w:rPr>
                        <w:rFonts w:hint="default" w:ascii="Cambria Math" w:hAnsi="Cambria Math" w:cs="宋体"/>
                        <w:highlight w:val="none"/>
                        <w:lang w:val="en-US" w:eastAsia="zh-CN"/>
                      </w:rPr>
                      <m:t>S</m:t>
                    </m:r>
                    <m:ctrlPr>
                      <w:rPr>
                        <w:rFonts w:ascii="Cambria Math" w:hAnsi="Cambria Math" w:cs="宋体"/>
                        <w:i/>
                        <w:highlight w:val="none"/>
                      </w:rPr>
                    </m:ctrlPr>
                  </m:e>
                  <m:sub>
                    <m:r>
                      <m:rPr/>
                      <w:rPr>
                        <w:rFonts w:hint="default" w:ascii="Cambria Math" w:hAnsi="Cambria Math" w:cs="宋体"/>
                        <w:highlight w:val="none"/>
                        <w:lang w:val="en-US" w:eastAsia="zh-CN"/>
                      </w:rPr>
                      <m:t>i</m:t>
                    </m:r>
                    <m:ctrlPr>
                      <w:rPr>
                        <w:rFonts w:ascii="Cambria Math" w:hAnsi="Cambria Math" w:cs="宋体"/>
                        <w:i/>
                        <w:highlight w:val="none"/>
                      </w:rPr>
                    </m:ctrlPr>
                  </m:sub>
                </m:sSub>
                <m:sSub>
                  <m:sSubPr>
                    <m:ctrlPr>
                      <w:rPr>
                        <w:rFonts w:ascii="Cambria Math" w:hAnsi="Cambria Math" w:cs="宋体"/>
                        <w:i/>
                        <w:highlight w:val="none"/>
                      </w:rPr>
                    </m:ctrlPr>
                  </m:sSubPr>
                  <m:e>
                    <m:r>
                      <m:rPr/>
                      <w:rPr>
                        <w:rFonts w:hint="default" w:ascii="Cambria Math" w:hAnsi="Cambria Math" w:cs="宋体"/>
                        <w:highlight w:val="none"/>
                        <w:lang w:val="en-US" w:eastAsia="zh-CN"/>
                      </w:rPr>
                      <m:t>C</m:t>
                    </m:r>
                    <m:ctrlPr>
                      <w:rPr>
                        <w:rFonts w:ascii="Cambria Math" w:hAnsi="Cambria Math" w:cs="宋体"/>
                        <w:i/>
                        <w:highlight w:val="none"/>
                      </w:rPr>
                    </m:ctrlPr>
                  </m:e>
                  <m:sub>
                    <m:r>
                      <m:rPr/>
                      <w:rPr>
                        <w:rFonts w:hint="default" w:ascii="Cambria Math" w:hAnsi="Cambria Math" w:cs="宋体"/>
                        <w:highlight w:val="none"/>
                        <w:lang w:val="en-US" w:eastAsia="zh-CN"/>
                      </w:rPr>
                      <m:t>i</m:t>
                    </m:r>
                    <m:ctrlPr>
                      <w:rPr>
                        <w:rFonts w:ascii="Cambria Math" w:hAnsi="Cambria Math" w:cs="宋体"/>
                        <w:i/>
                        <w:highlight w:val="none"/>
                      </w:rPr>
                    </m:ctrlPr>
                  </m:sub>
                </m:sSub>
                <m:ctrlPr>
                  <w:rPr>
                    <w:rFonts w:ascii="Cambria Math" w:hAnsi="Cambria Math" w:cs="宋体"/>
                    <w:i/>
                    <w:highlight w:val="none"/>
                  </w:rPr>
                </m:ctrlPr>
              </m:e>
            </m:nary>
            <m:ctrlPr>
              <w:rPr>
                <w:rFonts w:hint="eastAsia" w:ascii="Cambria Math" w:hAnsi="Cambria Math" w:cs="宋体"/>
                <w:i/>
                <w:highlight w:val="none"/>
              </w:rPr>
            </m:ctrlPr>
          </m:num>
          <m:den>
            <m:r>
              <m:rPr/>
              <w:rPr>
                <w:rFonts w:hint="default" w:ascii="Cambria Math" w:hAnsi="Cambria Math" w:cs="宋体"/>
                <w:highlight w:val="none"/>
                <w:lang w:val="en-US" w:eastAsia="zh-CN"/>
              </w:rPr>
              <m:t>S</m:t>
            </m:r>
            <m:ctrlPr>
              <w:rPr>
                <w:rFonts w:hint="eastAsia" w:ascii="Cambria Math" w:hAnsi="Cambria Math" w:cs="宋体"/>
                <w:i/>
                <w:highlight w:val="none"/>
              </w:rPr>
            </m:ctrlPr>
          </m:den>
        </m:f>
      </m:oMath>
      <w:r>
        <w:rPr>
          <w:rFonts w:hint="eastAsia" w:hAnsi="Cambria Math" w:cs="宋体"/>
          <w:i w:val="0"/>
          <w:iCs/>
          <w:highlight w:val="none"/>
          <w:lang w:val="en-US" w:eastAsia="zh-CN"/>
        </w:rPr>
        <w:tab/>
      </w:r>
      <w:r>
        <w:rPr>
          <w:rFonts w:hint="eastAsia" w:hAnsi="Cambria Math" w:cs="宋体"/>
          <w:i w:val="0"/>
          <w:iCs/>
          <w:highlight w:val="none"/>
          <w:lang w:val="en-US" w:eastAsia="zh-CN"/>
        </w:rPr>
        <w:t>（B.4）</w:t>
      </w:r>
    </w:p>
    <w:p w14:paraId="36BD4C32">
      <w:pPr>
        <w:pStyle w:val="132"/>
        <w:ind w:firstLine="420" w:firstLineChars="200"/>
        <w:rPr>
          <w:rFonts w:hAnsi="宋体" w:cs="宋体"/>
          <w:highlight w:val="none"/>
        </w:rPr>
      </w:pPr>
      <w:r>
        <w:rPr>
          <w:rFonts w:hint="eastAsia" w:hAnsi="宋体" w:cs="宋体"/>
          <w:highlight w:val="none"/>
        </w:rPr>
        <w:t>式中：</w:t>
      </w:r>
    </w:p>
    <w:p w14:paraId="1A987073">
      <w:pPr>
        <w:pStyle w:val="132"/>
        <w:ind w:firstLine="420" w:firstLineChars="200"/>
        <w:rPr>
          <w:rFonts w:hAnsi="宋体" w:cs="宋体"/>
          <w:highlight w:val="none"/>
        </w:rPr>
      </w:pPr>
      <m:oMath>
        <m:r>
          <m:rPr/>
          <w:rPr>
            <w:rFonts w:hint="default" w:ascii="Cambria Math" w:hAnsi="Cambria Math" w:cs="宋体"/>
            <w:highlight w:val="none"/>
            <w:lang w:val="en-US" w:eastAsia="zh-CN"/>
          </w:rPr>
          <m:t>C</m:t>
        </m:r>
      </m:oMath>
      <w:r>
        <w:rPr>
          <w:rFonts w:hint="eastAsia" w:hAnsi="宋体" w:cs="宋体"/>
          <w:highlight w:val="none"/>
        </w:rPr>
        <w:t>——年径流污染削减率</w:t>
      </w:r>
      <w:r>
        <w:rPr>
          <w:rFonts w:hint="eastAsia" w:hAnsi="宋体" w:cs="宋体"/>
          <w:highlight w:val="none"/>
          <w:lang w:eastAsia="zh-CN"/>
        </w:rPr>
        <w:t>，</w:t>
      </w:r>
      <w:r>
        <w:rPr>
          <w:rFonts w:hint="eastAsia" w:hAnsi="宋体" w:cs="宋体"/>
          <w:highlight w:val="none"/>
          <w:lang w:val="en-US" w:eastAsia="zh-CN"/>
        </w:rPr>
        <w:t>单位为%</w:t>
      </w:r>
      <w:r>
        <w:rPr>
          <w:rFonts w:hint="eastAsia" w:hAnsi="宋体" w:cs="宋体"/>
          <w:highlight w:val="none"/>
        </w:rPr>
        <w:t>；</w:t>
      </w:r>
    </w:p>
    <w:p w14:paraId="5419C659">
      <w:pPr>
        <w:pStyle w:val="132"/>
        <w:ind w:firstLine="420" w:firstLineChars="200"/>
        <w:rPr>
          <w:rFonts w:hint="eastAsia" w:hAnsi="宋体" w:cs="宋体"/>
          <w:highlight w:val="none"/>
        </w:rPr>
      </w:pPr>
      <m:oMath>
        <m:r>
          <m:rPr/>
          <w:rPr>
            <w:rFonts w:hint="default" w:ascii="Cambria Math" w:hAnsi="Cambria Math" w:cs="Cambria Math"/>
            <w:highlight w:val="none"/>
            <w:lang w:val="en-US" w:eastAsia="zh-CN"/>
          </w:rPr>
          <m:t>α</m:t>
        </m:r>
      </m:oMath>
      <w:r>
        <w:rPr>
          <w:rFonts w:hint="eastAsia" w:hAnsi="宋体" w:cs="宋体"/>
          <w:highlight w:val="none"/>
          <w:lang w:eastAsia="zh-CN"/>
        </w:rPr>
        <w:t>——</w:t>
      </w:r>
      <w:r>
        <w:rPr>
          <w:rFonts w:hint="eastAsia" w:hAnsi="宋体" w:cs="宋体"/>
          <w:highlight w:val="none"/>
          <w:lang w:val="en-US" w:eastAsia="zh-CN"/>
        </w:rPr>
        <w:t>年径流总量控制率，计算公式见公式（B.5），单位为%</w:t>
      </w:r>
      <w:r>
        <w:rPr>
          <w:rFonts w:hint="eastAsia" w:hAnsi="宋体" w:cs="宋体"/>
          <w:highlight w:val="none"/>
        </w:rPr>
        <w:t>；</w:t>
      </w:r>
    </w:p>
    <w:p w14:paraId="4C8E907F">
      <w:pPr>
        <w:pStyle w:val="132"/>
        <w:keepNext w:val="0"/>
        <w:keepLines w:val="0"/>
        <w:pageBreakBefore w:val="0"/>
        <w:widowControl/>
        <w:kinsoku/>
        <w:wordWrap/>
        <w:overflowPunct/>
        <w:topLinePunct w:val="0"/>
        <w:autoSpaceDE w:val="0"/>
        <w:autoSpaceDN w:val="0"/>
        <w:bidi w:val="0"/>
        <w:adjustRightInd/>
        <w:snapToGrid/>
        <w:ind w:left="1344" w:leftChars="187" w:hanging="951" w:hangingChars="580"/>
        <w:textAlignment w:val="auto"/>
        <w:rPr>
          <w:rFonts w:hint="eastAsia" w:hAnsi="宋体" w:cs="宋体"/>
          <w:highlight w:val="none"/>
          <w:lang w:eastAsia="zh-CN"/>
        </w:rPr>
      </w:pPr>
      <m:oMath>
        <m:r>
          <m:rPr/>
          <w:rPr>
            <w:rFonts w:hint="default" w:ascii="Cambria Math" w:hAnsi="Cambria Math" w:cs="宋体"/>
            <w:spacing w:val="-23"/>
            <w:highlight w:val="none"/>
            <w:lang w:val="en-US" w:eastAsia="zh-CN"/>
          </w:rPr>
          <m:t xml:space="preserve"> </m:t>
        </m:r>
        <m:sSub>
          <m:sSubPr>
            <m:ctrlPr>
              <w:rPr>
                <w:rFonts w:hint="default" w:ascii="Cambria Math" w:hAnsi="Cambria Math" w:cs="宋体"/>
                <w:i/>
                <w:spacing w:val="-23"/>
                <w:highlight w:val="none"/>
                <w:lang w:val="en-US" w:eastAsia="zh-CN"/>
              </w:rPr>
            </m:ctrlPr>
          </m:sSubPr>
          <m:e>
            <m:r>
              <m:rPr/>
              <w:rPr>
                <w:rFonts w:hint="default" w:ascii="Cambria Math" w:hAnsi="Cambria Math" w:cs="宋体"/>
                <w:spacing w:val="-23"/>
                <w:highlight w:val="none"/>
                <w:lang w:val="en-US" w:eastAsia="zh-CN"/>
              </w:rPr>
              <m:t>C</m:t>
            </m:r>
            <m:ctrlPr>
              <w:rPr>
                <w:rFonts w:hint="default" w:ascii="Cambria Math" w:hAnsi="Cambria Math" w:cs="宋体"/>
                <w:i/>
                <w:spacing w:val="-23"/>
                <w:highlight w:val="none"/>
                <w:lang w:val="en-US" w:eastAsia="zh-CN"/>
              </w:rPr>
            </m:ctrlPr>
          </m:e>
          <m:sub>
            <m:r>
              <m:rPr/>
              <w:rPr>
                <w:rFonts w:hint="default" w:ascii="Cambria Math" w:hAnsi="Cambria Math" w:cs="宋体"/>
                <w:spacing w:val="-23"/>
                <w:highlight w:val="none"/>
                <w:lang w:val="en-US" w:eastAsia="zh-CN"/>
              </w:rPr>
              <m:t>i</m:t>
            </m:r>
            <m:ctrlPr>
              <w:rPr>
                <w:rFonts w:hint="default" w:ascii="Cambria Math" w:hAnsi="Cambria Math" w:cs="宋体"/>
                <w:i/>
                <w:spacing w:val="-23"/>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各类雨水控制与利用设施对固体悬浮物削减率，单位为%</w:t>
      </w:r>
      <w:r>
        <w:rPr>
          <w:rFonts w:hint="eastAsia" w:hAnsi="宋体" w:cs="宋体"/>
          <w:highlight w:val="none"/>
          <w:lang w:eastAsia="zh-CN"/>
        </w:rPr>
        <w:t>；</w:t>
      </w:r>
    </w:p>
    <w:p w14:paraId="6936A53D">
      <w:pPr>
        <w:pStyle w:val="26"/>
        <w:rPr>
          <w:rFonts w:hint="eastAsia" w:hAnsi="宋体" w:cs="宋体"/>
          <w:highlight w:val="none"/>
        </w:rPr>
      </w:pPr>
      <m:oMath>
        <m:r>
          <m:rPr/>
          <w:rPr>
            <w:rFonts w:hint="default" w:ascii="Cambria Math" w:hAnsi="Cambria Math" w:cs="宋体"/>
            <w:highlight w:val="none"/>
            <w:lang w:val="en-US" w:eastAsia="zh-CN"/>
          </w:rPr>
          <m:t>S</m:t>
        </m:r>
      </m:oMath>
      <w:r>
        <w:rPr>
          <w:rFonts w:hint="eastAsia" w:hAnsi="宋体" w:cs="宋体"/>
          <w:highlight w:val="none"/>
        </w:rPr>
        <w:t>——各类雨水控制与利用设施汇水面积之</w:t>
      </w:r>
      <w:r>
        <w:rPr>
          <w:rFonts w:hint="eastAsia" w:hAnsi="宋体" w:cs="宋体"/>
          <w:highlight w:val="none"/>
          <w:lang w:eastAsia="zh-CN"/>
        </w:rPr>
        <w:t>，</w:t>
      </w:r>
      <w:r>
        <w:rPr>
          <w:rFonts w:hint="eastAsia" w:hAnsi="宋体" w:cs="宋体"/>
          <w:highlight w:val="none"/>
          <w:lang w:val="en-US" w:eastAsia="zh-CN"/>
        </w:rPr>
        <w:t>单位为平方米</w:t>
      </w:r>
      <w:r>
        <w:rPr>
          <w:rFonts w:hint="eastAsia" w:hAnsi="宋体" w:cs="宋体"/>
          <w:highlight w:val="none"/>
        </w:rPr>
        <w:t>（m</w:t>
      </w:r>
      <w:r>
        <w:rPr>
          <w:rFonts w:hint="eastAsia" w:hAnsi="宋体" w:cs="宋体"/>
          <w:highlight w:val="none"/>
          <w:vertAlign w:val="superscript"/>
        </w:rPr>
        <w:t>2</w:t>
      </w:r>
      <w:r>
        <w:rPr>
          <w:rFonts w:hint="eastAsia" w:hAnsi="宋体" w:cs="宋体"/>
          <w:highlight w:val="none"/>
        </w:rPr>
        <w:t>）；</w:t>
      </w:r>
    </w:p>
    <w:p w14:paraId="39C0C08A">
      <w:pPr>
        <w:pStyle w:val="26"/>
        <w:keepNext w:val="0"/>
        <w:keepLines w:val="0"/>
        <w:pageBreakBefore w:val="0"/>
        <w:widowControl/>
        <w:kinsoku/>
        <w:wordWrap/>
        <w:overflowPunct/>
        <w:topLinePunct w:val="0"/>
        <w:autoSpaceDE w:val="0"/>
        <w:autoSpaceDN w:val="0"/>
        <w:bidi w:val="0"/>
        <w:adjustRightInd/>
        <w:snapToGrid/>
        <w:ind w:firstLine="410" w:firstLineChars="250"/>
        <w:textAlignment w:val="auto"/>
        <w:rPr>
          <w:rFonts w:hint="eastAsia" w:hAnsi="宋体" w:cs="宋体"/>
          <w:highlight w:val="none"/>
          <w:lang w:eastAsia="zh-CN"/>
        </w:rPr>
      </w:pPr>
      <m:oMath>
        <m:sSub>
          <m:sSubPr>
            <m:ctrlPr>
              <w:rPr>
                <w:rFonts w:ascii="Cambria Math" w:hAnsi="Cambria Math" w:cs="宋体"/>
                <w:i/>
                <w:spacing w:val="-23"/>
                <w:highlight w:val="none"/>
                <w:lang w:val="en-US"/>
              </w:rPr>
            </m:ctrlPr>
          </m:sSubPr>
          <m:e>
            <m:r>
              <m:rPr/>
              <w:rPr>
                <w:rFonts w:hint="default" w:ascii="Cambria Math" w:hAnsi="Cambria Math" w:cs="宋体"/>
                <w:spacing w:val="-23"/>
                <w:highlight w:val="none"/>
                <w:lang w:val="en-US" w:eastAsia="zh-CN"/>
              </w:rPr>
              <m:t>S</m:t>
            </m:r>
            <m:ctrlPr>
              <w:rPr>
                <w:rFonts w:ascii="Cambria Math" w:hAnsi="Cambria Math" w:cs="宋体"/>
                <w:i/>
                <w:spacing w:val="-23"/>
                <w:highlight w:val="none"/>
                <w:lang w:val="en-US"/>
              </w:rPr>
            </m:ctrlPr>
          </m:e>
          <m:sub>
            <m:r>
              <m:rPr/>
              <w:rPr>
                <w:rFonts w:hint="default" w:ascii="Cambria Math" w:hAnsi="Cambria Math" w:cs="宋体"/>
                <w:spacing w:val="-23"/>
                <w:highlight w:val="none"/>
                <w:lang w:val="en-US" w:eastAsia="zh-CN"/>
              </w:rPr>
              <m:t>i</m:t>
            </m:r>
            <m:ctrlPr>
              <w:rPr>
                <w:rFonts w:ascii="Cambria Math" w:hAnsi="Cambria Math" w:cs="宋体"/>
                <w:i/>
                <w:spacing w:val="-23"/>
                <w:highlight w:val="none"/>
                <w:lang w:val="en-US"/>
              </w:rPr>
            </m:ctrlPr>
          </m:sub>
        </m:sSub>
      </m:oMath>
      <w:r>
        <w:rPr>
          <w:rFonts w:hint="eastAsia" w:hAnsi="宋体" w:cs="宋体"/>
          <w:highlight w:val="none"/>
          <w:lang w:eastAsia="zh-CN"/>
        </w:rPr>
        <w:t>——</w:t>
      </w:r>
      <w:r>
        <w:rPr>
          <w:rFonts w:hint="eastAsia" w:hAnsi="宋体" w:cs="宋体"/>
          <w:highlight w:val="none"/>
        </w:rPr>
        <w:t>单体设施汇水面积</w:t>
      </w:r>
      <w:r>
        <w:rPr>
          <w:rFonts w:hint="eastAsia" w:hAnsi="宋体" w:cs="宋体"/>
          <w:highlight w:val="none"/>
          <w:lang w:eastAsia="zh-CN"/>
        </w:rPr>
        <w:t>，</w:t>
      </w:r>
      <w:r>
        <w:rPr>
          <w:rFonts w:hint="eastAsia" w:hAnsi="宋体" w:cs="宋体"/>
          <w:highlight w:val="none"/>
          <w:lang w:val="en-US" w:eastAsia="zh-CN"/>
        </w:rPr>
        <w:t>单位为平方米</w:t>
      </w:r>
      <w:r>
        <w:rPr>
          <w:rFonts w:hint="eastAsia" w:hAnsi="宋体" w:cs="宋体"/>
          <w:highlight w:val="none"/>
        </w:rPr>
        <w:t>（m</w:t>
      </w:r>
      <w:r>
        <w:rPr>
          <w:rFonts w:hint="eastAsia" w:hAnsi="宋体" w:cs="宋体"/>
          <w:highlight w:val="none"/>
          <w:vertAlign w:val="superscript"/>
        </w:rPr>
        <w:t>2</w:t>
      </w:r>
      <w:r>
        <w:rPr>
          <w:rFonts w:hint="eastAsia" w:hAnsi="宋体" w:cs="宋体"/>
          <w:highlight w:val="none"/>
        </w:rPr>
        <w:t>）</w:t>
      </w:r>
      <w:r>
        <w:rPr>
          <w:rFonts w:hint="eastAsia" w:hAnsi="宋体" w:cs="宋体"/>
          <w:highlight w:val="none"/>
          <w:lang w:eastAsia="zh-CN"/>
        </w:rPr>
        <w:t>。</w:t>
      </w:r>
    </w:p>
    <w:p w14:paraId="39EAC3BC">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 xml:space="preserve">表B.1  </w:t>
      </w:r>
      <w:r>
        <w:rPr>
          <w:rFonts w:hint="eastAsia" w:hAnsi="宋体" w:cs="黑体"/>
          <w:kern w:val="2"/>
          <w:szCs w:val="21"/>
          <w:highlight w:val="none"/>
          <w:lang w:bidi="ar"/>
        </w:rPr>
        <w:t>单体设施年径流污染总量削减率</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029"/>
        <w:gridCol w:w="2597"/>
        <w:gridCol w:w="2270"/>
        <w:gridCol w:w="2663"/>
      </w:tblGrid>
      <w:tr w14:paraId="4B5AF5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tcBorders>
              <w:bottom w:val="single" w:color="auto" w:sz="12" w:space="0"/>
            </w:tcBorders>
            <w:shd w:val="clear" w:color="auto" w:fill="auto"/>
          </w:tcPr>
          <w:p w14:paraId="2929F35D">
            <w:pPr>
              <w:keepNext w:val="0"/>
              <w:keepLines w:val="0"/>
              <w:suppressLineNumbers w:val="0"/>
              <w:autoSpaceDE w:val="0"/>
              <w:autoSpaceDN w:val="0"/>
              <w:spacing w:before="0" w:beforeAutospacing="0" w:after="0" w:afterAutospacing="0"/>
              <w:ind w:left="0" w:right="0"/>
              <w:jc w:val="center"/>
              <w:rPr>
                <w:rFonts w:hint="eastAsia" w:ascii="宋体" w:eastAsia="宋体"/>
                <w:b/>
                <w:bCs/>
                <w:sz w:val="18"/>
                <w:szCs w:val="18"/>
                <w:highlight w:val="none"/>
                <w:lang w:eastAsia="zh-CN"/>
              </w:rPr>
            </w:pPr>
            <w:r>
              <w:rPr>
                <w:rFonts w:hint="eastAsia" w:ascii="宋体" w:hAnsi="宋体" w:cs="宋体"/>
                <w:b/>
                <w:bCs/>
                <w:sz w:val="18"/>
                <w:szCs w:val="18"/>
                <w:highlight w:val="none"/>
                <w:lang w:val="en-US" w:eastAsia="zh-CN" w:bidi="ar"/>
              </w:rPr>
              <w:t>设施</w:t>
            </w:r>
          </w:p>
        </w:tc>
        <w:tc>
          <w:tcPr>
            <w:tcW w:w="1358" w:type="pct"/>
            <w:tcBorders>
              <w:bottom w:val="single" w:color="auto" w:sz="12" w:space="0"/>
            </w:tcBorders>
            <w:shd w:val="clear" w:color="auto" w:fill="auto"/>
          </w:tcPr>
          <w:p w14:paraId="035C8ACD">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径流污染总量削减率（%）</w:t>
            </w:r>
          </w:p>
        </w:tc>
        <w:tc>
          <w:tcPr>
            <w:tcW w:w="1187" w:type="pct"/>
            <w:tcBorders>
              <w:bottom w:val="single" w:color="auto" w:sz="12" w:space="0"/>
            </w:tcBorders>
            <w:shd w:val="clear" w:color="auto" w:fill="auto"/>
          </w:tcPr>
          <w:p w14:paraId="7A70D74D">
            <w:pPr>
              <w:keepNext w:val="0"/>
              <w:keepLines w:val="0"/>
              <w:suppressLineNumbers w:val="0"/>
              <w:autoSpaceDE w:val="0"/>
              <w:autoSpaceDN w:val="0"/>
              <w:spacing w:before="0" w:beforeAutospacing="0" w:after="0" w:afterAutospacing="0"/>
              <w:ind w:left="0" w:right="0"/>
              <w:jc w:val="center"/>
              <w:rPr>
                <w:rFonts w:hint="eastAsia" w:ascii="宋体" w:eastAsia="宋体"/>
                <w:b/>
                <w:bCs/>
                <w:sz w:val="18"/>
                <w:szCs w:val="18"/>
                <w:highlight w:val="none"/>
                <w:lang w:eastAsia="zh-CN"/>
              </w:rPr>
            </w:pPr>
            <w:r>
              <w:rPr>
                <w:rFonts w:hint="eastAsia" w:ascii="宋体" w:hAnsi="宋体" w:cs="宋体"/>
                <w:b/>
                <w:bCs/>
                <w:sz w:val="18"/>
                <w:szCs w:val="18"/>
                <w:highlight w:val="none"/>
                <w:lang w:val="en-US" w:eastAsia="zh-CN" w:bidi="ar"/>
              </w:rPr>
              <w:t>设施</w:t>
            </w:r>
          </w:p>
        </w:tc>
        <w:tc>
          <w:tcPr>
            <w:tcW w:w="1392" w:type="pct"/>
            <w:tcBorders>
              <w:bottom w:val="single" w:color="auto" w:sz="12" w:space="0"/>
            </w:tcBorders>
            <w:shd w:val="clear" w:color="auto" w:fill="auto"/>
          </w:tcPr>
          <w:p w14:paraId="64F3BEC4">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径流污染总量削减率（%）</w:t>
            </w:r>
          </w:p>
        </w:tc>
      </w:tr>
      <w:tr w14:paraId="319CF0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tcBorders>
              <w:top w:val="single" w:color="auto" w:sz="12" w:space="0"/>
              <w:bottom w:val="single" w:color="auto" w:sz="4" w:space="0"/>
            </w:tcBorders>
            <w:shd w:val="clear" w:color="auto" w:fill="auto"/>
            <w:vAlign w:val="center"/>
          </w:tcPr>
          <w:p w14:paraId="264E2B8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bidi="ar"/>
              </w:rPr>
              <w:t>透水铺装</w:t>
            </w:r>
          </w:p>
        </w:tc>
        <w:tc>
          <w:tcPr>
            <w:tcW w:w="1358" w:type="pct"/>
            <w:tcBorders>
              <w:top w:val="single" w:color="auto" w:sz="12" w:space="0"/>
              <w:bottom w:val="single" w:color="auto" w:sz="4" w:space="0"/>
            </w:tcBorders>
            <w:shd w:val="clear" w:color="auto" w:fill="auto"/>
            <w:vAlign w:val="center"/>
          </w:tcPr>
          <w:p w14:paraId="3FB2B95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80-90</w:t>
            </w:r>
          </w:p>
        </w:tc>
        <w:tc>
          <w:tcPr>
            <w:tcW w:w="1187" w:type="pct"/>
            <w:tcBorders>
              <w:top w:val="single" w:color="auto" w:sz="12" w:space="0"/>
              <w:bottom w:val="single" w:color="auto" w:sz="4" w:space="0"/>
            </w:tcBorders>
            <w:shd w:val="clear" w:color="auto" w:fill="auto"/>
            <w:vAlign w:val="center"/>
          </w:tcPr>
          <w:p w14:paraId="0A4DA042">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default" w:ascii="宋体" w:hAnsi="宋体" w:cs="宋体"/>
                <w:sz w:val="18"/>
                <w:szCs w:val="18"/>
                <w:highlight w:val="none"/>
              </w:rPr>
              <w:t>蓄水池</w:t>
            </w:r>
          </w:p>
        </w:tc>
        <w:tc>
          <w:tcPr>
            <w:tcW w:w="1392" w:type="pct"/>
            <w:tcBorders>
              <w:top w:val="single" w:color="auto" w:sz="12" w:space="0"/>
              <w:bottom w:val="single" w:color="auto" w:sz="4" w:space="0"/>
            </w:tcBorders>
            <w:shd w:val="clear" w:color="auto" w:fill="auto"/>
            <w:vAlign w:val="center"/>
          </w:tcPr>
          <w:p w14:paraId="4156E90D">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80-90</w:t>
            </w:r>
          </w:p>
        </w:tc>
      </w:tr>
      <w:tr w14:paraId="07EEA8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tcBorders>
              <w:top w:val="single" w:color="auto" w:sz="4" w:space="0"/>
              <w:bottom w:val="single" w:color="auto" w:sz="4" w:space="0"/>
            </w:tcBorders>
            <w:shd w:val="clear" w:color="auto" w:fill="auto"/>
            <w:vAlign w:val="center"/>
          </w:tcPr>
          <w:p w14:paraId="2688BA8B">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r>
              <w:rPr>
                <w:rFonts w:hint="eastAsia" w:ascii="宋体" w:hAnsi="宋体" w:cs="宋体"/>
                <w:sz w:val="18"/>
                <w:szCs w:val="18"/>
                <w:highlight w:val="none"/>
                <w:lang w:bidi="ar"/>
              </w:rPr>
              <w:t>绿色屋顶</w:t>
            </w:r>
          </w:p>
        </w:tc>
        <w:tc>
          <w:tcPr>
            <w:tcW w:w="1358" w:type="pct"/>
            <w:tcBorders>
              <w:top w:val="single" w:color="auto" w:sz="4" w:space="0"/>
              <w:bottom w:val="single" w:color="auto" w:sz="4" w:space="0"/>
            </w:tcBorders>
            <w:shd w:val="clear" w:color="auto" w:fill="auto"/>
            <w:vAlign w:val="center"/>
          </w:tcPr>
          <w:p w14:paraId="4CE8C7D4">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70-80</w:t>
            </w:r>
          </w:p>
        </w:tc>
        <w:tc>
          <w:tcPr>
            <w:tcW w:w="1187" w:type="pct"/>
            <w:tcBorders>
              <w:top w:val="single" w:color="auto" w:sz="4" w:space="0"/>
              <w:bottom w:val="single" w:color="auto" w:sz="4" w:space="0"/>
            </w:tcBorders>
            <w:shd w:val="clear" w:color="auto" w:fill="auto"/>
            <w:vAlign w:val="center"/>
          </w:tcPr>
          <w:p w14:paraId="50B9080D">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default" w:ascii="宋体" w:hAnsi="宋体" w:cs="宋体"/>
                <w:sz w:val="18"/>
                <w:szCs w:val="18"/>
                <w:highlight w:val="none"/>
              </w:rPr>
              <w:t>雨水罐</w:t>
            </w:r>
          </w:p>
        </w:tc>
        <w:tc>
          <w:tcPr>
            <w:tcW w:w="1392" w:type="pct"/>
            <w:tcBorders>
              <w:top w:val="single" w:color="auto" w:sz="4" w:space="0"/>
              <w:bottom w:val="single" w:color="auto" w:sz="4" w:space="0"/>
            </w:tcBorders>
            <w:shd w:val="clear" w:color="auto" w:fill="auto"/>
            <w:vAlign w:val="center"/>
          </w:tcPr>
          <w:p w14:paraId="40CE0589">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80-90</w:t>
            </w:r>
          </w:p>
        </w:tc>
      </w:tr>
      <w:tr w14:paraId="31E793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tcBorders>
              <w:top w:val="single" w:color="auto" w:sz="4" w:space="0"/>
              <w:bottom w:val="single" w:color="auto" w:sz="4" w:space="0"/>
            </w:tcBorders>
            <w:shd w:val="clear" w:color="auto" w:fill="auto"/>
            <w:vAlign w:val="center"/>
          </w:tcPr>
          <w:p w14:paraId="0E32B2FF">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r>
              <w:rPr>
                <w:rFonts w:hint="eastAsia" w:ascii="宋体" w:hAnsi="宋体" w:cs="宋体"/>
                <w:sz w:val="18"/>
                <w:szCs w:val="18"/>
                <w:highlight w:val="none"/>
                <w:lang w:bidi="ar"/>
              </w:rPr>
              <w:t>生物滞留设施</w:t>
            </w:r>
          </w:p>
        </w:tc>
        <w:tc>
          <w:tcPr>
            <w:tcW w:w="1358" w:type="pct"/>
            <w:tcBorders>
              <w:top w:val="single" w:color="auto" w:sz="4" w:space="0"/>
              <w:bottom w:val="single" w:color="auto" w:sz="4" w:space="0"/>
            </w:tcBorders>
            <w:shd w:val="clear" w:color="auto" w:fill="auto"/>
            <w:vAlign w:val="center"/>
          </w:tcPr>
          <w:p w14:paraId="01CC812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70-95</w:t>
            </w:r>
          </w:p>
        </w:tc>
        <w:tc>
          <w:tcPr>
            <w:tcW w:w="1187" w:type="pct"/>
            <w:tcBorders>
              <w:top w:val="single" w:color="auto" w:sz="4" w:space="0"/>
              <w:bottom w:val="single" w:color="auto" w:sz="4" w:space="0"/>
            </w:tcBorders>
            <w:shd w:val="clear" w:color="auto" w:fill="auto"/>
            <w:vAlign w:val="center"/>
          </w:tcPr>
          <w:p w14:paraId="15441D32">
            <w:pPr>
              <w:keepNext w:val="0"/>
              <w:keepLines w:val="0"/>
              <w:suppressLineNumbers w:val="0"/>
              <w:autoSpaceDE w:val="0"/>
              <w:autoSpaceDN w:val="0"/>
              <w:spacing w:before="0" w:beforeAutospacing="0" w:after="0" w:afterAutospacing="0"/>
              <w:ind w:left="0" w:right="0"/>
              <w:jc w:val="center"/>
              <w:rPr>
                <w:rFonts w:hint="eastAsia" w:ascii="宋体" w:hAnsi="宋体" w:cs="宋体"/>
                <w:kern w:val="2"/>
                <w:sz w:val="18"/>
                <w:szCs w:val="18"/>
                <w:highlight w:val="none"/>
                <w:lang w:val="en-US" w:eastAsia="zh-CN" w:bidi="ar-SA"/>
              </w:rPr>
            </w:pPr>
            <w:r>
              <w:rPr>
                <w:rFonts w:hint="eastAsia" w:ascii="宋体" w:hAnsi="宋体" w:cs="宋体"/>
                <w:sz w:val="18"/>
                <w:szCs w:val="18"/>
                <w:highlight w:val="none"/>
              </w:rPr>
              <w:t>植草沟</w:t>
            </w:r>
          </w:p>
        </w:tc>
        <w:tc>
          <w:tcPr>
            <w:tcW w:w="1392" w:type="pct"/>
            <w:tcBorders>
              <w:top w:val="single" w:color="auto" w:sz="4" w:space="0"/>
              <w:bottom w:val="single" w:color="auto" w:sz="4" w:space="0"/>
            </w:tcBorders>
            <w:shd w:val="clear" w:color="auto" w:fill="auto"/>
            <w:vAlign w:val="center"/>
          </w:tcPr>
          <w:p w14:paraId="71B3EEDB">
            <w:pPr>
              <w:keepNext w:val="0"/>
              <w:keepLines w:val="0"/>
              <w:suppressLineNumbers w:val="0"/>
              <w:autoSpaceDE w:val="0"/>
              <w:autoSpaceDN w:val="0"/>
              <w:spacing w:before="0" w:beforeAutospacing="0" w:after="0" w:afterAutospacing="0"/>
              <w:ind w:left="0" w:right="0"/>
              <w:jc w:val="center"/>
              <w:rPr>
                <w:rFonts w:hint="default"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35-90</w:t>
            </w:r>
          </w:p>
        </w:tc>
      </w:tr>
      <w:tr w14:paraId="134F1E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tcBorders>
              <w:top w:val="single" w:color="auto" w:sz="4" w:space="0"/>
              <w:bottom w:val="single" w:color="auto" w:sz="4" w:space="0"/>
            </w:tcBorders>
            <w:shd w:val="clear" w:color="auto" w:fill="auto"/>
            <w:vAlign w:val="center"/>
          </w:tcPr>
          <w:p w14:paraId="393EC77B">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r>
              <w:rPr>
                <w:rFonts w:hint="eastAsia" w:ascii="宋体" w:hAnsi="宋体" w:cs="宋体"/>
                <w:sz w:val="18"/>
                <w:szCs w:val="18"/>
                <w:highlight w:val="none"/>
                <w:lang w:bidi="ar"/>
              </w:rPr>
              <w:t>湿塘</w:t>
            </w:r>
          </w:p>
        </w:tc>
        <w:tc>
          <w:tcPr>
            <w:tcW w:w="1358" w:type="pct"/>
            <w:tcBorders>
              <w:top w:val="single" w:color="auto" w:sz="4" w:space="0"/>
              <w:bottom w:val="single" w:color="auto" w:sz="4" w:space="0"/>
            </w:tcBorders>
            <w:shd w:val="clear" w:color="auto" w:fill="auto"/>
            <w:vAlign w:val="center"/>
          </w:tcPr>
          <w:p w14:paraId="61C156D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50-80</w:t>
            </w:r>
          </w:p>
        </w:tc>
        <w:tc>
          <w:tcPr>
            <w:tcW w:w="1187" w:type="pct"/>
            <w:tcBorders>
              <w:top w:val="single" w:color="auto" w:sz="4" w:space="0"/>
              <w:bottom w:val="single" w:color="auto" w:sz="4" w:space="0"/>
            </w:tcBorders>
            <w:shd w:val="clear" w:color="auto" w:fill="auto"/>
            <w:vAlign w:val="center"/>
          </w:tcPr>
          <w:p w14:paraId="3E706023">
            <w:pPr>
              <w:keepNext w:val="0"/>
              <w:keepLines w:val="0"/>
              <w:suppressLineNumbers w:val="0"/>
              <w:autoSpaceDE w:val="0"/>
              <w:autoSpaceDN w:val="0"/>
              <w:spacing w:before="0" w:beforeAutospacing="0" w:after="0" w:afterAutospacing="0"/>
              <w:ind w:left="0" w:right="0"/>
              <w:jc w:val="center"/>
              <w:rPr>
                <w:rFonts w:hint="eastAsia" w:ascii="宋体" w:hAnsi="宋体" w:cs="宋体"/>
                <w:kern w:val="2"/>
                <w:sz w:val="18"/>
                <w:szCs w:val="18"/>
                <w:highlight w:val="none"/>
                <w:lang w:val="en-US" w:eastAsia="zh-CN" w:bidi="ar-SA"/>
              </w:rPr>
            </w:pPr>
            <w:r>
              <w:rPr>
                <w:rFonts w:hint="eastAsia" w:ascii="宋体" w:hAnsi="宋体" w:cs="宋体"/>
                <w:sz w:val="18"/>
                <w:szCs w:val="18"/>
                <w:highlight w:val="none"/>
              </w:rPr>
              <w:t>渗透管渠</w:t>
            </w:r>
          </w:p>
        </w:tc>
        <w:tc>
          <w:tcPr>
            <w:tcW w:w="1392" w:type="pct"/>
            <w:tcBorders>
              <w:top w:val="single" w:color="auto" w:sz="4" w:space="0"/>
              <w:bottom w:val="single" w:color="auto" w:sz="4" w:space="0"/>
            </w:tcBorders>
            <w:shd w:val="clear" w:color="auto" w:fill="auto"/>
            <w:vAlign w:val="center"/>
          </w:tcPr>
          <w:p w14:paraId="7F649A5C">
            <w:pPr>
              <w:keepNext w:val="0"/>
              <w:keepLines w:val="0"/>
              <w:suppressLineNumbers w:val="0"/>
              <w:autoSpaceDE w:val="0"/>
              <w:autoSpaceDN w:val="0"/>
              <w:spacing w:before="0" w:beforeAutospacing="0" w:after="0" w:afterAutospacing="0"/>
              <w:ind w:left="0" w:right="0"/>
              <w:jc w:val="center"/>
              <w:rPr>
                <w:rFonts w:hint="default"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35-70</w:t>
            </w:r>
          </w:p>
        </w:tc>
      </w:tr>
      <w:tr w14:paraId="3C0EE3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tcBorders>
              <w:top w:val="single" w:color="auto" w:sz="4" w:space="0"/>
              <w:bottom w:val="single" w:color="auto" w:sz="12" w:space="0"/>
            </w:tcBorders>
            <w:shd w:val="clear" w:color="auto" w:fill="auto"/>
            <w:vAlign w:val="center"/>
          </w:tcPr>
          <w:p w14:paraId="5BBF7AB7">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r>
              <w:rPr>
                <w:rFonts w:hint="eastAsia" w:ascii="宋体" w:hAnsi="宋体" w:cs="宋体"/>
                <w:sz w:val="18"/>
                <w:szCs w:val="18"/>
                <w:highlight w:val="none"/>
                <w:lang w:bidi="ar"/>
              </w:rPr>
              <w:t>初期雨水弃流设施</w:t>
            </w:r>
          </w:p>
        </w:tc>
        <w:tc>
          <w:tcPr>
            <w:tcW w:w="1358" w:type="pct"/>
            <w:tcBorders>
              <w:top w:val="single" w:color="auto" w:sz="4" w:space="0"/>
              <w:bottom w:val="single" w:color="auto" w:sz="12" w:space="0"/>
            </w:tcBorders>
            <w:shd w:val="clear" w:color="auto" w:fill="auto"/>
            <w:vAlign w:val="center"/>
          </w:tcPr>
          <w:p w14:paraId="0FF05D3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40-60</w:t>
            </w:r>
          </w:p>
        </w:tc>
        <w:tc>
          <w:tcPr>
            <w:tcW w:w="1187" w:type="pct"/>
            <w:tcBorders>
              <w:top w:val="single" w:color="auto" w:sz="4" w:space="0"/>
              <w:bottom w:val="single" w:color="auto" w:sz="12" w:space="0"/>
            </w:tcBorders>
            <w:shd w:val="clear" w:color="auto" w:fill="auto"/>
            <w:vAlign w:val="center"/>
          </w:tcPr>
          <w:p w14:paraId="7A0773EC">
            <w:pPr>
              <w:keepNext w:val="0"/>
              <w:keepLines w:val="0"/>
              <w:suppressLineNumbers w:val="0"/>
              <w:autoSpaceDE w:val="0"/>
              <w:autoSpaceDN w:val="0"/>
              <w:spacing w:before="0" w:beforeAutospacing="0" w:after="0" w:afterAutospacing="0"/>
              <w:ind w:left="0" w:right="0"/>
              <w:jc w:val="center"/>
              <w:rPr>
                <w:rFonts w:hint="eastAsia" w:ascii="宋体" w:hAnsi="宋体" w:cs="宋体"/>
                <w:kern w:val="2"/>
                <w:sz w:val="18"/>
                <w:szCs w:val="18"/>
                <w:highlight w:val="none"/>
                <w:lang w:val="en-US" w:eastAsia="zh-CN" w:bidi="ar-SA"/>
              </w:rPr>
            </w:pPr>
            <w:r>
              <w:rPr>
                <w:rFonts w:hint="eastAsia" w:ascii="宋体" w:hAnsi="宋体" w:cs="宋体"/>
                <w:sz w:val="18"/>
                <w:szCs w:val="18"/>
                <w:highlight w:val="none"/>
              </w:rPr>
              <w:t>植被缓冲带</w:t>
            </w:r>
          </w:p>
        </w:tc>
        <w:tc>
          <w:tcPr>
            <w:tcW w:w="1392" w:type="pct"/>
            <w:tcBorders>
              <w:top w:val="single" w:color="auto" w:sz="4" w:space="0"/>
              <w:bottom w:val="single" w:color="auto" w:sz="12" w:space="0"/>
            </w:tcBorders>
            <w:shd w:val="clear" w:color="auto" w:fill="auto"/>
            <w:vAlign w:val="center"/>
          </w:tcPr>
          <w:p w14:paraId="78500667">
            <w:pPr>
              <w:keepNext w:val="0"/>
              <w:keepLines w:val="0"/>
              <w:suppressLineNumbers w:val="0"/>
              <w:autoSpaceDE w:val="0"/>
              <w:autoSpaceDN w:val="0"/>
              <w:spacing w:before="0" w:beforeAutospacing="0" w:after="0" w:afterAutospacing="0"/>
              <w:ind w:left="0" w:right="0"/>
              <w:jc w:val="center"/>
              <w:rPr>
                <w:rFonts w:hint="default"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50-75</w:t>
            </w:r>
          </w:p>
        </w:tc>
      </w:tr>
    </w:tbl>
    <w:p w14:paraId="17C08458">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bookmarkStart w:id="125" w:name="_Toc7025"/>
      <w:bookmarkStart w:id="126" w:name="_Toc9779"/>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5</w:t>
      </w:r>
      <w:r>
        <w:rPr>
          <w:rFonts w:hint="eastAsia" w:ascii="黑体"/>
          <w:highlight w:val="none"/>
          <w:lang w:val="en-US" w:eastAsia="zh-CN"/>
        </w:rPr>
        <w:t xml:space="preserve">  </w:t>
      </w:r>
      <w:bookmarkEnd w:id="125"/>
      <w:bookmarkEnd w:id="126"/>
      <w:r>
        <w:rPr>
          <w:rFonts w:hint="eastAsia"/>
          <w:highlight w:val="none"/>
          <w:lang w:val="en-US" w:eastAsia="zh-CN"/>
        </w:rPr>
        <w:t>年径流总量控制率</w:t>
      </w:r>
    </w:p>
    <w:p w14:paraId="2CA3C83F">
      <w:pPr>
        <w:pStyle w:val="26"/>
        <w:rPr>
          <w:rFonts w:hAnsi="宋体" w:cs="宋体"/>
          <w:highlight w:val="none"/>
        </w:rPr>
      </w:pPr>
      <w:r>
        <w:rPr>
          <w:rFonts w:hint="eastAsia" w:hAnsi="宋体" w:cs="宋体"/>
          <w:highlight w:val="none"/>
          <w:lang w:val="en-US" w:eastAsia="zh-CN"/>
        </w:rPr>
        <w:t>通过自然和人工强化的渗透、集蓄、利用、蒸发、蒸腾等方式，场地内（海绵城市设施等项目）累计全年得到控制的雨量占全年总降雨量的比例</w:t>
      </w:r>
      <w:r>
        <w:rPr>
          <w:rFonts w:hint="eastAsia" w:hAnsi="宋体" w:cs="宋体"/>
          <w:highlight w:val="none"/>
        </w:rPr>
        <w:t>。计算公式</w:t>
      </w:r>
      <w:r>
        <w:rPr>
          <w:rFonts w:hint="eastAsia" w:hAnsi="宋体" w:cs="宋体"/>
          <w:highlight w:val="none"/>
          <w:lang w:val="en-US" w:eastAsia="zh-CN"/>
        </w:rPr>
        <w:t>见公式（B.5）。</w:t>
      </w:r>
    </w:p>
    <w:p w14:paraId="1E2782A4">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ascii="Cambria Math" w:hAnsi="Cambria Math" w:cs="宋体"/>
            <w:sz w:val="21"/>
            <w:highlight w:val="none"/>
            <w:lang w:val="en-US" w:bidi="ar-SA"/>
          </w:rPr>
          <m:t>α</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r>
          <m:rPr/>
          <w:rPr>
            <w:rFonts w:ascii="Cambria Math" w:hAnsi="Cambria Math" w:cs="宋体"/>
            <w:sz w:val="21"/>
            <w:highlight w:val="none"/>
            <w:lang w:val="en-US" w:bidi="ar-SA"/>
          </w:rPr>
          <m:t>−</m:t>
        </m:r>
        <m:f>
          <m:fPr>
            <m:ctrlPr>
              <w:rPr>
                <w:rFonts w:hint="eastAsia" w:ascii="Cambria Math" w:hAnsi="Cambria Math" w:cs="宋体"/>
                <w:i/>
                <w:sz w:val="21"/>
                <w:highlight w:val="none"/>
                <w:lang w:val="en-US" w:eastAsia="zh-CN" w:bidi="ar-SA"/>
              </w:rPr>
            </m:ctrlPr>
          </m:fPr>
          <m:num>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V</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a</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num>
          <m:den>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V</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b</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den>
        </m:f>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（B.5）</w:t>
      </w:r>
    </w:p>
    <w:p w14:paraId="3EE32A03">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071BBBEA">
      <w:pPr>
        <w:pStyle w:val="132"/>
        <w:ind w:firstLine="420" w:firstLineChars="200"/>
        <w:rPr>
          <w:rFonts w:hint="eastAsia" w:hAnsi="宋体" w:cs="宋体"/>
          <w:highlight w:val="none"/>
        </w:rPr>
      </w:pPr>
      <m:oMath>
        <m:r>
          <m:rPr/>
          <w:rPr>
            <w:rFonts w:ascii="Cambria Math" w:hAnsi="Cambria Math" w:cs="宋体"/>
            <w:sz w:val="21"/>
            <w:highlight w:val="none"/>
            <w:lang w:val="en-US" w:bidi="ar-SA"/>
          </w:rPr>
          <m:t>α</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年径流总量控制率，单位为%</w:t>
      </w:r>
      <w:r>
        <w:rPr>
          <w:rFonts w:hint="eastAsia" w:hAnsi="宋体" w:cs="宋体"/>
          <w:highlight w:val="none"/>
        </w:rPr>
        <w:t>；</w:t>
      </w:r>
    </w:p>
    <w:p w14:paraId="56D4B638">
      <w:pPr>
        <w:pStyle w:val="132"/>
        <w:ind w:firstLine="420" w:firstLineChars="200"/>
        <w:rPr>
          <w:rFonts w:hint="eastAsia" w:hAnsi="宋体" w:cs="宋体"/>
          <w:highlight w:val="none"/>
          <w:lang w:val="en-US" w:eastAsia="zh-CN"/>
        </w:rPr>
      </w:pPr>
      <m:oMath>
        <m:sSub>
          <m:sSubPr>
            <m:ctrlPr>
              <w:rPr>
                <w:rFonts w:hint="eastAsia" w:ascii="Cambria Math" w:hAnsi="Cambria Math" w:cs="宋体"/>
                <w:i w:val="0"/>
                <w:iCs/>
                <w:highlight w:val="none"/>
                <w:lang w:val="en-US" w:eastAsia="zh-CN"/>
              </w:rPr>
            </m:ctrlPr>
          </m:sSubPr>
          <m:e>
            <m:r>
              <m:rPr>
                <m:sty m:val="p"/>
              </m:rPr>
              <w:rPr>
                <w:rFonts w:hint="default" w:ascii="Cambria Math" w:hAnsi="Cambria Math" w:cs="宋体"/>
                <w:highlight w:val="none"/>
                <w:lang w:val="en-US" w:eastAsia="zh-CN"/>
              </w:rPr>
              <m:t>V</m:t>
            </m:r>
            <m:ctrlPr>
              <w:rPr>
                <w:rFonts w:hint="eastAsia" w:ascii="Cambria Math" w:hAnsi="Cambria Math" w:cs="宋体"/>
                <w:i w:val="0"/>
                <w:iCs/>
                <w:highlight w:val="none"/>
                <w:lang w:val="en-US" w:eastAsia="zh-CN"/>
              </w:rPr>
            </m:ctrlPr>
          </m:e>
          <m:sub>
            <m:r>
              <m:rPr>
                <m:sty m:val="p"/>
              </m:rPr>
              <w:rPr>
                <w:rFonts w:hint="default" w:ascii="Cambria Math" w:hAnsi="Cambria Math" w:cs="宋体"/>
                <w:highlight w:val="none"/>
                <w:lang w:val="en-US" w:eastAsia="zh-CN"/>
              </w:rPr>
              <m:t>a</m:t>
            </m:r>
            <m:ctrlPr>
              <w:rPr>
                <w:rFonts w:hint="eastAsia" w:ascii="Cambria Math" w:hAnsi="Cambria Math" w:cs="宋体"/>
                <w:i w:val="0"/>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全年外排雨量，单位为立方米（m³）；</w:t>
      </w:r>
    </w:p>
    <w:p w14:paraId="10370540">
      <w:pPr>
        <w:pStyle w:val="132"/>
        <w:ind w:firstLine="420" w:firstLineChars="200"/>
        <w:rPr>
          <w:rFonts w:hint="eastAsia" w:hAnsi="Cambria Math" w:cs="宋体"/>
          <w:highlight w:val="none"/>
          <w:lang w:eastAsia="zh-CN"/>
        </w:rPr>
      </w:pPr>
      <m:oMath>
        <m:sSub>
          <m:sSubPr>
            <m:ctrlPr>
              <w:rPr>
                <w:rFonts w:hint="eastAsia" w:ascii="Cambria Math" w:hAnsi="Cambria Math" w:cs="宋体"/>
                <w:i w:val="0"/>
                <w:iCs/>
                <w:highlight w:val="none"/>
                <w:lang w:val="en-US" w:eastAsia="zh-CN"/>
              </w:rPr>
            </m:ctrlPr>
          </m:sSubPr>
          <m:e>
            <m:r>
              <m:rPr>
                <m:sty m:val="p"/>
              </m:rPr>
              <w:rPr>
                <w:rFonts w:hint="default" w:ascii="Cambria Math" w:hAnsi="Cambria Math" w:cs="宋体"/>
                <w:highlight w:val="none"/>
                <w:lang w:val="en-US" w:eastAsia="zh-CN"/>
              </w:rPr>
              <m:t>V</m:t>
            </m:r>
            <m:ctrlPr>
              <w:rPr>
                <w:rFonts w:hint="eastAsia" w:ascii="Cambria Math" w:hAnsi="Cambria Math" w:cs="宋体"/>
                <w:i w:val="0"/>
                <w:iCs/>
                <w:highlight w:val="none"/>
                <w:lang w:val="en-US" w:eastAsia="zh-CN"/>
              </w:rPr>
            </m:ctrlPr>
          </m:e>
          <m:sub>
            <m:r>
              <m:rPr>
                <m:sty m:val="p"/>
              </m:rPr>
              <w:rPr>
                <w:rFonts w:hint="eastAsia" w:ascii="Cambria Math" w:hAnsi="Cambria Math" w:cs="宋体"/>
                <w:highlight w:val="none"/>
                <w:lang w:val="en-US" w:eastAsia="zh-CN"/>
              </w:rPr>
              <m:t>b</m:t>
            </m:r>
            <m:ctrlPr>
              <w:rPr>
                <w:rFonts w:hint="eastAsia" w:ascii="Cambria Math" w:hAnsi="Cambria Math" w:cs="宋体"/>
                <w:i w:val="0"/>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全年总降雨量，单位为立方米（m³）。</w:t>
      </w:r>
    </w:p>
    <w:p w14:paraId="57DB9783">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6</w:t>
      </w:r>
      <w:r>
        <w:rPr>
          <w:rFonts w:hint="eastAsia" w:ascii="黑体"/>
          <w:highlight w:val="none"/>
          <w:lang w:val="en-US" w:eastAsia="zh-CN"/>
        </w:rPr>
        <w:t xml:space="preserve">  </w:t>
      </w:r>
      <w:r>
        <w:rPr>
          <w:rFonts w:hint="eastAsia"/>
          <w:highlight w:val="none"/>
          <w:lang w:val="en-US" w:eastAsia="zh-CN"/>
        </w:rPr>
        <w:t>水环境基础设施量</w:t>
      </w:r>
    </w:p>
    <w:p w14:paraId="11113DD5">
      <w:pPr>
        <w:pStyle w:val="26"/>
        <w:rPr>
          <w:rFonts w:hAnsi="宋体" w:cs="宋体"/>
          <w:highlight w:val="none"/>
        </w:rPr>
      </w:pPr>
      <w:r>
        <w:rPr>
          <w:rFonts w:hint="eastAsia" w:hAnsi="宋体" w:cs="宋体"/>
          <w:highlight w:val="none"/>
          <w:lang w:val="en-US" w:eastAsia="zh-CN"/>
        </w:rPr>
        <w:t>通过对雨水等非常规水资源的循环利用所实现的节水量</w:t>
      </w:r>
      <w:r>
        <w:rPr>
          <w:rFonts w:hint="eastAsia" w:hAnsi="宋体" w:cs="宋体"/>
          <w:highlight w:val="none"/>
        </w:rPr>
        <w:t>。计算公式</w:t>
      </w:r>
      <w:r>
        <w:rPr>
          <w:rFonts w:hint="eastAsia" w:hAnsi="宋体" w:cs="宋体"/>
          <w:highlight w:val="none"/>
          <w:lang w:val="en-US" w:eastAsia="zh-CN"/>
        </w:rPr>
        <w:t>见公式（B.6）。</w:t>
      </w:r>
    </w:p>
    <w:p w14:paraId="2BA427AB">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V</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v</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（B.6）</w:t>
      </w:r>
    </w:p>
    <w:p w14:paraId="71C5D496">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2DA9C69D">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V</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水环境基础设施量</w:t>
      </w:r>
      <w:r>
        <w:rPr>
          <w:rFonts w:hint="eastAsia" w:hAnsi="宋体" w:cs="宋体"/>
          <w:highlight w:val="none"/>
        </w:rPr>
        <w:t>，</w:t>
      </w:r>
      <w:r>
        <w:rPr>
          <w:rFonts w:hint="eastAsia" w:hAnsi="宋体" w:cs="宋体"/>
          <w:highlight w:val="none"/>
          <w:lang w:val="en-US" w:eastAsia="zh-CN"/>
        </w:rPr>
        <w:t>单位为立方米（m³）</w:t>
      </w:r>
      <w:r>
        <w:rPr>
          <w:rFonts w:hint="eastAsia" w:hAnsi="宋体" w:cs="宋体"/>
          <w:highlight w:val="none"/>
        </w:rPr>
        <w:t>；</w:t>
      </w:r>
    </w:p>
    <w:p w14:paraId="3AE04135">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v</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第i类海绵城市设施雨水环境基础设施量，单位为立方米（m³）。</w:t>
      </w:r>
    </w:p>
    <w:p w14:paraId="7FE51162">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7</w:t>
      </w:r>
      <w:r>
        <w:rPr>
          <w:rFonts w:hint="eastAsia" w:ascii="黑体"/>
          <w:highlight w:val="none"/>
          <w:lang w:val="en-US" w:eastAsia="zh-CN"/>
        </w:rPr>
        <w:t xml:space="preserve">  </w:t>
      </w:r>
      <w:r>
        <w:rPr>
          <w:rFonts w:hint="eastAsia"/>
          <w:highlight w:val="none"/>
          <w:lang w:val="en-US" w:eastAsia="zh-CN"/>
        </w:rPr>
        <w:t>节水量</w:t>
      </w:r>
    </w:p>
    <w:p w14:paraId="52259E2C">
      <w:pPr>
        <w:pStyle w:val="26"/>
        <w:rPr>
          <w:rFonts w:hAnsi="宋体" w:cs="宋体"/>
          <w:highlight w:val="none"/>
        </w:rPr>
      </w:pPr>
      <w:r>
        <w:rPr>
          <w:rFonts w:hint="eastAsia" w:hAnsi="宋体" w:cs="宋体"/>
          <w:highlight w:val="none"/>
          <w:lang w:val="en-US" w:eastAsia="zh-CN"/>
        </w:rPr>
        <w:t>通过对供水设施进行改造所实现的节水量</w:t>
      </w:r>
      <w:r>
        <w:rPr>
          <w:rFonts w:hint="eastAsia" w:hAnsi="宋体" w:cs="宋体"/>
          <w:highlight w:val="none"/>
        </w:rPr>
        <w:t>。计算公式</w:t>
      </w:r>
      <w:r>
        <w:rPr>
          <w:rFonts w:hint="eastAsia" w:hAnsi="宋体" w:cs="宋体"/>
          <w:highlight w:val="none"/>
          <w:lang w:val="en-US" w:eastAsia="zh-CN"/>
        </w:rPr>
        <w:t>见公式（B.7）。</w:t>
      </w:r>
    </w:p>
    <w:p w14:paraId="5A023BFC">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W</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Q</m:t>
        </m:r>
        <m:r>
          <m:rPr/>
          <w:rPr>
            <w:rFonts w:ascii="Cambria Math" w:hAnsi="Cambria Math" w:cs="宋体"/>
            <w:sz w:val="21"/>
            <w:highlight w:val="none"/>
            <w:lang w:val="en-US" w:bidi="ar-SA"/>
          </w:rPr>
          <m:t>×</m:t>
        </m:r>
        <m:d>
          <m:dPr>
            <m:ctrlPr>
              <w:rPr>
                <w:rFonts w:ascii="Cambria Math" w:hAnsi="Cambria Math" w:cs="宋体"/>
                <w:i/>
                <w:sz w:val="21"/>
                <w:highlight w:val="none"/>
                <w:lang w:val="en-US" w:bidi="ar-SA"/>
              </w:rPr>
            </m:ctrlPr>
          </m:dPr>
          <m:e>
            <m:sSub>
              <m:sSubPr>
                <m:ctrlPr>
                  <w:rPr>
                    <w:rFonts w:ascii="Cambria Math" w:hAnsi="Cambria Math" w:cs="宋体"/>
                    <w:i/>
                    <w:sz w:val="21"/>
                    <w:highlight w:val="none"/>
                    <w:lang w:val="en-US" w:bidi="ar-SA"/>
                  </w:rPr>
                </m:ctrlPr>
              </m:sSubPr>
              <m:e>
                <m:r>
                  <m:rPr/>
                  <w:rPr>
                    <w:rFonts w:ascii="Cambria Math" w:hAnsi="Cambria Math" w:cs="宋体"/>
                    <w:sz w:val="21"/>
                    <w:highlight w:val="none"/>
                    <w:lang w:val="en-US" w:bidi="ar-SA"/>
                  </w:rPr>
                  <m:t>λ</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q</m:t>
                </m:r>
                <m:ctrlPr>
                  <w:rPr>
                    <w:rFonts w:ascii="Cambria Math" w:hAnsi="Cambria Math" w:cs="宋体"/>
                    <w:i/>
                    <w:sz w:val="21"/>
                    <w:highlight w:val="none"/>
                    <w:lang w:val="en-US"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ascii="Cambria Math" w:hAnsi="Cambria Math" w:cs="宋体"/>
                    <w:sz w:val="21"/>
                    <w:highlight w:val="none"/>
                    <w:lang w:val="en-US" w:bidi="ar-SA"/>
                  </w:rPr>
                  <m:t>λ</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ℎ</m:t>
                </m:r>
                <m:ctrlPr>
                  <w:rPr>
                    <w:rFonts w:ascii="Cambria Math" w:hAnsi="Cambria Math" w:cs="宋体"/>
                    <w:i/>
                    <w:sz w:val="21"/>
                    <w:highlight w:val="none"/>
                    <w:lang w:val="en-US" w:bidi="ar-SA"/>
                  </w:rPr>
                </m:ctrlPr>
              </m:sub>
            </m:sSub>
            <m:ctrlPr>
              <w:rPr>
                <w:rFonts w:ascii="Cambria Math" w:hAnsi="Cambria Math" w:cs="宋体"/>
                <w:i/>
                <w:sz w:val="21"/>
                <w:highlight w:val="none"/>
                <w:lang w:val="en-US" w:bidi="ar-SA"/>
              </w:rPr>
            </m:ctrlPr>
          </m:e>
        </m:d>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（B.7）</w:t>
      </w:r>
    </w:p>
    <w:p w14:paraId="36C29496">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76D53A58">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W</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rPr>
        <w:t>年节水量，单位</w:t>
      </w:r>
      <w:r>
        <w:rPr>
          <w:rFonts w:hint="eastAsia" w:hAnsi="宋体" w:cs="宋体"/>
          <w:highlight w:val="none"/>
          <w:lang w:val="en-US" w:eastAsia="zh-CN"/>
        </w:rPr>
        <w:t>为</w:t>
      </w:r>
      <w:r>
        <w:rPr>
          <w:rFonts w:hint="eastAsia" w:hAnsi="宋体" w:cs="宋体"/>
          <w:highlight w:val="none"/>
        </w:rPr>
        <w:t>万吨</w:t>
      </w:r>
      <w:r>
        <w:rPr>
          <w:rFonts w:hint="eastAsia" w:hAnsi="宋体" w:cs="宋体"/>
          <w:highlight w:val="none"/>
          <w:lang w:eastAsia="zh-CN"/>
        </w:rPr>
        <w:t>（</w:t>
      </w:r>
      <w:r>
        <w:rPr>
          <w:rFonts w:hint="eastAsia" w:hAnsi="宋体" w:cs="宋体"/>
          <w:highlight w:val="none"/>
          <w:lang w:val="en-US" w:eastAsia="zh-CN"/>
        </w:rPr>
        <w:t>万t）</w:t>
      </w:r>
      <w:r>
        <w:rPr>
          <w:rFonts w:hint="eastAsia" w:hAnsi="宋体" w:cs="宋体"/>
          <w:highlight w:val="none"/>
        </w:rPr>
        <w:t>；</w:t>
      </w:r>
    </w:p>
    <w:p w14:paraId="1FEA108B">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Q</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rPr>
        <w:t>城市供水管网年均供水量（或供水能力）</w:t>
      </w:r>
      <w:r>
        <w:rPr>
          <w:rFonts w:hint="eastAsia" w:hAnsi="宋体" w:cs="宋体"/>
          <w:highlight w:val="none"/>
          <w:lang w:eastAsia="zh-CN"/>
        </w:rPr>
        <w:t>，</w:t>
      </w:r>
      <w:r>
        <w:rPr>
          <w:rFonts w:hint="eastAsia" w:hAnsi="宋体" w:cs="宋体"/>
          <w:highlight w:val="none"/>
        </w:rPr>
        <w:t>单位</w:t>
      </w:r>
      <w:r>
        <w:rPr>
          <w:rFonts w:hint="eastAsia" w:hAnsi="宋体" w:cs="宋体"/>
          <w:highlight w:val="none"/>
          <w:lang w:val="en-US" w:eastAsia="zh-CN"/>
        </w:rPr>
        <w:t>为</w:t>
      </w:r>
      <w:r>
        <w:rPr>
          <w:rFonts w:hint="eastAsia" w:hAnsi="宋体" w:cs="宋体"/>
          <w:highlight w:val="none"/>
        </w:rPr>
        <w:t>万吨</w:t>
      </w:r>
      <w:r>
        <w:rPr>
          <w:rFonts w:hint="eastAsia" w:hAnsi="宋体" w:cs="宋体"/>
          <w:highlight w:val="none"/>
          <w:lang w:eastAsia="zh-CN"/>
        </w:rPr>
        <w:t>（</w:t>
      </w:r>
      <w:r>
        <w:rPr>
          <w:rFonts w:hint="eastAsia" w:hAnsi="宋体" w:cs="宋体"/>
          <w:highlight w:val="none"/>
          <w:lang w:val="en-US" w:eastAsia="zh-CN"/>
        </w:rPr>
        <w:t>万t）</w:t>
      </w:r>
      <w:r>
        <w:rPr>
          <w:rFonts w:hint="eastAsia" w:hAnsi="宋体" w:cs="宋体"/>
          <w:highlight w:val="none"/>
        </w:rPr>
        <w:t>；</w:t>
      </w:r>
    </w:p>
    <w:p w14:paraId="5B1EC18E">
      <w:pPr>
        <w:pStyle w:val="132"/>
        <w:ind w:firstLine="420" w:firstLineChars="200"/>
        <w:rPr>
          <w:rFonts w:hint="eastAsia" w:hAnsi="Cambria Math" w:cs="宋体"/>
          <w:highlight w:val="none"/>
          <w:lang w:eastAsia="zh-CN"/>
        </w:rPr>
      </w:pPr>
      <m:oMath>
        <m:sSub>
          <m:sSubPr>
            <m:ctrlPr>
              <w:rPr>
                <w:rFonts w:ascii="Cambria Math" w:hAnsi="Cambria Math" w:cs="宋体"/>
                <w:i/>
                <w:iCs/>
                <w:highlight w:val="none"/>
                <w:lang w:val="en-US"/>
              </w:rPr>
            </m:ctrlPr>
          </m:sSubPr>
          <m:e>
            <m:r>
              <m:rPr/>
              <w:rPr>
                <w:rFonts w:ascii="Cambria Math" w:hAnsi="Cambria Math" w:cs="宋体"/>
                <w:highlight w:val="none"/>
                <w:lang w:val="en-US"/>
              </w:rPr>
              <m:t>λ</m:t>
            </m:r>
            <m:ctrlPr>
              <w:rPr>
                <w:rFonts w:ascii="Cambria Math" w:hAnsi="Cambria Math" w:cs="宋体"/>
                <w:i/>
                <w:iCs/>
                <w:highlight w:val="none"/>
                <w:lang w:val="en-US"/>
              </w:rPr>
            </m:ctrlPr>
          </m:e>
          <m:sub>
            <m:r>
              <m:rPr/>
              <w:rPr>
                <w:rFonts w:hint="default" w:ascii="Cambria Math" w:hAnsi="Cambria Math" w:cs="宋体"/>
                <w:highlight w:val="none"/>
                <w:lang w:val="en-US" w:eastAsia="zh-CN"/>
              </w:rPr>
              <m:t>q</m:t>
            </m:r>
            <m:ctrlPr>
              <w:rPr>
                <w:rFonts w:ascii="Cambria Math" w:hAnsi="Cambria Math" w:cs="宋体"/>
                <w:i/>
                <w:iCs/>
                <w:highlight w:val="none"/>
                <w:lang w:val="en-US"/>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rPr>
        <w:t>改造前管网漏失率</w:t>
      </w:r>
      <w:r>
        <w:rPr>
          <w:rFonts w:hint="eastAsia" w:hAnsi="宋体" w:cs="宋体"/>
          <w:highlight w:val="none"/>
          <w:lang w:val="en-US" w:eastAsia="zh-CN"/>
        </w:rPr>
        <w:t>，单位为%。</w:t>
      </w:r>
    </w:p>
    <w:p w14:paraId="43B584A2">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ascii="Cambria Math" w:hAnsi="Cambria Math" w:cs="宋体"/>
                <w:highlight w:val="none"/>
                <w:lang w:val="en-US"/>
              </w:rPr>
              <m:t>λ</m:t>
            </m:r>
            <m:ctrlPr>
              <w:rPr>
                <w:rFonts w:ascii="Cambria Math" w:hAnsi="Cambria Math" w:cs="宋体"/>
                <w:i/>
                <w:iCs/>
                <w:highlight w:val="none"/>
                <w:lang w:val="en-US"/>
              </w:rPr>
            </m:ctrlPr>
          </m:e>
          <m:sub>
            <m:r>
              <m:rPr/>
              <w:rPr>
                <w:rFonts w:hint="default" w:ascii="Cambria Math" w:hAnsi="Cambria Math" w:cs="宋体"/>
                <w:highlight w:val="none"/>
                <w:lang w:val="en-US" w:eastAsia="zh-CN"/>
              </w:rPr>
              <m:t>ℎ</m:t>
            </m:r>
            <m:ctrlPr>
              <w:rPr>
                <w:rFonts w:ascii="Cambria Math" w:hAnsi="Cambria Math" w:cs="宋体"/>
                <w:i/>
                <w:iCs/>
                <w:highlight w:val="none"/>
                <w:lang w:val="en-US"/>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rPr>
        <w:t>改造</w:t>
      </w:r>
      <w:r>
        <w:rPr>
          <w:rFonts w:hint="eastAsia" w:hAnsi="宋体" w:cs="宋体"/>
          <w:highlight w:val="none"/>
          <w:lang w:val="en-US" w:eastAsia="zh-CN"/>
        </w:rPr>
        <w:t>后</w:t>
      </w:r>
      <w:r>
        <w:rPr>
          <w:rFonts w:hint="eastAsia" w:hAnsi="宋体" w:cs="宋体"/>
          <w:highlight w:val="none"/>
        </w:rPr>
        <w:t>管网漏失率</w:t>
      </w:r>
      <w:r>
        <w:rPr>
          <w:rFonts w:hint="eastAsia" w:hAnsi="宋体" w:cs="宋体"/>
          <w:highlight w:val="none"/>
          <w:lang w:val="en-US" w:eastAsia="zh-CN"/>
        </w:rPr>
        <w:t>，单位为%。</w:t>
      </w:r>
    </w:p>
    <w:p w14:paraId="4C055492">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8</w:t>
      </w:r>
      <w:r>
        <w:rPr>
          <w:rFonts w:hint="eastAsia" w:ascii="黑体"/>
          <w:highlight w:val="none"/>
          <w:lang w:val="en-US" w:eastAsia="zh-CN"/>
        </w:rPr>
        <w:t xml:space="preserve">  </w:t>
      </w:r>
      <w:r>
        <w:rPr>
          <w:rFonts w:hint="eastAsia"/>
          <w:highlight w:val="none"/>
          <w:lang w:val="en-US" w:eastAsia="zh-CN"/>
        </w:rPr>
        <w:t>减灾量</w:t>
      </w:r>
    </w:p>
    <w:p w14:paraId="52C69663">
      <w:pPr>
        <w:pStyle w:val="26"/>
        <w:rPr>
          <w:rFonts w:hAnsi="宋体" w:cs="宋体"/>
          <w:highlight w:val="none"/>
        </w:rPr>
      </w:pPr>
      <w:r>
        <w:rPr>
          <w:rFonts w:hint="eastAsia" w:hAnsi="宋体" w:cs="宋体"/>
          <w:highlight w:val="none"/>
          <w:lang w:val="en-US" w:eastAsia="zh-CN"/>
        </w:rPr>
        <w:t>通过建设和运维水利设施智能化平台、生态安全预警体系和生态保护修复信息平台而实现的灾害减少的程度</w:t>
      </w:r>
      <w:r>
        <w:rPr>
          <w:rFonts w:hint="eastAsia" w:hAnsi="宋体" w:cs="宋体"/>
          <w:highlight w:val="none"/>
        </w:rPr>
        <w:t>。计算公式</w:t>
      </w:r>
      <w:r>
        <w:rPr>
          <w:rFonts w:hint="eastAsia" w:hAnsi="宋体" w:cs="宋体"/>
          <w:highlight w:val="none"/>
          <w:lang w:val="en-US" w:eastAsia="zh-CN"/>
        </w:rPr>
        <w:t>见公式（B.8）。</w:t>
      </w:r>
    </w:p>
    <w:p w14:paraId="3C791292">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J</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F</m:t>
        </m:r>
        <m:r>
          <m:rPr/>
          <w:rPr>
            <w:rFonts w:ascii="Cambria Math" w:hAnsi="Cambria Math" w:cs="宋体"/>
            <w:sz w:val="21"/>
            <w:highlight w:val="none"/>
            <w:lang w:val="en-US" w:bidi="ar-SA"/>
          </w:rPr>
          <m:t>×</m:t>
        </m:r>
        <m:r>
          <m:rPr/>
          <w:rPr>
            <w:rFonts w:hint="default" w:ascii="Cambria Math" w:hAnsi="Cambria Math" w:cs="宋体"/>
            <w:sz w:val="21"/>
            <w:highlight w:val="none"/>
            <w:lang w:val="en-US" w:eastAsia="zh-CN" w:bidi="ar-SA"/>
          </w:rPr>
          <m:t>M</m:t>
        </m:r>
      </m:oMath>
      <w:r>
        <w:rPr>
          <w:rFonts w:hint="eastAsia" w:hAnsi="Cambria Math" w:cs="宋体"/>
          <w:i w:val="0"/>
          <w:sz w:val="21"/>
          <w:highlight w:val="none"/>
          <w:lang w:val="en-US" w:eastAsia="zh-CN" w:bidi="ar-SA"/>
        </w:rPr>
        <w:t xml:space="preserve"> </w:t>
      </w:r>
      <w:r>
        <w:rPr>
          <w:rFonts w:hint="eastAsia" w:hAnsi="Cambria Math" w:cs="宋体"/>
          <w:i w:val="0"/>
          <w:sz w:val="21"/>
          <w:highlight w:val="none"/>
          <w:lang w:val="en-US" w:eastAsia="zh-CN" w:bidi="ar-SA"/>
        </w:rPr>
        <w:tab/>
      </w:r>
      <w:r>
        <w:rPr>
          <w:rFonts w:hint="eastAsia" w:hAnsi="Cambria Math" w:cs="宋体"/>
          <w:i w:val="0"/>
          <w:iCs w:val="0"/>
          <w:sz w:val="21"/>
          <w:highlight w:val="none"/>
          <w:lang w:val="en-US" w:eastAsia="zh-CN" w:bidi="ar-SA"/>
        </w:rPr>
        <w:t>（B.8）</w:t>
      </w:r>
    </w:p>
    <w:p w14:paraId="427A9AAC">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73437120">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J</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减灾量，单位为万元</w:t>
      </w:r>
      <w:r>
        <w:rPr>
          <w:rFonts w:hint="eastAsia" w:hAnsi="宋体" w:cs="宋体"/>
          <w:highlight w:val="none"/>
        </w:rPr>
        <w:t>；</w:t>
      </w:r>
    </w:p>
    <w:p w14:paraId="3128A8DD">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F</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减灾面积，单位为平方米（m</w:t>
      </w:r>
      <w:r>
        <w:rPr>
          <w:rFonts w:hint="eastAsia" w:hAnsi="宋体" w:cs="宋体"/>
          <w:highlight w:val="none"/>
          <w:vertAlign w:val="superscript"/>
          <w:lang w:val="en-US" w:eastAsia="zh-CN"/>
        </w:rPr>
        <w:t>2</w:t>
      </w:r>
      <w:r>
        <w:rPr>
          <w:rFonts w:hint="eastAsia" w:hAnsi="宋体" w:cs="宋体"/>
          <w:highlight w:val="none"/>
          <w:lang w:val="en-US" w:eastAsia="zh-CN"/>
        </w:rPr>
        <w:t>）</w:t>
      </w:r>
      <w:r>
        <w:rPr>
          <w:rFonts w:hint="eastAsia" w:hAnsi="宋体" w:cs="宋体"/>
          <w:highlight w:val="none"/>
        </w:rPr>
        <w:t>；</w:t>
      </w:r>
    </w:p>
    <w:p w14:paraId="163FC501">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M</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单位受灾面积修复成本，单位为万元</w:t>
      </w:r>
      <w:r>
        <w:rPr>
          <w:rFonts w:hint="eastAsia" w:hAnsi="宋体" w:cs="宋体"/>
          <w:highlight w:val="none"/>
        </w:rPr>
        <w:t>；</w:t>
      </w:r>
    </w:p>
    <w:p w14:paraId="75A86425">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9</w:t>
      </w:r>
      <w:r>
        <w:rPr>
          <w:rFonts w:hint="eastAsia" w:ascii="黑体"/>
          <w:highlight w:val="none"/>
          <w:lang w:val="en-US" w:eastAsia="zh-CN"/>
        </w:rPr>
        <w:t xml:space="preserve">  </w:t>
      </w:r>
      <w:r>
        <w:rPr>
          <w:rFonts w:hint="eastAsia"/>
          <w:highlight w:val="none"/>
          <w:lang w:val="en-US" w:eastAsia="zh-CN"/>
        </w:rPr>
        <w:t>减灾面积</w:t>
      </w:r>
    </w:p>
    <w:p w14:paraId="749356B0">
      <w:pPr>
        <w:pStyle w:val="26"/>
        <w:rPr>
          <w:rFonts w:hAnsi="宋体" w:cs="宋体"/>
          <w:highlight w:val="none"/>
        </w:rPr>
      </w:pPr>
      <w:r>
        <w:rPr>
          <w:rFonts w:hint="eastAsia" w:hAnsi="宋体" w:cs="宋体"/>
          <w:highlight w:val="none"/>
          <w:lang w:val="en-US" w:eastAsia="zh-CN"/>
        </w:rPr>
        <w:t>通过建设和运维水利设施智能化平台、生态安全预警体系和生态保护修复信息平台而实现的灾害减少的面积</w:t>
      </w:r>
      <w:r>
        <w:rPr>
          <w:rFonts w:hint="eastAsia" w:hAnsi="宋体" w:cs="宋体"/>
          <w:highlight w:val="none"/>
        </w:rPr>
        <w:t>。计算公式</w:t>
      </w:r>
      <w:r>
        <w:rPr>
          <w:rFonts w:hint="eastAsia" w:hAnsi="宋体" w:cs="宋体"/>
          <w:highlight w:val="none"/>
          <w:lang w:val="en-US" w:eastAsia="zh-CN"/>
        </w:rPr>
        <w:t>见公式（B.9）。</w:t>
      </w:r>
    </w:p>
    <w:p w14:paraId="0D1D2DE5">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F</m:t>
        </m:r>
        <m:r>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F</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F</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2</m:t>
            </m:r>
            <m:ctrlPr>
              <w:rPr>
                <w:rFonts w:ascii="Cambria Math" w:hAnsi="Cambria Math" w:cs="宋体"/>
                <w:i/>
                <w:sz w:val="21"/>
                <w:highlight w:val="none"/>
                <w:lang w:val="en-US" w:bidi="ar-SA"/>
              </w:rPr>
            </m:ctrlPr>
          </m:sub>
        </m:sSub>
      </m:oMath>
      <w:r>
        <w:rPr>
          <w:rFonts w:hint="eastAsia" w:hAnsi="Cambria Math" w:cs="宋体"/>
          <w:i w:val="0"/>
          <w:sz w:val="21"/>
          <w:highlight w:val="none"/>
          <w:lang w:val="en-US" w:eastAsia="zh-CN" w:bidi="ar-SA"/>
        </w:rPr>
        <w:t xml:space="preserve"> </w:t>
      </w:r>
      <w:r>
        <w:rPr>
          <w:rFonts w:hint="eastAsia" w:hAnsi="Cambria Math" w:cs="宋体"/>
          <w:i w:val="0"/>
          <w:sz w:val="21"/>
          <w:highlight w:val="none"/>
          <w:lang w:val="en-US" w:eastAsia="zh-CN" w:bidi="ar-SA"/>
        </w:rPr>
        <w:tab/>
      </w:r>
      <w:r>
        <w:rPr>
          <w:rFonts w:hint="eastAsia" w:hAnsi="Cambria Math" w:cs="宋体"/>
          <w:i w:val="0"/>
          <w:iCs w:val="0"/>
          <w:sz w:val="21"/>
          <w:highlight w:val="none"/>
          <w:lang w:val="en-US" w:eastAsia="zh-CN" w:bidi="ar-SA"/>
        </w:rPr>
        <w:t>（B.9）</w:t>
      </w:r>
    </w:p>
    <w:p w14:paraId="48A521A2">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72808A18">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F</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减灾面积，单位为平方米（m</w:t>
      </w:r>
      <w:r>
        <w:rPr>
          <w:rFonts w:hint="eastAsia" w:hAnsi="宋体" w:cs="宋体"/>
          <w:highlight w:val="none"/>
          <w:vertAlign w:val="superscript"/>
          <w:lang w:val="en-US" w:eastAsia="zh-CN"/>
        </w:rPr>
        <w:t>2</w:t>
      </w:r>
      <w:r>
        <w:rPr>
          <w:rFonts w:hint="eastAsia" w:hAnsi="宋体" w:cs="宋体"/>
          <w:highlight w:val="none"/>
          <w:lang w:val="en-US" w:eastAsia="zh-CN"/>
        </w:rPr>
        <w:t>）</w:t>
      </w:r>
      <w:r>
        <w:rPr>
          <w:rFonts w:hint="eastAsia" w:hAnsi="宋体" w:cs="宋体"/>
          <w:highlight w:val="none"/>
        </w:rPr>
        <w:t>；</w:t>
      </w:r>
    </w:p>
    <w:p w14:paraId="0686F99A">
      <w:pPr>
        <w:pStyle w:val="26"/>
        <w:rPr>
          <w:rFonts w:hint="eastAsia" w:hAnsi="宋体" w:cs="宋体"/>
          <w:highlight w:val="none"/>
        </w:rPr>
      </w:pPr>
      <m:oMath>
        <m:sSub>
          <m:sSubPr>
            <m:ctrlPr>
              <w:rPr>
                <w:rFonts w:hint="default" w:ascii="Cambria Math" w:hAnsi="Cambria Math" w:cs="宋体"/>
                <w:i/>
                <w:highlight w:val="none"/>
                <w:lang w:val="en-US" w:eastAsia="zh-CN"/>
              </w:rPr>
            </m:ctrlPr>
          </m:sSubPr>
          <m:e>
            <m:r>
              <m:rPr/>
              <w:rPr>
                <w:rFonts w:hint="default" w:ascii="Cambria Math" w:hAnsi="Cambria Math" w:cs="宋体"/>
                <w:highlight w:val="none"/>
                <w:lang w:val="en-US" w:eastAsia="zh-CN"/>
              </w:rPr>
              <m:t>C</m:t>
            </m:r>
            <m:ctrlPr>
              <w:rPr>
                <w:rFonts w:hint="default" w:ascii="Cambria Math" w:hAnsi="Cambria Math" w:cs="宋体"/>
                <w:i/>
                <w:highlight w:val="none"/>
                <w:lang w:val="en-US" w:eastAsia="zh-CN"/>
              </w:rPr>
            </m:ctrlPr>
          </m:e>
          <m:sub>
            <m:r>
              <m:rPr/>
              <w:rPr>
                <w:rFonts w:hint="default" w:ascii="Cambria Math" w:hAnsi="Cambria Math" w:cs="宋体"/>
                <w:highlight w:val="none"/>
                <w:lang w:val="en-US" w:eastAsia="zh-CN"/>
              </w:rPr>
              <m:t>1</m:t>
            </m:r>
            <m:ctrlPr>
              <w:rPr>
                <w:rFonts w:hint="default" w:ascii="Cambria Math" w:hAnsi="Cambria Math" w:cs="宋体"/>
                <w:i/>
                <w:highlight w:val="none"/>
                <w:lang w:val="en-US" w:eastAsia="zh-CN"/>
              </w:rPr>
            </m:ctrlPr>
          </m:sub>
        </m:sSub>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rPr>
        <w:t>未</w:t>
      </w:r>
      <w:r>
        <w:rPr>
          <w:rFonts w:hint="eastAsia" w:hAnsi="宋体" w:cs="宋体"/>
          <w:highlight w:val="none"/>
          <w:lang w:val="en-US" w:eastAsia="zh-CN"/>
        </w:rPr>
        <w:t>建设智能化</w:t>
      </w:r>
      <w:r>
        <w:rPr>
          <w:rFonts w:hint="eastAsia" w:hAnsi="宋体" w:cs="宋体"/>
          <w:highlight w:val="none"/>
        </w:rPr>
        <w:t>平台时</w:t>
      </w:r>
      <w:r>
        <w:rPr>
          <w:rFonts w:hint="eastAsia" w:hAnsi="宋体" w:cs="宋体"/>
          <w:highlight w:val="none"/>
          <w:lang w:val="en-US" w:eastAsia="zh-CN"/>
        </w:rPr>
        <w:t>预计受灾面积</w:t>
      </w:r>
      <w:r>
        <w:rPr>
          <w:rFonts w:hint="eastAsia" w:hAnsi="宋体" w:cs="宋体"/>
          <w:highlight w:val="none"/>
          <w:lang w:eastAsia="zh-CN"/>
        </w:rPr>
        <w:t>，</w:t>
      </w:r>
      <w:r>
        <w:rPr>
          <w:rFonts w:hint="eastAsia" w:hAnsi="宋体" w:cs="宋体"/>
          <w:highlight w:val="none"/>
        </w:rPr>
        <w:t>单位</w:t>
      </w:r>
      <w:r>
        <w:rPr>
          <w:rFonts w:hint="eastAsia" w:hAnsi="宋体" w:cs="宋体"/>
          <w:highlight w:val="none"/>
          <w:lang w:val="en-US" w:eastAsia="zh-CN"/>
        </w:rPr>
        <w:t>为平方米（m</w:t>
      </w:r>
      <w:r>
        <w:rPr>
          <w:rFonts w:hint="eastAsia" w:hAnsi="宋体" w:cs="宋体"/>
          <w:highlight w:val="none"/>
          <w:vertAlign w:val="superscript"/>
          <w:lang w:val="en-US" w:eastAsia="zh-CN"/>
        </w:rPr>
        <w:t>2</w:t>
      </w:r>
      <w:r>
        <w:rPr>
          <w:rFonts w:hint="eastAsia" w:hAnsi="宋体" w:cs="宋体"/>
          <w:highlight w:val="none"/>
          <w:lang w:val="en-US" w:eastAsia="zh-CN"/>
        </w:rPr>
        <w:t>）</w:t>
      </w:r>
      <w:r>
        <w:rPr>
          <w:rFonts w:hint="eastAsia" w:hAnsi="宋体" w:cs="宋体"/>
          <w:highlight w:val="none"/>
        </w:rPr>
        <w:t>；</w:t>
      </w:r>
    </w:p>
    <w:p w14:paraId="3CD81D5C">
      <w:pPr>
        <w:pStyle w:val="132"/>
        <w:ind w:firstLine="420" w:firstLineChars="200"/>
        <w:rPr>
          <w:rFonts w:hint="eastAsia" w:hAnsi="宋体" w:cs="宋体"/>
          <w:highlight w:val="none"/>
        </w:rPr>
      </w:pPr>
      <m:oMath>
        <m:sSub>
          <m:sSubPr>
            <m:ctrlPr>
              <w:rPr>
                <w:rFonts w:hint="default" w:ascii="Cambria Math" w:hAnsi="Cambria Math" w:cs="宋体"/>
                <w:i/>
                <w:highlight w:val="none"/>
                <w:lang w:val="en-US" w:eastAsia="zh-CN"/>
              </w:rPr>
            </m:ctrlPr>
          </m:sSubPr>
          <m:e>
            <m:r>
              <m:rPr/>
              <w:rPr>
                <w:rFonts w:hint="default" w:ascii="Cambria Math" w:hAnsi="Cambria Math" w:cs="宋体"/>
                <w:highlight w:val="none"/>
                <w:lang w:val="en-US" w:eastAsia="zh-CN"/>
              </w:rPr>
              <m:t>C</m:t>
            </m:r>
            <m:ctrlPr>
              <w:rPr>
                <w:rFonts w:hint="default" w:ascii="Cambria Math" w:hAnsi="Cambria Math" w:cs="宋体"/>
                <w:i/>
                <w:highlight w:val="none"/>
                <w:lang w:val="en-US" w:eastAsia="zh-CN"/>
              </w:rPr>
            </m:ctrlPr>
          </m:e>
          <m:sub>
            <m:r>
              <m:rPr/>
              <w:rPr>
                <w:rFonts w:hint="default" w:ascii="Cambria Math" w:hAnsi="Cambria Math" w:cs="宋体"/>
                <w:highlight w:val="none"/>
                <w:lang w:val="en-US" w:eastAsia="zh-CN"/>
              </w:rPr>
              <m:t>2</m:t>
            </m:r>
            <m:ctrlPr>
              <w:rPr>
                <w:rFonts w:hint="default" w:ascii="Cambria Math" w:hAnsi="Cambria Math" w:cs="宋体"/>
                <w:i/>
                <w:highlight w:val="none"/>
                <w:lang w:val="en-US" w:eastAsia="zh-CN"/>
              </w:rPr>
            </m:ctrlPr>
          </m:sub>
        </m:sSub>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建设智能化</w:t>
      </w:r>
      <w:r>
        <w:rPr>
          <w:rFonts w:hint="eastAsia" w:hAnsi="宋体" w:cs="宋体"/>
          <w:highlight w:val="none"/>
        </w:rPr>
        <w:t>平台</w:t>
      </w:r>
      <w:r>
        <w:rPr>
          <w:rFonts w:hint="eastAsia" w:hAnsi="宋体" w:cs="宋体"/>
          <w:highlight w:val="none"/>
          <w:lang w:val="en-US" w:eastAsia="zh-CN"/>
        </w:rPr>
        <w:t>后实际受灾面积</w:t>
      </w:r>
      <w:r>
        <w:rPr>
          <w:rFonts w:hint="eastAsia" w:hAnsi="宋体" w:cs="宋体"/>
          <w:highlight w:val="none"/>
          <w:lang w:eastAsia="zh-CN"/>
        </w:rPr>
        <w:t>，</w:t>
      </w:r>
      <w:r>
        <w:rPr>
          <w:rFonts w:hint="eastAsia" w:hAnsi="宋体" w:cs="宋体"/>
          <w:highlight w:val="none"/>
        </w:rPr>
        <w:t>单位</w:t>
      </w:r>
      <w:r>
        <w:rPr>
          <w:rFonts w:hint="eastAsia" w:hAnsi="宋体" w:cs="宋体"/>
          <w:highlight w:val="none"/>
          <w:lang w:val="en-US" w:eastAsia="zh-CN"/>
        </w:rPr>
        <w:t>为平方米（m</w:t>
      </w:r>
      <w:r>
        <w:rPr>
          <w:rFonts w:hint="eastAsia" w:hAnsi="宋体" w:cs="宋体"/>
          <w:highlight w:val="none"/>
          <w:vertAlign w:val="superscript"/>
          <w:lang w:val="en-US" w:eastAsia="zh-CN"/>
        </w:rPr>
        <w:t>2</w:t>
      </w:r>
      <w:r>
        <w:rPr>
          <w:rFonts w:hint="eastAsia" w:hAnsi="宋体" w:cs="宋体"/>
          <w:highlight w:val="none"/>
          <w:lang w:val="en-US" w:eastAsia="zh-CN"/>
        </w:rPr>
        <w:t>）</w:t>
      </w:r>
      <w:r>
        <w:rPr>
          <w:rFonts w:hint="eastAsia" w:hAnsi="宋体" w:cs="宋体"/>
          <w:highlight w:val="none"/>
        </w:rPr>
        <w:t>；</w:t>
      </w:r>
    </w:p>
    <w:p w14:paraId="5DA2C6BC">
      <w:pPr>
        <w:pStyle w:val="26"/>
        <w:rPr>
          <w:rFonts w:hint="eastAsia"/>
          <w:highlight w:val="none"/>
          <w:lang w:eastAsia="zh-CN"/>
        </w:rPr>
      </w:pPr>
    </w:p>
    <w:p w14:paraId="77C64385">
      <w:pPr>
        <w:rPr>
          <w:rFonts w:hint="eastAsia" w:hAnsi="宋体" w:cs="宋体"/>
          <w:highlight w:val="none"/>
          <w:lang w:val="en-US" w:eastAsia="zh-CN"/>
        </w:rPr>
      </w:pPr>
      <w:r>
        <w:rPr>
          <w:rFonts w:hint="eastAsia" w:hAnsi="宋体" w:cs="宋体"/>
          <w:highlight w:val="none"/>
          <w:lang w:val="en-US" w:eastAsia="zh-CN"/>
        </w:rPr>
        <w:br w:type="page"/>
      </w:r>
    </w:p>
    <w:p w14:paraId="5A1E2953">
      <w:pPr>
        <w:pStyle w:val="26"/>
        <w:rPr>
          <w:rFonts w:hint="eastAsia"/>
          <w:highlight w:val="none"/>
          <w:lang w:val="en-US" w:eastAsia="zh-CN"/>
        </w:rPr>
      </w:pPr>
    </w:p>
    <w:p w14:paraId="7A7DE70E">
      <w:pPr>
        <w:pStyle w:val="89"/>
        <w:rPr>
          <w:rFonts w:ascii="Times New Roman"/>
          <w:highlight w:val="none"/>
        </w:rPr>
      </w:pPr>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lang w:val="en-US" w:eastAsia="zh-CN"/>
        </w:rPr>
        <w:t>环境基础设施领域</w:t>
      </w:r>
      <w:r>
        <w:rPr>
          <w:rFonts w:hint="eastAsia" w:ascii="Times New Roman"/>
          <w:highlight w:val="none"/>
          <w:lang w:eastAsia="zh-CN"/>
        </w:rPr>
        <w:t>绿色低碳产业</w:t>
      </w:r>
      <w:r>
        <w:rPr>
          <w:rFonts w:hint="eastAsia" w:ascii="Times New Roman"/>
          <w:highlight w:val="none"/>
          <w:lang w:val="en-US" w:eastAsia="zh-CN"/>
        </w:rPr>
        <w:t>企业</w:t>
      </w:r>
      <w:r>
        <w:rPr>
          <w:rFonts w:hint="eastAsia" w:ascii="Times New Roman"/>
          <w:highlight w:val="none"/>
        </w:rPr>
        <w:t>认定评价报告模板</w:t>
      </w:r>
      <w:bookmarkEnd w:id="118"/>
      <w:bookmarkEnd w:id="119"/>
    </w:p>
    <w:p w14:paraId="35D83102">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.1</w:t>
      </w:r>
      <w:r>
        <w:rPr>
          <w:rFonts w:hint="eastAsia" w:hAnsi="黑体" w:cs="黑体"/>
          <w:highlight w:val="none"/>
          <w:lang w:val="en-US" w:eastAsia="zh-CN"/>
        </w:rPr>
        <w:t xml:space="preserve">  </w:t>
      </w:r>
      <w:r>
        <w:rPr>
          <w:rFonts w:hint="eastAsia" w:hAnsi="黑体" w:cs="黑体"/>
          <w:highlight w:val="none"/>
        </w:rPr>
        <w:t>封面</w:t>
      </w:r>
    </w:p>
    <w:p w14:paraId="1FC8CC73">
      <w:pPr>
        <w:pStyle w:val="26"/>
        <w:rPr>
          <w:rFonts w:hint="eastAsia" w:hAnsi="宋体" w:cs="宋体"/>
          <w:szCs w:val="24"/>
          <w:highlight w:val="none"/>
        </w:rPr>
      </w:pPr>
      <w:r>
        <w:rPr>
          <w:rFonts w:hint="eastAsia" w:ascii="Times New Roman"/>
          <w:szCs w:val="24"/>
          <w:highlight w:val="none"/>
          <w:lang w:val="en-US" w:eastAsia="zh-CN"/>
        </w:rPr>
        <w:t>环境基础设施领域</w:t>
      </w:r>
      <w:r>
        <w:rPr>
          <w:rFonts w:hint="eastAsia" w:ascii="Times New Roman"/>
          <w:szCs w:val="24"/>
          <w:highlight w:val="none"/>
          <w:lang w:eastAsia="zh-CN"/>
        </w:rPr>
        <w:t>绿色低碳产业</w:t>
      </w:r>
      <w:r>
        <w:rPr>
          <w:rFonts w:hint="eastAsia" w:ascii="Times New Roman"/>
          <w:szCs w:val="24"/>
          <w:highlight w:val="none"/>
          <w:lang w:val="en-US" w:eastAsia="zh-CN"/>
        </w:rPr>
        <w:t>企业</w:t>
      </w:r>
      <w:r>
        <w:rPr>
          <w:rFonts w:hint="eastAsia" w:ascii="Times New Roman"/>
          <w:szCs w:val="24"/>
          <w:highlight w:val="none"/>
        </w:rPr>
        <w:t>认定评价报告封面</w:t>
      </w:r>
      <w:r>
        <w:rPr>
          <w:rFonts w:hint="eastAsia" w:hAnsi="宋体" w:cs="宋体"/>
          <w:szCs w:val="24"/>
          <w:highlight w:val="none"/>
        </w:rPr>
        <w:t>要求见表</w:t>
      </w:r>
      <w:r>
        <w:rPr>
          <w:rFonts w:hint="eastAsia" w:hAnsi="宋体" w:cs="宋体"/>
          <w:szCs w:val="24"/>
          <w:highlight w:val="none"/>
          <w:lang w:val="en-US" w:eastAsia="zh-CN"/>
        </w:rPr>
        <w:t>C</w:t>
      </w:r>
      <w:r>
        <w:rPr>
          <w:rFonts w:hint="eastAsia" w:hAnsi="宋体" w:cs="宋体"/>
          <w:szCs w:val="24"/>
          <w:highlight w:val="none"/>
        </w:rPr>
        <w:t>.1。</w:t>
      </w:r>
    </w:p>
    <w:p w14:paraId="7C831E66">
      <w:pPr>
        <w:pStyle w:val="92"/>
        <w:numPr>
          <w:ilvl w:val="1"/>
          <w:numId w:val="0"/>
        </w:numPr>
        <w:tabs>
          <w:tab w:val="clear" w:pos="0"/>
        </w:tabs>
        <w:spacing w:before="156" w:after="156"/>
        <w:rPr>
          <w:rFonts w:hint="eastAsia"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.1</w:t>
      </w:r>
      <w:r>
        <w:rPr>
          <w:rFonts w:hint="eastAsia" w:hAnsi="黑体"/>
          <w:highlight w:val="none"/>
          <w:lang w:val="en-US" w:eastAsia="zh-CN"/>
        </w:rPr>
        <w:t xml:space="preserve">  环境基础设施领域</w:t>
      </w:r>
      <w:r>
        <w:rPr>
          <w:rFonts w:hint="eastAsia" w:hAnsi="黑体"/>
          <w:highlight w:val="none"/>
          <w:lang w:eastAsia="zh-CN"/>
        </w:rPr>
        <w:t>绿色低碳产业</w:t>
      </w:r>
      <w:r>
        <w:rPr>
          <w:rFonts w:hint="eastAsia" w:hAnsi="黑体"/>
          <w:highlight w:val="none"/>
          <w:lang w:val="en-US" w:eastAsia="zh-CN"/>
        </w:rPr>
        <w:t>企业</w:t>
      </w:r>
      <w:r>
        <w:rPr>
          <w:rFonts w:hint="eastAsia" w:hAnsi="黑体"/>
          <w:highlight w:val="none"/>
        </w:rPr>
        <w:t>认定评价报告封面</w:t>
      </w:r>
    </w:p>
    <w:p w14:paraId="33D76C7A">
      <w:pPr>
        <w:pStyle w:val="26"/>
        <w:jc w:val="center"/>
        <w:rPr>
          <w:rFonts w:hAnsi="黑体"/>
          <w:highlight w:val="none"/>
        </w:rPr>
      </w:pPr>
      <w:r>
        <w:rPr>
          <w:rFonts w:ascii="Times New Roman"/>
          <w:szCs w:val="24"/>
          <w:highlight w:val="none"/>
        </w:rPr>
        <mc:AlternateContent>
          <mc:Choice Requires="wps">
            <w:drawing>
              <wp:inline distT="45720" distB="45720" distL="114300" distR="114300">
                <wp:extent cx="4999990" cy="3287395"/>
                <wp:effectExtent l="9525" t="9525" r="19685" b="17780"/>
                <wp:docPr id="2" name="文本框 2"/>
                <wp:cNvGraphicFramePr/>
                <a:graphic xmlns:a="http://schemas.openxmlformats.org/drawingml/2006/main">
                  <a:graphicData uri="http://schemas.microsoft.com/office/word/2010/wordprocessingShape">
                    <wps:wsp>
                      <wps:cNvSpPr txBox="1"/>
                      <wps:spPr>
                        <a:xfrm>
                          <a:off x="0" y="0"/>
                          <a:ext cx="4999990" cy="3287395"/>
                        </a:xfrm>
                        <a:prstGeom prst="rect">
                          <a:avLst/>
                        </a:prstGeom>
                        <a:noFill/>
                        <a:ln w="19050" cap="flat" cmpd="sng">
                          <a:solidFill>
                            <a:srgbClr val="000000"/>
                          </a:solidFill>
                          <a:prstDash val="solid"/>
                          <a:miter/>
                          <a:headEnd type="none" w="med" len="med"/>
                          <a:tailEnd type="none" w="med" len="med"/>
                        </a:ln>
                      </wps:spPr>
                      <wps:txbx>
                        <w:txbxContent>
                          <w:p w14:paraId="1154CE8B">
                            <w:pPr>
                              <w:pStyle w:val="26"/>
                              <w:spacing w:line="360" w:lineRule="auto"/>
                              <w:ind w:firstLine="422"/>
                              <w:jc w:val="center"/>
                              <w:rPr>
                                <w:b/>
                                <w:szCs w:val="24"/>
                              </w:rPr>
                            </w:pPr>
                          </w:p>
                          <w:p w14:paraId="2225A5ED">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F575A61">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53688E48">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环境基础设施领域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企业</w:t>
                            </w:r>
                            <w:r>
                              <w:rPr>
                                <w:rFonts w:hint="eastAsia"/>
                                <w:b/>
                                <w:szCs w:val="24"/>
                              </w:rPr>
                              <w:t>认定评价报告</w:t>
                            </w:r>
                          </w:p>
                          <w:p w14:paraId="343637CE">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52F7E152">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51D1FB70">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01AD3DF0">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73234B38">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37AFDA9A">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58.85pt;width:393.7pt;" filled="f" stroked="t" coordsize="21600,21600" o:gfxdata="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GTNzA&#10;1wAAAAUBAAAPAAAAAAAAAAEAIAAAACIAAABkcnMvZG93bnJldi54bWxQSwECFAAUAAAACACHTuJA&#10;M5iSuiICAABCBAAADgAAAAAAAAABACAAAAAmAQAAZHJzL2Uyb0RvYy54bWxQSwUGAAAAAAYABgBZ&#10;AQAAugUAAAAA&#10;">
                <v:fill on="f" focussize="0,0"/>
                <v:stroke weight="1.5pt" color="#000000" joinstyle="miter"/>
                <v:imagedata o:title=""/>
                <o:lock v:ext="edit" aspectratio="f"/>
                <v:textbox>
                  <w:txbxContent>
                    <w:p w14:paraId="1154CE8B">
                      <w:pPr>
                        <w:pStyle w:val="26"/>
                        <w:spacing w:line="360" w:lineRule="auto"/>
                        <w:ind w:firstLine="422"/>
                        <w:jc w:val="center"/>
                        <w:rPr>
                          <w:b/>
                          <w:szCs w:val="24"/>
                        </w:rPr>
                      </w:pPr>
                    </w:p>
                    <w:p w14:paraId="2225A5ED">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F575A61">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53688E48">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环境基础设施领域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企业</w:t>
                      </w:r>
                      <w:r>
                        <w:rPr>
                          <w:rFonts w:hint="eastAsia"/>
                          <w:b/>
                          <w:szCs w:val="24"/>
                        </w:rPr>
                        <w:t>认定评价报告</w:t>
                      </w:r>
                    </w:p>
                    <w:p w14:paraId="343637CE">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52F7E152">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51D1FB70">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01AD3DF0">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73234B38">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37AFDA9A">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70A7620A">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ascii="黑体" w:hAnsi="黑体" w:eastAsia="黑体" w:cs="黑体"/>
          <w:highlight w:val="none"/>
        </w:rPr>
        <w:t>.2</w:t>
      </w:r>
      <w:r>
        <w:rPr>
          <w:rFonts w:hint="eastAsia" w:hAnsi="黑体" w:cs="黑体"/>
          <w:highlight w:val="none"/>
          <w:lang w:val="en-US" w:eastAsia="zh-CN"/>
        </w:rPr>
        <w:t xml:space="preserve">  </w:t>
      </w:r>
      <w:r>
        <w:rPr>
          <w:rFonts w:hint="eastAsia" w:ascii="黑体" w:hAnsi="黑体" w:eastAsia="黑体" w:cs="黑体"/>
          <w:highlight w:val="none"/>
        </w:rPr>
        <w:t>基本信息</w:t>
      </w:r>
    </w:p>
    <w:p w14:paraId="28B144C4">
      <w:pPr>
        <w:pStyle w:val="26"/>
        <w:rPr>
          <w:rFonts w:hAnsi="宋体"/>
          <w:szCs w:val="24"/>
          <w:highlight w:val="none"/>
        </w:rPr>
      </w:pPr>
      <w:r>
        <w:rPr>
          <w:rFonts w:hint="eastAsia" w:hAnsi="宋体"/>
          <w:szCs w:val="24"/>
          <w:highlight w:val="none"/>
        </w:rPr>
        <w:t>基本信息的填报要求见表</w:t>
      </w:r>
      <w:r>
        <w:rPr>
          <w:rFonts w:hint="eastAsia" w:hAnsi="宋体"/>
          <w:szCs w:val="24"/>
          <w:highlight w:val="none"/>
          <w:lang w:val="en-US" w:eastAsia="zh-CN"/>
        </w:rPr>
        <w:t>C</w:t>
      </w:r>
      <w:r>
        <w:rPr>
          <w:rFonts w:hint="eastAsia" w:hAnsi="宋体"/>
          <w:szCs w:val="24"/>
          <w:highlight w:val="none"/>
        </w:rPr>
        <w:t>.2。</w:t>
      </w:r>
    </w:p>
    <w:p w14:paraId="5E3F13EC">
      <w:pPr>
        <w:pStyle w:val="92"/>
        <w:numPr>
          <w:ilvl w:val="1"/>
          <w:numId w:val="0"/>
        </w:numPr>
        <w:tabs>
          <w:tab w:val="clear" w:pos="0"/>
        </w:tabs>
        <w:spacing w:before="156" w:after="156"/>
        <w:rPr>
          <w:rFonts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.2</w:t>
      </w:r>
      <w:r>
        <w:rPr>
          <w:rFonts w:hint="eastAsia" w:hAnsi="黑体"/>
          <w:highlight w:val="none"/>
          <w:lang w:val="en-US" w:eastAsia="zh-CN"/>
        </w:rPr>
        <w:t xml:space="preserve">  </w:t>
      </w:r>
      <w:r>
        <w:rPr>
          <w:rFonts w:hint="eastAsia" w:hAnsi="黑体"/>
          <w:highlight w:val="none"/>
        </w:rPr>
        <w:t>基本信息</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59"/>
        <w:gridCol w:w="3845"/>
        <w:gridCol w:w="1549"/>
        <w:gridCol w:w="2206"/>
      </w:tblGrid>
      <w:tr w14:paraId="3EA91D8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0DEC124E">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企事业单位名称</w:t>
            </w:r>
          </w:p>
        </w:tc>
        <w:tc>
          <w:tcPr>
            <w:tcW w:w="3974" w:type="pct"/>
            <w:gridSpan w:val="3"/>
            <w:tcBorders>
              <w:tl2br w:val="nil"/>
              <w:tr2bl w:val="nil"/>
            </w:tcBorders>
            <w:vAlign w:val="center"/>
          </w:tcPr>
          <w:p w14:paraId="3438A871">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3B0FC6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1EABEE4F">
            <w:pPr>
              <w:keepNext w:val="0"/>
              <w:keepLines w:val="0"/>
              <w:widowControl/>
              <w:suppressLineNumbers w:val="0"/>
              <w:spacing w:before="0" w:beforeAutospacing="0" w:after="0" w:afterAutospacing="0"/>
              <w:ind w:left="0" w:right="0"/>
              <w:jc w:val="center"/>
              <w:rPr>
                <w:rFonts w:hint="eastAsia"/>
                <w:color w:val="000000"/>
                <w:kern w:val="0"/>
                <w:sz w:val="18"/>
                <w:szCs w:val="18"/>
                <w:highlight w:val="none"/>
              </w:rPr>
            </w:pPr>
            <w:r>
              <w:rPr>
                <w:rFonts w:hint="eastAsia"/>
                <w:color w:val="000000"/>
                <w:kern w:val="0"/>
                <w:sz w:val="18"/>
                <w:szCs w:val="18"/>
                <w:highlight w:val="none"/>
              </w:rPr>
              <w:t>单位性质</w:t>
            </w:r>
          </w:p>
        </w:tc>
        <w:tc>
          <w:tcPr>
            <w:tcW w:w="3974" w:type="pct"/>
            <w:gridSpan w:val="3"/>
            <w:tcBorders>
              <w:tl2br w:val="nil"/>
              <w:tr2bl w:val="nil"/>
            </w:tcBorders>
            <w:vAlign w:val="center"/>
          </w:tcPr>
          <w:p w14:paraId="6BC40BDD">
            <w:pPr>
              <w:keepNext w:val="0"/>
              <w:keepLines w:val="0"/>
              <w:widowControl/>
              <w:suppressLineNumbers w:val="0"/>
              <w:spacing w:before="0" w:beforeAutospacing="0" w:after="0" w:afterAutospacing="0"/>
              <w:ind w:left="0" w:right="0"/>
              <w:rPr>
                <w:rFonts w:hint="default"/>
                <w:color w:val="000000"/>
                <w:kern w:val="0"/>
                <w:sz w:val="18"/>
                <w:szCs w:val="18"/>
                <w:highlight w:val="none"/>
              </w:rPr>
            </w:pPr>
            <w:r>
              <w:rPr>
                <w:rFonts w:hint="eastAsia"/>
                <w:color w:val="000000"/>
                <w:kern w:val="0"/>
                <w:sz w:val="18"/>
                <w:szCs w:val="18"/>
                <w:highlight w:val="none"/>
              </w:rPr>
              <w:t>内资（□国有□集体□民营）□中外合资□港澳台□外商独资</w:t>
            </w:r>
          </w:p>
        </w:tc>
      </w:tr>
      <w:tr w14:paraId="4C49D76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65A95338">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通讯地址</w:t>
            </w:r>
          </w:p>
        </w:tc>
        <w:tc>
          <w:tcPr>
            <w:tcW w:w="3974" w:type="pct"/>
            <w:gridSpan w:val="3"/>
            <w:tcBorders>
              <w:tl2br w:val="nil"/>
              <w:tr2bl w:val="nil"/>
            </w:tcBorders>
            <w:vAlign w:val="center"/>
          </w:tcPr>
          <w:p w14:paraId="39F4FE6E">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16163C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cantSplit/>
          <w:trHeight w:val="567" w:hRule="atLeast"/>
          <w:jc w:val="center"/>
        </w:trPr>
        <w:tc>
          <w:tcPr>
            <w:tcW w:w="1025" w:type="pct"/>
            <w:tcBorders>
              <w:tl2br w:val="nil"/>
              <w:tr2bl w:val="nil"/>
            </w:tcBorders>
            <w:vAlign w:val="center"/>
          </w:tcPr>
          <w:p w14:paraId="2A09D871">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统一社会</w:t>
            </w:r>
          </w:p>
          <w:p w14:paraId="31D23ECB">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信用代码</w:t>
            </w:r>
          </w:p>
        </w:tc>
        <w:tc>
          <w:tcPr>
            <w:tcW w:w="2011" w:type="pct"/>
            <w:tcBorders>
              <w:tl2br w:val="nil"/>
              <w:tr2bl w:val="nil"/>
            </w:tcBorders>
            <w:vAlign w:val="center"/>
          </w:tcPr>
          <w:p w14:paraId="7BA9C1FE">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c>
          <w:tcPr>
            <w:tcW w:w="810" w:type="pct"/>
            <w:tcBorders>
              <w:tl2br w:val="nil"/>
              <w:tr2bl w:val="nil"/>
            </w:tcBorders>
            <w:vAlign w:val="center"/>
          </w:tcPr>
          <w:p w14:paraId="77BFA6BD">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法定代表人</w:t>
            </w:r>
          </w:p>
        </w:tc>
        <w:tc>
          <w:tcPr>
            <w:tcW w:w="1152" w:type="pct"/>
            <w:tcBorders>
              <w:tl2br w:val="nil"/>
              <w:tr2bl w:val="nil"/>
            </w:tcBorders>
            <w:vAlign w:val="center"/>
          </w:tcPr>
          <w:p w14:paraId="6355E7A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r>
      <w:tr w14:paraId="4201FF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46A45B76">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成立日期</w:t>
            </w:r>
          </w:p>
        </w:tc>
        <w:tc>
          <w:tcPr>
            <w:tcW w:w="2011" w:type="pct"/>
            <w:tcBorders>
              <w:tl2br w:val="nil"/>
              <w:tr2bl w:val="nil"/>
            </w:tcBorders>
            <w:vAlign w:val="center"/>
          </w:tcPr>
          <w:p w14:paraId="25FF0DA9">
            <w:pPr>
              <w:keepNext w:val="0"/>
              <w:keepLines w:val="0"/>
              <w:suppressLineNumbers w:val="0"/>
              <w:spacing w:before="0" w:beforeAutospacing="0" w:after="0" w:afterAutospacing="0"/>
              <w:ind w:left="0" w:right="0"/>
              <w:jc w:val="left"/>
              <w:rPr>
                <w:rFonts w:hint="default" w:ascii="Times New Roman" w:hAnsi="Times New Roman" w:eastAsia="宋体" w:cs="Times New Roman"/>
                <w:kern w:val="2"/>
                <w:sz w:val="18"/>
                <w:szCs w:val="18"/>
                <w:highlight w:val="none"/>
                <w:lang w:val="en-US" w:eastAsia="zh-CN" w:bidi="ar-SA"/>
              </w:rPr>
            </w:pPr>
          </w:p>
        </w:tc>
        <w:tc>
          <w:tcPr>
            <w:tcW w:w="810" w:type="pct"/>
            <w:tcBorders>
              <w:tl2br w:val="nil"/>
              <w:tr2bl w:val="nil"/>
            </w:tcBorders>
            <w:vAlign w:val="center"/>
          </w:tcPr>
          <w:p w14:paraId="13D2F04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注册资本</w:t>
            </w:r>
          </w:p>
        </w:tc>
        <w:tc>
          <w:tcPr>
            <w:tcW w:w="1152" w:type="pct"/>
            <w:tcBorders>
              <w:tl2br w:val="nil"/>
              <w:tr2bl w:val="nil"/>
            </w:tcBorders>
            <w:vAlign w:val="center"/>
          </w:tcPr>
          <w:p w14:paraId="0B610693">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00F83D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000" w:type="pct"/>
            <w:gridSpan w:val="4"/>
            <w:tcBorders>
              <w:bottom w:val="single" w:color="000000" w:sz="12" w:space="0"/>
            </w:tcBorders>
            <w:vAlign w:val="center"/>
          </w:tcPr>
          <w:p w14:paraId="0F1FD97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ascii="黑体" w:hAnsi="黑体" w:eastAsia="黑体" w:cs="黑体"/>
                <w:color w:val="000000"/>
                <w:kern w:val="0"/>
                <w:sz w:val="18"/>
                <w:szCs w:val="18"/>
                <w:highlight w:val="none"/>
                <w:lang w:val="en-US" w:eastAsia="zh-CN"/>
              </w:rPr>
              <w:t>表C.2</w:t>
            </w:r>
            <w:r>
              <w:rPr>
                <w:rFonts w:hint="eastAsia" w:asciiTheme="minorEastAsia" w:hAnsiTheme="minorEastAsia" w:eastAsiaTheme="minorEastAsia" w:cstheme="minorEastAsia"/>
                <w:color w:val="000000"/>
                <w:kern w:val="0"/>
                <w:sz w:val="18"/>
                <w:szCs w:val="18"/>
                <w:highlight w:val="none"/>
                <w:lang w:val="en-US" w:eastAsia="zh-CN"/>
              </w:rPr>
              <w:t>（第2页/共2页）</w:t>
            </w:r>
          </w:p>
        </w:tc>
      </w:tr>
      <w:tr w14:paraId="49897E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op w:val="single" w:color="000000" w:sz="12" w:space="0"/>
              <w:tl2br w:val="nil"/>
              <w:tr2bl w:val="nil"/>
            </w:tcBorders>
            <w:vAlign w:val="center"/>
          </w:tcPr>
          <w:p w14:paraId="7A392BDB">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联系人</w:t>
            </w:r>
          </w:p>
        </w:tc>
        <w:tc>
          <w:tcPr>
            <w:tcW w:w="2011" w:type="pct"/>
            <w:tcBorders>
              <w:top w:val="single" w:color="000000" w:sz="12" w:space="0"/>
              <w:tl2br w:val="nil"/>
              <w:tr2bl w:val="nil"/>
            </w:tcBorders>
            <w:vAlign w:val="center"/>
          </w:tcPr>
          <w:p w14:paraId="03331184">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18"/>
                <w:szCs w:val="18"/>
                <w:highlight w:val="none"/>
                <w:lang w:val="en-US" w:eastAsia="zh-CN" w:bidi="ar-SA"/>
              </w:rPr>
            </w:pPr>
          </w:p>
        </w:tc>
        <w:tc>
          <w:tcPr>
            <w:tcW w:w="810" w:type="pct"/>
            <w:tcBorders>
              <w:top w:val="single" w:color="000000" w:sz="12" w:space="0"/>
              <w:tl2br w:val="nil"/>
              <w:tr2bl w:val="nil"/>
            </w:tcBorders>
            <w:vAlign w:val="center"/>
          </w:tcPr>
          <w:p w14:paraId="2318A836">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联系电话</w:t>
            </w:r>
          </w:p>
        </w:tc>
        <w:tc>
          <w:tcPr>
            <w:tcW w:w="1152" w:type="pct"/>
            <w:tcBorders>
              <w:top w:val="single" w:color="000000" w:sz="12" w:space="0"/>
              <w:tl2br w:val="nil"/>
              <w:tr2bl w:val="nil"/>
            </w:tcBorders>
            <w:vAlign w:val="center"/>
          </w:tcPr>
          <w:p w14:paraId="488A406B">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74B764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0B5CC3C3">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rPr>
              <w:t>所属行业</w:t>
            </w:r>
            <w:r>
              <w:rPr>
                <w:rFonts w:hint="eastAsia"/>
                <w:color w:val="000000"/>
                <w:kern w:val="0"/>
                <w:sz w:val="18"/>
                <w:szCs w:val="18"/>
                <w:highlight w:val="none"/>
                <w:lang w:val="en-US" w:eastAsia="zh-CN"/>
              </w:rPr>
              <w:t>及代码</w:t>
            </w:r>
            <w:r>
              <w:rPr>
                <w:rFonts w:hint="eastAsia" w:ascii="宋体" w:hAnsi="宋体" w:eastAsia="宋体" w:cs="宋体"/>
                <w:color w:val="000000"/>
                <w:kern w:val="0"/>
                <w:sz w:val="18"/>
                <w:szCs w:val="18"/>
                <w:highlight w:val="none"/>
                <w:vertAlign w:val="superscript"/>
                <w:lang w:val="en-US" w:eastAsia="zh-CN"/>
              </w:rPr>
              <w:t>a</w:t>
            </w:r>
          </w:p>
        </w:tc>
        <w:tc>
          <w:tcPr>
            <w:tcW w:w="3974" w:type="pct"/>
            <w:gridSpan w:val="3"/>
            <w:tcBorders>
              <w:tl2br w:val="nil"/>
              <w:tr2bl w:val="nil"/>
            </w:tcBorders>
            <w:vAlign w:val="center"/>
          </w:tcPr>
          <w:p w14:paraId="1276E3DA">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3767E0A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2376B3FB">
            <w:pPr>
              <w:keepNext w:val="0"/>
              <w:keepLines w:val="0"/>
              <w:widowControl/>
              <w:suppressLineNumbers w:val="0"/>
              <w:spacing w:before="0" w:beforeAutospacing="0" w:after="0" w:afterAutospacing="0"/>
              <w:ind w:left="0" w:right="0"/>
              <w:rPr>
                <w:rFonts w:hint="default"/>
                <w:b/>
                <w:kern w:val="0"/>
                <w:sz w:val="18"/>
                <w:szCs w:val="18"/>
                <w:highlight w:val="none"/>
              </w:rPr>
            </w:pPr>
            <w:r>
              <w:rPr>
                <w:rFonts w:hint="eastAsia"/>
                <w:b/>
                <w:kern w:val="0"/>
                <w:sz w:val="18"/>
                <w:szCs w:val="18"/>
                <w:highlight w:val="none"/>
              </w:rPr>
              <w:t>材料真实性承诺</w:t>
            </w:r>
            <w:r>
              <w:rPr>
                <w:rFonts w:hint="eastAsia"/>
                <w:b/>
                <w:kern w:val="0"/>
                <w:sz w:val="18"/>
                <w:szCs w:val="18"/>
                <w:highlight w:val="none"/>
                <w:lang w:eastAsia="zh-CN"/>
              </w:rPr>
              <w:t>：</w:t>
            </w:r>
          </w:p>
          <w:p w14:paraId="0DF48044">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797A692">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29F6C7A1">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18456F16">
            <w:pPr>
              <w:pStyle w:val="12"/>
              <w:keepNext w:val="0"/>
              <w:keepLines w:val="0"/>
              <w:suppressLineNumbers w:val="0"/>
              <w:spacing w:before="0" w:beforeAutospacing="0" w:after="0" w:afterAutospacing="0"/>
              <w:ind w:left="0" w:right="0"/>
              <w:rPr>
                <w:rFonts w:hint="default"/>
                <w:highlight w:val="none"/>
              </w:rPr>
            </w:pPr>
          </w:p>
          <w:p w14:paraId="4B5F2C52">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r>
              <w:rPr>
                <w:rFonts w:hint="eastAsia"/>
                <w:kern w:val="0"/>
                <w:sz w:val="18"/>
                <w:szCs w:val="18"/>
                <w:highlight w:val="none"/>
              </w:rPr>
              <w:t>我单位郑重承诺：本次申报绿色</w:t>
            </w:r>
            <w:r>
              <w:rPr>
                <w:rFonts w:hint="eastAsia"/>
                <w:kern w:val="0"/>
                <w:sz w:val="18"/>
                <w:szCs w:val="18"/>
                <w:highlight w:val="none"/>
                <w:lang w:val="en-US" w:eastAsia="zh-CN"/>
              </w:rPr>
              <w:t>低碳</w:t>
            </w:r>
            <w:r>
              <w:rPr>
                <w:rFonts w:hint="eastAsia"/>
                <w:kern w:val="0"/>
                <w:sz w:val="18"/>
                <w:szCs w:val="18"/>
                <w:highlight w:val="none"/>
              </w:rPr>
              <w:t>产业</w:t>
            </w:r>
            <w:r>
              <w:rPr>
                <w:rFonts w:hint="eastAsia"/>
                <w:kern w:val="0"/>
                <w:sz w:val="18"/>
                <w:szCs w:val="18"/>
                <w:highlight w:val="none"/>
                <w:lang w:val="en-US" w:eastAsia="zh-CN"/>
              </w:rPr>
              <w:t>企业</w:t>
            </w:r>
            <w:r>
              <w:rPr>
                <w:rFonts w:hint="eastAsia"/>
                <w:kern w:val="0"/>
                <w:sz w:val="18"/>
                <w:szCs w:val="18"/>
                <w:highlight w:val="none"/>
              </w:rPr>
              <w:t>认定所提交的相关数据和信息均真实、有效，愿接受并积极配合主管部门的跟踪抽查。如有违反，愿承担由此产生的相应责任。</w:t>
            </w:r>
          </w:p>
          <w:p w14:paraId="730B5855">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57B21C79">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73D8D2D8">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1CEED544">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法人或单位负责人签字：          </w:t>
            </w:r>
          </w:p>
          <w:p w14:paraId="6D602890">
            <w:pPr>
              <w:keepNext w:val="0"/>
              <w:keepLines w:val="0"/>
              <w:widowControl/>
              <w:suppressLineNumbers w:val="0"/>
              <w:spacing w:before="0" w:beforeAutospacing="0" w:after="0" w:afterAutospacing="0"/>
              <w:ind w:left="0" w:right="0"/>
              <w:rPr>
                <w:rFonts w:hint="eastAsia"/>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（公章）</w:t>
            </w:r>
          </w:p>
          <w:p w14:paraId="356C8199">
            <w:pPr>
              <w:keepNext w:val="0"/>
              <w:keepLines w:val="0"/>
              <w:widowControl/>
              <w:suppressLineNumbers w:val="0"/>
              <w:wordWrap w:val="0"/>
              <w:spacing w:before="0" w:beforeAutospacing="0" w:after="0" w:afterAutospacing="0"/>
              <w:ind w:left="0" w:right="0"/>
              <w:jc w:val="center"/>
              <w:rPr>
                <w:rFonts w:hint="eastAsia"/>
                <w:b/>
                <w:kern w:val="0"/>
                <w:sz w:val="18"/>
                <w:szCs w:val="18"/>
                <w:highlight w:val="none"/>
              </w:rPr>
            </w:pPr>
            <w:r>
              <w:rPr>
                <w:rFonts w:hint="eastAsia"/>
                <w:b/>
                <w:kern w:val="0"/>
                <w:sz w:val="18"/>
                <w:szCs w:val="18"/>
                <w:highlight w:val="none"/>
              </w:rPr>
              <w:t xml:space="preserve">                           日期：     </w:t>
            </w:r>
          </w:p>
          <w:p w14:paraId="21E94BFD">
            <w:pPr>
              <w:keepNext w:val="0"/>
              <w:keepLines w:val="0"/>
              <w:widowControl/>
              <w:suppressLineNumbers w:val="0"/>
              <w:wordWrap w:val="0"/>
              <w:spacing w:before="0" w:beforeAutospacing="0" w:after="0" w:afterAutospacing="0"/>
              <w:ind w:left="0" w:right="0"/>
              <w:jc w:val="center"/>
              <w:rPr>
                <w:rFonts w:hint="eastAsia"/>
                <w:b/>
                <w:kern w:val="0"/>
                <w:sz w:val="18"/>
                <w:szCs w:val="18"/>
                <w:highlight w:val="none"/>
              </w:rPr>
            </w:pPr>
          </w:p>
          <w:p w14:paraId="5761BD89">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p>
        </w:tc>
      </w:tr>
      <w:tr w14:paraId="18F1335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6E02214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360" w:firstLineChars="200"/>
              <w:jc w:val="left"/>
              <w:textAlignment w:val="auto"/>
              <w:rPr>
                <w:rFonts w:hint="default" w:eastAsia="宋体"/>
                <w:b/>
                <w:kern w:val="0"/>
                <w:sz w:val="18"/>
                <w:szCs w:val="18"/>
                <w:highlight w:val="none"/>
                <w:lang w:val="en-US" w:eastAsia="zh-CN"/>
              </w:rPr>
            </w:pPr>
            <w:r>
              <w:rPr>
                <w:rFonts w:hint="eastAsia" w:ascii="宋体" w:hAnsi="宋体" w:eastAsia="宋体" w:cs="宋体"/>
                <w:b w:val="0"/>
                <w:bCs/>
                <w:kern w:val="0"/>
                <w:sz w:val="18"/>
                <w:szCs w:val="18"/>
                <w:highlight w:val="none"/>
                <w:vertAlign w:val="superscript"/>
                <w:lang w:val="en-US" w:eastAsia="zh-CN"/>
              </w:rPr>
              <w:t>a</w:t>
            </w:r>
            <w:r>
              <w:rPr>
                <w:rFonts w:hint="eastAsia" w:ascii="宋体" w:hAnsi="宋体" w:eastAsia="宋体" w:cs="宋体"/>
                <w:b w:val="0"/>
                <w:bCs/>
                <w:kern w:val="0"/>
                <w:sz w:val="18"/>
                <w:szCs w:val="18"/>
                <w:highlight w:val="none"/>
                <w:lang w:val="en-US" w:eastAsia="zh-CN"/>
              </w:rPr>
              <w:t xml:space="preserve">  行业类别参照相关政府职能部门发布的绿色低碳产业相关指导目录的第三级分类进行填报。</w:t>
            </w:r>
          </w:p>
        </w:tc>
      </w:tr>
    </w:tbl>
    <w:p w14:paraId="0F615E9A">
      <w:pPr>
        <w:pStyle w:val="92"/>
        <w:numPr>
          <w:ilvl w:val="1"/>
          <w:numId w:val="0"/>
        </w:numPr>
        <w:spacing w:before="156" w:after="156"/>
        <w:jc w:val="both"/>
        <w:rPr>
          <w:rFonts w:hAnsi="黑体" w:cs="黑体"/>
          <w:highlight w:val="none"/>
        </w:rPr>
      </w:pPr>
      <w:r>
        <w:rPr>
          <w:rFonts w:hint="eastAsia" w:hAnsi="黑体" w:cs="黑体"/>
          <w:highlight w:val="none"/>
          <w:lang w:val="en-US" w:eastAsia="zh-CN"/>
        </w:rPr>
        <w:t>C.3  基本情况概述</w:t>
      </w:r>
    </w:p>
    <w:p w14:paraId="17B16E5B">
      <w:pPr>
        <w:pStyle w:val="26"/>
        <w:rPr>
          <w:rFonts w:ascii="Times New Roman" w:eastAsia="Times New Roman"/>
          <w:szCs w:val="24"/>
          <w:highlight w:val="none"/>
        </w:rPr>
      </w:pPr>
      <w:r>
        <w:rPr>
          <w:rFonts w:hint="eastAsia" w:ascii="Times New Roman"/>
          <w:szCs w:val="24"/>
          <w:highlight w:val="none"/>
        </w:rPr>
        <w:t>概述企事业单位的</w:t>
      </w:r>
      <w:r>
        <w:rPr>
          <w:rFonts w:hint="eastAsia" w:ascii="Times New Roman"/>
          <w:szCs w:val="24"/>
          <w:highlight w:val="none"/>
          <w:lang w:val="en-US" w:eastAsia="zh-CN"/>
        </w:rPr>
        <w:t>经营范围、申请认定评价的绿色业务经营情况、在绿色发展方面开展的重点工作及取得的成效等。</w:t>
      </w:r>
    </w:p>
    <w:p w14:paraId="69ED5DAC">
      <w:pPr>
        <w:pStyle w:val="92"/>
        <w:numPr>
          <w:ilvl w:val="1"/>
          <w:numId w:val="0"/>
        </w:numPr>
        <w:spacing w:before="156" w:after="156"/>
        <w:jc w:val="both"/>
        <w:rPr>
          <w:rFonts w:hint="default" w:hAnsi="黑体" w:cs="黑体"/>
          <w:highlight w:val="none"/>
          <w:lang w:val="en-US"/>
        </w:rPr>
      </w:pPr>
      <w:r>
        <w:rPr>
          <w:rFonts w:hint="eastAsia" w:hAnsi="黑体" w:cs="黑体"/>
          <w:highlight w:val="none"/>
          <w:lang w:val="en-US" w:eastAsia="zh-CN"/>
        </w:rPr>
        <w:t>C.4  评价工作概述</w:t>
      </w:r>
    </w:p>
    <w:p w14:paraId="544BD4F4">
      <w:pPr>
        <w:pStyle w:val="26"/>
        <w:rPr>
          <w:rFonts w:ascii="Times New Roman" w:eastAsia="Times New Roman"/>
          <w:szCs w:val="24"/>
          <w:highlight w:val="none"/>
        </w:rPr>
      </w:pPr>
      <w:r>
        <w:rPr>
          <w:rFonts w:hint="eastAsia" w:ascii="Times New Roman"/>
          <w:szCs w:val="24"/>
          <w:highlight w:val="none"/>
          <w:lang w:val="en-US" w:eastAsia="zh-CN"/>
        </w:rPr>
        <w:t>概述绿色低碳产业企业认定申报工作具体开展情况，包括但不限于工作组设立情况、收集资料类型、报告编制情况等。</w:t>
      </w:r>
      <w:r>
        <w:rPr>
          <w:rFonts w:hint="eastAsia" w:ascii="Times New Roman"/>
          <w:szCs w:val="24"/>
          <w:highlight w:val="none"/>
        </w:rPr>
        <w:t xml:space="preserve"> </w:t>
      </w:r>
    </w:p>
    <w:p w14:paraId="7E4E5A04">
      <w:pPr>
        <w:pStyle w:val="92"/>
        <w:numPr>
          <w:ilvl w:val="1"/>
          <w:numId w:val="0"/>
        </w:numPr>
        <w:spacing w:before="156" w:after="156"/>
        <w:jc w:val="both"/>
        <w:rPr>
          <w:rFonts w:hint="default" w:ascii="Times New Roman" w:eastAsia="Times New Roman"/>
          <w:highlight w:val="none"/>
          <w:lang w:val="en-US"/>
        </w:rPr>
      </w:pPr>
      <w:r>
        <w:rPr>
          <w:rFonts w:hint="eastAsia" w:hAnsi="黑体" w:cs="黑体"/>
          <w:highlight w:val="none"/>
          <w:lang w:val="en-US" w:eastAsia="zh-CN"/>
        </w:rPr>
        <w:t>C.5  绿色低碳产业企业认定情况</w:t>
      </w:r>
    </w:p>
    <w:p w14:paraId="093F7AB9">
      <w:pPr>
        <w:pStyle w:val="92"/>
        <w:numPr>
          <w:ilvl w:val="1"/>
          <w:numId w:val="0"/>
        </w:numPr>
        <w:spacing w:before="156" w:after="156"/>
        <w:jc w:val="both"/>
        <w:rPr>
          <w:rFonts w:hAnsi="黑体" w:cs="黑体"/>
          <w:highlight w:val="none"/>
        </w:rPr>
      </w:pPr>
      <w:r>
        <w:rPr>
          <w:rFonts w:hint="eastAsia" w:hAnsi="黑体" w:cs="黑体"/>
          <w:highlight w:val="none"/>
          <w:lang w:val="en-US" w:eastAsia="zh-CN"/>
        </w:rPr>
        <w:t>C.5.1  符合性评价</w:t>
      </w:r>
    </w:p>
    <w:p w14:paraId="2385411E">
      <w:pPr>
        <w:pStyle w:val="26"/>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对以下内容进行具体描述：</w:t>
      </w:r>
    </w:p>
    <w:p w14:paraId="02457A8E">
      <w:pPr>
        <w:pStyle w:val="26"/>
        <w:ind w:left="840" w:leftChars="200" w:hanging="420" w:hangingChars="200"/>
        <w:rPr>
          <w:rFonts w:hint="eastAsia" w:ascii="宋体" w:hAnsi="宋体" w:eastAsia="宋体" w:cs="宋体"/>
          <w:szCs w:val="24"/>
          <w:highlight w:val="none"/>
          <w:lang w:eastAsia="zh-CN"/>
        </w:rPr>
      </w:pP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目录符合</w:t>
      </w:r>
      <w:r>
        <w:rPr>
          <w:rFonts w:hint="eastAsia" w:ascii="宋体" w:hAnsi="宋体" w:eastAsia="宋体" w:cs="宋体"/>
          <w:szCs w:val="24"/>
          <w:highlight w:val="none"/>
          <w:lang w:eastAsia="zh-CN"/>
        </w:rPr>
        <w:t>：</w:t>
      </w:r>
      <w:r>
        <w:rPr>
          <w:rFonts w:hint="eastAsia" w:ascii="宋体" w:hAnsi="宋体" w:eastAsia="宋体" w:cs="宋体"/>
          <w:szCs w:val="24"/>
          <w:highlight w:val="none"/>
        </w:rPr>
        <w:t>主要描述申报认定评价的</w:t>
      </w:r>
      <w:r>
        <w:rPr>
          <w:rFonts w:hint="eastAsia" w:ascii="宋体" w:hAnsi="宋体" w:eastAsia="宋体" w:cs="宋体"/>
          <w:szCs w:val="24"/>
          <w:highlight w:val="none"/>
          <w:lang w:val="en-US" w:eastAsia="zh-CN"/>
        </w:rPr>
        <w:t>绿色业务</w:t>
      </w:r>
      <w:r>
        <w:rPr>
          <w:rFonts w:hint="eastAsia" w:ascii="宋体" w:hAnsi="宋体" w:eastAsia="宋体" w:cs="宋体"/>
          <w:szCs w:val="24"/>
          <w:highlight w:val="none"/>
        </w:rPr>
        <w:t>属于</w:t>
      </w:r>
      <w:r>
        <w:rPr>
          <w:rFonts w:hint="eastAsia" w:hAnsi="宋体" w:cs="宋体"/>
          <w:szCs w:val="24"/>
          <w:highlight w:val="none"/>
          <w:lang w:val="en-US" w:eastAsia="zh-CN"/>
        </w:rPr>
        <w:t>环境基础设施</w:t>
      </w:r>
      <w:r>
        <w:rPr>
          <w:rFonts w:hint="eastAsia" w:ascii="宋体" w:hAnsi="宋体" w:eastAsia="宋体" w:cs="宋体"/>
          <w:szCs w:val="24"/>
          <w:highlight w:val="none"/>
          <w:lang w:val="en-US" w:eastAsia="zh-CN"/>
        </w:rPr>
        <w:t>领域</w:t>
      </w:r>
      <w:r>
        <w:rPr>
          <w:rFonts w:hint="eastAsia" w:ascii="宋体" w:hAnsi="宋体" w:eastAsia="宋体" w:cs="宋体"/>
          <w:szCs w:val="24"/>
          <w:highlight w:val="none"/>
        </w:rPr>
        <w:t>，且其</w:t>
      </w:r>
      <w:r>
        <w:rPr>
          <w:rFonts w:hint="eastAsia" w:hAnsi="宋体" w:cs="宋体"/>
          <w:szCs w:val="24"/>
          <w:highlight w:val="none"/>
          <w:lang w:val="en-US" w:eastAsia="zh-CN"/>
        </w:rPr>
        <w:t>环境基础设施</w:t>
      </w:r>
      <w:r>
        <w:rPr>
          <w:rFonts w:hint="eastAsia" w:ascii="宋体" w:hAnsi="宋体" w:eastAsia="宋体" w:cs="宋体"/>
          <w:szCs w:val="24"/>
          <w:highlight w:val="none"/>
          <w:lang w:val="en-US" w:eastAsia="zh-CN"/>
        </w:rPr>
        <w:t>领域</w:t>
      </w:r>
      <w:r>
        <w:rPr>
          <w:rFonts w:hint="eastAsia" w:ascii="宋体" w:hAnsi="宋体" w:eastAsia="宋体" w:cs="宋体"/>
          <w:szCs w:val="24"/>
          <w:highlight w:val="none"/>
        </w:rPr>
        <w:t>绿色业务占比达到50%</w:t>
      </w:r>
      <w:r>
        <w:rPr>
          <w:rFonts w:hint="eastAsia" w:ascii="宋体" w:hAnsi="宋体" w:eastAsia="宋体" w:cs="宋体"/>
          <w:szCs w:val="24"/>
          <w:highlight w:val="none"/>
          <w:lang w:val="en-US" w:eastAsia="zh-CN"/>
        </w:rPr>
        <w:t>及</w:t>
      </w:r>
      <w:r>
        <w:rPr>
          <w:rFonts w:hint="eastAsia" w:ascii="宋体" w:hAnsi="宋体" w:eastAsia="宋体" w:cs="宋体"/>
          <w:szCs w:val="24"/>
          <w:highlight w:val="none"/>
        </w:rPr>
        <w:t>以上</w:t>
      </w:r>
      <w:r>
        <w:rPr>
          <w:rFonts w:hint="eastAsia" w:ascii="宋体" w:hAnsi="宋体" w:eastAsia="宋体" w:cs="宋体"/>
          <w:szCs w:val="24"/>
          <w:highlight w:val="none"/>
          <w:lang w:eastAsia="zh-CN"/>
        </w:rPr>
        <w:t>，</w:t>
      </w:r>
      <w:r>
        <w:rPr>
          <w:rFonts w:hint="eastAsia" w:ascii="宋体" w:hAnsi="宋体" w:eastAsia="宋体" w:cs="宋体"/>
          <w:szCs w:val="24"/>
          <w:highlight w:val="none"/>
        </w:rPr>
        <w:t>或</w:t>
      </w:r>
      <w:r>
        <w:rPr>
          <w:rFonts w:hint="eastAsia" w:ascii="宋体" w:hAnsi="宋体" w:eastAsia="宋体" w:cs="宋体"/>
          <w:szCs w:val="24"/>
          <w:highlight w:val="none"/>
          <w:lang w:val="en-US" w:eastAsia="zh-CN"/>
        </w:rPr>
        <w:t>绿色业务</w:t>
      </w:r>
      <w:r>
        <w:rPr>
          <w:rFonts w:hint="eastAsia" w:ascii="宋体" w:hAnsi="宋体" w:eastAsia="宋体" w:cs="宋体"/>
          <w:szCs w:val="24"/>
          <w:highlight w:val="none"/>
        </w:rPr>
        <w:t>规模达到1亿元</w:t>
      </w:r>
      <w:r>
        <w:rPr>
          <w:rFonts w:hint="eastAsia" w:hAnsi="宋体" w:cs="宋体"/>
          <w:szCs w:val="24"/>
          <w:highlight w:val="none"/>
          <w:lang w:eastAsia="zh-CN"/>
        </w:rPr>
        <w:t>；</w:t>
      </w:r>
      <w:r>
        <w:rPr>
          <w:rFonts w:hint="eastAsia" w:ascii="宋体" w:hAnsi="宋体" w:eastAsia="宋体" w:cs="宋体"/>
          <w:szCs w:val="24"/>
          <w:highlight w:val="none"/>
        </w:rPr>
        <w:t>或在</w:t>
      </w:r>
      <w:r>
        <w:rPr>
          <w:rFonts w:hint="eastAsia" w:hAnsi="宋体" w:cs="宋体"/>
          <w:szCs w:val="24"/>
          <w:highlight w:val="none"/>
          <w:lang w:val="en-US" w:eastAsia="zh-CN"/>
        </w:rPr>
        <w:t>当地</w:t>
      </w:r>
      <w:r>
        <w:rPr>
          <w:rFonts w:hint="eastAsia" w:ascii="宋体" w:hAnsi="宋体" w:eastAsia="宋体" w:cs="宋体"/>
          <w:szCs w:val="24"/>
          <w:highlight w:val="none"/>
        </w:rPr>
        <w:t>具备一定市场规模</w:t>
      </w:r>
      <w:r>
        <w:rPr>
          <w:rFonts w:hint="eastAsia" w:hAnsi="宋体" w:cs="宋体"/>
          <w:szCs w:val="24"/>
          <w:highlight w:val="none"/>
          <w:lang w:eastAsia="zh-CN"/>
        </w:rPr>
        <w:t>、</w:t>
      </w:r>
      <w:r>
        <w:rPr>
          <w:rFonts w:hint="eastAsia" w:ascii="宋体" w:hAnsi="宋体" w:eastAsia="宋体" w:cs="宋体"/>
          <w:szCs w:val="24"/>
          <w:highlight w:val="none"/>
        </w:rPr>
        <w:t>经</w:t>
      </w:r>
      <w:r>
        <w:rPr>
          <w:rFonts w:hint="eastAsia" w:ascii="宋体" w:hAnsi="宋体" w:eastAsia="宋体" w:cs="宋体"/>
          <w:szCs w:val="24"/>
          <w:highlight w:val="none"/>
          <w:lang w:val="en-US" w:eastAsia="zh-CN"/>
        </w:rPr>
        <w:t>相关政府职能部门</w:t>
      </w:r>
      <w:r>
        <w:rPr>
          <w:rFonts w:hint="eastAsia" w:ascii="宋体" w:hAnsi="宋体" w:eastAsia="宋体" w:cs="宋体"/>
          <w:szCs w:val="24"/>
          <w:highlight w:val="none"/>
        </w:rPr>
        <w:t>认可的相关行业</w:t>
      </w:r>
      <w:r>
        <w:rPr>
          <w:rFonts w:hint="eastAsia" w:ascii="宋体" w:hAnsi="宋体" w:eastAsia="宋体" w:cs="宋体"/>
          <w:szCs w:val="24"/>
          <w:highlight w:val="none"/>
          <w:lang w:eastAsia="zh-CN"/>
        </w:rPr>
        <w:t>。</w:t>
      </w:r>
    </w:p>
    <w:p w14:paraId="12AE9CF9">
      <w:pPr>
        <w:pStyle w:val="26"/>
        <w:ind w:left="840" w:leftChars="200" w:hanging="420" w:hangingChars="200"/>
        <w:rPr>
          <w:rFonts w:hint="default" w:ascii="Times New Roman" w:eastAsia="Times New Roman"/>
          <w:szCs w:val="24"/>
          <w:highlight w:val="none"/>
          <w:lang w:val="en-US"/>
        </w:rPr>
      </w:pPr>
      <w:r>
        <w:rPr>
          <w:rFonts w:hint="eastAsia" w:ascii="宋体" w:hAnsi="宋体" w:eastAsia="宋体" w:cs="宋体"/>
          <w:szCs w:val="24"/>
          <w:highlight w:val="none"/>
          <w:lang w:eastAsia="zh-CN"/>
        </w:rPr>
        <w:t>——</w:t>
      </w:r>
      <w:r>
        <w:rPr>
          <w:rFonts w:hint="eastAsia" w:ascii="宋体" w:hAnsi="宋体" w:eastAsia="宋体" w:cs="宋体"/>
          <w:szCs w:val="24"/>
          <w:highlight w:val="none"/>
        </w:rPr>
        <w:t>技术符合</w:t>
      </w:r>
      <w:r>
        <w:rPr>
          <w:rFonts w:hint="eastAsia" w:hAnsi="宋体" w:cs="宋体"/>
          <w:szCs w:val="24"/>
          <w:highlight w:val="none"/>
          <w:lang w:eastAsia="zh-CN"/>
        </w:rPr>
        <w:t>：</w:t>
      </w:r>
      <w:r>
        <w:rPr>
          <w:rFonts w:hint="eastAsia" w:ascii="宋体" w:hAnsi="宋体" w:eastAsia="宋体" w:cs="宋体"/>
          <w:szCs w:val="24"/>
          <w:highlight w:val="none"/>
        </w:rPr>
        <w:t>提供的产品或服务应符合国家、广东省及深圳市相关主管部门发布文件列明的有关设计、能效、性能、安全、贮存、回收、标识、验收、管理和运维等技术要求。</w:t>
      </w:r>
    </w:p>
    <w:p w14:paraId="3EFBB1CC">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 xml:space="preserve">2  </w:t>
      </w:r>
      <w:r>
        <w:rPr>
          <w:rFonts w:hint="eastAsia" w:hAnsi="黑体" w:cs="黑体"/>
          <w:highlight w:val="none"/>
        </w:rPr>
        <w:t>综合评价</w:t>
      </w:r>
    </w:p>
    <w:p w14:paraId="3DB8C9A5">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.1</w:t>
      </w:r>
      <w:r>
        <w:rPr>
          <w:rFonts w:hint="eastAsia" w:hAnsi="黑体" w:cs="黑体"/>
          <w:highlight w:val="none"/>
          <w:lang w:val="en-US" w:eastAsia="zh-CN"/>
        </w:rPr>
        <w:t xml:space="preserve">  </w:t>
      </w:r>
      <w:r>
        <w:rPr>
          <w:rFonts w:hint="eastAsia" w:hAnsi="黑体" w:cs="黑体"/>
          <w:highlight w:val="none"/>
        </w:rPr>
        <w:t>技术表现</w:t>
      </w:r>
    </w:p>
    <w:p w14:paraId="4E8F8228">
      <w:pPr>
        <w:pStyle w:val="26"/>
        <w:rPr>
          <w:rFonts w:ascii="宋体" w:hAnsi="宋体" w:eastAsia="宋体" w:cs="宋体"/>
          <w:highlight w:val="none"/>
        </w:rPr>
      </w:pPr>
      <w:r>
        <w:rPr>
          <w:rFonts w:hint="eastAsia" w:ascii="宋体" w:hAnsi="宋体" w:eastAsia="宋体" w:cs="宋体"/>
          <w:highlight w:val="none"/>
        </w:rPr>
        <w:t>对以下内容进行具体描述：</w:t>
      </w:r>
    </w:p>
    <w:p w14:paraId="0A9A0572">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——先进性：主要描述有效知识产权、制修订标准、关键技术先进性等情况；</w:t>
      </w:r>
    </w:p>
    <w:p w14:paraId="7031116E">
      <w:pPr>
        <w:pStyle w:val="26"/>
        <w:ind w:left="840" w:leftChars="200" w:hanging="420" w:hangingChars="200"/>
        <w:rPr>
          <w:rFonts w:ascii="Times New Roman" w:eastAsia="Times New Roman"/>
          <w:szCs w:val="24"/>
          <w:highlight w:val="none"/>
        </w:rPr>
      </w:pPr>
      <w:r>
        <w:rPr>
          <w:rFonts w:hint="eastAsia" w:ascii="宋体" w:hAnsi="宋体" w:eastAsia="宋体" w:cs="宋体"/>
          <w:sz w:val="21"/>
          <w:highlight w:val="none"/>
          <w:lang w:val="en-US" w:eastAsia="zh-CN" w:bidi="ar-SA"/>
        </w:rPr>
        <w:t>——环境效益：主要描述在</w:t>
      </w:r>
      <w:r>
        <w:rPr>
          <w:rFonts w:ascii="Times New Roman" w:hAnsi="Times New Roman" w:eastAsia="宋体" w:cs="Times New Roman"/>
          <w:sz w:val="21"/>
          <w:highlight w:val="none"/>
          <w:lang w:val="en-US" w:eastAsia="zh-CN" w:bidi="ar-SA"/>
        </w:rPr>
        <w:t>资源节约、环境友好、生态良好</w:t>
      </w:r>
      <w:r>
        <w:rPr>
          <w:rFonts w:hint="eastAsia" w:ascii="宋体" w:hAnsi="宋体" w:eastAsia="宋体" w:cs="宋体"/>
          <w:sz w:val="21"/>
          <w:highlight w:val="none"/>
          <w:lang w:val="en-US" w:eastAsia="zh-CN" w:bidi="ar-SA"/>
        </w:rPr>
        <w:t>等方面实际产生的环境效益贡献量和涉及的环境效益种类数量。从生态环保效益、资源综合利用效益以及其他效益进行评估，按照</w:t>
      </w:r>
      <w:r>
        <w:rPr>
          <w:rFonts w:hint="eastAsia" w:hAnsi="宋体" w:cs="宋体"/>
          <w:sz w:val="21"/>
          <w:highlight w:val="none"/>
          <w:lang w:val="en-US" w:eastAsia="zh-CN" w:bidi="ar-SA"/>
        </w:rPr>
        <w:t>5.2.1.2</w:t>
      </w:r>
      <w:r>
        <w:rPr>
          <w:rFonts w:hint="eastAsia" w:ascii="宋体" w:hAnsi="宋体" w:eastAsia="宋体" w:cs="宋体"/>
          <w:sz w:val="21"/>
          <w:highlight w:val="none"/>
          <w:lang w:val="en-US" w:eastAsia="zh-CN" w:bidi="ar-SA"/>
        </w:rPr>
        <w:t>规定的环境效益指标进行量化评估。</w:t>
      </w:r>
    </w:p>
    <w:p w14:paraId="1CDDF516">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.2</w:t>
      </w:r>
      <w:r>
        <w:rPr>
          <w:rFonts w:hint="eastAsia" w:hAnsi="黑体" w:cs="黑体"/>
          <w:highlight w:val="none"/>
          <w:lang w:val="en-US" w:eastAsia="zh-CN"/>
        </w:rPr>
        <w:t xml:space="preserve">  </w:t>
      </w:r>
      <w:r>
        <w:rPr>
          <w:rFonts w:hint="eastAsia" w:hAnsi="黑体" w:cs="黑体"/>
          <w:highlight w:val="none"/>
        </w:rPr>
        <w:t>业务表现</w:t>
      </w:r>
    </w:p>
    <w:p w14:paraId="51462E34">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21105881">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——发展能力：主要描述团队技术实力、研发投入、运营效益水平等情况；</w:t>
      </w:r>
    </w:p>
    <w:p w14:paraId="0CFFA667">
      <w:pPr>
        <w:pStyle w:val="26"/>
        <w:ind w:left="840" w:leftChars="200" w:hanging="420" w:hangingChars="200"/>
        <w:rPr>
          <w:rFonts w:ascii="Times New Roman" w:eastAsia="Times New Roman"/>
          <w:szCs w:val="24"/>
          <w:highlight w:val="none"/>
        </w:rPr>
      </w:pPr>
      <w:r>
        <w:rPr>
          <w:rFonts w:hint="eastAsia" w:ascii="宋体" w:hAnsi="宋体" w:eastAsia="宋体" w:cs="宋体"/>
          <w:sz w:val="21"/>
          <w:highlight w:val="none"/>
          <w:lang w:val="en-US" w:eastAsia="zh-CN" w:bidi="ar-SA"/>
        </w:rPr>
        <w:t>——市场影响：主要描述市场占有率、稳定提供相关产品或服务的年限、引领绿色低碳产业技术创新或市场发展的情况，以及获得的国家级、省部级、市级或区级奖项、资质、荣誉、认定及证书的情况。</w:t>
      </w:r>
    </w:p>
    <w:p w14:paraId="7105BED4">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.3</w:t>
      </w:r>
      <w:r>
        <w:rPr>
          <w:rFonts w:hint="eastAsia" w:hAnsi="黑体" w:cs="黑体"/>
          <w:highlight w:val="none"/>
          <w:lang w:val="en-US" w:eastAsia="zh-CN"/>
        </w:rPr>
        <w:t xml:space="preserve">  </w:t>
      </w:r>
      <w:r>
        <w:rPr>
          <w:rFonts w:hint="eastAsia" w:hAnsi="黑体" w:cs="黑体"/>
          <w:highlight w:val="none"/>
        </w:rPr>
        <w:t>环境表现</w:t>
      </w:r>
    </w:p>
    <w:p w14:paraId="71C0ED06">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014A7E07">
      <w:pPr>
        <w:autoSpaceDE w:val="0"/>
        <w:autoSpaceDN w:val="0"/>
        <w:ind w:left="850" w:leftChars="204" w:hanging="422" w:hangingChars="201"/>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——温室气体排放水平：主要描述温室气体排放及下降情况；</w:t>
      </w:r>
    </w:p>
    <w:p w14:paraId="5DD53AC7">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——工艺设备材料：主要描述采购的工艺、设备和原材料与优先推荐目录的匹配情况；</w:t>
      </w:r>
    </w:p>
    <w:p w14:paraId="4C8B6D89">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——能源资源利用：主要描述可再生能源占比、非常规水资源利用率等情况；</w:t>
      </w:r>
    </w:p>
    <w:p w14:paraId="50046F89">
      <w:pPr>
        <w:pStyle w:val="26"/>
        <w:rPr>
          <w:rFonts w:ascii="Times New Roman"/>
          <w:szCs w:val="24"/>
          <w:highlight w:val="none"/>
        </w:rPr>
      </w:pPr>
      <w:r>
        <w:rPr>
          <w:rFonts w:hint="eastAsia" w:ascii="宋体" w:hAnsi="宋体" w:eastAsia="宋体" w:cs="宋体"/>
          <w:sz w:val="21"/>
          <w:highlight w:val="none"/>
          <w:lang w:val="en-US" w:eastAsia="zh-CN" w:bidi="ar-SA"/>
        </w:rPr>
        <w:t>——污染物排放水平：主要描述污染物排放及达标情况。</w:t>
      </w:r>
    </w:p>
    <w:p w14:paraId="0847C23D">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.4</w:t>
      </w:r>
      <w:r>
        <w:rPr>
          <w:rFonts w:hint="eastAsia" w:hAnsi="黑体" w:cs="黑体"/>
          <w:highlight w:val="none"/>
          <w:lang w:val="en-US" w:eastAsia="zh-CN"/>
        </w:rPr>
        <w:t xml:space="preserve">  </w:t>
      </w:r>
      <w:r>
        <w:rPr>
          <w:rFonts w:hint="eastAsia" w:hAnsi="黑体" w:cs="黑体"/>
          <w:highlight w:val="none"/>
        </w:rPr>
        <w:t>社会表现</w:t>
      </w:r>
    </w:p>
    <w:p w14:paraId="296B88A9">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427579E1">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——内部行动：主要描述绿色行动、信息披露、低碳培训等情况；</w:t>
      </w:r>
    </w:p>
    <w:p w14:paraId="7E5338A6">
      <w:pPr>
        <w:pStyle w:val="26"/>
        <w:rPr>
          <w:rFonts w:ascii="Times New Roman" w:eastAsia="Times New Roman"/>
          <w:szCs w:val="24"/>
          <w:highlight w:val="none"/>
        </w:rPr>
      </w:pPr>
      <w:r>
        <w:rPr>
          <w:rFonts w:hint="eastAsia" w:ascii="宋体" w:hAnsi="宋体" w:eastAsia="宋体" w:cs="宋体"/>
          <w:sz w:val="21"/>
          <w:highlight w:val="none"/>
          <w:lang w:val="en-US" w:eastAsia="zh-CN" w:bidi="ar-SA"/>
        </w:rPr>
        <w:t>——社会责任：主要描述履行公共关系和社会公益责任、实施供应链绿色化管理等情况。</w:t>
      </w:r>
    </w:p>
    <w:p w14:paraId="491EA18F">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 xml:space="preserve">6  </w:t>
      </w:r>
      <w:r>
        <w:rPr>
          <w:rFonts w:hint="eastAsia" w:hAnsi="黑体" w:cs="黑体"/>
          <w:highlight w:val="none"/>
        </w:rPr>
        <w:t>评</w:t>
      </w:r>
      <w:r>
        <w:rPr>
          <w:rFonts w:hint="eastAsia" w:hAnsi="黑体" w:cs="黑体"/>
          <w:highlight w:val="none"/>
          <w:lang w:val="en-US" w:eastAsia="zh-CN"/>
        </w:rPr>
        <w:t>价</w:t>
      </w:r>
      <w:r>
        <w:rPr>
          <w:rFonts w:hint="eastAsia" w:hAnsi="黑体" w:cs="黑体"/>
          <w:highlight w:val="none"/>
        </w:rPr>
        <w:t>表</w:t>
      </w:r>
    </w:p>
    <w:p w14:paraId="05177168">
      <w:pPr>
        <w:pStyle w:val="26"/>
        <w:rPr>
          <w:rFonts w:asciiTheme="minorEastAsia" w:hAnsiTheme="minorEastAsia" w:eastAsiaTheme="minorEastAsia"/>
          <w:szCs w:val="24"/>
          <w:highlight w:val="none"/>
        </w:rPr>
      </w:pPr>
      <w:r>
        <w:rPr>
          <w:rFonts w:hint="eastAsia" w:asciiTheme="minorEastAsia" w:hAnsiTheme="minorEastAsia" w:eastAsiaTheme="minorEastAsia"/>
          <w:szCs w:val="24"/>
          <w:highlight w:val="none"/>
          <w:lang w:val="en-US" w:eastAsia="zh-CN"/>
        </w:rPr>
        <w:t>绿色低碳产业企业认定评价</w:t>
      </w:r>
      <w:r>
        <w:rPr>
          <w:rFonts w:hint="eastAsia" w:asciiTheme="minorEastAsia" w:hAnsiTheme="minorEastAsia" w:eastAsiaTheme="minorEastAsia"/>
          <w:szCs w:val="24"/>
          <w:highlight w:val="none"/>
        </w:rPr>
        <w:t>见表</w:t>
      </w:r>
      <w:r>
        <w:rPr>
          <w:rFonts w:hint="eastAsia" w:asciiTheme="minorEastAsia" w:hAnsiTheme="minorEastAsia" w:eastAsiaTheme="minorEastAsia"/>
          <w:szCs w:val="24"/>
          <w:highlight w:val="none"/>
          <w:lang w:val="en-US" w:eastAsia="zh-CN"/>
        </w:rPr>
        <w:t>C</w:t>
      </w:r>
      <w:r>
        <w:rPr>
          <w:rFonts w:hint="eastAsia" w:asciiTheme="minorEastAsia" w:hAnsiTheme="minorEastAsia" w:eastAsiaTheme="minorEastAsia"/>
          <w:szCs w:val="24"/>
          <w:highlight w:val="none"/>
        </w:rPr>
        <w:t>.3</w:t>
      </w:r>
      <w:r>
        <w:rPr>
          <w:rFonts w:hint="eastAsia" w:asciiTheme="minorEastAsia" w:hAnsiTheme="minorEastAsia" w:eastAsiaTheme="minorEastAsia"/>
          <w:szCs w:val="24"/>
          <w:highlight w:val="none"/>
          <w:lang w:val="en-US" w:eastAsia="zh-CN"/>
        </w:rPr>
        <w:t>和</w:t>
      </w:r>
      <w:r>
        <w:rPr>
          <w:rFonts w:hint="eastAsia" w:asciiTheme="minorEastAsia" w:hAnsiTheme="minorEastAsia" w:eastAsiaTheme="minorEastAsia"/>
          <w:szCs w:val="24"/>
          <w:highlight w:val="none"/>
        </w:rPr>
        <w:t>表</w:t>
      </w:r>
      <w:r>
        <w:rPr>
          <w:rFonts w:hint="eastAsia" w:asciiTheme="minorEastAsia" w:hAnsiTheme="minorEastAsia" w:eastAsiaTheme="minorEastAsia"/>
          <w:szCs w:val="24"/>
          <w:highlight w:val="none"/>
          <w:lang w:val="en-US" w:eastAsia="zh-CN"/>
        </w:rPr>
        <w:t>C</w:t>
      </w:r>
      <w:r>
        <w:rPr>
          <w:rFonts w:hint="eastAsia" w:asciiTheme="minorEastAsia" w:hAnsiTheme="minorEastAsia" w:eastAsiaTheme="minorEastAsia"/>
          <w:szCs w:val="24"/>
          <w:highlight w:val="none"/>
        </w:rPr>
        <w:t>.4。</w:t>
      </w:r>
    </w:p>
    <w:p w14:paraId="387FAFC4">
      <w:pPr>
        <w:pStyle w:val="92"/>
        <w:numPr>
          <w:ilvl w:val="1"/>
          <w:numId w:val="0"/>
        </w:numPr>
        <w:spacing w:before="156" w:after="156"/>
        <w:rPr>
          <w:rFonts w:hint="eastAsia" w:ascii="Times New Roman" w:eastAsia="黑体"/>
          <w:highlight w:val="none"/>
          <w:lang w:val="en-US" w:eastAsia="zh-CN"/>
        </w:rPr>
      </w:pPr>
      <w:r>
        <w:rPr>
          <w:rFonts w:hint="eastAsia" w:hAnsi="黑体" w:cs="黑体"/>
          <w:highlight w:val="none"/>
        </w:rPr>
        <w:t>表</w:t>
      </w: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 xml:space="preserve">3  </w:t>
      </w:r>
      <w:r>
        <w:rPr>
          <w:rFonts w:hint="eastAsia" w:hAnsi="黑体" w:cs="黑体"/>
          <w:highlight w:val="none"/>
        </w:rPr>
        <w:t>符合性</w:t>
      </w:r>
      <w:r>
        <w:rPr>
          <w:rFonts w:hint="eastAsia" w:hAnsi="黑体" w:cs="黑体"/>
          <w:highlight w:val="none"/>
          <w:lang w:val="en-US" w:eastAsia="zh-CN"/>
        </w:rPr>
        <w:t>评价</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34"/>
        <w:gridCol w:w="4271"/>
        <w:gridCol w:w="1988"/>
        <w:gridCol w:w="1540"/>
      </w:tblGrid>
      <w:tr w14:paraId="415BD4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380" w:type="pct"/>
            <w:tcBorders>
              <w:bottom w:val="single" w:color="auto" w:sz="12" w:space="0"/>
            </w:tcBorders>
            <w:vAlign w:val="center"/>
          </w:tcPr>
          <w:p w14:paraId="0B43DF86">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序号</w:t>
            </w:r>
          </w:p>
        </w:tc>
        <w:tc>
          <w:tcPr>
            <w:tcW w:w="541" w:type="pct"/>
            <w:tcBorders>
              <w:bottom w:val="single" w:color="auto" w:sz="12" w:space="0"/>
            </w:tcBorders>
            <w:vAlign w:val="center"/>
          </w:tcPr>
          <w:p w14:paraId="20A8D5A5">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指标</w:t>
            </w:r>
          </w:p>
        </w:tc>
        <w:tc>
          <w:tcPr>
            <w:tcW w:w="2234" w:type="pct"/>
            <w:tcBorders>
              <w:bottom w:val="single" w:color="auto" w:sz="12" w:space="0"/>
            </w:tcBorders>
            <w:vAlign w:val="center"/>
          </w:tcPr>
          <w:p w14:paraId="7F491BE4">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符合性评价内容</w:t>
            </w:r>
          </w:p>
        </w:tc>
        <w:tc>
          <w:tcPr>
            <w:tcW w:w="1040" w:type="pct"/>
            <w:tcBorders>
              <w:bottom w:val="single" w:color="auto" w:sz="12" w:space="0"/>
            </w:tcBorders>
            <w:vAlign w:val="center"/>
          </w:tcPr>
          <w:p w14:paraId="7A72AF4C">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评价结果（是/否）</w:t>
            </w:r>
          </w:p>
        </w:tc>
        <w:tc>
          <w:tcPr>
            <w:tcW w:w="802" w:type="pct"/>
            <w:tcBorders>
              <w:bottom w:val="single" w:color="auto" w:sz="12" w:space="0"/>
            </w:tcBorders>
            <w:vAlign w:val="center"/>
          </w:tcPr>
          <w:p w14:paraId="1913873B">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eastAsia" w:eastAsia="宋体"/>
                <w:b/>
                <w:sz w:val="18"/>
                <w:szCs w:val="18"/>
                <w:highlight w:val="none"/>
                <w:lang w:val="en-US" w:eastAsia="zh-CN"/>
              </w:rPr>
            </w:pPr>
            <w:r>
              <w:rPr>
                <w:rFonts w:hint="eastAsia"/>
                <w:b/>
                <w:sz w:val="18"/>
                <w:szCs w:val="18"/>
                <w:highlight w:val="none"/>
              </w:rPr>
              <w:t>佐证材料备注</w:t>
            </w:r>
            <w:r>
              <w:rPr>
                <w:rFonts w:hint="eastAsia" w:ascii="宋体" w:hAnsi="宋体" w:eastAsia="宋体" w:cs="宋体"/>
                <w:b w:val="0"/>
                <w:bCs/>
                <w:sz w:val="18"/>
                <w:szCs w:val="18"/>
                <w:highlight w:val="none"/>
                <w:vertAlign w:val="superscript"/>
                <w:lang w:val="en-US" w:eastAsia="zh-CN"/>
              </w:rPr>
              <w:t>a</w:t>
            </w:r>
          </w:p>
        </w:tc>
      </w:tr>
      <w:tr w14:paraId="2F5ED9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49" w:hRule="atLeast"/>
          <w:jc w:val="center"/>
        </w:trPr>
        <w:tc>
          <w:tcPr>
            <w:tcW w:w="380" w:type="pct"/>
            <w:tcBorders>
              <w:top w:val="single" w:color="auto" w:sz="12" w:space="0"/>
              <w:tl2br w:val="nil"/>
              <w:tr2bl w:val="nil"/>
            </w:tcBorders>
            <w:vAlign w:val="center"/>
          </w:tcPr>
          <w:p w14:paraId="5C0CAFA8">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Theme="minorEastAsia" w:hAnsiTheme="minorEastAsia" w:eastAsiaTheme="minorEastAsia"/>
                <w:color w:val="000000"/>
                <w:kern w:val="0"/>
                <w:sz w:val="18"/>
                <w:szCs w:val="18"/>
                <w:highlight w:val="none"/>
              </w:rPr>
            </w:pPr>
            <w:r>
              <w:rPr>
                <w:rFonts w:hint="eastAsia" w:asciiTheme="minorEastAsia" w:hAnsiTheme="minorEastAsia" w:eastAsiaTheme="minorEastAsia"/>
                <w:color w:val="000000"/>
                <w:kern w:val="0"/>
                <w:sz w:val="18"/>
                <w:szCs w:val="18"/>
                <w:highlight w:val="none"/>
              </w:rPr>
              <w:t>1</w:t>
            </w:r>
          </w:p>
        </w:tc>
        <w:tc>
          <w:tcPr>
            <w:tcW w:w="541" w:type="pct"/>
            <w:tcBorders>
              <w:top w:val="single" w:color="auto" w:sz="12" w:space="0"/>
              <w:tl2br w:val="nil"/>
              <w:tr2bl w:val="nil"/>
            </w:tcBorders>
            <w:vAlign w:val="center"/>
          </w:tcPr>
          <w:p w14:paraId="268AB333">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color w:val="000000"/>
                <w:kern w:val="0"/>
                <w:sz w:val="18"/>
                <w:szCs w:val="18"/>
                <w:highlight w:val="none"/>
              </w:rPr>
            </w:pPr>
            <w:r>
              <w:rPr>
                <w:rFonts w:hint="eastAsia"/>
                <w:color w:val="000000"/>
                <w:kern w:val="0"/>
                <w:sz w:val="18"/>
                <w:szCs w:val="18"/>
                <w:highlight w:val="none"/>
              </w:rPr>
              <w:t>目录符合</w:t>
            </w:r>
          </w:p>
        </w:tc>
        <w:tc>
          <w:tcPr>
            <w:tcW w:w="2234" w:type="pct"/>
            <w:tcBorders>
              <w:top w:val="single" w:color="auto" w:sz="12" w:space="0"/>
              <w:tl2br w:val="nil"/>
              <w:tr2bl w:val="nil"/>
            </w:tcBorders>
            <w:vAlign w:val="center"/>
          </w:tcPr>
          <w:p w14:paraId="7961E29C">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kern w:val="0"/>
                <w:sz w:val="18"/>
                <w:szCs w:val="18"/>
                <w:highlight w:val="none"/>
              </w:rPr>
            </w:pPr>
            <w:r>
              <w:rPr>
                <w:rFonts w:hint="eastAsia" w:ascii="宋体" w:hAnsi="宋体" w:eastAsia="宋体" w:cs="宋体"/>
                <w:sz w:val="18"/>
                <w:szCs w:val="18"/>
                <w:highlight w:val="none"/>
                <w:lang w:val="en-US" w:eastAsia="zh-CN"/>
              </w:rPr>
              <w:t>申报认定评价的绿色业务属于</w:t>
            </w:r>
            <w:r>
              <w:rPr>
                <w:rFonts w:hint="eastAsia" w:ascii="宋体" w:hAnsi="宋体" w:cs="宋体"/>
                <w:sz w:val="18"/>
                <w:szCs w:val="18"/>
                <w:highlight w:val="none"/>
                <w:lang w:val="en-US" w:eastAsia="zh-CN"/>
              </w:rPr>
              <w:t>环境基础设施</w:t>
            </w:r>
            <w:r>
              <w:rPr>
                <w:rFonts w:hint="eastAsia" w:ascii="宋体" w:hAnsi="宋体" w:eastAsia="宋体" w:cs="宋体"/>
                <w:sz w:val="18"/>
                <w:szCs w:val="18"/>
                <w:highlight w:val="none"/>
                <w:lang w:val="en-US" w:eastAsia="zh-CN"/>
              </w:rPr>
              <w:t>领域，且其</w:t>
            </w:r>
            <w:r>
              <w:rPr>
                <w:rFonts w:hint="eastAsia" w:ascii="宋体" w:hAnsi="宋体" w:cs="宋体"/>
                <w:sz w:val="18"/>
                <w:szCs w:val="18"/>
                <w:highlight w:val="none"/>
                <w:lang w:val="en-US" w:eastAsia="zh-CN"/>
              </w:rPr>
              <w:t>环境基础设施</w:t>
            </w:r>
            <w:r>
              <w:rPr>
                <w:rFonts w:hint="eastAsia" w:ascii="宋体" w:hAnsi="宋体" w:eastAsia="宋体" w:cs="宋体"/>
                <w:sz w:val="18"/>
                <w:szCs w:val="18"/>
                <w:highlight w:val="none"/>
                <w:lang w:val="en-US" w:eastAsia="zh-CN"/>
              </w:rPr>
              <w:t>领域绿色业务占比达到50%及以上，或绿色业务规模达到1亿元</w:t>
            </w:r>
            <w:r>
              <w:rPr>
                <w:rFonts w:hint="eastAsia" w:ascii="宋体" w:hAnsi="宋体" w:cs="宋体"/>
                <w:sz w:val="18"/>
                <w:szCs w:val="18"/>
                <w:highlight w:val="none"/>
                <w:lang w:val="en-US" w:eastAsia="zh-CN"/>
              </w:rPr>
              <w:t>；</w:t>
            </w:r>
            <w:r>
              <w:rPr>
                <w:rFonts w:hint="eastAsia" w:ascii="宋体" w:hAnsi="宋体" w:eastAsia="宋体" w:cs="宋体"/>
                <w:sz w:val="18"/>
                <w:szCs w:val="18"/>
                <w:highlight w:val="none"/>
                <w:lang w:val="en-US" w:eastAsia="zh-CN"/>
              </w:rPr>
              <w:t>或在</w:t>
            </w:r>
            <w:r>
              <w:rPr>
                <w:rFonts w:hint="eastAsia" w:ascii="宋体" w:hAnsi="宋体" w:cs="宋体"/>
                <w:sz w:val="18"/>
                <w:szCs w:val="18"/>
                <w:highlight w:val="none"/>
                <w:lang w:val="en-US" w:eastAsia="zh-CN"/>
              </w:rPr>
              <w:t>当地</w:t>
            </w:r>
            <w:r>
              <w:rPr>
                <w:rFonts w:hint="eastAsia" w:ascii="宋体" w:hAnsi="宋体" w:eastAsia="宋体" w:cs="宋体"/>
                <w:sz w:val="18"/>
                <w:szCs w:val="18"/>
                <w:highlight w:val="none"/>
                <w:lang w:val="en-US" w:eastAsia="zh-CN"/>
              </w:rPr>
              <w:t>具备一定市场规模</w:t>
            </w:r>
            <w:r>
              <w:rPr>
                <w:rFonts w:hint="eastAsia" w:ascii="宋体" w:hAnsi="宋体" w:cs="宋体"/>
                <w:sz w:val="18"/>
                <w:szCs w:val="18"/>
                <w:highlight w:val="none"/>
                <w:lang w:val="en-US" w:eastAsia="zh-CN"/>
              </w:rPr>
              <w:t>、</w:t>
            </w:r>
            <w:r>
              <w:rPr>
                <w:rFonts w:hint="eastAsia" w:ascii="宋体" w:hAnsi="宋体" w:eastAsia="宋体" w:cs="宋体"/>
                <w:sz w:val="18"/>
                <w:szCs w:val="18"/>
                <w:highlight w:val="none"/>
                <w:lang w:val="en-US" w:eastAsia="zh-CN"/>
              </w:rPr>
              <w:t>经相关政府职能部门认可的相关行业</w:t>
            </w:r>
          </w:p>
        </w:tc>
        <w:tc>
          <w:tcPr>
            <w:tcW w:w="1040" w:type="pct"/>
            <w:tcBorders>
              <w:top w:val="single" w:color="auto" w:sz="12" w:space="0"/>
              <w:tl2br w:val="nil"/>
              <w:tr2bl w:val="nil"/>
            </w:tcBorders>
            <w:vAlign w:val="center"/>
          </w:tcPr>
          <w:p w14:paraId="62C2FAE8">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c>
          <w:tcPr>
            <w:tcW w:w="802" w:type="pct"/>
            <w:tcBorders>
              <w:top w:val="single" w:color="auto" w:sz="12" w:space="0"/>
              <w:tl2br w:val="nil"/>
              <w:tr2bl w:val="nil"/>
            </w:tcBorders>
            <w:vAlign w:val="center"/>
          </w:tcPr>
          <w:p w14:paraId="67CCC5F4">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r>
      <w:tr w14:paraId="0FC04D8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13" w:hRule="atLeast"/>
          <w:jc w:val="center"/>
        </w:trPr>
        <w:tc>
          <w:tcPr>
            <w:tcW w:w="380" w:type="pct"/>
            <w:tcBorders>
              <w:bottom w:val="single" w:color="auto" w:sz="12" w:space="0"/>
              <w:tl2br w:val="nil"/>
              <w:tr2bl w:val="nil"/>
            </w:tcBorders>
            <w:vAlign w:val="center"/>
          </w:tcPr>
          <w:p w14:paraId="7CFC64F4">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Theme="minorEastAsia" w:hAnsiTheme="minorEastAsia" w:eastAsiaTheme="minorEastAsia"/>
                <w:color w:val="000000"/>
                <w:kern w:val="0"/>
                <w:sz w:val="18"/>
                <w:szCs w:val="18"/>
                <w:highlight w:val="none"/>
              </w:rPr>
            </w:pPr>
            <w:r>
              <w:rPr>
                <w:rFonts w:hint="eastAsia" w:asciiTheme="minorEastAsia" w:hAnsiTheme="minorEastAsia" w:eastAsiaTheme="minorEastAsia"/>
                <w:color w:val="000000"/>
                <w:kern w:val="0"/>
                <w:sz w:val="18"/>
                <w:szCs w:val="18"/>
                <w:highlight w:val="none"/>
              </w:rPr>
              <w:t>2</w:t>
            </w:r>
          </w:p>
        </w:tc>
        <w:tc>
          <w:tcPr>
            <w:tcW w:w="541" w:type="pct"/>
            <w:tcBorders>
              <w:bottom w:val="single" w:color="auto" w:sz="12" w:space="0"/>
              <w:tl2br w:val="nil"/>
              <w:tr2bl w:val="nil"/>
            </w:tcBorders>
            <w:vAlign w:val="center"/>
          </w:tcPr>
          <w:p w14:paraId="09DB4450">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color w:val="000000"/>
                <w:kern w:val="0"/>
                <w:sz w:val="18"/>
                <w:szCs w:val="18"/>
                <w:highlight w:val="none"/>
              </w:rPr>
            </w:pPr>
            <w:r>
              <w:rPr>
                <w:rFonts w:hint="eastAsia"/>
                <w:kern w:val="0"/>
                <w:sz w:val="18"/>
                <w:szCs w:val="18"/>
                <w:highlight w:val="none"/>
              </w:rPr>
              <w:t>技术符合</w:t>
            </w:r>
          </w:p>
        </w:tc>
        <w:tc>
          <w:tcPr>
            <w:tcW w:w="2234" w:type="pct"/>
            <w:tcBorders>
              <w:bottom w:val="single" w:color="auto" w:sz="12" w:space="0"/>
              <w:tl2br w:val="nil"/>
              <w:tr2bl w:val="nil"/>
            </w:tcBorders>
            <w:vAlign w:val="center"/>
          </w:tcPr>
          <w:p w14:paraId="4341891C">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kern w:val="0"/>
                <w:sz w:val="18"/>
                <w:szCs w:val="18"/>
                <w:highlight w:val="none"/>
              </w:rPr>
            </w:pPr>
            <w:r>
              <w:rPr>
                <w:rFonts w:hint="eastAsia" w:ascii="宋体" w:hAnsi="宋体" w:eastAsia="宋体" w:cs="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040" w:type="pct"/>
            <w:tcBorders>
              <w:bottom w:val="single" w:color="auto" w:sz="12" w:space="0"/>
              <w:tl2br w:val="nil"/>
              <w:tr2bl w:val="nil"/>
            </w:tcBorders>
            <w:vAlign w:val="center"/>
          </w:tcPr>
          <w:p w14:paraId="03EF81DB">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c>
          <w:tcPr>
            <w:tcW w:w="802" w:type="pct"/>
            <w:tcBorders>
              <w:bottom w:val="single" w:color="auto" w:sz="12" w:space="0"/>
              <w:tl2br w:val="nil"/>
              <w:tr2bl w:val="nil"/>
            </w:tcBorders>
            <w:vAlign w:val="center"/>
          </w:tcPr>
          <w:p w14:paraId="46CAAF7A">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r>
      <w:tr w14:paraId="0ADB26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5"/>
            <w:tcBorders>
              <w:top w:val="single" w:color="auto" w:sz="12" w:space="0"/>
            </w:tcBorders>
            <w:vAlign w:val="center"/>
          </w:tcPr>
          <w:p w14:paraId="41DC0CA7">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60" w:firstLineChars="200"/>
              <w:jc w:val="left"/>
              <w:textAlignment w:val="auto"/>
              <w:rPr>
                <w:rFonts w:hint="eastAsia" w:ascii="宋体" w:hAnsi="宋体" w:cs="宋体"/>
                <w:sz w:val="18"/>
                <w:szCs w:val="18"/>
                <w:highlight w:val="none"/>
              </w:rPr>
            </w:pPr>
            <w:r>
              <w:rPr>
                <w:rStyle w:val="157"/>
                <w:rFonts w:hint="eastAsia" w:asciiTheme="minorEastAsia" w:hAnsiTheme="minorEastAsia" w:eastAsiaTheme="minorEastAsia" w:cstheme="minorEastAsia"/>
                <w:sz w:val="18"/>
                <w:szCs w:val="18"/>
                <w:highlight w:val="none"/>
                <w:vertAlign w:val="superscript"/>
              </w:rPr>
              <w:t>a</w:t>
            </w:r>
            <w:r>
              <w:rPr>
                <w:rFonts w:hint="eastAsia" w:cs="宋体" w:asciiTheme="minorEastAsia" w:hAnsiTheme="minorEastAsia" w:eastAsiaTheme="minorEastAsia"/>
                <w:sz w:val="18"/>
                <w:szCs w:val="18"/>
                <w:highlight w:val="none"/>
              </w:rPr>
              <w:t xml:space="preserve"> 给出材料对应的具体页码，例如，见第4页。</w:t>
            </w:r>
          </w:p>
        </w:tc>
      </w:tr>
    </w:tbl>
    <w:p w14:paraId="5CE918B9">
      <w:pPr>
        <w:pStyle w:val="92"/>
        <w:numPr>
          <w:ilvl w:val="1"/>
          <w:numId w:val="0"/>
        </w:numPr>
        <w:tabs>
          <w:tab w:val="clear" w:pos="0"/>
        </w:tabs>
        <w:spacing w:before="156" w:after="156"/>
        <w:rPr>
          <w:rFonts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w:t>
      </w:r>
      <w:r>
        <w:rPr>
          <w:rFonts w:hint="eastAsia" w:hAnsi="黑体"/>
          <w:highlight w:val="none"/>
          <w:lang w:val="en-US" w:eastAsia="zh-CN"/>
        </w:rPr>
        <w:t xml:space="preserve">4  </w:t>
      </w:r>
      <w:r>
        <w:rPr>
          <w:rFonts w:hint="eastAsia" w:hAnsi="黑体"/>
          <w:highlight w:val="none"/>
        </w:rPr>
        <w:t>综合评价</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1434"/>
        <w:gridCol w:w="2761"/>
        <w:gridCol w:w="1138"/>
        <w:gridCol w:w="1354"/>
        <w:gridCol w:w="1680"/>
      </w:tblGrid>
      <w:tr w14:paraId="2545EE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624" w:type="pct"/>
            <w:tcBorders>
              <w:bottom w:val="single" w:color="000000" w:sz="12" w:space="0"/>
            </w:tcBorders>
            <w:vAlign w:val="center"/>
          </w:tcPr>
          <w:p w14:paraId="07E1BB2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一级指标</w:t>
            </w:r>
          </w:p>
        </w:tc>
        <w:tc>
          <w:tcPr>
            <w:tcW w:w="750" w:type="pct"/>
            <w:tcBorders>
              <w:bottom w:val="single" w:color="000000" w:sz="12" w:space="0"/>
            </w:tcBorders>
            <w:vAlign w:val="center"/>
          </w:tcPr>
          <w:p w14:paraId="76CFCC8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二级指标</w:t>
            </w:r>
          </w:p>
        </w:tc>
        <w:tc>
          <w:tcPr>
            <w:tcW w:w="1444" w:type="pct"/>
            <w:tcBorders>
              <w:bottom w:val="single" w:color="000000" w:sz="12" w:space="0"/>
            </w:tcBorders>
            <w:vAlign w:val="center"/>
          </w:tcPr>
          <w:p w14:paraId="472FA65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三级指标</w:t>
            </w:r>
          </w:p>
        </w:tc>
        <w:tc>
          <w:tcPr>
            <w:tcW w:w="594" w:type="pct"/>
            <w:tcBorders>
              <w:bottom w:val="single" w:color="000000" w:sz="12" w:space="0"/>
            </w:tcBorders>
            <w:vAlign w:val="center"/>
          </w:tcPr>
          <w:p w14:paraId="5D2FAF3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eastAsia="zh-CN"/>
              </w:rPr>
            </w:pPr>
            <w:r>
              <w:rPr>
                <w:rFonts w:hint="eastAsia"/>
                <w:b/>
                <w:kern w:val="0"/>
                <w:sz w:val="18"/>
                <w:szCs w:val="18"/>
                <w:highlight w:val="none"/>
              </w:rPr>
              <w:t>分值</w:t>
            </w:r>
            <w:r>
              <w:rPr>
                <w:rFonts w:hint="eastAsia"/>
                <w:b/>
                <w:kern w:val="0"/>
                <w:sz w:val="18"/>
                <w:szCs w:val="18"/>
                <w:highlight w:val="none"/>
                <w:lang w:eastAsia="zh-CN"/>
              </w:rPr>
              <w:t>（</w:t>
            </w:r>
            <w:r>
              <w:rPr>
                <w:rFonts w:hint="eastAsia"/>
                <w:b/>
                <w:kern w:val="0"/>
                <w:sz w:val="18"/>
                <w:szCs w:val="18"/>
                <w:highlight w:val="none"/>
                <w:lang w:val="en-US" w:eastAsia="zh-CN"/>
              </w:rPr>
              <w:t>分</w:t>
            </w:r>
            <w:r>
              <w:rPr>
                <w:rFonts w:hint="eastAsia"/>
                <w:b/>
                <w:kern w:val="0"/>
                <w:sz w:val="18"/>
                <w:szCs w:val="18"/>
                <w:highlight w:val="none"/>
                <w:lang w:eastAsia="zh-CN"/>
              </w:rPr>
              <w:t>）</w:t>
            </w:r>
          </w:p>
        </w:tc>
        <w:tc>
          <w:tcPr>
            <w:tcW w:w="708" w:type="pct"/>
            <w:tcBorders>
              <w:bottom w:val="single" w:color="000000" w:sz="12" w:space="0"/>
            </w:tcBorders>
            <w:vAlign w:val="center"/>
          </w:tcPr>
          <w:p w14:paraId="0C7170E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eastAsia="zh-CN"/>
              </w:rPr>
            </w:pPr>
            <w:r>
              <w:rPr>
                <w:rFonts w:hint="eastAsia"/>
                <w:b/>
                <w:kern w:val="0"/>
                <w:sz w:val="18"/>
                <w:szCs w:val="18"/>
                <w:highlight w:val="none"/>
                <w:lang w:val="en-US" w:eastAsia="zh-CN"/>
              </w:rPr>
              <w:t>评价</w:t>
            </w:r>
            <w:r>
              <w:rPr>
                <w:rFonts w:hint="eastAsia"/>
                <w:b/>
                <w:kern w:val="0"/>
                <w:sz w:val="18"/>
                <w:szCs w:val="18"/>
                <w:highlight w:val="none"/>
              </w:rPr>
              <w:t>得分</w:t>
            </w:r>
            <w:r>
              <w:rPr>
                <w:rFonts w:hint="eastAsia"/>
                <w:b/>
                <w:kern w:val="0"/>
                <w:sz w:val="18"/>
                <w:szCs w:val="18"/>
                <w:highlight w:val="none"/>
                <w:lang w:eastAsia="zh-CN"/>
              </w:rPr>
              <w:t>（</w:t>
            </w:r>
            <w:r>
              <w:rPr>
                <w:rFonts w:hint="eastAsia"/>
                <w:b/>
                <w:kern w:val="0"/>
                <w:sz w:val="18"/>
                <w:szCs w:val="18"/>
                <w:highlight w:val="none"/>
                <w:lang w:val="en-US" w:eastAsia="zh-CN"/>
              </w:rPr>
              <w:t>分</w:t>
            </w:r>
            <w:r>
              <w:rPr>
                <w:rFonts w:hint="eastAsia"/>
                <w:b/>
                <w:kern w:val="0"/>
                <w:sz w:val="18"/>
                <w:szCs w:val="18"/>
                <w:highlight w:val="none"/>
                <w:lang w:eastAsia="zh-CN"/>
              </w:rPr>
              <w:t>）</w:t>
            </w:r>
          </w:p>
        </w:tc>
        <w:tc>
          <w:tcPr>
            <w:tcW w:w="878" w:type="pct"/>
            <w:tcBorders>
              <w:bottom w:val="single" w:color="000000" w:sz="12" w:space="0"/>
            </w:tcBorders>
            <w:vAlign w:val="center"/>
          </w:tcPr>
          <w:p w14:paraId="5BC6145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b/>
                <w:kern w:val="0"/>
                <w:sz w:val="18"/>
                <w:szCs w:val="18"/>
                <w:highlight w:val="none"/>
              </w:rPr>
              <w:t>佐证材料备注</w:t>
            </w:r>
            <w:r>
              <w:rPr>
                <w:rFonts w:hint="eastAsia" w:ascii="宋体" w:hAnsi="宋体" w:eastAsia="宋体" w:cs="宋体"/>
                <w:b w:val="0"/>
                <w:bCs/>
                <w:kern w:val="0"/>
                <w:sz w:val="18"/>
                <w:szCs w:val="18"/>
                <w:highlight w:val="none"/>
                <w:vertAlign w:val="superscript"/>
                <w:lang w:val="en-US" w:eastAsia="zh-CN"/>
              </w:rPr>
              <w:t>a</w:t>
            </w:r>
          </w:p>
        </w:tc>
      </w:tr>
      <w:tr w14:paraId="60A2F5E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op w:val="single" w:color="000000" w:sz="12" w:space="0"/>
              <w:tl2br w:val="nil"/>
              <w:tr2bl w:val="nil"/>
            </w:tcBorders>
            <w:vAlign w:val="center"/>
          </w:tcPr>
          <w:p w14:paraId="0695509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技术表现</w:t>
            </w:r>
          </w:p>
        </w:tc>
        <w:tc>
          <w:tcPr>
            <w:tcW w:w="750" w:type="pct"/>
            <w:vMerge w:val="restart"/>
            <w:tcBorders>
              <w:top w:val="single" w:color="000000" w:sz="12" w:space="0"/>
              <w:tl2br w:val="nil"/>
              <w:tr2bl w:val="nil"/>
            </w:tcBorders>
            <w:vAlign w:val="center"/>
          </w:tcPr>
          <w:p w14:paraId="5260A69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先进性</w:t>
            </w:r>
          </w:p>
        </w:tc>
        <w:tc>
          <w:tcPr>
            <w:tcW w:w="1444" w:type="pct"/>
            <w:tcBorders>
              <w:top w:val="single" w:color="000000" w:sz="12" w:space="0"/>
              <w:tl2br w:val="nil"/>
              <w:tr2bl w:val="nil"/>
            </w:tcBorders>
            <w:vAlign w:val="center"/>
          </w:tcPr>
          <w:p w14:paraId="62574AF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有效知识产权</w:t>
            </w:r>
          </w:p>
        </w:tc>
        <w:tc>
          <w:tcPr>
            <w:tcW w:w="594" w:type="pct"/>
            <w:tcBorders>
              <w:top w:val="single" w:color="000000" w:sz="12" w:space="0"/>
              <w:tl2br w:val="nil"/>
              <w:tr2bl w:val="nil"/>
            </w:tcBorders>
            <w:vAlign w:val="center"/>
          </w:tcPr>
          <w:p w14:paraId="3EEEC14C">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op w:val="single" w:color="000000" w:sz="12" w:space="0"/>
              <w:tl2br w:val="nil"/>
              <w:tr2bl w:val="nil"/>
            </w:tcBorders>
            <w:vAlign w:val="center"/>
          </w:tcPr>
          <w:p w14:paraId="7BF24CF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op w:val="single" w:color="000000" w:sz="12" w:space="0"/>
              <w:tl2br w:val="nil"/>
              <w:tr2bl w:val="nil"/>
            </w:tcBorders>
            <w:vAlign w:val="center"/>
          </w:tcPr>
          <w:p w14:paraId="2F7F0AE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9876D6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FCE94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A293F5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7B5D82A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制修订标准</w:t>
            </w:r>
          </w:p>
        </w:tc>
        <w:tc>
          <w:tcPr>
            <w:tcW w:w="594" w:type="pct"/>
            <w:tcBorders>
              <w:tl2br w:val="nil"/>
              <w:tr2bl w:val="nil"/>
            </w:tcBorders>
            <w:vAlign w:val="center"/>
          </w:tcPr>
          <w:p w14:paraId="5E8B1A9A">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156E25C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3781B4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041AD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FC15A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4B4983B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023FE4E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关键</w:t>
            </w:r>
            <w:r>
              <w:rPr>
                <w:rFonts w:hint="eastAsia" w:hAnsi="宋体" w:cs="宋体"/>
                <w:sz w:val="18"/>
                <w:szCs w:val="18"/>
                <w:highlight w:val="none"/>
              </w:rPr>
              <w:t>技术先进水平</w:t>
            </w:r>
          </w:p>
        </w:tc>
        <w:tc>
          <w:tcPr>
            <w:tcW w:w="594" w:type="pct"/>
            <w:tcBorders>
              <w:tl2br w:val="nil"/>
              <w:tr2bl w:val="nil"/>
            </w:tcBorders>
            <w:vAlign w:val="center"/>
          </w:tcPr>
          <w:p w14:paraId="3DADABC9">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highlight w:val="none"/>
                <w:lang w:val="en-US" w:eastAsia="zh-CN"/>
              </w:rPr>
            </w:pPr>
            <w:r>
              <w:rPr>
                <w:rFonts w:hint="eastAsia" w:ascii="宋体" w:hAnsi="宋体" w:cs="宋体"/>
                <w:color w:val="000000"/>
                <w:kern w:val="0"/>
                <w:sz w:val="18"/>
                <w:szCs w:val="18"/>
                <w:highlight w:val="none"/>
                <w:lang w:val="en-US" w:eastAsia="zh-CN" w:bidi="ar"/>
              </w:rPr>
              <w:t>12</w:t>
            </w:r>
          </w:p>
        </w:tc>
        <w:tc>
          <w:tcPr>
            <w:tcW w:w="708" w:type="pct"/>
            <w:tcBorders>
              <w:tl2br w:val="nil"/>
              <w:tr2bl w:val="nil"/>
            </w:tcBorders>
            <w:vAlign w:val="center"/>
          </w:tcPr>
          <w:p w14:paraId="41DCCE8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BF1E33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8D9AE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BBA1C3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2194" w:type="pct"/>
            <w:gridSpan w:val="2"/>
            <w:tcBorders>
              <w:tl2br w:val="nil"/>
              <w:tr2bl w:val="nil"/>
            </w:tcBorders>
            <w:vAlign w:val="center"/>
          </w:tcPr>
          <w:p w14:paraId="556BE24E">
            <w:pPr>
              <w:keepNext w:val="0"/>
              <w:keepLines w:val="0"/>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ascii="宋体" w:hAnsi="宋体" w:cs="宋体"/>
                <w:kern w:val="0"/>
                <w:sz w:val="18"/>
                <w:szCs w:val="18"/>
                <w:highlight w:val="none"/>
                <w:lang w:val="en-US" w:eastAsia="zh-CN"/>
              </w:rPr>
              <w:t>环境效益</w:t>
            </w:r>
          </w:p>
        </w:tc>
        <w:tc>
          <w:tcPr>
            <w:tcW w:w="594" w:type="pct"/>
            <w:tcBorders>
              <w:tl2br w:val="nil"/>
              <w:tr2bl w:val="nil"/>
            </w:tcBorders>
            <w:vAlign w:val="center"/>
          </w:tcPr>
          <w:p w14:paraId="1BF89DB1">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val="en-US" w:eastAsia="zh-CN" w:bidi="ar"/>
              </w:rPr>
              <w:t>2</w:t>
            </w:r>
            <w:r>
              <w:rPr>
                <w:rFonts w:hint="eastAsia" w:ascii="宋体" w:hAnsi="宋体" w:cs="宋体"/>
                <w:color w:val="000000"/>
                <w:kern w:val="0"/>
                <w:sz w:val="18"/>
                <w:szCs w:val="18"/>
                <w:highlight w:val="none"/>
                <w:lang w:bidi="ar"/>
              </w:rPr>
              <w:t>0</w:t>
            </w:r>
          </w:p>
        </w:tc>
        <w:tc>
          <w:tcPr>
            <w:tcW w:w="708" w:type="pct"/>
            <w:tcBorders>
              <w:tl2br w:val="nil"/>
              <w:tr2bl w:val="nil"/>
            </w:tcBorders>
            <w:vAlign w:val="center"/>
          </w:tcPr>
          <w:p w14:paraId="2B15CE6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765E4E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518883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660FC12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业务表现</w:t>
            </w:r>
          </w:p>
        </w:tc>
        <w:tc>
          <w:tcPr>
            <w:tcW w:w="750" w:type="pct"/>
            <w:vMerge w:val="restart"/>
            <w:tcBorders>
              <w:tl2br w:val="nil"/>
              <w:tr2bl w:val="nil"/>
            </w:tcBorders>
            <w:vAlign w:val="center"/>
          </w:tcPr>
          <w:p w14:paraId="0C6A313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发展能力</w:t>
            </w:r>
          </w:p>
        </w:tc>
        <w:tc>
          <w:tcPr>
            <w:tcW w:w="1444" w:type="pct"/>
            <w:tcBorders>
              <w:tl2br w:val="nil"/>
              <w:tr2bl w:val="nil"/>
            </w:tcBorders>
            <w:vAlign w:val="center"/>
          </w:tcPr>
          <w:p w14:paraId="5B2B0B5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团队技术实力</w:t>
            </w:r>
          </w:p>
        </w:tc>
        <w:tc>
          <w:tcPr>
            <w:tcW w:w="594" w:type="pct"/>
            <w:tcBorders>
              <w:tl2br w:val="nil"/>
              <w:tr2bl w:val="nil"/>
            </w:tcBorders>
            <w:vAlign w:val="center"/>
          </w:tcPr>
          <w:p w14:paraId="56887600">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8</w:t>
            </w:r>
          </w:p>
        </w:tc>
        <w:tc>
          <w:tcPr>
            <w:tcW w:w="708" w:type="pct"/>
            <w:tcBorders>
              <w:tl2br w:val="nil"/>
              <w:tr2bl w:val="nil"/>
            </w:tcBorders>
            <w:vAlign w:val="center"/>
          </w:tcPr>
          <w:p w14:paraId="5B9C98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302E4F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EFF65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D9234C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2377288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11C50E18">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研发投入</w:t>
            </w:r>
          </w:p>
        </w:tc>
        <w:tc>
          <w:tcPr>
            <w:tcW w:w="594" w:type="pct"/>
            <w:tcBorders>
              <w:tl2br w:val="nil"/>
              <w:tr2bl w:val="nil"/>
            </w:tcBorders>
            <w:vAlign w:val="center"/>
          </w:tcPr>
          <w:p w14:paraId="0CC2D28B">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6</w:t>
            </w:r>
          </w:p>
        </w:tc>
        <w:tc>
          <w:tcPr>
            <w:tcW w:w="708" w:type="pct"/>
            <w:tcBorders>
              <w:tl2br w:val="nil"/>
              <w:tr2bl w:val="nil"/>
            </w:tcBorders>
            <w:vAlign w:val="center"/>
          </w:tcPr>
          <w:p w14:paraId="1953375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E2D9AA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352FB8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79B6F1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7A3D65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28FE152F">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运营效益水平</w:t>
            </w:r>
          </w:p>
        </w:tc>
        <w:tc>
          <w:tcPr>
            <w:tcW w:w="594" w:type="pct"/>
            <w:tcBorders>
              <w:tl2br w:val="nil"/>
              <w:tr2bl w:val="nil"/>
            </w:tcBorders>
            <w:vAlign w:val="center"/>
          </w:tcPr>
          <w:p w14:paraId="3156C78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val="en-US" w:eastAsia="zh-CN" w:bidi="ar"/>
              </w:rPr>
              <w:t>4</w:t>
            </w:r>
          </w:p>
        </w:tc>
        <w:tc>
          <w:tcPr>
            <w:tcW w:w="708" w:type="pct"/>
            <w:tcBorders>
              <w:tl2br w:val="nil"/>
              <w:tr2bl w:val="nil"/>
            </w:tcBorders>
            <w:vAlign w:val="center"/>
          </w:tcPr>
          <w:p w14:paraId="79B5AF4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457274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5D262A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76F6074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28E7E60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市场影响</w:t>
            </w:r>
          </w:p>
        </w:tc>
        <w:tc>
          <w:tcPr>
            <w:tcW w:w="1444" w:type="pct"/>
            <w:tcBorders>
              <w:tl2br w:val="nil"/>
              <w:tr2bl w:val="nil"/>
            </w:tcBorders>
            <w:vAlign w:val="center"/>
          </w:tcPr>
          <w:p w14:paraId="4EB7DB7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市场竞争力</w:t>
            </w:r>
          </w:p>
        </w:tc>
        <w:tc>
          <w:tcPr>
            <w:tcW w:w="594" w:type="pct"/>
            <w:tcBorders>
              <w:tl2br w:val="nil"/>
              <w:tr2bl w:val="nil"/>
            </w:tcBorders>
            <w:vAlign w:val="center"/>
          </w:tcPr>
          <w:p w14:paraId="50B116A4">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8</w:t>
            </w:r>
          </w:p>
        </w:tc>
        <w:tc>
          <w:tcPr>
            <w:tcW w:w="708" w:type="pct"/>
            <w:tcBorders>
              <w:tl2br w:val="nil"/>
              <w:tr2bl w:val="nil"/>
            </w:tcBorders>
            <w:vAlign w:val="center"/>
          </w:tcPr>
          <w:p w14:paraId="491C11A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6126F76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F2678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B793A0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23661D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D9F04C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产业影响力</w:t>
            </w:r>
          </w:p>
        </w:tc>
        <w:tc>
          <w:tcPr>
            <w:tcW w:w="594" w:type="pct"/>
            <w:tcBorders>
              <w:tl2br w:val="nil"/>
              <w:tr2bl w:val="nil"/>
            </w:tcBorders>
            <w:vAlign w:val="center"/>
          </w:tcPr>
          <w:p w14:paraId="40ADE06B">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7</w:t>
            </w:r>
          </w:p>
        </w:tc>
        <w:tc>
          <w:tcPr>
            <w:tcW w:w="708" w:type="pct"/>
            <w:tcBorders>
              <w:tl2br w:val="nil"/>
              <w:tr2bl w:val="nil"/>
            </w:tcBorders>
            <w:vAlign w:val="center"/>
          </w:tcPr>
          <w:p w14:paraId="36E5992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2344EB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0129E0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736E9C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DEE1A4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5438571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行业资质荣誉</w:t>
            </w:r>
          </w:p>
        </w:tc>
        <w:tc>
          <w:tcPr>
            <w:tcW w:w="594" w:type="pct"/>
            <w:tcBorders>
              <w:tl2br w:val="nil"/>
              <w:tr2bl w:val="nil"/>
            </w:tcBorders>
            <w:vAlign w:val="center"/>
          </w:tcPr>
          <w:p w14:paraId="574A23E4">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5</w:t>
            </w:r>
          </w:p>
        </w:tc>
        <w:tc>
          <w:tcPr>
            <w:tcW w:w="708" w:type="pct"/>
            <w:tcBorders>
              <w:tl2br w:val="nil"/>
              <w:tr2bl w:val="nil"/>
            </w:tcBorders>
            <w:vAlign w:val="center"/>
          </w:tcPr>
          <w:p w14:paraId="5615B88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7C5358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034AD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19CCA4E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环境表现</w:t>
            </w:r>
          </w:p>
        </w:tc>
        <w:tc>
          <w:tcPr>
            <w:tcW w:w="2194" w:type="pct"/>
            <w:gridSpan w:val="2"/>
            <w:tcBorders>
              <w:tl2br w:val="nil"/>
              <w:tr2bl w:val="nil"/>
            </w:tcBorders>
            <w:vAlign w:val="center"/>
          </w:tcPr>
          <w:p w14:paraId="737BA837">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温室气体排放水平</w:t>
            </w:r>
          </w:p>
        </w:tc>
        <w:tc>
          <w:tcPr>
            <w:tcW w:w="594" w:type="pct"/>
            <w:tcBorders>
              <w:tl2br w:val="nil"/>
              <w:tr2bl w:val="nil"/>
            </w:tcBorders>
            <w:vAlign w:val="center"/>
          </w:tcPr>
          <w:p w14:paraId="0476C13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4840DDD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3B6EDEA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06ABB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31D9F4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66AF3603">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444" w:type="pct"/>
            <w:tcBorders>
              <w:tl2br w:val="nil"/>
              <w:tr2bl w:val="nil"/>
            </w:tcBorders>
            <w:vAlign w:val="center"/>
          </w:tcPr>
          <w:p w14:paraId="2BD82F1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工艺绿色化水平</w:t>
            </w:r>
          </w:p>
        </w:tc>
        <w:tc>
          <w:tcPr>
            <w:tcW w:w="594" w:type="pct"/>
            <w:tcBorders>
              <w:tl2br w:val="nil"/>
              <w:tr2bl w:val="nil"/>
            </w:tcBorders>
            <w:vAlign w:val="center"/>
          </w:tcPr>
          <w:p w14:paraId="070C18E4">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510A82A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38315C8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398B72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722459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2C73B7C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5EC70089">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设备绿色化水平</w:t>
            </w:r>
          </w:p>
        </w:tc>
        <w:tc>
          <w:tcPr>
            <w:tcW w:w="594" w:type="pct"/>
            <w:tcBorders>
              <w:tl2br w:val="nil"/>
              <w:tr2bl w:val="nil"/>
            </w:tcBorders>
            <w:vAlign w:val="center"/>
          </w:tcPr>
          <w:p w14:paraId="282A2B84">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15B6047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3542387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ED319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BF18B5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647E1A2B">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203EFF67">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材料绿色化水平</w:t>
            </w:r>
          </w:p>
        </w:tc>
        <w:tc>
          <w:tcPr>
            <w:tcW w:w="594" w:type="pct"/>
            <w:tcBorders>
              <w:tl2br w:val="nil"/>
              <w:tr2bl w:val="nil"/>
            </w:tcBorders>
            <w:vAlign w:val="center"/>
          </w:tcPr>
          <w:p w14:paraId="3E5C75CB">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52B2A98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501E95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84E59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559F87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61A38DD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能源资源利用</w:t>
            </w:r>
          </w:p>
        </w:tc>
        <w:tc>
          <w:tcPr>
            <w:tcW w:w="1444" w:type="pct"/>
            <w:tcBorders>
              <w:tl2br w:val="nil"/>
              <w:tr2bl w:val="nil"/>
            </w:tcBorders>
            <w:vAlign w:val="center"/>
          </w:tcPr>
          <w:p w14:paraId="2B005FE0">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可再生能源占比</w:t>
            </w:r>
          </w:p>
        </w:tc>
        <w:tc>
          <w:tcPr>
            <w:tcW w:w="594" w:type="pct"/>
            <w:tcBorders>
              <w:tl2br w:val="nil"/>
              <w:tr2bl w:val="nil"/>
            </w:tcBorders>
            <w:vAlign w:val="center"/>
          </w:tcPr>
          <w:p w14:paraId="43739B2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val="en-US" w:eastAsia="zh-CN" w:bidi="ar"/>
              </w:rPr>
              <w:t>3</w:t>
            </w:r>
          </w:p>
        </w:tc>
        <w:tc>
          <w:tcPr>
            <w:tcW w:w="708" w:type="pct"/>
            <w:tcBorders>
              <w:tl2br w:val="nil"/>
              <w:tr2bl w:val="nil"/>
            </w:tcBorders>
            <w:vAlign w:val="center"/>
          </w:tcPr>
          <w:p w14:paraId="6FC0F80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419D48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4B8B46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3EBF365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B7BBF78">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444" w:type="pct"/>
            <w:tcBorders>
              <w:tl2br w:val="nil"/>
              <w:tr2bl w:val="nil"/>
            </w:tcBorders>
            <w:vAlign w:val="center"/>
          </w:tcPr>
          <w:p w14:paraId="651C026E">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非常规水资源利用率</w:t>
            </w:r>
          </w:p>
        </w:tc>
        <w:tc>
          <w:tcPr>
            <w:tcW w:w="594" w:type="pct"/>
            <w:tcBorders>
              <w:tl2br w:val="nil"/>
              <w:tr2bl w:val="nil"/>
            </w:tcBorders>
            <w:vAlign w:val="center"/>
          </w:tcPr>
          <w:p w14:paraId="74355107">
            <w:pPr>
              <w:keepNext w:val="0"/>
              <w:keepLines w:val="0"/>
              <w:widowControl/>
              <w:suppressLineNumbers w:val="0"/>
              <w:spacing w:before="0" w:beforeAutospacing="0" w:after="0" w:afterAutospacing="0"/>
              <w:ind w:left="0" w:right="0"/>
              <w:jc w:val="center"/>
              <w:textAlignment w:val="center"/>
              <w:rPr>
                <w:rFonts w:hint="eastAsia"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0F3E551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297DAC2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79115D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3363B97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2194" w:type="pct"/>
            <w:gridSpan w:val="2"/>
            <w:tcBorders>
              <w:tl2br w:val="nil"/>
              <w:tr2bl w:val="nil"/>
            </w:tcBorders>
            <w:vAlign w:val="center"/>
          </w:tcPr>
          <w:p w14:paraId="7D2E8D1F">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污染物排放水平</w:t>
            </w:r>
          </w:p>
        </w:tc>
        <w:tc>
          <w:tcPr>
            <w:tcW w:w="594" w:type="pct"/>
            <w:tcBorders>
              <w:tl2br w:val="nil"/>
              <w:tr2bl w:val="nil"/>
            </w:tcBorders>
            <w:vAlign w:val="center"/>
          </w:tcPr>
          <w:p w14:paraId="37130316">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3A31B11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A4C6C1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F5175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6F7C6BA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社会表现</w:t>
            </w:r>
          </w:p>
        </w:tc>
        <w:tc>
          <w:tcPr>
            <w:tcW w:w="750" w:type="pct"/>
            <w:vMerge w:val="restart"/>
            <w:tcBorders>
              <w:tl2br w:val="nil"/>
              <w:tr2bl w:val="nil"/>
            </w:tcBorders>
            <w:vAlign w:val="center"/>
          </w:tcPr>
          <w:p w14:paraId="0CC552D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内部行动</w:t>
            </w:r>
          </w:p>
        </w:tc>
        <w:tc>
          <w:tcPr>
            <w:tcW w:w="1444" w:type="pct"/>
            <w:tcBorders>
              <w:tl2br w:val="nil"/>
              <w:tr2bl w:val="nil"/>
            </w:tcBorders>
            <w:vAlign w:val="center"/>
          </w:tcPr>
          <w:p w14:paraId="5564BEB4">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绿色行动</w:t>
            </w:r>
          </w:p>
        </w:tc>
        <w:tc>
          <w:tcPr>
            <w:tcW w:w="594" w:type="pct"/>
            <w:tcBorders>
              <w:tl2br w:val="nil"/>
              <w:tr2bl w:val="nil"/>
            </w:tcBorders>
            <w:vAlign w:val="center"/>
          </w:tcPr>
          <w:p w14:paraId="06FB831D">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highlight w:val="none"/>
                <w:lang w:val="en-US" w:eastAsia="zh-CN"/>
              </w:rPr>
            </w:pPr>
            <w:r>
              <w:rPr>
                <w:rFonts w:hint="eastAsia" w:ascii="宋体" w:hAnsi="宋体" w:cs="宋体"/>
                <w:color w:val="000000"/>
                <w:kern w:val="0"/>
                <w:sz w:val="18"/>
                <w:szCs w:val="18"/>
                <w:highlight w:val="none"/>
                <w:lang w:val="en-US" w:eastAsia="zh-CN" w:bidi="ar"/>
              </w:rPr>
              <w:t>2</w:t>
            </w:r>
          </w:p>
        </w:tc>
        <w:tc>
          <w:tcPr>
            <w:tcW w:w="708" w:type="pct"/>
            <w:tcBorders>
              <w:tl2br w:val="nil"/>
              <w:tr2bl w:val="nil"/>
            </w:tcBorders>
            <w:vAlign w:val="center"/>
          </w:tcPr>
          <w:p w14:paraId="207E46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684751D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2F75E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D2FD98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536064D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26115248">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信息披露</w:t>
            </w:r>
          </w:p>
        </w:tc>
        <w:tc>
          <w:tcPr>
            <w:tcW w:w="594" w:type="pct"/>
            <w:tcBorders>
              <w:tl2br w:val="nil"/>
              <w:tr2bl w:val="nil"/>
            </w:tcBorders>
            <w:vAlign w:val="center"/>
          </w:tcPr>
          <w:p w14:paraId="4E17D34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2</w:t>
            </w:r>
          </w:p>
        </w:tc>
        <w:tc>
          <w:tcPr>
            <w:tcW w:w="708" w:type="pct"/>
            <w:tcBorders>
              <w:tl2br w:val="nil"/>
              <w:tr2bl w:val="nil"/>
            </w:tcBorders>
            <w:vAlign w:val="center"/>
          </w:tcPr>
          <w:p w14:paraId="6C7331D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23223BD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F87D6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3BA4DD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3E71EAA8">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414A50E7">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低碳培训</w:t>
            </w:r>
          </w:p>
        </w:tc>
        <w:tc>
          <w:tcPr>
            <w:tcW w:w="594" w:type="pct"/>
            <w:tcBorders>
              <w:tl2br w:val="nil"/>
              <w:tr2bl w:val="nil"/>
            </w:tcBorders>
            <w:vAlign w:val="center"/>
          </w:tcPr>
          <w:p w14:paraId="73B737E9">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254281C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9C0A2E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5D726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06DB92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restart"/>
            <w:tcBorders>
              <w:tl2br w:val="nil"/>
              <w:tr2bl w:val="nil"/>
            </w:tcBorders>
            <w:vAlign w:val="center"/>
          </w:tcPr>
          <w:p w14:paraId="4841A134">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社会责任</w:t>
            </w:r>
          </w:p>
        </w:tc>
        <w:tc>
          <w:tcPr>
            <w:tcW w:w="1444" w:type="pct"/>
            <w:tcBorders>
              <w:tl2br w:val="nil"/>
              <w:tr2bl w:val="nil"/>
            </w:tcBorders>
            <w:vAlign w:val="center"/>
          </w:tcPr>
          <w:p w14:paraId="1A366C1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公共关系和社会公益责任</w:t>
            </w:r>
          </w:p>
        </w:tc>
        <w:tc>
          <w:tcPr>
            <w:tcW w:w="594" w:type="pct"/>
            <w:tcBorders>
              <w:tl2br w:val="nil"/>
              <w:tr2bl w:val="nil"/>
            </w:tcBorders>
            <w:vAlign w:val="center"/>
          </w:tcPr>
          <w:p w14:paraId="26A02376">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0F0CF9C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EA5767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AEBD1B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3CDCE53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4CAC0C3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52F322D8">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绿色化管理</w:t>
            </w:r>
          </w:p>
        </w:tc>
        <w:tc>
          <w:tcPr>
            <w:tcW w:w="594" w:type="pct"/>
            <w:tcBorders>
              <w:tl2br w:val="nil"/>
              <w:tr2bl w:val="nil"/>
            </w:tcBorders>
            <w:vAlign w:val="center"/>
          </w:tcPr>
          <w:p w14:paraId="5F8673C9">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27663F5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9910E2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0A5A5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3413" w:type="pct"/>
            <w:gridSpan w:val="4"/>
            <w:tcBorders>
              <w:bottom w:val="single" w:color="000000" w:sz="12" w:space="0"/>
              <w:tl2br w:val="nil"/>
              <w:tr2bl w:val="nil"/>
            </w:tcBorders>
            <w:vAlign w:val="center"/>
          </w:tcPr>
          <w:p w14:paraId="4F41590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总得分</w:t>
            </w:r>
          </w:p>
        </w:tc>
        <w:tc>
          <w:tcPr>
            <w:tcW w:w="708" w:type="pct"/>
            <w:tcBorders>
              <w:bottom w:val="single" w:color="000000" w:sz="12" w:space="0"/>
              <w:tl2br w:val="nil"/>
              <w:tr2bl w:val="nil"/>
            </w:tcBorders>
            <w:vAlign w:val="center"/>
          </w:tcPr>
          <w:p w14:paraId="3F71693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p>
        </w:tc>
        <w:tc>
          <w:tcPr>
            <w:tcW w:w="878" w:type="pct"/>
            <w:tcBorders>
              <w:bottom w:val="single" w:color="000000" w:sz="12" w:space="0"/>
              <w:tl2br w:val="nil"/>
              <w:tr2bl w:val="nil"/>
            </w:tcBorders>
            <w:vAlign w:val="center"/>
          </w:tcPr>
          <w:p w14:paraId="359B463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p>
        </w:tc>
      </w:tr>
      <w:tr w14:paraId="2B33F12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000" w:type="pct"/>
            <w:gridSpan w:val="6"/>
            <w:tcBorders>
              <w:top w:val="single" w:color="000000" w:sz="12" w:space="0"/>
            </w:tcBorders>
            <w:vAlign w:val="center"/>
          </w:tcPr>
          <w:p w14:paraId="0718C3CE">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both"/>
              <w:textAlignment w:val="auto"/>
              <w:rPr>
                <w:rFonts w:hint="default"/>
                <w:b/>
                <w:kern w:val="0"/>
                <w:sz w:val="18"/>
                <w:szCs w:val="18"/>
                <w:highlight w:val="none"/>
              </w:rPr>
            </w:pPr>
            <w:r>
              <w:rPr>
                <w:rStyle w:val="157"/>
                <w:rFonts w:hint="eastAsia" w:asciiTheme="minorEastAsia" w:hAnsiTheme="minorEastAsia" w:eastAsiaTheme="minorEastAsia" w:cstheme="minorEastAsia"/>
                <w:sz w:val="18"/>
                <w:szCs w:val="18"/>
                <w:highlight w:val="none"/>
                <w:vertAlign w:val="superscript"/>
              </w:rPr>
              <w:t>a</w:t>
            </w:r>
            <w:r>
              <w:rPr>
                <w:rFonts w:hint="eastAsia" w:cs="宋体" w:asciiTheme="minorEastAsia" w:hAnsiTheme="minorEastAsia" w:eastAsiaTheme="minorEastAsia"/>
                <w:sz w:val="18"/>
                <w:szCs w:val="18"/>
                <w:highlight w:val="none"/>
              </w:rPr>
              <w:t xml:space="preserve"> 给出材料对应的具体页码，例如，见第4页。</w:t>
            </w:r>
          </w:p>
        </w:tc>
      </w:tr>
    </w:tbl>
    <w:p w14:paraId="04A650B7">
      <w:pPr>
        <w:numPr>
          <w:ilvl w:val="1"/>
          <w:numId w:val="0"/>
        </w:numPr>
        <w:spacing w:before="156" w:beforeLines="50" w:after="156" w:afterLines="50"/>
        <w:jc w:val="center"/>
        <w:rPr>
          <w:rFonts w:ascii="黑体" w:hAnsi="黑体" w:eastAsia="黑体"/>
          <w:szCs w:val="21"/>
          <w:highlight w:val="none"/>
        </w:rPr>
      </w:pPr>
      <w:r>
        <w:rPr>
          <w:rFonts w:hint="eastAsia" w:ascii="黑体" w:hAnsi="黑体" w:eastAsia="黑体"/>
          <w:szCs w:val="21"/>
          <w:highlight w:val="none"/>
        </w:rPr>
        <w:t>表</w:t>
      </w:r>
      <w:r>
        <w:rPr>
          <w:rFonts w:hint="eastAsia" w:ascii="黑体" w:hAnsi="黑体" w:eastAsia="黑体"/>
          <w:szCs w:val="21"/>
          <w:highlight w:val="none"/>
          <w:lang w:val="en-US" w:eastAsia="zh-CN"/>
        </w:rPr>
        <w:t>C</w:t>
      </w:r>
      <w:r>
        <w:rPr>
          <w:rFonts w:hint="eastAsia" w:ascii="黑体" w:hAnsi="黑体" w:eastAsia="黑体"/>
          <w:szCs w:val="21"/>
          <w:highlight w:val="none"/>
        </w:rPr>
        <w:t>.</w:t>
      </w:r>
      <w:r>
        <w:rPr>
          <w:rFonts w:hint="eastAsia" w:ascii="黑体" w:hAnsi="黑体" w:eastAsia="黑体"/>
          <w:szCs w:val="21"/>
          <w:highlight w:val="none"/>
          <w:lang w:val="en-US" w:eastAsia="zh-CN"/>
        </w:rPr>
        <w:t xml:space="preserve">5  </w:t>
      </w:r>
      <w:r>
        <w:rPr>
          <w:rFonts w:hint="eastAsia" w:ascii="黑体" w:hAnsi="黑体" w:eastAsia="黑体"/>
          <w:szCs w:val="21"/>
          <w:highlight w:val="none"/>
        </w:rPr>
        <w:t>关键技术先进性指标评分</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51"/>
        <w:gridCol w:w="998"/>
        <w:gridCol w:w="1019"/>
        <w:gridCol w:w="1380"/>
        <w:gridCol w:w="1030"/>
        <w:gridCol w:w="1654"/>
        <w:gridCol w:w="1290"/>
        <w:gridCol w:w="1137"/>
      </w:tblGrid>
      <w:tr w14:paraId="798908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051" w:type="dxa"/>
            <w:tcBorders>
              <w:bottom w:val="single" w:color="000000" w:sz="12" w:space="0"/>
            </w:tcBorders>
            <w:vAlign w:val="center"/>
          </w:tcPr>
          <w:p w14:paraId="5139CA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所属行业</w:t>
            </w:r>
            <w:r>
              <w:rPr>
                <w:rFonts w:hint="eastAsia" w:ascii="宋体" w:hAnsi="宋体" w:eastAsia="宋体" w:cs="宋体"/>
                <w:b w:val="0"/>
                <w:bCs/>
                <w:kern w:val="0"/>
                <w:sz w:val="18"/>
                <w:szCs w:val="18"/>
                <w:highlight w:val="none"/>
                <w:vertAlign w:val="superscript"/>
                <w:lang w:val="en-US" w:eastAsia="zh-CN"/>
              </w:rPr>
              <w:t>a</w:t>
            </w:r>
          </w:p>
        </w:tc>
        <w:tc>
          <w:tcPr>
            <w:tcW w:w="998" w:type="dxa"/>
            <w:tcBorders>
              <w:bottom w:val="single" w:color="000000" w:sz="12" w:space="0"/>
            </w:tcBorders>
            <w:vAlign w:val="center"/>
          </w:tcPr>
          <w:p w14:paraId="7AC8AB1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评价环节</w:t>
            </w:r>
            <w:r>
              <w:rPr>
                <w:rFonts w:hint="eastAsia" w:ascii="宋体" w:hAnsi="宋体" w:eastAsia="宋体" w:cs="宋体"/>
                <w:b w:val="0"/>
                <w:bCs/>
                <w:kern w:val="0"/>
                <w:sz w:val="18"/>
                <w:szCs w:val="18"/>
                <w:highlight w:val="none"/>
                <w:vertAlign w:val="superscript"/>
                <w:lang w:val="en-US" w:eastAsia="zh-CN"/>
              </w:rPr>
              <w:t>b</w:t>
            </w:r>
          </w:p>
        </w:tc>
        <w:tc>
          <w:tcPr>
            <w:tcW w:w="1019" w:type="dxa"/>
            <w:tcBorders>
              <w:bottom w:val="single" w:color="000000" w:sz="12" w:space="0"/>
            </w:tcBorders>
            <w:vAlign w:val="center"/>
          </w:tcPr>
          <w:p w14:paraId="301C0BD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评价对象</w:t>
            </w:r>
            <w:r>
              <w:rPr>
                <w:rFonts w:hint="eastAsia" w:ascii="宋体" w:hAnsi="宋体" w:eastAsia="宋体" w:cs="宋体"/>
                <w:b w:val="0"/>
                <w:bCs/>
                <w:kern w:val="0"/>
                <w:sz w:val="18"/>
                <w:szCs w:val="18"/>
                <w:highlight w:val="none"/>
                <w:vertAlign w:val="superscript"/>
                <w:lang w:val="en-US" w:eastAsia="zh-CN"/>
              </w:rPr>
              <w:t>c</w:t>
            </w:r>
          </w:p>
        </w:tc>
        <w:tc>
          <w:tcPr>
            <w:tcW w:w="1380" w:type="dxa"/>
            <w:tcBorders>
              <w:bottom w:val="single" w:color="000000" w:sz="12" w:space="0"/>
            </w:tcBorders>
            <w:vAlign w:val="center"/>
          </w:tcPr>
          <w:p w14:paraId="215FFAD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核心评价指标</w:t>
            </w:r>
            <w:r>
              <w:rPr>
                <w:rFonts w:hint="eastAsia" w:ascii="宋体" w:hAnsi="宋体" w:eastAsia="宋体" w:cs="宋体"/>
                <w:b w:val="0"/>
                <w:bCs/>
                <w:kern w:val="0"/>
                <w:sz w:val="18"/>
                <w:szCs w:val="18"/>
                <w:highlight w:val="none"/>
                <w:vertAlign w:val="superscript"/>
                <w:lang w:val="en-US" w:eastAsia="zh-CN"/>
              </w:rPr>
              <w:t>c</w:t>
            </w:r>
          </w:p>
        </w:tc>
        <w:tc>
          <w:tcPr>
            <w:tcW w:w="1030" w:type="dxa"/>
            <w:tcBorders>
              <w:bottom w:val="single" w:color="000000" w:sz="12" w:space="0"/>
            </w:tcBorders>
            <w:vAlign w:val="center"/>
          </w:tcPr>
          <w:p w14:paraId="373E5F1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参考标准</w:t>
            </w:r>
            <w:r>
              <w:rPr>
                <w:rFonts w:hint="eastAsia" w:ascii="宋体" w:hAnsi="宋体" w:cs="宋体"/>
                <w:b w:val="0"/>
                <w:bCs/>
                <w:kern w:val="0"/>
                <w:sz w:val="18"/>
                <w:szCs w:val="18"/>
                <w:highlight w:val="none"/>
                <w:vertAlign w:val="superscript"/>
                <w:lang w:val="en-US" w:eastAsia="zh-CN"/>
              </w:rPr>
              <w:t>d</w:t>
            </w:r>
          </w:p>
        </w:tc>
        <w:tc>
          <w:tcPr>
            <w:tcW w:w="1654" w:type="dxa"/>
            <w:tcBorders>
              <w:bottom w:val="single" w:color="000000" w:sz="12" w:space="0"/>
            </w:tcBorders>
            <w:vAlign w:val="center"/>
          </w:tcPr>
          <w:p w14:paraId="6E141EA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标准参考值/要求</w:t>
            </w:r>
            <w:r>
              <w:rPr>
                <w:rFonts w:hint="eastAsia" w:ascii="宋体" w:hAnsi="宋体" w:cs="宋体"/>
                <w:b w:val="0"/>
                <w:bCs/>
                <w:kern w:val="0"/>
                <w:sz w:val="18"/>
                <w:szCs w:val="18"/>
                <w:highlight w:val="none"/>
                <w:vertAlign w:val="superscript"/>
                <w:lang w:val="en-US" w:eastAsia="zh-CN"/>
              </w:rPr>
              <w:t>e</w:t>
            </w:r>
          </w:p>
        </w:tc>
        <w:tc>
          <w:tcPr>
            <w:tcW w:w="1290" w:type="dxa"/>
            <w:tcBorders>
              <w:bottom w:val="single" w:color="000000" w:sz="12" w:space="0"/>
            </w:tcBorders>
            <w:vAlign w:val="center"/>
          </w:tcPr>
          <w:p w14:paraId="2337A61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自评值/要求</w:t>
            </w:r>
            <w:r>
              <w:rPr>
                <w:rFonts w:hint="eastAsia" w:ascii="宋体" w:hAnsi="宋体" w:cs="宋体"/>
                <w:b w:val="0"/>
                <w:bCs/>
                <w:kern w:val="0"/>
                <w:sz w:val="18"/>
                <w:szCs w:val="18"/>
                <w:highlight w:val="none"/>
                <w:vertAlign w:val="superscript"/>
                <w:lang w:val="en-US" w:eastAsia="zh-CN"/>
              </w:rPr>
              <w:t>f</w:t>
            </w:r>
          </w:p>
        </w:tc>
        <w:tc>
          <w:tcPr>
            <w:tcW w:w="1137" w:type="dxa"/>
            <w:tcBorders>
              <w:bottom w:val="single" w:color="000000" w:sz="12" w:space="0"/>
            </w:tcBorders>
            <w:vAlign w:val="center"/>
          </w:tcPr>
          <w:p w14:paraId="0006026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佐证材料</w:t>
            </w:r>
            <w:r>
              <w:rPr>
                <w:rFonts w:hint="eastAsia" w:ascii="宋体" w:hAnsi="宋体" w:cs="宋体"/>
                <w:b w:val="0"/>
                <w:bCs/>
                <w:kern w:val="0"/>
                <w:sz w:val="18"/>
                <w:szCs w:val="18"/>
                <w:highlight w:val="none"/>
                <w:vertAlign w:val="superscript"/>
                <w:lang w:val="en-US" w:eastAsia="zh-CN"/>
              </w:rPr>
              <w:t>g</w:t>
            </w:r>
          </w:p>
        </w:tc>
      </w:tr>
      <w:tr w14:paraId="392ADAA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051" w:type="dxa"/>
            <w:tcBorders>
              <w:top w:val="single" w:color="000000" w:sz="12" w:space="0"/>
              <w:bottom w:val="single" w:color="000000" w:sz="12" w:space="0"/>
              <w:tl2br w:val="nil"/>
              <w:tr2bl w:val="nil"/>
            </w:tcBorders>
            <w:vAlign w:val="center"/>
          </w:tcPr>
          <w:p w14:paraId="5C18FE6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998" w:type="dxa"/>
            <w:tcBorders>
              <w:top w:val="single" w:color="000000" w:sz="12" w:space="0"/>
              <w:bottom w:val="single" w:color="000000" w:sz="12" w:space="0"/>
              <w:tl2br w:val="nil"/>
              <w:tr2bl w:val="nil"/>
            </w:tcBorders>
            <w:vAlign w:val="center"/>
          </w:tcPr>
          <w:p w14:paraId="3D07B9D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19" w:type="dxa"/>
            <w:tcBorders>
              <w:top w:val="single" w:color="000000" w:sz="12" w:space="0"/>
              <w:bottom w:val="single" w:color="000000" w:sz="12" w:space="0"/>
              <w:tl2br w:val="nil"/>
              <w:tr2bl w:val="nil"/>
            </w:tcBorders>
            <w:vAlign w:val="center"/>
          </w:tcPr>
          <w:p w14:paraId="1D806DD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380" w:type="dxa"/>
            <w:tcBorders>
              <w:top w:val="single" w:color="000000" w:sz="12" w:space="0"/>
              <w:bottom w:val="single" w:color="000000" w:sz="12" w:space="0"/>
              <w:tl2br w:val="nil"/>
              <w:tr2bl w:val="nil"/>
            </w:tcBorders>
            <w:vAlign w:val="center"/>
          </w:tcPr>
          <w:p w14:paraId="7C6DC05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030" w:type="dxa"/>
            <w:tcBorders>
              <w:top w:val="single" w:color="000000" w:sz="12" w:space="0"/>
              <w:bottom w:val="single" w:color="000000" w:sz="12" w:space="0"/>
              <w:tl2br w:val="nil"/>
              <w:tr2bl w:val="nil"/>
            </w:tcBorders>
            <w:vAlign w:val="center"/>
          </w:tcPr>
          <w:p w14:paraId="1E48DDD8">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p>
        </w:tc>
        <w:tc>
          <w:tcPr>
            <w:tcW w:w="1654" w:type="dxa"/>
            <w:tcBorders>
              <w:top w:val="single" w:color="000000" w:sz="12" w:space="0"/>
              <w:bottom w:val="single" w:color="000000" w:sz="12" w:space="0"/>
              <w:tl2br w:val="nil"/>
              <w:tr2bl w:val="nil"/>
            </w:tcBorders>
            <w:vAlign w:val="center"/>
          </w:tcPr>
          <w:p w14:paraId="48F2270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290" w:type="dxa"/>
            <w:tcBorders>
              <w:top w:val="single" w:color="000000" w:sz="12" w:space="0"/>
              <w:bottom w:val="single" w:color="000000" w:sz="12" w:space="0"/>
              <w:tl2br w:val="nil"/>
              <w:tr2bl w:val="nil"/>
            </w:tcBorders>
            <w:vAlign w:val="center"/>
          </w:tcPr>
          <w:p w14:paraId="1025CD5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137" w:type="dxa"/>
            <w:tcBorders>
              <w:top w:val="single" w:color="000000" w:sz="12" w:space="0"/>
              <w:bottom w:val="single" w:color="000000" w:sz="12" w:space="0"/>
              <w:tl2br w:val="nil"/>
              <w:tr2bl w:val="nil"/>
            </w:tcBorders>
            <w:vAlign w:val="center"/>
          </w:tcPr>
          <w:p w14:paraId="7769EBB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E0716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76" w:hRule="atLeast"/>
          <w:jc w:val="center"/>
        </w:trPr>
        <w:tc>
          <w:tcPr>
            <w:tcW w:w="9559" w:type="dxa"/>
            <w:gridSpan w:val="8"/>
            <w:tcBorders>
              <w:top w:val="single" w:color="000000" w:sz="12" w:space="0"/>
            </w:tcBorders>
            <w:vAlign w:val="center"/>
          </w:tcPr>
          <w:p w14:paraId="6790F441">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a</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所属行业根据</w:t>
            </w:r>
            <w:r>
              <w:rPr>
                <w:rFonts w:hint="eastAsia" w:ascii="宋体" w:hAnsi="宋体" w:cs="宋体"/>
                <w:kern w:val="0"/>
                <w:sz w:val="18"/>
                <w:szCs w:val="18"/>
                <w:highlight w:val="none"/>
                <w:lang w:val="en-US" w:eastAsia="zh-CN"/>
              </w:rPr>
              <w:t>相关政府职能部门发布的绿色低碳产业指导目录</w:t>
            </w:r>
            <w:r>
              <w:rPr>
                <w:rFonts w:hint="eastAsia" w:ascii="宋体" w:hAnsi="宋体" w:cs="宋体"/>
                <w:kern w:val="0"/>
                <w:sz w:val="18"/>
                <w:szCs w:val="18"/>
                <w:highlight w:val="none"/>
              </w:rPr>
              <w:t>分类填写</w:t>
            </w:r>
            <w:r>
              <w:rPr>
                <w:rFonts w:hint="eastAsia" w:ascii="宋体" w:hAnsi="宋体" w:cs="宋体"/>
                <w:kern w:val="0"/>
                <w:sz w:val="18"/>
                <w:szCs w:val="18"/>
                <w:highlight w:val="none"/>
                <w:lang w:eastAsia="zh-CN"/>
              </w:rPr>
              <w:t>。</w:t>
            </w:r>
          </w:p>
          <w:p w14:paraId="666052E0">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b</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评价环节按生产制造、建设运营选择填写</w:t>
            </w:r>
            <w:r>
              <w:rPr>
                <w:rFonts w:hint="eastAsia" w:ascii="宋体" w:hAnsi="宋体" w:cs="宋体"/>
                <w:kern w:val="0"/>
                <w:sz w:val="18"/>
                <w:szCs w:val="18"/>
                <w:highlight w:val="none"/>
                <w:lang w:eastAsia="zh-CN"/>
              </w:rPr>
              <w:t>。</w:t>
            </w:r>
          </w:p>
          <w:p w14:paraId="54425EEC">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c</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评价对象、核心评价指标均参照</w:t>
            </w:r>
            <w:r>
              <w:rPr>
                <w:rFonts w:hint="eastAsia" w:ascii="宋体" w:hAnsi="宋体" w:cs="宋体"/>
                <w:kern w:val="0"/>
                <w:sz w:val="18"/>
                <w:szCs w:val="18"/>
                <w:highlight w:val="none"/>
                <w:lang w:val="en-US" w:eastAsia="zh-CN"/>
              </w:rPr>
              <w:t>附录A</w:t>
            </w:r>
            <w:r>
              <w:rPr>
                <w:rFonts w:hint="eastAsia" w:ascii="宋体" w:hAnsi="宋体" w:cs="宋体"/>
                <w:kern w:val="0"/>
                <w:sz w:val="18"/>
                <w:szCs w:val="18"/>
                <w:highlight w:val="none"/>
              </w:rPr>
              <w:t>填写。</w:t>
            </w:r>
          </w:p>
          <w:p w14:paraId="12EFB528">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d</w:t>
            </w:r>
            <w:r>
              <w:rPr>
                <w:rFonts w:hint="eastAsia" w:ascii="宋体" w:hAnsi="宋体" w:cs="宋体"/>
                <w:kern w:val="0"/>
                <w:sz w:val="18"/>
                <w:szCs w:val="18"/>
                <w:highlight w:val="none"/>
                <w:lang w:val="en-US" w:eastAsia="zh-CN"/>
              </w:rPr>
              <w:t xml:space="preserve">  参照附录A填写，给出核心评价指标参考的标准名称及标准号。</w:t>
            </w:r>
          </w:p>
          <w:p w14:paraId="6B1F105E">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e</w:t>
            </w:r>
            <w:r>
              <w:rPr>
                <w:rFonts w:hint="eastAsia" w:ascii="宋体" w:hAnsi="宋体" w:cs="宋体"/>
                <w:kern w:val="0"/>
                <w:sz w:val="18"/>
                <w:szCs w:val="18"/>
                <w:highlight w:val="none"/>
                <w:lang w:val="en-US" w:eastAsia="zh-CN"/>
              </w:rPr>
              <w:t xml:space="preserve">  给出参考标准中具体的参考值或要求。</w:t>
            </w:r>
          </w:p>
          <w:p w14:paraId="1A8E591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f</w:t>
            </w:r>
            <w:r>
              <w:rPr>
                <w:rFonts w:hint="eastAsia" w:ascii="宋体" w:hAnsi="宋体" w:cs="宋体"/>
                <w:kern w:val="0"/>
                <w:sz w:val="18"/>
                <w:szCs w:val="18"/>
                <w:highlight w:val="none"/>
                <w:lang w:val="en-US" w:eastAsia="zh-CN"/>
              </w:rPr>
              <w:t xml:space="preserve">  对照标准参考值或要求，给出申报单位自评值或响应要求的情况。</w:t>
            </w:r>
          </w:p>
          <w:p w14:paraId="4C33D578">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highlight w:val="none"/>
                <w:lang w:val="en-US" w:eastAsia="zh-CN"/>
              </w:rPr>
            </w:pPr>
            <w:r>
              <w:rPr>
                <w:rFonts w:hint="eastAsia" w:ascii="宋体" w:hAnsi="宋体" w:cs="宋体"/>
                <w:kern w:val="0"/>
                <w:sz w:val="18"/>
                <w:szCs w:val="18"/>
                <w:highlight w:val="none"/>
                <w:vertAlign w:val="superscript"/>
                <w:lang w:val="en-US" w:eastAsia="zh-CN"/>
              </w:rPr>
              <w:t>g</w:t>
            </w:r>
            <w:r>
              <w:rPr>
                <w:rFonts w:hint="eastAsia" w:ascii="宋体" w:hAnsi="宋体" w:cs="宋体"/>
                <w:kern w:val="0"/>
                <w:sz w:val="18"/>
                <w:szCs w:val="18"/>
                <w:highlight w:val="none"/>
                <w:lang w:val="en-US" w:eastAsia="zh-CN"/>
              </w:rPr>
              <w:t xml:space="preserve">  给出材料对应的具体页码，例如，见第4页。</w:t>
            </w:r>
          </w:p>
        </w:tc>
      </w:tr>
    </w:tbl>
    <w:p w14:paraId="39FEBF6E">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.7</w:t>
      </w:r>
      <w:r>
        <w:rPr>
          <w:rFonts w:hint="eastAsia" w:hAnsi="黑体" w:cs="黑体"/>
          <w:highlight w:val="none"/>
          <w:lang w:val="en-US" w:eastAsia="zh-CN"/>
        </w:rPr>
        <w:t xml:space="preserve">  </w:t>
      </w:r>
      <w:r>
        <w:rPr>
          <w:rFonts w:hint="eastAsia" w:hAnsi="黑体" w:cs="黑体"/>
          <w:highlight w:val="none"/>
        </w:rPr>
        <w:t>附录</w:t>
      </w:r>
    </w:p>
    <w:p w14:paraId="71CDC510">
      <w:pPr>
        <w:pStyle w:val="26"/>
        <w:rPr>
          <w:rFonts w:hint="eastAsia"/>
          <w:szCs w:val="24"/>
          <w:highlight w:val="none"/>
        </w:rPr>
      </w:pPr>
      <w:r>
        <w:rPr>
          <w:rFonts w:hint="eastAsia"/>
          <w:szCs w:val="24"/>
          <w:highlight w:val="none"/>
        </w:rPr>
        <w:t>列明上述章节所述情况及评分表涉及的佐证材料。</w:t>
      </w:r>
    </w:p>
    <w:p w14:paraId="38399543">
      <w:pPr>
        <w:rPr>
          <w:rFonts w:hint="eastAsia"/>
          <w:szCs w:val="24"/>
          <w:highlight w:val="none"/>
          <w:lang w:val="en-US" w:eastAsia="zh-CN"/>
        </w:rPr>
      </w:pPr>
      <w:r>
        <w:rPr>
          <w:rFonts w:hint="eastAsia"/>
          <w:szCs w:val="24"/>
          <w:highlight w:val="none"/>
        </w:rPr>
        <w:br w:type="page"/>
      </w:r>
    </w:p>
    <w:p w14:paraId="6743CCEF">
      <w:pPr>
        <w:pStyle w:val="89"/>
        <w:spacing w:beforeLines="0" w:afterLines="0"/>
        <w:rPr>
          <w:rFonts w:hint="eastAsia" w:ascii="Times New Roman" w:eastAsia="Times New Roman"/>
          <w:sz w:val="21"/>
          <w:szCs w:val="20"/>
          <w:highlight w:val="none"/>
        </w:rPr>
      </w:pPr>
      <w:bookmarkStart w:id="127" w:name="_Toc22428"/>
      <w:bookmarkStart w:id="128" w:name="_Toc10243"/>
      <w:bookmarkStart w:id="129" w:name="_Toc25108"/>
      <w:r>
        <w:rPr>
          <w:rFonts w:hint="eastAsia" w:ascii="Times New Roman" w:eastAsia="Times New Roman"/>
          <w:sz w:val="21"/>
          <w:szCs w:val="20"/>
          <w:highlight w:val="none"/>
        </w:rPr>
        <w:br w:type="textWrapping"/>
      </w:r>
      <w:r>
        <w:rPr>
          <w:rFonts w:hint="eastAsia" w:ascii="Times New Roman"/>
          <w:sz w:val="21"/>
          <w:szCs w:val="20"/>
          <w:highlight w:val="none"/>
        </w:rPr>
        <w:t>（资料性）</w:t>
      </w:r>
      <w:r>
        <w:rPr>
          <w:rFonts w:hint="eastAsia" w:ascii="Times New Roman" w:eastAsia="Times New Roman"/>
          <w:sz w:val="21"/>
          <w:szCs w:val="20"/>
          <w:highlight w:val="none"/>
        </w:rPr>
        <w:br w:type="textWrapping"/>
      </w:r>
      <w:r>
        <w:rPr>
          <w:rFonts w:hint="eastAsia" w:ascii="Times New Roman"/>
          <w:sz w:val="21"/>
          <w:szCs w:val="20"/>
          <w:highlight w:val="none"/>
          <w:lang w:val="en-US" w:eastAsia="zh-CN"/>
        </w:rPr>
        <w:t>环境基础设施领域</w:t>
      </w:r>
      <w:r>
        <w:rPr>
          <w:rFonts w:hint="eastAsia" w:ascii="Times New Roman"/>
          <w:sz w:val="21"/>
          <w:szCs w:val="20"/>
          <w:highlight w:val="none"/>
        </w:rPr>
        <w:t>绿色低碳产业项目认定评价报告模板</w:t>
      </w:r>
      <w:bookmarkEnd w:id="127"/>
      <w:bookmarkEnd w:id="128"/>
      <w:bookmarkEnd w:id="129"/>
    </w:p>
    <w:p w14:paraId="031D3279">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.1</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封面</w:t>
      </w:r>
    </w:p>
    <w:p w14:paraId="1B9E469B">
      <w:pPr>
        <w:pStyle w:val="26"/>
        <w:rPr>
          <w:rFonts w:hint="eastAsia" w:hAnsi="宋体" w:cs="宋体"/>
          <w:szCs w:val="24"/>
          <w:highlight w:val="none"/>
        </w:rPr>
      </w:pPr>
      <w:r>
        <w:rPr>
          <w:rFonts w:hint="eastAsia" w:ascii="Times New Roman"/>
          <w:szCs w:val="24"/>
          <w:highlight w:val="none"/>
          <w:lang w:val="en-US" w:eastAsia="zh-CN"/>
        </w:rPr>
        <w:t>环境基础设施领域</w:t>
      </w:r>
      <w:r>
        <w:rPr>
          <w:rFonts w:hint="eastAsia" w:ascii="Times New Roman"/>
          <w:szCs w:val="24"/>
          <w:highlight w:val="none"/>
          <w:lang w:eastAsia="zh-CN"/>
        </w:rPr>
        <w:t>绿色低碳产业</w:t>
      </w:r>
      <w:r>
        <w:rPr>
          <w:rFonts w:hint="eastAsia" w:ascii="Times New Roman"/>
          <w:szCs w:val="24"/>
          <w:highlight w:val="none"/>
          <w:lang w:val="en-US" w:eastAsia="zh-CN"/>
        </w:rPr>
        <w:t>项目</w:t>
      </w:r>
      <w:r>
        <w:rPr>
          <w:rFonts w:hint="eastAsia" w:ascii="Times New Roman"/>
          <w:szCs w:val="24"/>
          <w:highlight w:val="none"/>
        </w:rPr>
        <w:t>认定评价报告封面</w:t>
      </w:r>
      <w:r>
        <w:rPr>
          <w:rFonts w:hint="eastAsia" w:hAnsi="宋体" w:cs="宋体"/>
          <w:szCs w:val="24"/>
          <w:highlight w:val="none"/>
        </w:rPr>
        <w:t>要求见表</w:t>
      </w:r>
      <w:r>
        <w:rPr>
          <w:rFonts w:hint="eastAsia" w:hAnsi="宋体" w:cs="宋体"/>
          <w:szCs w:val="24"/>
          <w:highlight w:val="none"/>
          <w:lang w:val="en-US" w:eastAsia="zh-CN"/>
        </w:rPr>
        <w:t>D</w:t>
      </w:r>
      <w:r>
        <w:rPr>
          <w:rFonts w:hint="eastAsia" w:hAnsi="宋体" w:cs="宋体"/>
          <w:szCs w:val="24"/>
          <w:highlight w:val="none"/>
        </w:rPr>
        <w:t>.1。</w:t>
      </w:r>
    </w:p>
    <w:p w14:paraId="507F233B">
      <w:pPr>
        <w:widowControl w:val="0"/>
        <w:numPr>
          <w:ilvl w:val="1"/>
          <w:numId w:val="0"/>
        </w:numPr>
        <w:spacing w:before="156" w:beforeLines="50" w:after="156" w:afterLines="50"/>
        <w:jc w:val="center"/>
        <w:rPr>
          <w:rFonts w:hint="eastAsia" w:ascii="黑体" w:hAnsi="黑体" w:eastAsia="黑体" w:cs="Times New Roman"/>
          <w:kern w:val="2"/>
          <w:sz w:val="21"/>
          <w:szCs w:val="21"/>
          <w:highlight w:val="none"/>
          <w:lang w:val="en-US" w:eastAsia="zh-CN" w:bidi="ar-SA"/>
        </w:rPr>
      </w:pPr>
      <w:r>
        <w:rPr>
          <w:rFonts w:hint="eastAsia" w:ascii="黑体" w:hAnsi="黑体" w:eastAsia="黑体" w:cs="Times New Roman"/>
          <w:kern w:val="2"/>
          <w:sz w:val="21"/>
          <w:szCs w:val="21"/>
          <w:highlight w:val="none"/>
          <w:lang w:val="en-US" w:eastAsia="zh-CN" w:bidi="ar-SA"/>
        </w:rPr>
        <w:t>表D.1  环境基础设施领域绿色低碳产业项目认定评价报告封面</w:t>
      </w:r>
    </w:p>
    <w:p w14:paraId="2624A962">
      <w:pPr>
        <w:pStyle w:val="26"/>
        <w:jc w:val="center"/>
        <w:rPr>
          <w:rFonts w:hAnsi="黑体"/>
          <w:highlight w:val="none"/>
        </w:rPr>
      </w:pPr>
      <w:r>
        <w:rPr>
          <w:rFonts w:ascii="Times New Roman"/>
          <w:szCs w:val="24"/>
          <w:highlight w:val="none"/>
        </w:rPr>
        <mc:AlternateContent>
          <mc:Choice Requires="wps">
            <w:drawing>
              <wp:inline distT="45720" distB="45720" distL="114300" distR="114300">
                <wp:extent cx="4999990" cy="3430270"/>
                <wp:effectExtent l="9525" t="9525" r="19685" b="27305"/>
                <wp:docPr id="16" name="文本框 16"/>
                <wp:cNvGraphicFramePr/>
                <a:graphic xmlns:a="http://schemas.openxmlformats.org/drawingml/2006/main">
                  <a:graphicData uri="http://schemas.microsoft.com/office/word/2010/wordprocessingShape">
                    <wps:wsp>
                      <wps:cNvSpPr txBox="1"/>
                      <wps:spPr>
                        <a:xfrm>
                          <a:off x="0" y="0"/>
                          <a:ext cx="4999990" cy="3430270"/>
                        </a:xfrm>
                        <a:prstGeom prst="rect">
                          <a:avLst/>
                        </a:prstGeom>
                        <a:noFill/>
                        <a:ln w="19050" cap="flat" cmpd="sng">
                          <a:solidFill>
                            <a:srgbClr val="000000"/>
                          </a:solidFill>
                          <a:prstDash val="solid"/>
                          <a:miter/>
                          <a:headEnd type="none" w="med" len="med"/>
                          <a:tailEnd type="none" w="med" len="med"/>
                        </a:ln>
                      </wps:spPr>
                      <wps:txbx>
                        <w:txbxContent>
                          <w:p w14:paraId="22AA28FF">
                            <w:pPr>
                              <w:pStyle w:val="26"/>
                              <w:spacing w:line="360" w:lineRule="auto"/>
                              <w:ind w:firstLine="422"/>
                              <w:jc w:val="center"/>
                              <w:rPr>
                                <w:b/>
                                <w:szCs w:val="24"/>
                              </w:rPr>
                            </w:pPr>
                          </w:p>
                          <w:p w14:paraId="61A57EB7">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252E06C">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430C26CF">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环境基础设施领域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项目</w:t>
                            </w:r>
                            <w:r>
                              <w:rPr>
                                <w:rFonts w:hint="eastAsia"/>
                                <w:b/>
                                <w:szCs w:val="24"/>
                              </w:rPr>
                              <w:t>认定评价报告</w:t>
                            </w:r>
                          </w:p>
                          <w:p w14:paraId="3FE859EB">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76DA8AC5">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1D4A9C2C">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737641F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3FA43A86">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657544E6">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70.1pt;width:393.7pt;" filled="f" stroked="t" coordsize="21600,21600" o:gfxdata="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rg&#10;MZLYAAAABQEAAA8AAAAAAAAAAQAgAAAAIgAAAGRycy9kb3ducmV2LnhtbFBLAQIUABQAAAAIAIdO&#10;4kAriou0IwIAAEQEAAAOAAAAAAAAAAEAIAAAACcBAABkcnMvZTJvRG9jLnhtbFBLBQYAAAAABgAG&#10;AFkBAAC8BQAAAAA=&#10;">
                <v:fill on="f" focussize="0,0"/>
                <v:stroke weight="1.5pt" color="#000000" joinstyle="miter"/>
                <v:imagedata o:title=""/>
                <o:lock v:ext="edit" aspectratio="f"/>
                <v:textbox>
                  <w:txbxContent>
                    <w:p w14:paraId="22AA28FF">
                      <w:pPr>
                        <w:pStyle w:val="26"/>
                        <w:spacing w:line="360" w:lineRule="auto"/>
                        <w:ind w:firstLine="422"/>
                        <w:jc w:val="center"/>
                        <w:rPr>
                          <w:b/>
                          <w:szCs w:val="24"/>
                        </w:rPr>
                      </w:pPr>
                    </w:p>
                    <w:p w14:paraId="61A57EB7">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252E06C">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430C26CF">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环境基础设施领域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项目</w:t>
                      </w:r>
                      <w:r>
                        <w:rPr>
                          <w:rFonts w:hint="eastAsia"/>
                          <w:b/>
                          <w:szCs w:val="24"/>
                        </w:rPr>
                        <w:t>认定评价报告</w:t>
                      </w:r>
                    </w:p>
                    <w:p w14:paraId="3FE859EB">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76DA8AC5">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1D4A9C2C">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737641F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3FA43A86">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657544E6">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6C3027CD">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基本信息</w:t>
      </w:r>
    </w:p>
    <w:p w14:paraId="3B604C1C">
      <w:pPr>
        <w:pStyle w:val="26"/>
        <w:spacing w:beforeLines="0" w:afterLines="0"/>
        <w:rPr>
          <w:rFonts w:hint="eastAsia" w:ascii="Times New Roman" w:eastAsia="Times New Roman"/>
          <w:sz w:val="21"/>
          <w:szCs w:val="24"/>
          <w:highlight w:val="none"/>
        </w:rPr>
      </w:pPr>
      <w:r>
        <w:rPr>
          <w:rFonts w:hint="eastAsia" w:ascii="Times New Roman"/>
          <w:sz w:val="21"/>
          <w:szCs w:val="24"/>
          <w:highlight w:val="none"/>
          <w:lang w:val="en-US" w:eastAsia="zh-CN"/>
        </w:rPr>
        <w:t>项目</w:t>
      </w:r>
      <w:r>
        <w:rPr>
          <w:rFonts w:hint="eastAsia" w:ascii="Times New Roman"/>
          <w:sz w:val="21"/>
          <w:szCs w:val="24"/>
          <w:highlight w:val="none"/>
        </w:rPr>
        <w:t>基本信息的填报要求见</w:t>
      </w:r>
      <w:r>
        <w:rPr>
          <w:rFonts w:hint="eastAsia" w:hAnsi="宋体" w:cs="宋体"/>
          <w:sz w:val="21"/>
          <w:szCs w:val="24"/>
          <w:highlight w:val="none"/>
        </w:rPr>
        <w:t>表</w:t>
      </w:r>
      <w:r>
        <w:rPr>
          <w:rFonts w:hint="eastAsia" w:hAnsi="宋体" w:cs="宋体"/>
          <w:sz w:val="21"/>
          <w:szCs w:val="24"/>
          <w:highlight w:val="none"/>
          <w:lang w:val="en-US" w:eastAsia="zh-CN"/>
        </w:rPr>
        <w:t>D</w:t>
      </w:r>
      <w:r>
        <w:rPr>
          <w:rFonts w:hint="eastAsia" w:hAnsi="宋体" w:cs="宋体"/>
          <w:sz w:val="21"/>
          <w:szCs w:val="24"/>
          <w:highlight w:val="none"/>
        </w:rPr>
        <w:t>.2</w:t>
      </w:r>
      <w:r>
        <w:rPr>
          <w:rFonts w:hint="eastAsia" w:ascii="Times New Roman"/>
          <w:sz w:val="21"/>
          <w:szCs w:val="24"/>
          <w:highlight w:val="none"/>
        </w:rPr>
        <w:t>。</w:t>
      </w:r>
    </w:p>
    <w:p w14:paraId="451799D0">
      <w:pPr>
        <w:keepNext w:val="0"/>
        <w:keepLines w:val="0"/>
        <w:pageBreakBefore w:val="0"/>
        <w:widowControl w:val="0"/>
        <w:numPr>
          <w:ilvl w:val="1"/>
          <w:numId w:val="0"/>
        </w:numPr>
        <w:kinsoku/>
        <w:wordWrap/>
        <w:overflowPunct/>
        <w:topLinePunct w:val="0"/>
        <w:autoSpaceDE/>
        <w:autoSpaceDN/>
        <w:bidi w:val="0"/>
        <w:adjustRightInd/>
        <w:snapToGrid/>
        <w:spacing w:before="156" w:beforeLines="50" w:after="156" w:afterLines="50"/>
        <w:jc w:val="center"/>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基本信息</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50"/>
        <w:gridCol w:w="3841"/>
        <w:gridCol w:w="1543"/>
        <w:gridCol w:w="2225"/>
      </w:tblGrid>
      <w:tr w14:paraId="5FADAD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614C610B">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企事业单位名称</w:t>
            </w:r>
          </w:p>
        </w:tc>
        <w:tc>
          <w:tcPr>
            <w:tcW w:w="3979" w:type="pct"/>
            <w:gridSpan w:val="3"/>
            <w:tcBorders>
              <w:tl2br w:val="nil"/>
              <w:tr2bl w:val="nil"/>
            </w:tcBorders>
            <w:vAlign w:val="center"/>
          </w:tcPr>
          <w:p w14:paraId="4EFC3C05">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1D8F40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213B4132">
            <w:pPr>
              <w:keepNext w:val="0"/>
              <w:keepLines w:val="0"/>
              <w:widowControl/>
              <w:suppressLineNumbers w:val="0"/>
              <w:spacing w:before="0" w:beforeAutospacing="0" w:after="0" w:afterAutospacing="0"/>
              <w:ind w:left="0" w:right="0"/>
              <w:jc w:val="center"/>
              <w:rPr>
                <w:rFonts w:hint="eastAsia"/>
                <w:color w:val="000000"/>
                <w:kern w:val="0"/>
                <w:sz w:val="18"/>
                <w:szCs w:val="18"/>
                <w:highlight w:val="none"/>
              </w:rPr>
            </w:pPr>
            <w:r>
              <w:rPr>
                <w:rFonts w:hint="eastAsia"/>
                <w:color w:val="000000"/>
                <w:kern w:val="0"/>
                <w:sz w:val="18"/>
                <w:szCs w:val="18"/>
                <w:highlight w:val="none"/>
              </w:rPr>
              <w:t>单位性质</w:t>
            </w:r>
          </w:p>
        </w:tc>
        <w:tc>
          <w:tcPr>
            <w:tcW w:w="3979" w:type="pct"/>
            <w:gridSpan w:val="3"/>
            <w:tcBorders>
              <w:tl2br w:val="nil"/>
              <w:tr2bl w:val="nil"/>
            </w:tcBorders>
            <w:vAlign w:val="center"/>
          </w:tcPr>
          <w:p w14:paraId="27D5755D">
            <w:pPr>
              <w:keepNext w:val="0"/>
              <w:keepLines w:val="0"/>
              <w:widowControl/>
              <w:suppressLineNumbers w:val="0"/>
              <w:spacing w:before="0" w:beforeAutospacing="0" w:after="0" w:afterAutospacing="0"/>
              <w:ind w:left="0" w:right="0"/>
              <w:rPr>
                <w:rFonts w:hint="default"/>
                <w:color w:val="000000"/>
                <w:kern w:val="0"/>
                <w:sz w:val="18"/>
                <w:szCs w:val="18"/>
                <w:highlight w:val="none"/>
              </w:rPr>
            </w:pPr>
            <w:r>
              <w:rPr>
                <w:rFonts w:hint="eastAsia"/>
                <w:color w:val="000000"/>
                <w:kern w:val="0"/>
                <w:sz w:val="18"/>
                <w:szCs w:val="18"/>
                <w:highlight w:val="none"/>
              </w:rPr>
              <w:t>内资（□国有□集体□民营）□中外合资□港澳台□外商独资</w:t>
            </w:r>
          </w:p>
        </w:tc>
      </w:tr>
      <w:tr w14:paraId="798B5A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3A0BDAF4">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通讯地址</w:t>
            </w:r>
          </w:p>
        </w:tc>
        <w:tc>
          <w:tcPr>
            <w:tcW w:w="3979" w:type="pct"/>
            <w:gridSpan w:val="3"/>
            <w:tcBorders>
              <w:tl2br w:val="nil"/>
              <w:tr2bl w:val="nil"/>
            </w:tcBorders>
            <w:vAlign w:val="center"/>
          </w:tcPr>
          <w:p w14:paraId="2FC2068F">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6244E11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7E060830">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统一社会</w:t>
            </w:r>
          </w:p>
          <w:p w14:paraId="4BC18A57">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信用代码</w:t>
            </w:r>
          </w:p>
        </w:tc>
        <w:tc>
          <w:tcPr>
            <w:tcW w:w="2009" w:type="pct"/>
            <w:tcBorders>
              <w:tl2br w:val="nil"/>
              <w:tr2bl w:val="nil"/>
            </w:tcBorders>
            <w:vAlign w:val="center"/>
          </w:tcPr>
          <w:p w14:paraId="2B85A503">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c>
          <w:tcPr>
            <w:tcW w:w="807" w:type="pct"/>
            <w:tcBorders>
              <w:tl2br w:val="nil"/>
              <w:tr2bl w:val="nil"/>
            </w:tcBorders>
            <w:vAlign w:val="center"/>
          </w:tcPr>
          <w:p w14:paraId="677ADE23">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法定代表人</w:t>
            </w:r>
          </w:p>
        </w:tc>
        <w:tc>
          <w:tcPr>
            <w:tcW w:w="1162" w:type="pct"/>
            <w:tcBorders>
              <w:tl2br w:val="nil"/>
              <w:tr2bl w:val="nil"/>
            </w:tcBorders>
            <w:vAlign w:val="center"/>
          </w:tcPr>
          <w:p w14:paraId="3BAFB80F">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r>
      <w:tr w14:paraId="1F5BE7B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bottom w:val="single" w:color="000000" w:sz="12" w:space="0"/>
              <w:tl2br w:val="nil"/>
              <w:tr2bl w:val="nil"/>
            </w:tcBorders>
            <w:vAlign w:val="center"/>
          </w:tcPr>
          <w:p w14:paraId="04A4F0D4">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成立日期</w:t>
            </w:r>
          </w:p>
        </w:tc>
        <w:tc>
          <w:tcPr>
            <w:tcW w:w="2009" w:type="pct"/>
            <w:tcBorders>
              <w:bottom w:val="single" w:color="000000" w:sz="12" w:space="0"/>
              <w:tl2br w:val="nil"/>
              <w:tr2bl w:val="nil"/>
            </w:tcBorders>
            <w:vAlign w:val="center"/>
          </w:tcPr>
          <w:p w14:paraId="029425EE">
            <w:pPr>
              <w:keepNext w:val="0"/>
              <w:keepLines w:val="0"/>
              <w:suppressLineNumbers w:val="0"/>
              <w:spacing w:before="0" w:beforeAutospacing="0" w:after="0" w:afterAutospacing="0"/>
              <w:ind w:left="0" w:right="0"/>
              <w:jc w:val="left"/>
              <w:rPr>
                <w:rFonts w:hint="default" w:ascii="Times New Roman" w:hAnsi="Times New Roman" w:eastAsia="宋体" w:cs="Times New Roman"/>
                <w:kern w:val="2"/>
                <w:sz w:val="18"/>
                <w:szCs w:val="18"/>
                <w:highlight w:val="none"/>
                <w:lang w:val="en-US" w:eastAsia="zh-CN" w:bidi="ar-SA"/>
              </w:rPr>
            </w:pPr>
          </w:p>
        </w:tc>
        <w:tc>
          <w:tcPr>
            <w:tcW w:w="807" w:type="pct"/>
            <w:tcBorders>
              <w:bottom w:val="single" w:color="000000" w:sz="12" w:space="0"/>
              <w:tl2br w:val="nil"/>
              <w:tr2bl w:val="nil"/>
            </w:tcBorders>
            <w:vAlign w:val="center"/>
          </w:tcPr>
          <w:p w14:paraId="297A30E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注册资本</w:t>
            </w:r>
          </w:p>
        </w:tc>
        <w:tc>
          <w:tcPr>
            <w:tcW w:w="1162" w:type="pct"/>
            <w:tcBorders>
              <w:bottom w:val="single" w:color="000000" w:sz="12" w:space="0"/>
              <w:tl2br w:val="nil"/>
              <w:tr2bl w:val="nil"/>
            </w:tcBorders>
            <w:vAlign w:val="center"/>
          </w:tcPr>
          <w:p w14:paraId="372F5473">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5B8DB60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5000" w:type="pct"/>
            <w:gridSpan w:val="4"/>
            <w:tcBorders>
              <w:top w:val="single" w:color="000000" w:sz="12" w:space="0"/>
              <w:bottom w:val="single" w:color="000000" w:sz="12" w:space="0"/>
            </w:tcBorders>
            <w:vAlign w:val="center"/>
          </w:tcPr>
          <w:p w14:paraId="4E865D81">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ascii="黑体" w:hAnsi="黑体" w:eastAsia="黑体" w:cs="黑体"/>
                <w:color w:val="000000"/>
                <w:kern w:val="0"/>
                <w:sz w:val="18"/>
                <w:szCs w:val="18"/>
                <w:highlight w:val="none"/>
                <w:lang w:val="en-US" w:eastAsia="zh-CN"/>
              </w:rPr>
              <w:t>表D.2</w:t>
            </w:r>
            <w:r>
              <w:rPr>
                <w:rFonts w:hint="eastAsia" w:asciiTheme="minorEastAsia" w:hAnsiTheme="minorEastAsia" w:eastAsiaTheme="minorEastAsia" w:cstheme="minorEastAsia"/>
                <w:color w:val="000000"/>
                <w:kern w:val="0"/>
                <w:sz w:val="18"/>
                <w:szCs w:val="18"/>
                <w:highlight w:val="none"/>
                <w:lang w:val="en-US" w:eastAsia="zh-CN"/>
              </w:rPr>
              <w:t>（第2页/共2页）</w:t>
            </w:r>
          </w:p>
        </w:tc>
      </w:tr>
      <w:tr w14:paraId="44C40A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op w:val="single" w:color="000000" w:sz="12" w:space="0"/>
              <w:tl2br w:val="nil"/>
              <w:tr2bl w:val="nil"/>
            </w:tcBorders>
            <w:vAlign w:val="center"/>
          </w:tcPr>
          <w:p w14:paraId="63FE47AC">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联系人</w:t>
            </w:r>
          </w:p>
        </w:tc>
        <w:tc>
          <w:tcPr>
            <w:tcW w:w="2009" w:type="pct"/>
            <w:tcBorders>
              <w:top w:val="single" w:color="000000" w:sz="12" w:space="0"/>
              <w:tl2br w:val="nil"/>
              <w:tr2bl w:val="nil"/>
            </w:tcBorders>
            <w:vAlign w:val="center"/>
          </w:tcPr>
          <w:p w14:paraId="67545350">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18"/>
                <w:szCs w:val="18"/>
                <w:highlight w:val="none"/>
                <w:lang w:val="en-US" w:eastAsia="zh-CN" w:bidi="ar-SA"/>
              </w:rPr>
            </w:pPr>
          </w:p>
        </w:tc>
        <w:tc>
          <w:tcPr>
            <w:tcW w:w="807" w:type="pct"/>
            <w:tcBorders>
              <w:top w:val="single" w:color="000000" w:sz="12" w:space="0"/>
              <w:tl2br w:val="nil"/>
              <w:tr2bl w:val="nil"/>
            </w:tcBorders>
            <w:vAlign w:val="center"/>
          </w:tcPr>
          <w:p w14:paraId="65714DA1">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联系电话</w:t>
            </w:r>
          </w:p>
        </w:tc>
        <w:tc>
          <w:tcPr>
            <w:tcW w:w="1162" w:type="pct"/>
            <w:tcBorders>
              <w:top w:val="single" w:color="000000" w:sz="12" w:space="0"/>
              <w:tl2br w:val="nil"/>
              <w:tr2bl w:val="nil"/>
            </w:tcBorders>
            <w:vAlign w:val="center"/>
          </w:tcPr>
          <w:p w14:paraId="587D78C7">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2EF401E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6C4E1927">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lang w:val="en-US" w:eastAsia="zh-CN"/>
              </w:rPr>
              <w:t>项目名称</w:t>
            </w:r>
          </w:p>
        </w:tc>
        <w:tc>
          <w:tcPr>
            <w:tcW w:w="3979" w:type="pct"/>
            <w:gridSpan w:val="3"/>
            <w:tcBorders>
              <w:tl2br w:val="nil"/>
              <w:tr2bl w:val="nil"/>
            </w:tcBorders>
            <w:vAlign w:val="center"/>
          </w:tcPr>
          <w:p w14:paraId="19DC5238">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427C54C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77A57796">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rPr>
              <w:t>所属行业</w:t>
            </w:r>
            <w:r>
              <w:rPr>
                <w:rFonts w:hint="eastAsia" w:ascii="Times New Roman" w:eastAsia="宋体"/>
                <w:color w:val="000000"/>
                <w:kern w:val="0"/>
                <w:sz w:val="18"/>
                <w:szCs w:val="18"/>
                <w:highlight w:val="none"/>
                <w:lang w:val="en-US" w:eastAsia="zh-CN"/>
              </w:rPr>
              <w:t>及代码</w:t>
            </w:r>
            <w:r>
              <w:rPr>
                <w:rFonts w:hint="eastAsia" w:ascii="宋体" w:hAnsi="宋体" w:eastAsia="宋体" w:cs="宋体"/>
                <w:color w:val="000000"/>
                <w:kern w:val="0"/>
                <w:sz w:val="18"/>
                <w:szCs w:val="18"/>
                <w:highlight w:val="none"/>
                <w:vertAlign w:val="superscript"/>
                <w:lang w:val="en-US" w:eastAsia="zh-CN"/>
              </w:rPr>
              <w:t>a</w:t>
            </w:r>
          </w:p>
        </w:tc>
        <w:tc>
          <w:tcPr>
            <w:tcW w:w="3979" w:type="pct"/>
            <w:gridSpan w:val="3"/>
            <w:tcBorders>
              <w:tl2br w:val="nil"/>
              <w:tr2bl w:val="nil"/>
            </w:tcBorders>
            <w:vAlign w:val="center"/>
          </w:tcPr>
          <w:p w14:paraId="54172A5D">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7B54BF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3E9352D2">
            <w:pPr>
              <w:keepNext w:val="0"/>
              <w:keepLines w:val="0"/>
              <w:widowControl/>
              <w:suppressLineNumbers w:val="0"/>
              <w:spacing w:before="0" w:beforeAutospacing="0" w:after="0" w:afterAutospacing="0"/>
              <w:ind w:left="0" w:right="0"/>
              <w:rPr>
                <w:rFonts w:hint="default"/>
                <w:b/>
                <w:kern w:val="0"/>
                <w:sz w:val="18"/>
                <w:szCs w:val="18"/>
                <w:highlight w:val="none"/>
              </w:rPr>
            </w:pPr>
            <w:r>
              <w:rPr>
                <w:rFonts w:hint="eastAsia"/>
                <w:b/>
                <w:kern w:val="0"/>
                <w:sz w:val="18"/>
                <w:szCs w:val="18"/>
                <w:highlight w:val="none"/>
              </w:rPr>
              <w:t>材料真实性承诺</w:t>
            </w:r>
            <w:r>
              <w:rPr>
                <w:rFonts w:hint="eastAsia"/>
                <w:b/>
                <w:kern w:val="0"/>
                <w:sz w:val="18"/>
                <w:szCs w:val="18"/>
                <w:highlight w:val="none"/>
                <w:lang w:eastAsia="zh-CN"/>
              </w:rPr>
              <w:t>：</w:t>
            </w:r>
          </w:p>
          <w:p w14:paraId="3B69973E">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7914FA8">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232658F5">
            <w:pPr>
              <w:pStyle w:val="12"/>
              <w:keepNext w:val="0"/>
              <w:keepLines w:val="0"/>
              <w:suppressLineNumbers w:val="0"/>
              <w:spacing w:before="0" w:beforeAutospacing="0" w:after="0" w:afterAutospacing="0"/>
              <w:ind w:left="0" w:right="0"/>
              <w:rPr>
                <w:rFonts w:hint="default"/>
                <w:highlight w:val="none"/>
              </w:rPr>
            </w:pPr>
          </w:p>
          <w:p w14:paraId="5F6B17C7">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r>
              <w:rPr>
                <w:rFonts w:hint="eastAsia"/>
                <w:kern w:val="0"/>
                <w:sz w:val="18"/>
                <w:szCs w:val="18"/>
                <w:highlight w:val="none"/>
              </w:rPr>
              <w:t>我单位郑重承诺：本次申报绿色</w:t>
            </w:r>
            <w:r>
              <w:rPr>
                <w:rFonts w:hint="eastAsia" w:ascii="Times New Roman" w:eastAsia="宋体"/>
                <w:kern w:val="0"/>
                <w:sz w:val="18"/>
                <w:szCs w:val="18"/>
                <w:highlight w:val="none"/>
                <w:lang w:val="en-US" w:eastAsia="zh-CN"/>
              </w:rPr>
              <w:t>低碳</w:t>
            </w:r>
            <w:r>
              <w:rPr>
                <w:rFonts w:hint="eastAsia"/>
                <w:kern w:val="0"/>
                <w:sz w:val="18"/>
                <w:szCs w:val="18"/>
                <w:highlight w:val="none"/>
              </w:rPr>
              <w:t>产业</w:t>
            </w:r>
            <w:r>
              <w:rPr>
                <w:rFonts w:hint="eastAsia" w:ascii="Times New Roman" w:eastAsia="宋体"/>
                <w:kern w:val="0"/>
                <w:sz w:val="18"/>
                <w:szCs w:val="18"/>
                <w:highlight w:val="none"/>
                <w:lang w:val="en-US" w:eastAsia="zh-CN"/>
              </w:rPr>
              <w:t>企业</w:t>
            </w:r>
            <w:r>
              <w:rPr>
                <w:rFonts w:hint="eastAsia"/>
                <w:kern w:val="0"/>
                <w:sz w:val="18"/>
                <w:szCs w:val="18"/>
                <w:highlight w:val="none"/>
              </w:rPr>
              <w:t>认定所提交的相关数据和信息均真实、有效，愿接受并积极配合主管部门的跟踪抽查。如有违反，愿承担由此产生的相应责任。</w:t>
            </w:r>
          </w:p>
          <w:p w14:paraId="566C08BB">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58009BBD">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6611C86">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411871B5">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法人或单位负责人签字：          </w:t>
            </w:r>
          </w:p>
          <w:p w14:paraId="3E712DFA">
            <w:pPr>
              <w:keepNext w:val="0"/>
              <w:keepLines w:val="0"/>
              <w:widowControl/>
              <w:suppressLineNumbers w:val="0"/>
              <w:spacing w:before="0" w:beforeAutospacing="0" w:after="0" w:afterAutospacing="0"/>
              <w:ind w:left="0" w:right="0"/>
              <w:rPr>
                <w:rFonts w:hint="eastAsia"/>
                <w:b/>
                <w:kern w:val="0"/>
                <w:sz w:val="18"/>
                <w:szCs w:val="18"/>
                <w:highlight w:val="none"/>
              </w:rPr>
            </w:pPr>
            <w:r>
              <w:rPr>
                <w:rFonts w:hint="eastAsia"/>
                <w:b/>
                <w:kern w:val="0"/>
                <w:sz w:val="18"/>
                <w:szCs w:val="18"/>
                <w:highlight w:val="none"/>
              </w:rPr>
              <w:t xml:space="preserve">                                         </w:t>
            </w:r>
            <w:r>
              <w:rPr>
                <w:rFonts w:hint="eastAsia" w:ascii="Times New Roman" w:eastAsia="宋体"/>
                <w:b/>
                <w:kern w:val="0"/>
                <w:sz w:val="18"/>
                <w:szCs w:val="18"/>
                <w:highlight w:val="none"/>
                <w:lang w:val="en-US" w:eastAsia="zh-CN"/>
              </w:rPr>
              <w:t xml:space="preserve">             </w:t>
            </w: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（公章）</w:t>
            </w:r>
          </w:p>
          <w:p w14:paraId="1AC046D9">
            <w:pPr>
              <w:keepNext w:val="0"/>
              <w:keepLines w:val="0"/>
              <w:widowControl/>
              <w:suppressLineNumbers w:val="0"/>
              <w:wordWrap w:val="0"/>
              <w:spacing w:before="0" w:beforeAutospacing="0" w:after="0" w:afterAutospacing="0"/>
              <w:ind w:left="0" w:right="0"/>
              <w:jc w:val="center"/>
              <w:rPr>
                <w:rFonts w:hint="default"/>
                <w:highlight w:val="none"/>
              </w:rPr>
            </w:pPr>
            <w:r>
              <w:rPr>
                <w:rFonts w:hint="eastAsia"/>
                <w:b/>
                <w:kern w:val="0"/>
                <w:sz w:val="18"/>
                <w:szCs w:val="18"/>
                <w:highlight w:val="none"/>
              </w:rPr>
              <w:t xml:space="preserve">                           日期：           </w:t>
            </w:r>
          </w:p>
          <w:p w14:paraId="5370C716">
            <w:pPr>
              <w:pStyle w:val="12"/>
              <w:keepNext w:val="0"/>
              <w:keepLines w:val="0"/>
              <w:suppressLineNumbers w:val="0"/>
              <w:spacing w:before="0" w:beforeAutospacing="0" w:after="0" w:afterAutospacing="0"/>
              <w:ind w:left="0" w:right="0"/>
              <w:rPr>
                <w:rFonts w:hint="default"/>
                <w:highlight w:val="none"/>
              </w:rPr>
            </w:pPr>
          </w:p>
          <w:p w14:paraId="215CC13C">
            <w:pPr>
              <w:pStyle w:val="12"/>
              <w:keepNext w:val="0"/>
              <w:keepLines w:val="0"/>
              <w:suppressLineNumbers w:val="0"/>
              <w:spacing w:before="0" w:beforeAutospacing="0" w:after="0" w:afterAutospacing="0"/>
              <w:ind w:left="0" w:right="0"/>
              <w:rPr>
                <w:rFonts w:hint="default"/>
                <w:highlight w:val="none"/>
              </w:rPr>
            </w:pPr>
          </w:p>
        </w:tc>
      </w:tr>
      <w:tr w14:paraId="77FDEA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7A67C16F">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360" w:firstLineChars="200"/>
              <w:jc w:val="left"/>
              <w:textAlignment w:val="auto"/>
              <w:rPr>
                <w:rFonts w:hint="default" w:eastAsia="宋体"/>
                <w:b/>
                <w:kern w:val="0"/>
                <w:sz w:val="18"/>
                <w:szCs w:val="18"/>
                <w:highlight w:val="none"/>
                <w:lang w:val="en-US" w:eastAsia="zh-CN"/>
              </w:rPr>
            </w:pPr>
            <w:r>
              <w:rPr>
                <w:rFonts w:hint="eastAsia" w:ascii="宋体" w:hAnsi="宋体" w:eastAsia="宋体" w:cs="宋体"/>
                <w:b w:val="0"/>
                <w:bCs/>
                <w:kern w:val="0"/>
                <w:sz w:val="18"/>
                <w:szCs w:val="18"/>
                <w:highlight w:val="none"/>
                <w:vertAlign w:val="superscript"/>
                <w:lang w:val="en-US" w:eastAsia="zh-CN"/>
              </w:rPr>
              <w:t>a</w:t>
            </w:r>
            <w:r>
              <w:rPr>
                <w:rFonts w:hint="eastAsia" w:ascii="宋体" w:hAnsi="宋体" w:eastAsia="宋体" w:cs="宋体"/>
                <w:b w:val="0"/>
                <w:bCs/>
                <w:kern w:val="0"/>
                <w:sz w:val="18"/>
                <w:szCs w:val="18"/>
                <w:highlight w:val="none"/>
                <w:lang w:val="en-US" w:eastAsia="zh-CN"/>
              </w:rPr>
              <w:t xml:space="preserve">  行业类别参照相关政府职能部门发布的绿色低碳产业相关指导目录的第三级分类进行填报。</w:t>
            </w:r>
          </w:p>
        </w:tc>
      </w:tr>
    </w:tbl>
    <w:p w14:paraId="519A8FA2">
      <w:pPr>
        <w:numPr>
          <w:ilvl w:val="1"/>
          <w:numId w:val="0"/>
        </w:numPr>
        <w:spacing w:before="156" w:beforeLines="50" w:after="156" w:afterLines="50"/>
        <w:rPr>
          <w:rFonts w:hint="eastAsia" w:ascii="黑体" w:hAnsi="黑体" w:eastAsia="黑体" w:cs="黑体"/>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.3</w:t>
      </w:r>
      <w:r>
        <w:rPr>
          <w:rFonts w:hint="eastAsia" w:ascii="黑体" w:hAnsi="黑体" w:eastAsia="黑体" w:cs="黑体"/>
          <w:sz w:val="21"/>
          <w:szCs w:val="21"/>
          <w:highlight w:val="none"/>
          <w:lang w:val="en-US" w:eastAsia="zh-CN"/>
        </w:rPr>
        <w:t xml:space="preserve">  基本情况概述</w:t>
      </w:r>
    </w:p>
    <w:p w14:paraId="049305E3">
      <w:pPr>
        <w:pStyle w:val="26"/>
        <w:spacing w:beforeLines="0" w:afterLines="0"/>
        <w:rPr>
          <w:rFonts w:hint="eastAsia" w:ascii="Times New Roman"/>
          <w:sz w:val="21"/>
          <w:szCs w:val="24"/>
          <w:highlight w:val="none"/>
          <w:lang w:val="en-US" w:eastAsia="zh-CN"/>
        </w:rPr>
      </w:pPr>
      <w:r>
        <w:rPr>
          <w:rFonts w:hint="eastAsia" w:ascii="Times New Roman"/>
          <w:sz w:val="21"/>
          <w:szCs w:val="24"/>
          <w:highlight w:val="none"/>
        </w:rPr>
        <w:t>概述</w:t>
      </w:r>
      <w:r>
        <w:rPr>
          <w:rFonts w:hint="eastAsia" w:ascii="Times New Roman"/>
          <w:sz w:val="21"/>
          <w:szCs w:val="24"/>
          <w:highlight w:val="none"/>
          <w:lang w:val="en-US" w:eastAsia="zh-CN"/>
        </w:rPr>
        <w:t>企事业单位经营范围、环境基础设施领域相关项目、项目建设运营状况、环境影响评价、社会影响评价以及固定资产投资节能审查相关情况等。</w:t>
      </w:r>
    </w:p>
    <w:p w14:paraId="571ACBC1">
      <w:pPr>
        <w:numPr>
          <w:ilvl w:val="1"/>
          <w:numId w:val="0"/>
        </w:numPr>
        <w:spacing w:before="156" w:beforeLines="50" w:after="156" w:afterLines="50"/>
        <w:rPr>
          <w:rFonts w:hint="default" w:ascii="黑体" w:hAnsi="黑体" w:eastAsia="黑体" w:cs="黑体"/>
          <w:sz w:val="21"/>
          <w:szCs w:val="21"/>
          <w:highlight w:val="none"/>
          <w:lang w:val="en-US"/>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4  评价工作概述</w:t>
      </w:r>
    </w:p>
    <w:p w14:paraId="48B9DE52">
      <w:pPr>
        <w:pStyle w:val="26"/>
        <w:keepNext w:val="0"/>
        <w:keepLines w:val="0"/>
        <w:pageBreakBefore w:val="0"/>
        <w:widowControl/>
        <w:kinsoku/>
        <w:wordWrap/>
        <w:overflowPunct/>
        <w:topLinePunct w:val="0"/>
        <w:autoSpaceDE w:val="0"/>
        <w:autoSpaceDN w:val="0"/>
        <w:bidi w:val="0"/>
        <w:adjustRightInd/>
        <w:snapToGrid/>
        <w:spacing w:beforeLines="0" w:afterLines="0"/>
        <w:ind w:left="0" w:leftChars="0" w:firstLine="420" w:firstLineChars="200"/>
        <w:textAlignment w:val="auto"/>
        <w:rPr>
          <w:rFonts w:hint="eastAsia" w:ascii="Times New Roman"/>
          <w:sz w:val="21"/>
          <w:szCs w:val="24"/>
          <w:highlight w:val="none"/>
          <w:lang w:val="en-US" w:eastAsia="zh-CN"/>
        </w:rPr>
      </w:pPr>
      <w:r>
        <w:rPr>
          <w:rFonts w:hint="eastAsia" w:ascii="Times New Roman"/>
          <w:sz w:val="21"/>
          <w:szCs w:val="24"/>
          <w:highlight w:val="none"/>
        </w:rPr>
        <w:t>概述</w:t>
      </w:r>
      <w:r>
        <w:rPr>
          <w:rFonts w:hint="eastAsia" w:ascii="Times New Roman"/>
          <w:sz w:val="21"/>
          <w:szCs w:val="24"/>
          <w:highlight w:val="none"/>
          <w:lang w:val="en-US" w:eastAsia="zh-CN"/>
        </w:rPr>
        <w:t>绿色低碳产业项目认定申报工作具体开展情况，包括但不限于工作组设立情况、收集资料类型、报告编制情况等。</w:t>
      </w:r>
    </w:p>
    <w:p w14:paraId="16862762">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5  </w:t>
      </w:r>
      <w:r>
        <w:rPr>
          <w:rFonts w:hint="eastAsia" w:ascii="黑体" w:hAnsi="黑体" w:eastAsia="黑体" w:cs="黑体"/>
          <w:sz w:val="21"/>
          <w:szCs w:val="21"/>
          <w:highlight w:val="none"/>
        </w:rPr>
        <w:t>绿色低碳产业项目认定情况</w:t>
      </w:r>
    </w:p>
    <w:p w14:paraId="50E964EB">
      <w:pPr>
        <w:numPr>
          <w:ilvl w:val="1"/>
          <w:numId w:val="0"/>
        </w:numPr>
        <w:spacing w:before="156" w:beforeLines="50" w:after="156" w:afterLines="5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1  </w:t>
      </w:r>
      <w:r>
        <w:rPr>
          <w:rFonts w:hint="eastAsia" w:ascii="黑体" w:hAnsi="黑体" w:eastAsia="黑体" w:cs="黑体"/>
          <w:sz w:val="21"/>
          <w:szCs w:val="21"/>
          <w:highlight w:val="none"/>
        </w:rPr>
        <w:t>符合性评价</w:t>
      </w:r>
    </w:p>
    <w:p w14:paraId="3C9E53F5">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7E7DD8D5">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——申报认定评价的</w:t>
      </w:r>
      <w:r>
        <w:rPr>
          <w:rFonts w:hint="eastAsia" w:ascii="宋体" w:hAnsi="宋体" w:cs="宋体"/>
          <w:sz w:val="21"/>
          <w:highlight w:val="none"/>
          <w:lang w:val="en-US" w:eastAsia="zh-CN" w:bidi="ar-SA"/>
        </w:rPr>
        <w:t>项目</w:t>
      </w:r>
      <w:r>
        <w:rPr>
          <w:rFonts w:hint="eastAsia" w:ascii="宋体" w:hAnsi="宋体" w:eastAsia="宋体" w:cs="宋体"/>
          <w:sz w:val="21"/>
          <w:highlight w:val="none"/>
          <w:lang w:val="en-US" w:eastAsia="zh-CN" w:bidi="ar-SA"/>
        </w:rPr>
        <w:t>应属于</w:t>
      </w:r>
      <w:r>
        <w:rPr>
          <w:rFonts w:hint="eastAsia" w:ascii="宋体" w:hAnsi="宋体" w:cs="宋体"/>
          <w:sz w:val="21"/>
          <w:highlight w:val="none"/>
          <w:lang w:val="en-US" w:eastAsia="zh-CN" w:bidi="ar-SA"/>
        </w:rPr>
        <w:t>环境基础设施</w:t>
      </w:r>
      <w:r>
        <w:rPr>
          <w:rFonts w:hint="eastAsia" w:ascii="宋体" w:hAnsi="宋体" w:eastAsia="宋体" w:cs="宋体"/>
          <w:sz w:val="21"/>
          <w:highlight w:val="none"/>
          <w:lang w:val="en-US" w:eastAsia="zh-CN" w:bidi="ar-SA"/>
        </w:rPr>
        <w:t>领域，或在</w:t>
      </w:r>
      <w:r>
        <w:rPr>
          <w:rFonts w:hint="eastAsia" w:ascii="宋体" w:hAnsi="宋体" w:cs="宋体"/>
          <w:sz w:val="21"/>
          <w:highlight w:val="none"/>
          <w:lang w:val="en-US" w:eastAsia="zh-CN" w:bidi="ar-SA"/>
        </w:rPr>
        <w:t>当地</w:t>
      </w:r>
      <w:r>
        <w:rPr>
          <w:rFonts w:hint="eastAsia" w:ascii="宋体" w:hAnsi="宋体" w:eastAsia="宋体" w:cs="宋体"/>
          <w:sz w:val="21"/>
          <w:highlight w:val="none"/>
          <w:lang w:val="en-US" w:eastAsia="zh-CN" w:bidi="ar-SA"/>
        </w:rPr>
        <w:t>具备一定市场规模</w:t>
      </w:r>
      <w:r>
        <w:rPr>
          <w:rFonts w:hint="eastAsia" w:ascii="宋体" w:hAnsi="宋体" w:cs="宋体"/>
          <w:sz w:val="21"/>
          <w:highlight w:val="none"/>
          <w:lang w:val="en-US" w:eastAsia="zh-CN" w:bidi="ar-SA"/>
        </w:rPr>
        <w:t>、</w:t>
      </w:r>
      <w:r>
        <w:rPr>
          <w:rFonts w:hint="eastAsia" w:ascii="宋体" w:hAnsi="宋体" w:eastAsia="宋体" w:cs="宋体"/>
          <w:sz w:val="21"/>
          <w:highlight w:val="none"/>
          <w:lang w:val="en-US" w:eastAsia="zh-CN" w:bidi="ar-SA"/>
        </w:rPr>
        <w:t>经相关政府职能部门认可的其他相关行业；</w:t>
      </w:r>
    </w:p>
    <w:p w14:paraId="3A1B6833">
      <w:pPr>
        <w:pStyle w:val="26"/>
        <w:spacing w:beforeLines="0" w:afterLines="0"/>
        <w:ind w:left="840" w:leftChars="200" w:hanging="420" w:hangingChars="200"/>
        <w:rPr>
          <w:rFonts w:hint="eastAsia" w:hAnsi="宋体" w:cs="宋体"/>
          <w:sz w:val="21"/>
          <w:szCs w:val="24"/>
          <w:highlight w:val="none"/>
        </w:rPr>
      </w:pPr>
      <w:r>
        <w:rPr>
          <w:rFonts w:hint="eastAsia" w:ascii="宋体" w:hAnsi="宋体" w:eastAsia="宋体" w:cs="宋体"/>
          <w:sz w:val="21"/>
          <w:highlight w:val="none"/>
          <w:lang w:val="en-US" w:eastAsia="zh-CN" w:bidi="ar-SA"/>
        </w:rPr>
        <w:t>——技术符合：提供的产品或服务应符合国家、广东省及深圳市相关主管部门发布文件列明的有关设计、能效、性能、安全、贮存、回收、标识、验收、管理和运维等技术要。</w:t>
      </w:r>
    </w:p>
    <w:p w14:paraId="0968C70F">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2  </w:t>
      </w:r>
      <w:r>
        <w:rPr>
          <w:rFonts w:hint="eastAsia" w:ascii="黑体" w:hAnsi="黑体" w:eastAsia="黑体" w:cs="黑体"/>
          <w:sz w:val="21"/>
          <w:szCs w:val="21"/>
          <w:highlight w:val="none"/>
        </w:rPr>
        <w:t>综合评价</w:t>
      </w:r>
    </w:p>
    <w:p w14:paraId="646880BE">
      <w:pPr>
        <w:numPr>
          <w:ilvl w:val="1"/>
          <w:numId w:val="0"/>
        </w:numPr>
        <w:spacing w:before="156" w:beforeLines="50" w:after="156" w:afterLines="50"/>
        <w:rPr>
          <w:rFonts w:hint="default"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2</w:t>
      </w:r>
      <w:r>
        <w:rPr>
          <w:rFonts w:hint="eastAsia" w:ascii="黑体" w:hAnsi="黑体" w:eastAsia="黑体" w:cs="黑体"/>
          <w:sz w:val="21"/>
          <w:szCs w:val="21"/>
          <w:highlight w:val="none"/>
        </w:rPr>
        <w:t>.1</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技术表现</w:t>
      </w:r>
    </w:p>
    <w:p w14:paraId="79D8ED3F">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32F708B6">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——有效知识产权：主要描述项目直接应用的、与</w:t>
      </w:r>
      <w:r>
        <w:rPr>
          <w:rFonts w:hint="eastAsia" w:ascii="宋体" w:hAnsi="宋体" w:cs="宋体"/>
          <w:sz w:val="21"/>
          <w:highlight w:val="none"/>
          <w:lang w:val="en-US" w:eastAsia="zh-CN" w:bidi="ar-SA"/>
        </w:rPr>
        <w:t>环境基础设施</w:t>
      </w:r>
      <w:r>
        <w:rPr>
          <w:rFonts w:hint="eastAsia" w:ascii="宋体" w:hAnsi="宋体" w:eastAsia="宋体" w:cs="宋体"/>
          <w:sz w:val="21"/>
          <w:highlight w:val="none"/>
          <w:lang w:val="en-US" w:eastAsia="zh-CN" w:bidi="ar-SA"/>
        </w:rPr>
        <w:t>领域相关的有效知识产权数量的情况；</w:t>
      </w:r>
    </w:p>
    <w:p w14:paraId="2134894F">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——关键技术先进性：主要描述</w:t>
      </w:r>
      <w:r>
        <w:rPr>
          <w:rFonts w:hint="eastAsia" w:ascii="Times New Roman" w:hAnsi="Times New Roman" w:eastAsia="宋体" w:cs="Times New Roman"/>
          <w:sz w:val="21"/>
          <w:highlight w:val="none"/>
          <w:lang w:val="en-US" w:eastAsia="zh-CN" w:bidi="ar-SA"/>
        </w:rPr>
        <w:t>项目应用的关键技术在行业内或地区内能达到的领先水平情况</w:t>
      </w:r>
      <w:r>
        <w:rPr>
          <w:rFonts w:hint="eastAsia" w:ascii="宋体" w:hAnsi="宋体" w:eastAsia="宋体" w:cs="宋体"/>
          <w:sz w:val="21"/>
          <w:highlight w:val="none"/>
          <w:lang w:val="en-US" w:eastAsia="zh-CN" w:bidi="ar-SA"/>
        </w:rPr>
        <w:t>；</w:t>
      </w:r>
    </w:p>
    <w:p w14:paraId="10A10AA7">
      <w:pPr>
        <w:pStyle w:val="26"/>
        <w:spacing w:beforeLines="0" w:afterLines="0"/>
        <w:ind w:left="840" w:leftChars="200" w:hanging="420" w:hangingChars="200"/>
        <w:rPr>
          <w:rFonts w:hint="eastAsia" w:hAnsi="宋体" w:cs="宋体"/>
          <w:sz w:val="21"/>
          <w:szCs w:val="24"/>
          <w:highlight w:val="none"/>
        </w:rPr>
      </w:pPr>
      <w:r>
        <w:rPr>
          <w:rFonts w:hint="eastAsia" w:ascii="宋体" w:hAnsi="宋体" w:eastAsia="宋体" w:cs="宋体"/>
          <w:sz w:val="21"/>
          <w:highlight w:val="none"/>
          <w:lang w:val="en-US" w:eastAsia="zh-CN" w:bidi="ar-SA"/>
        </w:rPr>
        <w:t>——环境效益：主要描述在资源节约、环境友好、生态良好等方面实际产生的环境效益贡献量和涉及的环境效益种类数量。从</w:t>
      </w:r>
      <w:r>
        <w:rPr>
          <w:rFonts w:hint="eastAsia" w:hAnsi="宋体" w:cs="宋体"/>
          <w:sz w:val="21"/>
          <w:highlight w:val="none"/>
          <w:lang w:val="en-US" w:eastAsia="zh-CN" w:bidi="ar-SA"/>
        </w:rPr>
        <w:t>生态环保</w:t>
      </w:r>
      <w:r>
        <w:rPr>
          <w:rFonts w:hint="eastAsia" w:ascii="宋体" w:hAnsi="宋体" w:eastAsia="宋体" w:cs="宋体"/>
          <w:sz w:val="21"/>
          <w:highlight w:val="none"/>
          <w:lang w:val="en-US" w:eastAsia="zh-CN" w:bidi="ar-SA"/>
        </w:rPr>
        <w:t>效益、资源综合利用效益</w:t>
      </w:r>
      <w:r>
        <w:rPr>
          <w:rFonts w:hint="eastAsia" w:hAnsi="宋体" w:cs="宋体"/>
          <w:sz w:val="21"/>
          <w:highlight w:val="none"/>
          <w:lang w:val="en-US" w:eastAsia="zh-CN" w:bidi="ar-SA"/>
        </w:rPr>
        <w:t>及其他效益</w:t>
      </w:r>
      <w:r>
        <w:rPr>
          <w:rFonts w:hint="eastAsia" w:ascii="宋体" w:hAnsi="宋体" w:eastAsia="宋体" w:cs="宋体"/>
          <w:sz w:val="21"/>
          <w:highlight w:val="none"/>
          <w:lang w:val="en-US" w:eastAsia="zh-CN" w:bidi="ar-SA"/>
        </w:rPr>
        <w:t>进行评估，按照</w:t>
      </w:r>
      <w:r>
        <w:rPr>
          <w:rFonts w:hint="eastAsia" w:hAnsi="宋体" w:cs="宋体"/>
          <w:sz w:val="21"/>
          <w:highlight w:val="none"/>
          <w:lang w:val="en-US" w:eastAsia="zh-CN" w:bidi="ar-SA"/>
        </w:rPr>
        <w:t>5.2.1.2</w:t>
      </w:r>
      <w:r>
        <w:rPr>
          <w:rFonts w:hint="eastAsia" w:ascii="宋体" w:hAnsi="宋体" w:eastAsia="宋体" w:cs="宋体"/>
          <w:sz w:val="21"/>
          <w:highlight w:val="none"/>
          <w:lang w:val="en-US" w:eastAsia="zh-CN" w:bidi="ar-SA"/>
        </w:rPr>
        <w:t>规定的环境效益指标进行量化评估。</w:t>
      </w:r>
    </w:p>
    <w:p w14:paraId="3DB798B1">
      <w:pPr>
        <w:numPr>
          <w:ilvl w:val="1"/>
          <w:numId w:val="0"/>
        </w:numPr>
        <w:spacing w:before="156" w:beforeLines="50" w:after="156" w:afterLines="5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2</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环境表现</w:t>
      </w:r>
    </w:p>
    <w:p w14:paraId="27929DC3">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2D40CA6D">
      <w:pPr>
        <w:autoSpaceDE w:val="0"/>
        <w:autoSpaceDN w:val="0"/>
        <w:ind w:left="850" w:leftChars="204" w:hanging="422" w:hangingChars="201"/>
        <w:jc w:val="both"/>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——绿色低碳运营：主要描述项目单位总投资综合能耗、单位总投资用水量、单位总投资用地面积、单位总投资碳排放量、可再生能源占比等方面的情况；</w:t>
      </w:r>
    </w:p>
    <w:p w14:paraId="0B60AF88">
      <w:pPr>
        <w:autoSpaceDE w:val="0"/>
        <w:autoSpaceDN w:val="0"/>
        <w:ind w:left="850" w:leftChars="204" w:hanging="422" w:hangingChars="201"/>
        <w:jc w:val="both"/>
        <w:rPr>
          <w:highlight w:val="none"/>
          <w:lang w:val="en-US" w:eastAsia="zh-CN"/>
        </w:rPr>
      </w:pPr>
      <w:r>
        <w:rPr>
          <w:rFonts w:hint="eastAsia" w:ascii="宋体" w:hAnsi="宋体" w:eastAsia="宋体" w:cs="宋体"/>
          <w:sz w:val="21"/>
          <w:highlight w:val="none"/>
          <w:lang w:val="en-US" w:eastAsia="zh-CN" w:bidi="ar-SA"/>
        </w:rPr>
        <w:t>——工艺设备材料：主要描述项目采用的工艺、设备、材料的绿色化水平的情况；</w:t>
      </w:r>
    </w:p>
    <w:p w14:paraId="29F302B1">
      <w:pPr>
        <w:pStyle w:val="26"/>
        <w:spacing w:beforeLines="0" w:afterLines="0"/>
        <w:rPr>
          <w:rFonts w:hint="eastAsia" w:hAnsi="宋体" w:cs="宋体"/>
          <w:sz w:val="21"/>
          <w:szCs w:val="24"/>
          <w:highlight w:val="none"/>
        </w:rPr>
      </w:pPr>
      <w:r>
        <w:rPr>
          <w:rFonts w:hint="eastAsia" w:ascii="宋体" w:hAnsi="宋体" w:eastAsia="宋体" w:cs="宋体"/>
          <w:sz w:val="21"/>
          <w:highlight w:val="none"/>
          <w:lang w:val="en-US" w:eastAsia="zh-CN" w:bidi="ar-SA"/>
        </w:rPr>
        <w:t>——污染物排放水平：主要描述项目自身生产运营过程向环境排放污染物的情况。</w:t>
      </w:r>
    </w:p>
    <w:p w14:paraId="535516E7">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6  </w:t>
      </w:r>
      <w:r>
        <w:rPr>
          <w:rFonts w:hint="eastAsia" w:ascii="黑体" w:hAnsi="黑体" w:eastAsia="黑体" w:cs="黑体"/>
          <w:sz w:val="21"/>
          <w:szCs w:val="21"/>
          <w:highlight w:val="none"/>
        </w:rPr>
        <w:t>评价表</w:t>
      </w:r>
    </w:p>
    <w:p w14:paraId="31BDDE5C">
      <w:pPr>
        <w:pStyle w:val="26"/>
        <w:spacing w:beforeLines="0" w:afterLines="0"/>
        <w:rPr>
          <w:rFonts w:hint="eastAsia" w:hAnsi="宋体" w:cs="宋体"/>
          <w:sz w:val="21"/>
          <w:szCs w:val="24"/>
          <w:highlight w:val="none"/>
        </w:rPr>
      </w:pPr>
      <w:r>
        <w:rPr>
          <w:rFonts w:hint="eastAsia" w:ascii="Times New Roman"/>
          <w:sz w:val="21"/>
          <w:szCs w:val="24"/>
          <w:highlight w:val="none"/>
        </w:rPr>
        <w:t>绿色低碳产业项目认定评价</w:t>
      </w:r>
      <w:r>
        <w:rPr>
          <w:rFonts w:hint="eastAsia" w:hAnsi="宋体" w:cs="宋体"/>
          <w:sz w:val="21"/>
          <w:szCs w:val="24"/>
          <w:highlight w:val="none"/>
        </w:rPr>
        <w:t>见表</w:t>
      </w:r>
      <w:r>
        <w:rPr>
          <w:rFonts w:hint="eastAsia" w:hAnsi="宋体" w:cs="宋体"/>
          <w:sz w:val="21"/>
          <w:szCs w:val="24"/>
          <w:highlight w:val="none"/>
          <w:lang w:val="en-US" w:eastAsia="zh-CN"/>
        </w:rPr>
        <w:t>D</w:t>
      </w:r>
      <w:r>
        <w:rPr>
          <w:rFonts w:hint="eastAsia" w:hAnsi="宋体" w:cs="宋体"/>
          <w:sz w:val="21"/>
          <w:szCs w:val="24"/>
          <w:highlight w:val="none"/>
        </w:rPr>
        <w:t>.3</w:t>
      </w:r>
      <w:r>
        <w:rPr>
          <w:rFonts w:hint="eastAsia" w:hAnsi="宋体" w:cs="宋体"/>
          <w:sz w:val="21"/>
          <w:szCs w:val="24"/>
          <w:highlight w:val="none"/>
          <w:lang w:val="en-US" w:eastAsia="zh-CN"/>
        </w:rPr>
        <w:t>和</w:t>
      </w:r>
      <w:r>
        <w:rPr>
          <w:rFonts w:hint="eastAsia" w:hAnsi="宋体" w:cs="宋体"/>
          <w:sz w:val="21"/>
          <w:szCs w:val="24"/>
          <w:highlight w:val="none"/>
        </w:rPr>
        <w:t>表</w:t>
      </w:r>
      <w:r>
        <w:rPr>
          <w:rFonts w:hint="eastAsia" w:hAnsi="宋体" w:cs="宋体"/>
          <w:sz w:val="21"/>
          <w:szCs w:val="24"/>
          <w:highlight w:val="none"/>
          <w:lang w:val="en-US" w:eastAsia="zh-CN"/>
        </w:rPr>
        <w:t>D</w:t>
      </w:r>
      <w:r>
        <w:rPr>
          <w:rFonts w:hint="eastAsia" w:hAnsi="宋体" w:cs="宋体"/>
          <w:sz w:val="21"/>
          <w:szCs w:val="24"/>
          <w:highlight w:val="none"/>
        </w:rPr>
        <w:t>.4。</w:t>
      </w:r>
    </w:p>
    <w:p w14:paraId="6E447D82">
      <w:pPr>
        <w:numPr>
          <w:ilvl w:val="1"/>
          <w:numId w:val="0"/>
        </w:numPr>
        <w:spacing w:before="156" w:beforeLines="50" w:after="156" w:afterLines="50"/>
        <w:jc w:val="center"/>
        <w:rPr>
          <w:rFonts w:hint="eastAsia"/>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3  </w:t>
      </w:r>
      <w:r>
        <w:rPr>
          <w:rFonts w:hint="eastAsia" w:ascii="黑体" w:hAnsi="黑体" w:eastAsia="黑体" w:cs="黑体"/>
          <w:sz w:val="21"/>
          <w:szCs w:val="21"/>
          <w:highlight w:val="none"/>
        </w:rPr>
        <w:t>符合性评价</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1027"/>
        <w:gridCol w:w="4015"/>
        <w:gridCol w:w="1975"/>
        <w:gridCol w:w="1963"/>
      </w:tblGrid>
      <w:tr w14:paraId="779987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3" w:type="pct"/>
            <w:tcBorders>
              <w:bottom w:val="single" w:color="auto" w:sz="12" w:space="0"/>
            </w:tcBorders>
            <w:noWrap w:val="0"/>
            <w:vAlign w:val="center"/>
          </w:tcPr>
          <w:p w14:paraId="77B74E65">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序号</w:t>
            </w:r>
          </w:p>
        </w:tc>
        <w:tc>
          <w:tcPr>
            <w:tcW w:w="537" w:type="pct"/>
            <w:tcBorders>
              <w:bottom w:val="single" w:color="auto" w:sz="12" w:space="0"/>
            </w:tcBorders>
            <w:noWrap w:val="0"/>
            <w:vAlign w:val="center"/>
          </w:tcPr>
          <w:p w14:paraId="2288EB23">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指标</w:t>
            </w:r>
          </w:p>
        </w:tc>
        <w:tc>
          <w:tcPr>
            <w:tcW w:w="2100" w:type="pct"/>
            <w:tcBorders>
              <w:bottom w:val="single" w:color="auto" w:sz="12" w:space="0"/>
            </w:tcBorders>
            <w:noWrap w:val="0"/>
            <w:vAlign w:val="center"/>
          </w:tcPr>
          <w:p w14:paraId="56CA0F2E">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符合性评价内容</w:t>
            </w:r>
          </w:p>
        </w:tc>
        <w:tc>
          <w:tcPr>
            <w:tcW w:w="1033" w:type="pct"/>
            <w:tcBorders>
              <w:bottom w:val="single" w:color="auto" w:sz="12" w:space="0"/>
            </w:tcBorders>
            <w:noWrap w:val="0"/>
            <w:vAlign w:val="center"/>
          </w:tcPr>
          <w:p w14:paraId="0C832CDB">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cs="宋体"/>
                <w:b/>
                <w:sz w:val="18"/>
                <w:szCs w:val="18"/>
                <w:highlight w:val="none"/>
              </w:rPr>
              <w:t>评价结果（是/否）</w:t>
            </w:r>
          </w:p>
        </w:tc>
        <w:tc>
          <w:tcPr>
            <w:tcW w:w="1025" w:type="pct"/>
            <w:tcBorders>
              <w:bottom w:val="single" w:color="auto" w:sz="12" w:space="0"/>
            </w:tcBorders>
            <w:noWrap w:val="0"/>
            <w:vAlign w:val="center"/>
          </w:tcPr>
          <w:p w14:paraId="510727F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lang w:val="en-US" w:eastAsia="zh-CN"/>
              </w:rPr>
            </w:pPr>
            <w:r>
              <w:rPr>
                <w:rFonts w:hint="eastAsia" w:ascii="宋体" w:hAnsi="宋体" w:eastAsia="宋体"/>
                <w:b/>
                <w:sz w:val="18"/>
                <w:szCs w:val="18"/>
                <w:highlight w:val="none"/>
              </w:rPr>
              <w:t>佐证材料备注</w:t>
            </w:r>
            <w:r>
              <w:rPr>
                <w:rFonts w:hint="eastAsia" w:ascii="宋体" w:hAnsi="宋体"/>
                <w:b w:val="0"/>
                <w:bCs/>
                <w:sz w:val="18"/>
                <w:szCs w:val="18"/>
                <w:highlight w:val="none"/>
                <w:vertAlign w:val="superscript"/>
                <w:lang w:val="en-US" w:eastAsia="zh-CN"/>
              </w:rPr>
              <w:t>a</w:t>
            </w:r>
          </w:p>
        </w:tc>
      </w:tr>
      <w:tr w14:paraId="2E13CA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303" w:type="pct"/>
            <w:tcBorders>
              <w:top w:val="single" w:color="auto" w:sz="12" w:space="0"/>
              <w:tl2br w:val="nil"/>
              <w:tr2bl w:val="nil"/>
            </w:tcBorders>
            <w:noWrap w:val="0"/>
            <w:vAlign w:val="center"/>
          </w:tcPr>
          <w:p w14:paraId="179E4B57">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1</w:t>
            </w:r>
          </w:p>
        </w:tc>
        <w:tc>
          <w:tcPr>
            <w:tcW w:w="537" w:type="pct"/>
            <w:tcBorders>
              <w:top w:val="single" w:color="auto" w:sz="12" w:space="0"/>
              <w:tl2br w:val="nil"/>
              <w:tr2bl w:val="nil"/>
            </w:tcBorders>
            <w:noWrap w:val="0"/>
            <w:vAlign w:val="center"/>
          </w:tcPr>
          <w:p w14:paraId="4979D6EF">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目录符合</w:t>
            </w:r>
          </w:p>
        </w:tc>
        <w:tc>
          <w:tcPr>
            <w:tcW w:w="2100" w:type="pct"/>
            <w:tcBorders>
              <w:top w:val="single" w:color="auto" w:sz="12" w:space="0"/>
              <w:tl2br w:val="nil"/>
              <w:tr2bl w:val="nil"/>
            </w:tcBorders>
            <w:noWrap w:val="0"/>
            <w:vAlign w:val="center"/>
          </w:tcPr>
          <w:p w14:paraId="147FF8B9">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lang w:val="en-US" w:eastAsia="zh-CN"/>
              </w:rPr>
              <w:t>申报认定评价的项目属于</w:t>
            </w:r>
            <w:r>
              <w:rPr>
                <w:rFonts w:hint="eastAsia" w:ascii="宋体" w:hAnsi="宋体"/>
                <w:color w:val="000000"/>
                <w:kern w:val="0"/>
                <w:sz w:val="18"/>
                <w:szCs w:val="18"/>
                <w:highlight w:val="none"/>
                <w:lang w:val="en-US" w:eastAsia="zh-CN"/>
              </w:rPr>
              <w:t>环境基础设施</w:t>
            </w:r>
            <w:r>
              <w:rPr>
                <w:rFonts w:hint="eastAsia" w:ascii="宋体" w:hAnsi="宋体" w:eastAsia="宋体"/>
                <w:color w:val="000000"/>
                <w:kern w:val="0"/>
                <w:sz w:val="18"/>
                <w:szCs w:val="18"/>
                <w:highlight w:val="none"/>
                <w:lang w:val="en-US" w:eastAsia="zh-CN"/>
              </w:rPr>
              <w:t>领域，或在</w:t>
            </w:r>
            <w:r>
              <w:rPr>
                <w:rFonts w:hint="eastAsia" w:ascii="宋体" w:hAnsi="宋体"/>
                <w:color w:val="000000"/>
                <w:kern w:val="0"/>
                <w:sz w:val="18"/>
                <w:szCs w:val="18"/>
                <w:highlight w:val="none"/>
                <w:lang w:val="en-US" w:eastAsia="zh-CN"/>
              </w:rPr>
              <w:t>当地</w:t>
            </w:r>
            <w:r>
              <w:rPr>
                <w:rFonts w:hint="eastAsia" w:ascii="宋体" w:hAnsi="宋体" w:eastAsia="宋体"/>
                <w:color w:val="000000"/>
                <w:kern w:val="0"/>
                <w:sz w:val="18"/>
                <w:szCs w:val="18"/>
                <w:highlight w:val="none"/>
                <w:lang w:val="en-US" w:eastAsia="zh-CN"/>
              </w:rPr>
              <w:t>具备一定市场规模</w:t>
            </w:r>
            <w:r>
              <w:rPr>
                <w:rFonts w:hint="eastAsia" w:ascii="宋体" w:hAnsi="宋体"/>
                <w:color w:val="000000"/>
                <w:kern w:val="0"/>
                <w:sz w:val="18"/>
                <w:szCs w:val="18"/>
                <w:highlight w:val="none"/>
                <w:lang w:val="en-US" w:eastAsia="zh-CN"/>
              </w:rPr>
              <w:t>、</w:t>
            </w:r>
            <w:r>
              <w:rPr>
                <w:rFonts w:hint="eastAsia" w:ascii="宋体" w:hAnsi="宋体" w:eastAsia="宋体"/>
                <w:color w:val="000000"/>
                <w:kern w:val="0"/>
                <w:sz w:val="18"/>
                <w:szCs w:val="18"/>
                <w:highlight w:val="none"/>
                <w:lang w:val="en-US" w:eastAsia="zh-CN"/>
              </w:rPr>
              <w:t>经相关政府职能部门认可的其他相关行业</w:t>
            </w:r>
          </w:p>
        </w:tc>
        <w:tc>
          <w:tcPr>
            <w:tcW w:w="1033" w:type="pct"/>
            <w:tcBorders>
              <w:top w:val="single" w:color="auto" w:sz="12" w:space="0"/>
              <w:tl2br w:val="nil"/>
              <w:tr2bl w:val="nil"/>
            </w:tcBorders>
            <w:noWrap w:val="0"/>
            <w:vAlign w:val="center"/>
          </w:tcPr>
          <w:p w14:paraId="46ED35B5">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sz w:val="18"/>
                <w:szCs w:val="18"/>
                <w:highlight w:val="none"/>
              </w:rPr>
            </w:pPr>
          </w:p>
        </w:tc>
        <w:tc>
          <w:tcPr>
            <w:tcW w:w="1025" w:type="pct"/>
            <w:tcBorders>
              <w:top w:val="single" w:color="auto" w:sz="12" w:space="0"/>
              <w:tl2br w:val="nil"/>
              <w:tr2bl w:val="nil"/>
            </w:tcBorders>
            <w:noWrap w:val="0"/>
            <w:vAlign w:val="center"/>
          </w:tcPr>
          <w:p w14:paraId="266F28D8">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s="宋体"/>
                <w:sz w:val="18"/>
                <w:szCs w:val="18"/>
                <w:highlight w:val="none"/>
              </w:rPr>
            </w:pPr>
          </w:p>
        </w:tc>
      </w:tr>
      <w:tr w14:paraId="416BD1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303" w:type="pct"/>
            <w:tcBorders>
              <w:bottom w:val="single" w:color="auto" w:sz="12" w:space="0"/>
              <w:tl2br w:val="nil"/>
              <w:tr2bl w:val="nil"/>
            </w:tcBorders>
            <w:noWrap w:val="0"/>
            <w:vAlign w:val="center"/>
          </w:tcPr>
          <w:p w14:paraId="25304256">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2</w:t>
            </w:r>
          </w:p>
        </w:tc>
        <w:tc>
          <w:tcPr>
            <w:tcW w:w="537" w:type="pct"/>
            <w:tcBorders>
              <w:bottom w:val="single" w:color="auto" w:sz="12" w:space="0"/>
              <w:tl2br w:val="nil"/>
              <w:tr2bl w:val="nil"/>
            </w:tcBorders>
            <w:noWrap w:val="0"/>
            <w:vAlign w:val="center"/>
          </w:tcPr>
          <w:p w14:paraId="6575F8D0">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kern w:val="0"/>
                <w:sz w:val="18"/>
                <w:szCs w:val="18"/>
                <w:highlight w:val="none"/>
              </w:rPr>
              <w:t>技术符合</w:t>
            </w:r>
          </w:p>
        </w:tc>
        <w:tc>
          <w:tcPr>
            <w:tcW w:w="2100" w:type="pct"/>
            <w:tcBorders>
              <w:bottom w:val="single" w:color="auto" w:sz="12" w:space="0"/>
              <w:tl2br w:val="nil"/>
              <w:tr2bl w:val="nil"/>
            </w:tcBorders>
            <w:noWrap w:val="0"/>
            <w:vAlign w:val="center"/>
          </w:tcPr>
          <w:p w14:paraId="09FF63F7">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textAlignment w:val="auto"/>
              <w:rPr>
                <w:rFonts w:hint="eastAsia" w:ascii="宋体" w:hAnsi="宋体" w:eastAsia="宋体"/>
                <w:color w:val="000000"/>
                <w:kern w:val="0"/>
                <w:sz w:val="18"/>
                <w:szCs w:val="18"/>
                <w:highlight w:val="none"/>
              </w:rPr>
            </w:pPr>
            <w:r>
              <w:rPr>
                <w:rFonts w:hint="eastAsia" w:ascii="宋体" w:hAnsi="宋体" w:eastAsia="宋体"/>
                <w:kern w:val="0"/>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033" w:type="pct"/>
            <w:tcBorders>
              <w:bottom w:val="single" w:color="auto" w:sz="12" w:space="0"/>
              <w:tl2br w:val="nil"/>
              <w:tr2bl w:val="nil"/>
            </w:tcBorders>
            <w:noWrap w:val="0"/>
            <w:vAlign w:val="center"/>
          </w:tcPr>
          <w:p w14:paraId="761EF1D9">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sz w:val="18"/>
                <w:szCs w:val="18"/>
                <w:highlight w:val="none"/>
              </w:rPr>
            </w:pPr>
          </w:p>
        </w:tc>
        <w:tc>
          <w:tcPr>
            <w:tcW w:w="1025" w:type="pct"/>
            <w:tcBorders>
              <w:bottom w:val="single" w:color="auto" w:sz="12" w:space="0"/>
              <w:tl2br w:val="nil"/>
              <w:tr2bl w:val="nil"/>
            </w:tcBorders>
            <w:noWrap w:val="0"/>
            <w:vAlign w:val="center"/>
          </w:tcPr>
          <w:p w14:paraId="06D80398">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s="宋体"/>
                <w:sz w:val="18"/>
                <w:szCs w:val="18"/>
                <w:highlight w:val="none"/>
              </w:rPr>
            </w:pPr>
          </w:p>
        </w:tc>
      </w:tr>
      <w:tr w14:paraId="60AC0D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5000" w:type="pct"/>
            <w:gridSpan w:val="5"/>
            <w:tcBorders>
              <w:top w:val="single" w:color="auto" w:sz="12" w:space="0"/>
            </w:tcBorders>
            <w:noWrap w:val="0"/>
            <w:vAlign w:val="center"/>
          </w:tcPr>
          <w:p w14:paraId="5B4DB1D7">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firstLine="360" w:firstLineChars="200"/>
              <w:jc w:val="left"/>
              <w:textAlignment w:val="auto"/>
              <w:rPr>
                <w:rFonts w:hint="eastAsia" w:ascii="宋体" w:hAnsi="宋体" w:eastAsia="宋体" w:cs="宋体"/>
                <w:sz w:val="18"/>
                <w:szCs w:val="18"/>
                <w:highlight w:val="none"/>
              </w:rPr>
            </w:pPr>
            <w:r>
              <w:rPr>
                <w:rStyle w:val="157"/>
                <w:rFonts w:hint="eastAsia" w:ascii="宋体" w:hAnsi="宋体" w:eastAsia="宋体" w:cs="宋体"/>
                <w:sz w:val="18"/>
                <w:szCs w:val="18"/>
                <w:highlight w:val="none"/>
                <w:vertAlign w:val="superscript"/>
              </w:rPr>
              <w:t>a</w:t>
            </w:r>
            <w:r>
              <w:rPr>
                <w:rFonts w:hint="eastAsia" w:ascii="宋体" w:hAnsi="宋体" w:eastAsia="宋体" w:cs="宋体"/>
                <w:sz w:val="18"/>
                <w:szCs w:val="18"/>
                <w:highlight w:val="none"/>
              </w:rPr>
              <w:t xml:space="preserve"> </w:t>
            </w:r>
            <w:r>
              <w:rPr>
                <w:rFonts w:hint="eastAsia" w:cs="宋体" w:asciiTheme="minorEastAsia" w:hAnsiTheme="minorEastAsia" w:eastAsiaTheme="minorEastAsia"/>
                <w:sz w:val="18"/>
                <w:szCs w:val="18"/>
                <w:highlight w:val="none"/>
              </w:rPr>
              <w:t xml:space="preserve"> 给出材料对应的具体页码，例如，见第4页。</w:t>
            </w:r>
          </w:p>
        </w:tc>
      </w:tr>
    </w:tbl>
    <w:p w14:paraId="3FC3ADAA">
      <w:pPr>
        <w:numPr>
          <w:ilvl w:val="1"/>
          <w:numId w:val="0"/>
        </w:numPr>
        <w:spacing w:before="156" w:beforeLines="50" w:after="156" w:afterLines="50"/>
        <w:jc w:val="center"/>
        <w:rPr>
          <w:rFonts w:hint="eastAsia" w:ascii="黑体" w:hAnsi="黑体" w:eastAsia="黑体" w:cs="黑体"/>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4  </w:t>
      </w:r>
      <w:r>
        <w:rPr>
          <w:rFonts w:hint="eastAsia" w:ascii="黑体" w:hAnsi="黑体" w:eastAsia="黑体" w:cs="黑体"/>
          <w:sz w:val="21"/>
          <w:szCs w:val="21"/>
          <w:highlight w:val="none"/>
        </w:rPr>
        <w:t>综合评价</w:t>
      </w:r>
    </w:p>
    <w:tbl>
      <w:tblPr>
        <w:tblStyle w:val="36"/>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2506"/>
        <w:gridCol w:w="1208"/>
        <w:gridCol w:w="1732"/>
        <w:gridCol w:w="2626"/>
      </w:tblGrid>
      <w:tr w14:paraId="404B65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778" w:type="pct"/>
            <w:tcBorders>
              <w:bottom w:val="single" w:color="auto" w:sz="12" w:space="0"/>
            </w:tcBorders>
            <w:noWrap w:val="0"/>
            <w:vAlign w:val="center"/>
          </w:tcPr>
          <w:p w14:paraId="354FC5C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一级指标</w:t>
            </w:r>
          </w:p>
        </w:tc>
        <w:tc>
          <w:tcPr>
            <w:tcW w:w="1311" w:type="pct"/>
            <w:tcBorders>
              <w:bottom w:val="single" w:color="auto" w:sz="12" w:space="0"/>
            </w:tcBorders>
            <w:noWrap w:val="0"/>
            <w:vAlign w:val="center"/>
          </w:tcPr>
          <w:p w14:paraId="2EF49D49">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二级指标</w:t>
            </w:r>
          </w:p>
        </w:tc>
        <w:tc>
          <w:tcPr>
            <w:tcW w:w="631" w:type="pct"/>
            <w:tcBorders>
              <w:bottom w:val="single" w:color="auto" w:sz="12" w:space="0"/>
            </w:tcBorders>
            <w:noWrap w:val="0"/>
            <w:vAlign w:val="center"/>
          </w:tcPr>
          <w:p w14:paraId="0CE86C8D">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分值（分）</w:t>
            </w:r>
          </w:p>
        </w:tc>
        <w:tc>
          <w:tcPr>
            <w:tcW w:w="906" w:type="pct"/>
            <w:tcBorders>
              <w:bottom w:val="single" w:color="auto" w:sz="12" w:space="0"/>
            </w:tcBorders>
            <w:noWrap w:val="0"/>
            <w:vAlign w:val="center"/>
          </w:tcPr>
          <w:p w14:paraId="359651F9">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评价得分（分）</w:t>
            </w:r>
          </w:p>
        </w:tc>
        <w:tc>
          <w:tcPr>
            <w:tcW w:w="1371" w:type="pct"/>
            <w:tcBorders>
              <w:bottom w:val="single" w:color="auto" w:sz="12" w:space="0"/>
            </w:tcBorders>
            <w:noWrap w:val="0"/>
            <w:vAlign w:val="center"/>
          </w:tcPr>
          <w:p w14:paraId="3C881D5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佐证材料备注</w:t>
            </w:r>
            <w:r>
              <w:rPr>
                <w:rFonts w:hint="eastAsia" w:ascii="宋体" w:hAnsi="宋体"/>
                <w:b w:val="0"/>
                <w:bCs/>
                <w:sz w:val="18"/>
                <w:szCs w:val="18"/>
                <w:highlight w:val="none"/>
                <w:vertAlign w:val="superscript"/>
                <w:lang w:val="en-US" w:eastAsia="zh-CN"/>
              </w:rPr>
              <w:t>a</w:t>
            </w:r>
          </w:p>
        </w:tc>
      </w:tr>
      <w:tr w14:paraId="55BB4A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restart"/>
            <w:tcBorders>
              <w:top w:val="single" w:color="auto" w:sz="12" w:space="0"/>
              <w:tl2br w:val="nil"/>
              <w:tr2bl w:val="nil"/>
            </w:tcBorders>
            <w:noWrap w:val="0"/>
            <w:vAlign w:val="center"/>
          </w:tcPr>
          <w:p w14:paraId="4945EFFB">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技术表现</w:t>
            </w:r>
          </w:p>
        </w:tc>
        <w:tc>
          <w:tcPr>
            <w:tcW w:w="1311" w:type="pct"/>
            <w:tcBorders>
              <w:top w:val="single" w:color="auto" w:sz="12" w:space="0"/>
              <w:tl2br w:val="nil"/>
              <w:tr2bl w:val="nil"/>
            </w:tcBorders>
            <w:noWrap w:val="0"/>
            <w:vAlign w:val="center"/>
          </w:tcPr>
          <w:p w14:paraId="0398E83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有效知识产权</w:t>
            </w:r>
          </w:p>
        </w:tc>
        <w:tc>
          <w:tcPr>
            <w:tcW w:w="631" w:type="pct"/>
            <w:tcBorders>
              <w:top w:val="single" w:color="auto" w:sz="12" w:space="0"/>
              <w:tl2br w:val="nil"/>
              <w:tr2bl w:val="nil"/>
            </w:tcBorders>
            <w:noWrap w:val="0"/>
            <w:vAlign w:val="center"/>
          </w:tcPr>
          <w:p w14:paraId="29CE95DE">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1</w:t>
            </w:r>
            <w:r>
              <w:rPr>
                <w:rFonts w:hint="eastAsia" w:hAnsi="宋体" w:cs="宋体"/>
                <w:sz w:val="18"/>
                <w:szCs w:val="18"/>
                <w:highlight w:val="none"/>
              </w:rPr>
              <w:t>5</w:t>
            </w:r>
          </w:p>
        </w:tc>
        <w:tc>
          <w:tcPr>
            <w:tcW w:w="906" w:type="pct"/>
            <w:tcBorders>
              <w:top w:val="single" w:color="auto" w:sz="12" w:space="0"/>
              <w:tl2br w:val="nil"/>
              <w:tr2bl w:val="nil"/>
            </w:tcBorders>
            <w:noWrap w:val="0"/>
            <w:vAlign w:val="center"/>
          </w:tcPr>
          <w:p w14:paraId="01C98F8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op w:val="single" w:color="auto" w:sz="12" w:space="0"/>
              <w:tl2br w:val="nil"/>
              <w:tr2bl w:val="nil"/>
            </w:tcBorders>
            <w:noWrap w:val="0"/>
            <w:vAlign w:val="center"/>
          </w:tcPr>
          <w:p w14:paraId="23F1F78E">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066E12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0ECC21EE">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674DA37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关键技术先进性</w:t>
            </w:r>
          </w:p>
        </w:tc>
        <w:tc>
          <w:tcPr>
            <w:tcW w:w="631" w:type="pct"/>
            <w:tcBorders>
              <w:tl2br w:val="nil"/>
              <w:tr2bl w:val="nil"/>
            </w:tcBorders>
            <w:noWrap w:val="0"/>
            <w:vAlign w:val="center"/>
          </w:tcPr>
          <w:p w14:paraId="22127D2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2</w:t>
            </w:r>
            <w:r>
              <w:rPr>
                <w:rFonts w:hint="eastAsia" w:hAnsi="宋体" w:cs="宋体"/>
                <w:sz w:val="18"/>
                <w:szCs w:val="18"/>
                <w:highlight w:val="none"/>
              </w:rPr>
              <w:t>5</w:t>
            </w:r>
          </w:p>
        </w:tc>
        <w:tc>
          <w:tcPr>
            <w:tcW w:w="906" w:type="pct"/>
            <w:tcBorders>
              <w:tl2br w:val="nil"/>
              <w:tr2bl w:val="nil"/>
            </w:tcBorders>
            <w:noWrap w:val="0"/>
            <w:vAlign w:val="center"/>
          </w:tcPr>
          <w:p w14:paraId="1232E13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32BDE0B2">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24A758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6B8C8F7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521E8D7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环境效益</w:t>
            </w:r>
          </w:p>
        </w:tc>
        <w:tc>
          <w:tcPr>
            <w:tcW w:w="631" w:type="pct"/>
            <w:tcBorders>
              <w:tl2br w:val="nil"/>
              <w:tr2bl w:val="nil"/>
            </w:tcBorders>
            <w:noWrap w:val="0"/>
            <w:vAlign w:val="center"/>
          </w:tcPr>
          <w:p w14:paraId="37CDC7C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20</w:t>
            </w:r>
          </w:p>
        </w:tc>
        <w:tc>
          <w:tcPr>
            <w:tcW w:w="906" w:type="pct"/>
            <w:tcBorders>
              <w:tl2br w:val="nil"/>
              <w:tr2bl w:val="nil"/>
            </w:tcBorders>
            <w:noWrap w:val="0"/>
            <w:vAlign w:val="center"/>
          </w:tcPr>
          <w:p w14:paraId="40193929">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4409DD4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E06BE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restart"/>
            <w:tcBorders>
              <w:tl2br w:val="nil"/>
              <w:tr2bl w:val="nil"/>
            </w:tcBorders>
            <w:noWrap w:val="0"/>
            <w:vAlign w:val="center"/>
          </w:tcPr>
          <w:p w14:paraId="38D8CB7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环境表现</w:t>
            </w:r>
          </w:p>
        </w:tc>
        <w:tc>
          <w:tcPr>
            <w:tcW w:w="1311" w:type="pct"/>
            <w:tcBorders>
              <w:tl2br w:val="nil"/>
              <w:tr2bl w:val="nil"/>
            </w:tcBorders>
            <w:noWrap w:val="0"/>
            <w:vAlign w:val="center"/>
          </w:tcPr>
          <w:p w14:paraId="77EE935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绿色低碳运营</w:t>
            </w:r>
          </w:p>
        </w:tc>
        <w:tc>
          <w:tcPr>
            <w:tcW w:w="631" w:type="pct"/>
            <w:tcBorders>
              <w:tl2br w:val="nil"/>
              <w:tr2bl w:val="nil"/>
            </w:tcBorders>
            <w:noWrap w:val="0"/>
            <w:vAlign w:val="center"/>
          </w:tcPr>
          <w:p w14:paraId="6147E952">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20</w:t>
            </w:r>
          </w:p>
        </w:tc>
        <w:tc>
          <w:tcPr>
            <w:tcW w:w="906" w:type="pct"/>
            <w:tcBorders>
              <w:tl2br w:val="nil"/>
              <w:tr2bl w:val="nil"/>
            </w:tcBorders>
            <w:noWrap w:val="0"/>
            <w:vAlign w:val="center"/>
          </w:tcPr>
          <w:p w14:paraId="413C0C3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12FB06D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3F0239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6772017B">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7F9562F">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工艺设备材料</w:t>
            </w:r>
          </w:p>
        </w:tc>
        <w:tc>
          <w:tcPr>
            <w:tcW w:w="631" w:type="pct"/>
            <w:tcBorders>
              <w:tl2br w:val="nil"/>
              <w:tr2bl w:val="nil"/>
            </w:tcBorders>
            <w:noWrap w:val="0"/>
            <w:vAlign w:val="center"/>
          </w:tcPr>
          <w:p w14:paraId="314BADEE">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10</w:t>
            </w:r>
          </w:p>
        </w:tc>
        <w:tc>
          <w:tcPr>
            <w:tcW w:w="906" w:type="pct"/>
            <w:tcBorders>
              <w:tl2br w:val="nil"/>
              <w:tr2bl w:val="nil"/>
            </w:tcBorders>
            <w:noWrap w:val="0"/>
            <w:vAlign w:val="center"/>
          </w:tcPr>
          <w:p w14:paraId="183FC8B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32C857C6">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9ECD9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242467C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24FD540D">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污染物排放水平</w:t>
            </w:r>
          </w:p>
        </w:tc>
        <w:tc>
          <w:tcPr>
            <w:tcW w:w="631" w:type="pct"/>
            <w:tcBorders>
              <w:tl2br w:val="nil"/>
              <w:tr2bl w:val="nil"/>
            </w:tcBorders>
            <w:noWrap w:val="0"/>
            <w:vAlign w:val="center"/>
          </w:tcPr>
          <w:p w14:paraId="4157C5B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10</w:t>
            </w:r>
          </w:p>
        </w:tc>
        <w:tc>
          <w:tcPr>
            <w:tcW w:w="906" w:type="pct"/>
            <w:tcBorders>
              <w:tl2br w:val="nil"/>
              <w:tr2bl w:val="nil"/>
            </w:tcBorders>
            <w:noWrap w:val="0"/>
            <w:vAlign w:val="center"/>
          </w:tcPr>
          <w:p w14:paraId="5ED31F2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7DF88DAB">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1B8D03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721" w:type="pct"/>
            <w:gridSpan w:val="3"/>
            <w:tcBorders>
              <w:bottom w:val="single" w:color="auto" w:sz="12" w:space="0"/>
              <w:tl2br w:val="nil"/>
              <w:tr2bl w:val="nil"/>
            </w:tcBorders>
            <w:noWrap w:val="0"/>
            <w:vAlign w:val="center"/>
          </w:tcPr>
          <w:p w14:paraId="6D066FF6">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b/>
                <w:sz w:val="18"/>
                <w:szCs w:val="18"/>
                <w:highlight w:val="none"/>
              </w:rPr>
              <w:t>总得分</w:t>
            </w:r>
          </w:p>
        </w:tc>
        <w:tc>
          <w:tcPr>
            <w:tcW w:w="2278" w:type="pct"/>
            <w:gridSpan w:val="2"/>
            <w:tcBorders>
              <w:bottom w:val="single" w:color="auto" w:sz="12" w:space="0"/>
              <w:tl2br w:val="nil"/>
              <w:tr2bl w:val="nil"/>
            </w:tcBorders>
            <w:noWrap w:val="0"/>
            <w:vAlign w:val="center"/>
          </w:tcPr>
          <w:p w14:paraId="41C33A9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581D2B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5000" w:type="pct"/>
            <w:gridSpan w:val="5"/>
            <w:tcBorders>
              <w:top w:val="single" w:color="auto" w:sz="12" w:space="0"/>
            </w:tcBorders>
            <w:noWrap w:val="0"/>
            <w:vAlign w:val="center"/>
          </w:tcPr>
          <w:p w14:paraId="1A907791">
            <w:pPr>
              <w:pStyle w:val="26"/>
              <w:keepNext w:val="0"/>
              <w:keepLines w:val="0"/>
              <w:pageBreakBefore w:val="0"/>
              <w:widowControl/>
              <w:suppressLineNumbers w:val="0"/>
              <w:kinsoku/>
              <w:wordWrap/>
              <w:overflowPunct/>
              <w:topLinePunct w:val="0"/>
              <w:autoSpaceDE w:val="0"/>
              <w:autoSpaceDN w:val="0"/>
              <w:bidi w:val="0"/>
              <w:adjustRightInd/>
              <w:snapToGrid w:val="0"/>
              <w:spacing w:before="0" w:beforeLines="0" w:beforeAutospacing="0" w:after="0" w:afterLines="0" w:afterAutospacing="0"/>
              <w:ind w:left="0" w:right="0" w:firstLine="360" w:firstLineChars="200"/>
              <w:jc w:val="left"/>
              <w:textAlignment w:val="auto"/>
              <w:rPr>
                <w:rFonts w:hint="eastAsia" w:hAnsi="宋体" w:cs="宋体"/>
                <w:sz w:val="18"/>
                <w:szCs w:val="18"/>
                <w:highlight w:val="none"/>
              </w:rPr>
            </w:pPr>
            <w:r>
              <w:rPr>
                <w:rStyle w:val="157"/>
                <w:rFonts w:hint="eastAsia" w:ascii="宋体" w:hAnsi="宋体" w:eastAsia="宋体" w:cs="宋体"/>
                <w:sz w:val="18"/>
                <w:szCs w:val="18"/>
                <w:highlight w:val="none"/>
                <w:vertAlign w:val="superscript"/>
              </w:rPr>
              <w:t>a</w:t>
            </w:r>
            <w:r>
              <w:rPr>
                <w:rFonts w:hint="eastAsia" w:ascii="宋体" w:hAnsi="宋体" w:eastAsia="宋体" w:cs="宋体"/>
                <w:sz w:val="18"/>
                <w:szCs w:val="18"/>
                <w:highlight w:val="none"/>
              </w:rPr>
              <w:t xml:space="preserve"> </w:t>
            </w:r>
            <w:r>
              <w:rPr>
                <w:rFonts w:hint="eastAsia" w:cs="宋体" w:asciiTheme="minorEastAsia" w:hAnsiTheme="minorEastAsia" w:eastAsiaTheme="minorEastAsia"/>
                <w:sz w:val="18"/>
                <w:szCs w:val="18"/>
                <w:highlight w:val="none"/>
              </w:rPr>
              <w:t xml:space="preserve"> 给出材料对应的具体页码，例如，见第4页。</w:t>
            </w:r>
          </w:p>
        </w:tc>
      </w:tr>
    </w:tbl>
    <w:p w14:paraId="6ABD0B7D">
      <w:pPr>
        <w:keepNext w:val="0"/>
        <w:keepLines w:val="0"/>
        <w:pageBreakBefore w:val="0"/>
        <w:widowControl w:val="0"/>
        <w:numPr>
          <w:ilvl w:val="1"/>
          <w:numId w:val="0"/>
        </w:numPr>
        <w:kinsoku/>
        <w:wordWrap/>
        <w:overflowPunct/>
        <w:topLinePunct w:val="0"/>
        <w:autoSpaceDE/>
        <w:autoSpaceDN/>
        <w:bidi w:val="0"/>
        <w:adjustRightInd w:val="0"/>
        <w:snapToGrid w:val="0"/>
        <w:spacing w:before="313" w:beforeLines="100" w:after="156" w:afterLines="50"/>
        <w:jc w:val="center"/>
        <w:textAlignment w:val="auto"/>
        <w:rPr>
          <w:rFonts w:ascii="黑体" w:hAnsi="黑体" w:eastAsia="黑体"/>
          <w:szCs w:val="21"/>
          <w:highlight w:val="none"/>
        </w:rPr>
      </w:pPr>
      <w:r>
        <w:rPr>
          <w:rFonts w:hint="eastAsia" w:ascii="黑体" w:hAnsi="黑体" w:eastAsia="黑体"/>
          <w:szCs w:val="21"/>
          <w:highlight w:val="none"/>
        </w:rPr>
        <w:t>表</w:t>
      </w:r>
      <w:r>
        <w:rPr>
          <w:rFonts w:hint="eastAsia" w:ascii="黑体" w:hAnsi="黑体" w:eastAsia="黑体"/>
          <w:szCs w:val="21"/>
          <w:highlight w:val="none"/>
          <w:lang w:val="en-US" w:eastAsia="zh-CN"/>
        </w:rPr>
        <w:t>D</w:t>
      </w:r>
      <w:r>
        <w:rPr>
          <w:rFonts w:hint="eastAsia" w:ascii="黑体" w:hAnsi="黑体" w:eastAsia="黑体"/>
          <w:szCs w:val="21"/>
          <w:highlight w:val="none"/>
        </w:rPr>
        <w:t>.</w:t>
      </w:r>
      <w:r>
        <w:rPr>
          <w:rFonts w:hint="eastAsia" w:ascii="黑体" w:hAnsi="黑体" w:eastAsia="黑体"/>
          <w:szCs w:val="21"/>
          <w:highlight w:val="none"/>
          <w:lang w:val="en-US" w:eastAsia="zh-CN"/>
        </w:rPr>
        <w:t xml:space="preserve">5  </w:t>
      </w:r>
      <w:r>
        <w:rPr>
          <w:rFonts w:hint="eastAsia" w:ascii="黑体" w:hAnsi="黑体" w:eastAsia="黑体"/>
          <w:szCs w:val="21"/>
          <w:highlight w:val="none"/>
        </w:rPr>
        <w:t>关键技术先进性指标评分表</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21"/>
        <w:gridCol w:w="1039"/>
        <w:gridCol w:w="1038"/>
        <w:gridCol w:w="1419"/>
        <w:gridCol w:w="1000"/>
        <w:gridCol w:w="1660"/>
        <w:gridCol w:w="1284"/>
        <w:gridCol w:w="998"/>
      </w:tblGrid>
      <w:tr w14:paraId="436EDAE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blHeader/>
          <w:jc w:val="center"/>
        </w:trPr>
        <w:tc>
          <w:tcPr>
            <w:tcW w:w="1121" w:type="dxa"/>
            <w:tcBorders>
              <w:bottom w:val="single" w:color="000000" w:sz="12" w:space="0"/>
            </w:tcBorders>
            <w:vAlign w:val="center"/>
          </w:tcPr>
          <w:p w14:paraId="1231D2E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所属行业</w:t>
            </w:r>
            <w:r>
              <w:rPr>
                <w:rFonts w:hint="eastAsia" w:ascii="宋体" w:hAnsi="宋体" w:eastAsia="宋体" w:cs="宋体"/>
                <w:b w:val="0"/>
                <w:bCs/>
                <w:kern w:val="0"/>
                <w:sz w:val="18"/>
                <w:szCs w:val="18"/>
                <w:highlight w:val="none"/>
                <w:vertAlign w:val="superscript"/>
                <w:lang w:val="en-US" w:eastAsia="zh-CN"/>
              </w:rPr>
              <w:t>a</w:t>
            </w:r>
          </w:p>
        </w:tc>
        <w:tc>
          <w:tcPr>
            <w:tcW w:w="1039" w:type="dxa"/>
            <w:tcBorders>
              <w:bottom w:val="single" w:color="000000" w:sz="12" w:space="0"/>
            </w:tcBorders>
            <w:vAlign w:val="center"/>
          </w:tcPr>
          <w:p w14:paraId="6A99817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评价环节</w:t>
            </w:r>
            <w:r>
              <w:rPr>
                <w:rFonts w:hint="eastAsia" w:ascii="宋体" w:hAnsi="宋体" w:eastAsia="宋体" w:cs="宋体"/>
                <w:b w:val="0"/>
                <w:bCs/>
                <w:kern w:val="0"/>
                <w:sz w:val="18"/>
                <w:szCs w:val="18"/>
                <w:highlight w:val="none"/>
                <w:vertAlign w:val="superscript"/>
                <w:lang w:val="en-US" w:eastAsia="zh-CN"/>
              </w:rPr>
              <w:t>b</w:t>
            </w:r>
          </w:p>
        </w:tc>
        <w:tc>
          <w:tcPr>
            <w:tcW w:w="1038" w:type="dxa"/>
            <w:tcBorders>
              <w:bottom w:val="single" w:color="000000" w:sz="12" w:space="0"/>
            </w:tcBorders>
            <w:vAlign w:val="center"/>
          </w:tcPr>
          <w:p w14:paraId="041B7B8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评价对象</w:t>
            </w:r>
            <w:r>
              <w:rPr>
                <w:rFonts w:hint="eastAsia" w:ascii="宋体" w:hAnsi="宋体" w:eastAsia="宋体" w:cs="宋体"/>
                <w:b w:val="0"/>
                <w:bCs/>
                <w:kern w:val="0"/>
                <w:sz w:val="18"/>
                <w:szCs w:val="18"/>
                <w:highlight w:val="none"/>
                <w:vertAlign w:val="superscript"/>
                <w:lang w:val="en-US" w:eastAsia="zh-CN"/>
              </w:rPr>
              <w:t>c</w:t>
            </w:r>
          </w:p>
        </w:tc>
        <w:tc>
          <w:tcPr>
            <w:tcW w:w="1419" w:type="dxa"/>
            <w:tcBorders>
              <w:bottom w:val="single" w:color="000000" w:sz="12" w:space="0"/>
            </w:tcBorders>
            <w:vAlign w:val="center"/>
          </w:tcPr>
          <w:p w14:paraId="031334C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核心评价指标</w:t>
            </w:r>
            <w:r>
              <w:rPr>
                <w:rFonts w:hint="eastAsia" w:ascii="宋体" w:hAnsi="宋体" w:eastAsia="宋体" w:cs="宋体"/>
                <w:b w:val="0"/>
                <w:bCs/>
                <w:kern w:val="0"/>
                <w:sz w:val="18"/>
                <w:szCs w:val="18"/>
                <w:highlight w:val="none"/>
                <w:vertAlign w:val="superscript"/>
                <w:lang w:val="en-US" w:eastAsia="zh-CN"/>
              </w:rPr>
              <w:t>c</w:t>
            </w:r>
          </w:p>
        </w:tc>
        <w:tc>
          <w:tcPr>
            <w:tcW w:w="1000" w:type="dxa"/>
            <w:tcBorders>
              <w:bottom w:val="single" w:color="000000" w:sz="12" w:space="0"/>
            </w:tcBorders>
            <w:vAlign w:val="center"/>
          </w:tcPr>
          <w:p w14:paraId="6C7334E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参考标准</w:t>
            </w:r>
            <w:r>
              <w:rPr>
                <w:rFonts w:hint="eastAsia" w:ascii="宋体" w:hAnsi="宋体" w:cs="宋体"/>
                <w:b w:val="0"/>
                <w:bCs/>
                <w:kern w:val="0"/>
                <w:sz w:val="18"/>
                <w:szCs w:val="18"/>
                <w:highlight w:val="none"/>
                <w:vertAlign w:val="superscript"/>
                <w:lang w:val="en-US" w:eastAsia="zh-CN"/>
              </w:rPr>
              <w:t>d</w:t>
            </w:r>
          </w:p>
        </w:tc>
        <w:tc>
          <w:tcPr>
            <w:tcW w:w="1660" w:type="dxa"/>
            <w:tcBorders>
              <w:bottom w:val="single" w:color="000000" w:sz="12" w:space="0"/>
            </w:tcBorders>
            <w:vAlign w:val="center"/>
          </w:tcPr>
          <w:p w14:paraId="0CEA18A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ascii="宋体" w:hAnsi="宋体" w:eastAsia="宋体" w:cs="宋体"/>
                <w:b/>
                <w:kern w:val="0"/>
                <w:sz w:val="18"/>
                <w:szCs w:val="18"/>
                <w:highlight w:val="none"/>
              </w:rPr>
              <w:t>标准参考值/要求</w:t>
            </w:r>
            <w:r>
              <w:rPr>
                <w:rFonts w:hint="eastAsia" w:ascii="宋体" w:hAnsi="宋体" w:cs="宋体"/>
                <w:b w:val="0"/>
                <w:bCs/>
                <w:kern w:val="0"/>
                <w:sz w:val="18"/>
                <w:szCs w:val="18"/>
                <w:highlight w:val="none"/>
                <w:vertAlign w:val="superscript"/>
                <w:lang w:val="en-US" w:eastAsia="zh-CN"/>
              </w:rPr>
              <w:t>e</w:t>
            </w:r>
          </w:p>
        </w:tc>
        <w:tc>
          <w:tcPr>
            <w:tcW w:w="1284" w:type="dxa"/>
            <w:tcBorders>
              <w:bottom w:val="single" w:color="000000" w:sz="12" w:space="0"/>
            </w:tcBorders>
            <w:vAlign w:val="center"/>
          </w:tcPr>
          <w:p w14:paraId="035750A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ascii="宋体" w:hAnsi="宋体" w:eastAsia="宋体" w:cs="宋体"/>
                <w:b/>
                <w:kern w:val="0"/>
                <w:sz w:val="18"/>
                <w:szCs w:val="18"/>
                <w:highlight w:val="none"/>
              </w:rPr>
              <w:t>自评值/要求</w:t>
            </w:r>
            <w:r>
              <w:rPr>
                <w:rFonts w:hint="eastAsia" w:ascii="宋体" w:hAnsi="宋体" w:cs="宋体"/>
                <w:b w:val="0"/>
                <w:bCs/>
                <w:kern w:val="0"/>
                <w:sz w:val="18"/>
                <w:szCs w:val="18"/>
                <w:highlight w:val="none"/>
                <w:vertAlign w:val="superscript"/>
                <w:lang w:val="en-US" w:eastAsia="zh-CN"/>
              </w:rPr>
              <w:t>f</w:t>
            </w:r>
          </w:p>
        </w:tc>
        <w:tc>
          <w:tcPr>
            <w:tcW w:w="998" w:type="dxa"/>
            <w:tcBorders>
              <w:bottom w:val="single" w:color="000000" w:sz="12" w:space="0"/>
            </w:tcBorders>
            <w:vAlign w:val="center"/>
          </w:tcPr>
          <w:p w14:paraId="06D9E90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佐证材料</w:t>
            </w:r>
            <w:r>
              <w:rPr>
                <w:rFonts w:hint="eastAsia" w:ascii="宋体" w:hAnsi="宋体" w:cs="宋体"/>
                <w:b w:val="0"/>
                <w:bCs/>
                <w:kern w:val="0"/>
                <w:sz w:val="18"/>
                <w:szCs w:val="18"/>
                <w:highlight w:val="none"/>
                <w:vertAlign w:val="superscript"/>
                <w:lang w:val="en-US" w:eastAsia="zh-CN"/>
              </w:rPr>
              <w:t>g</w:t>
            </w:r>
          </w:p>
        </w:tc>
      </w:tr>
      <w:tr w14:paraId="58063CD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21" w:type="dxa"/>
            <w:tcBorders>
              <w:top w:val="single" w:color="000000" w:sz="12" w:space="0"/>
              <w:bottom w:val="single" w:color="000000" w:sz="12" w:space="0"/>
              <w:tl2br w:val="nil"/>
              <w:tr2bl w:val="nil"/>
            </w:tcBorders>
            <w:vAlign w:val="center"/>
          </w:tcPr>
          <w:p w14:paraId="2EEDE30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39" w:type="dxa"/>
            <w:tcBorders>
              <w:top w:val="single" w:color="000000" w:sz="12" w:space="0"/>
              <w:bottom w:val="single" w:color="000000" w:sz="12" w:space="0"/>
              <w:tl2br w:val="nil"/>
              <w:tr2bl w:val="nil"/>
            </w:tcBorders>
            <w:vAlign w:val="center"/>
          </w:tcPr>
          <w:p w14:paraId="754355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38" w:type="dxa"/>
            <w:tcBorders>
              <w:top w:val="single" w:color="000000" w:sz="12" w:space="0"/>
              <w:bottom w:val="single" w:color="000000" w:sz="12" w:space="0"/>
              <w:tl2br w:val="nil"/>
              <w:tr2bl w:val="nil"/>
            </w:tcBorders>
            <w:vAlign w:val="center"/>
          </w:tcPr>
          <w:p w14:paraId="6FEF756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19" w:type="dxa"/>
            <w:tcBorders>
              <w:top w:val="single" w:color="000000" w:sz="12" w:space="0"/>
              <w:bottom w:val="single" w:color="000000" w:sz="12" w:space="0"/>
              <w:tl2br w:val="nil"/>
              <w:tr2bl w:val="nil"/>
            </w:tcBorders>
            <w:vAlign w:val="center"/>
          </w:tcPr>
          <w:p w14:paraId="22D1E9D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000" w:type="dxa"/>
            <w:tcBorders>
              <w:top w:val="single" w:color="000000" w:sz="12" w:space="0"/>
              <w:bottom w:val="single" w:color="000000" w:sz="12" w:space="0"/>
              <w:tl2br w:val="nil"/>
              <w:tr2bl w:val="nil"/>
            </w:tcBorders>
            <w:vAlign w:val="center"/>
          </w:tcPr>
          <w:p w14:paraId="138E72E4">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p>
        </w:tc>
        <w:tc>
          <w:tcPr>
            <w:tcW w:w="1660" w:type="dxa"/>
            <w:tcBorders>
              <w:top w:val="single" w:color="000000" w:sz="12" w:space="0"/>
              <w:bottom w:val="single" w:color="000000" w:sz="12" w:space="0"/>
              <w:tl2br w:val="nil"/>
              <w:tr2bl w:val="nil"/>
            </w:tcBorders>
            <w:vAlign w:val="center"/>
          </w:tcPr>
          <w:p w14:paraId="54D80BB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284" w:type="dxa"/>
            <w:tcBorders>
              <w:top w:val="single" w:color="000000" w:sz="12" w:space="0"/>
              <w:bottom w:val="single" w:color="000000" w:sz="12" w:space="0"/>
              <w:tl2br w:val="nil"/>
              <w:tr2bl w:val="nil"/>
            </w:tcBorders>
            <w:vAlign w:val="center"/>
          </w:tcPr>
          <w:p w14:paraId="17AA6D1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998" w:type="dxa"/>
            <w:tcBorders>
              <w:top w:val="single" w:color="000000" w:sz="12" w:space="0"/>
              <w:bottom w:val="single" w:color="000000" w:sz="12" w:space="0"/>
              <w:tl2br w:val="nil"/>
              <w:tr2bl w:val="nil"/>
            </w:tcBorders>
            <w:vAlign w:val="center"/>
          </w:tcPr>
          <w:p w14:paraId="0618212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9AC4F3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559" w:type="dxa"/>
            <w:gridSpan w:val="8"/>
            <w:tcBorders>
              <w:top w:val="single" w:color="000000" w:sz="12" w:space="0"/>
            </w:tcBorders>
            <w:vAlign w:val="center"/>
          </w:tcPr>
          <w:p w14:paraId="5619E823">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a</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所属行业根据</w:t>
            </w:r>
            <w:r>
              <w:rPr>
                <w:rFonts w:hint="eastAsia" w:ascii="宋体" w:hAnsi="宋体" w:cs="宋体"/>
                <w:kern w:val="0"/>
                <w:sz w:val="18"/>
                <w:szCs w:val="18"/>
                <w:highlight w:val="none"/>
                <w:lang w:val="en-US" w:eastAsia="zh-CN"/>
              </w:rPr>
              <w:t>相关政府职能部门发布的绿色低碳产业指导目录</w:t>
            </w:r>
            <w:r>
              <w:rPr>
                <w:rFonts w:hint="eastAsia" w:ascii="宋体" w:hAnsi="宋体" w:cs="宋体"/>
                <w:kern w:val="0"/>
                <w:sz w:val="18"/>
                <w:szCs w:val="18"/>
                <w:highlight w:val="none"/>
              </w:rPr>
              <w:t>分类填写</w:t>
            </w:r>
            <w:r>
              <w:rPr>
                <w:rFonts w:hint="eastAsia" w:ascii="宋体" w:hAnsi="宋体" w:cs="宋体"/>
                <w:kern w:val="0"/>
                <w:sz w:val="18"/>
                <w:szCs w:val="18"/>
                <w:highlight w:val="none"/>
                <w:lang w:eastAsia="zh-CN"/>
              </w:rPr>
              <w:t>。</w:t>
            </w:r>
          </w:p>
          <w:p w14:paraId="632B9DE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b</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评价环节按生产制造、建设运营选择填写</w:t>
            </w:r>
            <w:r>
              <w:rPr>
                <w:rFonts w:hint="eastAsia" w:ascii="宋体" w:hAnsi="宋体" w:cs="宋体"/>
                <w:kern w:val="0"/>
                <w:sz w:val="18"/>
                <w:szCs w:val="18"/>
                <w:highlight w:val="none"/>
                <w:lang w:eastAsia="zh-CN"/>
              </w:rPr>
              <w:t>。</w:t>
            </w:r>
          </w:p>
          <w:p w14:paraId="5A094241">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c</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评价对象、核心评价指标均参照</w:t>
            </w:r>
            <w:r>
              <w:rPr>
                <w:rFonts w:hint="eastAsia" w:ascii="宋体" w:hAnsi="宋体" w:cs="宋体"/>
                <w:kern w:val="0"/>
                <w:sz w:val="18"/>
                <w:szCs w:val="18"/>
                <w:highlight w:val="none"/>
                <w:lang w:val="en-US" w:eastAsia="zh-CN"/>
              </w:rPr>
              <w:t>附录A</w:t>
            </w:r>
            <w:r>
              <w:rPr>
                <w:rFonts w:hint="eastAsia" w:ascii="宋体" w:hAnsi="宋体" w:cs="宋体"/>
                <w:kern w:val="0"/>
                <w:sz w:val="18"/>
                <w:szCs w:val="18"/>
                <w:highlight w:val="none"/>
              </w:rPr>
              <w:t>填写。</w:t>
            </w:r>
          </w:p>
          <w:p w14:paraId="17590B1D">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d</w:t>
            </w:r>
            <w:r>
              <w:rPr>
                <w:rFonts w:hint="eastAsia" w:ascii="宋体" w:hAnsi="宋体" w:cs="宋体"/>
                <w:kern w:val="0"/>
                <w:sz w:val="18"/>
                <w:szCs w:val="18"/>
                <w:highlight w:val="none"/>
                <w:lang w:val="en-US" w:eastAsia="zh-CN"/>
              </w:rPr>
              <w:t xml:space="preserve">  参照附录A填写，给出核心评价指标参考的标准名称及标准号。</w:t>
            </w:r>
          </w:p>
          <w:p w14:paraId="26C79E97">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e</w:t>
            </w:r>
            <w:r>
              <w:rPr>
                <w:rFonts w:hint="eastAsia" w:ascii="宋体" w:hAnsi="宋体" w:cs="宋体"/>
                <w:kern w:val="0"/>
                <w:sz w:val="18"/>
                <w:szCs w:val="18"/>
                <w:highlight w:val="none"/>
                <w:lang w:val="en-US" w:eastAsia="zh-CN"/>
              </w:rPr>
              <w:t xml:space="preserve">  给出参考标准中具体的参考值或要求。</w:t>
            </w:r>
          </w:p>
          <w:p w14:paraId="54FB9AF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f</w:t>
            </w:r>
            <w:r>
              <w:rPr>
                <w:rFonts w:hint="eastAsia" w:ascii="宋体" w:hAnsi="宋体" w:cs="宋体"/>
                <w:kern w:val="0"/>
                <w:sz w:val="18"/>
                <w:szCs w:val="18"/>
                <w:highlight w:val="none"/>
                <w:lang w:val="en-US" w:eastAsia="zh-CN"/>
              </w:rPr>
              <w:t xml:space="preserve">  对照标准参考值或要求，给出申报单位自评值或响应要求的情况。</w:t>
            </w:r>
          </w:p>
          <w:p w14:paraId="63B11D56">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g</w:t>
            </w:r>
            <w:r>
              <w:rPr>
                <w:rFonts w:hint="eastAsia" w:ascii="宋体" w:hAnsi="宋体" w:cs="宋体"/>
                <w:kern w:val="0"/>
                <w:sz w:val="18"/>
                <w:szCs w:val="18"/>
                <w:highlight w:val="none"/>
                <w:lang w:val="en-US" w:eastAsia="zh-CN"/>
              </w:rPr>
              <w:t xml:space="preserve">  给出材料对应的具体页码，例如，见第4页。</w:t>
            </w:r>
          </w:p>
        </w:tc>
      </w:tr>
    </w:tbl>
    <w:p w14:paraId="5EE62122">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.7  附录</w:t>
      </w:r>
    </w:p>
    <w:p w14:paraId="5EBBA223">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eastAsia="宋体"/>
          <w:sz w:val="21"/>
          <w:szCs w:val="24"/>
          <w:highlight w:val="none"/>
        </w:rPr>
      </w:pPr>
      <w:r>
        <w:rPr>
          <w:rFonts w:hint="eastAsia" w:eastAsia="宋体"/>
          <w:sz w:val="21"/>
          <w:szCs w:val="24"/>
          <w:highlight w:val="none"/>
        </w:rPr>
        <w:t>列明上述章节所述情况及评价表涉及的佐证材料。</w:t>
      </w:r>
    </w:p>
    <w:p w14:paraId="61EF05DE">
      <w:pPr>
        <w:pStyle w:val="89"/>
        <w:shd w:val="clear" w:color="FFFFFF" w:fill="FFFFFF"/>
        <w:ind w:left="0" w:firstLine="0"/>
        <w:rPr>
          <w:rFonts w:ascii="Times New Roman"/>
          <w:highlight w:val="none"/>
        </w:rPr>
      </w:pPr>
      <w:r>
        <w:rPr>
          <w:rFonts w:ascii="Times New Roman"/>
          <w:highlight w:val="none"/>
        </w:rPr>
        <w:br w:type="page"/>
      </w:r>
      <w:bookmarkStart w:id="130" w:name="_Toc6139"/>
      <w:bookmarkStart w:id="131" w:name="_Toc2430"/>
      <w:r>
        <w:rPr>
          <w:rFonts w:ascii="Times New Roman"/>
          <w:highlight w:val="none"/>
        </w:rPr>
        <w:br w:type="textWrapping"/>
      </w:r>
      <w:bookmarkStart w:id="132" w:name="_Toc82684171"/>
      <w:r>
        <w:rPr>
          <w:rFonts w:ascii="Times New Roman"/>
          <w:highlight w:val="none"/>
        </w:rPr>
        <w:t>（资料性）</w:t>
      </w:r>
      <w:r>
        <w:rPr>
          <w:rFonts w:ascii="Times New Roman"/>
          <w:highlight w:val="none"/>
        </w:rPr>
        <w:br w:type="textWrapping"/>
      </w:r>
      <w:bookmarkEnd w:id="132"/>
      <w:r>
        <w:rPr>
          <w:rFonts w:hint="eastAsia" w:ascii="Times New Roman"/>
          <w:highlight w:val="none"/>
          <w:lang w:val="en-US" w:eastAsia="zh-CN"/>
        </w:rPr>
        <w:t>环境基础设施领域</w:t>
      </w:r>
      <w:r>
        <w:rPr>
          <w:rFonts w:hint="eastAsia" w:ascii="Times New Roman"/>
          <w:highlight w:val="none"/>
          <w:lang w:eastAsia="zh-CN"/>
        </w:rPr>
        <w:t>绿色低碳产业</w:t>
      </w:r>
      <w:r>
        <w:rPr>
          <w:rFonts w:ascii="Times New Roman"/>
          <w:highlight w:val="none"/>
        </w:rPr>
        <w:t>认定评价指标表</w:t>
      </w:r>
      <w:bookmarkEnd w:id="130"/>
      <w:bookmarkEnd w:id="131"/>
    </w:p>
    <w:p w14:paraId="35D4411A">
      <w:pPr>
        <w:autoSpaceDE w:val="0"/>
        <w:autoSpaceDN w:val="0"/>
        <w:spacing w:before="156" w:beforeLines="50" w:after="156" w:afterLines="50"/>
        <w:ind w:firstLine="0" w:firstLineChars="0"/>
        <w:jc w:val="both"/>
        <w:rPr>
          <w:rFonts w:ascii="宋体" w:hAnsi="宋体" w:eastAsia="宋体" w:cs="宋体"/>
          <w:sz w:val="21"/>
          <w:highlight w:val="none"/>
          <w:lang w:val="en-US" w:eastAsia="zh-CN" w:bidi="ar-SA"/>
        </w:rPr>
      </w:pPr>
      <w:r>
        <w:rPr>
          <w:rFonts w:hint="eastAsia" w:ascii="黑体" w:hAnsi="黑体" w:eastAsia="黑体" w:cs="黑体"/>
          <w:kern w:val="2"/>
          <w:sz w:val="21"/>
          <w:szCs w:val="21"/>
          <w:highlight w:val="none"/>
          <w:lang w:val="en-US" w:eastAsia="zh-CN" w:bidi="ar-SA"/>
        </w:rPr>
        <w:t>E.1  绿色低碳产业企业认定评价指标</w:t>
      </w:r>
    </w:p>
    <w:p w14:paraId="01C141A6">
      <w:pPr>
        <w:autoSpaceDE w:val="0"/>
        <w:autoSpaceDN w:val="0"/>
        <w:ind w:firstLine="420" w:firstLineChars="200"/>
        <w:rPr>
          <w:rFonts w:asciiTheme="minorEastAsia" w:hAnsiTheme="minorEastAsia" w:eastAsiaTheme="minorEastAsia"/>
          <w:highlight w:val="none"/>
        </w:rPr>
      </w:pPr>
      <w:r>
        <w:rPr>
          <w:rFonts w:hint="eastAsia" w:ascii="宋体" w:hAnsi="宋体" w:cs="宋体"/>
          <w:sz w:val="21"/>
          <w:highlight w:val="none"/>
          <w:lang w:val="en-US" w:eastAsia="zh-CN" w:bidi="ar-SA"/>
        </w:rPr>
        <w:t>环境基础设施</w:t>
      </w:r>
      <w:r>
        <w:rPr>
          <w:rFonts w:hint="eastAsia" w:ascii="宋体" w:hAnsi="宋体" w:eastAsia="宋体" w:cs="宋体"/>
          <w:sz w:val="21"/>
          <w:highlight w:val="none"/>
          <w:lang w:val="en-US" w:eastAsia="zh-CN" w:bidi="ar-SA"/>
        </w:rPr>
        <w:t>领域绿色低碳产业企业认定评价指标见表</w:t>
      </w:r>
      <w:r>
        <w:rPr>
          <w:rFonts w:hint="eastAsia" w:ascii="宋体" w:hAnsi="宋体" w:cs="宋体"/>
          <w:sz w:val="21"/>
          <w:highlight w:val="none"/>
          <w:lang w:val="en-US" w:eastAsia="zh-CN" w:bidi="ar-SA"/>
        </w:rPr>
        <w:t>E</w:t>
      </w:r>
      <w:r>
        <w:rPr>
          <w:rFonts w:hint="eastAsia" w:ascii="宋体" w:hAnsi="宋体" w:eastAsia="宋体" w:cs="宋体"/>
          <w:sz w:val="21"/>
          <w:highlight w:val="none"/>
          <w:lang w:val="en-US" w:eastAsia="zh-CN" w:bidi="ar-SA"/>
        </w:rPr>
        <w:t>.1和表</w:t>
      </w:r>
      <w:r>
        <w:rPr>
          <w:rFonts w:hint="eastAsia" w:ascii="宋体" w:hAnsi="宋体" w:cs="宋体"/>
          <w:sz w:val="21"/>
          <w:highlight w:val="none"/>
          <w:lang w:val="en-US" w:eastAsia="zh-CN" w:bidi="ar-SA"/>
        </w:rPr>
        <w:t>E</w:t>
      </w:r>
      <w:r>
        <w:rPr>
          <w:rFonts w:hint="eastAsia" w:ascii="宋体" w:hAnsi="宋体" w:eastAsia="宋体" w:cs="宋体"/>
          <w:sz w:val="21"/>
          <w:highlight w:val="none"/>
          <w:lang w:val="en-US" w:eastAsia="zh-CN" w:bidi="ar-SA"/>
        </w:rPr>
        <w:t>.2。</w:t>
      </w:r>
      <w:r>
        <w:rPr>
          <w:rFonts w:hint="eastAsia" w:ascii="宋体" w:hAnsi="宋体" w:cs="宋体"/>
          <w:sz w:val="21"/>
          <w:highlight w:val="none"/>
          <w:lang w:val="en-US" w:eastAsia="zh-CN" w:bidi="ar-SA"/>
        </w:rPr>
        <w:t>环境基础设施</w:t>
      </w:r>
      <w:r>
        <w:rPr>
          <w:rFonts w:hint="eastAsia" w:ascii="宋体" w:hAnsi="宋体" w:eastAsia="宋体" w:cs="宋体"/>
          <w:sz w:val="21"/>
          <w:highlight w:val="none"/>
          <w:lang w:val="en-US" w:eastAsia="zh-CN" w:bidi="ar-SA"/>
        </w:rPr>
        <w:t>领域绿色低碳产业企业各评价指标佐证材料索引见表</w:t>
      </w:r>
      <w:r>
        <w:rPr>
          <w:rFonts w:hint="eastAsia" w:ascii="宋体" w:hAnsi="宋体" w:cs="宋体"/>
          <w:sz w:val="21"/>
          <w:highlight w:val="none"/>
          <w:lang w:val="en-US" w:eastAsia="zh-CN" w:bidi="ar-SA"/>
        </w:rPr>
        <w:t>C</w:t>
      </w:r>
      <w:r>
        <w:rPr>
          <w:rFonts w:hint="eastAsia" w:ascii="宋体" w:hAnsi="宋体" w:eastAsia="宋体" w:cs="宋体"/>
          <w:sz w:val="21"/>
          <w:highlight w:val="none"/>
          <w:lang w:val="en-US" w:eastAsia="zh-CN" w:bidi="ar-SA"/>
        </w:rPr>
        <w:t>.3、表</w:t>
      </w:r>
      <w:r>
        <w:rPr>
          <w:rFonts w:hint="eastAsia" w:ascii="宋体" w:hAnsi="宋体" w:cs="宋体"/>
          <w:sz w:val="21"/>
          <w:highlight w:val="none"/>
          <w:lang w:val="en-US" w:eastAsia="zh-CN" w:bidi="ar-SA"/>
        </w:rPr>
        <w:t>C</w:t>
      </w:r>
      <w:r>
        <w:rPr>
          <w:rFonts w:hint="eastAsia" w:ascii="宋体" w:hAnsi="宋体" w:eastAsia="宋体" w:cs="宋体"/>
          <w:sz w:val="21"/>
          <w:highlight w:val="none"/>
          <w:lang w:val="en-US" w:eastAsia="zh-CN" w:bidi="ar-SA"/>
        </w:rPr>
        <w:t>.4。</w:t>
      </w:r>
    </w:p>
    <w:p w14:paraId="754957DA">
      <w:pPr>
        <w:numPr>
          <w:ilvl w:val="1"/>
          <w:numId w:val="0"/>
        </w:numPr>
        <w:spacing w:before="156" w:beforeLines="50" w:after="156" w:afterLines="50"/>
        <w:jc w:val="center"/>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.1</w:t>
      </w:r>
      <w:r>
        <w:rPr>
          <w:rFonts w:hint="eastAsia" w:ascii="黑体" w:hAnsi="黑体" w:eastAsia="黑体" w:cs="黑体"/>
          <w:szCs w:val="21"/>
          <w:highlight w:val="none"/>
          <w:lang w:val="en-US" w:eastAsia="zh-CN"/>
        </w:rPr>
        <w:t xml:space="preserve">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认定符合性评价指标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5401"/>
        <w:gridCol w:w="1555"/>
        <w:gridCol w:w="1492"/>
      </w:tblGrid>
      <w:tr w14:paraId="1383A7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1" w:type="pct"/>
            <w:tcBorders>
              <w:bottom w:val="single" w:color="auto" w:sz="12" w:space="0"/>
            </w:tcBorders>
            <w:vAlign w:val="center"/>
          </w:tcPr>
          <w:p w14:paraId="26D36BEA">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指标</w:t>
            </w:r>
          </w:p>
        </w:tc>
        <w:tc>
          <w:tcPr>
            <w:tcW w:w="2824" w:type="pct"/>
            <w:tcBorders>
              <w:bottom w:val="single" w:color="auto" w:sz="12" w:space="0"/>
            </w:tcBorders>
            <w:vAlign w:val="center"/>
          </w:tcPr>
          <w:p w14:paraId="18869315">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符合性评价</w:t>
            </w:r>
          </w:p>
        </w:tc>
        <w:tc>
          <w:tcPr>
            <w:tcW w:w="813" w:type="pct"/>
            <w:tcBorders>
              <w:bottom w:val="single" w:color="auto" w:sz="12" w:space="0"/>
            </w:tcBorders>
            <w:vAlign w:val="center"/>
          </w:tcPr>
          <w:p w14:paraId="16C2EC1A">
            <w:pPr>
              <w:keepNext w:val="0"/>
              <w:keepLines w:val="0"/>
              <w:suppressLineNumbers w:val="0"/>
              <w:autoSpaceDE w:val="0"/>
              <w:autoSpaceDN w:val="0"/>
              <w:spacing w:before="0" w:beforeAutospacing="0" w:after="0" w:afterAutospacing="0"/>
              <w:ind w:left="0" w:right="0"/>
              <w:jc w:val="center"/>
              <w:rPr>
                <w:rFonts w:hint="default" w:ascii="宋体" w:eastAsia="宋体"/>
                <w:b/>
                <w:sz w:val="18"/>
                <w:szCs w:val="18"/>
                <w:highlight w:val="none"/>
                <w:lang w:val="en-US" w:eastAsia="zh-CN"/>
              </w:rPr>
            </w:pPr>
            <w:r>
              <w:rPr>
                <w:rFonts w:hint="eastAsia" w:ascii="宋体"/>
                <w:b/>
                <w:sz w:val="18"/>
                <w:szCs w:val="18"/>
                <w:highlight w:val="none"/>
                <w:lang w:val="en-US" w:eastAsia="zh-CN"/>
              </w:rPr>
              <w:t>评价标准</w:t>
            </w:r>
          </w:p>
        </w:tc>
        <w:tc>
          <w:tcPr>
            <w:tcW w:w="780" w:type="pct"/>
            <w:tcBorders>
              <w:bottom w:val="single" w:color="auto" w:sz="12" w:space="0"/>
            </w:tcBorders>
            <w:vAlign w:val="center"/>
          </w:tcPr>
          <w:p w14:paraId="48A59F02">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评价</w:t>
            </w:r>
            <w:r>
              <w:rPr>
                <w:rFonts w:hint="eastAsia" w:ascii="宋体"/>
                <w:b/>
                <w:sz w:val="18"/>
                <w:szCs w:val="18"/>
                <w:highlight w:val="none"/>
              </w:rPr>
              <w:t>结果</w:t>
            </w:r>
          </w:p>
        </w:tc>
      </w:tr>
      <w:tr w14:paraId="084F56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81" w:type="pct"/>
            <w:tcBorders>
              <w:top w:val="single" w:color="auto" w:sz="12" w:space="0"/>
              <w:tl2br w:val="nil"/>
              <w:tr2bl w:val="nil"/>
            </w:tcBorders>
            <w:vAlign w:val="center"/>
          </w:tcPr>
          <w:p w14:paraId="47CBACFA">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hAnsi="宋体" w:cs="宋体"/>
                <w:sz w:val="18"/>
                <w:szCs w:val="18"/>
                <w:highlight w:val="none"/>
              </w:rPr>
              <w:t>目录符合</w:t>
            </w:r>
          </w:p>
        </w:tc>
        <w:tc>
          <w:tcPr>
            <w:tcW w:w="2824" w:type="pct"/>
            <w:tcBorders>
              <w:top w:val="single" w:color="auto" w:sz="12" w:space="0"/>
              <w:tl2br w:val="nil"/>
              <w:tr2bl w:val="nil"/>
            </w:tcBorders>
            <w:vAlign w:val="center"/>
          </w:tcPr>
          <w:p w14:paraId="0911AF5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default" w:ascii="宋体"/>
                <w:kern w:val="0"/>
                <w:sz w:val="18"/>
                <w:szCs w:val="18"/>
                <w:highlight w:val="none"/>
              </w:rPr>
            </w:pPr>
            <w:r>
              <w:rPr>
                <w:rFonts w:hint="eastAsia" w:ascii="宋体"/>
                <w:sz w:val="18"/>
                <w:szCs w:val="18"/>
                <w:highlight w:val="none"/>
              </w:rPr>
              <w:t>申报认定评价的</w:t>
            </w:r>
            <w:r>
              <w:rPr>
                <w:rFonts w:hint="eastAsia" w:ascii="宋体"/>
                <w:sz w:val="18"/>
                <w:szCs w:val="18"/>
                <w:highlight w:val="none"/>
                <w:lang w:val="en-US" w:eastAsia="zh-CN"/>
              </w:rPr>
              <w:t>绿色业务</w:t>
            </w:r>
            <w:r>
              <w:rPr>
                <w:rFonts w:hint="eastAsia" w:ascii="宋体"/>
                <w:sz w:val="18"/>
                <w:szCs w:val="18"/>
                <w:highlight w:val="none"/>
              </w:rPr>
              <w:t>属于</w:t>
            </w:r>
            <w:r>
              <w:rPr>
                <w:rFonts w:hint="eastAsia" w:ascii="宋体"/>
                <w:sz w:val="18"/>
                <w:szCs w:val="18"/>
                <w:highlight w:val="none"/>
                <w:lang w:val="en-US" w:eastAsia="zh-CN"/>
              </w:rPr>
              <w:t>环境基础设施领域</w:t>
            </w:r>
            <w:r>
              <w:rPr>
                <w:rFonts w:hint="eastAsia" w:ascii="宋体"/>
                <w:sz w:val="18"/>
                <w:szCs w:val="18"/>
                <w:highlight w:val="none"/>
              </w:rPr>
              <w:t>，且其</w:t>
            </w:r>
            <w:r>
              <w:rPr>
                <w:rFonts w:hint="eastAsia" w:ascii="宋体"/>
                <w:sz w:val="18"/>
                <w:szCs w:val="18"/>
                <w:highlight w:val="none"/>
                <w:lang w:val="en-US" w:eastAsia="zh-CN"/>
              </w:rPr>
              <w:t>环境基础设施领域</w:t>
            </w:r>
            <w:r>
              <w:rPr>
                <w:rFonts w:hint="eastAsia" w:ascii="宋体"/>
                <w:sz w:val="18"/>
                <w:szCs w:val="18"/>
                <w:highlight w:val="none"/>
              </w:rPr>
              <w:t>绿色业务占比达到50%</w:t>
            </w:r>
            <w:r>
              <w:rPr>
                <w:rFonts w:hint="eastAsia" w:ascii="宋体"/>
                <w:sz w:val="18"/>
                <w:szCs w:val="18"/>
                <w:highlight w:val="none"/>
                <w:lang w:val="en-US" w:eastAsia="zh-CN"/>
              </w:rPr>
              <w:t>及</w:t>
            </w:r>
            <w:r>
              <w:rPr>
                <w:rFonts w:hint="eastAsia" w:ascii="宋体"/>
                <w:sz w:val="18"/>
                <w:szCs w:val="18"/>
                <w:highlight w:val="none"/>
              </w:rPr>
              <w:t>以上</w:t>
            </w:r>
            <w:r>
              <w:rPr>
                <w:rFonts w:hint="eastAsia" w:ascii="宋体"/>
                <w:sz w:val="18"/>
                <w:szCs w:val="18"/>
                <w:highlight w:val="none"/>
                <w:lang w:eastAsia="zh-CN"/>
              </w:rPr>
              <w:t>，</w:t>
            </w:r>
            <w:r>
              <w:rPr>
                <w:rFonts w:hint="eastAsia" w:ascii="宋体"/>
                <w:sz w:val="18"/>
                <w:szCs w:val="18"/>
                <w:highlight w:val="none"/>
              </w:rPr>
              <w:t>或</w:t>
            </w:r>
            <w:r>
              <w:rPr>
                <w:rFonts w:hint="eastAsia" w:ascii="宋体"/>
                <w:sz w:val="18"/>
                <w:szCs w:val="18"/>
                <w:highlight w:val="none"/>
                <w:lang w:val="en-US" w:eastAsia="zh-CN"/>
              </w:rPr>
              <w:t>绿色业务</w:t>
            </w:r>
            <w:r>
              <w:rPr>
                <w:rFonts w:hint="eastAsia" w:ascii="宋体"/>
                <w:sz w:val="18"/>
                <w:szCs w:val="18"/>
                <w:highlight w:val="none"/>
              </w:rPr>
              <w:t>规模达到1亿元</w:t>
            </w:r>
            <w:r>
              <w:rPr>
                <w:rFonts w:hint="eastAsia" w:ascii="宋体"/>
                <w:sz w:val="18"/>
                <w:szCs w:val="18"/>
                <w:highlight w:val="none"/>
                <w:lang w:eastAsia="zh-CN"/>
              </w:rPr>
              <w:t>；</w:t>
            </w:r>
            <w:r>
              <w:rPr>
                <w:rFonts w:hint="eastAsia" w:ascii="宋体"/>
                <w:sz w:val="18"/>
                <w:szCs w:val="18"/>
                <w:highlight w:val="none"/>
              </w:rPr>
              <w:t>或在</w:t>
            </w:r>
            <w:r>
              <w:rPr>
                <w:rFonts w:hint="eastAsia" w:ascii="宋体"/>
                <w:sz w:val="18"/>
                <w:szCs w:val="18"/>
                <w:highlight w:val="none"/>
                <w:lang w:val="en-US" w:eastAsia="zh-CN"/>
              </w:rPr>
              <w:t>当地</w:t>
            </w:r>
            <w:r>
              <w:rPr>
                <w:rFonts w:hint="eastAsia" w:ascii="宋体"/>
                <w:sz w:val="18"/>
                <w:szCs w:val="18"/>
                <w:highlight w:val="none"/>
              </w:rPr>
              <w:t>具备一定市场规模</w:t>
            </w:r>
            <w:r>
              <w:rPr>
                <w:rFonts w:hint="eastAsia" w:ascii="宋体"/>
                <w:sz w:val="18"/>
                <w:szCs w:val="18"/>
                <w:highlight w:val="none"/>
                <w:lang w:eastAsia="zh-CN"/>
              </w:rPr>
              <w:t>、</w:t>
            </w:r>
            <w:r>
              <w:rPr>
                <w:rFonts w:hint="eastAsia" w:ascii="宋体"/>
                <w:sz w:val="18"/>
                <w:szCs w:val="18"/>
                <w:highlight w:val="none"/>
              </w:rPr>
              <w:t>经</w:t>
            </w:r>
            <w:r>
              <w:rPr>
                <w:rFonts w:hint="eastAsia" w:ascii="宋体"/>
                <w:sz w:val="18"/>
                <w:szCs w:val="18"/>
                <w:highlight w:val="none"/>
                <w:lang w:val="en-US" w:eastAsia="zh-CN"/>
              </w:rPr>
              <w:t>相关政府职能部门</w:t>
            </w:r>
            <w:r>
              <w:rPr>
                <w:rFonts w:hint="eastAsia" w:ascii="宋体"/>
                <w:sz w:val="18"/>
                <w:szCs w:val="18"/>
                <w:highlight w:val="none"/>
              </w:rPr>
              <w:t>认可的相关行业</w:t>
            </w:r>
          </w:p>
        </w:tc>
        <w:tc>
          <w:tcPr>
            <w:tcW w:w="813" w:type="pct"/>
            <w:tcBorders>
              <w:top w:val="single" w:color="auto" w:sz="12" w:space="0"/>
              <w:tl2br w:val="nil"/>
              <w:tr2bl w:val="nil"/>
            </w:tcBorders>
            <w:vAlign w:val="center"/>
          </w:tcPr>
          <w:p w14:paraId="333D754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是/否</w:t>
            </w:r>
          </w:p>
        </w:tc>
        <w:tc>
          <w:tcPr>
            <w:tcW w:w="780" w:type="pct"/>
            <w:tcBorders>
              <w:top w:val="single" w:color="auto" w:sz="12" w:space="0"/>
              <w:tl2br w:val="nil"/>
              <w:tr2bl w:val="nil"/>
            </w:tcBorders>
            <w:vAlign w:val="center"/>
          </w:tcPr>
          <w:p w14:paraId="1012928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2C569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1" w:type="pct"/>
            <w:tcBorders>
              <w:tl2br w:val="nil"/>
              <w:tr2bl w:val="nil"/>
            </w:tcBorders>
            <w:vAlign w:val="center"/>
          </w:tcPr>
          <w:p w14:paraId="425FF3A6">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hAnsi="宋体" w:cs="宋体"/>
                <w:sz w:val="18"/>
                <w:szCs w:val="18"/>
                <w:highlight w:val="none"/>
              </w:rPr>
              <w:t>技术符合</w:t>
            </w:r>
          </w:p>
        </w:tc>
        <w:tc>
          <w:tcPr>
            <w:tcW w:w="2824" w:type="pct"/>
            <w:tcBorders>
              <w:tl2br w:val="nil"/>
              <w:tr2bl w:val="nil"/>
            </w:tcBorders>
            <w:vAlign w:val="center"/>
          </w:tcPr>
          <w:p w14:paraId="526D0DC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eastAsia="zh-CN"/>
              </w:rPr>
            </w:pPr>
            <w:r>
              <w:rPr>
                <w:rFonts w:hint="eastAsia" w:ascii="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813" w:type="pct"/>
            <w:tcBorders>
              <w:tl2br w:val="nil"/>
              <w:tr2bl w:val="nil"/>
            </w:tcBorders>
            <w:vAlign w:val="center"/>
          </w:tcPr>
          <w:p w14:paraId="742C699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是/否</w:t>
            </w:r>
          </w:p>
        </w:tc>
        <w:tc>
          <w:tcPr>
            <w:tcW w:w="780" w:type="pct"/>
            <w:tcBorders>
              <w:tl2br w:val="nil"/>
              <w:tr2bl w:val="nil"/>
            </w:tcBorders>
            <w:vAlign w:val="center"/>
          </w:tcPr>
          <w:p w14:paraId="4D674BF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1F509F37">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618"/>
        <w:gridCol w:w="995"/>
        <w:gridCol w:w="2783"/>
        <w:gridCol w:w="3051"/>
        <w:gridCol w:w="759"/>
        <w:gridCol w:w="762"/>
      </w:tblGrid>
      <w:tr w14:paraId="18D9F1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tcBorders>
              <w:bottom w:val="single" w:color="auto" w:sz="12" w:space="0"/>
            </w:tcBorders>
            <w:vAlign w:val="center"/>
          </w:tcPr>
          <w:p w14:paraId="65F1D4AF">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一级指标</w:t>
            </w:r>
          </w:p>
        </w:tc>
        <w:tc>
          <w:tcPr>
            <w:tcW w:w="323" w:type="pct"/>
            <w:tcBorders>
              <w:bottom w:val="single" w:color="auto" w:sz="12" w:space="0"/>
            </w:tcBorders>
            <w:vAlign w:val="center"/>
          </w:tcPr>
          <w:p w14:paraId="727B99E1">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二级指标</w:t>
            </w:r>
          </w:p>
        </w:tc>
        <w:tc>
          <w:tcPr>
            <w:tcW w:w="520" w:type="pct"/>
            <w:tcBorders>
              <w:bottom w:val="single" w:color="auto" w:sz="12" w:space="0"/>
            </w:tcBorders>
            <w:vAlign w:val="center"/>
          </w:tcPr>
          <w:p w14:paraId="1D32327E">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三级指标</w:t>
            </w:r>
          </w:p>
        </w:tc>
        <w:tc>
          <w:tcPr>
            <w:tcW w:w="1455" w:type="pct"/>
            <w:tcBorders>
              <w:bottom w:val="single" w:color="auto" w:sz="12" w:space="0"/>
            </w:tcBorders>
            <w:vAlign w:val="center"/>
          </w:tcPr>
          <w:p w14:paraId="2C69AC97">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评价要求</w:t>
            </w:r>
          </w:p>
        </w:tc>
        <w:tc>
          <w:tcPr>
            <w:tcW w:w="1595" w:type="pct"/>
            <w:tcBorders>
              <w:bottom w:val="single" w:color="auto" w:sz="12" w:space="0"/>
            </w:tcBorders>
            <w:vAlign w:val="center"/>
          </w:tcPr>
          <w:p w14:paraId="0C5ECA46">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评分标准</w:t>
            </w:r>
          </w:p>
        </w:tc>
        <w:tc>
          <w:tcPr>
            <w:tcW w:w="397" w:type="pct"/>
            <w:tcBorders>
              <w:bottom w:val="single" w:color="auto" w:sz="12" w:space="0"/>
            </w:tcBorders>
            <w:vAlign w:val="center"/>
          </w:tcPr>
          <w:p w14:paraId="462814E5">
            <w:pPr>
              <w:keepNext w:val="0"/>
              <w:keepLines w:val="0"/>
              <w:suppressLineNumbers w:val="0"/>
              <w:autoSpaceDE w:val="0"/>
              <w:autoSpaceDN w:val="0"/>
              <w:spacing w:before="0" w:beforeAutospacing="0" w:after="0" w:afterAutospacing="0"/>
              <w:ind w:left="0" w:right="0"/>
              <w:rPr>
                <w:rFonts w:hint="default" w:ascii="宋体"/>
                <w:b/>
                <w:sz w:val="18"/>
                <w:szCs w:val="18"/>
                <w:highlight w:val="none"/>
              </w:rPr>
            </w:pPr>
            <w:r>
              <w:rPr>
                <w:rFonts w:hint="default" w:ascii="宋体"/>
                <w:b/>
                <w:sz w:val="18"/>
                <w:szCs w:val="18"/>
                <w:highlight w:val="none"/>
              </w:rPr>
              <w:t>分值</w:t>
            </w:r>
            <w:r>
              <w:rPr>
                <w:rFonts w:hint="eastAsia" w:ascii="宋体"/>
                <w:b/>
                <w:sz w:val="18"/>
                <w:szCs w:val="18"/>
                <w:highlight w:val="none"/>
              </w:rPr>
              <w:t>（分）</w:t>
            </w:r>
          </w:p>
        </w:tc>
        <w:tc>
          <w:tcPr>
            <w:tcW w:w="398" w:type="pct"/>
            <w:tcBorders>
              <w:bottom w:val="single" w:color="auto" w:sz="12" w:space="0"/>
            </w:tcBorders>
            <w:vAlign w:val="center"/>
          </w:tcPr>
          <w:p w14:paraId="2A162EAF">
            <w:pPr>
              <w:keepNext w:val="0"/>
              <w:keepLines w:val="0"/>
              <w:suppressLineNumbers w:val="0"/>
              <w:autoSpaceDE w:val="0"/>
              <w:autoSpaceDN w:val="0"/>
              <w:spacing w:before="0" w:beforeAutospacing="0" w:after="0" w:afterAutospacing="0"/>
              <w:ind w:left="0" w:right="0"/>
              <w:rPr>
                <w:rFonts w:hint="default" w:ascii="宋体"/>
                <w:b/>
                <w:sz w:val="18"/>
                <w:szCs w:val="18"/>
                <w:highlight w:val="none"/>
              </w:rPr>
            </w:pPr>
            <w:r>
              <w:rPr>
                <w:rFonts w:hint="default" w:ascii="宋体"/>
                <w:b/>
                <w:sz w:val="18"/>
                <w:szCs w:val="18"/>
                <w:highlight w:val="none"/>
              </w:rPr>
              <w:t>得分</w:t>
            </w:r>
            <w:r>
              <w:rPr>
                <w:rFonts w:hint="eastAsia" w:ascii="宋体"/>
                <w:b/>
                <w:sz w:val="18"/>
                <w:szCs w:val="18"/>
                <w:highlight w:val="none"/>
              </w:rPr>
              <w:t>（分）</w:t>
            </w:r>
          </w:p>
        </w:tc>
      </w:tr>
      <w:tr w14:paraId="523BE8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309" w:type="pct"/>
            <w:vMerge w:val="restart"/>
            <w:tcBorders>
              <w:top w:val="single" w:color="auto" w:sz="12" w:space="0"/>
              <w:tl2br w:val="nil"/>
              <w:tr2bl w:val="nil"/>
            </w:tcBorders>
            <w:vAlign w:val="center"/>
          </w:tcPr>
          <w:p w14:paraId="03CE17D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技术表现</w:t>
            </w:r>
          </w:p>
        </w:tc>
        <w:tc>
          <w:tcPr>
            <w:tcW w:w="323" w:type="pct"/>
            <w:vMerge w:val="restart"/>
            <w:tcBorders>
              <w:top w:val="single" w:color="auto" w:sz="12" w:space="0"/>
              <w:tl2br w:val="nil"/>
              <w:tr2bl w:val="nil"/>
            </w:tcBorders>
            <w:vAlign w:val="center"/>
          </w:tcPr>
          <w:p w14:paraId="18D1991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先进性</w:t>
            </w:r>
          </w:p>
        </w:tc>
        <w:tc>
          <w:tcPr>
            <w:tcW w:w="520" w:type="pct"/>
            <w:tcBorders>
              <w:top w:val="single" w:color="auto" w:sz="12" w:space="0"/>
              <w:tl2br w:val="nil"/>
              <w:tr2bl w:val="nil"/>
            </w:tcBorders>
            <w:vAlign w:val="center"/>
          </w:tcPr>
          <w:p w14:paraId="2A06481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有效知识产权</w:t>
            </w:r>
          </w:p>
        </w:tc>
        <w:tc>
          <w:tcPr>
            <w:tcW w:w="1455" w:type="pct"/>
            <w:tcBorders>
              <w:top w:val="single" w:color="auto" w:sz="12" w:space="0"/>
              <w:tl2br w:val="nil"/>
              <w:tr2bl w:val="nil"/>
            </w:tcBorders>
            <w:vAlign w:val="center"/>
          </w:tcPr>
          <w:p w14:paraId="771333F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为</w:t>
            </w:r>
            <w:r>
              <w:rPr>
                <w:rFonts w:hint="eastAsia" w:hAnsi="宋体" w:cs="宋体"/>
                <w:sz w:val="18"/>
                <w:szCs w:val="18"/>
                <w:highlight w:val="none"/>
                <w:lang w:val="en-US" w:eastAsia="zh-CN"/>
              </w:rPr>
              <w:t>环境基础设施领域</w:t>
            </w:r>
            <w:r>
              <w:rPr>
                <w:rFonts w:hint="eastAsia" w:hAnsi="宋体" w:cs="宋体"/>
                <w:sz w:val="18"/>
                <w:szCs w:val="18"/>
                <w:highlight w:val="none"/>
              </w:rPr>
              <w:t>的有效知识产权，按知识产权类别和知识产权获得形式加权计算数量</w:t>
            </w:r>
          </w:p>
        </w:tc>
        <w:tc>
          <w:tcPr>
            <w:tcW w:w="1595" w:type="pct"/>
            <w:tcBorders>
              <w:top w:val="single" w:color="auto" w:sz="12" w:space="0"/>
              <w:tl2br w:val="nil"/>
              <w:tr2bl w:val="nil"/>
            </w:tcBorders>
            <w:vAlign w:val="center"/>
          </w:tcPr>
          <w:p w14:paraId="22E8E9B3">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采用加权法计算后有效知识产权数量乘以1分</w:t>
            </w:r>
          </w:p>
        </w:tc>
        <w:tc>
          <w:tcPr>
            <w:tcW w:w="397" w:type="pct"/>
            <w:tcBorders>
              <w:top w:val="single" w:color="auto" w:sz="12" w:space="0"/>
              <w:tl2br w:val="nil"/>
              <w:tr2bl w:val="nil"/>
            </w:tcBorders>
            <w:vAlign w:val="center"/>
          </w:tcPr>
          <w:p w14:paraId="4A55C28A">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8" w:type="pct"/>
            <w:tcBorders>
              <w:top w:val="single" w:color="auto" w:sz="12" w:space="0"/>
              <w:tl2br w:val="nil"/>
              <w:tr2bl w:val="nil"/>
            </w:tcBorders>
            <w:vAlign w:val="center"/>
          </w:tcPr>
          <w:p w14:paraId="0DF5CE41">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FFEB9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09" w:type="pct"/>
            <w:vMerge w:val="continue"/>
            <w:tcBorders>
              <w:tl2br w:val="nil"/>
              <w:tr2bl w:val="nil"/>
            </w:tcBorders>
            <w:vAlign w:val="center"/>
          </w:tcPr>
          <w:p w14:paraId="75DAC6A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65544E4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0" w:type="pct"/>
            <w:tcBorders>
              <w:tl2br w:val="nil"/>
              <w:tr2bl w:val="nil"/>
            </w:tcBorders>
            <w:vAlign w:val="center"/>
          </w:tcPr>
          <w:p w14:paraId="3CC6B1A5">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r>
              <w:rPr>
                <w:rFonts w:hint="eastAsia" w:ascii="宋体" w:hAnsi="宋体" w:cs="宋体"/>
                <w:sz w:val="18"/>
                <w:szCs w:val="18"/>
                <w:highlight w:val="none"/>
              </w:rPr>
              <w:t>制修订</w:t>
            </w:r>
          </w:p>
          <w:p w14:paraId="4355419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标准</w:t>
            </w:r>
          </w:p>
        </w:tc>
        <w:tc>
          <w:tcPr>
            <w:tcW w:w="1455" w:type="pct"/>
            <w:tcBorders>
              <w:tl2br w:val="nil"/>
              <w:tr2bl w:val="nil"/>
            </w:tcBorders>
            <w:vAlign w:val="center"/>
          </w:tcPr>
          <w:p w14:paraId="126323E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为近五年内在</w:t>
            </w:r>
            <w:r>
              <w:rPr>
                <w:rFonts w:hint="eastAsia" w:hAnsi="宋体" w:cs="宋体"/>
                <w:sz w:val="18"/>
                <w:szCs w:val="18"/>
                <w:highlight w:val="none"/>
                <w:lang w:val="en-US" w:eastAsia="zh-CN"/>
              </w:rPr>
              <w:t>环境基础设施领域</w:t>
            </w:r>
            <w:r>
              <w:rPr>
                <w:rFonts w:hint="eastAsia" w:hAnsi="宋体" w:cs="宋体"/>
                <w:sz w:val="18"/>
                <w:szCs w:val="18"/>
                <w:highlight w:val="none"/>
              </w:rPr>
              <w:t>已正式发布的标准，按标准类别、标准编制形式和标准制修订程度进行加权计算数量</w:t>
            </w:r>
          </w:p>
        </w:tc>
        <w:tc>
          <w:tcPr>
            <w:tcW w:w="1595" w:type="pct"/>
            <w:tcBorders>
              <w:tl2br w:val="nil"/>
              <w:tr2bl w:val="nil"/>
            </w:tcBorders>
            <w:vAlign w:val="center"/>
          </w:tcPr>
          <w:p w14:paraId="73384EA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采用加权法计算后制修订标准数量乘以2分</w:t>
            </w:r>
          </w:p>
        </w:tc>
        <w:tc>
          <w:tcPr>
            <w:tcW w:w="397" w:type="pct"/>
            <w:tcBorders>
              <w:tl2br w:val="nil"/>
              <w:tr2bl w:val="nil"/>
            </w:tcBorders>
            <w:vAlign w:val="center"/>
          </w:tcPr>
          <w:p w14:paraId="66C71F7B">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8" w:type="pct"/>
            <w:tcBorders>
              <w:tl2br w:val="nil"/>
              <w:tr2bl w:val="nil"/>
            </w:tcBorders>
            <w:vAlign w:val="center"/>
          </w:tcPr>
          <w:p w14:paraId="2B8170CD">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45A8E5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7" w:hRule="atLeast"/>
        </w:trPr>
        <w:tc>
          <w:tcPr>
            <w:tcW w:w="309" w:type="pct"/>
            <w:vMerge w:val="continue"/>
            <w:tcBorders>
              <w:tl2br w:val="nil"/>
              <w:tr2bl w:val="nil"/>
            </w:tcBorders>
            <w:vAlign w:val="center"/>
          </w:tcPr>
          <w:p w14:paraId="519B378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7D6ACBE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995" w:type="dxa"/>
            <w:tcBorders>
              <w:tl2br w:val="nil"/>
              <w:tr2bl w:val="nil"/>
            </w:tcBorders>
            <w:vAlign w:val="center"/>
          </w:tcPr>
          <w:p w14:paraId="3BC1C42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sz w:val="18"/>
                <w:szCs w:val="18"/>
                <w:highlight w:val="none"/>
                <w:lang w:val="en-US" w:eastAsia="zh-CN"/>
              </w:rPr>
              <w:t>关键</w:t>
            </w:r>
            <w:r>
              <w:rPr>
                <w:rFonts w:hint="eastAsia" w:ascii="宋体"/>
                <w:sz w:val="18"/>
                <w:szCs w:val="18"/>
                <w:highlight w:val="none"/>
              </w:rPr>
              <w:t>技术先进水平</w:t>
            </w:r>
          </w:p>
        </w:tc>
        <w:tc>
          <w:tcPr>
            <w:tcW w:w="2783" w:type="dxa"/>
            <w:tcBorders>
              <w:tl2br w:val="nil"/>
              <w:tr2bl w:val="nil"/>
            </w:tcBorders>
            <w:vAlign w:val="center"/>
          </w:tcPr>
          <w:p w14:paraId="0FD16DD4">
            <w:pPr>
              <w:keepNext w:val="0"/>
              <w:keepLines w:val="0"/>
              <w:suppressLineNumbers w:val="0"/>
              <w:autoSpaceDE w:val="0"/>
              <w:autoSpaceDN w:val="0"/>
              <w:spacing w:before="0" w:beforeAutospacing="0" w:after="0" w:afterAutospacing="0"/>
              <w:ind w:left="0" w:right="0"/>
              <w:rPr>
                <w:rFonts w:hint="default" w:ascii="宋体"/>
                <w:sz w:val="18"/>
                <w:szCs w:val="18"/>
                <w:highlight w:val="none"/>
              </w:rPr>
            </w:pPr>
            <w:r>
              <w:rPr>
                <w:rFonts w:hint="eastAsia" w:ascii="宋体"/>
                <w:sz w:val="18"/>
                <w:szCs w:val="18"/>
                <w:highlight w:val="none"/>
                <w:lang w:val="en-US" w:eastAsia="zh-CN"/>
              </w:rPr>
              <w:t>环境基础设施领域相关</w:t>
            </w:r>
            <w:r>
              <w:rPr>
                <w:rFonts w:hint="eastAsia" w:ascii="宋体"/>
                <w:sz w:val="18"/>
                <w:szCs w:val="18"/>
                <w:highlight w:val="none"/>
              </w:rPr>
              <w:t>产品或服务的</w:t>
            </w:r>
            <w:r>
              <w:rPr>
                <w:rFonts w:hint="eastAsia" w:ascii="宋体"/>
                <w:sz w:val="18"/>
                <w:szCs w:val="18"/>
                <w:highlight w:val="none"/>
                <w:lang w:val="en-US" w:eastAsia="zh-CN"/>
              </w:rPr>
              <w:t>关键</w:t>
            </w:r>
            <w:r>
              <w:rPr>
                <w:rFonts w:hint="eastAsia" w:ascii="宋体"/>
                <w:sz w:val="18"/>
                <w:szCs w:val="18"/>
                <w:highlight w:val="none"/>
              </w:rPr>
              <w:t>技术先进水平</w:t>
            </w:r>
            <w:r>
              <w:rPr>
                <w:rFonts w:hint="eastAsia" w:ascii="宋体"/>
                <w:sz w:val="18"/>
                <w:szCs w:val="18"/>
                <w:highlight w:val="none"/>
                <w:lang w:eastAsia="zh-CN"/>
              </w:rPr>
              <w:t>，选取在该行业具备典型代表性的核心技术水平</w:t>
            </w:r>
          </w:p>
        </w:tc>
        <w:tc>
          <w:tcPr>
            <w:tcW w:w="3051" w:type="dxa"/>
            <w:tcBorders>
              <w:tl2br w:val="nil"/>
              <w:tr2bl w:val="nil"/>
            </w:tcBorders>
            <w:vAlign w:val="center"/>
          </w:tcPr>
          <w:p w14:paraId="3ABE1134">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a.</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处于行业领先水平，对产业（行业）具有显著技术引领作用。(</w:t>
            </w:r>
            <w:r>
              <w:rPr>
                <w:rFonts w:hint="eastAsia" w:ascii="宋体"/>
                <w:sz w:val="18"/>
                <w:szCs w:val="18"/>
                <w:highlight w:val="none"/>
                <w:lang w:val="en-US" w:eastAsia="zh-CN"/>
              </w:rPr>
              <w:t>8</w:t>
            </w:r>
            <w:r>
              <w:rPr>
                <w:rFonts w:hint="eastAsia" w:ascii="宋体"/>
                <w:sz w:val="18"/>
                <w:szCs w:val="18"/>
                <w:highlight w:val="none"/>
              </w:rPr>
              <w:t>分,</w:t>
            </w:r>
            <w:r>
              <w:rPr>
                <w:rFonts w:hint="eastAsia" w:ascii="宋体"/>
                <w:sz w:val="18"/>
                <w:szCs w:val="18"/>
                <w:highlight w:val="none"/>
                <w:lang w:val="en-US" w:eastAsia="zh-CN"/>
              </w:rPr>
              <w:t>12</w:t>
            </w:r>
            <w:r>
              <w:rPr>
                <w:rFonts w:hint="eastAsia" w:ascii="宋体"/>
                <w:sz w:val="18"/>
                <w:szCs w:val="18"/>
                <w:highlight w:val="none"/>
              </w:rPr>
              <w:t>分]</w:t>
            </w:r>
          </w:p>
          <w:p w14:paraId="6674990A">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b.</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处于行业较好水平，对产业（行业）具有一定技术推动作用。(</w:t>
            </w:r>
            <w:r>
              <w:rPr>
                <w:rFonts w:hint="eastAsia" w:ascii="宋体"/>
                <w:sz w:val="18"/>
                <w:szCs w:val="18"/>
                <w:highlight w:val="none"/>
                <w:lang w:val="en-US" w:eastAsia="zh-CN"/>
              </w:rPr>
              <w:t>4</w:t>
            </w:r>
            <w:r>
              <w:rPr>
                <w:rFonts w:hint="eastAsia" w:ascii="宋体"/>
                <w:sz w:val="18"/>
                <w:szCs w:val="18"/>
                <w:highlight w:val="none"/>
              </w:rPr>
              <w:t>分,</w:t>
            </w:r>
            <w:r>
              <w:rPr>
                <w:rFonts w:hint="eastAsia" w:ascii="宋体"/>
                <w:sz w:val="18"/>
                <w:szCs w:val="18"/>
                <w:highlight w:val="none"/>
                <w:lang w:val="en-US" w:eastAsia="zh-CN"/>
              </w:rPr>
              <w:t>8</w:t>
            </w:r>
            <w:r>
              <w:rPr>
                <w:rFonts w:hint="eastAsia" w:ascii="宋体"/>
                <w:sz w:val="18"/>
                <w:szCs w:val="18"/>
                <w:highlight w:val="none"/>
              </w:rPr>
              <w:t>分]</w:t>
            </w:r>
          </w:p>
          <w:p w14:paraId="454AEBEC">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c.</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处于行业平均水平。(0分,</w:t>
            </w:r>
            <w:r>
              <w:rPr>
                <w:rFonts w:hint="eastAsia" w:ascii="宋体"/>
                <w:sz w:val="18"/>
                <w:szCs w:val="18"/>
                <w:highlight w:val="none"/>
                <w:lang w:val="en-US" w:eastAsia="zh-CN"/>
              </w:rPr>
              <w:t>4</w:t>
            </w:r>
            <w:r>
              <w:rPr>
                <w:rFonts w:hint="eastAsia" w:ascii="宋体"/>
                <w:sz w:val="18"/>
                <w:szCs w:val="18"/>
                <w:highlight w:val="none"/>
              </w:rPr>
              <w:t>分]</w:t>
            </w:r>
          </w:p>
          <w:p w14:paraId="708FDE25">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d.未满足上述任何一项。（0分）</w:t>
            </w:r>
          </w:p>
        </w:tc>
        <w:tc>
          <w:tcPr>
            <w:tcW w:w="759" w:type="dxa"/>
            <w:tcBorders>
              <w:tl2br w:val="nil"/>
              <w:tr2bl w:val="nil"/>
            </w:tcBorders>
            <w:vAlign w:val="center"/>
          </w:tcPr>
          <w:p w14:paraId="3CAA285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12</w:t>
            </w:r>
          </w:p>
        </w:tc>
        <w:tc>
          <w:tcPr>
            <w:tcW w:w="762" w:type="dxa"/>
            <w:tcBorders>
              <w:tl2br w:val="nil"/>
              <w:tr2bl w:val="nil"/>
            </w:tcBorders>
            <w:vAlign w:val="center"/>
          </w:tcPr>
          <w:p w14:paraId="0CC84BC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388F6758">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618"/>
        <w:gridCol w:w="1012"/>
        <w:gridCol w:w="2146"/>
        <w:gridCol w:w="3655"/>
        <w:gridCol w:w="759"/>
        <w:gridCol w:w="778"/>
      </w:tblGrid>
      <w:tr w14:paraId="6D54C9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09" w:type="pct"/>
            <w:tcBorders>
              <w:bottom w:val="single" w:color="auto" w:sz="12" w:space="0"/>
            </w:tcBorders>
            <w:vAlign w:val="center"/>
          </w:tcPr>
          <w:p w14:paraId="097D586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3" w:type="pct"/>
            <w:tcBorders>
              <w:bottom w:val="single" w:color="auto" w:sz="12" w:space="0"/>
            </w:tcBorders>
            <w:vAlign w:val="center"/>
          </w:tcPr>
          <w:p w14:paraId="09EBA4C6">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29" w:type="pct"/>
            <w:tcBorders>
              <w:bottom w:val="single" w:color="auto" w:sz="12" w:space="0"/>
            </w:tcBorders>
            <w:vAlign w:val="center"/>
          </w:tcPr>
          <w:p w14:paraId="6F2E319D">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122" w:type="pct"/>
            <w:tcBorders>
              <w:bottom w:val="single" w:color="auto" w:sz="12" w:space="0"/>
            </w:tcBorders>
            <w:vAlign w:val="center"/>
          </w:tcPr>
          <w:p w14:paraId="0A8D04AD">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911" w:type="pct"/>
            <w:tcBorders>
              <w:bottom w:val="single" w:color="auto" w:sz="12" w:space="0"/>
            </w:tcBorders>
            <w:vAlign w:val="center"/>
          </w:tcPr>
          <w:p w14:paraId="2D9B750E">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397" w:type="pct"/>
            <w:tcBorders>
              <w:bottom w:val="single" w:color="auto" w:sz="12" w:space="0"/>
            </w:tcBorders>
            <w:vAlign w:val="center"/>
          </w:tcPr>
          <w:p w14:paraId="28841C8B">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407" w:type="pct"/>
            <w:tcBorders>
              <w:bottom w:val="single" w:color="auto" w:sz="12" w:space="0"/>
            </w:tcBorders>
            <w:vAlign w:val="center"/>
          </w:tcPr>
          <w:p w14:paraId="45896CA2">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2CE6F6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309" w:type="pct"/>
            <w:tcBorders>
              <w:tl2br w:val="nil"/>
              <w:tr2bl w:val="nil"/>
            </w:tcBorders>
            <w:vAlign w:val="center"/>
          </w:tcPr>
          <w:p w14:paraId="5D21D472">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技术表现</w:t>
            </w:r>
          </w:p>
        </w:tc>
        <w:tc>
          <w:tcPr>
            <w:tcW w:w="323" w:type="pct"/>
            <w:tcBorders>
              <w:tl2br w:val="nil"/>
              <w:tr2bl w:val="nil"/>
            </w:tcBorders>
            <w:vAlign w:val="center"/>
          </w:tcPr>
          <w:p w14:paraId="1ED448A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环境效益</w:t>
            </w:r>
          </w:p>
        </w:tc>
        <w:tc>
          <w:tcPr>
            <w:tcW w:w="1651" w:type="pct"/>
            <w:gridSpan w:val="2"/>
            <w:tcBorders>
              <w:tl2br w:val="nil"/>
              <w:tr2bl w:val="nil"/>
            </w:tcBorders>
            <w:vAlign w:val="center"/>
          </w:tcPr>
          <w:p w14:paraId="1B8FEE5F">
            <w:pPr>
              <w:keepNext w:val="0"/>
              <w:keepLines w:val="0"/>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lang w:val="en-US" w:eastAsia="zh-CN"/>
              </w:rPr>
              <w:t>在环境基础设施领域取得的降碳</w:t>
            </w:r>
            <w:r>
              <w:rPr>
                <w:rFonts w:hint="eastAsia" w:hAnsi="宋体" w:cs="宋体"/>
                <w:sz w:val="18"/>
                <w:szCs w:val="18"/>
                <w:highlight w:val="none"/>
              </w:rPr>
              <w:t>效益</w:t>
            </w:r>
            <w:r>
              <w:rPr>
                <w:rFonts w:hint="eastAsia" w:hAnsi="宋体" w:cs="宋体"/>
                <w:sz w:val="18"/>
                <w:szCs w:val="18"/>
                <w:highlight w:val="none"/>
                <w:lang w:eastAsia="zh-CN"/>
              </w:rPr>
              <w:t>、</w:t>
            </w:r>
            <w:r>
              <w:rPr>
                <w:rFonts w:hint="eastAsia" w:hAnsi="宋体" w:cs="宋体"/>
                <w:sz w:val="18"/>
                <w:szCs w:val="18"/>
                <w:highlight w:val="none"/>
                <w:lang w:val="en-US" w:eastAsia="zh-CN"/>
              </w:rPr>
              <w:t>资源综合利用效益贡献量和涉及的环境效益种类数量</w:t>
            </w:r>
          </w:p>
        </w:tc>
        <w:tc>
          <w:tcPr>
            <w:tcW w:w="1911" w:type="pct"/>
            <w:tcBorders>
              <w:tl2br w:val="nil"/>
              <w:tr2bl w:val="nil"/>
            </w:tcBorders>
            <w:vAlign w:val="center"/>
          </w:tcPr>
          <w:p w14:paraId="04EA40E5">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a.涉及环境效益种类较多，产生实际环境效益贡献量较</w:t>
            </w:r>
            <w:r>
              <w:rPr>
                <w:rFonts w:hint="eastAsia" w:hAnsi="宋体" w:cs="宋体"/>
                <w:sz w:val="18"/>
                <w:szCs w:val="18"/>
                <w:highlight w:val="none"/>
                <w:lang w:val="en-US" w:eastAsia="zh-CN"/>
              </w:rPr>
              <w:t>多</w:t>
            </w:r>
            <w:r>
              <w:rPr>
                <w:rFonts w:hint="eastAsia" w:hAnsi="宋体" w:cs="宋体"/>
                <w:sz w:val="18"/>
                <w:szCs w:val="18"/>
                <w:highlight w:val="none"/>
              </w:rPr>
              <w:t>。(</w:t>
            </w:r>
            <w:r>
              <w:rPr>
                <w:rFonts w:hint="eastAsia" w:hAnsi="宋体" w:cs="宋体"/>
                <w:sz w:val="18"/>
                <w:szCs w:val="18"/>
                <w:highlight w:val="none"/>
                <w:lang w:val="en-US" w:eastAsia="zh-CN"/>
              </w:rPr>
              <w:t>14</w:t>
            </w:r>
            <w:r>
              <w:rPr>
                <w:rFonts w:hint="eastAsia" w:hAnsi="宋体" w:cs="宋体"/>
                <w:sz w:val="18"/>
                <w:szCs w:val="18"/>
                <w:highlight w:val="none"/>
              </w:rPr>
              <w:t>分,</w:t>
            </w:r>
            <w:r>
              <w:rPr>
                <w:rFonts w:hint="eastAsia" w:hAnsi="宋体" w:cs="宋体"/>
                <w:sz w:val="18"/>
                <w:szCs w:val="18"/>
                <w:highlight w:val="none"/>
                <w:lang w:val="en-US" w:eastAsia="zh-CN"/>
              </w:rPr>
              <w:t>2</w:t>
            </w:r>
            <w:r>
              <w:rPr>
                <w:rFonts w:hint="eastAsia" w:hAnsi="宋体" w:cs="宋体"/>
                <w:sz w:val="18"/>
                <w:szCs w:val="18"/>
                <w:highlight w:val="none"/>
              </w:rPr>
              <w:t>0分]</w:t>
            </w:r>
          </w:p>
          <w:p w14:paraId="6C19E5A7">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b.涉及环境效益种类一般，产生实际环境效益贡献量一般。(</w:t>
            </w:r>
            <w:r>
              <w:rPr>
                <w:rFonts w:hint="eastAsia" w:hAnsi="宋体" w:cs="宋体"/>
                <w:sz w:val="18"/>
                <w:szCs w:val="18"/>
                <w:highlight w:val="none"/>
                <w:lang w:val="en-US" w:eastAsia="zh-CN"/>
              </w:rPr>
              <w:t>6</w:t>
            </w:r>
            <w:r>
              <w:rPr>
                <w:rFonts w:hint="eastAsia" w:hAnsi="宋体" w:cs="宋体"/>
                <w:sz w:val="18"/>
                <w:szCs w:val="18"/>
                <w:highlight w:val="none"/>
              </w:rPr>
              <w:t>分,</w:t>
            </w:r>
            <w:r>
              <w:rPr>
                <w:rFonts w:hint="eastAsia" w:hAnsi="宋体" w:cs="宋体"/>
                <w:sz w:val="18"/>
                <w:szCs w:val="18"/>
                <w:highlight w:val="none"/>
                <w:lang w:val="en-US" w:eastAsia="zh-CN"/>
              </w:rPr>
              <w:t>14</w:t>
            </w:r>
            <w:r>
              <w:rPr>
                <w:rFonts w:hint="eastAsia" w:hAnsi="宋体" w:cs="宋体"/>
                <w:sz w:val="18"/>
                <w:szCs w:val="18"/>
                <w:highlight w:val="none"/>
              </w:rPr>
              <w:t>分]</w:t>
            </w:r>
          </w:p>
          <w:p w14:paraId="166EE58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c.涉及环境效益种类较少，产生实际环境效益贡献量较少。(0分,</w:t>
            </w:r>
            <w:r>
              <w:rPr>
                <w:rFonts w:hint="eastAsia" w:hAnsi="宋体" w:cs="宋体"/>
                <w:sz w:val="18"/>
                <w:szCs w:val="18"/>
                <w:highlight w:val="none"/>
                <w:lang w:val="en-US" w:eastAsia="zh-CN"/>
              </w:rPr>
              <w:t>6</w:t>
            </w:r>
            <w:r>
              <w:rPr>
                <w:rFonts w:hint="eastAsia" w:hAnsi="宋体" w:cs="宋体"/>
                <w:sz w:val="18"/>
                <w:szCs w:val="18"/>
                <w:highlight w:val="none"/>
              </w:rPr>
              <w:t>分]</w:t>
            </w:r>
          </w:p>
          <w:p w14:paraId="11837F2E">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d.未产生实际环境效益。（0分）</w:t>
            </w:r>
          </w:p>
        </w:tc>
        <w:tc>
          <w:tcPr>
            <w:tcW w:w="397" w:type="pct"/>
            <w:tcBorders>
              <w:tl2br w:val="nil"/>
              <w:tr2bl w:val="nil"/>
            </w:tcBorders>
            <w:vAlign w:val="center"/>
          </w:tcPr>
          <w:p w14:paraId="3F794275">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val="en-US" w:eastAsia="zh-CN" w:bidi="ar"/>
              </w:rPr>
              <w:t>2</w:t>
            </w:r>
            <w:r>
              <w:rPr>
                <w:rFonts w:hint="eastAsia" w:ascii="宋体" w:hAnsi="宋体" w:cs="宋体"/>
                <w:color w:val="000000"/>
                <w:kern w:val="0"/>
                <w:sz w:val="18"/>
                <w:szCs w:val="18"/>
                <w:highlight w:val="none"/>
                <w:lang w:bidi="ar"/>
              </w:rPr>
              <w:t>0</w:t>
            </w:r>
          </w:p>
        </w:tc>
        <w:tc>
          <w:tcPr>
            <w:tcW w:w="407" w:type="pct"/>
            <w:tcBorders>
              <w:tl2br w:val="nil"/>
              <w:tr2bl w:val="nil"/>
            </w:tcBorders>
            <w:vAlign w:val="center"/>
          </w:tcPr>
          <w:p w14:paraId="20A27865">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5D763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3" w:hRule="atLeast"/>
        </w:trPr>
        <w:tc>
          <w:tcPr>
            <w:tcW w:w="309" w:type="pct"/>
            <w:vMerge w:val="restart"/>
            <w:tcBorders>
              <w:tl2br w:val="nil"/>
              <w:tr2bl w:val="nil"/>
            </w:tcBorders>
            <w:vAlign w:val="center"/>
          </w:tcPr>
          <w:p w14:paraId="08708A0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业务表现</w:t>
            </w:r>
          </w:p>
        </w:tc>
        <w:tc>
          <w:tcPr>
            <w:tcW w:w="323" w:type="pct"/>
            <w:vMerge w:val="restart"/>
            <w:tcBorders>
              <w:tl2br w:val="nil"/>
              <w:tr2bl w:val="nil"/>
            </w:tcBorders>
            <w:vAlign w:val="center"/>
          </w:tcPr>
          <w:p w14:paraId="1143AEB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发展能力</w:t>
            </w:r>
          </w:p>
        </w:tc>
        <w:tc>
          <w:tcPr>
            <w:tcW w:w="529" w:type="pct"/>
            <w:tcBorders>
              <w:tl2br w:val="nil"/>
              <w:tr2bl w:val="nil"/>
            </w:tcBorders>
            <w:vAlign w:val="center"/>
          </w:tcPr>
          <w:p w14:paraId="091A2D4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团队技术实力</w:t>
            </w:r>
          </w:p>
        </w:tc>
        <w:tc>
          <w:tcPr>
            <w:tcW w:w="1122" w:type="pct"/>
            <w:tcBorders>
              <w:tl2br w:val="nil"/>
              <w:tr2bl w:val="nil"/>
            </w:tcBorders>
            <w:vAlign w:val="center"/>
          </w:tcPr>
          <w:p w14:paraId="77490A01">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从专业覆盖面、学历职称、绿色业务相关工作年限等方面进行综合评价，人员通过劳动合同、缴纳社会保险或是否累计实际工作时间在183天以上来鉴别</w:t>
            </w:r>
          </w:p>
        </w:tc>
        <w:tc>
          <w:tcPr>
            <w:tcW w:w="1911" w:type="pct"/>
            <w:tcBorders>
              <w:tl2br w:val="nil"/>
              <w:tr2bl w:val="nil"/>
            </w:tcBorders>
            <w:vAlign w:val="center"/>
          </w:tcPr>
          <w:p w14:paraId="427AEBF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a.人员配置合理，涵盖所需专业，研发部门中30%以上科研人员从事</w:t>
            </w:r>
            <w:r>
              <w:rPr>
                <w:rFonts w:hint="eastAsia" w:hAnsi="宋体" w:cs="宋体"/>
                <w:sz w:val="18"/>
                <w:szCs w:val="18"/>
                <w:highlight w:val="none"/>
                <w:lang w:val="en-US" w:eastAsia="zh-CN"/>
              </w:rPr>
              <w:t>环境基础设施领域</w:t>
            </w:r>
            <w:r>
              <w:rPr>
                <w:rFonts w:hint="eastAsia" w:hAnsi="宋体" w:cs="宋体"/>
                <w:sz w:val="18"/>
                <w:szCs w:val="18"/>
                <w:highlight w:val="none"/>
              </w:rPr>
              <w:t>相关工作达3年或以上年限，至少配备一名高级职称或博士技术人员。</w:t>
            </w:r>
            <w:r>
              <w:rPr>
                <w:rFonts w:hint="eastAsia" w:hAnsi="宋体" w:cs="宋体"/>
                <w:sz w:val="18"/>
                <w:szCs w:val="18"/>
                <w:highlight w:val="none"/>
                <w:lang w:val="en-US" w:eastAsia="zh-CN"/>
              </w:rPr>
              <w:t>[</w:t>
            </w:r>
            <w:r>
              <w:rPr>
                <w:rFonts w:hint="eastAsia" w:hAnsi="宋体" w:cs="宋体"/>
                <w:sz w:val="18"/>
                <w:szCs w:val="18"/>
                <w:highlight w:val="none"/>
              </w:rPr>
              <w:t>4分,8分]</w:t>
            </w:r>
          </w:p>
          <w:p w14:paraId="16936C7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b.人员配置基本合理，涵盖所需专业，研发部门中20%以上科研人员从事</w:t>
            </w:r>
            <w:r>
              <w:rPr>
                <w:rFonts w:hint="eastAsia" w:hAnsi="宋体" w:cs="宋体"/>
                <w:sz w:val="18"/>
                <w:szCs w:val="18"/>
                <w:highlight w:val="none"/>
                <w:lang w:val="en-US" w:eastAsia="zh-CN"/>
              </w:rPr>
              <w:t>环境基础设施领域</w:t>
            </w:r>
            <w:r>
              <w:rPr>
                <w:rFonts w:hint="eastAsia" w:hAnsi="宋体" w:cs="宋体"/>
                <w:sz w:val="18"/>
                <w:szCs w:val="18"/>
                <w:highlight w:val="none"/>
              </w:rPr>
              <w:t>相关工作达3年或以上年限，至少配备一名高级职称或博士技术人员。</w:t>
            </w:r>
            <w:r>
              <w:rPr>
                <w:rFonts w:hint="eastAsia" w:hAnsi="宋体" w:cs="宋体"/>
                <w:sz w:val="18"/>
                <w:szCs w:val="18"/>
                <w:highlight w:val="none"/>
                <w:lang w:val="en-US" w:eastAsia="zh-CN"/>
              </w:rPr>
              <w:t>[</w:t>
            </w:r>
            <w:r>
              <w:rPr>
                <w:rFonts w:hint="eastAsia" w:hAnsi="宋体" w:cs="宋体"/>
                <w:sz w:val="18"/>
                <w:szCs w:val="18"/>
                <w:highlight w:val="none"/>
              </w:rPr>
              <w:t>3分,7分]</w:t>
            </w:r>
          </w:p>
          <w:p w14:paraId="5D59AD3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c.人员配置未完全覆盖所需专业，团队实力一般。</w:t>
            </w:r>
            <w:r>
              <w:rPr>
                <w:rFonts w:hint="eastAsia" w:hAnsi="宋体" w:cs="宋体"/>
                <w:sz w:val="18"/>
                <w:szCs w:val="18"/>
                <w:highlight w:val="none"/>
                <w:lang w:val="en-US" w:eastAsia="zh-CN"/>
              </w:rPr>
              <w:t>[</w:t>
            </w:r>
            <w:r>
              <w:rPr>
                <w:rFonts w:hint="eastAsia" w:hAnsi="宋体" w:cs="宋体"/>
                <w:sz w:val="18"/>
                <w:szCs w:val="18"/>
                <w:highlight w:val="none"/>
              </w:rPr>
              <w:t>0分,3分]</w:t>
            </w:r>
          </w:p>
          <w:p w14:paraId="0562FB29">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d.</w:t>
            </w:r>
            <w:r>
              <w:rPr>
                <w:rFonts w:hint="eastAsia" w:ascii="宋体" w:hAnsi="宋体" w:eastAsia="宋体" w:cs="宋体"/>
                <w:sz w:val="18"/>
                <w:szCs w:val="18"/>
                <w:highlight w:val="none"/>
                <w:lang w:val="en-US" w:eastAsia="zh-CN" w:bidi="ar-SA"/>
              </w:rPr>
              <w:t>每增加一名从事</w:t>
            </w:r>
            <w:r>
              <w:rPr>
                <w:rFonts w:hint="eastAsia" w:ascii="宋体" w:hAnsi="宋体" w:cs="宋体"/>
                <w:sz w:val="18"/>
                <w:szCs w:val="18"/>
                <w:highlight w:val="none"/>
                <w:lang w:val="en-US" w:eastAsia="zh-CN" w:bidi="ar-SA"/>
              </w:rPr>
              <w:t>环境基础设施</w:t>
            </w:r>
            <w:r>
              <w:rPr>
                <w:rFonts w:hint="eastAsia" w:ascii="宋体" w:hAnsi="宋体" w:eastAsia="宋体" w:cs="宋体"/>
                <w:sz w:val="18"/>
                <w:szCs w:val="18"/>
                <w:highlight w:val="none"/>
                <w:lang w:val="en-US" w:eastAsia="zh-CN" w:bidi="ar-SA"/>
              </w:rPr>
              <w:t>领域相关技术领域的高级职称或博士技术人员，加0.5分。 每增加5%从事相关工作达3年或以上年限的团队人员，加0.5分</w:t>
            </w:r>
          </w:p>
        </w:tc>
        <w:tc>
          <w:tcPr>
            <w:tcW w:w="397" w:type="pct"/>
            <w:tcBorders>
              <w:tl2br w:val="nil"/>
              <w:tr2bl w:val="nil"/>
            </w:tcBorders>
            <w:vAlign w:val="center"/>
          </w:tcPr>
          <w:p w14:paraId="5E0D664E">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8</w:t>
            </w:r>
          </w:p>
        </w:tc>
        <w:tc>
          <w:tcPr>
            <w:tcW w:w="407" w:type="pct"/>
            <w:tcBorders>
              <w:tl2br w:val="nil"/>
              <w:tr2bl w:val="nil"/>
            </w:tcBorders>
            <w:vAlign w:val="center"/>
          </w:tcPr>
          <w:p w14:paraId="1F57F4E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23DFC2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7" w:hRule="atLeast"/>
        </w:trPr>
        <w:tc>
          <w:tcPr>
            <w:tcW w:w="309" w:type="pct"/>
            <w:vMerge w:val="continue"/>
            <w:tcBorders>
              <w:tl2br w:val="nil"/>
              <w:tr2bl w:val="nil"/>
            </w:tcBorders>
            <w:vAlign w:val="center"/>
          </w:tcPr>
          <w:p w14:paraId="5F29DA1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3CE3F08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42CF020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研发投入</w:t>
            </w:r>
          </w:p>
        </w:tc>
        <w:tc>
          <w:tcPr>
            <w:tcW w:w="1122" w:type="pct"/>
            <w:tcBorders>
              <w:tl2br w:val="nil"/>
              <w:tr2bl w:val="nil"/>
            </w:tcBorders>
            <w:vAlign w:val="center"/>
          </w:tcPr>
          <w:p w14:paraId="489A8DB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w:t>
            </w:r>
            <w:r>
              <w:rPr>
                <w:rFonts w:hint="eastAsia" w:hAnsi="宋体" w:cs="宋体"/>
                <w:sz w:val="18"/>
                <w:szCs w:val="18"/>
                <w:highlight w:val="none"/>
                <w:lang w:val="en-US" w:eastAsia="zh-CN"/>
              </w:rPr>
              <w:t>环境基础设施领域相关</w:t>
            </w:r>
            <w:r>
              <w:rPr>
                <w:rFonts w:hint="eastAsia" w:hAnsi="宋体" w:cs="宋体"/>
                <w:sz w:val="18"/>
                <w:szCs w:val="18"/>
                <w:highlight w:val="none"/>
              </w:rPr>
              <w:t>研发投入占比或研发投入金额进行综合评价，研发投入以上一个会计年度的情况为准</w:t>
            </w:r>
          </w:p>
        </w:tc>
        <w:tc>
          <w:tcPr>
            <w:tcW w:w="1911" w:type="pct"/>
            <w:tcBorders>
              <w:tl2br w:val="nil"/>
              <w:tr2bl w:val="nil"/>
            </w:tcBorders>
            <w:vAlign w:val="center"/>
          </w:tcPr>
          <w:p w14:paraId="503CF935">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a.最近一年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收入在2亿元以上的企事业单位，比例不低于3%</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或不低于600万元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51ECC03A">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b.最近一年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收入在5000万元至2亿元（含）的企事业单位，比例不低于4%</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或不低于400万元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216EE2CC">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c.最近一年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收入小于5000万元（含）的企事业单位，比例不低于5%</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或不低于250万元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7D66CBC0">
            <w:pPr>
              <w:keepNext w:val="0"/>
              <w:keepLines w:val="0"/>
              <w:suppressLineNumbers w:val="0"/>
              <w:spacing w:before="0" w:beforeAutospacing="0" w:after="0" w:afterAutospacing="0"/>
              <w:ind w:left="6" w:right="0" w:hanging="6"/>
              <w:jc w:val="left"/>
              <w:rPr>
                <w:rFonts w:hint="default" w:hAnsi="宋体" w:cs="宋体"/>
                <w:highlight w:val="none"/>
              </w:rPr>
            </w:pPr>
            <w:r>
              <w:rPr>
                <w:rFonts w:hint="eastAsia" w:ascii="宋体" w:hAnsi="宋体" w:cs="宋体"/>
                <w:kern w:val="0"/>
                <w:sz w:val="18"/>
                <w:szCs w:val="18"/>
                <w:highlight w:val="none"/>
              </w:rPr>
              <w:t>d.</w:t>
            </w:r>
            <w:r>
              <w:rPr>
                <w:rFonts w:hint="eastAsia" w:ascii="宋体" w:hAnsi="宋体" w:cs="宋体"/>
                <w:kern w:val="0"/>
                <w:sz w:val="18"/>
                <w:szCs w:val="18"/>
                <w:highlight w:val="none"/>
                <w:lang w:val="en-US" w:eastAsia="zh-CN"/>
              </w:rPr>
              <w:t>未满足</w:t>
            </w:r>
            <w:r>
              <w:rPr>
                <w:rFonts w:hint="eastAsia" w:ascii="宋体" w:hAnsi="宋体" w:cs="宋体"/>
                <w:kern w:val="0"/>
                <w:sz w:val="18"/>
                <w:szCs w:val="18"/>
                <w:highlight w:val="none"/>
              </w:rPr>
              <w:t>上述</w:t>
            </w:r>
            <w:r>
              <w:rPr>
                <w:rFonts w:hint="eastAsia" w:ascii="宋体" w:hAnsi="宋体" w:cs="宋体"/>
                <w:kern w:val="0"/>
                <w:sz w:val="18"/>
                <w:szCs w:val="18"/>
                <w:highlight w:val="none"/>
                <w:lang w:val="en-US" w:eastAsia="zh-CN"/>
              </w:rPr>
              <w:t>任何一项</w:t>
            </w:r>
            <w:r>
              <w:rPr>
                <w:rFonts w:hint="eastAsia" w:ascii="宋体" w:hAnsi="宋体" w:cs="宋体"/>
                <w:kern w:val="0"/>
                <w:sz w:val="18"/>
                <w:szCs w:val="18"/>
                <w:highlight w:val="none"/>
              </w:rPr>
              <w:t>。(0分</w:t>
            </w:r>
            <w:r>
              <w:rPr>
                <w:rFonts w:hint="eastAsia" w:ascii="宋体" w:hAnsi="宋体" w:cs="宋体"/>
                <w:kern w:val="0"/>
                <w:sz w:val="18"/>
                <w:szCs w:val="18"/>
                <w:highlight w:val="none"/>
                <w:lang w:eastAsia="zh-CN"/>
              </w:rPr>
              <w:t>）</w:t>
            </w:r>
          </w:p>
        </w:tc>
        <w:tc>
          <w:tcPr>
            <w:tcW w:w="397" w:type="pct"/>
            <w:tcBorders>
              <w:tl2br w:val="nil"/>
              <w:tr2bl w:val="nil"/>
            </w:tcBorders>
            <w:vAlign w:val="center"/>
          </w:tcPr>
          <w:p w14:paraId="2156E8DE">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6</w:t>
            </w:r>
          </w:p>
        </w:tc>
        <w:tc>
          <w:tcPr>
            <w:tcW w:w="407" w:type="pct"/>
            <w:tcBorders>
              <w:tl2br w:val="nil"/>
              <w:tr2bl w:val="nil"/>
            </w:tcBorders>
            <w:vAlign w:val="center"/>
          </w:tcPr>
          <w:p w14:paraId="0056308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1428D446">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618"/>
        <w:gridCol w:w="1012"/>
        <w:gridCol w:w="2618"/>
        <w:gridCol w:w="3161"/>
        <w:gridCol w:w="760"/>
        <w:gridCol w:w="809"/>
      </w:tblGrid>
      <w:tr w14:paraId="649077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4" w:type="pct"/>
            <w:tcBorders>
              <w:bottom w:val="single" w:color="auto" w:sz="12" w:space="0"/>
            </w:tcBorders>
            <w:vAlign w:val="center"/>
          </w:tcPr>
          <w:p w14:paraId="4C29F1A8">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3" w:type="pct"/>
            <w:tcBorders>
              <w:bottom w:val="single" w:color="auto" w:sz="12" w:space="0"/>
            </w:tcBorders>
            <w:vAlign w:val="center"/>
          </w:tcPr>
          <w:p w14:paraId="6515FFC9">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29" w:type="pct"/>
            <w:tcBorders>
              <w:bottom w:val="single" w:color="auto" w:sz="12" w:space="0"/>
            </w:tcBorders>
            <w:vAlign w:val="center"/>
          </w:tcPr>
          <w:p w14:paraId="616E0DDB">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368" w:type="pct"/>
            <w:tcBorders>
              <w:bottom w:val="single" w:color="auto" w:sz="12" w:space="0"/>
            </w:tcBorders>
            <w:vAlign w:val="center"/>
          </w:tcPr>
          <w:p w14:paraId="5E5DF6DE">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652" w:type="pct"/>
            <w:tcBorders>
              <w:bottom w:val="single" w:color="auto" w:sz="12" w:space="0"/>
            </w:tcBorders>
            <w:vAlign w:val="center"/>
          </w:tcPr>
          <w:p w14:paraId="498803B1">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397" w:type="pct"/>
            <w:tcBorders>
              <w:bottom w:val="single" w:color="auto" w:sz="12" w:space="0"/>
            </w:tcBorders>
            <w:vAlign w:val="center"/>
          </w:tcPr>
          <w:p w14:paraId="30396D9E">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423" w:type="pct"/>
            <w:tcBorders>
              <w:bottom w:val="single" w:color="auto" w:sz="12" w:space="0"/>
            </w:tcBorders>
            <w:vAlign w:val="center"/>
          </w:tcPr>
          <w:p w14:paraId="735F1CAB">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2AD863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304" w:type="pct"/>
            <w:vMerge w:val="restart"/>
            <w:tcBorders>
              <w:top w:val="single" w:color="auto" w:sz="12" w:space="0"/>
              <w:tl2br w:val="nil"/>
              <w:tr2bl w:val="nil"/>
            </w:tcBorders>
            <w:vAlign w:val="center"/>
          </w:tcPr>
          <w:p w14:paraId="7A109BE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业务表现</w:t>
            </w:r>
          </w:p>
        </w:tc>
        <w:tc>
          <w:tcPr>
            <w:tcW w:w="323" w:type="pct"/>
            <w:vMerge w:val="restart"/>
            <w:tcBorders>
              <w:top w:val="single" w:color="auto" w:sz="12" w:space="0"/>
              <w:tl2br w:val="nil"/>
              <w:tr2bl w:val="nil"/>
            </w:tcBorders>
            <w:vAlign w:val="center"/>
          </w:tcPr>
          <w:p w14:paraId="2EE92AD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发展能力</w:t>
            </w:r>
          </w:p>
        </w:tc>
        <w:tc>
          <w:tcPr>
            <w:tcW w:w="529" w:type="pct"/>
            <w:vMerge w:val="restart"/>
            <w:tcBorders>
              <w:top w:val="single" w:color="auto" w:sz="12" w:space="0"/>
              <w:tl2br w:val="nil"/>
              <w:tr2bl w:val="nil"/>
            </w:tcBorders>
            <w:vAlign w:val="center"/>
          </w:tcPr>
          <w:p w14:paraId="70E9C70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val="en-US" w:eastAsia="zh-CN"/>
              </w:rPr>
              <w:t>运营效益水平</w:t>
            </w:r>
          </w:p>
        </w:tc>
        <w:tc>
          <w:tcPr>
            <w:tcW w:w="1368" w:type="pct"/>
            <w:tcBorders>
              <w:top w:val="single" w:color="auto" w:sz="12" w:space="0"/>
              <w:tl2br w:val="nil"/>
              <w:tr2bl w:val="nil"/>
            </w:tcBorders>
            <w:vAlign w:val="center"/>
          </w:tcPr>
          <w:p w14:paraId="22B2BA5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业务增长为当年主营业务收入增长额与上年主营业务收入总额比值，采用近三年平均值进行评估</w:t>
            </w:r>
          </w:p>
        </w:tc>
        <w:tc>
          <w:tcPr>
            <w:tcW w:w="1652" w:type="pct"/>
            <w:tcBorders>
              <w:top w:val="single" w:color="auto" w:sz="12" w:space="0"/>
              <w:tl2br w:val="nil"/>
              <w:tr2bl w:val="nil"/>
            </w:tcBorders>
            <w:vAlign w:val="center"/>
          </w:tcPr>
          <w:p w14:paraId="6431BF2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6</w:t>
            </w:r>
            <w:r>
              <w:rPr>
                <w:rFonts w:hint="eastAsia" w:hAnsi="宋体" w:cs="宋体"/>
                <w:sz w:val="18"/>
                <w:szCs w:val="18"/>
                <w:highlight w:val="none"/>
              </w:rPr>
              <w:t>%（2分）</w:t>
            </w:r>
          </w:p>
          <w:p w14:paraId="4005EEC5">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w:t>
            </w:r>
            <w:r>
              <w:rPr>
                <w:rFonts w:hint="eastAsia" w:hAnsi="宋体" w:cs="宋体"/>
                <w:sz w:val="18"/>
                <w:szCs w:val="18"/>
                <w:highlight w:val="none"/>
                <w:lang w:val="en-US" w:eastAsia="zh-CN"/>
              </w:rPr>
              <w:t>6</w:t>
            </w:r>
            <w:r>
              <w:rPr>
                <w:rFonts w:hint="eastAsia" w:hAnsi="宋体" w:cs="宋体"/>
                <w:sz w:val="18"/>
                <w:szCs w:val="18"/>
                <w:highlight w:val="none"/>
              </w:rPr>
              <w:t>%)（1分）</w:t>
            </w:r>
          </w:p>
          <w:p w14:paraId="4375726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w:t>
            </w:r>
            <w:r>
              <w:rPr>
                <w:rFonts w:hint="eastAsia" w:hAnsi="宋体" w:cs="宋体"/>
                <w:sz w:val="18"/>
                <w:szCs w:val="18"/>
                <w:highlight w:val="none"/>
              </w:rPr>
              <w:t>0（0分）</w:t>
            </w:r>
          </w:p>
        </w:tc>
        <w:tc>
          <w:tcPr>
            <w:tcW w:w="397" w:type="pct"/>
            <w:tcBorders>
              <w:top w:val="single" w:color="auto" w:sz="12" w:space="0"/>
              <w:tl2br w:val="nil"/>
              <w:tr2bl w:val="nil"/>
            </w:tcBorders>
            <w:vAlign w:val="center"/>
          </w:tcPr>
          <w:p w14:paraId="517D88DD">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2</w:t>
            </w:r>
          </w:p>
        </w:tc>
        <w:tc>
          <w:tcPr>
            <w:tcW w:w="423" w:type="pct"/>
            <w:tcBorders>
              <w:top w:val="single" w:color="auto" w:sz="12" w:space="0"/>
              <w:tl2br w:val="nil"/>
              <w:tr2bl w:val="nil"/>
            </w:tcBorders>
            <w:vAlign w:val="center"/>
          </w:tcPr>
          <w:p w14:paraId="1B04ED2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4B17EF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76" w:hRule="atLeast"/>
        </w:trPr>
        <w:tc>
          <w:tcPr>
            <w:tcW w:w="304" w:type="pct"/>
            <w:vMerge w:val="continue"/>
            <w:tcBorders>
              <w:tl2br w:val="nil"/>
              <w:tr2bl w:val="nil"/>
            </w:tcBorders>
            <w:vAlign w:val="center"/>
          </w:tcPr>
          <w:p w14:paraId="1579F24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6B589A5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vMerge w:val="continue"/>
            <w:tcBorders>
              <w:tl2br w:val="nil"/>
              <w:tr2bl w:val="nil"/>
            </w:tcBorders>
            <w:vAlign w:val="center"/>
          </w:tcPr>
          <w:p w14:paraId="77D29A6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1368" w:type="pct"/>
            <w:tcBorders>
              <w:tl2br w:val="nil"/>
              <w:tr2bl w:val="nil"/>
            </w:tcBorders>
            <w:vAlign w:val="center"/>
          </w:tcPr>
          <w:p w14:paraId="7EE607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净利润率为当年经营所得的净利润占营业收入总额的百分比，或占投入资本额的百分比，采用近三年平均值进行评估</w:t>
            </w:r>
          </w:p>
        </w:tc>
        <w:tc>
          <w:tcPr>
            <w:tcW w:w="1652" w:type="pct"/>
            <w:tcBorders>
              <w:tl2br w:val="nil"/>
              <w:tr2bl w:val="nil"/>
            </w:tcBorders>
            <w:vAlign w:val="center"/>
          </w:tcPr>
          <w:p w14:paraId="43275AC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a.≥6%（2分）</w:t>
            </w:r>
          </w:p>
          <w:p w14:paraId="5463F57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b.（0,6%)（1分）</w:t>
            </w:r>
          </w:p>
          <w:p w14:paraId="7BA22A8C">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c.≤0（0分）</w:t>
            </w:r>
          </w:p>
        </w:tc>
        <w:tc>
          <w:tcPr>
            <w:tcW w:w="397" w:type="pct"/>
            <w:tcBorders>
              <w:tl2br w:val="nil"/>
              <w:tr2bl w:val="nil"/>
            </w:tcBorders>
            <w:vAlign w:val="center"/>
          </w:tcPr>
          <w:p w14:paraId="4860AD19">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2</w:t>
            </w:r>
          </w:p>
        </w:tc>
        <w:tc>
          <w:tcPr>
            <w:tcW w:w="423" w:type="pct"/>
            <w:tcBorders>
              <w:tl2br w:val="nil"/>
              <w:tr2bl w:val="nil"/>
            </w:tcBorders>
            <w:vAlign w:val="center"/>
          </w:tcPr>
          <w:p w14:paraId="0871546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2B2351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304" w:type="pct"/>
            <w:vMerge w:val="continue"/>
            <w:tcBorders>
              <w:tl2br w:val="nil"/>
              <w:tr2bl w:val="nil"/>
            </w:tcBorders>
            <w:vAlign w:val="center"/>
          </w:tcPr>
          <w:p w14:paraId="462F459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restart"/>
            <w:tcBorders>
              <w:tl2br w:val="nil"/>
              <w:tr2bl w:val="nil"/>
            </w:tcBorders>
            <w:vAlign w:val="center"/>
          </w:tcPr>
          <w:p w14:paraId="43F631C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市场影响</w:t>
            </w:r>
          </w:p>
        </w:tc>
        <w:tc>
          <w:tcPr>
            <w:tcW w:w="529" w:type="pct"/>
            <w:vMerge w:val="restart"/>
            <w:tcBorders>
              <w:tl2br w:val="nil"/>
              <w:tr2bl w:val="nil"/>
            </w:tcBorders>
            <w:vAlign w:val="center"/>
          </w:tcPr>
          <w:p w14:paraId="068EF42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市场竞争力</w:t>
            </w:r>
          </w:p>
        </w:tc>
        <w:tc>
          <w:tcPr>
            <w:tcW w:w="1368" w:type="pct"/>
            <w:tcBorders>
              <w:tl2br w:val="nil"/>
              <w:tr2bl w:val="nil"/>
            </w:tcBorders>
            <w:vAlign w:val="center"/>
          </w:tcPr>
          <w:p w14:paraId="3C3BC59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w:t>
            </w:r>
            <w:r>
              <w:rPr>
                <w:rFonts w:hint="eastAsia" w:hAnsi="宋体" w:cs="宋体"/>
                <w:sz w:val="18"/>
                <w:szCs w:val="18"/>
                <w:highlight w:val="none"/>
                <w:lang w:val="en-US" w:eastAsia="zh-CN"/>
              </w:rPr>
              <w:t>环境基础设施领域</w:t>
            </w:r>
            <w:r>
              <w:rPr>
                <w:rFonts w:hint="eastAsia" w:hAnsi="宋体" w:cs="宋体"/>
                <w:sz w:val="18"/>
                <w:szCs w:val="18"/>
                <w:highlight w:val="none"/>
              </w:rPr>
              <w:t>的市场占有率进行评价</w:t>
            </w:r>
          </w:p>
        </w:tc>
        <w:tc>
          <w:tcPr>
            <w:tcW w:w="1652" w:type="pct"/>
            <w:tcBorders>
              <w:tl2br w:val="nil"/>
              <w:tr2bl w:val="nil"/>
            </w:tcBorders>
            <w:vAlign w:val="center"/>
          </w:tcPr>
          <w:p w14:paraId="30C76D09">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行</w:t>
            </w:r>
            <w:r>
              <w:rPr>
                <w:rFonts w:hint="eastAsia" w:hAnsi="宋体" w:cs="宋体"/>
                <w:sz w:val="18"/>
                <w:szCs w:val="18"/>
                <w:highlight w:val="none"/>
              </w:rPr>
              <w:t>业内市场占有率处于较高水平。（3分，5分]</w:t>
            </w:r>
          </w:p>
          <w:p w14:paraId="0AEFACC2">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行</w:t>
            </w:r>
            <w:r>
              <w:rPr>
                <w:rFonts w:hint="eastAsia" w:hAnsi="宋体" w:cs="宋体"/>
                <w:sz w:val="18"/>
                <w:szCs w:val="18"/>
                <w:highlight w:val="none"/>
              </w:rPr>
              <w:t>业内市场占有率处于中等水平。（1分，3分]</w:t>
            </w:r>
          </w:p>
          <w:p w14:paraId="32B0F578">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c.</w:t>
            </w:r>
            <w:r>
              <w:rPr>
                <w:rFonts w:hint="eastAsia" w:hAnsi="宋体" w:cs="宋体"/>
                <w:sz w:val="18"/>
                <w:szCs w:val="18"/>
                <w:highlight w:val="none"/>
                <w:lang w:val="en-US" w:eastAsia="zh-CN"/>
              </w:rPr>
              <w:t>行</w:t>
            </w:r>
            <w:r>
              <w:rPr>
                <w:rFonts w:hint="eastAsia" w:hAnsi="宋体" w:cs="宋体"/>
                <w:sz w:val="18"/>
                <w:szCs w:val="18"/>
                <w:highlight w:val="none"/>
              </w:rPr>
              <w:t>业内市场占有率处于一般水平。[0分，1分]</w:t>
            </w:r>
          </w:p>
        </w:tc>
        <w:tc>
          <w:tcPr>
            <w:tcW w:w="397" w:type="pct"/>
            <w:tcBorders>
              <w:tl2br w:val="nil"/>
              <w:tr2bl w:val="nil"/>
            </w:tcBorders>
            <w:vAlign w:val="center"/>
          </w:tcPr>
          <w:p w14:paraId="0E21ACE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5</w:t>
            </w:r>
          </w:p>
        </w:tc>
        <w:tc>
          <w:tcPr>
            <w:tcW w:w="423" w:type="pct"/>
            <w:tcBorders>
              <w:tl2br w:val="nil"/>
              <w:tr2bl w:val="nil"/>
            </w:tcBorders>
            <w:vAlign w:val="center"/>
          </w:tcPr>
          <w:p w14:paraId="6143894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7910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04" w:type="pct"/>
            <w:vMerge w:val="continue"/>
            <w:tcBorders>
              <w:tl2br w:val="nil"/>
              <w:tr2bl w:val="nil"/>
            </w:tcBorders>
            <w:vAlign w:val="center"/>
          </w:tcPr>
          <w:p w14:paraId="33F2481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61B0CF91">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529" w:type="pct"/>
            <w:vMerge w:val="continue"/>
            <w:tcBorders>
              <w:tl2br w:val="nil"/>
              <w:tr2bl w:val="nil"/>
            </w:tcBorders>
            <w:vAlign w:val="center"/>
          </w:tcPr>
          <w:p w14:paraId="072C3552">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368" w:type="pct"/>
            <w:tcBorders>
              <w:tl2br w:val="nil"/>
              <w:tr2bl w:val="nil"/>
            </w:tcBorders>
            <w:vAlign w:val="center"/>
          </w:tcPr>
          <w:p w14:paraId="37AB0788">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从稳定提供</w:t>
            </w:r>
            <w:r>
              <w:rPr>
                <w:rFonts w:hint="eastAsia" w:hAnsi="宋体" w:cs="宋体"/>
                <w:sz w:val="18"/>
                <w:szCs w:val="18"/>
                <w:highlight w:val="none"/>
                <w:lang w:val="en-US" w:eastAsia="zh-CN"/>
              </w:rPr>
              <w:t>环境基础设施领域</w:t>
            </w:r>
            <w:r>
              <w:rPr>
                <w:rFonts w:hint="eastAsia" w:hAnsi="宋体" w:cs="宋体"/>
                <w:sz w:val="18"/>
                <w:szCs w:val="18"/>
                <w:highlight w:val="none"/>
              </w:rPr>
              <w:t>相关产品或服务的年限进行评价</w:t>
            </w:r>
          </w:p>
        </w:tc>
        <w:tc>
          <w:tcPr>
            <w:tcW w:w="1652" w:type="pct"/>
            <w:tcBorders>
              <w:tl2br w:val="nil"/>
              <w:tr2bl w:val="nil"/>
            </w:tcBorders>
            <w:vAlign w:val="center"/>
          </w:tcPr>
          <w:p w14:paraId="65A6673B">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a.＞10（3分）</w:t>
            </w:r>
          </w:p>
          <w:p w14:paraId="107618D3">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b.（5，10]（2分）</w:t>
            </w:r>
          </w:p>
          <w:p w14:paraId="4B84B051">
            <w:pPr>
              <w:keepNext w:val="0"/>
              <w:keepLines w:val="0"/>
              <w:suppressLineNumbers w:val="0"/>
              <w:autoSpaceDE w:val="0"/>
              <w:autoSpaceDN w:val="0"/>
              <w:spacing w:before="0" w:beforeAutospacing="0" w:after="0" w:afterAutospacing="0"/>
              <w:ind w:left="0" w:right="0"/>
              <w:jc w:val="left"/>
              <w:rPr>
                <w:rFonts w:hint="eastAsia" w:ascii="宋体" w:hAnsi="Times New Roman" w:eastAsia="宋体" w:cs="Times New Roman"/>
                <w:sz w:val="18"/>
                <w:szCs w:val="18"/>
                <w:highlight w:val="none"/>
                <w:lang w:val="en-US" w:eastAsia="zh-CN" w:bidi="ar-SA"/>
              </w:rPr>
            </w:pPr>
            <w:r>
              <w:rPr>
                <w:rFonts w:hint="eastAsia" w:ascii="宋体" w:hAnsi="宋体" w:cs="宋体"/>
                <w:sz w:val="18"/>
                <w:szCs w:val="18"/>
                <w:highlight w:val="none"/>
              </w:rPr>
              <w:t>c.（2，5]（1分）</w:t>
            </w:r>
          </w:p>
        </w:tc>
        <w:tc>
          <w:tcPr>
            <w:tcW w:w="397" w:type="pct"/>
            <w:tcBorders>
              <w:tl2br w:val="nil"/>
              <w:tr2bl w:val="nil"/>
            </w:tcBorders>
            <w:vAlign w:val="center"/>
          </w:tcPr>
          <w:p w14:paraId="3943D67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3</w:t>
            </w:r>
          </w:p>
        </w:tc>
        <w:tc>
          <w:tcPr>
            <w:tcW w:w="423" w:type="pct"/>
            <w:tcBorders>
              <w:tl2br w:val="nil"/>
              <w:tr2bl w:val="nil"/>
            </w:tcBorders>
            <w:vAlign w:val="center"/>
          </w:tcPr>
          <w:p w14:paraId="1409EFA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33D3D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1" w:hRule="atLeast"/>
        </w:trPr>
        <w:tc>
          <w:tcPr>
            <w:tcW w:w="304" w:type="pct"/>
            <w:vMerge w:val="continue"/>
            <w:tcBorders>
              <w:tl2br w:val="nil"/>
              <w:tr2bl w:val="nil"/>
            </w:tcBorders>
            <w:vAlign w:val="center"/>
          </w:tcPr>
          <w:p w14:paraId="0CF81C6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7D376A8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2FCF326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产业影响力</w:t>
            </w:r>
          </w:p>
        </w:tc>
        <w:tc>
          <w:tcPr>
            <w:tcW w:w="1368" w:type="pct"/>
            <w:tcBorders>
              <w:tl2br w:val="nil"/>
              <w:tr2bl w:val="nil"/>
            </w:tcBorders>
            <w:vAlign w:val="center"/>
          </w:tcPr>
          <w:p w14:paraId="036C8C2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val="en-US" w:eastAsia="zh-CN"/>
              </w:rPr>
              <w:t>环境基础设施领域</w:t>
            </w:r>
            <w:r>
              <w:rPr>
                <w:rFonts w:hint="eastAsia" w:hAnsi="宋体" w:cs="宋体"/>
                <w:sz w:val="18"/>
                <w:szCs w:val="18"/>
                <w:highlight w:val="none"/>
              </w:rPr>
              <w:t>的相关产品或服务，引领绿色低碳产业技术创新或市场发展的影响能力，如在产业链关键环节及领域取得“补短板”“锻长链”“填空白”的实际技术突破，或有助于新产业、新业态、新商业模式的培育壮大等</w:t>
            </w:r>
          </w:p>
        </w:tc>
        <w:tc>
          <w:tcPr>
            <w:tcW w:w="1652" w:type="pct"/>
            <w:tcBorders>
              <w:tl2br w:val="nil"/>
              <w:tr2bl w:val="nil"/>
            </w:tcBorders>
            <w:vAlign w:val="center"/>
          </w:tcPr>
          <w:p w14:paraId="0443354E">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a.具有显著的引领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或市场发展的影响能力。（5分，7分]</w:t>
            </w:r>
          </w:p>
          <w:p w14:paraId="388E76C5">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b.具有较强的引领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或市场发展的影响能力。（3分，5分]</w:t>
            </w:r>
          </w:p>
          <w:p w14:paraId="18D7875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c.具有一定的引领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或市场发展的影响能力。（0分，3分]</w:t>
            </w:r>
          </w:p>
          <w:p w14:paraId="0DDBA43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d.未产生明显产业影响力。（0分）</w:t>
            </w:r>
          </w:p>
        </w:tc>
        <w:tc>
          <w:tcPr>
            <w:tcW w:w="397" w:type="pct"/>
            <w:tcBorders>
              <w:tl2br w:val="nil"/>
              <w:tr2bl w:val="nil"/>
            </w:tcBorders>
            <w:vAlign w:val="center"/>
          </w:tcPr>
          <w:p w14:paraId="47C09617">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7</w:t>
            </w:r>
          </w:p>
        </w:tc>
        <w:tc>
          <w:tcPr>
            <w:tcW w:w="423" w:type="pct"/>
            <w:tcBorders>
              <w:tl2br w:val="nil"/>
              <w:tr2bl w:val="nil"/>
            </w:tcBorders>
            <w:vAlign w:val="center"/>
          </w:tcPr>
          <w:p w14:paraId="0B669FCA">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A6714D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0" w:hRule="atLeast"/>
        </w:trPr>
        <w:tc>
          <w:tcPr>
            <w:tcW w:w="304" w:type="pct"/>
            <w:vMerge w:val="continue"/>
            <w:tcBorders>
              <w:tl2br w:val="nil"/>
              <w:tr2bl w:val="nil"/>
            </w:tcBorders>
            <w:vAlign w:val="center"/>
          </w:tcPr>
          <w:p w14:paraId="77C2A8B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342D81C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526FF24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行业资质荣誉</w:t>
            </w:r>
          </w:p>
        </w:tc>
        <w:tc>
          <w:tcPr>
            <w:tcW w:w="1368" w:type="pct"/>
            <w:tcBorders>
              <w:tl2br w:val="nil"/>
              <w:tr2bl w:val="nil"/>
            </w:tcBorders>
            <w:vAlign w:val="center"/>
          </w:tcPr>
          <w:p w14:paraId="21F16C8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在</w:t>
            </w:r>
            <w:r>
              <w:rPr>
                <w:rFonts w:hint="eastAsia" w:hAnsi="宋体" w:cs="宋体"/>
                <w:sz w:val="18"/>
                <w:szCs w:val="18"/>
                <w:highlight w:val="none"/>
                <w:lang w:val="en-US" w:eastAsia="zh-CN"/>
              </w:rPr>
              <w:t>环境基础设施领域</w:t>
            </w:r>
            <w:r>
              <w:rPr>
                <w:rFonts w:hint="eastAsia" w:hAnsi="宋体" w:cs="宋体"/>
                <w:sz w:val="18"/>
                <w:szCs w:val="18"/>
                <w:highlight w:val="none"/>
              </w:rPr>
              <w:t>获得的国家级、省部级、市级或区级奖项、资质、荣誉、认定及证书的情况，国家级行业协会颁发的相关资质、荣誉、认定或证书视为省部级</w:t>
            </w:r>
          </w:p>
        </w:tc>
        <w:tc>
          <w:tcPr>
            <w:tcW w:w="1652" w:type="pct"/>
            <w:tcBorders>
              <w:tl2br w:val="nil"/>
              <w:tr2bl w:val="nil"/>
            </w:tcBorders>
            <w:vAlign w:val="center"/>
          </w:tcPr>
          <w:p w14:paraId="5D1C2F5F">
            <w:pPr>
              <w:keepNext w:val="0"/>
              <w:keepLines w:val="0"/>
              <w:suppressLineNumbers w:val="0"/>
              <w:autoSpaceDE w:val="0"/>
              <w:autoSpaceDN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a.获得1项国家级奖项、资质、荣誉、认定或证书。（</w:t>
            </w:r>
            <w:r>
              <w:rPr>
                <w:rFonts w:hint="eastAsia" w:ascii="宋体" w:hAnsi="宋体" w:cs="宋体"/>
                <w:sz w:val="18"/>
                <w:szCs w:val="18"/>
                <w:highlight w:val="none"/>
                <w:lang w:val="en-US" w:eastAsia="zh-CN" w:bidi="ar-SA"/>
              </w:rPr>
              <w:t>5</w:t>
            </w:r>
            <w:r>
              <w:rPr>
                <w:rFonts w:hint="eastAsia" w:ascii="宋体" w:hAnsi="宋体" w:eastAsia="宋体" w:cs="宋体"/>
                <w:sz w:val="18"/>
                <w:szCs w:val="18"/>
                <w:highlight w:val="none"/>
                <w:lang w:val="en-US" w:eastAsia="zh-CN" w:bidi="ar-SA"/>
              </w:rPr>
              <w:t>分）</w:t>
            </w:r>
          </w:p>
          <w:p w14:paraId="14007E4D">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b.获得1项省部级奖项、资质、荣誉、认定或证书。（</w:t>
            </w:r>
            <w:r>
              <w:rPr>
                <w:rFonts w:hint="eastAsia" w:ascii="宋体" w:hAnsi="宋体" w:cs="宋体"/>
                <w:sz w:val="18"/>
                <w:szCs w:val="18"/>
                <w:highlight w:val="none"/>
                <w:lang w:val="en-US" w:eastAsia="zh-CN" w:bidi="ar-SA"/>
              </w:rPr>
              <w:t>4</w:t>
            </w:r>
            <w:r>
              <w:rPr>
                <w:rFonts w:hint="eastAsia" w:ascii="宋体" w:hAnsi="宋体" w:eastAsia="宋体" w:cs="宋体"/>
                <w:sz w:val="18"/>
                <w:szCs w:val="18"/>
                <w:highlight w:val="none"/>
                <w:lang w:val="en-US" w:eastAsia="zh-CN" w:bidi="ar-SA"/>
              </w:rPr>
              <w:t>分）</w:t>
            </w:r>
          </w:p>
          <w:p w14:paraId="4706323B">
            <w:pPr>
              <w:keepNext w:val="0"/>
              <w:keepLines w:val="0"/>
              <w:suppressLineNumbers w:val="0"/>
              <w:autoSpaceDE w:val="0"/>
              <w:autoSpaceDN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c.获得1项市级奖项、资质、荣誉、认定或证书。（</w:t>
            </w:r>
            <w:r>
              <w:rPr>
                <w:rFonts w:hint="eastAsia" w:ascii="宋体" w:hAnsi="宋体" w:cs="宋体"/>
                <w:sz w:val="18"/>
                <w:szCs w:val="18"/>
                <w:highlight w:val="none"/>
                <w:lang w:val="en-US" w:eastAsia="zh-CN" w:bidi="ar-SA"/>
              </w:rPr>
              <w:t>3</w:t>
            </w:r>
            <w:r>
              <w:rPr>
                <w:rFonts w:hint="eastAsia" w:ascii="宋体" w:hAnsi="宋体" w:eastAsia="宋体" w:cs="宋体"/>
                <w:sz w:val="18"/>
                <w:szCs w:val="18"/>
                <w:highlight w:val="none"/>
                <w:lang w:val="en-US" w:eastAsia="zh-CN" w:bidi="ar-SA"/>
              </w:rPr>
              <w:t>分）</w:t>
            </w:r>
          </w:p>
          <w:p w14:paraId="0F4D2CB3">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d.获得1项</w:t>
            </w:r>
            <w:r>
              <w:rPr>
                <w:rFonts w:hint="eastAsia" w:ascii="宋体" w:hAnsi="宋体" w:cs="宋体"/>
                <w:sz w:val="18"/>
                <w:szCs w:val="18"/>
                <w:highlight w:val="none"/>
                <w:lang w:val="en-US" w:eastAsia="zh-CN"/>
              </w:rPr>
              <w:t>区</w:t>
            </w:r>
            <w:r>
              <w:rPr>
                <w:rFonts w:hint="eastAsia" w:ascii="宋体" w:hAnsi="宋体" w:eastAsia="宋体" w:cs="宋体"/>
                <w:sz w:val="18"/>
                <w:szCs w:val="18"/>
                <w:highlight w:val="none"/>
              </w:rPr>
              <w:t>级奖项、资质、荣誉、认定或证书。（</w:t>
            </w:r>
            <w:r>
              <w:rPr>
                <w:rFonts w:hint="eastAsia" w:ascii="宋体" w:hAnsi="宋体" w:cs="宋体"/>
                <w:sz w:val="18"/>
                <w:szCs w:val="18"/>
                <w:highlight w:val="none"/>
                <w:lang w:val="en-US" w:eastAsia="zh-CN"/>
              </w:rPr>
              <w:t>2</w:t>
            </w:r>
            <w:r>
              <w:rPr>
                <w:rFonts w:hint="eastAsia" w:ascii="宋体" w:hAnsi="宋体" w:eastAsia="宋体" w:cs="宋体"/>
                <w:sz w:val="18"/>
                <w:szCs w:val="18"/>
                <w:highlight w:val="none"/>
              </w:rPr>
              <w:t>分）</w:t>
            </w:r>
          </w:p>
          <w:p w14:paraId="47D5E9FB">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rPr>
              <w:t>e.</w:t>
            </w:r>
            <w:r>
              <w:rPr>
                <w:rFonts w:hint="eastAsia" w:ascii="宋体" w:hAnsi="宋体" w:eastAsia="宋体" w:cs="宋体"/>
                <w:sz w:val="18"/>
                <w:szCs w:val="18"/>
                <w:highlight w:val="none"/>
              </w:rPr>
              <w:t>在满足上述基础上，每多一项省部级、市级、区级资质荣誉，分别加1分、0.5分、0.3分</w:t>
            </w:r>
          </w:p>
        </w:tc>
        <w:tc>
          <w:tcPr>
            <w:tcW w:w="397" w:type="pct"/>
            <w:tcBorders>
              <w:tl2br w:val="nil"/>
              <w:tr2bl w:val="nil"/>
            </w:tcBorders>
            <w:vAlign w:val="center"/>
          </w:tcPr>
          <w:p w14:paraId="0ED20310">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5</w:t>
            </w:r>
          </w:p>
        </w:tc>
        <w:tc>
          <w:tcPr>
            <w:tcW w:w="423" w:type="pct"/>
            <w:tcBorders>
              <w:tl2br w:val="nil"/>
              <w:tr2bl w:val="nil"/>
            </w:tcBorders>
            <w:vAlign w:val="center"/>
          </w:tcPr>
          <w:p w14:paraId="4B5D648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016FDD4D">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29"/>
        <w:gridCol w:w="968"/>
        <w:gridCol w:w="2346"/>
        <w:gridCol w:w="3369"/>
        <w:gridCol w:w="790"/>
        <w:gridCol w:w="759"/>
      </w:tblGrid>
      <w:tr w14:paraId="1350F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5" w:type="pct"/>
            <w:tcBorders>
              <w:bottom w:val="single" w:color="auto" w:sz="12" w:space="0"/>
            </w:tcBorders>
            <w:vAlign w:val="center"/>
          </w:tcPr>
          <w:p w14:paraId="487B551B">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9" w:type="pct"/>
            <w:tcBorders>
              <w:bottom w:val="single" w:color="auto" w:sz="12" w:space="0"/>
            </w:tcBorders>
            <w:vAlign w:val="center"/>
          </w:tcPr>
          <w:p w14:paraId="72FD0042">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06" w:type="pct"/>
            <w:tcBorders>
              <w:bottom w:val="single" w:color="auto" w:sz="12" w:space="0"/>
            </w:tcBorders>
            <w:vAlign w:val="center"/>
          </w:tcPr>
          <w:p w14:paraId="777FD069">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227" w:type="pct"/>
            <w:tcBorders>
              <w:bottom w:val="single" w:color="auto" w:sz="12" w:space="0"/>
            </w:tcBorders>
            <w:vAlign w:val="center"/>
          </w:tcPr>
          <w:p w14:paraId="36CFC86E">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762" w:type="pct"/>
            <w:tcBorders>
              <w:bottom w:val="single" w:color="auto" w:sz="12" w:space="0"/>
            </w:tcBorders>
            <w:vAlign w:val="center"/>
          </w:tcPr>
          <w:p w14:paraId="1FFF7DD8">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413" w:type="pct"/>
            <w:tcBorders>
              <w:bottom w:val="single" w:color="auto" w:sz="12" w:space="0"/>
            </w:tcBorders>
            <w:vAlign w:val="center"/>
          </w:tcPr>
          <w:p w14:paraId="1EB9BFA6">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397" w:type="pct"/>
            <w:tcBorders>
              <w:bottom w:val="single" w:color="auto" w:sz="12" w:space="0"/>
            </w:tcBorders>
            <w:vAlign w:val="center"/>
          </w:tcPr>
          <w:p w14:paraId="5192EB24">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7ADA10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0" w:hRule="atLeast"/>
        </w:trPr>
        <w:tc>
          <w:tcPr>
            <w:tcW w:w="365" w:type="pct"/>
            <w:vMerge w:val="restart"/>
            <w:tcBorders>
              <w:top w:val="single" w:color="auto" w:sz="12" w:space="0"/>
              <w:tl2br w:val="nil"/>
              <w:tr2bl w:val="nil"/>
            </w:tcBorders>
            <w:vAlign w:val="center"/>
          </w:tcPr>
          <w:p w14:paraId="79C8787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环境表现</w:t>
            </w:r>
          </w:p>
        </w:tc>
        <w:tc>
          <w:tcPr>
            <w:tcW w:w="835" w:type="pct"/>
            <w:gridSpan w:val="2"/>
            <w:tcBorders>
              <w:top w:val="single" w:color="auto" w:sz="12" w:space="0"/>
              <w:tl2br w:val="nil"/>
              <w:tr2bl w:val="nil"/>
            </w:tcBorders>
            <w:vAlign w:val="center"/>
          </w:tcPr>
          <w:p w14:paraId="255BDEEA">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r>
              <w:rPr>
                <w:rFonts w:hint="eastAsia" w:ascii="宋体" w:hAnsi="宋体" w:cs="宋体"/>
                <w:sz w:val="18"/>
                <w:szCs w:val="18"/>
                <w:highlight w:val="none"/>
              </w:rPr>
              <w:t>温室气体排放</w:t>
            </w:r>
          </w:p>
          <w:p w14:paraId="24EAF185">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水平</w:t>
            </w:r>
          </w:p>
        </w:tc>
        <w:tc>
          <w:tcPr>
            <w:tcW w:w="1227" w:type="pct"/>
            <w:tcBorders>
              <w:top w:val="single" w:color="auto" w:sz="12" w:space="0"/>
              <w:tl2br w:val="nil"/>
              <w:tr2bl w:val="nil"/>
            </w:tcBorders>
            <w:vAlign w:val="center"/>
          </w:tcPr>
          <w:p w14:paraId="3B7B54A8">
            <w:pPr>
              <w:pStyle w:val="26"/>
              <w:keepNext w:val="0"/>
              <w:keepLines w:val="0"/>
              <w:widowControl/>
              <w:suppressLineNumbers w:val="0"/>
              <w:spacing w:before="0" w:beforeAutospacing="0" w:after="0" w:afterAutospacing="0"/>
              <w:ind w:left="0" w:right="0" w:firstLine="0" w:firstLineChars="0"/>
              <w:rPr>
                <w:rFonts w:hint="eastAsia" w:ascii="宋体" w:hAnsi="宋体" w:eastAsia="宋体" w:cs="宋体"/>
                <w:sz w:val="18"/>
                <w:szCs w:val="18"/>
                <w:highlight w:val="none"/>
                <w:lang w:val="en-US" w:eastAsia="zh-CN" w:bidi="ar-SA"/>
              </w:rPr>
            </w:pPr>
            <w:r>
              <w:rPr>
                <w:rFonts w:hint="eastAsia" w:hAnsi="宋体" w:cs="宋体"/>
                <w:sz w:val="18"/>
                <w:szCs w:val="18"/>
                <w:highlight w:val="none"/>
              </w:rPr>
              <w:t>企事业单位自身生产运营过程向环境排放温室气体的情况，碳排放强度为碳排放量与生产活动产出数据的比值，碳排放量宜以碳排放核查机构出具的报告数据为准</w:t>
            </w:r>
          </w:p>
        </w:tc>
        <w:tc>
          <w:tcPr>
            <w:tcW w:w="1762" w:type="pct"/>
            <w:tcBorders>
              <w:top w:val="single" w:color="auto" w:sz="12" w:space="0"/>
              <w:tl2br w:val="nil"/>
              <w:tr2bl w:val="nil"/>
            </w:tcBorders>
            <w:vAlign w:val="center"/>
          </w:tcPr>
          <w:p w14:paraId="74209907">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a.生产制造类企事业单位碳排放强度相较上一年度的下降比例大于等于6%。建设运营类企事业单位碳排放强度相较上一年度的下降比例大于等于3%。（4分）</w:t>
            </w:r>
          </w:p>
          <w:p w14:paraId="3E5FC73F">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b.生产制造类企事业单位碳排放强度相较上一年度的下降比例大于等于3%、小于6%。建设运营类企事业单位碳排放强度相较上一年度的下降比例大于等于1%、小于3%。（2分）</w:t>
            </w:r>
          </w:p>
          <w:p w14:paraId="71C5E3FF">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c.未满足上述任何一项。（0分）</w:t>
            </w:r>
          </w:p>
        </w:tc>
        <w:tc>
          <w:tcPr>
            <w:tcW w:w="413" w:type="pct"/>
            <w:tcBorders>
              <w:top w:val="single" w:color="auto" w:sz="12" w:space="0"/>
              <w:tl2br w:val="nil"/>
              <w:tr2bl w:val="nil"/>
            </w:tcBorders>
            <w:vAlign w:val="center"/>
          </w:tcPr>
          <w:p w14:paraId="13D3AB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cs="宋体"/>
                <w:color w:val="000000"/>
                <w:kern w:val="0"/>
                <w:sz w:val="18"/>
                <w:szCs w:val="18"/>
                <w:highlight w:val="none"/>
                <w:lang w:bidi="ar"/>
              </w:rPr>
              <w:t>4</w:t>
            </w:r>
          </w:p>
        </w:tc>
        <w:tc>
          <w:tcPr>
            <w:tcW w:w="397" w:type="pct"/>
            <w:tcBorders>
              <w:top w:val="single" w:color="auto" w:sz="12" w:space="0"/>
              <w:tl2br w:val="nil"/>
              <w:tr2bl w:val="nil"/>
            </w:tcBorders>
            <w:vAlign w:val="center"/>
          </w:tcPr>
          <w:p w14:paraId="511CFFAD">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3E2ECE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365" w:type="pct"/>
            <w:vMerge w:val="continue"/>
            <w:tcBorders>
              <w:tl2br w:val="nil"/>
              <w:tr2bl w:val="nil"/>
            </w:tcBorders>
            <w:vAlign w:val="center"/>
          </w:tcPr>
          <w:p w14:paraId="5D1432B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restart"/>
            <w:tcBorders>
              <w:tl2br w:val="nil"/>
              <w:tr2bl w:val="nil"/>
            </w:tcBorders>
            <w:vAlign w:val="center"/>
          </w:tcPr>
          <w:p w14:paraId="3F61835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工艺设备材料</w:t>
            </w:r>
          </w:p>
        </w:tc>
        <w:tc>
          <w:tcPr>
            <w:tcW w:w="1227" w:type="pct"/>
            <w:tcBorders>
              <w:tl2br w:val="nil"/>
              <w:tr2bl w:val="nil"/>
            </w:tcBorders>
            <w:vAlign w:val="center"/>
          </w:tcPr>
          <w:p w14:paraId="51BE6558">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企事业单位自身生产运营过程选用列入国家节能、环保相关技术推荐目录工艺技术的情况</w:t>
            </w:r>
          </w:p>
        </w:tc>
        <w:tc>
          <w:tcPr>
            <w:tcW w:w="1762" w:type="pct"/>
            <w:tcBorders>
              <w:tl2br w:val="nil"/>
              <w:tr2bl w:val="nil"/>
            </w:tcBorders>
            <w:vAlign w:val="center"/>
          </w:tcPr>
          <w:p w14:paraId="63992B58">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a.全部选用推荐工艺。（1分）</w:t>
            </w:r>
          </w:p>
          <w:p w14:paraId="155C32C3">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b.部分选用推荐工艺。（0.5分）</w:t>
            </w:r>
          </w:p>
          <w:p w14:paraId="5F2EB1E6">
            <w:pPr>
              <w:pStyle w:val="26"/>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sz w:val="18"/>
                <w:szCs w:val="18"/>
                <w:highlight w:val="none"/>
                <w:lang w:val="en-US" w:eastAsia="zh-CN" w:bidi="ar-SA"/>
              </w:rPr>
            </w:pPr>
            <w:r>
              <w:rPr>
                <w:rFonts w:hint="eastAsia" w:hAnsi="宋体" w:cs="宋体"/>
                <w:sz w:val="18"/>
                <w:szCs w:val="18"/>
                <w:highlight w:val="none"/>
              </w:rPr>
              <w:t>c.未选用推荐工艺。（0分）</w:t>
            </w:r>
          </w:p>
        </w:tc>
        <w:tc>
          <w:tcPr>
            <w:tcW w:w="413" w:type="pct"/>
            <w:tcBorders>
              <w:tl2br w:val="nil"/>
              <w:tr2bl w:val="nil"/>
            </w:tcBorders>
            <w:vAlign w:val="center"/>
          </w:tcPr>
          <w:p w14:paraId="5B20A553">
            <w:pPr>
              <w:pStyle w:val="26"/>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restart"/>
            <w:tcBorders>
              <w:tl2br w:val="nil"/>
              <w:tr2bl w:val="nil"/>
            </w:tcBorders>
            <w:vAlign w:val="center"/>
          </w:tcPr>
          <w:p w14:paraId="0C7F2E3A">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D9B67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365" w:type="pct"/>
            <w:vMerge w:val="continue"/>
            <w:tcBorders>
              <w:tl2br w:val="nil"/>
              <w:tr2bl w:val="nil"/>
            </w:tcBorders>
            <w:vAlign w:val="center"/>
          </w:tcPr>
          <w:p w14:paraId="632D0880">
            <w:pPr>
              <w:pStyle w:val="26"/>
              <w:keepNext w:val="0"/>
              <w:keepLines w:val="0"/>
              <w:widowControl/>
              <w:suppressLineNumbers w:val="0"/>
              <w:spacing w:before="0" w:beforeAutospacing="0" w:after="0" w:afterAutospacing="0"/>
              <w:ind w:left="0" w:right="0" w:firstLine="0" w:firstLineChars="0"/>
              <w:rPr>
                <w:rFonts w:hint="default"/>
                <w:szCs w:val="18"/>
                <w:highlight w:val="none"/>
              </w:rPr>
            </w:pPr>
          </w:p>
        </w:tc>
        <w:tc>
          <w:tcPr>
            <w:tcW w:w="835" w:type="pct"/>
            <w:gridSpan w:val="2"/>
            <w:vMerge w:val="continue"/>
            <w:tcBorders>
              <w:tl2br w:val="nil"/>
              <w:tr2bl w:val="nil"/>
            </w:tcBorders>
            <w:vAlign w:val="center"/>
          </w:tcPr>
          <w:p w14:paraId="708A1058">
            <w:pPr>
              <w:pStyle w:val="26"/>
              <w:keepNext w:val="0"/>
              <w:keepLines w:val="0"/>
              <w:widowControl/>
              <w:suppressLineNumbers w:val="0"/>
              <w:spacing w:before="0" w:beforeAutospacing="0" w:after="0" w:afterAutospacing="0"/>
              <w:ind w:left="0" w:right="0" w:firstLine="0" w:firstLineChars="0"/>
              <w:rPr>
                <w:rFonts w:hint="default"/>
                <w:szCs w:val="18"/>
                <w:highlight w:val="none"/>
              </w:rPr>
            </w:pPr>
          </w:p>
        </w:tc>
        <w:tc>
          <w:tcPr>
            <w:tcW w:w="1227" w:type="pct"/>
            <w:tcBorders>
              <w:tl2br w:val="nil"/>
              <w:tr2bl w:val="nil"/>
            </w:tcBorders>
            <w:vAlign w:val="center"/>
          </w:tcPr>
          <w:p w14:paraId="478283F6">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企事业单位自身生产运营过程选用列入国家节能、环保相关设备推荐目录装备设备的情况</w:t>
            </w:r>
          </w:p>
        </w:tc>
        <w:tc>
          <w:tcPr>
            <w:tcW w:w="1762" w:type="pct"/>
            <w:tcBorders>
              <w:tl2br w:val="nil"/>
              <w:tr2bl w:val="nil"/>
            </w:tcBorders>
            <w:vAlign w:val="center"/>
          </w:tcPr>
          <w:p w14:paraId="4AFBCF1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a.推荐目录采购比例超过50%。（1分）</w:t>
            </w:r>
          </w:p>
          <w:p w14:paraId="7FB129F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b.推荐目录采购比例超过30%。（0.5分）</w:t>
            </w:r>
          </w:p>
          <w:p w14:paraId="3B99EFB1">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rPr>
              <w:t>c.推荐目录采购比例未超过30%。（0分）</w:t>
            </w:r>
          </w:p>
        </w:tc>
        <w:tc>
          <w:tcPr>
            <w:tcW w:w="413" w:type="pct"/>
            <w:tcBorders>
              <w:tl2br w:val="nil"/>
              <w:tr2bl w:val="nil"/>
            </w:tcBorders>
            <w:vAlign w:val="center"/>
          </w:tcPr>
          <w:p w14:paraId="668B4F62">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continue"/>
            <w:tcBorders>
              <w:tl2br w:val="nil"/>
              <w:tr2bl w:val="nil"/>
            </w:tcBorders>
            <w:vAlign w:val="center"/>
          </w:tcPr>
          <w:p w14:paraId="362E8F72">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r>
      <w:tr w14:paraId="3E7E1D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365" w:type="pct"/>
            <w:vMerge w:val="continue"/>
            <w:tcBorders>
              <w:tl2br w:val="nil"/>
              <w:tr2bl w:val="nil"/>
            </w:tcBorders>
            <w:vAlign w:val="center"/>
          </w:tcPr>
          <w:p w14:paraId="58AC4A60">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c>
          <w:tcPr>
            <w:tcW w:w="835" w:type="pct"/>
            <w:gridSpan w:val="2"/>
            <w:vMerge w:val="continue"/>
            <w:tcBorders>
              <w:tl2br w:val="nil"/>
              <w:tr2bl w:val="nil"/>
            </w:tcBorders>
            <w:vAlign w:val="center"/>
          </w:tcPr>
          <w:p w14:paraId="23174AB6">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c>
          <w:tcPr>
            <w:tcW w:w="1227" w:type="pct"/>
            <w:tcBorders>
              <w:tl2br w:val="nil"/>
              <w:tr2bl w:val="nil"/>
            </w:tcBorders>
            <w:vAlign w:val="center"/>
          </w:tcPr>
          <w:p w14:paraId="525CB59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企事业单位自身生产运营过程参照《国家鼓励的有毒有害原料（产品）替代品目录》等目录实现有毒有害原材料替代的情况</w:t>
            </w:r>
          </w:p>
        </w:tc>
        <w:tc>
          <w:tcPr>
            <w:tcW w:w="1762" w:type="pct"/>
            <w:tcBorders>
              <w:tl2br w:val="nil"/>
              <w:tr2bl w:val="nil"/>
            </w:tcBorders>
            <w:vAlign w:val="center"/>
          </w:tcPr>
          <w:p w14:paraId="5715BDC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a.全面实施无毒无害原材料替代。（1分）</w:t>
            </w:r>
          </w:p>
          <w:p w14:paraId="1A173E5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b.部分实施无毒无害原材料替代。（0.5分）</w:t>
            </w:r>
          </w:p>
          <w:p w14:paraId="6688D9FC">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rPr>
              <w:t>c.未实施无毒无害原材料替代。（0分）</w:t>
            </w:r>
          </w:p>
        </w:tc>
        <w:tc>
          <w:tcPr>
            <w:tcW w:w="413" w:type="pct"/>
            <w:tcBorders>
              <w:tl2br w:val="nil"/>
              <w:tr2bl w:val="nil"/>
            </w:tcBorders>
            <w:vAlign w:val="center"/>
          </w:tcPr>
          <w:p w14:paraId="6DF37F62">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continue"/>
            <w:tcBorders>
              <w:tl2br w:val="nil"/>
              <w:tr2bl w:val="nil"/>
            </w:tcBorders>
            <w:vAlign w:val="center"/>
          </w:tcPr>
          <w:p w14:paraId="442B1431">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r>
      <w:tr w14:paraId="3DEB23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365" w:type="pct"/>
            <w:vMerge w:val="continue"/>
            <w:tcBorders>
              <w:tl2br w:val="nil"/>
              <w:tr2bl w:val="nil"/>
            </w:tcBorders>
            <w:vAlign w:val="center"/>
          </w:tcPr>
          <w:p w14:paraId="3D43921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restart"/>
            <w:tcBorders>
              <w:tl2br w:val="nil"/>
              <w:tr2bl w:val="nil"/>
            </w:tcBorders>
            <w:vAlign w:val="center"/>
          </w:tcPr>
          <w:p w14:paraId="39EFD5B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能源资源利用</w:t>
            </w:r>
          </w:p>
        </w:tc>
        <w:tc>
          <w:tcPr>
            <w:tcW w:w="1227" w:type="pct"/>
            <w:tcBorders>
              <w:tl2br w:val="nil"/>
              <w:tr2bl w:val="nil"/>
            </w:tcBorders>
            <w:vAlign w:val="center"/>
          </w:tcPr>
          <w:p w14:paraId="4BF0877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可再生能源消费量与终端能源消费总量的比值</w:t>
            </w:r>
          </w:p>
        </w:tc>
        <w:tc>
          <w:tcPr>
            <w:tcW w:w="1762" w:type="pct"/>
            <w:tcBorders>
              <w:tl2br w:val="nil"/>
              <w:tr2bl w:val="nil"/>
            </w:tcBorders>
            <w:vAlign w:val="center"/>
          </w:tcPr>
          <w:p w14:paraId="522A4178">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a.≥10%（</w:t>
            </w:r>
            <w:r>
              <w:rPr>
                <w:rFonts w:hint="eastAsia" w:hAnsi="宋体" w:cs="宋体"/>
                <w:sz w:val="18"/>
                <w:szCs w:val="18"/>
                <w:highlight w:val="none"/>
                <w:lang w:val="en-US" w:eastAsia="zh-CN"/>
              </w:rPr>
              <w:t>3</w:t>
            </w:r>
            <w:r>
              <w:rPr>
                <w:rFonts w:hint="eastAsia" w:hAnsi="宋体" w:cs="宋体"/>
                <w:sz w:val="18"/>
                <w:szCs w:val="18"/>
                <w:highlight w:val="none"/>
              </w:rPr>
              <w:t>分）</w:t>
            </w:r>
          </w:p>
          <w:p w14:paraId="56BBB06E">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,10%)（</w:t>
            </w:r>
            <w:r>
              <w:rPr>
                <w:rFonts w:hint="eastAsia" w:hAnsi="宋体" w:cs="宋体"/>
                <w:sz w:val="18"/>
                <w:szCs w:val="18"/>
                <w:highlight w:val="none"/>
                <w:lang w:val="en-US" w:eastAsia="zh-CN"/>
              </w:rPr>
              <w:t>1</w:t>
            </w:r>
            <w:r>
              <w:rPr>
                <w:rFonts w:hint="eastAsia" w:hAnsi="宋体" w:cs="宋体"/>
                <w:sz w:val="18"/>
                <w:szCs w:val="18"/>
                <w:highlight w:val="none"/>
              </w:rPr>
              <w:t>分）</w:t>
            </w:r>
          </w:p>
          <w:p w14:paraId="438B157B">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413" w:type="pct"/>
            <w:tcBorders>
              <w:tl2br w:val="nil"/>
              <w:tr2bl w:val="nil"/>
            </w:tcBorders>
            <w:vAlign w:val="center"/>
          </w:tcPr>
          <w:p w14:paraId="753E2C3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3</w:t>
            </w:r>
          </w:p>
        </w:tc>
        <w:tc>
          <w:tcPr>
            <w:tcW w:w="397" w:type="pct"/>
            <w:tcBorders>
              <w:tl2br w:val="nil"/>
              <w:tr2bl w:val="nil"/>
            </w:tcBorders>
            <w:vAlign w:val="center"/>
          </w:tcPr>
          <w:p w14:paraId="417D290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38FB287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65" w:type="pct"/>
            <w:vMerge w:val="continue"/>
            <w:tcBorders>
              <w:tl2br w:val="nil"/>
              <w:tr2bl w:val="nil"/>
            </w:tcBorders>
            <w:vAlign w:val="center"/>
          </w:tcPr>
          <w:p w14:paraId="4A626D4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continue"/>
            <w:tcBorders>
              <w:tl2br w:val="nil"/>
              <w:tr2bl w:val="nil"/>
            </w:tcBorders>
            <w:vAlign w:val="center"/>
          </w:tcPr>
          <w:p w14:paraId="2A2F454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1227" w:type="pct"/>
            <w:tcBorders>
              <w:tl2br w:val="nil"/>
              <w:tr2bl w:val="nil"/>
            </w:tcBorders>
            <w:vAlign w:val="center"/>
          </w:tcPr>
          <w:p w14:paraId="52BA7AF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再生水、雨水、海水、矿井水、苦咸水等非常规水资源利用总量与用水总量的比值</w:t>
            </w:r>
          </w:p>
        </w:tc>
        <w:tc>
          <w:tcPr>
            <w:tcW w:w="1762" w:type="pct"/>
            <w:tcBorders>
              <w:tl2br w:val="nil"/>
              <w:tr2bl w:val="nil"/>
            </w:tcBorders>
            <w:vAlign w:val="center"/>
          </w:tcPr>
          <w:p w14:paraId="416D963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6</w:t>
            </w:r>
            <w:r>
              <w:rPr>
                <w:rFonts w:hint="eastAsia" w:hAnsi="宋体" w:cs="宋体"/>
                <w:sz w:val="18"/>
                <w:szCs w:val="18"/>
                <w:highlight w:val="none"/>
              </w:rPr>
              <w:t>0%（</w:t>
            </w:r>
            <w:r>
              <w:rPr>
                <w:rFonts w:hint="eastAsia" w:hAnsi="宋体" w:cs="宋体"/>
                <w:sz w:val="18"/>
                <w:szCs w:val="18"/>
                <w:highlight w:val="none"/>
                <w:lang w:val="en-US" w:eastAsia="zh-CN"/>
              </w:rPr>
              <w:t>1</w:t>
            </w:r>
            <w:r>
              <w:rPr>
                <w:rFonts w:hint="eastAsia" w:hAnsi="宋体" w:cs="宋体"/>
                <w:sz w:val="18"/>
                <w:szCs w:val="18"/>
                <w:highlight w:val="none"/>
              </w:rPr>
              <w:t>分）</w:t>
            </w:r>
          </w:p>
          <w:p w14:paraId="17373B2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w:t>
            </w:r>
            <w:r>
              <w:rPr>
                <w:rFonts w:hint="eastAsia" w:hAnsi="宋体" w:cs="宋体"/>
                <w:sz w:val="18"/>
                <w:szCs w:val="18"/>
                <w:highlight w:val="none"/>
                <w:lang w:val="en-US" w:eastAsia="zh-CN"/>
              </w:rPr>
              <w:t>6</w:t>
            </w:r>
            <w:r>
              <w:rPr>
                <w:rFonts w:hint="eastAsia" w:hAnsi="宋体" w:cs="宋体"/>
                <w:sz w:val="18"/>
                <w:szCs w:val="18"/>
                <w:highlight w:val="none"/>
              </w:rPr>
              <w:t>0%</w:t>
            </w:r>
            <w:r>
              <w:rPr>
                <w:rFonts w:hint="eastAsia" w:hAnsi="宋体" w:cs="宋体"/>
                <w:sz w:val="18"/>
                <w:szCs w:val="18"/>
                <w:highlight w:val="none"/>
                <w:lang w:eastAsia="zh-CN"/>
              </w:rPr>
              <w:t>）</w:t>
            </w:r>
            <w:r>
              <w:rPr>
                <w:rFonts w:hint="eastAsia" w:hAnsi="宋体" w:cs="宋体"/>
                <w:sz w:val="18"/>
                <w:szCs w:val="18"/>
                <w:highlight w:val="none"/>
              </w:rPr>
              <w:t>（</w:t>
            </w:r>
            <w:r>
              <w:rPr>
                <w:rFonts w:hint="eastAsia" w:hAnsi="宋体" w:cs="宋体"/>
                <w:sz w:val="18"/>
                <w:szCs w:val="18"/>
                <w:highlight w:val="none"/>
                <w:lang w:val="en-US" w:eastAsia="zh-CN"/>
              </w:rPr>
              <w:t>0.5</w:t>
            </w:r>
            <w:r>
              <w:rPr>
                <w:rFonts w:hint="eastAsia" w:hAnsi="宋体" w:cs="宋体"/>
                <w:sz w:val="18"/>
                <w:szCs w:val="18"/>
                <w:highlight w:val="none"/>
              </w:rPr>
              <w:t>分）</w:t>
            </w:r>
          </w:p>
          <w:p w14:paraId="5174326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413" w:type="pct"/>
            <w:tcBorders>
              <w:tl2br w:val="nil"/>
              <w:tr2bl w:val="nil"/>
            </w:tcBorders>
            <w:vAlign w:val="center"/>
          </w:tcPr>
          <w:p w14:paraId="5B0B311E">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1</w:t>
            </w:r>
          </w:p>
        </w:tc>
        <w:tc>
          <w:tcPr>
            <w:tcW w:w="397" w:type="pct"/>
            <w:tcBorders>
              <w:tl2br w:val="nil"/>
              <w:tr2bl w:val="nil"/>
            </w:tcBorders>
            <w:vAlign w:val="center"/>
          </w:tcPr>
          <w:p w14:paraId="4309449A">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B694B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vMerge w:val="continue"/>
            <w:tcBorders>
              <w:tl2br w:val="nil"/>
              <w:tr2bl w:val="nil"/>
            </w:tcBorders>
            <w:vAlign w:val="center"/>
          </w:tcPr>
          <w:p w14:paraId="7B905B1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tcBorders>
              <w:tl2br w:val="nil"/>
              <w:tr2bl w:val="nil"/>
            </w:tcBorders>
            <w:vAlign w:val="center"/>
          </w:tcPr>
          <w:p w14:paraId="152972D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污染物排放水平</w:t>
            </w:r>
          </w:p>
        </w:tc>
        <w:tc>
          <w:tcPr>
            <w:tcW w:w="1227" w:type="pct"/>
            <w:tcBorders>
              <w:tl2br w:val="nil"/>
              <w:tr2bl w:val="nil"/>
            </w:tcBorders>
            <w:vAlign w:val="center"/>
          </w:tcPr>
          <w:p w14:paraId="7656E55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企事业单位自身生产运营过程向环境排放污染物的情况，污染物排放水平数据宜以近一年全国污染源监测数据管理与共享系统平台的自行监测数据为准</w:t>
            </w:r>
          </w:p>
        </w:tc>
        <w:tc>
          <w:tcPr>
            <w:tcW w:w="1762" w:type="pct"/>
            <w:tcBorders>
              <w:tl2br w:val="nil"/>
              <w:tr2bl w:val="nil"/>
            </w:tcBorders>
            <w:vAlign w:val="center"/>
          </w:tcPr>
          <w:p w14:paraId="17027AC3">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rPr>
            </w:pPr>
            <w:r>
              <w:rPr>
                <w:rFonts w:hint="eastAsia" w:hAnsi="宋体" w:cs="宋体"/>
                <w:sz w:val="18"/>
                <w:szCs w:val="18"/>
                <w:highlight w:val="none"/>
              </w:rPr>
              <w:t>a.不排放污染物，或根据排污许可相关管理条例实行排污登记管理，或需控制的污染物有80%的种类优于排污许可证限值20%，或优于排放源所在地同类行业污染物排放限值20%。（</w:t>
            </w:r>
            <w:r>
              <w:rPr>
                <w:rFonts w:hint="eastAsia" w:hAnsi="宋体" w:cs="宋体"/>
                <w:sz w:val="18"/>
                <w:szCs w:val="18"/>
                <w:highlight w:val="none"/>
                <w:lang w:val="en-US" w:eastAsia="zh-CN"/>
              </w:rPr>
              <w:t>4</w:t>
            </w:r>
            <w:r>
              <w:rPr>
                <w:rFonts w:hint="eastAsia" w:hAnsi="宋体" w:cs="宋体"/>
                <w:sz w:val="18"/>
                <w:szCs w:val="18"/>
                <w:highlight w:val="none"/>
              </w:rPr>
              <w:t>分）</w:t>
            </w:r>
          </w:p>
          <w:p w14:paraId="2C1139C8">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rPr>
            </w:pPr>
            <w:r>
              <w:rPr>
                <w:rFonts w:hint="eastAsia" w:hAnsi="宋体" w:cs="宋体"/>
                <w:sz w:val="18"/>
                <w:szCs w:val="18"/>
                <w:highlight w:val="none"/>
              </w:rPr>
              <w:t>b.需控制的污染物有80%的种类优于排污许可证限值10%，或优于排放源所在地同类行业污染物排放限值10%。（</w:t>
            </w:r>
            <w:r>
              <w:rPr>
                <w:rFonts w:hint="eastAsia" w:hAnsi="宋体" w:cs="宋体"/>
                <w:sz w:val="18"/>
                <w:szCs w:val="18"/>
                <w:highlight w:val="none"/>
                <w:lang w:val="en-US" w:eastAsia="zh-CN"/>
              </w:rPr>
              <w:t>2</w:t>
            </w:r>
            <w:r>
              <w:rPr>
                <w:rFonts w:hint="eastAsia" w:hAnsi="宋体" w:cs="宋体"/>
                <w:sz w:val="18"/>
                <w:szCs w:val="18"/>
                <w:highlight w:val="none"/>
              </w:rPr>
              <w:t>分）</w:t>
            </w:r>
          </w:p>
          <w:p w14:paraId="4BD4358E">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c.未满足上述任何一项。（0分）</w:t>
            </w:r>
          </w:p>
        </w:tc>
        <w:tc>
          <w:tcPr>
            <w:tcW w:w="413" w:type="pct"/>
            <w:tcBorders>
              <w:tl2br w:val="nil"/>
              <w:tr2bl w:val="nil"/>
            </w:tcBorders>
            <w:vAlign w:val="center"/>
          </w:tcPr>
          <w:p w14:paraId="5CBDE2DC">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7" w:type="pct"/>
            <w:tcBorders>
              <w:tl2br w:val="nil"/>
              <w:tr2bl w:val="nil"/>
            </w:tcBorders>
            <w:vAlign w:val="center"/>
          </w:tcPr>
          <w:p w14:paraId="173E9E9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1BF1F702">
      <w:pPr>
        <w:keepNext w:val="0"/>
        <w:keepLines w:val="0"/>
        <w:pageBreakBefore w:val="0"/>
        <w:widowControl w:val="0"/>
        <w:numPr>
          <w:ilvl w:val="1"/>
          <w:numId w:val="0"/>
        </w:numPr>
        <w:kinsoku/>
        <w:wordWrap/>
        <w:overflowPunct/>
        <w:topLinePunct w:val="0"/>
        <w:autoSpaceDE/>
        <w:autoSpaceDN/>
        <w:bidi w:val="0"/>
        <w:adjustRightInd/>
        <w:snapToGrid/>
        <w:spacing w:before="312" w:beforeLines="100" w:after="156" w:afterLines="50"/>
        <w:jc w:val="center"/>
        <w:textAlignment w:val="auto"/>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83"/>
        <w:gridCol w:w="985"/>
        <w:gridCol w:w="2266"/>
        <w:gridCol w:w="3369"/>
        <w:gridCol w:w="799"/>
        <w:gridCol w:w="759"/>
      </w:tblGrid>
      <w:tr w14:paraId="77B7A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5" w:type="pct"/>
            <w:tcBorders>
              <w:bottom w:val="single" w:color="auto" w:sz="12" w:space="0"/>
            </w:tcBorders>
            <w:vAlign w:val="center"/>
          </w:tcPr>
          <w:p w14:paraId="06B2163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57" w:type="pct"/>
            <w:tcBorders>
              <w:bottom w:val="single" w:color="auto" w:sz="12" w:space="0"/>
            </w:tcBorders>
            <w:vAlign w:val="center"/>
          </w:tcPr>
          <w:p w14:paraId="55723E8A">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15" w:type="pct"/>
            <w:tcBorders>
              <w:bottom w:val="single" w:color="auto" w:sz="12" w:space="0"/>
            </w:tcBorders>
            <w:vAlign w:val="center"/>
          </w:tcPr>
          <w:p w14:paraId="78DA576D">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185" w:type="pct"/>
            <w:tcBorders>
              <w:bottom w:val="single" w:color="auto" w:sz="12" w:space="0"/>
            </w:tcBorders>
            <w:vAlign w:val="center"/>
          </w:tcPr>
          <w:p w14:paraId="641C54E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762" w:type="pct"/>
            <w:tcBorders>
              <w:bottom w:val="single" w:color="auto" w:sz="12" w:space="0"/>
            </w:tcBorders>
            <w:vAlign w:val="center"/>
          </w:tcPr>
          <w:p w14:paraId="3D99B4F2">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417" w:type="pct"/>
            <w:tcBorders>
              <w:bottom w:val="single" w:color="auto" w:sz="12" w:space="0"/>
            </w:tcBorders>
            <w:vAlign w:val="center"/>
          </w:tcPr>
          <w:p w14:paraId="549FF13D">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397" w:type="pct"/>
            <w:tcBorders>
              <w:bottom w:val="single" w:color="auto" w:sz="12" w:space="0"/>
            </w:tcBorders>
            <w:vAlign w:val="center"/>
          </w:tcPr>
          <w:p w14:paraId="2A66844F">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1A87D8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365" w:type="pct"/>
            <w:vMerge w:val="restart"/>
            <w:tcBorders>
              <w:top w:val="single" w:color="auto" w:sz="12" w:space="0"/>
              <w:tl2br w:val="nil"/>
              <w:tr2bl w:val="nil"/>
            </w:tcBorders>
            <w:vAlign w:val="center"/>
          </w:tcPr>
          <w:p w14:paraId="37CBB64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社会表现</w:t>
            </w:r>
          </w:p>
        </w:tc>
        <w:tc>
          <w:tcPr>
            <w:tcW w:w="872" w:type="pct"/>
            <w:gridSpan w:val="2"/>
            <w:vMerge w:val="restart"/>
            <w:tcBorders>
              <w:top w:val="single" w:color="auto" w:sz="12" w:space="0"/>
              <w:tl2br w:val="nil"/>
              <w:tr2bl w:val="nil"/>
            </w:tcBorders>
            <w:vAlign w:val="center"/>
          </w:tcPr>
          <w:p w14:paraId="1F6C9A4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内部行动</w:t>
            </w:r>
          </w:p>
        </w:tc>
        <w:tc>
          <w:tcPr>
            <w:tcW w:w="1185" w:type="pct"/>
            <w:tcBorders>
              <w:top w:val="single" w:color="auto" w:sz="12" w:space="0"/>
              <w:tl2br w:val="nil"/>
              <w:tr2bl w:val="nil"/>
            </w:tcBorders>
            <w:vAlign w:val="center"/>
          </w:tcPr>
          <w:p w14:paraId="2410B15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企事业单位开展绿色行动的情况，满足其中任一项可得分</w:t>
            </w:r>
          </w:p>
        </w:tc>
        <w:tc>
          <w:tcPr>
            <w:tcW w:w="1762" w:type="pct"/>
            <w:tcBorders>
              <w:top w:val="single" w:color="auto" w:sz="12" w:space="0"/>
              <w:tl2br w:val="nil"/>
              <w:tr2bl w:val="nil"/>
            </w:tcBorders>
            <w:vAlign w:val="center"/>
          </w:tcPr>
          <w:p w14:paraId="1534C85E">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发布碳中和规划或行动方案、创建近零碳排放试点、开展产品碳足迹核算、创建碳普惠低碳场景或实现多场大型活动碳中和等绿色行动。（</w:t>
            </w:r>
            <w:r>
              <w:rPr>
                <w:rFonts w:hint="eastAsia" w:hAnsi="宋体" w:cs="宋体"/>
                <w:sz w:val="18"/>
                <w:szCs w:val="18"/>
                <w:highlight w:val="none"/>
                <w:lang w:val="en-US" w:eastAsia="zh-CN"/>
              </w:rPr>
              <w:t>2</w:t>
            </w:r>
            <w:r>
              <w:rPr>
                <w:rFonts w:hint="eastAsia" w:hAnsi="宋体" w:cs="宋体"/>
                <w:sz w:val="18"/>
                <w:szCs w:val="18"/>
                <w:highlight w:val="none"/>
              </w:rPr>
              <w:t>分）</w:t>
            </w:r>
          </w:p>
        </w:tc>
        <w:tc>
          <w:tcPr>
            <w:tcW w:w="417" w:type="pct"/>
            <w:tcBorders>
              <w:top w:val="single" w:color="auto" w:sz="12" w:space="0"/>
              <w:tl2br w:val="nil"/>
              <w:tr2bl w:val="nil"/>
            </w:tcBorders>
            <w:vAlign w:val="center"/>
          </w:tcPr>
          <w:p w14:paraId="48D3F10D">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18"/>
                <w:szCs w:val="18"/>
                <w:highlight w:val="none"/>
                <w:lang w:val="en-US" w:eastAsia="zh-CN"/>
              </w:rPr>
            </w:pPr>
            <w:r>
              <w:rPr>
                <w:rFonts w:hint="eastAsia" w:ascii="宋体" w:hAnsi="宋体" w:cs="宋体"/>
                <w:color w:val="000000"/>
                <w:kern w:val="0"/>
                <w:sz w:val="18"/>
                <w:szCs w:val="18"/>
                <w:highlight w:val="none"/>
                <w:lang w:val="en-US" w:eastAsia="zh-CN" w:bidi="ar"/>
              </w:rPr>
              <w:t>2</w:t>
            </w:r>
          </w:p>
        </w:tc>
        <w:tc>
          <w:tcPr>
            <w:tcW w:w="397" w:type="pct"/>
            <w:tcBorders>
              <w:top w:val="single" w:color="auto" w:sz="12" w:space="0"/>
              <w:tl2br w:val="nil"/>
              <w:tr2bl w:val="nil"/>
            </w:tcBorders>
            <w:vAlign w:val="center"/>
          </w:tcPr>
          <w:p w14:paraId="4D51124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11875A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0" w:hRule="atLeast"/>
        </w:trPr>
        <w:tc>
          <w:tcPr>
            <w:tcW w:w="365" w:type="pct"/>
            <w:vMerge w:val="continue"/>
            <w:tcBorders>
              <w:tl2br w:val="nil"/>
              <w:tr2bl w:val="nil"/>
            </w:tcBorders>
            <w:vAlign w:val="center"/>
          </w:tcPr>
          <w:p w14:paraId="00349F64">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872" w:type="pct"/>
            <w:gridSpan w:val="2"/>
            <w:vMerge w:val="continue"/>
            <w:tcBorders>
              <w:tl2br w:val="nil"/>
              <w:tr2bl w:val="nil"/>
            </w:tcBorders>
            <w:vAlign w:val="center"/>
          </w:tcPr>
          <w:p w14:paraId="13C947DF">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185" w:type="pct"/>
            <w:tcBorders>
              <w:tl2br w:val="nil"/>
              <w:tr2bl w:val="nil"/>
            </w:tcBorders>
            <w:vAlign w:val="center"/>
          </w:tcPr>
          <w:p w14:paraId="5A038882">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企事业单位开展信息披露的情况</w:t>
            </w:r>
          </w:p>
        </w:tc>
        <w:tc>
          <w:tcPr>
            <w:tcW w:w="1762" w:type="pct"/>
            <w:tcBorders>
              <w:tl2br w:val="nil"/>
              <w:tr2bl w:val="nil"/>
            </w:tcBorders>
            <w:vAlign w:val="center"/>
          </w:tcPr>
          <w:p w14:paraId="19239B87">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主动依据《企业环境信息依法披露管理办法》，通过公开渠道披露产品或服务技术性能、资源能源消耗情况、环境信息等相关内容，或依法依规披露环境、社会和公司治理（ESG）情况。（2分）</w:t>
            </w:r>
          </w:p>
        </w:tc>
        <w:tc>
          <w:tcPr>
            <w:tcW w:w="417" w:type="pct"/>
            <w:tcBorders>
              <w:tl2br w:val="nil"/>
              <w:tr2bl w:val="nil"/>
            </w:tcBorders>
            <w:vAlign w:val="center"/>
          </w:tcPr>
          <w:p w14:paraId="3E489424">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2</w:t>
            </w:r>
          </w:p>
        </w:tc>
        <w:tc>
          <w:tcPr>
            <w:tcW w:w="397" w:type="pct"/>
            <w:tcBorders>
              <w:tl2br w:val="nil"/>
              <w:tr2bl w:val="nil"/>
            </w:tcBorders>
            <w:vAlign w:val="center"/>
          </w:tcPr>
          <w:p w14:paraId="652029CD">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49BB12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365" w:type="pct"/>
            <w:vMerge w:val="continue"/>
            <w:tcBorders>
              <w:tl2br w:val="nil"/>
              <w:tr2bl w:val="nil"/>
            </w:tcBorders>
            <w:vAlign w:val="center"/>
          </w:tcPr>
          <w:p w14:paraId="172B1F4B">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872" w:type="pct"/>
            <w:gridSpan w:val="2"/>
            <w:vMerge w:val="continue"/>
            <w:tcBorders>
              <w:tl2br w:val="nil"/>
              <w:tr2bl w:val="nil"/>
            </w:tcBorders>
            <w:vAlign w:val="center"/>
          </w:tcPr>
          <w:p w14:paraId="6027D3FE">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185" w:type="pct"/>
            <w:tcBorders>
              <w:tl2br w:val="nil"/>
              <w:tr2bl w:val="nil"/>
            </w:tcBorders>
            <w:vAlign w:val="center"/>
          </w:tcPr>
          <w:p w14:paraId="6632AD9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企事业单位开展低碳培训的情况</w:t>
            </w:r>
          </w:p>
        </w:tc>
        <w:tc>
          <w:tcPr>
            <w:tcW w:w="1762" w:type="pct"/>
            <w:tcBorders>
              <w:tl2br w:val="nil"/>
              <w:tr2bl w:val="nil"/>
            </w:tcBorders>
            <w:vAlign w:val="center"/>
          </w:tcPr>
          <w:p w14:paraId="4E303DB9">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每年对员工开展2次及以上低碳环保、节能减排、循环经济等主题培训。（</w:t>
            </w:r>
            <w:r>
              <w:rPr>
                <w:rFonts w:hint="eastAsia" w:hAnsi="宋体" w:cs="宋体"/>
                <w:sz w:val="18"/>
                <w:szCs w:val="18"/>
                <w:highlight w:val="none"/>
                <w:lang w:val="en-US" w:eastAsia="zh-CN"/>
              </w:rPr>
              <w:t>1</w:t>
            </w:r>
            <w:r>
              <w:rPr>
                <w:rFonts w:hint="eastAsia" w:hAnsi="宋体" w:cs="宋体"/>
                <w:sz w:val="18"/>
                <w:szCs w:val="18"/>
                <w:highlight w:val="none"/>
              </w:rPr>
              <w:t>分）</w:t>
            </w:r>
          </w:p>
        </w:tc>
        <w:tc>
          <w:tcPr>
            <w:tcW w:w="417" w:type="pct"/>
            <w:tcBorders>
              <w:tl2br w:val="nil"/>
              <w:tr2bl w:val="nil"/>
            </w:tcBorders>
            <w:vAlign w:val="center"/>
          </w:tcPr>
          <w:p w14:paraId="131CD69A">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397" w:type="pct"/>
            <w:tcBorders>
              <w:tl2br w:val="nil"/>
              <w:tr2bl w:val="nil"/>
            </w:tcBorders>
            <w:vAlign w:val="center"/>
          </w:tcPr>
          <w:p w14:paraId="1DDA6F3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C042F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365" w:type="pct"/>
            <w:vMerge w:val="continue"/>
            <w:tcBorders>
              <w:tl2br w:val="nil"/>
              <w:tr2bl w:val="nil"/>
            </w:tcBorders>
            <w:vAlign w:val="center"/>
          </w:tcPr>
          <w:p w14:paraId="024B589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72" w:type="pct"/>
            <w:gridSpan w:val="2"/>
            <w:vMerge w:val="restart"/>
            <w:tcBorders>
              <w:tl2br w:val="nil"/>
              <w:tr2bl w:val="nil"/>
            </w:tcBorders>
            <w:vAlign w:val="center"/>
          </w:tcPr>
          <w:p w14:paraId="67D7DB3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社会责任</w:t>
            </w:r>
          </w:p>
        </w:tc>
        <w:tc>
          <w:tcPr>
            <w:tcW w:w="2266" w:type="dxa"/>
            <w:tcBorders>
              <w:tl2br w:val="nil"/>
              <w:tr2bl w:val="nil"/>
            </w:tcBorders>
            <w:vAlign w:val="center"/>
          </w:tcPr>
          <w:p w14:paraId="23FE042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企事业单位履行公共关系和社会公益责任的情况，满足其中任一项可得分</w:t>
            </w:r>
          </w:p>
        </w:tc>
        <w:tc>
          <w:tcPr>
            <w:tcW w:w="3369" w:type="dxa"/>
            <w:tcBorders>
              <w:tl2br w:val="nil"/>
              <w:tr2bl w:val="nil"/>
            </w:tcBorders>
            <w:vAlign w:val="center"/>
          </w:tcPr>
          <w:p w14:paraId="222223BA">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主动举办环保公益活动，或参加环境保护、教育、扶贫济困等公益活动，或积极对重大自然灾害、突发事件提供援助。（1分）</w:t>
            </w:r>
          </w:p>
        </w:tc>
        <w:tc>
          <w:tcPr>
            <w:tcW w:w="799" w:type="dxa"/>
            <w:tcBorders>
              <w:tl2br w:val="nil"/>
              <w:tr2bl w:val="nil"/>
            </w:tcBorders>
            <w:vAlign w:val="center"/>
          </w:tcPr>
          <w:p w14:paraId="292BF3E6">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eastAsia="zh-CN"/>
              </w:rPr>
            </w:pPr>
            <w:r>
              <w:rPr>
                <w:rFonts w:hint="eastAsia" w:hAnsi="宋体" w:cs="宋体"/>
                <w:sz w:val="18"/>
                <w:szCs w:val="18"/>
                <w:highlight w:val="none"/>
              </w:rPr>
              <w:t>1</w:t>
            </w:r>
          </w:p>
        </w:tc>
        <w:tc>
          <w:tcPr>
            <w:tcW w:w="397" w:type="pct"/>
            <w:tcBorders>
              <w:tl2br w:val="nil"/>
              <w:tr2bl w:val="nil"/>
            </w:tcBorders>
            <w:vAlign w:val="center"/>
          </w:tcPr>
          <w:p w14:paraId="5FA25F9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21EB9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365" w:type="pct"/>
            <w:vMerge w:val="continue"/>
            <w:tcBorders>
              <w:bottom w:val="single" w:color="auto" w:sz="12" w:space="0"/>
              <w:tl2br w:val="nil"/>
              <w:tr2bl w:val="nil"/>
            </w:tcBorders>
            <w:vAlign w:val="center"/>
          </w:tcPr>
          <w:p w14:paraId="1CC780F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72" w:type="pct"/>
            <w:gridSpan w:val="2"/>
            <w:vMerge w:val="continue"/>
            <w:tcBorders>
              <w:bottom w:val="single" w:color="auto" w:sz="12" w:space="0"/>
              <w:tl2br w:val="nil"/>
              <w:tr2bl w:val="nil"/>
            </w:tcBorders>
            <w:vAlign w:val="center"/>
          </w:tcPr>
          <w:p w14:paraId="2841C05D">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2266" w:type="dxa"/>
            <w:tcBorders>
              <w:bottom w:val="single" w:color="auto" w:sz="12" w:space="0"/>
              <w:tl2br w:val="nil"/>
              <w:tr2bl w:val="nil"/>
            </w:tcBorders>
            <w:vAlign w:val="center"/>
          </w:tcPr>
          <w:p w14:paraId="51785927">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企事业单位实施供应链绿色化管理的情况，满足其中任一项可得分</w:t>
            </w:r>
          </w:p>
        </w:tc>
        <w:tc>
          <w:tcPr>
            <w:tcW w:w="3369" w:type="dxa"/>
            <w:tcBorders>
              <w:bottom w:val="single" w:color="auto" w:sz="12" w:space="0"/>
              <w:tl2br w:val="nil"/>
              <w:tr2bl w:val="nil"/>
            </w:tcBorders>
            <w:vAlign w:val="center"/>
          </w:tcPr>
          <w:p w14:paraId="1A8FC5BA">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获得在有效期内的绿色供应链管理体系认证证书，或实施供应商绿色化管理相关制度。（1分）</w:t>
            </w:r>
          </w:p>
        </w:tc>
        <w:tc>
          <w:tcPr>
            <w:tcW w:w="799" w:type="dxa"/>
            <w:tcBorders>
              <w:bottom w:val="single" w:color="auto" w:sz="12" w:space="0"/>
              <w:tl2br w:val="nil"/>
              <w:tr2bl w:val="nil"/>
            </w:tcBorders>
            <w:vAlign w:val="center"/>
          </w:tcPr>
          <w:p w14:paraId="08067B7A">
            <w:pPr>
              <w:pStyle w:val="26"/>
              <w:keepNext w:val="0"/>
              <w:keepLines w:val="0"/>
              <w:widowControl/>
              <w:suppressLineNumbers w:val="0"/>
              <w:spacing w:before="0" w:beforeAutospacing="0" w:after="0" w:afterAutospacing="0"/>
              <w:ind w:left="0" w:right="0" w:firstLine="0" w:firstLineChars="0"/>
              <w:jc w:val="center"/>
              <w:rPr>
                <w:rFonts w:hint="eastAsia" w:ascii="宋体" w:hAnsi="宋体" w:cs="宋体"/>
                <w:color w:val="000000"/>
                <w:kern w:val="0"/>
                <w:sz w:val="18"/>
                <w:szCs w:val="18"/>
                <w:highlight w:val="none"/>
                <w:lang w:val="en-US" w:eastAsia="zh-CN" w:bidi="ar"/>
              </w:rPr>
            </w:pPr>
            <w:r>
              <w:rPr>
                <w:rFonts w:hint="eastAsia" w:hAnsi="宋体" w:cs="宋体"/>
                <w:sz w:val="18"/>
                <w:szCs w:val="18"/>
                <w:highlight w:val="none"/>
              </w:rPr>
              <w:t>1</w:t>
            </w:r>
          </w:p>
        </w:tc>
        <w:tc>
          <w:tcPr>
            <w:tcW w:w="397" w:type="pct"/>
            <w:tcBorders>
              <w:bottom w:val="single" w:color="auto" w:sz="12" w:space="0"/>
              <w:tl2br w:val="nil"/>
              <w:tr2bl w:val="nil"/>
            </w:tcBorders>
            <w:vAlign w:val="center"/>
          </w:tcPr>
          <w:p w14:paraId="540DD16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CDFD0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02" w:type="pct"/>
            <w:gridSpan w:val="6"/>
            <w:tcBorders>
              <w:top w:val="single" w:color="auto" w:sz="12" w:space="0"/>
            </w:tcBorders>
            <w:vAlign w:val="center"/>
          </w:tcPr>
          <w:p w14:paraId="3E4E2216">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总得分</w:t>
            </w:r>
          </w:p>
        </w:tc>
        <w:tc>
          <w:tcPr>
            <w:tcW w:w="397" w:type="pct"/>
            <w:tcBorders>
              <w:top w:val="single" w:color="auto" w:sz="12" w:space="0"/>
            </w:tcBorders>
            <w:vAlign w:val="center"/>
          </w:tcPr>
          <w:p w14:paraId="32A79383">
            <w:pPr>
              <w:keepNext w:val="0"/>
              <w:keepLines w:val="0"/>
              <w:suppressLineNumbers w:val="0"/>
              <w:autoSpaceDE w:val="0"/>
              <w:autoSpaceDN w:val="0"/>
              <w:spacing w:before="0" w:beforeAutospacing="0" w:after="0" w:afterAutospacing="0" w:line="240" w:lineRule="atLeast"/>
              <w:ind w:left="0" w:right="0"/>
              <w:jc w:val="center"/>
              <w:rPr>
                <w:rFonts w:hint="default" w:ascii="宋体"/>
                <w:b/>
                <w:sz w:val="18"/>
                <w:szCs w:val="18"/>
                <w:highlight w:val="none"/>
              </w:rPr>
            </w:pPr>
          </w:p>
        </w:tc>
      </w:tr>
    </w:tbl>
    <w:p w14:paraId="016C9F6D">
      <w:pPr>
        <w:keepNext w:val="0"/>
        <w:keepLines w:val="0"/>
        <w:pageBreakBefore w:val="0"/>
        <w:widowControl w:val="0"/>
        <w:kinsoku/>
        <w:wordWrap/>
        <w:overflowPunct/>
        <w:topLinePunct w:val="0"/>
        <w:autoSpaceDE/>
        <w:autoSpaceDN/>
        <w:bidi w:val="0"/>
        <w:adjustRightInd/>
        <w:snapToGrid/>
        <w:spacing w:before="313" w:beforeLines="100" w:after="157" w:afterLines="50"/>
        <w:textAlignment w:val="auto"/>
        <w:rPr>
          <w:rFonts w:hint="eastAsia" w:ascii="黑体" w:hAnsi="黑体" w:eastAsia="黑体" w:cs="黑体"/>
          <w:highlight w:val="none"/>
          <w:lang w:val="en-US" w:eastAsia="zh-CN"/>
        </w:rPr>
      </w:pPr>
      <w:r>
        <w:rPr>
          <w:rFonts w:hint="eastAsia" w:ascii="黑体" w:hAnsi="黑体" w:eastAsia="黑体" w:cs="黑体"/>
          <w:highlight w:val="none"/>
          <w:lang w:val="en-US" w:eastAsia="zh-CN"/>
        </w:rPr>
        <w:t>E.2  绿色低碳产业项目认定评价指标</w:t>
      </w:r>
    </w:p>
    <w:p w14:paraId="4E959DEA">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Cs w:val="21"/>
          <w:highlight w:val="none"/>
        </w:rPr>
      </w:pPr>
      <w:r>
        <w:rPr>
          <w:rFonts w:hint="eastAsia" w:ascii="宋体" w:hAnsi="宋体" w:cs="宋体"/>
          <w:highlight w:val="none"/>
          <w:lang w:val="en-US" w:eastAsia="zh-CN"/>
        </w:rPr>
        <w:t>环境基础设施</w:t>
      </w:r>
      <w:r>
        <w:rPr>
          <w:rFonts w:hint="eastAsia" w:ascii="宋体" w:hAnsi="宋体" w:eastAsia="宋体" w:cs="宋体"/>
          <w:highlight w:val="none"/>
          <w:lang w:val="en-US" w:eastAsia="zh-CN"/>
        </w:rPr>
        <w:t>领域绿色低碳产业项目认定评价指标见表</w:t>
      </w:r>
      <w:r>
        <w:rPr>
          <w:rFonts w:hint="eastAsia" w:ascii="宋体" w:hAnsi="宋体" w:cs="宋体"/>
          <w:highlight w:val="none"/>
          <w:lang w:val="en-US" w:eastAsia="zh-CN"/>
        </w:rPr>
        <w:t>E</w:t>
      </w:r>
      <w:r>
        <w:rPr>
          <w:rFonts w:hint="eastAsia" w:ascii="宋体" w:hAnsi="宋体" w:eastAsia="宋体" w:cs="宋体"/>
          <w:highlight w:val="none"/>
          <w:lang w:val="en-US" w:eastAsia="zh-CN"/>
        </w:rPr>
        <w:t>.3和表</w:t>
      </w:r>
      <w:r>
        <w:rPr>
          <w:rFonts w:hint="eastAsia" w:ascii="宋体" w:hAnsi="宋体" w:cs="宋体"/>
          <w:highlight w:val="none"/>
          <w:lang w:val="en-US" w:eastAsia="zh-CN"/>
        </w:rPr>
        <w:t>E</w:t>
      </w:r>
      <w:r>
        <w:rPr>
          <w:rFonts w:hint="eastAsia" w:ascii="宋体" w:hAnsi="宋体" w:eastAsia="宋体" w:cs="宋体"/>
          <w:highlight w:val="none"/>
          <w:lang w:val="en-US" w:eastAsia="zh-CN"/>
        </w:rPr>
        <w:t>.4。</w:t>
      </w:r>
      <w:r>
        <w:rPr>
          <w:rFonts w:hint="eastAsia" w:ascii="宋体" w:hAnsi="宋体" w:cs="宋体"/>
          <w:highlight w:val="none"/>
          <w:lang w:val="en-US" w:eastAsia="zh-CN"/>
        </w:rPr>
        <w:t>环境基础设施</w:t>
      </w:r>
      <w:r>
        <w:rPr>
          <w:rFonts w:hint="eastAsia" w:ascii="宋体" w:hAnsi="宋体" w:eastAsia="宋体" w:cs="宋体"/>
          <w:highlight w:val="none"/>
          <w:lang w:val="en-US" w:eastAsia="zh-CN"/>
        </w:rPr>
        <w:t>领域绿色低碳产业项目各评价指标佐证材料索引见表</w:t>
      </w:r>
      <w:r>
        <w:rPr>
          <w:rFonts w:hint="eastAsia" w:ascii="宋体" w:hAnsi="宋体" w:cs="宋体"/>
          <w:highlight w:val="none"/>
          <w:lang w:val="en-US" w:eastAsia="zh-CN"/>
        </w:rPr>
        <w:t>D</w:t>
      </w:r>
      <w:r>
        <w:rPr>
          <w:rFonts w:hint="eastAsia" w:ascii="宋体" w:hAnsi="宋体" w:eastAsia="宋体" w:cs="宋体"/>
          <w:highlight w:val="none"/>
          <w:lang w:val="en-US" w:eastAsia="zh-CN"/>
        </w:rPr>
        <w:t>.3、表</w:t>
      </w:r>
      <w:r>
        <w:rPr>
          <w:rFonts w:hint="eastAsia" w:ascii="宋体" w:hAnsi="宋体" w:cs="宋体"/>
          <w:highlight w:val="none"/>
          <w:lang w:val="en-US" w:eastAsia="zh-CN"/>
        </w:rPr>
        <w:t>D</w:t>
      </w:r>
      <w:r>
        <w:rPr>
          <w:rFonts w:hint="eastAsia" w:ascii="宋体" w:hAnsi="宋体" w:eastAsia="宋体" w:cs="宋体"/>
          <w:highlight w:val="none"/>
          <w:lang w:val="en-US" w:eastAsia="zh-CN"/>
        </w:rPr>
        <w:t>.4。</w:t>
      </w:r>
    </w:p>
    <w:p w14:paraId="1B79B3FA">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jc w:val="center"/>
        <w:textAlignment w:val="auto"/>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3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lang w:eastAsia="zh-CN"/>
        </w:rPr>
        <w:t>认定</w:t>
      </w:r>
      <w:r>
        <w:rPr>
          <w:rFonts w:hint="eastAsia" w:ascii="黑体" w:hAnsi="黑体" w:eastAsia="黑体" w:cs="黑体"/>
          <w:szCs w:val="21"/>
          <w:highlight w:val="none"/>
          <w:lang w:val="en-US" w:eastAsia="zh-CN"/>
        </w:rPr>
        <w:t>符合性</w:t>
      </w:r>
      <w:r>
        <w:rPr>
          <w:rFonts w:hint="eastAsia" w:ascii="黑体" w:hAnsi="黑体" w:eastAsia="黑体" w:cs="黑体"/>
          <w:szCs w:val="21"/>
          <w:highlight w:val="none"/>
          <w:lang w:eastAsia="zh-CN"/>
        </w:rPr>
        <w:t>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46"/>
        <w:gridCol w:w="3764"/>
        <w:gridCol w:w="1859"/>
        <w:gridCol w:w="2890"/>
      </w:tblGrid>
      <w:tr w14:paraId="3B24D9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47" w:type="pct"/>
            <w:tcBorders>
              <w:bottom w:val="single" w:color="auto" w:sz="12" w:space="0"/>
            </w:tcBorders>
            <w:vAlign w:val="center"/>
          </w:tcPr>
          <w:p w14:paraId="6E23DBA0">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指标</w:t>
            </w:r>
          </w:p>
        </w:tc>
        <w:tc>
          <w:tcPr>
            <w:tcW w:w="1968" w:type="pct"/>
            <w:tcBorders>
              <w:bottom w:val="single" w:color="auto" w:sz="12" w:space="0"/>
            </w:tcBorders>
            <w:vAlign w:val="center"/>
          </w:tcPr>
          <w:p w14:paraId="7D237311">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符合性评价</w:t>
            </w:r>
          </w:p>
        </w:tc>
        <w:tc>
          <w:tcPr>
            <w:tcW w:w="972" w:type="pct"/>
            <w:tcBorders>
              <w:bottom w:val="single" w:color="auto" w:sz="12" w:space="0"/>
            </w:tcBorders>
            <w:vAlign w:val="center"/>
          </w:tcPr>
          <w:p w14:paraId="3A3AB3E7">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lang w:val="en-US" w:eastAsia="zh-CN"/>
              </w:rPr>
              <w:t>评价</w:t>
            </w:r>
            <w:r>
              <w:rPr>
                <w:rFonts w:hint="default" w:ascii="Times New Roman"/>
                <w:b/>
                <w:sz w:val="18"/>
                <w:szCs w:val="18"/>
                <w:highlight w:val="none"/>
              </w:rPr>
              <w:t>标准</w:t>
            </w:r>
          </w:p>
        </w:tc>
        <w:tc>
          <w:tcPr>
            <w:tcW w:w="1511" w:type="pct"/>
            <w:tcBorders>
              <w:bottom w:val="single" w:color="auto" w:sz="12" w:space="0"/>
            </w:tcBorders>
            <w:vAlign w:val="center"/>
          </w:tcPr>
          <w:p w14:paraId="1060EAC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符合性结论</w:t>
            </w:r>
          </w:p>
        </w:tc>
      </w:tr>
      <w:tr w14:paraId="4C4FA4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547" w:type="pct"/>
            <w:tcBorders>
              <w:top w:val="single" w:color="auto" w:sz="12" w:space="0"/>
              <w:tl2br w:val="nil"/>
              <w:tr2bl w:val="nil"/>
            </w:tcBorders>
            <w:vAlign w:val="center"/>
          </w:tcPr>
          <w:p w14:paraId="2FF1DF5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目录符合</w:t>
            </w:r>
          </w:p>
        </w:tc>
        <w:tc>
          <w:tcPr>
            <w:tcW w:w="1968" w:type="pct"/>
            <w:tcBorders>
              <w:top w:val="single" w:color="auto" w:sz="12" w:space="0"/>
              <w:tl2br w:val="nil"/>
              <w:tr2bl w:val="nil"/>
            </w:tcBorders>
            <w:vAlign w:val="center"/>
          </w:tcPr>
          <w:p w14:paraId="560260F3">
            <w:pPr>
              <w:pStyle w:val="26"/>
              <w:keepNext w:val="0"/>
              <w:keepLines w:val="0"/>
              <w:widowControl/>
              <w:suppressLineNumbers w:val="0"/>
              <w:spacing w:before="0" w:beforeAutospacing="0" w:after="0" w:afterAutospacing="0"/>
              <w:ind w:left="0" w:right="0" w:firstLine="0" w:firstLineChars="0"/>
              <w:rPr>
                <w:rFonts w:hint="eastAsia" w:hAnsi="宋体" w:eastAsia="宋体" w:cs="宋体"/>
                <w:sz w:val="18"/>
                <w:szCs w:val="18"/>
                <w:highlight w:val="none"/>
                <w:lang w:eastAsia="zh-CN"/>
              </w:rPr>
            </w:pPr>
            <w:r>
              <w:rPr>
                <w:rFonts w:hint="eastAsia" w:hAnsi="宋体" w:cs="宋体"/>
                <w:sz w:val="18"/>
                <w:szCs w:val="18"/>
                <w:highlight w:val="none"/>
                <w:lang w:val="en-US" w:eastAsia="zh-CN"/>
              </w:rPr>
              <w:t>申报认定评价的项目应属于环境基础设施领域，或在当地具备一定市场规模、经相关政府职能部门认可的其他相关行业</w:t>
            </w:r>
          </w:p>
        </w:tc>
        <w:tc>
          <w:tcPr>
            <w:tcW w:w="972" w:type="pct"/>
            <w:tcBorders>
              <w:top w:val="single" w:color="auto" w:sz="12" w:space="0"/>
              <w:tl2br w:val="nil"/>
              <w:tr2bl w:val="nil"/>
            </w:tcBorders>
            <w:vAlign w:val="center"/>
          </w:tcPr>
          <w:p w14:paraId="4E55871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是/否</w:t>
            </w:r>
          </w:p>
        </w:tc>
        <w:tc>
          <w:tcPr>
            <w:tcW w:w="1511" w:type="pct"/>
            <w:tcBorders>
              <w:top w:val="single" w:color="auto" w:sz="12" w:space="0"/>
              <w:tl2br w:val="nil"/>
              <w:tr2bl w:val="nil"/>
            </w:tcBorders>
            <w:vAlign w:val="center"/>
          </w:tcPr>
          <w:p w14:paraId="3C992981">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3518E8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547" w:type="pct"/>
            <w:tcBorders>
              <w:tl2br w:val="nil"/>
              <w:tr2bl w:val="nil"/>
            </w:tcBorders>
            <w:vAlign w:val="center"/>
          </w:tcPr>
          <w:p w14:paraId="79DF902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技术符合</w:t>
            </w:r>
          </w:p>
        </w:tc>
        <w:tc>
          <w:tcPr>
            <w:tcW w:w="1968" w:type="pct"/>
            <w:tcBorders>
              <w:tl2br w:val="nil"/>
              <w:tr2bl w:val="nil"/>
            </w:tcBorders>
            <w:vAlign w:val="center"/>
          </w:tcPr>
          <w:p w14:paraId="076C67F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提供的产品或服务应符合国家、广东省及深圳市相关主管部门发布文件列明的有关设计、能效、性能、安全、贮存、回收、标识、验收、管理和运维等技术要求</w:t>
            </w:r>
          </w:p>
        </w:tc>
        <w:tc>
          <w:tcPr>
            <w:tcW w:w="972" w:type="pct"/>
            <w:tcBorders>
              <w:tl2br w:val="nil"/>
              <w:tr2bl w:val="nil"/>
            </w:tcBorders>
            <w:vAlign w:val="center"/>
          </w:tcPr>
          <w:p w14:paraId="226AD6E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是/否</w:t>
            </w:r>
          </w:p>
        </w:tc>
        <w:tc>
          <w:tcPr>
            <w:tcW w:w="1511" w:type="pct"/>
            <w:tcBorders>
              <w:tl2br w:val="nil"/>
              <w:tr2bl w:val="nil"/>
            </w:tcBorders>
            <w:vAlign w:val="center"/>
          </w:tcPr>
          <w:p w14:paraId="291B6DBA">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bl>
    <w:p w14:paraId="29E07E5D">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4  环境基础设施领域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lang w:eastAsia="zh-CN"/>
        </w:rPr>
        <w:t>认定综合评价指标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5"/>
        <w:gridCol w:w="2100"/>
        <w:gridCol w:w="3581"/>
        <w:gridCol w:w="992"/>
        <w:gridCol w:w="1001"/>
      </w:tblGrid>
      <w:tr w14:paraId="48DDDC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2" w:hRule="atLeast"/>
          <w:tblHeader/>
        </w:trPr>
        <w:tc>
          <w:tcPr>
            <w:tcW w:w="491" w:type="pct"/>
            <w:tcBorders>
              <w:bottom w:val="single" w:color="auto" w:sz="12" w:space="0"/>
            </w:tcBorders>
            <w:vAlign w:val="center"/>
          </w:tcPr>
          <w:p w14:paraId="41513EC4">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一级指标</w:t>
            </w:r>
          </w:p>
        </w:tc>
        <w:tc>
          <w:tcPr>
            <w:tcW w:w="494" w:type="pct"/>
            <w:tcBorders>
              <w:bottom w:val="single" w:color="auto" w:sz="12" w:space="0"/>
            </w:tcBorders>
            <w:vAlign w:val="center"/>
          </w:tcPr>
          <w:p w14:paraId="13320A3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二级指标</w:t>
            </w:r>
          </w:p>
        </w:tc>
        <w:tc>
          <w:tcPr>
            <w:tcW w:w="1098" w:type="pct"/>
            <w:tcBorders>
              <w:bottom w:val="single" w:color="auto" w:sz="12" w:space="0"/>
            </w:tcBorders>
            <w:vAlign w:val="center"/>
          </w:tcPr>
          <w:p w14:paraId="36FC8690">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评价要求</w:t>
            </w:r>
          </w:p>
        </w:tc>
        <w:tc>
          <w:tcPr>
            <w:tcW w:w="1873" w:type="pct"/>
            <w:tcBorders>
              <w:bottom w:val="single" w:color="auto" w:sz="12" w:space="0"/>
            </w:tcBorders>
            <w:vAlign w:val="center"/>
          </w:tcPr>
          <w:p w14:paraId="6A0F60D2">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评分标准</w:t>
            </w:r>
          </w:p>
        </w:tc>
        <w:tc>
          <w:tcPr>
            <w:tcW w:w="518" w:type="pct"/>
            <w:tcBorders>
              <w:bottom w:val="single" w:color="auto" w:sz="12" w:space="0"/>
            </w:tcBorders>
            <w:vAlign w:val="center"/>
          </w:tcPr>
          <w:p w14:paraId="4C43AA34">
            <w:pPr>
              <w:pStyle w:val="26"/>
              <w:keepNext w:val="0"/>
              <w:keepLines w:val="0"/>
              <w:widowControl/>
              <w:suppressLineNumbers w:val="0"/>
              <w:spacing w:before="0" w:beforeAutospacing="0" w:after="0" w:afterAutospacing="0"/>
              <w:ind w:left="0" w:right="0" w:firstLine="0" w:firstLineChars="0"/>
              <w:rPr>
                <w:rFonts w:hint="default" w:ascii="Times New Roman"/>
                <w:b/>
                <w:sz w:val="18"/>
                <w:szCs w:val="18"/>
                <w:highlight w:val="none"/>
              </w:rPr>
            </w:pPr>
            <w:r>
              <w:rPr>
                <w:rFonts w:hint="default" w:ascii="Times New Roman"/>
                <w:b/>
                <w:sz w:val="18"/>
                <w:szCs w:val="18"/>
                <w:highlight w:val="none"/>
              </w:rPr>
              <w:t>分值</w:t>
            </w:r>
            <w:r>
              <w:rPr>
                <w:rFonts w:hint="eastAsia" w:ascii="Times New Roman"/>
                <w:b/>
                <w:sz w:val="18"/>
                <w:szCs w:val="18"/>
                <w:highlight w:val="none"/>
              </w:rPr>
              <w:t>（分）</w:t>
            </w:r>
          </w:p>
        </w:tc>
        <w:tc>
          <w:tcPr>
            <w:tcW w:w="523" w:type="pct"/>
            <w:tcBorders>
              <w:bottom w:val="single" w:color="auto" w:sz="12" w:space="0"/>
            </w:tcBorders>
            <w:vAlign w:val="center"/>
          </w:tcPr>
          <w:p w14:paraId="5700C21F">
            <w:pPr>
              <w:pStyle w:val="26"/>
              <w:keepNext w:val="0"/>
              <w:keepLines w:val="0"/>
              <w:widowControl/>
              <w:suppressLineNumbers w:val="0"/>
              <w:spacing w:before="0" w:beforeAutospacing="0" w:after="0" w:afterAutospacing="0"/>
              <w:ind w:left="0" w:right="0" w:firstLine="0" w:firstLineChars="0"/>
              <w:rPr>
                <w:rFonts w:hint="default" w:ascii="Times New Roman"/>
                <w:b/>
                <w:sz w:val="18"/>
                <w:szCs w:val="18"/>
                <w:highlight w:val="none"/>
              </w:rPr>
            </w:pPr>
            <w:r>
              <w:rPr>
                <w:rFonts w:hint="default" w:ascii="Times New Roman"/>
                <w:b/>
                <w:sz w:val="18"/>
                <w:szCs w:val="18"/>
                <w:highlight w:val="none"/>
              </w:rPr>
              <w:t>得分</w:t>
            </w:r>
            <w:r>
              <w:rPr>
                <w:rFonts w:hint="eastAsia" w:ascii="Times New Roman"/>
                <w:b/>
                <w:sz w:val="18"/>
                <w:szCs w:val="18"/>
                <w:highlight w:val="none"/>
              </w:rPr>
              <w:t>（分）</w:t>
            </w:r>
          </w:p>
        </w:tc>
      </w:tr>
      <w:tr w14:paraId="71BF72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8" w:hRule="atLeast"/>
        </w:trPr>
        <w:tc>
          <w:tcPr>
            <w:tcW w:w="491" w:type="pct"/>
            <w:vMerge w:val="restart"/>
            <w:tcBorders>
              <w:top w:val="single" w:color="auto" w:sz="12" w:space="0"/>
              <w:bottom w:val="single" w:color="auto" w:sz="4" w:space="0"/>
            </w:tcBorders>
            <w:vAlign w:val="center"/>
          </w:tcPr>
          <w:p w14:paraId="53A9462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技术表现</w:t>
            </w:r>
          </w:p>
        </w:tc>
        <w:tc>
          <w:tcPr>
            <w:tcW w:w="494" w:type="pct"/>
            <w:tcBorders>
              <w:top w:val="single" w:color="auto" w:sz="12" w:space="0"/>
              <w:bottom w:val="single" w:color="auto" w:sz="4" w:space="0"/>
            </w:tcBorders>
            <w:vAlign w:val="center"/>
          </w:tcPr>
          <w:p w14:paraId="5CC5CF0A">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有效知识产权</w:t>
            </w:r>
          </w:p>
        </w:tc>
        <w:tc>
          <w:tcPr>
            <w:tcW w:w="1098" w:type="pct"/>
            <w:tcBorders>
              <w:top w:val="single" w:color="auto" w:sz="12" w:space="0"/>
              <w:bottom w:val="single" w:color="auto" w:sz="4" w:space="0"/>
            </w:tcBorders>
            <w:vAlign w:val="center"/>
          </w:tcPr>
          <w:p w14:paraId="6D8B318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val="en-US" w:eastAsia="zh-CN"/>
              </w:rPr>
              <w:t>项目直接应用的、与环境基础设施领域相关的有效知识产权，按知识产权类别和知识产权获得形式加权计算数量</w:t>
            </w:r>
          </w:p>
        </w:tc>
        <w:tc>
          <w:tcPr>
            <w:tcW w:w="1873" w:type="pct"/>
            <w:tcBorders>
              <w:top w:val="single" w:color="auto" w:sz="12" w:space="0"/>
              <w:bottom w:val="single" w:color="auto" w:sz="4" w:space="0"/>
            </w:tcBorders>
            <w:vAlign w:val="center"/>
          </w:tcPr>
          <w:p w14:paraId="235F208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有效知识产权的应用数量处于行业领先水平</w:t>
            </w:r>
            <w:r>
              <w:rPr>
                <w:rFonts w:hint="eastAsia" w:hAnsi="宋体" w:cs="宋体"/>
                <w:sz w:val="18"/>
                <w:szCs w:val="18"/>
                <w:highlight w:val="none"/>
              </w:rPr>
              <w:t>(</w:t>
            </w:r>
            <w:r>
              <w:rPr>
                <w:rFonts w:hint="eastAsia" w:hAnsi="宋体" w:cs="宋体"/>
                <w:sz w:val="18"/>
                <w:szCs w:val="18"/>
                <w:highlight w:val="none"/>
                <w:lang w:val="en-US" w:eastAsia="zh-CN"/>
              </w:rPr>
              <w:t>10分</w:t>
            </w:r>
            <w:r>
              <w:rPr>
                <w:rFonts w:hint="eastAsia" w:hAnsi="宋体" w:cs="宋体"/>
                <w:sz w:val="18"/>
                <w:szCs w:val="18"/>
                <w:highlight w:val="none"/>
              </w:rPr>
              <w:t>,</w:t>
            </w:r>
            <w:r>
              <w:rPr>
                <w:rFonts w:hint="eastAsia" w:hAnsi="宋体" w:cs="宋体"/>
                <w:sz w:val="18"/>
                <w:szCs w:val="18"/>
                <w:highlight w:val="none"/>
                <w:lang w:val="en-US" w:eastAsia="zh-CN"/>
              </w:rPr>
              <w:t>15分</w:t>
            </w:r>
            <w:r>
              <w:rPr>
                <w:rFonts w:hint="eastAsia" w:hAnsi="宋体" w:cs="宋体"/>
                <w:sz w:val="18"/>
                <w:szCs w:val="18"/>
                <w:highlight w:val="none"/>
              </w:rPr>
              <w:t>]</w:t>
            </w:r>
          </w:p>
          <w:p w14:paraId="1D4B65F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有效知识产权的应用数量处于行业良好水平(5分,10分]</w:t>
            </w:r>
          </w:p>
          <w:p w14:paraId="5BD1D9F0">
            <w:pPr>
              <w:pStyle w:val="26"/>
              <w:keepNext w:val="0"/>
              <w:keepLines w:val="0"/>
              <w:widowControl/>
              <w:suppressLineNumbers w:val="0"/>
              <w:spacing w:before="0" w:beforeAutospacing="0" w:after="0" w:afterAutospacing="0"/>
              <w:ind w:left="0" w:right="0" w:firstLine="0" w:firstLineChars="0"/>
              <w:jc w:val="left"/>
              <w:rPr>
                <w:rFonts w:hint="eastAsia" w:hAnsi="宋体" w:eastAsia="宋体" w:cs="宋体"/>
                <w:sz w:val="18"/>
                <w:szCs w:val="18"/>
                <w:highlight w:val="none"/>
                <w:lang w:eastAsia="zh-CN"/>
              </w:rPr>
            </w:pPr>
            <w:r>
              <w:rPr>
                <w:rFonts w:hint="eastAsia" w:hAnsi="宋体" w:cs="宋体"/>
                <w:sz w:val="18"/>
                <w:szCs w:val="18"/>
                <w:highlight w:val="none"/>
              </w:rPr>
              <w:t>c.</w:t>
            </w:r>
            <w:r>
              <w:rPr>
                <w:rFonts w:hint="eastAsia" w:hAnsi="宋体" w:cs="宋体"/>
                <w:sz w:val="18"/>
                <w:szCs w:val="18"/>
                <w:highlight w:val="none"/>
                <w:lang w:val="en-US" w:eastAsia="zh-CN"/>
              </w:rPr>
              <w:t>有效知识产权的应用数量处于行业一般水平[0分,5分]</w:t>
            </w:r>
          </w:p>
        </w:tc>
        <w:tc>
          <w:tcPr>
            <w:tcW w:w="518" w:type="pct"/>
            <w:tcBorders>
              <w:top w:val="single" w:color="auto" w:sz="12" w:space="0"/>
              <w:bottom w:val="single" w:color="auto" w:sz="4" w:space="0"/>
            </w:tcBorders>
            <w:vAlign w:val="center"/>
          </w:tcPr>
          <w:p w14:paraId="77872F6B">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15</w:t>
            </w:r>
          </w:p>
        </w:tc>
        <w:tc>
          <w:tcPr>
            <w:tcW w:w="523" w:type="pct"/>
            <w:tcBorders>
              <w:top w:val="single" w:color="auto" w:sz="12" w:space="0"/>
              <w:bottom w:val="single" w:color="auto" w:sz="4" w:space="0"/>
            </w:tcBorders>
            <w:vAlign w:val="center"/>
          </w:tcPr>
          <w:p w14:paraId="7B70A04B">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69E31A5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491" w:type="pct"/>
            <w:vMerge w:val="continue"/>
            <w:tcBorders>
              <w:top w:val="single" w:color="auto" w:sz="4" w:space="0"/>
              <w:bottom w:val="single" w:color="auto" w:sz="4" w:space="0"/>
            </w:tcBorders>
            <w:vAlign w:val="center"/>
          </w:tcPr>
          <w:p w14:paraId="5D55EED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494" w:type="pct"/>
            <w:tcBorders>
              <w:top w:val="single" w:color="auto" w:sz="4" w:space="0"/>
              <w:bottom w:val="single" w:color="auto" w:sz="4" w:space="0"/>
            </w:tcBorders>
            <w:vAlign w:val="center"/>
          </w:tcPr>
          <w:p w14:paraId="49B49A1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关键技术先进性</w:t>
            </w:r>
          </w:p>
        </w:tc>
        <w:tc>
          <w:tcPr>
            <w:tcW w:w="1098" w:type="pct"/>
            <w:tcBorders>
              <w:top w:val="single" w:color="auto" w:sz="4" w:space="0"/>
              <w:bottom w:val="single" w:color="auto" w:sz="4" w:space="0"/>
            </w:tcBorders>
            <w:vAlign w:val="center"/>
          </w:tcPr>
          <w:p w14:paraId="2A8279B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环境基础设施领域相关产品或服务的核心技术先进水平，选取在该行业具备典型代表性的核心技术水平</w:t>
            </w:r>
          </w:p>
        </w:tc>
        <w:tc>
          <w:tcPr>
            <w:tcW w:w="1873" w:type="pct"/>
            <w:tcBorders>
              <w:top w:val="single" w:color="auto" w:sz="4" w:space="0"/>
              <w:bottom w:val="single" w:color="auto" w:sz="4" w:space="0"/>
            </w:tcBorders>
            <w:vAlign w:val="center"/>
          </w:tcPr>
          <w:p w14:paraId="7B6039E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关键技术处于行业领先水平，具有显著技术引领作用</w:t>
            </w:r>
            <w:r>
              <w:rPr>
                <w:rFonts w:hint="eastAsia" w:hAnsi="宋体" w:cs="宋体"/>
                <w:sz w:val="18"/>
                <w:szCs w:val="18"/>
                <w:highlight w:val="none"/>
              </w:rPr>
              <w:t>(</w:t>
            </w:r>
            <w:r>
              <w:rPr>
                <w:rFonts w:hint="eastAsia" w:hAnsi="宋体" w:cs="宋体"/>
                <w:sz w:val="18"/>
                <w:szCs w:val="18"/>
                <w:highlight w:val="none"/>
                <w:lang w:val="en-US" w:eastAsia="zh-CN"/>
              </w:rPr>
              <w:t>20分</w:t>
            </w:r>
            <w:r>
              <w:rPr>
                <w:rFonts w:hint="eastAsia" w:hAnsi="宋体" w:cs="宋体"/>
                <w:sz w:val="18"/>
                <w:szCs w:val="18"/>
                <w:highlight w:val="none"/>
              </w:rPr>
              <w:t>,</w:t>
            </w:r>
            <w:r>
              <w:rPr>
                <w:rFonts w:hint="eastAsia" w:hAnsi="宋体" w:cs="宋体"/>
                <w:sz w:val="18"/>
                <w:szCs w:val="18"/>
                <w:highlight w:val="none"/>
                <w:lang w:val="en-US" w:eastAsia="zh-CN"/>
              </w:rPr>
              <w:t>25分</w:t>
            </w:r>
            <w:r>
              <w:rPr>
                <w:rFonts w:hint="eastAsia" w:hAnsi="宋体" w:cs="宋体"/>
                <w:sz w:val="18"/>
                <w:szCs w:val="18"/>
                <w:highlight w:val="none"/>
              </w:rPr>
              <w:t>]</w:t>
            </w:r>
          </w:p>
          <w:p w14:paraId="2BFE16C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关键技术处于行业较好水平，具有一定技术推动作用(10分,20分]</w:t>
            </w:r>
          </w:p>
          <w:p w14:paraId="6B8E5835">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rPr>
              <w:t>c.</w:t>
            </w:r>
            <w:r>
              <w:rPr>
                <w:rFonts w:hint="eastAsia" w:hAnsi="宋体" w:cs="宋体"/>
                <w:sz w:val="18"/>
                <w:szCs w:val="18"/>
                <w:highlight w:val="none"/>
                <w:lang w:val="en-US" w:eastAsia="zh-CN"/>
              </w:rPr>
              <w:t>关键技术处于行业平均水平(0分,10分]</w:t>
            </w:r>
          </w:p>
          <w:p w14:paraId="1E15D8DF">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lang w:val="en-US" w:eastAsia="zh-CN"/>
              </w:rPr>
              <w:t>d.未满足上述任何一项</w:t>
            </w:r>
            <w:r>
              <w:rPr>
                <w:rFonts w:hint="eastAsia" w:hAnsi="宋体" w:cs="宋体"/>
                <w:sz w:val="18"/>
                <w:szCs w:val="18"/>
                <w:highlight w:val="none"/>
                <w:lang w:eastAsia="zh-CN"/>
              </w:rPr>
              <w:t>。（</w:t>
            </w:r>
            <w:r>
              <w:rPr>
                <w:rFonts w:hint="eastAsia" w:hAnsi="宋体" w:cs="宋体"/>
                <w:sz w:val="18"/>
                <w:szCs w:val="18"/>
                <w:highlight w:val="none"/>
                <w:lang w:val="en-US" w:eastAsia="zh-CN"/>
              </w:rPr>
              <w:t>0分</w:t>
            </w:r>
            <w:r>
              <w:rPr>
                <w:rFonts w:hint="eastAsia" w:hAnsi="宋体" w:cs="宋体"/>
                <w:sz w:val="18"/>
                <w:szCs w:val="18"/>
                <w:highlight w:val="none"/>
                <w:lang w:eastAsia="zh-CN"/>
              </w:rPr>
              <w:t>）</w:t>
            </w:r>
          </w:p>
        </w:tc>
        <w:tc>
          <w:tcPr>
            <w:tcW w:w="518" w:type="pct"/>
            <w:tcBorders>
              <w:top w:val="single" w:color="auto" w:sz="4" w:space="0"/>
              <w:bottom w:val="single" w:color="auto" w:sz="4" w:space="0"/>
            </w:tcBorders>
            <w:vAlign w:val="center"/>
          </w:tcPr>
          <w:p w14:paraId="0CE52E1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25</w:t>
            </w:r>
          </w:p>
        </w:tc>
        <w:tc>
          <w:tcPr>
            <w:tcW w:w="523" w:type="pct"/>
            <w:tcBorders>
              <w:top w:val="single" w:color="auto" w:sz="4" w:space="0"/>
              <w:bottom w:val="single" w:color="auto" w:sz="4" w:space="0"/>
            </w:tcBorders>
            <w:vAlign w:val="center"/>
          </w:tcPr>
          <w:p w14:paraId="1156BC90">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21B125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91" w:hRule="atLeast"/>
        </w:trPr>
        <w:tc>
          <w:tcPr>
            <w:tcW w:w="491" w:type="pct"/>
            <w:vMerge w:val="continue"/>
            <w:tcBorders>
              <w:top w:val="single" w:color="auto" w:sz="4" w:space="0"/>
              <w:bottom w:val="single" w:color="auto" w:sz="4" w:space="0"/>
            </w:tcBorders>
            <w:vAlign w:val="center"/>
          </w:tcPr>
          <w:p w14:paraId="0E4ABB5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494" w:type="pct"/>
            <w:tcBorders>
              <w:top w:val="single" w:color="auto" w:sz="4" w:space="0"/>
              <w:bottom w:val="single" w:color="auto" w:sz="4" w:space="0"/>
            </w:tcBorders>
            <w:vAlign w:val="center"/>
          </w:tcPr>
          <w:p w14:paraId="2B40006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环境效益</w:t>
            </w:r>
          </w:p>
        </w:tc>
        <w:tc>
          <w:tcPr>
            <w:tcW w:w="1098" w:type="pct"/>
            <w:tcBorders>
              <w:top w:val="single" w:color="auto" w:sz="4" w:space="0"/>
              <w:bottom w:val="single" w:color="auto" w:sz="4" w:space="0"/>
            </w:tcBorders>
            <w:vAlign w:val="center"/>
          </w:tcPr>
          <w:p w14:paraId="59CE73AF">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在环境基础设施领域，采购方应用项目相关产品或服务过程中取得的资源节约、环境友好、生态良好相关实际环境效益贡献量和涉及的环境效益种类数量</w:t>
            </w:r>
          </w:p>
        </w:tc>
        <w:tc>
          <w:tcPr>
            <w:tcW w:w="1873" w:type="pct"/>
            <w:tcBorders>
              <w:top w:val="single" w:color="auto" w:sz="4" w:space="0"/>
              <w:bottom w:val="single" w:color="auto" w:sz="4" w:space="0"/>
            </w:tcBorders>
            <w:vAlign w:val="center"/>
          </w:tcPr>
          <w:p w14:paraId="78B4AE09">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a.取得的环境效益效果显著，处于行业领先水平(15分,20分]</w:t>
            </w:r>
          </w:p>
          <w:p w14:paraId="5611C36D">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b.取得的环境效益效果较好，处于行业良好水平(10分,15分]</w:t>
            </w:r>
          </w:p>
          <w:p w14:paraId="741DFF94">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c.取得的环境效益效果一般，处于行业一般水平[0分,10分]</w:t>
            </w:r>
          </w:p>
        </w:tc>
        <w:tc>
          <w:tcPr>
            <w:tcW w:w="518" w:type="pct"/>
            <w:tcBorders>
              <w:top w:val="single" w:color="auto" w:sz="4" w:space="0"/>
              <w:bottom w:val="single" w:color="auto" w:sz="4" w:space="0"/>
            </w:tcBorders>
            <w:vAlign w:val="center"/>
          </w:tcPr>
          <w:p w14:paraId="0DAB70F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20</w:t>
            </w:r>
          </w:p>
        </w:tc>
        <w:tc>
          <w:tcPr>
            <w:tcW w:w="523" w:type="pct"/>
            <w:tcBorders>
              <w:top w:val="single" w:color="auto" w:sz="4" w:space="0"/>
              <w:bottom w:val="single" w:color="auto" w:sz="4" w:space="0"/>
            </w:tcBorders>
            <w:vAlign w:val="center"/>
          </w:tcPr>
          <w:p w14:paraId="1D6225E0">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6450DE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restart"/>
            <w:tcBorders>
              <w:top w:val="single" w:color="auto" w:sz="4" w:space="0"/>
              <w:bottom w:val="single" w:color="auto" w:sz="4" w:space="0"/>
            </w:tcBorders>
            <w:vAlign w:val="center"/>
          </w:tcPr>
          <w:p w14:paraId="3222547D">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环境表现</w:t>
            </w:r>
          </w:p>
        </w:tc>
        <w:tc>
          <w:tcPr>
            <w:tcW w:w="494" w:type="pct"/>
            <w:tcBorders>
              <w:top w:val="single" w:color="auto" w:sz="4" w:space="0"/>
              <w:bottom w:val="single" w:color="auto" w:sz="4" w:space="0"/>
            </w:tcBorders>
            <w:vAlign w:val="center"/>
          </w:tcPr>
          <w:p w14:paraId="48581E2E">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绿色低碳运营</w:t>
            </w:r>
          </w:p>
        </w:tc>
        <w:tc>
          <w:tcPr>
            <w:tcW w:w="1098" w:type="pct"/>
            <w:tcBorders>
              <w:top w:val="single" w:color="auto" w:sz="4" w:space="0"/>
              <w:bottom w:val="single" w:color="auto" w:sz="4" w:space="0"/>
            </w:tcBorders>
            <w:vAlign w:val="center"/>
          </w:tcPr>
          <w:p w14:paraId="303C4ACD">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从项目的单位总投资综合能耗、单位总投资用水量、单位总投资用地面积、单位总投资碳排放量、可再生能源占比等方面进行综合评估</w:t>
            </w:r>
          </w:p>
        </w:tc>
        <w:tc>
          <w:tcPr>
            <w:tcW w:w="1873" w:type="pct"/>
            <w:tcBorders>
              <w:top w:val="single" w:color="auto" w:sz="4" w:space="0"/>
              <w:bottom w:val="single" w:color="auto" w:sz="4" w:space="0"/>
            </w:tcBorders>
            <w:vAlign w:val="center"/>
          </w:tcPr>
          <w:p w14:paraId="3AAC4A95">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a.五项指标达到业内领先水平(16分,20分]</w:t>
            </w:r>
          </w:p>
          <w:p w14:paraId="43F4F852">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b.四项指标达到业内领先水平(12分,16分]</w:t>
            </w:r>
          </w:p>
          <w:p w14:paraId="5975BED6">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c.三项指标达到业内领先水平(8分,12分]</w:t>
            </w:r>
          </w:p>
          <w:p w14:paraId="29DF05A1">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d.两项指标达到业内领先水平(4分,8分]</w:t>
            </w:r>
          </w:p>
          <w:p w14:paraId="44F4CE69">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e.一项指标达到业内领先水平(0分,4分]</w:t>
            </w:r>
          </w:p>
        </w:tc>
        <w:tc>
          <w:tcPr>
            <w:tcW w:w="518" w:type="pct"/>
            <w:tcBorders>
              <w:top w:val="single" w:color="auto" w:sz="4" w:space="0"/>
              <w:bottom w:val="single" w:color="auto" w:sz="4" w:space="0"/>
            </w:tcBorders>
            <w:vAlign w:val="center"/>
          </w:tcPr>
          <w:p w14:paraId="2CCA5940">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20</w:t>
            </w:r>
          </w:p>
        </w:tc>
        <w:tc>
          <w:tcPr>
            <w:tcW w:w="523" w:type="pct"/>
            <w:tcBorders>
              <w:top w:val="single" w:color="auto" w:sz="4" w:space="0"/>
              <w:bottom w:val="single" w:color="auto" w:sz="4" w:space="0"/>
            </w:tcBorders>
            <w:vAlign w:val="center"/>
          </w:tcPr>
          <w:p w14:paraId="34FA5AD7">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507642D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continue"/>
            <w:tcBorders>
              <w:top w:val="single" w:color="auto" w:sz="4" w:space="0"/>
              <w:bottom w:val="single" w:color="auto" w:sz="4" w:space="0"/>
            </w:tcBorders>
            <w:vAlign w:val="center"/>
          </w:tcPr>
          <w:p w14:paraId="7F043940">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p>
        </w:tc>
        <w:tc>
          <w:tcPr>
            <w:tcW w:w="494" w:type="pct"/>
            <w:tcBorders>
              <w:top w:val="single" w:color="auto" w:sz="4" w:space="0"/>
              <w:bottom w:val="single" w:color="auto" w:sz="4" w:space="0"/>
            </w:tcBorders>
            <w:vAlign w:val="center"/>
          </w:tcPr>
          <w:p w14:paraId="397131E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098" w:type="pct"/>
            <w:tcBorders>
              <w:top w:val="single" w:color="auto" w:sz="4" w:space="0"/>
              <w:bottom w:val="single" w:color="auto" w:sz="4" w:space="0"/>
            </w:tcBorders>
            <w:vAlign w:val="center"/>
          </w:tcPr>
          <w:p w14:paraId="6C5A947C">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从项目采用工艺、设备、材料的绿色化水平等方面进行综合评价</w:t>
            </w:r>
          </w:p>
        </w:tc>
        <w:tc>
          <w:tcPr>
            <w:tcW w:w="1873" w:type="pct"/>
            <w:tcBorders>
              <w:top w:val="single" w:color="auto" w:sz="4" w:space="0"/>
              <w:bottom w:val="single" w:color="auto" w:sz="4" w:space="0"/>
            </w:tcBorders>
            <w:vAlign w:val="center"/>
          </w:tcPr>
          <w:p w14:paraId="6FA0AADC">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a.工艺设备材料绿色化程度较高(7分,10分]</w:t>
            </w:r>
          </w:p>
          <w:p w14:paraId="557A2815">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b.工艺设备材料绿色化程度中等(4分,7分]</w:t>
            </w:r>
          </w:p>
          <w:p w14:paraId="55670C9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c.工艺设备材料绿色化程度一般[0分,4分]</w:t>
            </w:r>
          </w:p>
        </w:tc>
        <w:tc>
          <w:tcPr>
            <w:tcW w:w="518" w:type="pct"/>
            <w:tcBorders>
              <w:top w:val="single" w:color="auto" w:sz="4" w:space="0"/>
              <w:bottom w:val="single" w:color="auto" w:sz="4" w:space="0"/>
            </w:tcBorders>
            <w:vAlign w:val="center"/>
          </w:tcPr>
          <w:p w14:paraId="062276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523" w:type="pct"/>
            <w:tcBorders>
              <w:top w:val="single" w:color="auto" w:sz="4" w:space="0"/>
              <w:bottom w:val="single" w:color="auto" w:sz="4" w:space="0"/>
            </w:tcBorders>
            <w:vAlign w:val="center"/>
          </w:tcPr>
          <w:p w14:paraId="48F12776">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0952146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continue"/>
            <w:tcBorders>
              <w:top w:val="single" w:color="auto" w:sz="4" w:space="0"/>
              <w:bottom w:val="single" w:color="auto" w:sz="12" w:space="0"/>
            </w:tcBorders>
            <w:vAlign w:val="center"/>
          </w:tcPr>
          <w:p w14:paraId="7B717348">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c>
          <w:tcPr>
            <w:tcW w:w="494" w:type="pct"/>
            <w:tcBorders>
              <w:top w:val="single" w:color="auto" w:sz="4" w:space="0"/>
              <w:bottom w:val="single" w:color="auto" w:sz="12" w:space="0"/>
            </w:tcBorders>
            <w:vAlign w:val="center"/>
          </w:tcPr>
          <w:p w14:paraId="02034FF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污染物排放水平</w:t>
            </w:r>
          </w:p>
        </w:tc>
        <w:tc>
          <w:tcPr>
            <w:tcW w:w="1098" w:type="pct"/>
            <w:tcBorders>
              <w:top w:val="single" w:color="auto" w:sz="4" w:space="0"/>
              <w:bottom w:val="single" w:color="auto" w:sz="12" w:space="0"/>
            </w:tcBorders>
            <w:vAlign w:val="center"/>
          </w:tcPr>
          <w:p w14:paraId="7BF2292C">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项目近一年自身生产运营过程向环境排放污染物的情况</w:t>
            </w:r>
          </w:p>
        </w:tc>
        <w:tc>
          <w:tcPr>
            <w:tcW w:w="1873" w:type="pct"/>
            <w:tcBorders>
              <w:top w:val="single" w:color="auto" w:sz="4" w:space="0"/>
              <w:bottom w:val="single" w:color="auto" w:sz="12" w:space="0"/>
            </w:tcBorders>
            <w:vAlign w:val="center"/>
          </w:tcPr>
          <w:p w14:paraId="5D1F868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a.不排放污染物，或根据排污许可相关管理条例实行排污登记管理，或需控制的污染物有80%的种类优于排污许可证限值20%，或优于排放源所在地同类行业污染物排放限值20%得</w:t>
            </w:r>
            <w:r>
              <w:rPr>
                <w:rFonts w:hint="eastAsia" w:hAnsi="宋体" w:cs="宋体"/>
                <w:sz w:val="18"/>
                <w:szCs w:val="18"/>
                <w:highlight w:val="none"/>
              </w:rPr>
              <w:t>(</w:t>
            </w:r>
            <w:r>
              <w:rPr>
                <w:rFonts w:hint="eastAsia" w:hAnsi="宋体" w:cs="宋体"/>
                <w:sz w:val="18"/>
                <w:szCs w:val="18"/>
                <w:highlight w:val="none"/>
                <w:lang w:val="en-US" w:eastAsia="zh-CN"/>
              </w:rPr>
              <w:t>5分</w:t>
            </w:r>
            <w:r>
              <w:rPr>
                <w:rFonts w:hint="eastAsia" w:hAnsi="宋体" w:cs="宋体"/>
                <w:sz w:val="18"/>
                <w:szCs w:val="18"/>
                <w:highlight w:val="none"/>
              </w:rPr>
              <w:t>,</w:t>
            </w:r>
            <w:r>
              <w:rPr>
                <w:rFonts w:hint="eastAsia" w:hAnsi="宋体" w:cs="宋体"/>
                <w:sz w:val="18"/>
                <w:szCs w:val="18"/>
                <w:highlight w:val="none"/>
                <w:lang w:val="en-US" w:eastAsia="zh-CN"/>
              </w:rPr>
              <w:t>10分</w:t>
            </w:r>
            <w:r>
              <w:rPr>
                <w:rFonts w:hint="eastAsia" w:hAnsi="宋体" w:cs="宋体"/>
                <w:sz w:val="18"/>
                <w:szCs w:val="18"/>
                <w:highlight w:val="none"/>
              </w:rPr>
              <w:t>]</w:t>
            </w:r>
          </w:p>
          <w:p w14:paraId="22A6923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b.需控制的污染物有80%的种类优于排污许可证限值10%，或优于排放源所在地同类行业污染物排放限值10%得(0分,5分]</w:t>
            </w:r>
          </w:p>
          <w:p w14:paraId="2FE3CF3E">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c.不满足上述任何一项。（0分）</w:t>
            </w:r>
          </w:p>
        </w:tc>
        <w:tc>
          <w:tcPr>
            <w:tcW w:w="518" w:type="pct"/>
            <w:tcBorders>
              <w:top w:val="single" w:color="auto" w:sz="4" w:space="0"/>
              <w:bottom w:val="single" w:color="auto" w:sz="12" w:space="0"/>
            </w:tcBorders>
            <w:vAlign w:val="center"/>
          </w:tcPr>
          <w:p w14:paraId="6525244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523" w:type="pct"/>
            <w:tcBorders>
              <w:top w:val="single" w:color="auto" w:sz="4" w:space="0"/>
              <w:bottom w:val="single" w:color="auto" w:sz="12" w:space="0"/>
            </w:tcBorders>
            <w:vAlign w:val="center"/>
          </w:tcPr>
          <w:p w14:paraId="2BAD6373">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r>
      <w:tr w14:paraId="1DA827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476" w:type="pct"/>
            <w:gridSpan w:val="5"/>
            <w:tcBorders>
              <w:top w:val="single" w:color="auto" w:sz="12" w:space="0"/>
            </w:tcBorders>
            <w:vAlign w:val="center"/>
          </w:tcPr>
          <w:p w14:paraId="18D109F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b/>
                <w:bCs/>
                <w:sz w:val="18"/>
                <w:szCs w:val="18"/>
                <w:highlight w:val="none"/>
                <w:lang w:val="en-US" w:eastAsia="zh-CN"/>
              </w:rPr>
              <w:t>总得分</w:t>
            </w:r>
          </w:p>
        </w:tc>
        <w:tc>
          <w:tcPr>
            <w:tcW w:w="523" w:type="pct"/>
            <w:tcBorders>
              <w:top w:val="single" w:color="auto" w:sz="12" w:space="0"/>
            </w:tcBorders>
            <w:vAlign w:val="center"/>
          </w:tcPr>
          <w:p w14:paraId="53445D3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r>
    </w:tbl>
    <w:p w14:paraId="3BECD5B6">
      <w:pPr>
        <w:pStyle w:val="26"/>
        <w:ind w:left="0" w:leftChars="0" w:firstLine="0" w:firstLineChars="0"/>
        <w:rPr>
          <w:rFonts w:ascii="Times New Roman"/>
          <w:highlight w:val="none"/>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14:paraId="25B7CFAE">
      <w:pPr>
        <w:pStyle w:val="76"/>
        <w:rPr>
          <w:rFonts w:ascii="Times New Roman"/>
          <w:highlight w:val="none"/>
        </w:rPr>
      </w:pPr>
      <w:bookmarkStart w:id="133" w:name="_Toc24497"/>
      <w:bookmarkStart w:id="134" w:name="_Toc963"/>
      <w:bookmarkStart w:id="135" w:name="_Toc102992471"/>
      <w:r>
        <w:rPr>
          <w:rFonts w:ascii="Times New Roman"/>
          <w:highlight w:val="none"/>
        </w:rPr>
        <w:t>参 考 文 献</w:t>
      </w:r>
      <w:bookmarkEnd w:id="120"/>
      <w:bookmarkEnd w:id="133"/>
      <w:bookmarkEnd w:id="134"/>
      <w:bookmarkEnd w:id="135"/>
    </w:p>
    <w:p w14:paraId="5C7D7FA2">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w:t>
      </w:r>
      <w:r>
        <w:rPr>
          <w:rFonts w:hint="eastAsia" w:ascii="宋体" w:hAnsi="宋体" w:cs="宋体"/>
          <w:highlight w:val="none"/>
          <w:lang w:val="en-US" w:eastAsia="zh-CN"/>
        </w:rPr>
        <w:t xml:space="preserve">GB/T 2589—2020  </w:t>
      </w:r>
      <w:r>
        <w:rPr>
          <w:rFonts w:hint="eastAsia" w:ascii="宋体" w:hAnsi="宋体" w:cs="宋体"/>
          <w:highlight w:val="none"/>
        </w:rPr>
        <w:t>综合能耗计算通则</w:t>
      </w:r>
    </w:p>
    <w:p w14:paraId="4D310FF8">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GB/T 36132—2018  绿色工厂评价通则</w:t>
      </w:r>
    </w:p>
    <w:p w14:paraId="5C6A7F57">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GB/T 39966—2021  废弃资源综合利用业环境绩效评价导则</w:t>
      </w:r>
    </w:p>
    <w:p w14:paraId="6B14E5B9">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DB3305/T 62—2018  绿色融资企业评价规范</w:t>
      </w:r>
    </w:p>
    <w:p w14:paraId="046C45A4">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DB3308/T 69—2020  绿色企业评价规范</w:t>
      </w:r>
    </w:p>
    <w:p w14:paraId="64149D61">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lang w:val="en-US" w:eastAsia="zh-CN"/>
        </w:rPr>
        <w:t xml:space="preserve"> </w:t>
      </w:r>
      <w:r>
        <w:rPr>
          <w:rFonts w:hint="eastAsia" w:ascii="宋体" w:hAnsi="宋体" w:cs="宋体"/>
          <w:highlight w:val="none"/>
        </w:rPr>
        <w:t>SZDB</w:t>
      </w:r>
      <w:r>
        <w:rPr>
          <w:rFonts w:hint="eastAsia" w:ascii="宋体" w:hAnsi="宋体" w:cs="宋体"/>
          <w:highlight w:val="none"/>
          <w:lang w:val="en-US" w:eastAsia="zh-CN"/>
        </w:rPr>
        <w:t>/</w:t>
      </w:r>
      <w:r>
        <w:rPr>
          <w:rFonts w:hint="eastAsia" w:ascii="宋体" w:hAnsi="宋体" w:cs="宋体"/>
          <w:highlight w:val="none"/>
        </w:rPr>
        <w:t>Z 69—2018</w:t>
      </w:r>
      <w:r>
        <w:rPr>
          <w:rFonts w:hint="eastAsia" w:ascii="宋体" w:hAnsi="宋体" w:cs="宋体"/>
          <w:highlight w:val="none"/>
          <w:lang w:val="en-US" w:eastAsia="zh-CN"/>
        </w:rPr>
        <w:t xml:space="preserve">  组织的温室气体排放量化和报告指南</w:t>
      </w:r>
    </w:p>
    <w:p w14:paraId="0762E6C3">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lang w:val="en-US" w:eastAsia="zh-CN"/>
        </w:rPr>
        <w:t xml:space="preserve"> DB4403/T 400—2023  金融机构绿色投融资环境效益信息披露指标要求</w:t>
      </w:r>
    </w:p>
    <w:p w14:paraId="48D99FBA">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rPr>
        <w:t xml:space="preserve"> T/CGDF 00002—2018  绿色企业评选标准</w:t>
      </w:r>
    </w:p>
    <w:p w14:paraId="5C14B413">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科技部 财政部 国家税务总局.关于修订印发《高新技术企业认定管理办法》的通知[EB/OL].（2016-02-04）[2023-01-16].https://www.most.gov.cn/xxgk/xinxifenlei/fdzdgknr/fgzc/gfxwj/gfxwj2016/201602/t20160205_123998.html. </w:t>
      </w:r>
    </w:p>
    <w:p w14:paraId="664C0FDD">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工业和信息化部.关于印发《优质中小企业梯度培育管理暂行办法》的通知[EB/OL].（2022-06-01）[2023-01-16].https://ythxxfb.miit.gov.cn/ythzxfwpt/hlwmh/tzgg/sbfw/qyshzr/art/2022/art_7e837e1f401c43a2990d82cf36b624bb.html.</w:t>
      </w:r>
    </w:p>
    <w:p w14:paraId="1830CF3F">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w:t>
      </w:r>
      <w:r>
        <w:rPr>
          <w:rFonts w:ascii="宋体" w:hAnsi="宋体" w:cs="宋体"/>
          <w:highlight w:val="none"/>
        </w:rPr>
        <w:t>国家统计局.关于印发《研究与试验发展（R&amp;D）投入统计规范（试行）》的通知[EB/OL].</w:t>
      </w:r>
      <w:r>
        <w:rPr>
          <w:rFonts w:hint="eastAsia" w:ascii="宋体" w:hAnsi="宋体" w:cs="宋体"/>
          <w:highlight w:val="none"/>
        </w:rPr>
        <w:t>（2019-04-19）</w:t>
      </w:r>
      <w:r>
        <w:rPr>
          <w:rFonts w:ascii="宋体" w:hAnsi="宋体" w:cs="宋体"/>
          <w:highlight w:val="none"/>
        </w:rPr>
        <w:t>[20</w:t>
      </w:r>
      <w:r>
        <w:rPr>
          <w:rFonts w:hint="eastAsia" w:ascii="宋体" w:hAnsi="宋体" w:cs="宋体"/>
          <w:highlight w:val="none"/>
        </w:rPr>
        <w:t>23</w:t>
      </w:r>
      <w:r>
        <w:rPr>
          <w:rFonts w:ascii="宋体" w:hAnsi="宋体" w:cs="宋体"/>
          <w:highlight w:val="none"/>
        </w:rPr>
        <w:t>-0</w:t>
      </w:r>
      <w:r>
        <w:rPr>
          <w:rFonts w:hint="eastAsia" w:ascii="宋体" w:hAnsi="宋体" w:cs="宋体"/>
          <w:highlight w:val="none"/>
        </w:rPr>
        <w:t>1</w:t>
      </w:r>
      <w:r>
        <w:rPr>
          <w:rFonts w:ascii="宋体" w:hAnsi="宋体" w:cs="宋体"/>
          <w:highlight w:val="none"/>
        </w:rPr>
        <w:t>-</w:t>
      </w:r>
      <w:r>
        <w:rPr>
          <w:rFonts w:hint="eastAsia" w:ascii="宋体" w:hAnsi="宋体" w:cs="宋体"/>
          <w:highlight w:val="none"/>
        </w:rPr>
        <w:t>16</w:t>
      </w:r>
      <w:r>
        <w:rPr>
          <w:rFonts w:ascii="宋体" w:hAnsi="宋体" w:cs="宋体"/>
          <w:highlight w:val="none"/>
        </w:rPr>
        <w:t>].</w:t>
      </w:r>
      <w:r>
        <w:rPr>
          <w:rFonts w:ascii="宋体" w:hAnsi="宋体" w:cs="宋体"/>
          <w:spacing w:val="-6"/>
          <w:sz w:val="21"/>
          <w:highlight w:val="none"/>
        </w:rPr>
        <w:t>http://www.stats.gov.cn/tjgz/tzgb/201905/t20190507_1663326.html.</w:t>
      </w:r>
    </w:p>
    <w:p w14:paraId="713515B5">
      <w:pPr>
        <w:numPr>
          <w:ilvl w:val="0"/>
          <w:numId w:val="25"/>
        </w:numPr>
        <w:wordWrap w:val="0"/>
        <w:autoSpaceDE w:val="0"/>
        <w:autoSpaceDN w:val="0"/>
        <w:ind w:firstLine="420"/>
        <w:rPr>
          <w:highlight w:val="none"/>
        </w:rPr>
      </w:pPr>
      <w:r>
        <w:rPr>
          <w:rFonts w:ascii="宋体" w:hAnsi="宋体" w:cs="宋体"/>
          <w:highlight w:val="none"/>
        </w:rPr>
        <w:t xml:space="preserve"> 国家统计局.关于印发《统计上大中小微型企业划分办法(2017)》的通知[EB/OL].</w:t>
      </w:r>
      <w:r>
        <w:rPr>
          <w:rFonts w:hint="eastAsia" w:ascii="宋体" w:hAnsi="宋体" w:cs="宋体"/>
          <w:highlight w:val="none"/>
        </w:rPr>
        <w:t>（2017-12-28）</w:t>
      </w:r>
      <w:r>
        <w:rPr>
          <w:rFonts w:ascii="宋体" w:hAnsi="宋体" w:cs="宋体"/>
          <w:highlight w:val="none"/>
        </w:rPr>
        <w:t>[20</w:t>
      </w:r>
      <w:r>
        <w:rPr>
          <w:rFonts w:hint="eastAsia" w:ascii="宋体" w:hAnsi="宋体" w:cs="宋体"/>
          <w:highlight w:val="none"/>
        </w:rPr>
        <w:t>23</w:t>
      </w:r>
      <w:r>
        <w:rPr>
          <w:rFonts w:ascii="宋体" w:hAnsi="宋体" w:cs="宋体"/>
          <w:highlight w:val="none"/>
        </w:rPr>
        <w:t>-0</w:t>
      </w:r>
      <w:r>
        <w:rPr>
          <w:rFonts w:hint="eastAsia" w:ascii="宋体" w:hAnsi="宋体" w:cs="宋体"/>
          <w:highlight w:val="none"/>
        </w:rPr>
        <w:t>1</w:t>
      </w:r>
      <w:r>
        <w:rPr>
          <w:rFonts w:ascii="宋体" w:hAnsi="宋体" w:cs="宋体"/>
          <w:highlight w:val="none"/>
        </w:rPr>
        <w:t>-</w:t>
      </w:r>
      <w:r>
        <w:rPr>
          <w:rFonts w:hint="eastAsia" w:ascii="宋体" w:hAnsi="宋体" w:cs="宋体"/>
          <w:highlight w:val="none"/>
        </w:rPr>
        <w:t>16</w:t>
      </w:r>
      <w:r>
        <w:rPr>
          <w:rFonts w:ascii="宋体" w:hAnsi="宋体" w:cs="宋体"/>
          <w:highlight w:val="none"/>
        </w:rPr>
        <w:t>].http://www.stats.gov.cn/xxgk/tjbz/gjtjbz/202008/t20200811_1782335.html.</w:t>
      </w:r>
    </w:p>
    <w:p w14:paraId="4C696ACC">
      <w:pPr>
        <w:pStyle w:val="26"/>
        <w:numPr>
          <w:ilvl w:val="0"/>
          <w:numId w:val="25"/>
        </w:numPr>
        <w:wordWrap w:val="0"/>
        <w:ind w:firstLineChars="0"/>
        <w:jc w:val="left"/>
        <w:rPr>
          <w:highlight w:val="none"/>
        </w:rPr>
      </w:pPr>
      <w:r>
        <w:rPr>
          <w:rFonts w:hint="eastAsia"/>
          <w:highlight w:val="none"/>
        </w:rPr>
        <w:t xml:space="preserve"> </w:t>
      </w:r>
      <w:r>
        <w:rPr>
          <w:rFonts w:hint="eastAsia" w:hAnsi="宋体" w:cs="宋体"/>
          <w:highlight w:val="none"/>
        </w:rPr>
        <w:t>深圳市市场监督管理局.关于印发《深圳市市场监督管理局深圳标准领域专项资金资助奖励操作规程》的通知[EB/OL].（2021-11-22）[2023-01-16].http://amr.sz.gov.cn/xxgk/zcwj/scjgfg/bzh/bzhgf/content/post_9386928.html.</w:t>
      </w:r>
    </w:p>
    <w:p w14:paraId="1B4BD22C">
      <w:pPr>
        <w:pStyle w:val="134"/>
        <w:framePr w:wrap="notBeside" w:hAnchor="page" w:x="4898" w:y="496"/>
        <w:rPr>
          <w:highlight w:val="none"/>
          <w:u w:val="thick"/>
        </w:rPr>
      </w:pPr>
      <w:r>
        <w:rPr>
          <w:highlight w:val="none"/>
          <w:u w:val="thick"/>
        </w:rPr>
        <w:t>______________________</w:t>
      </w:r>
    </w:p>
    <w:p w14:paraId="50AE8768">
      <w:pPr>
        <w:pStyle w:val="26"/>
        <w:ind w:firstLine="0" w:firstLineChars="0"/>
        <w:jc w:val="center"/>
        <w:rPr>
          <w:rFonts w:ascii="Times New Roman"/>
          <w:highlight w:val="none"/>
        </w:rPr>
      </w:pPr>
    </w:p>
    <w:p w14:paraId="7B2A47FA">
      <w:pPr>
        <w:rPr>
          <w:highlight w:val="none"/>
        </w:rPr>
      </w:pPr>
    </w:p>
    <w:p w14:paraId="15B3E632">
      <w:pPr>
        <w:rPr>
          <w:highlight w:val="none"/>
        </w:rPr>
      </w:pPr>
    </w:p>
    <w:p w14:paraId="3F320964">
      <w:pPr>
        <w:rPr>
          <w:highlight w:val="none"/>
        </w:rPr>
      </w:pPr>
    </w:p>
    <w:sectPr>
      <w:headerReference r:id="rId13" w:type="default"/>
      <w:footerReference r:id="rId14" w:type="default"/>
      <w:footerReference r:id="rId15"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8E1C60">
    <w:pPr>
      <w:pStyle w:val="73"/>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B6839E">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5AB6839E">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F07C92">
    <w:pPr>
      <w:pStyle w:val="48"/>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5845CB">
                          <w:pPr>
                            <w:pStyle w:val="4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275845CB">
                    <w:pPr>
                      <w:pStyle w:val="4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18433">
    <w:pPr>
      <w:pStyle w:val="73"/>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96D05D">
                          <w:pPr>
                            <w:pStyle w:val="73"/>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1A96D05D">
                    <w:pPr>
                      <w:pStyle w:val="73"/>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7CFE7">
    <w:pPr>
      <w:pStyle w:val="48"/>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808C2F">
                          <w:pPr>
                            <w:pStyle w:val="48"/>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66808C2F">
                    <w:pPr>
                      <w:pStyle w:val="4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42ED1">
    <w:pPr>
      <w:pStyle w:val="73"/>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6DD4CF">
                          <w:pPr>
                            <w:pStyle w:val="7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7D6DD4CF">
                    <w:pPr>
                      <w:pStyle w:val="7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7D172B">
    <w:pPr>
      <w:pStyle w:val="48"/>
    </w:pP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987ACC">
                          <w:pPr>
                            <w:pStyle w:val="4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GDM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wuxZFrZ6&#10;Z3mEjvJ4uzoGyJlUjqJ0SqA78YDpS33qNyWO95/nFPX47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vsRgzMQIAAGUEAAAOAAAAAAAAAAEAIAAAAB8BAABkcnMvZTJvRG9jLnhtbFBLBQYA&#10;AAAABgAGAFkBAADCBQAAAAA=&#10;">
              <v:fill on="f" focussize="0,0"/>
              <v:stroke on="f" weight="0.5pt"/>
              <v:imagedata o:title=""/>
              <o:lock v:ext="edit" aspectratio="f"/>
              <v:textbox inset="0mm,0mm,0mm,0mm" style="mso-fit-shape-to-text:t;">
                <w:txbxContent>
                  <w:p w14:paraId="30987ACC">
                    <w:pPr>
                      <w:pStyle w:val="4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2FE98">
    <w:pPr>
      <w:pStyle w:val="73"/>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34F817">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YWiky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VhaKTICAABlBAAADgAAAAAAAAABACAAAAAfAQAAZHJzL2Uyb0RvYy54bWxQSwUG&#10;AAAAAAYABgBZAQAAwwUAAAAA&#10;">
              <v:fill on="f" focussize="0,0"/>
              <v:stroke on="f" weight="0.5pt"/>
              <v:imagedata o:title=""/>
              <o:lock v:ext="edit" aspectratio="f"/>
              <v:textbox inset="0mm,0mm,0mm,0mm" style="mso-fit-shape-to-text:t;">
                <w:txbxContent>
                  <w:p w14:paraId="7B34F817">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BC6300">
    <w:pPr>
      <w:pStyle w:val="48"/>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11C52F">
                          <w:pPr>
                            <w:pStyle w:val="4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F11C52F">
                    <w:pPr>
                      <w:pStyle w:val="4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5EBCB">
    <w:pPr>
      <w:pStyle w:val="73"/>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4997FD">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0D4997FD">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9F1BD">
    <w:pPr>
      <w:pStyle w:val="74"/>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0813F">
    <w:pPr>
      <w:pStyle w:val="49"/>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F9315">
    <w:pPr>
      <w:pStyle w:val="49"/>
    </w:pPr>
    <w:r>
      <w:rPr>
        <w:rFonts w:hint="eastAsia"/>
      </w:rPr>
      <w:t>T/XXX XXX-20XX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D5DA5">
    <w:pPr>
      <w:pStyle w:val="49"/>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3"/>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3"/>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9"/>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1"/>
      <w:suff w:val="nothing"/>
      <w:lvlText w:val="表%1　"/>
      <w:lvlJc w:val="left"/>
      <w:pPr>
        <w:ind w:left="0" w:firstLine="0"/>
      </w:pPr>
      <w:rPr>
        <w:rFonts w:hint="default" w:ascii="黑体" w:hAnsi="Times New Roman" w:eastAsia="黑体"/>
        <w:b w:val="0"/>
        <w:i w:val="0"/>
        <w:sz w:val="21"/>
        <w:highlight w:val="none"/>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9"/>
      <w:suff w:val="nothing"/>
      <w:lvlText w:val="附　录　%1"/>
      <w:lvlJc w:val="left"/>
      <w:pPr>
        <w:ind w:left="0" w:firstLine="0"/>
      </w:pPr>
      <w:rPr>
        <w:rFonts w:hint="default" w:ascii="黑体" w:hAnsi="Times New Roman" w:eastAsia="黑体"/>
        <w:b w:val="0"/>
        <w:i w:val="0"/>
        <w:spacing w:val="0"/>
        <w:w w:val="100"/>
        <w:sz w:val="21"/>
        <w:highlight w:val="none"/>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2"/>
      <w:suff w:val="nothing"/>
      <w:lvlText w:val="%1注："/>
      <w:lvlJc w:val="left"/>
      <w:pPr>
        <w:ind w:left="726" w:hanging="363"/>
      </w:pPr>
      <w:rPr>
        <w:rFonts w:hint="default" w:ascii="黑体" w:hAnsi="Times New Roman" w:eastAsia="黑体"/>
        <w:b w:val="0"/>
        <w:i w:val="0"/>
        <w:sz w:val="18"/>
        <w:highlight w:val="none"/>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4064"/>
    <w:rsid w:val="000B44E8"/>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4737"/>
    <w:rsid w:val="000F541B"/>
    <w:rsid w:val="000F7C27"/>
    <w:rsid w:val="000F7F4A"/>
    <w:rsid w:val="00100C31"/>
    <w:rsid w:val="00101A79"/>
    <w:rsid w:val="00102F17"/>
    <w:rsid w:val="00104737"/>
    <w:rsid w:val="001056DE"/>
    <w:rsid w:val="0011022C"/>
    <w:rsid w:val="00110D99"/>
    <w:rsid w:val="00110F96"/>
    <w:rsid w:val="001124C0"/>
    <w:rsid w:val="001135E1"/>
    <w:rsid w:val="0011569C"/>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C38"/>
    <w:rsid w:val="0014163F"/>
    <w:rsid w:val="00141F35"/>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65F"/>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159"/>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2B6A"/>
    <w:rsid w:val="002A36AB"/>
    <w:rsid w:val="002A3EB6"/>
    <w:rsid w:val="002A704E"/>
    <w:rsid w:val="002A7420"/>
    <w:rsid w:val="002A7988"/>
    <w:rsid w:val="002B025E"/>
    <w:rsid w:val="002B081A"/>
    <w:rsid w:val="002B0F12"/>
    <w:rsid w:val="002B1308"/>
    <w:rsid w:val="002B3377"/>
    <w:rsid w:val="002B3B8E"/>
    <w:rsid w:val="002B4554"/>
    <w:rsid w:val="002B5A00"/>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6A4F"/>
    <w:rsid w:val="003A7088"/>
    <w:rsid w:val="003A72BF"/>
    <w:rsid w:val="003A7B13"/>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10CE"/>
    <w:rsid w:val="0040157B"/>
    <w:rsid w:val="00402153"/>
    <w:rsid w:val="00402FC1"/>
    <w:rsid w:val="0040354F"/>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41F79"/>
    <w:rsid w:val="00442B5F"/>
    <w:rsid w:val="00443BA6"/>
    <w:rsid w:val="0044401B"/>
    <w:rsid w:val="00446B29"/>
    <w:rsid w:val="00447E53"/>
    <w:rsid w:val="0045275A"/>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A6367"/>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3EB0"/>
    <w:rsid w:val="005241F5"/>
    <w:rsid w:val="00524E4E"/>
    <w:rsid w:val="00525420"/>
    <w:rsid w:val="00525656"/>
    <w:rsid w:val="0052585A"/>
    <w:rsid w:val="0052726A"/>
    <w:rsid w:val="005304F1"/>
    <w:rsid w:val="00530C06"/>
    <w:rsid w:val="00530EC3"/>
    <w:rsid w:val="005327BB"/>
    <w:rsid w:val="0053480B"/>
    <w:rsid w:val="00534C02"/>
    <w:rsid w:val="005404F3"/>
    <w:rsid w:val="0054080A"/>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2FAB"/>
    <w:rsid w:val="005E3FE8"/>
    <w:rsid w:val="005E5121"/>
    <w:rsid w:val="005E7D94"/>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A16"/>
    <w:rsid w:val="00612BD5"/>
    <w:rsid w:val="00613755"/>
    <w:rsid w:val="00616CBC"/>
    <w:rsid w:val="0061716C"/>
    <w:rsid w:val="00623752"/>
    <w:rsid w:val="006241B1"/>
    <w:rsid w:val="006243A1"/>
    <w:rsid w:val="00624852"/>
    <w:rsid w:val="00624B28"/>
    <w:rsid w:val="00624E34"/>
    <w:rsid w:val="00625DB1"/>
    <w:rsid w:val="00631A78"/>
    <w:rsid w:val="00631D28"/>
    <w:rsid w:val="00631E5B"/>
    <w:rsid w:val="00632BDE"/>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3AF3"/>
    <w:rsid w:val="00664013"/>
    <w:rsid w:val="00665BE1"/>
    <w:rsid w:val="00665C37"/>
    <w:rsid w:val="00666B6C"/>
    <w:rsid w:val="00667571"/>
    <w:rsid w:val="006678B0"/>
    <w:rsid w:val="00670662"/>
    <w:rsid w:val="00670A17"/>
    <w:rsid w:val="00670A8E"/>
    <w:rsid w:val="0067215E"/>
    <w:rsid w:val="0067526D"/>
    <w:rsid w:val="00675D28"/>
    <w:rsid w:val="00675DB9"/>
    <w:rsid w:val="00677941"/>
    <w:rsid w:val="00677A2F"/>
    <w:rsid w:val="006808DE"/>
    <w:rsid w:val="00681E8A"/>
    <w:rsid w:val="00682682"/>
    <w:rsid w:val="00682702"/>
    <w:rsid w:val="00682A64"/>
    <w:rsid w:val="00682CAE"/>
    <w:rsid w:val="00682EA2"/>
    <w:rsid w:val="0068535B"/>
    <w:rsid w:val="00685C05"/>
    <w:rsid w:val="00685E45"/>
    <w:rsid w:val="00690C9B"/>
    <w:rsid w:val="006921CF"/>
    <w:rsid w:val="00692368"/>
    <w:rsid w:val="006927EA"/>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D42"/>
    <w:rsid w:val="006C4608"/>
    <w:rsid w:val="006C6669"/>
    <w:rsid w:val="006C67E0"/>
    <w:rsid w:val="006C6AEA"/>
    <w:rsid w:val="006C6E14"/>
    <w:rsid w:val="006C7ABA"/>
    <w:rsid w:val="006D0D60"/>
    <w:rsid w:val="006D1122"/>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4001"/>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17836"/>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119E"/>
    <w:rsid w:val="00751AA5"/>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4C01"/>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10FF"/>
    <w:rsid w:val="008222CD"/>
    <w:rsid w:val="00822646"/>
    <w:rsid w:val="00823F3F"/>
    <w:rsid w:val="00824476"/>
    <w:rsid w:val="0082733E"/>
    <w:rsid w:val="00827CB6"/>
    <w:rsid w:val="00830716"/>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56B5"/>
    <w:rsid w:val="00985D34"/>
    <w:rsid w:val="00986249"/>
    <w:rsid w:val="0098683A"/>
    <w:rsid w:val="0098702A"/>
    <w:rsid w:val="009873BD"/>
    <w:rsid w:val="00987736"/>
    <w:rsid w:val="009877D3"/>
    <w:rsid w:val="0099005B"/>
    <w:rsid w:val="009908E4"/>
    <w:rsid w:val="00990B96"/>
    <w:rsid w:val="00991169"/>
    <w:rsid w:val="009912CB"/>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96F"/>
    <w:rsid w:val="009A3A7C"/>
    <w:rsid w:val="009A518C"/>
    <w:rsid w:val="009A68DE"/>
    <w:rsid w:val="009A78A0"/>
    <w:rsid w:val="009A7A54"/>
    <w:rsid w:val="009B20DF"/>
    <w:rsid w:val="009B2ADB"/>
    <w:rsid w:val="009B5165"/>
    <w:rsid w:val="009B55D1"/>
    <w:rsid w:val="009B5CE9"/>
    <w:rsid w:val="009B603A"/>
    <w:rsid w:val="009B6BC5"/>
    <w:rsid w:val="009B75EB"/>
    <w:rsid w:val="009B7F12"/>
    <w:rsid w:val="009C0D6E"/>
    <w:rsid w:val="009C2D0E"/>
    <w:rsid w:val="009C3DAC"/>
    <w:rsid w:val="009C42E0"/>
    <w:rsid w:val="009C4F5E"/>
    <w:rsid w:val="009C54A8"/>
    <w:rsid w:val="009D1A00"/>
    <w:rsid w:val="009D30F6"/>
    <w:rsid w:val="009D3A47"/>
    <w:rsid w:val="009D3C53"/>
    <w:rsid w:val="009D43AA"/>
    <w:rsid w:val="009D4431"/>
    <w:rsid w:val="009D5362"/>
    <w:rsid w:val="009D5F6B"/>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844"/>
    <w:rsid w:val="00A90883"/>
    <w:rsid w:val="00A91E8C"/>
    <w:rsid w:val="00A91FEE"/>
    <w:rsid w:val="00A9365B"/>
    <w:rsid w:val="00A93B81"/>
    <w:rsid w:val="00A94291"/>
    <w:rsid w:val="00A957B1"/>
    <w:rsid w:val="00A96162"/>
    <w:rsid w:val="00A96F9C"/>
    <w:rsid w:val="00A973E9"/>
    <w:rsid w:val="00A97470"/>
    <w:rsid w:val="00A978CB"/>
    <w:rsid w:val="00A97F7B"/>
    <w:rsid w:val="00AA038C"/>
    <w:rsid w:val="00AA041F"/>
    <w:rsid w:val="00AA11CF"/>
    <w:rsid w:val="00AA2EBF"/>
    <w:rsid w:val="00AA542A"/>
    <w:rsid w:val="00AA5E3C"/>
    <w:rsid w:val="00AA6575"/>
    <w:rsid w:val="00AA6852"/>
    <w:rsid w:val="00AA6FCA"/>
    <w:rsid w:val="00AA7A09"/>
    <w:rsid w:val="00AB14EF"/>
    <w:rsid w:val="00AB1C92"/>
    <w:rsid w:val="00AB2CFE"/>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300F"/>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87D35"/>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4C8D"/>
    <w:rsid w:val="00BA50F0"/>
    <w:rsid w:val="00BA5AAE"/>
    <w:rsid w:val="00BA6E1A"/>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E7D1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88B"/>
    <w:rsid w:val="00C37B37"/>
    <w:rsid w:val="00C4095D"/>
    <w:rsid w:val="00C40AD7"/>
    <w:rsid w:val="00C40AF9"/>
    <w:rsid w:val="00C40E75"/>
    <w:rsid w:val="00C4290B"/>
    <w:rsid w:val="00C42B91"/>
    <w:rsid w:val="00C43D16"/>
    <w:rsid w:val="00C446A5"/>
    <w:rsid w:val="00C46C4C"/>
    <w:rsid w:val="00C4713B"/>
    <w:rsid w:val="00C51774"/>
    <w:rsid w:val="00C52B6B"/>
    <w:rsid w:val="00C5680B"/>
    <w:rsid w:val="00C577F5"/>
    <w:rsid w:val="00C601D2"/>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4BFF"/>
    <w:rsid w:val="00C74F8D"/>
    <w:rsid w:val="00C75853"/>
    <w:rsid w:val="00C767E8"/>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02E"/>
    <w:rsid w:val="00D54433"/>
    <w:rsid w:val="00D548A8"/>
    <w:rsid w:val="00D54B0F"/>
    <w:rsid w:val="00D54CC3"/>
    <w:rsid w:val="00D559F1"/>
    <w:rsid w:val="00D55F2E"/>
    <w:rsid w:val="00D57396"/>
    <w:rsid w:val="00D6041A"/>
    <w:rsid w:val="00D606EF"/>
    <w:rsid w:val="00D60B12"/>
    <w:rsid w:val="00D60D94"/>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FF7"/>
    <w:rsid w:val="00D83078"/>
    <w:rsid w:val="00D838E8"/>
    <w:rsid w:val="00D83ABC"/>
    <w:rsid w:val="00D84729"/>
    <w:rsid w:val="00D847FE"/>
    <w:rsid w:val="00D84B08"/>
    <w:rsid w:val="00D918D5"/>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10DE"/>
    <w:rsid w:val="00DC18CD"/>
    <w:rsid w:val="00DC27E1"/>
    <w:rsid w:val="00DC3F86"/>
    <w:rsid w:val="00DC6ADF"/>
    <w:rsid w:val="00DC76E9"/>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2748"/>
    <w:rsid w:val="00E628FB"/>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0D7"/>
    <w:rsid w:val="00EA55E4"/>
    <w:rsid w:val="00EA6FC7"/>
    <w:rsid w:val="00EA72CF"/>
    <w:rsid w:val="00EA72EC"/>
    <w:rsid w:val="00EA74C0"/>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16F14"/>
    <w:rsid w:val="00F20A14"/>
    <w:rsid w:val="00F225AF"/>
    <w:rsid w:val="00F23C30"/>
    <w:rsid w:val="00F2438D"/>
    <w:rsid w:val="00F26F78"/>
    <w:rsid w:val="00F2710F"/>
    <w:rsid w:val="00F303FC"/>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5C8A"/>
    <w:rsid w:val="00FE7CEC"/>
    <w:rsid w:val="00FF0460"/>
    <w:rsid w:val="00FF0B48"/>
    <w:rsid w:val="00FF0B73"/>
    <w:rsid w:val="00FF1456"/>
    <w:rsid w:val="00FF18E4"/>
    <w:rsid w:val="00FF37DB"/>
    <w:rsid w:val="00FF56A8"/>
    <w:rsid w:val="00FF6EB4"/>
    <w:rsid w:val="00FF7608"/>
    <w:rsid w:val="00FF7A7D"/>
    <w:rsid w:val="00FF7A7E"/>
    <w:rsid w:val="012219FC"/>
    <w:rsid w:val="0167794B"/>
    <w:rsid w:val="016E7636"/>
    <w:rsid w:val="01752774"/>
    <w:rsid w:val="01976EE2"/>
    <w:rsid w:val="019A6790"/>
    <w:rsid w:val="01A95EED"/>
    <w:rsid w:val="01A97615"/>
    <w:rsid w:val="01B666C0"/>
    <w:rsid w:val="01E97AAB"/>
    <w:rsid w:val="02AB1FCD"/>
    <w:rsid w:val="02CF5A2E"/>
    <w:rsid w:val="031B4284"/>
    <w:rsid w:val="033379C0"/>
    <w:rsid w:val="03404493"/>
    <w:rsid w:val="03777EED"/>
    <w:rsid w:val="03E16F79"/>
    <w:rsid w:val="03E46318"/>
    <w:rsid w:val="041369E1"/>
    <w:rsid w:val="042D7C0E"/>
    <w:rsid w:val="04315835"/>
    <w:rsid w:val="043F173E"/>
    <w:rsid w:val="04411E61"/>
    <w:rsid w:val="044A7DD6"/>
    <w:rsid w:val="04762137"/>
    <w:rsid w:val="04E52991"/>
    <w:rsid w:val="04EC1AEC"/>
    <w:rsid w:val="04F13E81"/>
    <w:rsid w:val="04FB7B82"/>
    <w:rsid w:val="05081319"/>
    <w:rsid w:val="050A47A8"/>
    <w:rsid w:val="05135D6D"/>
    <w:rsid w:val="054D10EA"/>
    <w:rsid w:val="055B2009"/>
    <w:rsid w:val="0598453C"/>
    <w:rsid w:val="059A2F03"/>
    <w:rsid w:val="05A351AD"/>
    <w:rsid w:val="05AD0072"/>
    <w:rsid w:val="060E6E5F"/>
    <w:rsid w:val="06112117"/>
    <w:rsid w:val="06232261"/>
    <w:rsid w:val="06940783"/>
    <w:rsid w:val="069B0569"/>
    <w:rsid w:val="06CE1901"/>
    <w:rsid w:val="0728596A"/>
    <w:rsid w:val="074112DA"/>
    <w:rsid w:val="07636083"/>
    <w:rsid w:val="0794209D"/>
    <w:rsid w:val="07B10380"/>
    <w:rsid w:val="07C929A1"/>
    <w:rsid w:val="07CC0BA8"/>
    <w:rsid w:val="07CD50A1"/>
    <w:rsid w:val="07CD682D"/>
    <w:rsid w:val="08354A32"/>
    <w:rsid w:val="08831127"/>
    <w:rsid w:val="08DD09B2"/>
    <w:rsid w:val="090D074B"/>
    <w:rsid w:val="096A2333"/>
    <w:rsid w:val="098F195C"/>
    <w:rsid w:val="09CC5669"/>
    <w:rsid w:val="09CC5832"/>
    <w:rsid w:val="09F6562F"/>
    <w:rsid w:val="0A2658B6"/>
    <w:rsid w:val="0A516F86"/>
    <w:rsid w:val="0A6514D6"/>
    <w:rsid w:val="0A75494A"/>
    <w:rsid w:val="0A86798A"/>
    <w:rsid w:val="0AA91979"/>
    <w:rsid w:val="0ACF7993"/>
    <w:rsid w:val="0AE703CF"/>
    <w:rsid w:val="0AEC3153"/>
    <w:rsid w:val="0AF07719"/>
    <w:rsid w:val="0AF76B39"/>
    <w:rsid w:val="0B2A37F4"/>
    <w:rsid w:val="0B2E5D9F"/>
    <w:rsid w:val="0B3F7726"/>
    <w:rsid w:val="0B747C26"/>
    <w:rsid w:val="0B755F08"/>
    <w:rsid w:val="0B785C4C"/>
    <w:rsid w:val="0BB9732C"/>
    <w:rsid w:val="0BD72466"/>
    <w:rsid w:val="0BFB0240"/>
    <w:rsid w:val="0C21067C"/>
    <w:rsid w:val="0C4446DD"/>
    <w:rsid w:val="0CAE43B6"/>
    <w:rsid w:val="0CC21B07"/>
    <w:rsid w:val="0CD9755A"/>
    <w:rsid w:val="0CDC34AD"/>
    <w:rsid w:val="0CFF46AF"/>
    <w:rsid w:val="0D731580"/>
    <w:rsid w:val="0DB137C5"/>
    <w:rsid w:val="0DB77A48"/>
    <w:rsid w:val="0E204A31"/>
    <w:rsid w:val="0E4445E9"/>
    <w:rsid w:val="0E4E0BB8"/>
    <w:rsid w:val="0EA806B0"/>
    <w:rsid w:val="0ED70635"/>
    <w:rsid w:val="0EFE7C91"/>
    <w:rsid w:val="0F0377C4"/>
    <w:rsid w:val="0F3C0933"/>
    <w:rsid w:val="0F40581B"/>
    <w:rsid w:val="0F455F66"/>
    <w:rsid w:val="0F7246D5"/>
    <w:rsid w:val="0FE3268E"/>
    <w:rsid w:val="0FEC0E5A"/>
    <w:rsid w:val="10410981"/>
    <w:rsid w:val="10453175"/>
    <w:rsid w:val="106663EC"/>
    <w:rsid w:val="107C3E68"/>
    <w:rsid w:val="108E70AC"/>
    <w:rsid w:val="10900B28"/>
    <w:rsid w:val="10A25DC2"/>
    <w:rsid w:val="10B43BB2"/>
    <w:rsid w:val="10B730C3"/>
    <w:rsid w:val="10C928EF"/>
    <w:rsid w:val="10ED08B7"/>
    <w:rsid w:val="11466AA4"/>
    <w:rsid w:val="114E1850"/>
    <w:rsid w:val="115455AE"/>
    <w:rsid w:val="11567578"/>
    <w:rsid w:val="115C354F"/>
    <w:rsid w:val="11636653"/>
    <w:rsid w:val="117F6ACF"/>
    <w:rsid w:val="11AD095F"/>
    <w:rsid w:val="11B74C64"/>
    <w:rsid w:val="11C36AF5"/>
    <w:rsid w:val="11CF694E"/>
    <w:rsid w:val="11E27446"/>
    <w:rsid w:val="11EF0194"/>
    <w:rsid w:val="11FE361B"/>
    <w:rsid w:val="11FF22A6"/>
    <w:rsid w:val="122A0061"/>
    <w:rsid w:val="125D575C"/>
    <w:rsid w:val="12753ACC"/>
    <w:rsid w:val="127D7C27"/>
    <w:rsid w:val="12AA5DA4"/>
    <w:rsid w:val="13292F4A"/>
    <w:rsid w:val="133100F1"/>
    <w:rsid w:val="13412F41"/>
    <w:rsid w:val="134224E0"/>
    <w:rsid w:val="13536972"/>
    <w:rsid w:val="137D3482"/>
    <w:rsid w:val="13B25F16"/>
    <w:rsid w:val="13C650A0"/>
    <w:rsid w:val="13F043C5"/>
    <w:rsid w:val="14037E47"/>
    <w:rsid w:val="14605247"/>
    <w:rsid w:val="14622FC1"/>
    <w:rsid w:val="148D3A63"/>
    <w:rsid w:val="14A17617"/>
    <w:rsid w:val="14B45E60"/>
    <w:rsid w:val="14C64F73"/>
    <w:rsid w:val="14E50640"/>
    <w:rsid w:val="159F1212"/>
    <w:rsid w:val="15A506CD"/>
    <w:rsid w:val="15BF0CE4"/>
    <w:rsid w:val="15E702D3"/>
    <w:rsid w:val="15F2777B"/>
    <w:rsid w:val="164A2DAE"/>
    <w:rsid w:val="164C24AB"/>
    <w:rsid w:val="16793EEF"/>
    <w:rsid w:val="16941AA7"/>
    <w:rsid w:val="16CD12F6"/>
    <w:rsid w:val="16D650F8"/>
    <w:rsid w:val="1715758D"/>
    <w:rsid w:val="174A32A5"/>
    <w:rsid w:val="175A060D"/>
    <w:rsid w:val="181D1EC7"/>
    <w:rsid w:val="184075AC"/>
    <w:rsid w:val="184076F7"/>
    <w:rsid w:val="18600DC9"/>
    <w:rsid w:val="18780372"/>
    <w:rsid w:val="18954E2A"/>
    <w:rsid w:val="18A137C7"/>
    <w:rsid w:val="18DC2535"/>
    <w:rsid w:val="1936094D"/>
    <w:rsid w:val="19910B5A"/>
    <w:rsid w:val="19BF5263"/>
    <w:rsid w:val="19E73930"/>
    <w:rsid w:val="1A041A06"/>
    <w:rsid w:val="1A6920CA"/>
    <w:rsid w:val="1A731C0D"/>
    <w:rsid w:val="1AD00105"/>
    <w:rsid w:val="1ADB61D8"/>
    <w:rsid w:val="1AF62128"/>
    <w:rsid w:val="1AF640AE"/>
    <w:rsid w:val="1AF77413"/>
    <w:rsid w:val="1B007F1A"/>
    <w:rsid w:val="1B082E33"/>
    <w:rsid w:val="1B177D78"/>
    <w:rsid w:val="1B1B7DD1"/>
    <w:rsid w:val="1B234702"/>
    <w:rsid w:val="1B28788F"/>
    <w:rsid w:val="1B414170"/>
    <w:rsid w:val="1B4F135B"/>
    <w:rsid w:val="1B835293"/>
    <w:rsid w:val="1BC00131"/>
    <w:rsid w:val="1BF54CD5"/>
    <w:rsid w:val="1BF914BA"/>
    <w:rsid w:val="1C19360F"/>
    <w:rsid w:val="1C2342B8"/>
    <w:rsid w:val="1C283432"/>
    <w:rsid w:val="1C2955B3"/>
    <w:rsid w:val="1C2F4C4D"/>
    <w:rsid w:val="1C3B2269"/>
    <w:rsid w:val="1C3E1AF3"/>
    <w:rsid w:val="1C634CC4"/>
    <w:rsid w:val="1C6E3C9B"/>
    <w:rsid w:val="1C6F7CCB"/>
    <w:rsid w:val="1CAA0F46"/>
    <w:rsid w:val="1CAE069E"/>
    <w:rsid w:val="1CC83172"/>
    <w:rsid w:val="1CFA0F33"/>
    <w:rsid w:val="1D1D1EA0"/>
    <w:rsid w:val="1D1E718A"/>
    <w:rsid w:val="1D375E51"/>
    <w:rsid w:val="1D42569C"/>
    <w:rsid w:val="1D5A6959"/>
    <w:rsid w:val="1D5F0324"/>
    <w:rsid w:val="1D6D6258"/>
    <w:rsid w:val="1D807FEA"/>
    <w:rsid w:val="1DAF294C"/>
    <w:rsid w:val="1DB47B00"/>
    <w:rsid w:val="1DC15BB7"/>
    <w:rsid w:val="1DE928FA"/>
    <w:rsid w:val="1E2A472C"/>
    <w:rsid w:val="1E640431"/>
    <w:rsid w:val="1E95700C"/>
    <w:rsid w:val="1EE04A36"/>
    <w:rsid w:val="1EF8416B"/>
    <w:rsid w:val="1F334A54"/>
    <w:rsid w:val="1F472262"/>
    <w:rsid w:val="1F5A46D7"/>
    <w:rsid w:val="1F6F7DD5"/>
    <w:rsid w:val="1F933745"/>
    <w:rsid w:val="1FAC03E3"/>
    <w:rsid w:val="1FBC2E20"/>
    <w:rsid w:val="1FCB54A6"/>
    <w:rsid w:val="1FDB587C"/>
    <w:rsid w:val="1FF14949"/>
    <w:rsid w:val="203930D0"/>
    <w:rsid w:val="205656B9"/>
    <w:rsid w:val="205B0707"/>
    <w:rsid w:val="20A11600"/>
    <w:rsid w:val="20BA12D6"/>
    <w:rsid w:val="20EA1DAB"/>
    <w:rsid w:val="20F113CF"/>
    <w:rsid w:val="211D601B"/>
    <w:rsid w:val="21B079AA"/>
    <w:rsid w:val="21C94D14"/>
    <w:rsid w:val="21EF3B5E"/>
    <w:rsid w:val="22042806"/>
    <w:rsid w:val="220C05CD"/>
    <w:rsid w:val="222E4844"/>
    <w:rsid w:val="2255726F"/>
    <w:rsid w:val="225A1705"/>
    <w:rsid w:val="225B68F3"/>
    <w:rsid w:val="22821145"/>
    <w:rsid w:val="22E2364E"/>
    <w:rsid w:val="231A5355"/>
    <w:rsid w:val="232E79E6"/>
    <w:rsid w:val="23632F75"/>
    <w:rsid w:val="237D2742"/>
    <w:rsid w:val="239113D8"/>
    <w:rsid w:val="23A46F6A"/>
    <w:rsid w:val="23B047DA"/>
    <w:rsid w:val="23B07F14"/>
    <w:rsid w:val="240473A9"/>
    <w:rsid w:val="24217795"/>
    <w:rsid w:val="24243C41"/>
    <w:rsid w:val="242A704F"/>
    <w:rsid w:val="246B6166"/>
    <w:rsid w:val="248C424B"/>
    <w:rsid w:val="24AF6095"/>
    <w:rsid w:val="24BA637B"/>
    <w:rsid w:val="24C34749"/>
    <w:rsid w:val="24DA75E2"/>
    <w:rsid w:val="251C53CB"/>
    <w:rsid w:val="2528325A"/>
    <w:rsid w:val="25AD719A"/>
    <w:rsid w:val="25B048D1"/>
    <w:rsid w:val="25D26F4E"/>
    <w:rsid w:val="26011787"/>
    <w:rsid w:val="260A56C5"/>
    <w:rsid w:val="26530D33"/>
    <w:rsid w:val="265945A2"/>
    <w:rsid w:val="26711FC2"/>
    <w:rsid w:val="26735A32"/>
    <w:rsid w:val="268E2CDD"/>
    <w:rsid w:val="269E2860"/>
    <w:rsid w:val="26AB166D"/>
    <w:rsid w:val="26CA3C25"/>
    <w:rsid w:val="26DD698E"/>
    <w:rsid w:val="26F07935"/>
    <w:rsid w:val="27090EBD"/>
    <w:rsid w:val="272C23FA"/>
    <w:rsid w:val="27CA18D9"/>
    <w:rsid w:val="27D22B78"/>
    <w:rsid w:val="282B23EA"/>
    <w:rsid w:val="286435B5"/>
    <w:rsid w:val="28672AE2"/>
    <w:rsid w:val="288B069D"/>
    <w:rsid w:val="2890073A"/>
    <w:rsid w:val="289023BD"/>
    <w:rsid w:val="28A21302"/>
    <w:rsid w:val="28A92C34"/>
    <w:rsid w:val="28FB69FC"/>
    <w:rsid w:val="29322554"/>
    <w:rsid w:val="2937602D"/>
    <w:rsid w:val="295976A1"/>
    <w:rsid w:val="297072D6"/>
    <w:rsid w:val="29A91E15"/>
    <w:rsid w:val="29BF4FE9"/>
    <w:rsid w:val="2A3F0453"/>
    <w:rsid w:val="2A6754CA"/>
    <w:rsid w:val="2A753876"/>
    <w:rsid w:val="2AB952D2"/>
    <w:rsid w:val="2AD5250D"/>
    <w:rsid w:val="2B0E2005"/>
    <w:rsid w:val="2B3A7FD6"/>
    <w:rsid w:val="2B5214C3"/>
    <w:rsid w:val="2B6B4C7E"/>
    <w:rsid w:val="2B7519C4"/>
    <w:rsid w:val="2BA42B0F"/>
    <w:rsid w:val="2BFB4528"/>
    <w:rsid w:val="2C104747"/>
    <w:rsid w:val="2C1A5641"/>
    <w:rsid w:val="2C6015BA"/>
    <w:rsid w:val="2CA7297E"/>
    <w:rsid w:val="2CD87AC9"/>
    <w:rsid w:val="2D230ADF"/>
    <w:rsid w:val="2D5012D2"/>
    <w:rsid w:val="2D5239AB"/>
    <w:rsid w:val="2D5910EB"/>
    <w:rsid w:val="2D6C3FD1"/>
    <w:rsid w:val="2D7352E2"/>
    <w:rsid w:val="2D80215E"/>
    <w:rsid w:val="2D8E1801"/>
    <w:rsid w:val="2DA41267"/>
    <w:rsid w:val="2DBD14AA"/>
    <w:rsid w:val="2DE3106B"/>
    <w:rsid w:val="2E331AD1"/>
    <w:rsid w:val="2E431935"/>
    <w:rsid w:val="2E607D93"/>
    <w:rsid w:val="2E657259"/>
    <w:rsid w:val="2E945B9D"/>
    <w:rsid w:val="2EBC77DC"/>
    <w:rsid w:val="2ED7364E"/>
    <w:rsid w:val="2F0E7B98"/>
    <w:rsid w:val="2F0F103A"/>
    <w:rsid w:val="2F3152A6"/>
    <w:rsid w:val="2F4E26B1"/>
    <w:rsid w:val="2F5800FF"/>
    <w:rsid w:val="2F7C6844"/>
    <w:rsid w:val="2F974B8C"/>
    <w:rsid w:val="2FBB376C"/>
    <w:rsid w:val="30044FAD"/>
    <w:rsid w:val="300942A1"/>
    <w:rsid w:val="300E3149"/>
    <w:rsid w:val="307B44AD"/>
    <w:rsid w:val="307D6018"/>
    <w:rsid w:val="30840777"/>
    <w:rsid w:val="30923DA5"/>
    <w:rsid w:val="31060284"/>
    <w:rsid w:val="313B622E"/>
    <w:rsid w:val="3159659D"/>
    <w:rsid w:val="317C5755"/>
    <w:rsid w:val="31821CF3"/>
    <w:rsid w:val="31942040"/>
    <w:rsid w:val="319C0B7F"/>
    <w:rsid w:val="31E25B23"/>
    <w:rsid w:val="32245C4E"/>
    <w:rsid w:val="32340DB8"/>
    <w:rsid w:val="324361A3"/>
    <w:rsid w:val="324D67DD"/>
    <w:rsid w:val="326C0660"/>
    <w:rsid w:val="327A33B7"/>
    <w:rsid w:val="32807B59"/>
    <w:rsid w:val="32CF5ABA"/>
    <w:rsid w:val="32D51D62"/>
    <w:rsid w:val="32F07FE6"/>
    <w:rsid w:val="330843AC"/>
    <w:rsid w:val="331D2643"/>
    <w:rsid w:val="33261FCC"/>
    <w:rsid w:val="33465323"/>
    <w:rsid w:val="33491A3C"/>
    <w:rsid w:val="33521085"/>
    <w:rsid w:val="33CB5A6A"/>
    <w:rsid w:val="33F20F2A"/>
    <w:rsid w:val="34061A1E"/>
    <w:rsid w:val="34137A61"/>
    <w:rsid w:val="344F2B02"/>
    <w:rsid w:val="348322B5"/>
    <w:rsid w:val="348F0527"/>
    <w:rsid w:val="34A37D22"/>
    <w:rsid w:val="34A96B37"/>
    <w:rsid w:val="34C84D93"/>
    <w:rsid w:val="34CA3E2C"/>
    <w:rsid w:val="34DD0610"/>
    <w:rsid w:val="34F431D8"/>
    <w:rsid w:val="34F565DC"/>
    <w:rsid w:val="35143F5C"/>
    <w:rsid w:val="3526193B"/>
    <w:rsid w:val="35445C5F"/>
    <w:rsid w:val="357070B5"/>
    <w:rsid w:val="357756D2"/>
    <w:rsid w:val="35956247"/>
    <w:rsid w:val="35C06E2B"/>
    <w:rsid w:val="35C51237"/>
    <w:rsid w:val="35DE1766"/>
    <w:rsid w:val="35E66C42"/>
    <w:rsid w:val="362E4622"/>
    <w:rsid w:val="36971D2C"/>
    <w:rsid w:val="36A355DB"/>
    <w:rsid w:val="3708204D"/>
    <w:rsid w:val="37285E75"/>
    <w:rsid w:val="372A2284"/>
    <w:rsid w:val="372D1AA0"/>
    <w:rsid w:val="37305FF2"/>
    <w:rsid w:val="37450CB1"/>
    <w:rsid w:val="376C4B50"/>
    <w:rsid w:val="379E0494"/>
    <w:rsid w:val="37B16457"/>
    <w:rsid w:val="37F93C55"/>
    <w:rsid w:val="38116215"/>
    <w:rsid w:val="38136CDD"/>
    <w:rsid w:val="38167357"/>
    <w:rsid w:val="386C17A3"/>
    <w:rsid w:val="388262C8"/>
    <w:rsid w:val="38973B06"/>
    <w:rsid w:val="38E17CD1"/>
    <w:rsid w:val="39161217"/>
    <w:rsid w:val="396E1A8A"/>
    <w:rsid w:val="39DD1C17"/>
    <w:rsid w:val="3A2A5B99"/>
    <w:rsid w:val="3A4164A5"/>
    <w:rsid w:val="3A6E6C6A"/>
    <w:rsid w:val="3A874367"/>
    <w:rsid w:val="3A8E7CF0"/>
    <w:rsid w:val="3A9102DC"/>
    <w:rsid w:val="3AEA44E5"/>
    <w:rsid w:val="3B354FBF"/>
    <w:rsid w:val="3B443E1A"/>
    <w:rsid w:val="3B4B2729"/>
    <w:rsid w:val="3BBB1B47"/>
    <w:rsid w:val="3BC554C1"/>
    <w:rsid w:val="3BED22BE"/>
    <w:rsid w:val="3BF31572"/>
    <w:rsid w:val="3C2228BC"/>
    <w:rsid w:val="3C3A346E"/>
    <w:rsid w:val="3C5F2ED5"/>
    <w:rsid w:val="3C5F339E"/>
    <w:rsid w:val="3C6D51CF"/>
    <w:rsid w:val="3C940DD1"/>
    <w:rsid w:val="3C9D7BC1"/>
    <w:rsid w:val="3CB971A8"/>
    <w:rsid w:val="3CEA09F1"/>
    <w:rsid w:val="3CFE42CF"/>
    <w:rsid w:val="3D39592F"/>
    <w:rsid w:val="3D413ADE"/>
    <w:rsid w:val="3D5C18C8"/>
    <w:rsid w:val="3D5D7C63"/>
    <w:rsid w:val="3D6F7F64"/>
    <w:rsid w:val="3D7071F9"/>
    <w:rsid w:val="3D8726E3"/>
    <w:rsid w:val="3DB762CD"/>
    <w:rsid w:val="3DB7702D"/>
    <w:rsid w:val="3DBE7CA0"/>
    <w:rsid w:val="3DDB6F2B"/>
    <w:rsid w:val="3DF16593"/>
    <w:rsid w:val="3E0335D3"/>
    <w:rsid w:val="3E542E5E"/>
    <w:rsid w:val="3E6C3A87"/>
    <w:rsid w:val="3EBE2198"/>
    <w:rsid w:val="3ECD1242"/>
    <w:rsid w:val="3ED77E9D"/>
    <w:rsid w:val="3EF40231"/>
    <w:rsid w:val="3F1E4982"/>
    <w:rsid w:val="3F2B6AA7"/>
    <w:rsid w:val="3F356D6F"/>
    <w:rsid w:val="3F4526C1"/>
    <w:rsid w:val="3F6103B7"/>
    <w:rsid w:val="3F7E0F6C"/>
    <w:rsid w:val="3F891A0D"/>
    <w:rsid w:val="3F9849C3"/>
    <w:rsid w:val="3FE74022"/>
    <w:rsid w:val="40127082"/>
    <w:rsid w:val="404C2E51"/>
    <w:rsid w:val="4081341A"/>
    <w:rsid w:val="408950DA"/>
    <w:rsid w:val="40BD0183"/>
    <w:rsid w:val="40BD5297"/>
    <w:rsid w:val="40F77B80"/>
    <w:rsid w:val="411B22D3"/>
    <w:rsid w:val="412B5BC3"/>
    <w:rsid w:val="416D399E"/>
    <w:rsid w:val="41BF692C"/>
    <w:rsid w:val="41CE7091"/>
    <w:rsid w:val="41EF14D0"/>
    <w:rsid w:val="42472441"/>
    <w:rsid w:val="4299371A"/>
    <w:rsid w:val="43032287"/>
    <w:rsid w:val="43432C09"/>
    <w:rsid w:val="437E2DA2"/>
    <w:rsid w:val="43822DA8"/>
    <w:rsid w:val="438A4566"/>
    <w:rsid w:val="43B8508A"/>
    <w:rsid w:val="43B92A96"/>
    <w:rsid w:val="43D146B8"/>
    <w:rsid w:val="43E954D4"/>
    <w:rsid w:val="43EB6F80"/>
    <w:rsid w:val="44084782"/>
    <w:rsid w:val="440A0005"/>
    <w:rsid w:val="44812823"/>
    <w:rsid w:val="4481793B"/>
    <w:rsid w:val="448D54EC"/>
    <w:rsid w:val="44BE3F88"/>
    <w:rsid w:val="45051259"/>
    <w:rsid w:val="450D1720"/>
    <w:rsid w:val="45192CA0"/>
    <w:rsid w:val="454C32E5"/>
    <w:rsid w:val="456B537A"/>
    <w:rsid w:val="45766875"/>
    <w:rsid w:val="457E4B98"/>
    <w:rsid w:val="45880C30"/>
    <w:rsid w:val="459718CB"/>
    <w:rsid w:val="45B752AB"/>
    <w:rsid w:val="45C94763"/>
    <w:rsid w:val="45E87A97"/>
    <w:rsid w:val="46002CCA"/>
    <w:rsid w:val="46181616"/>
    <w:rsid w:val="46252AD3"/>
    <w:rsid w:val="46374F2F"/>
    <w:rsid w:val="465D0B70"/>
    <w:rsid w:val="465E4C88"/>
    <w:rsid w:val="4667140B"/>
    <w:rsid w:val="466B1248"/>
    <w:rsid w:val="46C720A9"/>
    <w:rsid w:val="46D31A9E"/>
    <w:rsid w:val="46E33978"/>
    <w:rsid w:val="46EE732F"/>
    <w:rsid w:val="46F07F12"/>
    <w:rsid w:val="46F4531F"/>
    <w:rsid w:val="46FC67E9"/>
    <w:rsid w:val="46FF32EA"/>
    <w:rsid w:val="476350EE"/>
    <w:rsid w:val="47705CE5"/>
    <w:rsid w:val="477C493B"/>
    <w:rsid w:val="478447E3"/>
    <w:rsid w:val="47A36A64"/>
    <w:rsid w:val="47AF2F63"/>
    <w:rsid w:val="483454B8"/>
    <w:rsid w:val="48421C58"/>
    <w:rsid w:val="48692DF2"/>
    <w:rsid w:val="48D04263"/>
    <w:rsid w:val="48DD3AFF"/>
    <w:rsid w:val="48E07F96"/>
    <w:rsid w:val="48EF58E3"/>
    <w:rsid w:val="490B2EAF"/>
    <w:rsid w:val="491A6B14"/>
    <w:rsid w:val="492A4641"/>
    <w:rsid w:val="493502C3"/>
    <w:rsid w:val="493A40EC"/>
    <w:rsid w:val="493C58EC"/>
    <w:rsid w:val="49474C41"/>
    <w:rsid w:val="495234FD"/>
    <w:rsid w:val="496773E8"/>
    <w:rsid w:val="498C01D3"/>
    <w:rsid w:val="49900836"/>
    <w:rsid w:val="49A73263"/>
    <w:rsid w:val="49C10D2B"/>
    <w:rsid w:val="49C12FFD"/>
    <w:rsid w:val="49CA5E32"/>
    <w:rsid w:val="49CA638D"/>
    <w:rsid w:val="49DE7D7D"/>
    <w:rsid w:val="49F64E79"/>
    <w:rsid w:val="49F858B3"/>
    <w:rsid w:val="4A105A1F"/>
    <w:rsid w:val="4A1754B0"/>
    <w:rsid w:val="4A3211E6"/>
    <w:rsid w:val="4A5F590D"/>
    <w:rsid w:val="4A6D4A0F"/>
    <w:rsid w:val="4AB51373"/>
    <w:rsid w:val="4ABE1451"/>
    <w:rsid w:val="4ADB4956"/>
    <w:rsid w:val="4AEA5EE3"/>
    <w:rsid w:val="4B0378FD"/>
    <w:rsid w:val="4B12752A"/>
    <w:rsid w:val="4B1F5D27"/>
    <w:rsid w:val="4B5C0D0B"/>
    <w:rsid w:val="4B9B6012"/>
    <w:rsid w:val="4BA00C70"/>
    <w:rsid w:val="4BD77BF9"/>
    <w:rsid w:val="4BF6116E"/>
    <w:rsid w:val="4BFD0839"/>
    <w:rsid w:val="4C2563A9"/>
    <w:rsid w:val="4C544E26"/>
    <w:rsid w:val="4C96649F"/>
    <w:rsid w:val="4CA547BC"/>
    <w:rsid w:val="4CA615C2"/>
    <w:rsid w:val="4CAE2353"/>
    <w:rsid w:val="4CB23B89"/>
    <w:rsid w:val="4CD93F7A"/>
    <w:rsid w:val="4CE61EA6"/>
    <w:rsid w:val="4CF81392"/>
    <w:rsid w:val="4D130821"/>
    <w:rsid w:val="4D5F7344"/>
    <w:rsid w:val="4DA42413"/>
    <w:rsid w:val="4DA70238"/>
    <w:rsid w:val="4DBE3EFF"/>
    <w:rsid w:val="4DD549F4"/>
    <w:rsid w:val="4E0B6923"/>
    <w:rsid w:val="4E622C19"/>
    <w:rsid w:val="4E746118"/>
    <w:rsid w:val="4EC87325"/>
    <w:rsid w:val="4ECE5844"/>
    <w:rsid w:val="4ED40E8E"/>
    <w:rsid w:val="4EEC17DF"/>
    <w:rsid w:val="4F1C5579"/>
    <w:rsid w:val="4F2F603C"/>
    <w:rsid w:val="4F726F50"/>
    <w:rsid w:val="4FB31F60"/>
    <w:rsid w:val="4FC0530E"/>
    <w:rsid w:val="4FCB17BF"/>
    <w:rsid w:val="50152A51"/>
    <w:rsid w:val="50813EC4"/>
    <w:rsid w:val="508526B5"/>
    <w:rsid w:val="50DF5BCF"/>
    <w:rsid w:val="50F55FFE"/>
    <w:rsid w:val="514A09AC"/>
    <w:rsid w:val="514E4E9E"/>
    <w:rsid w:val="5164039B"/>
    <w:rsid w:val="518E282D"/>
    <w:rsid w:val="51B6604B"/>
    <w:rsid w:val="51DC5EA2"/>
    <w:rsid w:val="52157728"/>
    <w:rsid w:val="521A0578"/>
    <w:rsid w:val="523A3584"/>
    <w:rsid w:val="5255651F"/>
    <w:rsid w:val="528D13CE"/>
    <w:rsid w:val="52A064E8"/>
    <w:rsid w:val="52B642E9"/>
    <w:rsid w:val="52B94C95"/>
    <w:rsid w:val="52D21366"/>
    <w:rsid w:val="52D86B01"/>
    <w:rsid w:val="52DE6261"/>
    <w:rsid w:val="530161A8"/>
    <w:rsid w:val="53135DC6"/>
    <w:rsid w:val="53235413"/>
    <w:rsid w:val="533911DE"/>
    <w:rsid w:val="53497A60"/>
    <w:rsid w:val="53591C70"/>
    <w:rsid w:val="536776AE"/>
    <w:rsid w:val="537D2167"/>
    <w:rsid w:val="53F245D9"/>
    <w:rsid w:val="542952AC"/>
    <w:rsid w:val="54C61062"/>
    <w:rsid w:val="54F14586"/>
    <w:rsid w:val="552A029D"/>
    <w:rsid w:val="55524CCF"/>
    <w:rsid w:val="555A1BA0"/>
    <w:rsid w:val="5575098A"/>
    <w:rsid w:val="559C0ECE"/>
    <w:rsid w:val="55B948FD"/>
    <w:rsid w:val="55DB478F"/>
    <w:rsid w:val="562E2338"/>
    <w:rsid w:val="565022D0"/>
    <w:rsid w:val="56544A99"/>
    <w:rsid w:val="566B650E"/>
    <w:rsid w:val="567664F1"/>
    <w:rsid w:val="56A12098"/>
    <w:rsid w:val="56EA26AF"/>
    <w:rsid w:val="56EC742D"/>
    <w:rsid w:val="572C38BE"/>
    <w:rsid w:val="576D4988"/>
    <w:rsid w:val="57876C3E"/>
    <w:rsid w:val="579A50DA"/>
    <w:rsid w:val="579F6A0D"/>
    <w:rsid w:val="57B37C72"/>
    <w:rsid w:val="57E572A1"/>
    <w:rsid w:val="582E57DE"/>
    <w:rsid w:val="584F14E5"/>
    <w:rsid w:val="587A085B"/>
    <w:rsid w:val="587A6907"/>
    <w:rsid w:val="58D04EEB"/>
    <w:rsid w:val="596013A4"/>
    <w:rsid w:val="59A20926"/>
    <w:rsid w:val="59B82373"/>
    <w:rsid w:val="59BA1119"/>
    <w:rsid w:val="59D56FCB"/>
    <w:rsid w:val="5A1E5BC9"/>
    <w:rsid w:val="5A557999"/>
    <w:rsid w:val="5A82356B"/>
    <w:rsid w:val="5AC87F98"/>
    <w:rsid w:val="5AC97A40"/>
    <w:rsid w:val="5ACC1B21"/>
    <w:rsid w:val="5AD8442B"/>
    <w:rsid w:val="5B0750C4"/>
    <w:rsid w:val="5B107B27"/>
    <w:rsid w:val="5B1D250E"/>
    <w:rsid w:val="5B291234"/>
    <w:rsid w:val="5B2E5729"/>
    <w:rsid w:val="5BBE331C"/>
    <w:rsid w:val="5C0B1FEA"/>
    <w:rsid w:val="5C204034"/>
    <w:rsid w:val="5C2361FF"/>
    <w:rsid w:val="5C6E03E4"/>
    <w:rsid w:val="5C7F0CFE"/>
    <w:rsid w:val="5CA028AB"/>
    <w:rsid w:val="5CA32377"/>
    <w:rsid w:val="5CC64F24"/>
    <w:rsid w:val="5D0B6FB2"/>
    <w:rsid w:val="5D1D764A"/>
    <w:rsid w:val="5D215911"/>
    <w:rsid w:val="5D3323F4"/>
    <w:rsid w:val="5D401DB4"/>
    <w:rsid w:val="5D4569DB"/>
    <w:rsid w:val="5D6E3134"/>
    <w:rsid w:val="5D753D0D"/>
    <w:rsid w:val="5D881E34"/>
    <w:rsid w:val="5DB80C55"/>
    <w:rsid w:val="5DC016B0"/>
    <w:rsid w:val="5DC4706D"/>
    <w:rsid w:val="5DF3666D"/>
    <w:rsid w:val="5DF725F8"/>
    <w:rsid w:val="5DF80792"/>
    <w:rsid w:val="5E030BDD"/>
    <w:rsid w:val="5E0E1F3A"/>
    <w:rsid w:val="5E167440"/>
    <w:rsid w:val="5E2A2EEB"/>
    <w:rsid w:val="5E457C97"/>
    <w:rsid w:val="5E5047A6"/>
    <w:rsid w:val="5E550ABC"/>
    <w:rsid w:val="5E7F5CDD"/>
    <w:rsid w:val="5E8C24F0"/>
    <w:rsid w:val="5EB834B8"/>
    <w:rsid w:val="5ED568DF"/>
    <w:rsid w:val="5EE65A21"/>
    <w:rsid w:val="5F050F69"/>
    <w:rsid w:val="5F394B46"/>
    <w:rsid w:val="5F50072F"/>
    <w:rsid w:val="5F797C86"/>
    <w:rsid w:val="5F7F1523"/>
    <w:rsid w:val="5FAD2C4B"/>
    <w:rsid w:val="5FBB4342"/>
    <w:rsid w:val="5FC32719"/>
    <w:rsid w:val="5FC7688E"/>
    <w:rsid w:val="60135DAE"/>
    <w:rsid w:val="6031793F"/>
    <w:rsid w:val="60584FB2"/>
    <w:rsid w:val="610D2FA0"/>
    <w:rsid w:val="611B11CA"/>
    <w:rsid w:val="61283A42"/>
    <w:rsid w:val="612C33AF"/>
    <w:rsid w:val="61A145F4"/>
    <w:rsid w:val="61FF32B4"/>
    <w:rsid w:val="620F0F50"/>
    <w:rsid w:val="623520C2"/>
    <w:rsid w:val="62582BD7"/>
    <w:rsid w:val="6269113A"/>
    <w:rsid w:val="627A0579"/>
    <w:rsid w:val="62BD1BEB"/>
    <w:rsid w:val="62C4493B"/>
    <w:rsid w:val="62E542ED"/>
    <w:rsid w:val="62E859EB"/>
    <w:rsid w:val="630907A0"/>
    <w:rsid w:val="63163CE2"/>
    <w:rsid w:val="63182EAC"/>
    <w:rsid w:val="631C2492"/>
    <w:rsid w:val="63532703"/>
    <w:rsid w:val="63681884"/>
    <w:rsid w:val="638031CA"/>
    <w:rsid w:val="63B81EE2"/>
    <w:rsid w:val="63C663A7"/>
    <w:rsid w:val="63DF49E9"/>
    <w:rsid w:val="63F95605"/>
    <w:rsid w:val="63FA4F34"/>
    <w:rsid w:val="640B7DAC"/>
    <w:rsid w:val="642B60CB"/>
    <w:rsid w:val="64A82A4B"/>
    <w:rsid w:val="64F02C8A"/>
    <w:rsid w:val="651B358E"/>
    <w:rsid w:val="65450320"/>
    <w:rsid w:val="65576140"/>
    <w:rsid w:val="6569254B"/>
    <w:rsid w:val="656E1B1E"/>
    <w:rsid w:val="65944B26"/>
    <w:rsid w:val="65A17C10"/>
    <w:rsid w:val="65A43FC9"/>
    <w:rsid w:val="65B415CE"/>
    <w:rsid w:val="660D2ED6"/>
    <w:rsid w:val="66212E26"/>
    <w:rsid w:val="66237A0D"/>
    <w:rsid w:val="662B7800"/>
    <w:rsid w:val="662C72C3"/>
    <w:rsid w:val="663E4DE4"/>
    <w:rsid w:val="665925BF"/>
    <w:rsid w:val="666D20C5"/>
    <w:rsid w:val="666F5074"/>
    <w:rsid w:val="67065E2D"/>
    <w:rsid w:val="67427C59"/>
    <w:rsid w:val="674D72CB"/>
    <w:rsid w:val="6751773B"/>
    <w:rsid w:val="67666605"/>
    <w:rsid w:val="677D3F57"/>
    <w:rsid w:val="678F7CFE"/>
    <w:rsid w:val="67933FF5"/>
    <w:rsid w:val="67ED5EA9"/>
    <w:rsid w:val="67FD1FC9"/>
    <w:rsid w:val="67FE2BE5"/>
    <w:rsid w:val="686A4BD9"/>
    <w:rsid w:val="68AB1361"/>
    <w:rsid w:val="68C42C20"/>
    <w:rsid w:val="68D561B5"/>
    <w:rsid w:val="68EC3E19"/>
    <w:rsid w:val="68FC7232"/>
    <w:rsid w:val="69153AB4"/>
    <w:rsid w:val="69280ABE"/>
    <w:rsid w:val="69360996"/>
    <w:rsid w:val="6938639F"/>
    <w:rsid w:val="695A0B28"/>
    <w:rsid w:val="699E4FA8"/>
    <w:rsid w:val="69B045E4"/>
    <w:rsid w:val="69BE3D43"/>
    <w:rsid w:val="69BF2E9B"/>
    <w:rsid w:val="69C9448A"/>
    <w:rsid w:val="6A077EE6"/>
    <w:rsid w:val="6A1E618D"/>
    <w:rsid w:val="6A6830C7"/>
    <w:rsid w:val="6A89513B"/>
    <w:rsid w:val="6AB55A49"/>
    <w:rsid w:val="6AF86CCA"/>
    <w:rsid w:val="6B6271EC"/>
    <w:rsid w:val="6B63694B"/>
    <w:rsid w:val="6B776577"/>
    <w:rsid w:val="6B956941"/>
    <w:rsid w:val="6BB169FA"/>
    <w:rsid w:val="6BB81E9C"/>
    <w:rsid w:val="6BC0308D"/>
    <w:rsid w:val="6BC169DB"/>
    <w:rsid w:val="6C507E9E"/>
    <w:rsid w:val="6C524B28"/>
    <w:rsid w:val="6C6828CE"/>
    <w:rsid w:val="6C6E0CDB"/>
    <w:rsid w:val="6C8251EB"/>
    <w:rsid w:val="6CA302ED"/>
    <w:rsid w:val="6CBD219B"/>
    <w:rsid w:val="6CDE6539"/>
    <w:rsid w:val="6CE949FC"/>
    <w:rsid w:val="6D1250B4"/>
    <w:rsid w:val="6D245D86"/>
    <w:rsid w:val="6D4333EB"/>
    <w:rsid w:val="6D4578FD"/>
    <w:rsid w:val="6D5B5009"/>
    <w:rsid w:val="6D7927F5"/>
    <w:rsid w:val="6DB82D84"/>
    <w:rsid w:val="6DC07BE1"/>
    <w:rsid w:val="6DDF4212"/>
    <w:rsid w:val="6DF22304"/>
    <w:rsid w:val="6E1E7249"/>
    <w:rsid w:val="6E4C770B"/>
    <w:rsid w:val="6E660453"/>
    <w:rsid w:val="6E671015"/>
    <w:rsid w:val="6EB573D5"/>
    <w:rsid w:val="6ECF41D9"/>
    <w:rsid w:val="6EDA324E"/>
    <w:rsid w:val="6EDC1FE0"/>
    <w:rsid w:val="6EFE1F56"/>
    <w:rsid w:val="6F0F5F11"/>
    <w:rsid w:val="6F5A4CB2"/>
    <w:rsid w:val="6F6C446C"/>
    <w:rsid w:val="6FA31ED0"/>
    <w:rsid w:val="6FAA7DC7"/>
    <w:rsid w:val="6FE17BD1"/>
    <w:rsid w:val="6FE7486A"/>
    <w:rsid w:val="6FFF53CD"/>
    <w:rsid w:val="7022255B"/>
    <w:rsid w:val="702B1DB3"/>
    <w:rsid w:val="70330545"/>
    <w:rsid w:val="70383B5E"/>
    <w:rsid w:val="7046345D"/>
    <w:rsid w:val="70700FEC"/>
    <w:rsid w:val="70873F25"/>
    <w:rsid w:val="70DB5C50"/>
    <w:rsid w:val="70E22E6B"/>
    <w:rsid w:val="70E44DFB"/>
    <w:rsid w:val="70E60574"/>
    <w:rsid w:val="7112196A"/>
    <w:rsid w:val="7115666A"/>
    <w:rsid w:val="71283A40"/>
    <w:rsid w:val="7145658E"/>
    <w:rsid w:val="71493231"/>
    <w:rsid w:val="71516E4C"/>
    <w:rsid w:val="715E1B3B"/>
    <w:rsid w:val="71BB412E"/>
    <w:rsid w:val="71D50C08"/>
    <w:rsid w:val="72200306"/>
    <w:rsid w:val="723776F2"/>
    <w:rsid w:val="72802DD1"/>
    <w:rsid w:val="728B2D64"/>
    <w:rsid w:val="72BF41FF"/>
    <w:rsid w:val="72C47013"/>
    <w:rsid w:val="72CA40A3"/>
    <w:rsid w:val="72D336FA"/>
    <w:rsid w:val="72FA1D9E"/>
    <w:rsid w:val="730E7546"/>
    <w:rsid w:val="731A1328"/>
    <w:rsid w:val="73225B94"/>
    <w:rsid w:val="735859AD"/>
    <w:rsid w:val="737F2285"/>
    <w:rsid w:val="737F26D8"/>
    <w:rsid w:val="73AA64F6"/>
    <w:rsid w:val="73AB01D2"/>
    <w:rsid w:val="742548C6"/>
    <w:rsid w:val="742F4960"/>
    <w:rsid w:val="74395B62"/>
    <w:rsid w:val="745008EF"/>
    <w:rsid w:val="74606F86"/>
    <w:rsid w:val="74872D2C"/>
    <w:rsid w:val="74A3249F"/>
    <w:rsid w:val="74A528F7"/>
    <w:rsid w:val="74B60001"/>
    <w:rsid w:val="74B9591D"/>
    <w:rsid w:val="74C948AE"/>
    <w:rsid w:val="75026B02"/>
    <w:rsid w:val="751B58EC"/>
    <w:rsid w:val="752B04F1"/>
    <w:rsid w:val="753B1786"/>
    <w:rsid w:val="7547340F"/>
    <w:rsid w:val="755846A3"/>
    <w:rsid w:val="755A5A0C"/>
    <w:rsid w:val="75B5764E"/>
    <w:rsid w:val="75BC1782"/>
    <w:rsid w:val="75C51409"/>
    <w:rsid w:val="75F31DC5"/>
    <w:rsid w:val="7634544A"/>
    <w:rsid w:val="76443835"/>
    <w:rsid w:val="76452218"/>
    <w:rsid w:val="76C90024"/>
    <w:rsid w:val="76E40F21"/>
    <w:rsid w:val="77171CF2"/>
    <w:rsid w:val="774E340D"/>
    <w:rsid w:val="776808B4"/>
    <w:rsid w:val="776C6F1C"/>
    <w:rsid w:val="77805973"/>
    <w:rsid w:val="7784595D"/>
    <w:rsid w:val="77A35559"/>
    <w:rsid w:val="77CF4F3C"/>
    <w:rsid w:val="77F621A1"/>
    <w:rsid w:val="77FF49FF"/>
    <w:rsid w:val="78005013"/>
    <w:rsid w:val="781661DD"/>
    <w:rsid w:val="781F488D"/>
    <w:rsid w:val="782737EE"/>
    <w:rsid w:val="784B2F23"/>
    <w:rsid w:val="787321D9"/>
    <w:rsid w:val="78B70534"/>
    <w:rsid w:val="78D9133E"/>
    <w:rsid w:val="7901334D"/>
    <w:rsid w:val="793378CE"/>
    <w:rsid w:val="79445522"/>
    <w:rsid w:val="794A0303"/>
    <w:rsid w:val="796B57AB"/>
    <w:rsid w:val="79827F50"/>
    <w:rsid w:val="798B2A6D"/>
    <w:rsid w:val="79A42365"/>
    <w:rsid w:val="79AB4DB8"/>
    <w:rsid w:val="79D042F9"/>
    <w:rsid w:val="7A161F72"/>
    <w:rsid w:val="7A225BCB"/>
    <w:rsid w:val="7A3D682E"/>
    <w:rsid w:val="7A7E6128"/>
    <w:rsid w:val="7A9F7821"/>
    <w:rsid w:val="7AA234FD"/>
    <w:rsid w:val="7B133AD1"/>
    <w:rsid w:val="7B477731"/>
    <w:rsid w:val="7B5B37C9"/>
    <w:rsid w:val="7BBE695A"/>
    <w:rsid w:val="7BC609BA"/>
    <w:rsid w:val="7BEE1A48"/>
    <w:rsid w:val="7BF94115"/>
    <w:rsid w:val="7C2231EF"/>
    <w:rsid w:val="7C607E09"/>
    <w:rsid w:val="7C8929B4"/>
    <w:rsid w:val="7CC866AC"/>
    <w:rsid w:val="7CD75C71"/>
    <w:rsid w:val="7CE608EB"/>
    <w:rsid w:val="7D1B0348"/>
    <w:rsid w:val="7D394CB6"/>
    <w:rsid w:val="7D5835A2"/>
    <w:rsid w:val="7D6E0C38"/>
    <w:rsid w:val="7D913864"/>
    <w:rsid w:val="7DC21FBB"/>
    <w:rsid w:val="7E0552DA"/>
    <w:rsid w:val="7E0F30CA"/>
    <w:rsid w:val="7E233624"/>
    <w:rsid w:val="7E391887"/>
    <w:rsid w:val="7E3F2705"/>
    <w:rsid w:val="7E631DD5"/>
    <w:rsid w:val="7E776D60"/>
    <w:rsid w:val="7E814130"/>
    <w:rsid w:val="7E873E62"/>
    <w:rsid w:val="7EE92EC5"/>
    <w:rsid w:val="7EEB09B2"/>
    <w:rsid w:val="7EED5B43"/>
    <w:rsid w:val="7F412B63"/>
    <w:rsid w:val="7FD84C5A"/>
    <w:rsid w:val="7FDF16F2"/>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7"/>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8">
    <w:name w:val="Default Paragraph Font"/>
    <w:autoRedefine/>
    <w:semiHidden/>
    <w:unhideWhenUsed/>
    <w:qFormat/>
    <w:uiPriority w:val="1"/>
  </w:style>
  <w:style w:type="table" w:default="1" w:styleId="36">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6">
    <w:name w:val="index 8"/>
    <w:basedOn w:val="1"/>
    <w:next w:val="1"/>
    <w:autoRedefine/>
    <w:qFormat/>
    <w:uiPriority w:val="0"/>
    <w:pPr>
      <w:ind w:left="1680" w:hanging="210"/>
      <w:jc w:val="left"/>
    </w:pPr>
    <w:rPr>
      <w:rFonts w:ascii="Calibri" w:hAnsi="Calibri"/>
      <w:sz w:val="20"/>
      <w:szCs w:val="20"/>
    </w:rPr>
  </w:style>
  <w:style w:type="paragraph" w:styleId="7">
    <w:name w:val="caption"/>
    <w:basedOn w:val="1"/>
    <w:next w:val="1"/>
    <w:autoRedefine/>
    <w:qFormat/>
    <w:uiPriority w:val="0"/>
    <w:pPr>
      <w:spacing w:before="152" w:after="160"/>
    </w:pPr>
    <w:rPr>
      <w:rFonts w:ascii="Arial" w:hAnsi="Arial" w:eastAsia="黑体" w:cs="Arial"/>
      <w:sz w:val="20"/>
      <w:szCs w:val="20"/>
    </w:rPr>
  </w:style>
  <w:style w:type="paragraph" w:styleId="8">
    <w:name w:val="index 5"/>
    <w:basedOn w:val="1"/>
    <w:next w:val="1"/>
    <w:autoRedefine/>
    <w:qFormat/>
    <w:uiPriority w:val="0"/>
    <w:pPr>
      <w:ind w:left="1050" w:hanging="210"/>
      <w:jc w:val="left"/>
    </w:pPr>
    <w:rPr>
      <w:rFonts w:ascii="Calibri" w:hAnsi="Calibri"/>
      <w:sz w:val="20"/>
      <w:szCs w:val="20"/>
    </w:rPr>
  </w:style>
  <w:style w:type="paragraph" w:styleId="9">
    <w:name w:val="Document Map"/>
    <w:basedOn w:val="1"/>
    <w:autoRedefine/>
    <w:semiHidden/>
    <w:qFormat/>
    <w:uiPriority w:val="0"/>
    <w:pPr>
      <w:shd w:val="clear" w:color="auto" w:fill="000080"/>
    </w:pPr>
  </w:style>
  <w:style w:type="paragraph" w:styleId="10">
    <w:name w:val="annotation text"/>
    <w:basedOn w:val="1"/>
    <w:link w:val="151"/>
    <w:autoRedefine/>
    <w:qFormat/>
    <w:uiPriority w:val="0"/>
    <w:pPr>
      <w:jc w:val="left"/>
    </w:pPr>
  </w:style>
  <w:style w:type="paragraph" w:styleId="11">
    <w:name w:val="index 6"/>
    <w:basedOn w:val="1"/>
    <w:next w:val="1"/>
    <w:autoRedefine/>
    <w:qFormat/>
    <w:uiPriority w:val="0"/>
    <w:pPr>
      <w:ind w:left="1260" w:hanging="210"/>
      <w:jc w:val="left"/>
    </w:pPr>
    <w:rPr>
      <w:rFonts w:ascii="Calibri" w:hAnsi="Calibri"/>
      <w:sz w:val="20"/>
      <w:szCs w:val="20"/>
    </w:rPr>
  </w:style>
  <w:style w:type="paragraph" w:styleId="12">
    <w:name w:val="Body Text"/>
    <w:basedOn w:val="1"/>
    <w:link w:val="142"/>
    <w:autoRedefine/>
    <w:qFormat/>
    <w:uiPriority w:val="0"/>
    <w:pPr>
      <w:autoSpaceDE w:val="0"/>
      <w:autoSpaceDN w:val="0"/>
      <w:jc w:val="left"/>
    </w:pPr>
    <w:rPr>
      <w:rFonts w:ascii="宋体" w:hAnsi="宋体" w:cs="宋体"/>
      <w:kern w:val="0"/>
      <w:szCs w:val="21"/>
      <w:lang w:val="zh-CN" w:bidi="zh-CN"/>
    </w:rPr>
  </w:style>
  <w:style w:type="paragraph" w:styleId="13">
    <w:name w:val="index 4"/>
    <w:basedOn w:val="1"/>
    <w:next w:val="1"/>
    <w:autoRedefine/>
    <w:qFormat/>
    <w:uiPriority w:val="0"/>
    <w:pPr>
      <w:ind w:left="840" w:hanging="210"/>
      <w:jc w:val="left"/>
    </w:pPr>
    <w:rPr>
      <w:rFonts w:ascii="Calibri" w:hAnsi="Calibri"/>
      <w:sz w:val="20"/>
      <w:szCs w:val="20"/>
    </w:rPr>
  </w:style>
  <w:style w:type="paragraph" w:styleId="14">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5">
    <w:name w:val="toc 3"/>
    <w:basedOn w:val="1"/>
    <w:next w:val="1"/>
    <w:autoRedefine/>
    <w:qFormat/>
    <w:uiPriority w:val="39"/>
    <w:pPr>
      <w:tabs>
        <w:tab w:val="right" w:leader="dot" w:pos="9241"/>
      </w:tabs>
      <w:ind w:firstLine="102" w:firstLineChars="100"/>
      <w:jc w:val="left"/>
    </w:pPr>
    <w:rPr>
      <w:rFonts w:ascii="宋体"/>
      <w:szCs w:val="21"/>
    </w:rPr>
  </w:style>
  <w:style w:type="paragraph" w:styleId="16">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7">
    <w:name w:val="index 3"/>
    <w:basedOn w:val="1"/>
    <w:next w:val="1"/>
    <w:autoRedefine/>
    <w:qFormat/>
    <w:uiPriority w:val="0"/>
    <w:pPr>
      <w:ind w:left="630" w:hanging="210"/>
      <w:jc w:val="left"/>
    </w:pPr>
    <w:rPr>
      <w:rFonts w:ascii="Calibri" w:hAnsi="Calibri"/>
      <w:sz w:val="20"/>
      <w:szCs w:val="20"/>
    </w:rPr>
  </w:style>
  <w:style w:type="paragraph" w:styleId="18">
    <w:name w:val="endnote text"/>
    <w:basedOn w:val="1"/>
    <w:autoRedefine/>
    <w:semiHidden/>
    <w:qFormat/>
    <w:uiPriority w:val="0"/>
    <w:pPr>
      <w:snapToGrid w:val="0"/>
      <w:jc w:val="left"/>
    </w:pPr>
  </w:style>
  <w:style w:type="paragraph" w:styleId="19">
    <w:name w:val="Balloon Text"/>
    <w:basedOn w:val="1"/>
    <w:link w:val="149"/>
    <w:autoRedefine/>
    <w:qFormat/>
    <w:uiPriority w:val="0"/>
    <w:rPr>
      <w:sz w:val="18"/>
      <w:szCs w:val="18"/>
    </w:rPr>
  </w:style>
  <w:style w:type="paragraph" w:styleId="20">
    <w:name w:val="footer"/>
    <w:basedOn w:val="1"/>
    <w:autoRedefine/>
    <w:qFormat/>
    <w:uiPriority w:val="0"/>
    <w:pPr>
      <w:snapToGrid w:val="0"/>
      <w:ind w:right="210" w:rightChars="100"/>
      <w:jc w:val="right"/>
    </w:pPr>
    <w:rPr>
      <w:sz w:val="18"/>
      <w:szCs w:val="18"/>
    </w:rPr>
  </w:style>
  <w:style w:type="paragraph" w:styleId="21">
    <w:name w:val="header"/>
    <w:basedOn w:val="1"/>
    <w:autoRedefine/>
    <w:qFormat/>
    <w:uiPriority w:val="0"/>
    <w:pPr>
      <w:snapToGrid w:val="0"/>
      <w:jc w:val="left"/>
    </w:pPr>
    <w:rPr>
      <w:sz w:val="18"/>
      <w:szCs w:val="18"/>
    </w:rPr>
  </w:style>
  <w:style w:type="paragraph" w:styleId="22">
    <w:name w:val="toc 1"/>
    <w:basedOn w:val="1"/>
    <w:next w:val="1"/>
    <w:autoRedefine/>
    <w:qFormat/>
    <w:uiPriority w:val="39"/>
    <w:pPr>
      <w:tabs>
        <w:tab w:val="right" w:leader="dot" w:pos="9241"/>
      </w:tabs>
      <w:spacing w:before="25" w:beforeLines="25" w:after="25" w:afterLines="25"/>
      <w:jc w:val="left"/>
    </w:pPr>
    <w:rPr>
      <w:rFonts w:ascii="宋体"/>
      <w:szCs w:val="21"/>
    </w:rPr>
  </w:style>
  <w:style w:type="paragraph" w:styleId="23">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autoRedefine/>
    <w:qFormat/>
    <w:uiPriority w:val="0"/>
    <w:pPr>
      <w:spacing w:before="120" w:after="120"/>
      <w:jc w:val="center"/>
    </w:pPr>
    <w:rPr>
      <w:rFonts w:ascii="Calibri" w:hAnsi="Calibri"/>
      <w:b/>
      <w:bCs/>
      <w:iCs/>
      <w:szCs w:val="20"/>
    </w:rPr>
  </w:style>
  <w:style w:type="paragraph" w:styleId="25">
    <w:name w:val="index 1"/>
    <w:basedOn w:val="1"/>
    <w:next w:val="26"/>
    <w:autoRedefine/>
    <w:qFormat/>
    <w:uiPriority w:val="0"/>
    <w:pPr>
      <w:tabs>
        <w:tab w:val="right" w:leader="dot" w:pos="9299"/>
      </w:tabs>
      <w:jc w:val="left"/>
    </w:pPr>
    <w:rPr>
      <w:rFonts w:ascii="宋体"/>
      <w:szCs w:val="21"/>
    </w:rPr>
  </w:style>
  <w:style w:type="paragraph" w:customStyle="1" w:styleId="26">
    <w:name w:val="段"/>
    <w:link w:val="4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autoRedefine/>
    <w:qFormat/>
    <w:uiPriority w:val="0"/>
    <w:pPr>
      <w:numPr>
        <w:ilvl w:val="0"/>
        <w:numId w:val="1"/>
      </w:numPr>
      <w:snapToGrid w:val="0"/>
      <w:jc w:val="left"/>
    </w:pPr>
    <w:rPr>
      <w:rFonts w:ascii="宋体"/>
      <w:sz w:val="18"/>
      <w:szCs w:val="18"/>
    </w:rPr>
  </w:style>
  <w:style w:type="paragraph" w:styleId="28">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29">
    <w:name w:val="index 7"/>
    <w:basedOn w:val="1"/>
    <w:next w:val="1"/>
    <w:autoRedefine/>
    <w:qFormat/>
    <w:uiPriority w:val="0"/>
    <w:pPr>
      <w:ind w:left="1470" w:hanging="210"/>
      <w:jc w:val="left"/>
    </w:pPr>
    <w:rPr>
      <w:rFonts w:ascii="Calibri" w:hAnsi="Calibri"/>
      <w:sz w:val="20"/>
      <w:szCs w:val="20"/>
    </w:rPr>
  </w:style>
  <w:style w:type="paragraph" w:styleId="30">
    <w:name w:val="index 9"/>
    <w:basedOn w:val="1"/>
    <w:next w:val="1"/>
    <w:autoRedefine/>
    <w:qFormat/>
    <w:uiPriority w:val="0"/>
    <w:pPr>
      <w:ind w:left="1890" w:hanging="210"/>
      <w:jc w:val="left"/>
    </w:pPr>
    <w:rPr>
      <w:rFonts w:ascii="Calibri" w:hAnsi="Calibri"/>
      <w:sz w:val="20"/>
      <w:szCs w:val="20"/>
    </w:rPr>
  </w:style>
  <w:style w:type="paragraph" w:styleId="31">
    <w:name w:val="toc 2"/>
    <w:basedOn w:val="1"/>
    <w:next w:val="1"/>
    <w:autoRedefine/>
    <w:qFormat/>
    <w:uiPriority w:val="39"/>
    <w:pPr>
      <w:tabs>
        <w:tab w:val="right" w:leader="dot" w:pos="9241"/>
      </w:tabs>
    </w:pPr>
    <w:rPr>
      <w:rFonts w:ascii="宋体"/>
      <w:szCs w:val="21"/>
    </w:rPr>
  </w:style>
  <w:style w:type="paragraph" w:styleId="32">
    <w:name w:val="toc 9"/>
    <w:basedOn w:val="1"/>
    <w:next w:val="1"/>
    <w:autoRedefine/>
    <w:semiHidden/>
    <w:qFormat/>
    <w:uiPriority w:val="0"/>
    <w:pPr>
      <w:ind w:left="1470"/>
      <w:jc w:val="left"/>
    </w:pPr>
    <w:rPr>
      <w:sz w:val="20"/>
      <w:szCs w:val="20"/>
    </w:rPr>
  </w:style>
  <w:style w:type="paragraph" w:styleId="3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autoRedefine/>
    <w:qFormat/>
    <w:uiPriority w:val="0"/>
    <w:pPr>
      <w:ind w:left="420" w:hanging="210"/>
      <w:jc w:val="left"/>
    </w:pPr>
    <w:rPr>
      <w:rFonts w:ascii="Calibri" w:hAnsi="Calibri"/>
      <w:sz w:val="20"/>
      <w:szCs w:val="20"/>
    </w:rPr>
  </w:style>
  <w:style w:type="paragraph" w:styleId="35">
    <w:name w:val="annotation subject"/>
    <w:basedOn w:val="10"/>
    <w:next w:val="10"/>
    <w:link w:val="152"/>
    <w:autoRedefine/>
    <w:qFormat/>
    <w:uiPriority w:val="0"/>
    <w:rPr>
      <w:b/>
      <w:bCs/>
    </w:rPr>
  </w:style>
  <w:style w:type="table" w:styleId="37">
    <w:name w:val="Table Grid"/>
    <w:basedOn w:val="36"/>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Strong"/>
    <w:basedOn w:val="38"/>
    <w:autoRedefine/>
    <w:qFormat/>
    <w:uiPriority w:val="0"/>
    <w:rPr>
      <w:b/>
    </w:rPr>
  </w:style>
  <w:style w:type="character" w:styleId="40">
    <w:name w:val="endnote reference"/>
    <w:autoRedefine/>
    <w:semiHidden/>
    <w:qFormat/>
    <w:uiPriority w:val="0"/>
    <w:rPr>
      <w:vertAlign w:val="superscript"/>
    </w:rPr>
  </w:style>
  <w:style w:type="character" w:styleId="41">
    <w:name w:val="page number"/>
    <w:autoRedefine/>
    <w:qFormat/>
    <w:uiPriority w:val="0"/>
    <w:rPr>
      <w:rFonts w:ascii="Times New Roman" w:hAnsi="Times New Roman" w:eastAsia="宋体"/>
      <w:sz w:val="18"/>
    </w:rPr>
  </w:style>
  <w:style w:type="character" w:styleId="42">
    <w:name w:val="FollowedHyperlink"/>
    <w:autoRedefine/>
    <w:qFormat/>
    <w:uiPriority w:val="0"/>
    <w:rPr>
      <w:color w:val="800080"/>
      <w:u w:val="single"/>
    </w:rPr>
  </w:style>
  <w:style w:type="character" w:styleId="43">
    <w:name w:val="Hyperlink"/>
    <w:basedOn w:val="38"/>
    <w:autoRedefine/>
    <w:qFormat/>
    <w:uiPriority w:val="99"/>
    <w:rPr>
      <w:color w:val="0000FF"/>
      <w:spacing w:val="0"/>
      <w:w w:val="100"/>
      <w:szCs w:val="21"/>
      <w:u w:val="single"/>
    </w:rPr>
  </w:style>
  <w:style w:type="character" w:styleId="44">
    <w:name w:val="annotation reference"/>
    <w:basedOn w:val="38"/>
    <w:autoRedefine/>
    <w:qFormat/>
    <w:uiPriority w:val="0"/>
    <w:rPr>
      <w:sz w:val="21"/>
      <w:szCs w:val="21"/>
    </w:rPr>
  </w:style>
  <w:style w:type="character" w:styleId="45">
    <w:name w:val="footnote reference"/>
    <w:autoRedefine/>
    <w:semiHidden/>
    <w:qFormat/>
    <w:uiPriority w:val="0"/>
    <w:rPr>
      <w:vertAlign w:val="superscript"/>
    </w:rPr>
  </w:style>
  <w:style w:type="character" w:customStyle="1" w:styleId="46">
    <w:name w:val="段 Char"/>
    <w:link w:val="26"/>
    <w:autoRedefine/>
    <w:qFormat/>
    <w:uiPriority w:val="0"/>
    <w:rPr>
      <w:rFonts w:ascii="宋体"/>
      <w:sz w:val="21"/>
      <w:lang w:val="en-US" w:eastAsia="zh-CN" w:bidi="ar-SA"/>
    </w:rPr>
  </w:style>
  <w:style w:type="paragraph" w:customStyle="1" w:styleId="47">
    <w:name w:val="一级条标题"/>
    <w:next w:val="26"/>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6"/>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6"/>
    <w:autoRedefine/>
    <w:qFormat/>
    <w:uiPriority w:val="0"/>
    <w:pPr>
      <w:numPr>
        <w:ilvl w:val="2"/>
      </w:numPr>
      <w:spacing w:before="50" w:after="50"/>
      <w:outlineLvl w:val="3"/>
    </w:pPr>
  </w:style>
  <w:style w:type="paragraph" w:customStyle="1" w:styleId="52">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6"/>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6"/>
    <w:autoRedefine/>
    <w:qFormat/>
    <w:uiPriority w:val="0"/>
    <w:pPr>
      <w:numPr>
        <w:ilvl w:val="0"/>
        <w:numId w:val="0"/>
      </w:numPr>
      <w:outlineLvl w:val="4"/>
    </w:pPr>
  </w:style>
  <w:style w:type="paragraph" w:customStyle="1" w:styleId="57">
    <w:name w:val="示例"/>
    <w:next w:val="58"/>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8">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0">
    <w:name w:val="四级条标题"/>
    <w:basedOn w:val="56"/>
    <w:next w:val="26"/>
    <w:autoRedefine/>
    <w:qFormat/>
    <w:uiPriority w:val="0"/>
    <w:pPr>
      <w:numPr>
        <w:ilvl w:val="4"/>
        <w:numId w:val="2"/>
      </w:numPr>
      <w:outlineLvl w:val="5"/>
    </w:pPr>
  </w:style>
  <w:style w:type="paragraph" w:customStyle="1" w:styleId="61">
    <w:name w:val="五级条标题"/>
    <w:basedOn w:val="60"/>
    <w:next w:val="26"/>
    <w:autoRedefine/>
    <w:qFormat/>
    <w:uiPriority w:val="0"/>
    <w:pPr>
      <w:numPr>
        <w:ilvl w:val="5"/>
      </w:numPr>
      <w:outlineLvl w:val="6"/>
    </w:pPr>
  </w:style>
  <w:style w:type="paragraph" w:customStyle="1" w:styleId="62">
    <w:name w:val="注："/>
    <w:next w:val="26"/>
    <w:link w:val="156"/>
    <w:autoRedefine/>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autoRedefine/>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autoRedefine/>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5">
    <w:name w:val="列项◆（三级）"/>
    <w:basedOn w:val="1"/>
    <w:autoRedefine/>
    <w:qFormat/>
    <w:uiPriority w:val="0"/>
    <w:pPr>
      <w:numPr>
        <w:ilvl w:val="2"/>
        <w:numId w:val="3"/>
      </w:numPr>
    </w:pPr>
    <w:rPr>
      <w:rFonts w:ascii="宋体"/>
      <w:szCs w:val="21"/>
    </w:rPr>
  </w:style>
  <w:style w:type="paragraph" w:customStyle="1" w:styleId="66">
    <w:name w:val="编号列项（三级）"/>
    <w:autoRedefine/>
    <w:qFormat/>
    <w:uiPriority w:val="0"/>
    <w:rPr>
      <w:rFonts w:ascii="宋体" w:hAnsi="Times New Roman" w:eastAsia="宋体" w:cs="Times New Roman"/>
      <w:sz w:val="21"/>
      <w:lang w:val="en-US" w:eastAsia="zh-CN" w:bidi="ar-SA"/>
    </w:rPr>
  </w:style>
  <w:style w:type="paragraph" w:customStyle="1" w:styleId="67">
    <w:name w:val="示例×："/>
    <w:basedOn w:val="50"/>
    <w:autoRedefine/>
    <w:qFormat/>
    <w:uiPriority w:val="0"/>
    <w:pPr>
      <w:numPr>
        <w:numId w:val="8"/>
      </w:numPr>
      <w:spacing w:before="0" w:beforeLines="0" w:after="0" w:afterLines="0"/>
      <w:outlineLvl w:val="9"/>
    </w:pPr>
    <w:rPr>
      <w:rFonts w:ascii="宋体" w:eastAsia="宋体"/>
      <w:sz w:val="18"/>
      <w:szCs w:val="18"/>
    </w:rPr>
  </w:style>
  <w:style w:type="paragraph" w:customStyle="1" w:styleId="68">
    <w:name w:val="二级无"/>
    <w:basedOn w:val="51"/>
    <w:autoRedefine/>
    <w:qFormat/>
    <w:uiPriority w:val="0"/>
    <w:pPr>
      <w:spacing w:before="0" w:beforeLines="0" w:after="0" w:afterLines="0"/>
    </w:pPr>
    <w:rPr>
      <w:rFonts w:ascii="宋体" w:eastAsia="宋体"/>
    </w:rPr>
  </w:style>
  <w:style w:type="paragraph" w:customStyle="1" w:styleId="69">
    <w:name w:val="注：（正文）"/>
    <w:basedOn w:val="62"/>
    <w:next w:val="26"/>
    <w:autoRedefine/>
    <w:qFormat/>
    <w:uiPriority w:val="0"/>
    <w:pPr>
      <w:numPr>
        <w:ilvl w:val="0"/>
        <w:numId w:val="9"/>
      </w:numPr>
    </w:pPr>
  </w:style>
  <w:style w:type="paragraph" w:customStyle="1" w:styleId="70">
    <w:name w:val="注×：（正文）"/>
    <w:autoRedefine/>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1">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autoRedefine/>
    <w:qFormat/>
    <w:uiPriority w:val="0"/>
    <w:pPr>
      <w:jc w:val="left"/>
    </w:pPr>
  </w:style>
  <w:style w:type="paragraph" w:customStyle="1" w:styleId="75">
    <w:name w:val="标准书眉一"/>
    <w:autoRedefine/>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6"/>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6"/>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autoRedefine/>
    <w:qFormat/>
    <w:uiPriority w:val="0"/>
    <w:rPr>
      <w:rFonts w:ascii="黑体" w:eastAsia="黑体"/>
      <w:spacing w:val="85"/>
      <w:w w:val="100"/>
      <w:position w:val="3"/>
      <w:sz w:val="28"/>
      <w:szCs w:val="28"/>
    </w:rPr>
  </w:style>
  <w:style w:type="paragraph" w:customStyle="1" w:styleId="79">
    <w:name w:val="发布部门"/>
    <w:next w:val="26"/>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autoRedefine/>
    <w:qFormat/>
    <w:uiPriority w:val="0"/>
    <w:pPr>
      <w:framePr w:wrap="around"/>
      <w:spacing w:before="370" w:line="400" w:lineRule="exact"/>
    </w:pPr>
    <w:rPr>
      <w:rFonts w:ascii="Times New Roman"/>
      <w:sz w:val="28"/>
      <w:szCs w:val="28"/>
    </w:rPr>
  </w:style>
  <w:style w:type="paragraph" w:customStyle="1" w:styleId="85">
    <w:name w:val="封面一致性程度标识"/>
    <w:basedOn w:val="84"/>
    <w:autoRedefine/>
    <w:qFormat/>
    <w:uiPriority w:val="0"/>
    <w:pPr>
      <w:framePr w:wrap="around"/>
      <w:spacing w:before="440"/>
    </w:pPr>
    <w:rPr>
      <w:rFonts w:ascii="宋体" w:eastAsia="宋体"/>
    </w:rPr>
  </w:style>
  <w:style w:type="paragraph" w:customStyle="1" w:styleId="86">
    <w:name w:val="封面标准文稿类别"/>
    <w:basedOn w:val="85"/>
    <w:autoRedefine/>
    <w:qFormat/>
    <w:uiPriority w:val="0"/>
    <w:pPr>
      <w:framePr w:wrap="around"/>
      <w:spacing w:after="160" w:line="240" w:lineRule="auto"/>
    </w:pPr>
    <w:rPr>
      <w:sz w:val="24"/>
    </w:rPr>
  </w:style>
  <w:style w:type="paragraph" w:customStyle="1" w:styleId="87">
    <w:name w:val="封面标准文稿编辑信息"/>
    <w:basedOn w:val="86"/>
    <w:autoRedefine/>
    <w:qFormat/>
    <w:uiPriority w:val="0"/>
    <w:pPr>
      <w:framePr w:wrap="around"/>
      <w:spacing w:before="180" w:line="180" w:lineRule="exact"/>
    </w:pPr>
    <w:rPr>
      <w:sz w:val="21"/>
    </w:rPr>
  </w:style>
  <w:style w:type="paragraph" w:customStyle="1" w:styleId="88">
    <w:name w:val="封面正文"/>
    <w:autoRedefine/>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6"/>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0">
    <w:name w:val="附录标题"/>
    <w:basedOn w:val="26"/>
    <w:next w:val="26"/>
    <w:autoRedefine/>
    <w:qFormat/>
    <w:uiPriority w:val="0"/>
    <w:pPr>
      <w:ind w:firstLine="0" w:firstLineChars="0"/>
      <w:jc w:val="center"/>
    </w:pPr>
    <w:rPr>
      <w:rFonts w:ascii="黑体" w:eastAsia="黑体"/>
    </w:rPr>
  </w:style>
  <w:style w:type="paragraph" w:customStyle="1" w:styleId="91">
    <w:name w:val="附录表标号"/>
    <w:basedOn w:val="1"/>
    <w:next w:val="26"/>
    <w:autoRedefine/>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2">
    <w:name w:val="附录表标题"/>
    <w:basedOn w:val="1"/>
    <w:next w:val="26"/>
    <w:autoRedefine/>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3">
    <w:name w:val="附录二级条标题"/>
    <w:basedOn w:val="1"/>
    <w:next w:val="26"/>
    <w:autoRedefine/>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autoRedefine/>
    <w:qFormat/>
    <w:uiPriority w:val="0"/>
    <w:pPr>
      <w:tabs>
        <w:tab w:val="clear" w:pos="360"/>
      </w:tabs>
      <w:spacing w:before="0" w:beforeLines="0" w:after="0" w:afterLines="0"/>
    </w:pPr>
    <w:rPr>
      <w:rFonts w:ascii="宋体" w:eastAsia="宋体"/>
      <w:szCs w:val="21"/>
    </w:rPr>
  </w:style>
  <w:style w:type="paragraph" w:customStyle="1" w:styleId="95">
    <w:name w:val="附录公式"/>
    <w:basedOn w:val="26"/>
    <w:next w:val="26"/>
    <w:link w:val="96"/>
    <w:autoRedefine/>
    <w:qFormat/>
    <w:uiPriority w:val="0"/>
  </w:style>
  <w:style w:type="character" w:customStyle="1" w:styleId="96">
    <w:name w:val="附录公式 Char"/>
    <w:basedOn w:val="46"/>
    <w:link w:val="95"/>
    <w:autoRedefine/>
    <w:qFormat/>
    <w:uiPriority w:val="0"/>
    <w:rPr>
      <w:rFonts w:ascii="宋体"/>
      <w:sz w:val="21"/>
      <w:lang w:val="en-US" w:eastAsia="zh-CN" w:bidi="ar-SA"/>
    </w:rPr>
  </w:style>
  <w:style w:type="paragraph" w:customStyle="1" w:styleId="97">
    <w:name w:val="附录公式编号制表符"/>
    <w:basedOn w:val="1"/>
    <w:next w:val="26"/>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6"/>
    <w:autoRedefine/>
    <w:qFormat/>
    <w:uiPriority w:val="0"/>
    <w:pPr>
      <w:numPr>
        <w:ilvl w:val="4"/>
      </w:numPr>
      <w:outlineLvl w:val="4"/>
    </w:pPr>
  </w:style>
  <w:style w:type="paragraph" w:customStyle="1" w:styleId="99">
    <w:name w:val="附录三级无"/>
    <w:basedOn w:val="98"/>
    <w:autoRedefine/>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101">
    <w:name w:val="附录四级条标题"/>
    <w:basedOn w:val="98"/>
    <w:next w:val="26"/>
    <w:autoRedefine/>
    <w:qFormat/>
    <w:uiPriority w:val="0"/>
    <w:pPr>
      <w:numPr>
        <w:ilvl w:val="5"/>
      </w:numPr>
      <w:outlineLvl w:val="5"/>
    </w:pPr>
  </w:style>
  <w:style w:type="paragraph" w:customStyle="1" w:styleId="102">
    <w:name w:val="附录四级无"/>
    <w:basedOn w:val="101"/>
    <w:autoRedefine/>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autoRedefine/>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4">
    <w:name w:val="附录图标题"/>
    <w:basedOn w:val="1"/>
    <w:next w:val="26"/>
    <w:autoRedefine/>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6"/>
    <w:autoRedefine/>
    <w:qFormat/>
    <w:uiPriority w:val="0"/>
    <w:pPr>
      <w:numPr>
        <w:ilvl w:val="6"/>
      </w:numPr>
      <w:outlineLvl w:val="6"/>
    </w:pPr>
  </w:style>
  <w:style w:type="paragraph" w:customStyle="1" w:styleId="106">
    <w:name w:val="附录五级无"/>
    <w:basedOn w:val="105"/>
    <w:autoRedefine/>
    <w:qFormat/>
    <w:uiPriority w:val="0"/>
    <w:pPr>
      <w:tabs>
        <w:tab w:val="clear" w:pos="360"/>
      </w:tabs>
      <w:spacing w:before="0" w:beforeLines="0" w:after="0" w:afterLines="0"/>
    </w:pPr>
    <w:rPr>
      <w:rFonts w:ascii="宋体" w:eastAsia="宋体"/>
      <w:szCs w:val="21"/>
    </w:rPr>
  </w:style>
  <w:style w:type="paragraph" w:customStyle="1" w:styleId="107">
    <w:name w:val="附录章标题"/>
    <w:next w:val="26"/>
    <w:autoRedefine/>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6"/>
    <w:autoRedefine/>
    <w:qFormat/>
    <w:uiPriority w:val="0"/>
    <w:pPr>
      <w:numPr>
        <w:ilvl w:val="2"/>
      </w:numPr>
      <w:autoSpaceDN w:val="0"/>
      <w:spacing w:before="50" w:beforeLines="50" w:after="50" w:afterLines="50"/>
      <w:outlineLvl w:val="2"/>
    </w:pPr>
  </w:style>
  <w:style w:type="paragraph" w:customStyle="1" w:styleId="109">
    <w:name w:val="附录一级无"/>
    <w:basedOn w:val="108"/>
    <w:autoRedefine/>
    <w:qFormat/>
    <w:uiPriority w:val="0"/>
    <w:pPr>
      <w:tabs>
        <w:tab w:val="clear" w:pos="360"/>
      </w:tabs>
      <w:spacing w:before="0" w:beforeLines="0" w:after="0" w:afterLines="0"/>
    </w:pPr>
    <w:rPr>
      <w:rFonts w:ascii="宋体" w:eastAsia="宋体"/>
      <w:szCs w:val="21"/>
    </w:rPr>
  </w:style>
  <w:style w:type="paragraph" w:customStyle="1" w:styleId="110">
    <w:name w:val="附录字母编号列项（一级）"/>
    <w:autoRedefine/>
    <w:qFormat/>
    <w:uiPriority w:val="0"/>
    <w:pPr>
      <w:numPr>
        <w:ilvl w:val="0"/>
        <w:numId w:val="13"/>
      </w:numPr>
    </w:pPr>
    <w:rPr>
      <w:rFonts w:ascii="宋体" w:hAnsi="Times New Roman" w:eastAsia="宋体" w:cs="Times New Roman"/>
      <w:sz w:val="21"/>
      <w:lang w:val="en-US" w:eastAsia="zh-CN" w:bidi="ar-SA"/>
    </w:rPr>
  </w:style>
  <w:style w:type="paragraph" w:customStyle="1" w:styleId="111">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autoRedefine/>
    <w:qFormat/>
    <w:uiPriority w:val="0"/>
    <w:pPr>
      <w:framePr w:w="6101" w:wrap="around" w:vAnchor="page" w:hAnchor="page" w:x="4673" w:y="942"/>
    </w:pPr>
    <w:rPr>
      <w:w w:val="130"/>
    </w:rPr>
  </w:style>
  <w:style w:type="paragraph" w:customStyle="1" w:styleId="115">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autoRedefine/>
    <w:qFormat/>
    <w:uiPriority w:val="0"/>
    <w:pPr>
      <w:framePr w:wrap="around" w:y="15310"/>
      <w:spacing w:line="0" w:lineRule="atLeast"/>
    </w:pPr>
    <w:rPr>
      <w:rFonts w:ascii="黑体" w:eastAsia="黑体"/>
      <w:b w:val="0"/>
    </w:rPr>
  </w:style>
  <w:style w:type="paragraph" w:customStyle="1" w:styleId="117">
    <w:name w:val="前言、引言标题"/>
    <w:next w:val="26"/>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autoRedefine/>
    <w:qFormat/>
    <w:uiPriority w:val="0"/>
    <w:pPr>
      <w:spacing w:before="0" w:beforeLines="0" w:after="0" w:afterLines="0"/>
    </w:pPr>
    <w:rPr>
      <w:rFonts w:ascii="宋体" w:eastAsia="宋体"/>
    </w:rPr>
  </w:style>
  <w:style w:type="paragraph" w:customStyle="1" w:styleId="119">
    <w:name w:val="实施日期"/>
    <w:basedOn w:val="80"/>
    <w:autoRedefine/>
    <w:qFormat/>
    <w:uiPriority w:val="0"/>
    <w:pPr>
      <w:framePr w:wrap="around" w:vAnchor="page" w:hAnchor="text"/>
      <w:jc w:val="right"/>
    </w:pPr>
  </w:style>
  <w:style w:type="paragraph" w:customStyle="1" w:styleId="120">
    <w:name w:val="示例后文字"/>
    <w:basedOn w:val="26"/>
    <w:next w:val="26"/>
    <w:autoRedefine/>
    <w:qFormat/>
    <w:uiPriority w:val="0"/>
    <w:pPr>
      <w:ind w:firstLine="360"/>
    </w:pPr>
    <w:rPr>
      <w:sz w:val="18"/>
    </w:rPr>
  </w:style>
  <w:style w:type="paragraph" w:customStyle="1" w:styleId="121">
    <w:name w:val="首示例"/>
    <w:next w:val="26"/>
    <w:link w:val="122"/>
    <w:autoRedefine/>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autoRedefine/>
    <w:qFormat/>
    <w:uiPriority w:val="0"/>
    <w:rPr>
      <w:rFonts w:ascii="宋体" w:hAnsi="宋体"/>
      <w:kern w:val="2"/>
      <w:sz w:val="18"/>
      <w:szCs w:val="18"/>
    </w:rPr>
  </w:style>
  <w:style w:type="paragraph" w:customStyle="1" w:styleId="123">
    <w:name w:val="四级无"/>
    <w:basedOn w:val="60"/>
    <w:autoRedefine/>
    <w:qFormat/>
    <w:uiPriority w:val="0"/>
    <w:pPr>
      <w:spacing w:before="0" w:beforeLines="0" w:after="0" w:afterLines="0"/>
    </w:pPr>
    <w:rPr>
      <w:rFonts w:ascii="宋体" w:eastAsia="宋体"/>
    </w:rPr>
  </w:style>
  <w:style w:type="paragraph" w:customStyle="1" w:styleId="124">
    <w:name w:val="条文脚注"/>
    <w:basedOn w:val="27"/>
    <w:link w:val="157"/>
    <w:autoRedefine/>
    <w:qFormat/>
    <w:uiPriority w:val="0"/>
    <w:pPr>
      <w:numPr>
        <w:numId w:val="0"/>
      </w:numPr>
      <w:jc w:val="both"/>
    </w:pPr>
  </w:style>
  <w:style w:type="paragraph" w:customStyle="1" w:styleId="125">
    <w:name w:val="图标脚注说明"/>
    <w:basedOn w:val="26"/>
    <w:autoRedefine/>
    <w:qFormat/>
    <w:uiPriority w:val="0"/>
    <w:pPr>
      <w:ind w:left="840" w:hanging="420" w:firstLineChars="0"/>
    </w:pPr>
    <w:rPr>
      <w:sz w:val="18"/>
      <w:szCs w:val="18"/>
    </w:rPr>
  </w:style>
  <w:style w:type="paragraph" w:customStyle="1" w:styleId="126">
    <w:name w:val="图表脚注说明"/>
    <w:basedOn w:val="1"/>
    <w:autoRedefine/>
    <w:qFormat/>
    <w:uiPriority w:val="0"/>
    <w:pPr>
      <w:numPr>
        <w:ilvl w:val="0"/>
        <w:numId w:val="16"/>
      </w:numPr>
    </w:pPr>
    <w:rPr>
      <w:rFonts w:ascii="宋体"/>
      <w:sz w:val="18"/>
      <w:szCs w:val="18"/>
    </w:rPr>
  </w:style>
  <w:style w:type="paragraph" w:customStyle="1" w:styleId="127">
    <w:name w:val="图的脚注"/>
    <w:next w:val="26"/>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autoRedefine/>
    <w:qFormat/>
    <w:uiPriority w:val="0"/>
    <w:pPr>
      <w:spacing w:before="0" w:beforeLines="0" w:after="0" w:afterLines="0"/>
    </w:pPr>
    <w:rPr>
      <w:rFonts w:ascii="宋体" w:eastAsia="宋体"/>
    </w:rPr>
  </w:style>
  <w:style w:type="paragraph" w:customStyle="1" w:styleId="130">
    <w:name w:val="一级无"/>
    <w:basedOn w:val="47"/>
    <w:autoRedefine/>
    <w:qFormat/>
    <w:uiPriority w:val="0"/>
    <w:pPr>
      <w:spacing w:before="0" w:beforeLines="0" w:after="0" w:afterLines="0"/>
    </w:pPr>
    <w:rPr>
      <w:rFonts w:ascii="宋体" w:eastAsia="宋体"/>
    </w:rPr>
  </w:style>
  <w:style w:type="paragraph" w:customStyle="1" w:styleId="131">
    <w:name w:val="正文表标题"/>
    <w:next w:val="26"/>
    <w:autoRedefine/>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6"/>
    <w:next w:val="26"/>
    <w:autoRedefine/>
    <w:qFormat/>
    <w:uiPriority w:val="0"/>
    <w:pPr>
      <w:ind w:firstLine="0" w:firstLineChars="0"/>
    </w:pPr>
  </w:style>
  <w:style w:type="paragraph" w:customStyle="1" w:styleId="133">
    <w:name w:val="正文图标题"/>
    <w:next w:val="26"/>
    <w:autoRedefine/>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autoRedefine/>
    <w:qFormat/>
    <w:uiPriority w:val="0"/>
    <w:pPr>
      <w:framePr w:hSpace="181" w:vSpace="181" w:wrap="around" w:vAnchor="text" w:hAnchor="margin" w:xAlign="center" w:y="285"/>
    </w:pPr>
  </w:style>
  <w:style w:type="paragraph" w:customStyle="1" w:styleId="135">
    <w:name w:val="其他发布日期"/>
    <w:basedOn w:val="80"/>
    <w:autoRedefine/>
    <w:qFormat/>
    <w:uiPriority w:val="0"/>
    <w:pPr>
      <w:framePr w:wrap="around" w:vAnchor="page" w:hAnchor="text" w:x="1419"/>
    </w:pPr>
  </w:style>
  <w:style w:type="paragraph" w:customStyle="1" w:styleId="136">
    <w:name w:val="其他实施日期"/>
    <w:basedOn w:val="119"/>
    <w:autoRedefine/>
    <w:qFormat/>
    <w:uiPriority w:val="0"/>
    <w:pPr>
      <w:framePr w:wrap="around"/>
    </w:pPr>
  </w:style>
  <w:style w:type="paragraph" w:customStyle="1" w:styleId="137">
    <w:name w:val="封面标准名称2"/>
    <w:basedOn w:val="83"/>
    <w:autoRedefine/>
    <w:qFormat/>
    <w:uiPriority w:val="0"/>
    <w:pPr>
      <w:framePr w:wrap="around" w:y="4469"/>
      <w:spacing w:before="630" w:beforeLines="630"/>
    </w:pPr>
  </w:style>
  <w:style w:type="paragraph" w:customStyle="1" w:styleId="138">
    <w:name w:val="封面标准英文名称2"/>
    <w:basedOn w:val="84"/>
    <w:autoRedefine/>
    <w:qFormat/>
    <w:uiPriority w:val="0"/>
    <w:pPr>
      <w:framePr w:wrap="around" w:y="4469"/>
    </w:pPr>
  </w:style>
  <w:style w:type="paragraph" w:customStyle="1" w:styleId="139">
    <w:name w:val="封面一致性程度标识2"/>
    <w:basedOn w:val="85"/>
    <w:autoRedefine/>
    <w:qFormat/>
    <w:uiPriority w:val="0"/>
    <w:pPr>
      <w:framePr w:wrap="around" w:y="4469"/>
    </w:pPr>
  </w:style>
  <w:style w:type="paragraph" w:customStyle="1" w:styleId="140">
    <w:name w:val="封面标准文稿类别2"/>
    <w:basedOn w:val="86"/>
    <w:autoRedefine/>
    <w:qFormat/>
    <w:uiPriority w:val="0"/>
    <w:pPr>
      <w:framePr w:wrap="around" w:y="4469"/>
    </w:pPr>
  </w:style>
  <w:style w:type="paragraph" w:customStyle="1" w:styleId="141">
    <w:name w:val="封面标准文稿编辑信息2"/>
    <w:basedOn w:val="87"/>
    <w:autoRedefine/>
    <w:qFormat/>
    <w:uiPriority w:val="0"/>
    <w:pPr>
      <w:framePr w:wrap="around" w:y="4469"/>
    </w:pPr>
  </w:style>
  <w:style w:type="character" w:customStyle="1" w:styleId="142">
    <w:name w:val="正文文本 Char"/>
    <w:link w:val="12"/>
    <w:autoRedefine/>
    <w:qFormat/>
    <w:uiPriority w:val="0"/>
    <w:rPr>
      <w:rFonts w:ascii="宋体" w:hAnsi="宋体" w:cs="宋体"/>
      <w:sz w:val="21"/>
      <w:szCs w:val="21"/>
      <w:lang w:val="zh-CN" w:bidi="zh-CN"/>
    </w:rPr>
  </w:style>
  <w:style w:type="paragraph" w:customStyle="1" w:styleId="143">
    <w:name w:val="Table Paragraph"/>
    <w:basedOn w:val="1"/>
    <w:autoRedefine/>
    <w:qFormat/>
    <w:uiPriority w:val="1"/>
    <w:pPr>
      <w:autoSpaceDE w:val="0"/>
      <w:autoSpaceDN w:val="0"/>
      <w:jc w:val="left"/>
    </w:pPr>
    <w:rPr>
      <w:rFonts w:ascii="宋体" w:hAnsi="宋体" w:cs="宋体"/>
      <w:kern w:val="0"/>
      <w:sz w:val="22"/>
      <w:szCs w:val="22"/>
      <w:lang w:val="zh-CN" w:bidi="zh-CN"/>
    </w:rPr>
  </w:style>
  <w:style w:type="table" w:customStyle="1" w:styleId="144">
    <w:name w:val="Table Normal"/>
    <w:autoRedefine/>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5">
    <w:name w:val="Default"/>
    <w:autoRedefine/>
    <w:qFormat/>
    <w:uiPriority w:val="0"/>
    <w:pPr>
      <w:widowControl w:val="0"/>
      <w:autoSpaceDE w:val="0"/>
      <w:autoSpaceDN w:val="0"/>
      <w:adjustRightInd w:val="0"/>
    </w:pPr>
    <w:rPr>
      <w:rFonts w:ascii="宋体" w:hAnsi="Times New Roman" w:eastAsia="宋体" w:cs="宋体"/>
      <w:lang w:val="en-US" w:eastAsia="zh-CN" w:bidi="ar-SA"/>
    </w:rPr>
  </w:style>
  <w:style w:type="paragraph" w:styleId="146">
    <w:name w:val="List Paragraph"/>
    <w:basedOn w:val="1"/>
    <w:autoRedefine/>
    <w:qFormat/>
    <w:uiPriority w:val="34"/>
    <w:pPr>
      <w:ind w:firstLine="420" w:firstLineChars="200"/>
    </w:pPr>
  </w:style>
  <w:style w:type="character" w:customStyle="1" w:styleId="147">
    <w:name w:val="标题 1 Char"/>
    <w:link w:val="3"/>
    <w:autoRedefine/>
    <w:qFormat/>
    <w:uiPriority w:val="0"/>
    <w:rPr>
      <w:b/>
      <w:bCs/>
      <w:kern w:val="44"/>
      <w:sz w:val="44"/>
      <w:szCs w:val="44"/>
    </w:rPr>
  </w:style>
  <w:style w:type="paragraph" w:customStyle="1" w:styleId="148">
    <w:name w:val="TOC 标题1"/>
    <w:basedOn w:val="3"/>
    <w:next w:val="1"/>
    <w:autoRedefine/>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9">
    <w:name w:val="批注框文本 Char"/>
    <w:link w:val="19"/>
    <w:autoRedefine/>
    <w:qFormat/>
    <w:uiPriority w:val="0"/>
    <w:rPr>
      <w:kern w:val="2"/>
      <w:sz w:val="18"/>
      <w:szCs w:val="18"/>
    </w:rPr>
  </w:style>
  <w:style w:type="character" w:styleId="150">
    <w:name w:val="Placeholder Text"/>
    <w:autoRedefine/>
    <w:semiHidden/>
    <w:qFormat/>
    <w:uiPriority w:val="99"/>
    <w:rPr>
      <w:color w:val="808080"/>
    </w:rPr>
  </w:style>
  <w:style w:type="character" w:customStyle="1" w:styleId="151">
    <w:name w:val="批注文字 Char"/>
    <w:basedOn w:val="38"/>
    <w:link w:val="10"/>
    <w:autoRedefine/>
    <w:qFormat/>
    <w:uiPriority w:val="0"/>
    <w:rPr>
      <w:kern w:val="2"/>
      <w:sz w:val="21"/>
      <w:szCs w:val="24"/>
    </w:rPr>
  </w:style>
  <w:style w:type="character" w:customStyle="1" w:styleId="152">
    <w:name w:val="批注主题 Char"/>
    <w:basedOn w:val="151"/>
    <w:link w:val="35"/>
    <w:autoRedefine/>
    <w:qFormat/>
    <w:uiPriority w:val="0"/>
    <w:rPr>
      <w:b/>
      <w:bCs/>
      <w:kern w:val="2"/>
      <w:sz w:val="21"/>
      <w:szCs w:val="24"/>
    </w:rPr>
  </w:style>
  <w:style w:type="paragraph" w:customStyle="1" w:styleId="153">
    <w:name w:val="列出段落2"/>
    <w:basedOn w:val="1"/>
    <w:autoRedefine/>
    <w:qFormat/>
    <w:uiPriority w:val="99"/>
    <w:pPr>
      <w:ind w:firstLine="420" w:firstLineChars="200"/>
    </w:pPr>
    <w:rPr>
      <w:rFonts w:ascii="Calibri" w:hAnsi="Calibri" w:cs="黑体"/>
      <w:szCs w:val="22"/>
    </w:rPr>
  </w:style>
  <w:style w:type="paragraph" w:customStyle="1" w:styleId="154">
    <w:name w:val="WPSOffice手动目录 1"/>
    <w:autoRedefine/>
    <w:qFormat/>
    <w:uiPriority w:val="0"/>
    <w:rPr>
      <w:rFonts w:ascii="Times New Roman" w:hAnsi="Times New Roman" w:eastAsia="宋体" w:cs="Times New Roman"/>
      <w:lang w:val="en-US" w:eastAsia="zh-CN" w:bidi="ar-SA"/>
    </w:rPr>
  </w:style>
  <w:style w:type="paragraph" w:customStyle="1" w:styleId="155">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156">
    <w:name w:val="注： Char"/>
    <w:link w:val="62"/>
    <w:autoRedefine/>
    <w:qFormat/>
    <w:uiPriority w:val="0"/>
    <w:rPr>
      <w:rFonts w:ascii="宋体" w:hAnsi="Times New Roman" w:eastAsia="宋体" w:cs="Times New Roman"/>
      <w:sz w:val="18"/>
      <w:szCs w:val="18"/>
      <w:lang w:val="en-US" w:eastAsia="zh-CN" w:bidi="ar-SA"/>
    </w:rPr>
  </w:style>
  <w:style w:type="character" w:customStyle="1" w:styleId="157">
    <w:name w:val="条文脚注 Char"/>
    <w:link w:val="124"/>
    <w:autoRedefine/>
    <w:qFormat/>
    <w:uiPriority w:val="0"/>
  </w:style>
  <w:style w:type="paragraph" w:customStyle="1" w:styleId="158">
    <w:name w:val="标准标志TB"/>
    <w:basedOn w:val="1"/>
    <w:autoRedefine/>
    <w:qFormat/>
    <w:uiPriority w:val="0"/>
    <w:pPr>
      <w:widowControl/>
      <w:shd w:val="solid" w:color="FFFFFF" w:fill="FFFFFF"/>
      <w:spacing w:line="0" w:lineRule="atLeast"/>
      <w:jc w:val="right"/>
    </w:pPr>
    <w:rPr>
      <w:rFonts w:ascii="Times New Roman" w:hAnsi="Times New Roman" w:eastAsia="Arial Unicode MS"/>
      <w:b/>
      <w:w w:val="130"/>
      <w:sz w:val="96"/>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59EDAF-8E5E-4FF1-B99B-92B5AD7DAE5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37</Pages>
  <Words>3933</Words>
  <Characters>4550</Characters>
  <Lines>1</Lines>
  <Paragraphs>1</Paragraphs>
  <TotalTime>5</TotalTime>
  <ScaleCrop>false</ScaleCrop>
  <LinksUpToDate>false</LinksUpToDate>
  <CharactersWithSpaces>4765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Dai</cp:lastModifiedBy>
  <cp:lastPrinted>2022-10-28T08:41:00Z</cp:lastPrinted>
  <dcterms:modified xsi:type="dcterms:W3CDTF">2025-04-09T07:41:38Z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4C794A664234477491A15408859D769F_13</vt:lpwstr>
  </property>
  <property fmtid="{D5CDD505-2E9C-101B-9397-08002B2CF9AE}" pid="4" name="KSOTemplateDocerSaveRecord">
    <vt:lpwstr>eyJoZGlkIjoiZTFjZGUyM2M2NzNmNTZhOWJhMzJmYjhmMDAwOGY2YWUiLCJ1c2VySWQiOiI1MTA0MjQzNTcifQ==</vt:lpwstr>
  </property>
</Properties>
</file>