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7D9E0C">
      <w:pPr>
        <w:pStyle w:val="126"/>
        <w:framePr w:wrap="around"/>
        <w:rPr>
          <w:rFonts w:hAnsi="黑体" w:cs="黑体"/>
        </w:rPr>
      </w:pPr>
      <w:r>
        <w:rPr>
          <w:rFonts w:hint="eastAsia" w:hAnsi="黑体" w:cs="黑体"/>
        </w:rPr>
        <w:t>ICS 13.020.99</w:t>
      </w:r>
    </w:p>
    <w:p w14:paraId="1C24DF2B">
      <w:pPr>
        <w:pStyle w:val="126"/>
        <w:framePr w:wrap="around"/>
        <w:rPr>
          <w:rFonts w:ascii="Times New Roman"/>
        </w:rPr>
      </w:pPr>
      <w:r>
        <w:rPr>
          <w:rFonts w:hint="eastAsia" w:hAnsi="黑体" w:cs="黑体"/>
        </w:rPr>
        <w:t>CCS Z 00</w:t>
      </w:r>
    </w:p>
    <w:tbl>
      <w:tblPr>
        <w:tblStyle w:val="35"/>
        <w:tblW w:w="957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70"/>
      </w:tblGrid>
      <w:tr w14:paraId="7EAB2F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570" w:type="dxa"/>
            <w:tcBorders>
              <w:top w:val="nil"/>
              <w:left w:val="nil"/>
              <w:bottom w:val="nil"/>
              <w:right w:val="nil"/>
            </w:tcBorders>
          </w:tcPr>
          <w:p w14:paraId="4D923FEC">
            <w:pPr>
              <w:pStyle w:val="126"/>
              <w:framePr w:wrap="around"/>
              <w:rPr>
                <w:rFonts w:ascii="Times New Roman"/>
              </w:rPr>
            </w:pPr>
          </w:p>
        </w:tc>
      </w:tr>
    </w:tbl>
    <w:p w14:paraId="084F06BD">
      <w:pPr>
        <w:pStyle w:val="113"/>
        <w:framePr w:wrap="around" w:x="1481" w:y="2070"/>
        <w:rPr>
          <w:rFonts w:ascii="Times New Roman" w:hAnsi="Times New Roman"/>
        </w:rPr>
      </w:pPr>
      <w:r>
        <w:rPr>
          <w:rFonts w:hint="eastAsia" w:ascii="Times New Roman" w:hAnsi="Times New Roman"/>
          <w:sz w:val="84"/>
          <w:szCs w:val="84"/>
        </w:rPr>
        <w:t>团体标准</w:t>
      </w:r>
    </w:p>
    <w:p w14:paraId="5AC22CA4">
      <w:pPr>
        <w:pStyle w:val="81"/>
        <w:framePr w:w="9638" w:h="6916" w:hRule="exact" w:wrap="around" w:y="6407"/>
        <w:rPr>
          <w:rFonts w:ascii="Times New Roman"/>
        </w:rPr>
      </w:pPr>
      <w:r>
        <w:rPr>
          <w:rFonts w:ascii="Times New Roman"/>
        </w:rPr>
        <w:t>绿色</w:t>
      </w:r>
      <w:r>
        <w:rPr>
          <w:rFonts w:hint="eastAsia" w:ascii="Times New Roman"/>
        </w:rPr>
        <w:t>低碳</w:t>
      </w:r>
      <w:r>
        <w:rPr>
          <w:rFonts w:ascii="Times New Roman"/>
        </w:rPr>
        <w:t>产业认定行业技术规范</w:t>
      </w:r>
      <w:r>
        <w:rPr>
          <w:rFonts w:hint="eastAsia" w:ascii="Times New Roman"/>
        </w:rPr>
        <w:t xml:space="preserve"> </w:t>
      </w:r>
      <w:r>
        <w:rPr>
          <w:rFonts w:hint="eastAsia"/>
        </w:rPr>
        <w:t>智能电网建设运营</w:t>
      </w:r>
    </w:p>
    <w:p w14:paraId="66378151">
      <w:pPr>
        <w:pStyle w:val="82"/>
        <w:framePr w:w="9638" w:h="6916" w:hRule="exact" w:wrap="around" w:y="6407"/>
        <w:rPr>
          <w:rFonts w:ascii="黑体" w:hAnsi="黑体" w:cs="黑体"/>
          <w:spacing w:val="-20"/>
        </w:rPr>
      </w:pPr>
      <w:r>
        <w:rPr>
          <w:rFonts w:hint="eastAsia" w:ascii="黑体" w:hAnsi="黑体" w:cs="黑体"/>
          <w:spacing w:val="-20"/>
        </w:rPr>
        <w:t>Technical specifications green and low-carbon industries identification</w:t>
      </w:r>
    </w:p>
    <w:tbl>
      <w:tblPr>
        <w:tblStyle w:val="35"/>
        <w:tblW w:w="98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14:paraId="27BD44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7A68F649">
            <w:pPr>
              <w:pStyle w:val="82"/>
              <w:framePr w:w="9638" w:h="6916" w:hRule="exact" w:wrap="around" w:y="6407"/>
              <w:rPr>
                <w:rFonts w:ascii="黑体" w:hAnsi="黑体" w:cs="黑体"/>
                <w:spacing w:val="-20"/>
              </w:rPr>
            </w:pPr>
            <w:r>
              <w:rPr>
                <w:rFonts w:hint="eastAsia" w:ascii="仿宋" w:hAnsi="仿宋" w:eastAsia="仿宋" w:cs="仿宋"/>
                <w:color w:val="000000" w:themeColor="text1"/>
                <w:sz w:val="24"/>
                <w:szCs w:val="24"/>
                <w14:textFill>
                  <w14:solidFill>
                    <w14:schemeClr w14:val="tx1"/>
                  </w14:solidFill>
                </w14:textFill>
              </w:rPr>
              <w:t xml:space="preserve">— </w:t>
            </w:r>
            <w:r>
              <w:t xml:space="preserve"> </w:t>
            </w:r>
            <w:r>
              <w:rPr>
                <w:rFonts w:ascii="黑体" w:hAnsi="黑体" w:cs="黑体"/>
                <w:spacing w:val="-20"/>
              </w:rPr>
              <w:t>Construction and operation of smart grid</w:t>
            </w:r>
          </w:p>
        </w:tc>
      </w:tr>
      <w:tr w14:paraId="0C47CA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22E6D360">
            <w:pPr>
              <w:pStyle w:val="85"/>
              <w:framePr w:w="9638" w:h="6916" w:hRule="exact" w:wrap="around" w:y="6407"/>
              <w:rPr>
                <w:rFonts w:ascii="Times New Roman"/>
              </w:rPr>
            </w:pPr>
            <w:r>
              <w:rPr>
                <w:rFonts w:hint="eastAsia" w:ascii="黑体" w:hAnsi="黑体" w:eastAsia="黑体" w:cs="黑体"/>
                <w:sz w:val="28"/>
              </w:rPr>
              <mc:AlternateContent>
                <mc:Choice Requires="wps">
                  <w:drawing>
                    <wp:anchor distT="0" distB="0" distL="114300" distR="114300" simplePos="0" relativeHeight="251660288" behindDoc="1" locked="1" layoutInCell="1" allowOverlap="1">
                      <wp:simplePos x="0" y="0"/>
                      <wp:positionH relativeFrom="column">
                        <wp:posOffset>2200910</wp:posOffset>
                      </wp:positionH>
                      <wp:positionV relativeFrom="paragraph">
                        <wp:posOffset>308610</wp:posOffset>
                      </wp:positionV>
                      <wp:extent cx="1905000" cy="254000"/>
                      <wp:effectExtent l="0" t="0" r="3175" b="3175"/>
                      <wp:wrapNone/>
                      <wp:docPr id="7" name="RQ"/>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24.3pt;height:20pt;width:150pt;z-index:-251656192;mso-width-relative:page;mso-height-relative:page;" fillcolor="#FFFFFF" filled="t" stroked="f" coordsize="21600,21600" o:gfxdata="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5d2171QAAAAkBAAAPAAAAAAAAAAEAIAAAACIAAABk&#10;cnMvZG93bnJldi54bWxQSwECFAAUAAAACACHTuJABeyvQgkCAAAgBAAADgAAAAAAAAABACAAAAAk&#10;AQAAZHJzL2Uyb0RvYy54bWxQSwUGAAAAAAYABgBZAQAAnwUAAAAA&#10;">
                      <v:fill on="t" focussize="0,0"/>
                      <v:stroke on="f"/>
                      <v:imagedata o:title=""/>
                      <o:lock v:ext="edit" aspectratio="f"/>
                      <w10:anchorlock/>
                    </v:rect>
                  </w:pict>
                </mc:Fallback>
              </mc:AlternateContent>
            </w:r>
          </w:p>
        </w:tc>
      </w:tr>
    </w:tbl>
    <w:p w14:paraId="393A8038">
      <w:pPr>
        <w:framePr w:w="9649" w:h="1242" w:hRule="exact" w:hSpace="283" w:wrap="around" w:vAnchor="page" w:hAnchor="page" w:x="1413" w:y="2909" w:anchorLock="1"/>
        <w:spacing w:before="357" w:line="280" w:lineRule="exact"/>
        <w:jc w:val="right"/>
        <w:rPr>
          <w:rFonts w:ascii="黑体" w:hAnsi="黑体" w:eastAsia="黑体" w:cs="黑体"/>
          <w:sz w:val="28"/>
          <w:szCs w:val="28"/>
        </w:rPr>
      </w:pPr>
      <w:r>
        <w:rPr>
          <w:rFonts w:hint="eastAsia" w:ascii="黑体" w:hAnsi="黑体" w:eastAsia="黑体" w:cs="黑体"/>
          <w:sz w:val="28"/>
          <w:szCs w:val="28"/>
        </w:rPr>
        <w:t xml:space="preserve">T/SZS </w:t>
      </w:r>
      <w:r>
        <w:rPr>
          <w:rFonts w:ascii="黑体" w:hAnsi="黑体" w:eastAsia="黑体" w:cs="黑体"/>
          <w:sz w:val="28"/>
          <w:szCs w:val="28"/>
        </w:rPr>
        <w:t>XXXX</w:t>
      </w:r>
      <w:r>
        <w:rPr>
          <w:rFonts w:hint="eastAsia" w:ascii="黑体" w:hAnsi="黑体" w:eastAsia="黑体" w:cs="黑体"/>
          <w:sz w:val="28"/>
          <w:szCs w:val="28"/>
        </w:rPr>
        <w:t>—</w:t>
      </w:r>
      <w:r>
        <w:rPr>
          <w:rFonts w:ascii="黑体" w:hAnsi="黑体" w:eastAsia="黑体" w:cs="黑体"/>
          <w:sz w:val="28"/>
          <w:szCs w:val="28"/>
        </w:rPr>
        <w:t>XXXX</w:t>
      </w:r>
    </w:p>
    <w:tbl>
      <w:tblPr>
        <w:tblStyle w:val="35"/>
        <w:tblW w:w="93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14:paraId="370C52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14:paraId="1455B4F8">
            <w:pPr>
              <w:framePr w:w="9649" w:h="1242" w:hRule="exact" w:hSpace="283" w:wrap="around" w:vAnchor="page" w:hAnchor="page" w:x="1413" w:y="2909" w:anchorLock="1"/>
              <w:spacing w:before="57" w:line="280" w:lineRule="exact"/>
              <w:jc w:val="right"/>
              <w:rPr>
                <w:rFonts w:ascii="宋体"/>
                <w:szCs w:val="21"/>
              </w:rPr>
            </w:pPr>
            <w:r>
              <w:rPr>
                <w:rFonts w:ascii="宋体"/>
                <w:szCs w:val="21"/>
              </w:rPr>
              <mc:AlternateContent>
                <mc:Choice Requires="wps">
                  <w:drawing>
                    <wp:anchor distT="0" distB="0" distL="114300" distR="114300" simplePos="0" relativeHeight="251665408" behindDoc="1" locked="0" layoutInCell="1" allowOverlap="1">
                      <wp:simplePos x="0" y="0"/>
                      <wp:positionH relativeFrom="column">
                        <wp:posOffset>4734560</wp:posOffset>
                      </wp:positionH>
                      <wp:positionV relativeFrom="paragraph">
                        <wp:posOffset>34290</wp:posOffset>
                      </wp:positionV>
                      <wp:extent cx="1143000" cy="228600"/>
                      <wp:effectExtent l="0" t="0" r="0" b="0"/>
                      <wp:wrapNone/>
                      <wp:docPr id="40" name="矩形 40"/>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a:effectLst/>
                            </wps:spPr>
                            <wps:bodyPr upright="1"/>
                          </wps:wsp>
                        </a:graphicData>
                      </a:graphic>
                    </wp:anchor>
                  </w:drawing>
                </mc:Choice>
                <mc:Fallback>
                  <w:pict>
                    <v:rect id="_x0000_s1026" o:spid="_x0000_s1026" o:spt="1" style="position:absolute;left:0pt;margin-left:372.8pt;margin-top:2.7pt;height:18pt;width:90pt;z-index:-251651072;mso-width-relative:page;mso-height-relative:page;" fillcolor="#FFFFFF" filled="t" stroked="f" coordsize="21600,21600" o:gfxdata="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B5g&#10;8svWAAAACAEAAA8AAAAAAAAAAQAgAAAAIgAAAGRycy9kb3ducmV2LnhtbFBLAQIUABQAAAAIAIdO&#10;4kA2WjNSswEAAG8DAAAOAAAAAAAAAAEAIAAAACUBAABkcnMvZTJvRG9jLnhtbFBLBQYAAAAABgAG&#10;AFkBAABKBQAAAAA=&#10;">
                      <v:fill on="t" focussize="0,0"/>
                      <v:stroke on="f"/>
                      <v:imagedata o:title=""/>
                      <o:lock v:ext="edit" aspectratio="f"/>
                    </v:rect>
                  </w:pict>
                </mc:Fallback>
              </mc:AlternateContent>
            </w:r>
          </w:p>
        </w:tc>
      </w:tr>
    </w:tbl>
    <w:p w14:paraId="6ECBB239">
      <w:pPr>
        <w:framePr w:w="9649" w:h="1242" w:hRule="exact" w:hSpace="283" w:wrap="around" w:vAnchor="page" w:hAnchor="page" w:x="1413" w:y="2909" w:anchorLock="1"/>
        <w:spacing w:before="357" w:line="280" w:lineRule="exact"/>
        <w:jc w:val="right"/>
        <w:rPr>
          <w:rFonts w:ascii="黑体" w:hAnsi="黑体" w:eastAsia="黑体"/>
          <w:sz w:val="28"/>
          <w:szCs w:val="28"/>
        </w:rPr>
      </w:pPr>
    </w:p>
    <w:p w14:paraId="17812195">
      <w:pPr>
        <w:framePr w:w="9649" w:h="1242" w:hRule="exact" w:hSpace="283" w:wrap="around" w:vAnchor="page" w:hAnchor="page" w:x="1413" w:y="2909" w:anchorLock="1"/>
        <w:spacing w:before="357" w:line="280" w:lineRule="exact"/>
        <w:jc w:val="right"/>
        <w:rPr>
          <w:rFonts w:ascii="黑体" w:hAnsi="黑体" w:eastAsia="黑体"/>
          <w:sz w:val="28"/>
          <w:szCs w:val="28"/>
        </w:rPr>
      </w:pPr>
    </w:p>
    <w:p w14:paraId="4FF201C2">
      <w:pPr>
        <w:pStyle w:val="25"/>
        <w:framePr w:w="9649" w:h="1242" w:hRule="exact" w:hSpace="283" w:wrap="around" w:vAnchor="page" w:hAnchor="page" w:x="1413" w:y="2909" w:anchorLock="1"/>
        <w:rPr>
          <w:rFonts w:ascii="Times New Roman"/>
        </w:rPr>
      </w:pPr>
    </w:p>
    <w:p w14:paraId="123A44E6">
      <w:pPr>
        <w:pStyle w:val="25"/>
        <w:framePr w:w="9649" w:h="1242" w:hRule="exact" w:hSpace="283" w:wrap="around" w:vAnchor="page" w:hAnchor="page" w:x="1413" w:y="2909" w:anchorLock="1"/>
        <w:rPr>
          <w:rFonts w:ascii="Times New Roman"/>
        </w:rPr>
      </w:pPr>
    </w:p>
    <w:p w14:paraId="6071E1BA">
      <w:pPr>
        <w:pStyle w:val="133"/>
        <w:framePr w:wrap="around" w:hAnchor="page" w:x="1430" w:y="14067"/>
        <w:rPr>
          <w:rFonts w:ascii="黑体" w:hAnsi="黑体" w:cs="黑体"/>
        </w:rPr>
      </w:pPr>
      <w:r>
        <w:rPr>
          <w:rFonts w:hint="eastAsia" w:ascii="黑体" w:hAnsi="黑体" w:cs="黑体"/>
        </w:rPr>
        <mc:AlternateContent>
          <mc:Choice Requires="wps">
            <w:drawing>
              <wp:anchor distT="0" distB="0" distL="114300" distR="114300" simplePos="0" relativeHeight="251666432" behindDoc="0" locked="0" layoutInCell="1" allowOverlap="1">
                <wp:simplePos x="0" y="0"/>
                <wp:positionH relativeFrom="column">
                  <wp:posOffset>-34925</wp:posOffset>
                </wp:positionH>
                <wp:positionV relativeFrom="paragraph">
                  <wp:posOffset>2308225</wp:posOffset>
                </wp:positionV>
                <wp:extent cx="6120130" cy="0"/>
                <wp:effectExtent l="0" t="4445" r="0" b="5080"/>
                <wp:wrapNone/>
                <wp:docPr id="21" name="直线 3"/>
                <wp:cNvGraphicFramePr/>
                <a:graphic xmlns:a="http://schemas.openxmlformats.org/drawingml/2006/main">
                  <a:graphicData uri="http://schemas.microsoft.com/office/word/2010/wordprocessingShape">
                    <wps:wsp>
                      <wps:cNvCnPr>
                        <a:cxnSpLocks noChangeShapeType="1"/>
                      </wps:cNvCnPr>
                      <wps:spPr bwMode="auto">
                        <a:xfrm>
                          <a:off x="865505" y="2668270"/>
                          <a:ext cx="6120130" cy="0"/>
                        </a:xfrm>
                        <a:prstGeom prst="line">
                          <a:avLst/>
                        </a:prstGeom>
                        <a:noFill/>
                        <a:ln w="9525">
                          <a:solidFill>
                            <a:srgbClr val="000000"/>
                          </a:solidFill>
                          <a:round/>
                        </a:ln>
                      </wps:spPr>
                      <wps:bodyPr/>
                    </wps:wsp>
                  </a:graphicData>
                </a:graphic>
              </wp:anchor>
            </w:drawing>
          </mc:Choice>
          <mc:Fallback>
            <w:pict>
              <v:line id="直线 3" o:spid="_x0000_s1026" o:spt="20" style="position:absolute;left:0pt;margin-left:-2.75pt;margin-top:181.75pt;height:0pt;width:481.9pt;z-index:251666432;mso-width-relative:page;mso-height-relative:page;" filled="f" stroked="t" coordsize="21600,21600" o:gfxdata="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utz48NcAAAAK&#10;AQAADwAAAAAAAAABACAAAAAiAAAAZHJzL2Rvd25yZXYueG1sUEsBAhQAFAAAAAgAh07iQMPB7E3k&#10;AQAArQMAAA4AAAAAAAAAAQAgAAAAJgEAAGRycy9lMm9Eb2MueG1sUEsFBgAAAAAGAAYAWQEAAHwF&#10;AAAAAA==&#10;">
                <v:fill on="f" focussize="0,0"/>
                <v:stroke color="#000000" joinstyle="round"/>
                <v:imagedata o:title=""/>
                <o:lock v:ext="edit" aspectratio="f"/>
              </v:line>
            </w:pict>
          </mc:Fallback>
        </mc:AlternateContent>
      </w:r>
      <w:bookmarkStart w:id="0" w:name="FY"/>
      <w:r>
        <w:rPr>
          <w:rFonts w:ascii="黑体" w:hAnsi="黑体" w:cs="黑体"/>
        </w:rPr>
        <w:t>XXXX</w:t>
      </w:r>
      <w:bookmarkEnd w:id="0"/>
      <w:r>
        <w:rPr>
          <w:rFonts w:hint="eastAsia" w:ascii="黑体" w:hAnsi="黑体" w:cs="黑体"/>
        </w:rPr>
        <w:t>-</w:t>
      </w:r>
      <w:r>
        <w:rPr>
          <w:rFonts w:ascii="黑体" w:hAnsi="黑体" w:cs="黑体"/>
        </w:rPr>
        <w:t>XX</w:t>
      </w:r>
      <w:r>
        <w:rPr>
          <w:rFonts w:hint="eastAsia" w:ascii="黑体" w:hAnsi="黑体" w:cs="黑体"/>
        </w:rPr>
        <w:t>-</w:t>
      </w:r>
      <w:r>
        <w:rPr>
          <w:rFonts w:ascii="黑体" w:hAnsi="黑体" w:cs="黑体"/>
        </w:rPr>
        <w:t>XX</w:t>
      </w:r>
      <w:r>
        <w:rPr>
          <w:rFonts w:hint="eastAsia" w:ascii="黑体" w:hAnsi="黑体" w:cs="黑体"/>
        </w:rPr>
        <w:t>发布</w:t>
      </w:r>
    </w:p>
    <w:p w14:paraId="0BED82ED">
      <w:pPr>
        <w:pStyle w:val="25"/>
        <w:framePr w:wrap="around" w:vAnchor="page" w:hAnchor="page" w:x="1430" w:y="14067"/>
        <w:rPr>
          <w:rFonts w:ascii="Times New Roman"/>
        </w:rPr>
      </w:pPr>
    </w:p>
    <w:p w14:paraId="31C47638">
      <w:pPr>
        <w:framePr w:w="3997" w:h="471" w:hRule="exact" w:vSpace="181" w:wrap="around" w:vAnchor="page" w:hAnchor="page" w:x="7894" w:y="14085" w:anchorLock="1"/>
        <w:jc w:val="center"/>
        <w:rPr>
          <w:rFonts w:ascii="黑体" w:hAnsi="黑体" w:eastAsia="黑体" w:cs="黑体"/>
          <w:sz w:val="28"/>
        </w:rPr>
      </w:pPr>
      <w:bookmarkStart w:id="1" w:name="SY"/>
      <w:r>
        <w:rPr>
          <w:rFonts w:ascii="黑体" w:hAnsi="黑体" w:eastAsia="黑体" w:cs="黑体"/>
          <w:sz w:val="28"/>
        </w:rPr>
        <w:t>XXXX</w:t>
      </w:r>
      <w:bookmarkEnd w:id="1"/>
      <w:r>
        <w:rPr>
          <w:rFonts w:hint="eastAsia" w:ascii="黑体" w:hAnsi="黑体" w:eastAsia="黑体" w:cs="黑体"/>
          <w:sz w:val="28"/>
        </w:rPr>
        <w:t>-</w:t>
      </w:r>
      <w:r>
        <w:rPr>
          <w:rFonts w:ascii="黑体" w:hAnsi="黑体" w:eastAsia="黑体" w:cs="黑体"/>
          <w:sz w:val="28"/>
          <w:szCs w:val="28"/>
        </w:rPr>
        <w:t>XX</w:t>
      </w:r>
      <w:r>
        <w:rPr>
          <w:rFonts w:hint="eastAsia" w:ascii="黑体" w:hAnsi="黑体" w:eastAsia="黑体" w:cs="黑体"/>
          <w:sz w:val="28"/>
        </w:rPr>
        <w:t>-</w:t>
      </w:r>
      <w:r>
        <w:rPr>
          <w:rFonts w:ascii="黑体" w:hAnsi="黑体" w:eastAsia="黑体" w:cs="黑体"/>
          <w:sz w:val="28"/>
        </w:rPr>
        <w:t>XX</w:t>
      </w:r>
      <w:r>
        <w:rPr>
          <w:rFonts w:hint="eastAsia" w:ascii="黑体" w:hAnsi="黑体" w:eastAsia="黑体" w:cs="黑体"/>
          <w:sz w:val="28"/>
        </w:rPr>
        <w:t>实施</w:t>
      </w:r>
    </w:p>
    <w:p w14:paraId="58F81E0E">
      <w:pPr>
        <w:pStyle w:val="25"/>
        <w:framePr w:w="3997" w:h="471" w:hRule="exact" w:vSpace="181" w:wrap="around" w:vAnchor="page" w:hAnchor="page" w:x="7894" w:y="14085" w:anchorLock="1"/>
        <w:rPr>
          <w:rFonts w:ascii="Times New Roman"/>
        </w:rPr>
      </w:pPr>
      <w:r>
        <w:rPr>
          <w:rFonts w:hint="eastAsia" w:ascii="Times New Roman"/>
        </w:rPr>
        <w:t>施</w:t>
      </w:r>
    </w:p>
    <w:p w14:paraId="41A5E583">
      <w:pPr>
        <w:framePr w:w="7938" w:h="1134" w:hRule="exact" w:hSpace="125" w:vSpace="181" w:wrap="around" w:vAnchor="page" w:hAnchor="page" w:x="2150" w:y="14630" w:anchorLock="1"/>
        <w:jc w:val="center"/>
        <w:rPr>
          <w:rFonts w:ascii="宋体"/>
          <w:b/>
          <w:spacing w:val="20"/>
          <w:w w:val="135"/>
          <w:sz w:val="28"/>
        </w:rPr>
      </w:pPr>
    </w:p>
    <w:p w14:paraId="1462B80C">
      <w:pPr>
        <w:framePr w:w="7938" w:h="1134" w:hRule="exact" w:hSpace="125" w:vSpace="181" w:wrap="around" w:vAnchor="page" w:hAnchor="page" w:x="2150" w:y="14630" w:anchorLock="1"/>
        <w:jc w:val="center"/>
        <w:rPr>
          <w:rFonts w:ascii="黑体" w:hAnsi="黑体" w:eastAsia="黑体"/>
          <w:b/>
          <w:spacing w:val="20"/>
          <w:w w:val="135"/>
          <w:sz w:val="28"/>
        </w:rPr>
      </w:pPr>
      <w:r>
        <w:rPr>
          <w:rFonts w:hint="eastAsia" w:ascii="黑体" w:hAnsi="黑体" w:eastAsia="黑体"/>
          <w:b/>
          <w:spacing w:val="20"/>
          <w:w w:val="135"/>
          <w:sz w:val="28"/>
        </w:rPr>
        <w:t>深圳市深圳标准促进会 发布</w:t>
      </w:r>
    </w:p>
    <w:p w14:paraId="2A3B5597">
      <w:pPr>
        <w:pStyle w:val="25"/>
        <w:ind w:firstLine="0" w:firstLineChars="0"/>
        <w:rPr>
          <w:rFonts w:ascii="Times New Roman"/>
        </w:rPr>
      </w:pPr>
      <w:r>
        <w:rPr>
          <w:rFonts w:ascii="Times New Roman"/>
        </w:rPr>
        <mc:AlternateContent>
          <mc:Choice Requires="wps">
            <w:drawing>
              <wp:anchor distT="0" distB="0" distL="114300" distR="114300" simplePos="0" relativeHeight="251668480" behindDoc="0" locked="0" layoutInCell="1" allowOverlap="1">
                <wp:simplePos x="0" y="0"/>
                <wp:positionH relativeFrom="column">
                  <wp:posOffset>-20320</wp:posOffset>
                </wp:positionH>
                <wp:positionV relativeFrom="paragraph">
                  <wp:posOffset>2317750</wp:posOffset>
                </wp:positionV>
                <wp:extent cx="6120130" cy="0"/>
                <wp:effectExtent l="0" t="4445" r="0" b="5080"/>
                <wp:wrapNone/>
                <wp:docPr id="23" name="直接连接符 23"/>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1.6pt;margin-top:182.5pt;height:0pt;width:481.9pt;z-index:251668480;mso-width-relative:page;mso-height-relative:page;" filled="f" stroked="t" coordsize="21600,21600" o:gfxdata="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z51X2tYAAAAKAQAADwAAAAAAAAABACAAAAAiAAAAZHJzL2Rvd25yZXYueG1sUEsBAhQAFAAA&#10;AAgAh07iQJh+yw3xAQAA6AMAAA4AAAAAAAAAAQAgAAAAJQEAAGRycy9lMm9Eb2MueG1sUEsFBgAA&#10;AAAGAAYAWQEAAIgFAAAAAA==&#10;">
                <v:fill on="f" focussize="0,0"/>
                <v:stroke color="#000000" joinstyle="round"/>
                <v:imagedata o:title=""/>
                <o:lock v:ext="edit" aspectratio="f"/>
              </v:line>
            </w:pict>
          </mc:Fallback>
        </mc:AlternateContent>
      </w:r>
    </w:p>
    <w:p w14:paraId="414F424B">
      <w:pPr>
        <w:pStyle w:val="25"/>
        <w:rPr>
          <w:rFonts w:ascii="Times New Roman"/>
        </w:rPr>
        <w:sectPr>
          <w:headerReference r:id="rId3" w:type="even"/>
          <w:footerReference r:id="rId4" w:type="even"/>
          <w:pgSz w:w="11906" w:h="16838"/>
          <w:pgMar w:top="567" w:right="1134" w:bottom="1134" w:left="1418" w:header="0" w:footer="0" w:gutter="0"/>
          <w:pgBorders>
            <w:top w:val="none" w:sz="0" w:space="0"/>
            <w:left w:val="none" w:sz="0" w:space="0"/>
            <w:bottom w:val="none" w:sz="0" w:space="0"/>
            <w:right w:val="none" w:sz="0" w:space="0"/>
          </w:pgBorders>
          <w:pgNumType w:start="1"/>
          <w:cols w:space="720" w:num="1"/>
          <w:docGrid w:type="lines" w:linePitch="312" w:charSpace="0"/>
        </w:sectPr>
      </w:pPr>
      <w:r>
        <w:rPr>
          <w:rFonts w:ascii="Times New Roman"/>
        </w:rPr>
        <mc:AlternateContent>
          <mc:Choice Requires="wps">
            <w:drawing>
              <wp:anchor distT="0" distB="0" distL="114300" distR="114300" simplePos="0" relativeHeight="251667456" behindDoc="0" locked="1" layoutInCell="1" allowOverlap="1">
                <wp:simplePos x="0" y="0"/>
                <wp:positionH relativeFrom="column">
                  <wp:posOffset>8255</wp:posOffset>
                </wp:positionH>
                <wp:positionV relativeFrom="page">
                  <wp:posOffset>9251950</wp:posOffset>
                </wp:positionV>
                <wp:extent cx="6120130" cy="0"/>
                <wp:effectExtent l="0" t="4445" r="0" b="5080"/>
                <wp:wrapNone/>
                <wp:docPr id="22" name="直接连接符 22"/>
                <wp:cNvGraphicFramePr/>
                <a:graphic xmlns:a="http://schemas.openxmlformats.org/drawingml/2006/main">
                  <a:graphicData uri="http://schemas.microsoft.com/office/word/2010/wordprocessingShape">
                    <wps:wsp>
                      <wps:cNvCnPr/>
                      <wps:spPr>
                        <a:xfrm>
                          <a:off x="899160" y="9251950"/>
                          <a:ext cx="612013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0.65pt;margin-top:728.5pt;height:0pt;width:481.9pt;mso-position-vertical-relative:page;z-index:251667456;mso-width-relative:page;mso-height-relative:page;" filled="f" stroked="t" coordsize="21600,21600" o:gfxdata="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2MOANtYAAAALAQAADwAAAAAAAAABACAAAAAiAAAAZHJzL2Rvd25yZXYu&#10;eG1sUEsBAhQAFAAAAAgAh07iQHksXOP9AQAA8wMAAA4AAAAAAAAAAQAgAAAAJQEAAGRycy9lMm9E&#10;b2MueG1sUEsFBgAAAAAGAAYAWQEAAJQFAAAAAA==&#10;">
                <v:fill on="f" focussize="0,0"/>
                <v:stroke color="#000000" joinstyle="round"/>
                <v:imagedata o:title=""/>
                <o:lock v:ext="edit" aspectratio="f"/>
                <w10:anchorlock/>
              </v:line>
            </w:pict>
          </mc:Fallback>
        </mc:AlternateContent>
      </w:r>
    </w:p>
    <w:p w14:paraId="18AF192E">
      <w:pPr>
        <w:pStyle w:val="53"/>
        <w:rPr>
          <w:rFonts w:ascii="Times New Roman"/>
        </w:rPr>
      </w:pPr>
      <w:bookmarkStart w:id="2" w:name="_Toc28394"/>
      <w:bookmarkStart w:id="3" w:name="_Toc26162"/>
      <w:bookmarkStart w:id="4" w:name="_Toc102992444"/>
      <w:bookmarkStart w:id="5" w:name="_Toc80954701"/>
      <w:bookmarkStart w:id="6" w:name="_Toc17711"/>
      <w:bookmarkStart w:id="7" w:name="_Toc25224"/>
      <w:bookmarkStart w:id="8" w:name="_Toc10947"/>
      <w:bookmarkStart w:id="9" w:name="_Toc195040381"/>
      <w:bookmarkStart w:id="10" w:name="_Toc22075"/>
      <w:bookmarkStart w:id="11" w:name="_Toc82684134"/>
      <w:bookmarkStart w:id="12" w:name="_Toc80794396"/>
      <w:bookmarkStart w:id="13" w:name="_Toc118282033"/>
      <w:bookmarkStart w:id="14" w:name="_Toc32341"/>
      <w:bookmarkStart w:id="15" w:name="_Toc184888569"/>
      <w:bookmarkStart w:id="16" w:name="_Toc52098618"/>
      <w:bookmarkStart w:id="17" w:name="_Toc21858"/>
      <w:bookmarkStart w:id="18" w:name="_Toc21148"/>
      <w:bookmarkStart w:id="19" w:name="_Toc82157001"/>
      <w:bookmarkStart w:id="20" w:name="_Toc32692"/>
      <w:bookmarkStart w:id="21" w:name="_Toc80867245"/>
      <w:bookmarkStart w:id="22" w:name="_Toc55807222"/>
      <w:bookmarkStart w:id="23" w:name="_Toc80953767"/>
      <w:bookmarkStart w:id="24" w:name="_Toc30742"/>
      <w:bookmarkStart w:id="25" w:name="_Toc80887602"/>
      <w:r>
        <w:rPr>
          <w:rFonts w:ascii="Times New Roman"/>
        </w:rPr>
        <w:t>目</w:t>
      </w:r>
      <w:bookmarkStart w:id="26" w:name="BKML"/>
      <w:r>
        <w:rPr>
          <w:rFonts w:ascii="Times New Roman"/>
        </w:rPr>
        <w:t>  次</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p>
    <w:sdt>
      <w:sdtPr>
        <w:rPr>
          <w:szCs w:val="24"/>
        </w:rPr>
        <w:id w:val="147478139"/>
        <w15:color w:val="DBDBDB"/>
        <w:docPartObj>
          <w:docPartGallery w:val="Table of Contents"/>
          <w:docPartUnique/>
        </w:docPartObj>
      </w:sdtPr>
      <w:sdtEndPr>
        <w:rPr>
          <w:rFonts w:hAnsi="宋体"/>
          <w:szCs w:val="24"/>
        </w:rPr>
      </w:sdtEndPr>
      <w:sdtContent>
        <w:p w14:paraId="12FAD988">
          <w:pPr>
            <w:pStyle w:val="21"/>
            <w:spacing w:before="78" w:after="78"/>
            <w:rPr>
              <w:rFonts w:asciiTheme="minorHAnsi" w:hAnsiTheme="minorHAnsi" w:eastAsiaTheme="minorEastAsia" w:cstheme="minorBidi"/>
              <w:sz w:val="22"/>
              <w:szCs w:val="24"/>
              <w14:ligatures w14:val="standardContextual"/>
            </w:rPr>
          </w:pPr>
          <w:r>
            <w:rPr>
              <w:rFonts w:hint="eastAsia" w:hAnsi="宋体"/>
            </w:rPr>
            <w:fldChar w:fldCharType="begin"/>
          </w:r>
          <w:r>
            <w:rPr>
              <w:rFonts w:hAnsi="宋体"/>
            </w:rPr>
            <w:instrText xml:space="preserve">TOC \o "1-2" \h \u </w:instrText>
          </w:r>
          <w:r>
            <w:rPr>
              <w:rFonts w:hint="eastAsia" w:hAnsi="宋体"/>
            </w:rPr>
            <w:fldChar w:fldCharType="separate"/>
          </w:r>
          <w:r>
            <w:fldChar w:fldCharType="begin"/>
          </w:r>
          <w:r>
            <w:instrText xml:space="preserve"> HYPERLINK \l "_Toc195040382" </w:instrText>
          </w:r>
          <w:r>
            <w:fldChar w:fldCharType="separate"/>
          </w:r>
          <w:r>
            <w:rPr>
              <w:rStyle w:val="41"/>
              <w:rFonts w:hint="eastAsia" w:ascii="Times New Roman"/>
            </w:rPr>
            <w:t>前言</w:t>
          </w:r>
          <w:r>
            <w:rPr>
              <w:rFonts w:hint="eastAsia"/>
            </w:rPr>
            <w:tab/>
          </w:r>
          <w:r>
            <w:rPr>
              <w:rFonts w:hint="eastAsia"/>
            </w:rPr>
            <w:fldChar w:fldCharType="begin"/>
          </w:r>
          <w:r>
            <w:rPr>
              <w:rFonts w:hint="eastAsia"/>
            </w:rPr>
            <w:instrText xml:space="preserve"> </w:instrText>
          </w:r>
          <w:r>
            <w:instrText xml:space="preserve">PAGEREF _Toc195040382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14:paraId="61A47A21">
          <w:pPr>
            <w:pStyle w:val="21"/>
            <w:spacing w:before="78" w:after="78"/>
            <w:rPr>
              <w:rFonts w:asciiTheme="minorHAnsi" w:hAnsiTheme="minorHAnsi" w:eastAsiaTheme="minorEastAsia" w:cstheme="minorBidi"/>
              <w:sz w:val="22"/>
              <w:szCs w:val="24"/>
              <w14:ligatures w14:val="standardContextual"/>
            </w:rPr>
          </w:pPr>
          <w:r>
            <w:fldChar w:fldCharType="begin"/>
          </w:r>
          <w:r>
            <w:instrText xml:space="preserve"> HYPERLINK \l "_Toc195040384" </w:instrText>
          </w:r>
          <w:r>
            <w:fldChar w:fldCharType="separate"/>
          </w:r>
          <w:r>
            <w:rPr>
              <w:rStyle w:val="41"/>
              <w:rFonts w:hint="eastAsia"/>
            </w:rPr>
            <w:t>1</w:t>
          </w:r>
          <w:r>
            <w:rPr>
              <w:rStyle w:val="41"/>
              <w:rFonts w:hint="eastAsia" w:ascii="Times New Roman"/>
            </w:rPr>
            <w:t xml:space="preserve">  范围</w:t>
          </w:r>
          <w:r>
            <w:rPr>
              <w:rFonts w:hint="eastAsia"/>
            </w:rPr>
            <w:tab/>
          </w:r>
          <w:r>
            <w:rPr>
              <w:rFonts w:hint="eastAsia"/>
            </w:rPr>
            <w:fldChar w:fldCharType="begin"/>
          </w:r>
          <w:r>
            <w:rPr>
              <w:rFonts w:hint="eastAsia"/>
            </w:rPr>
            <w:instrText xml:space="preserve"> </w:instrText>
          </w:r>
          <w:r>
            <w:instrText xml:space="preserve">PAGEREF _Toc195040384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7DEE3ECB">
          <w:pPr>
            <w:pStyle w:val="21"/>
            <w:spacing w:before="78" w:after="78"/>
            <w:rPr>
              <w:rFonts w:asciiTheme="minorHAnsi" w:hAnsiTheme="minorHAnsi" w:eastAsiaTheme="minorEastAsia" w:cstheme="minorBidi"/>
              <w:sz w:val="22"/>
              <w:szCs w:val="24"/>
              <w14:ligatures w14:val="standardContextual"/>
            </w:rPr>
          </w:pPr>
          <w:r>
            <w:fldChar w:fldCharType="begin"/>
          </w:r>
          <w:r>
            <w:instrText xml:space="preserve"> HYPERLINK \l "_Toc195040385" </w:instrText>
          </w:r>
          <w:r>
            <w:fldChar w:fldCharType="separate"/>
          </w:r>
          <w:r>
            <w:rPr>
              <w:rStyle w:val="41"/>
              <w:rFonts w:hint="eastAsia"/>
            </w:rPr>
            <w:t>2</w:t>
          </w:r>
          <w:r>
            <w:rPr>
              <w:rStyle w:val="41"/>
              <w:rFonts w:hint="eastAsia" w:ascii="Times New Roman"/>
            </w:rPr>
            <w:t xml:space="preserve">  规范性引用文件</w:t>
          </w:r>
          <w:r>
            <w:rPr>
              <w:rFonts w:hint="eastAsia"/>
            </w:rPr>
            <w:tab/>
          </w:r>
          <w:r>
            <w:rPr>
              <w:rFonts w:hint="eastAsia"/>
            </w:rPr>
            <w:fldChar w:fldCharType="begin"/>
          </w:r>
          <w:r>
            <w:rPr>
              <w:rFonts w:hint="eastAsia"/>
            </w:rPr>
            <w:instrText xml:space="preserve"> </w:instrText>
          </w:r>
          <w:r>
            <w:instrText xml:space="preserve">PAGEREF _Toc195040385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37EBE6C9">
          <w:pPr>
            <w:pStyle w:val="21"/>
            <w:spacing w:before="78" w:after="78"/>
            <w:rPr>
              <w:rFonts w:asciiTheme="minorHAnsi" w:hAnsiTheme="minorHAnsi" w:eastAsiaTheme="minorEastAsia" w:cstheme="minorBidi"/>
              <w:sz w:val="22"/>
              <w:szCs w:val="24"/>
              <w14:ligatures w14:val="standardContextual"/>
            </w:rPr>
          </w:pPr>
          <w:r>
            <w:fldChar w:fldCharType="begin"/>
          </w:r>
          <w:r>
            <w:instrText xml:space="preserve"> HYPERLINK \l "_Toc195040386" </w:instrText>
          </w:r>
          <w:r>
            <w:fldChar w:fldCharType="separate"/>
          </w:r>
          <w:r>
            <w:rPr>
              <w:rStyle w:val="41"/>
              <w:rFonts w:hint="eastAsia"/>
            </w:rPr>
            <w:t>3</w:t>
          </w:r>
          <w:r>
            <w:rPr>
              <w:rStyle w:val="41"/>
              <w:rFonts w:hint="eastAsia" w:ascii="Times New Roman"/>
            </w:rPr>
            <w:t xml:space="preserve">  术语和定义</w:t>
          </w:r>
          <w:r>
            <w:rPr>
              <w:rFonts w:hint="eastAsia"/>
            </w:rPr>
            <w:tab/>
          </w:r>
          <w:r>
            <w:rPr>
              <w:rFonts w:hint="eastAsia"/>
            </w:rPr>
            <w:fldChar w:fldCharType="begin"/>
          </w:r>
          <w:r>
            <w:rPr>
              <w:rFonts w:hint="eastAsia"/>
            </w:rPr>
            <w:instrText xml:space="preserve"> </w:instrText>
          </w:r>
          <w:r>
            <w:instrText xml:space="preserve">PAGEREF _Toc195040386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70017C5E">
          <w:pPr>
            <w:pStyle w:val="21"/>
            <w:spacing w:before="78" w:after="78"/>
            <w:rPr>
              <w:rFonts w:asciiTheme="minorHAnsi" w:hAnsiTheme="minorHAnsi" w:eastAsiaTheme="minorEastAsia" w:cstheme="minorBidi"/>
              <w:sz w:val="22"/>
              <w:szCs w:val="24"/>
              <w14:ligatures w14:val="standardContextual"/>
            </w:rPr>
          </w:pPr>
          <w:r>
            <w:fldChar w:fldCharType="begin"/>
          </w:r>
          <w:r>
            <w:instrText xml:space="preserve"> HYPERLINK \l "_Toc195040387" </w:instrText>
          </w:r>
          <w:r>
            <w:fldChar w:fldCharType="separate"/>
          </w:r>
          <w:r>
            <w:rPr>
              <w:rStyle w:val="41"/>
              <w:rFonts w:hint="eastAsia"/>
            </w:rPr>
            <w:t>4</w:t>
          </w:r>
          <w:r>
            <w:rPr>
              <w:rStyle w:val="41"/>
              <w:rFonts w:hint="eastAsia" w:ascii="Times New Roman"/>
            </w:rPr>
            <w:t xml:space="preserve">  评价原则</w:t>
          </w:r>
          <w:r>
            <w:rPr>
              <w:rFonts w:hint="eastAsia"/>
            </w:rPr>
            <w:tab/>
          </w:r>
          <w:r>
            <w:rPr>
              <w:rFonts w:hint="eastAsia"/>
            </w:rPr>
            <w:fldChar w:fldCharType="begin"/>
          </w:r>
          <w:r>
            <w:rPr>
              <w:rFonts w:hint="eastAsia"/>
            </w:rPr>
            <w:instrText xml:space="preserve"> </w:instrText>
          </w:r>
          <w:r>
            <w:instrText xml:space="preserve">PAGEREF _Toc195040387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040D09B4">
          <w:pPr>
            <w:pStyle w:val="21"/>
            <w:spacing w:before="78" w:after="78"/>
            <w:rPr>
              <w:rFonts w:asciiTheme="minorHAnsi" w:hAnsiTheme="minorHAnsi" w:eastAsiaTheme="minorEastAsia" w:cstheme="minorBidi"/>
              <w:sz w:val="22"/>
              <w:szCs w:val="24"/>
              <w14:ligatures w14:val="standardContextual"/>
            </w:rPr>
          </w:pPr>
          <w:r>
            <w:fldChar w:fldCharType="begin"/>
          </w:r>
          <w:r>
            <w:instrText xml:space="preserve"> HYPERLINK \l "_Toc195040388" </w:instrText>
          </w:r>
          <w:r>
            <w:fldChar w:fldCharType="separate"/>
          </w:r>
          <w:r>
            <w:rPr>
              <w:rStyle w:val="41"/>
              <w:rFonts w:hint="eastAsia"/>
            </w:rPr>
            <w:t>5</w:t>
          </w:r>
          <w:r>
            <w:rPr>
              <w:rStyle w:val="41"/>
              <w:rFonts w:hint="eastAsia" w:ascii="Times New Roman"/>
            </w:rPr>
            <w:t xml:space="preserve">  绿色低碳产业企业评价</w:t>
          </w:r>
          <w:r>
            <w:rPr>
              <w:rFonts w:hint="eastAsia"/>
            </w:rPr>
            <w:tab/>
          </w:r>
          <w:r>
            <w:rPr>
              <w:rFonts w:hint="eastAsia"/>
            </w:rPr>
            <w:fldChar w:fldCharType="begin"/>
          </w:r>
          <w:r>
            <w:rPr>
              <w:rFonts w:hint="eastAsia"/>
            </w:rPr>
            <w:instrText xml:space="preserve"> </w:instrText>
          </w:r>
          <w:r>
            <w:instrText xml:space="preserve">PAGEREF _Toc195040388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0339F312">
          <w:pPr>
            <w:pStyle w:val="30"/>
            <w:ind w:firstLine="210" w:firstLineChars="100"/>
            <w:rPr>
              <w:rFonts w:asciiTheme="minorHAnsi" w:hAnsiTheme="minorHAnsi" w:eastAsiaTheme="minorEastAsia" w:cstheme="minorBidi"/>
              <w:sz w:val="22"/>
              <w:szCs w:val="24"/>
              <w14:ligatures w14:val="standardContextual"/>
            </w:rPr>
          </w:pPr>
          <w:r>
            <w:fldChar w:fldCharType="begin"/>
          </w:r>
          <w:r>
            <w:instrText xml:space="preserve"> HYPERLINK \l "_Toc195040389" </w:instrText>
          </w:r>
          <w:r>
            <w:fldChar w:fldCharType="separate"/>
          </w:r>
          <w:r>
            <w:rPr>
              <w:rStyle w:val="41"/>
              <w:rFonts w:hint="eastAsia"/>
            </w:rPr>
            <w:t>5.1</w:t>
          </w:r>
          <w:r>
            <w:rPr>
              <w:rStyle w:val="41"/>
              <w:rFonts w:hint="eastAsia" w:ascii="Times New Roman"/>
            </w:rPr>
            <w:t xml:space="preserve">  符合性评价</w:t>
          </w:r>
          <w:r>
            <w:rPr>
              <w:rFonts w:hint="eastAsia"/>
            </w:rPr>
            <w:tab/>
          </w:r>
          <w:r>
            <w:rPr>
              <w:rFonts w:hint="eastAsia"/>
            </w:rPr>
            <w:fldChar w:fldCharType="begin"/>
          </w:r>
          <w:r>
            <w:rPr>
              <w:rFonts w:hint="eastAsia"/>
            </w:rPr>
            <w:instrText xml:space="preserve"> </w:instrText>
          </w:r>
          <w:r>
            <w:instrText xml:space="preserve">PAGEREF _Toc195040389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612EA140">
          <w:pPr>
            <w:pStyle w:val="30"/>
            <w:ind w:firstLine="210" w:firstLineChars="100"/>
            <w:rPr>
              <w:rFonts w:asciiTheme="minorHAnsi" w:hAnsiTheme="minorHAnsi" w:eastAsiaTheme="minorEastAsia" w:cstheme="minorBidi"/>
              <w:sz w:val="22"/>
              <w:szCs w:val="24"/>
              <w14:ligatures w14:val="standardContextual"/>
            </w:rPr>
          </w:pPr>
          <w:r>
            <w:fldChar w:fldCharType="begin"/>
          </w:r>
          <w:r>
            <w:instrText xml:space="preserve"> HYPERLINK \l "_Toc195040390" </w:instrText>
          </w:r>
          <w:r>
            <w:fldChar w:fldCharType="separate"/>
          </w:r>
          <w:r>
            <w:rPr>
              <w:rStyle w:val="41"/>
              <w:rFonts w:hint="eastAsia"/>
            </w:rPr>
            <w:t>5.2</w:t>
          </w:r>
          <w:r>
            <w:rPr>
              <w:rStyle w:val="41"/>
              <w:rFonts w:hint="eastAsia" w:ascii="Times New Roman"/>
            </w:rPr>
            <w:t xml:space="preserve">  综合评价</w:t>
          </w:r>
          <w:r>
            <w:rPr>
              <w:rFonts w:hint="eastAsia"/>
            </w:rPr>
            <w:tab/>
          </w:r>
          <w:r>
            <w:rPr>
              <w:rFonts w:hint="eastAsia"/>
            </w:rPr>
            <w:fldChar w:fldCharType="begin"/>
          </w:r>
          <w:r>
            <w:rPr>
              <w:rFonts w:hint="eastAsia"/>
            </w:rPr>
            <w:instrText xml:space="preserve"> </w:instrText>
          </w:r>
          <w:r>
            <w:instrText xml:space="preserve">PAGEREF _Toc195040390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54ECF86E">
          <w:pPr>
            <w:pStyle w:val="21"/>
            <w:spacing w:before="78" w:after="78"/>
            <w:rPr>
              <w:rFonts w:asciiTheme="minorHAnsi" w:hAnsiTheme="minorHAnsi" w:eastAsiaTheme="minorEastAsia" w:cstheme="minorBidi"/>
              <w:sz w:val="22"/>
              <w:szCs w:val="24"/>
              <w14:ligatures w14:val="standardContextual"/>
            </w:rPr>
          </w:pPr>
          <w:r>
            <w:fldChar w:fldCharType="begin"/>
          </w:r>
          <w:r>
            <w:instrText xml:space="preserve"> HYPERLINK \l "_Toc195040391" </w:instrText>
          </w:r>
          <w:r>
            <w:fldChar w:fldCharType="separate"/>
          </w:r>
          <w:r>
            <w:rPr>
              <w:rStyle w:val="41"/>
              <w:rFonts w:hint="eastAsia"/>
            </w:rPr>
            <w:t>6</w:t>
          </w:r>
          <w:r>
            <w:rPr>
              <w:rStyle w:val="41"/>
              <w:rFonts w:hint="eastAsia" w:ascii="Times New Roman"/>
            </w:rPr>
            <w:t xml:space="preserve">  绿色低碳产业项目评价</w:t>
          </w:r>
          <w:r>
            <w:rPr>
              <w:rFonts w:hint="eastAsia"/>
            </w:rPr>
            <w:tab/>
          </w:r>
          <w:r>
            <w:rPr>
              <w:rFonts w:hint="eastAsia"/>
            </w:rPr>
            <w:fldChar w:fldCharType="begin"/>
          </w:r>
          <w:r>
            <w:rPr>
              <w:rFonts w:hint="eastAsia"/>
            </w:rPr>
            <w:instrText xml:space="preserve"> </w:instrText>
          </w:r>
          <w:r>
            <w:instrText xml:space="preserve">PAGEREF _Toc195040391 \h</w:instrText>
          </w:r>
          <w:r>
            <w:rPr>
              <w:rFonts w:hint="eastAsia"/>
            </w:rPr>
            <w:instrText xml:space="preserve"> </w:instrText>
          </w:r>
          <w:r>
            <w:rPr>
              <w:rFonts w:hint="eastAsia"/>
            </w:rPr>
            <w:fldChar w:fldCharType="separate"/>
          </w:r>
          <w:r>
            <w:t>9</w:t>
          </w:r>
          <w:r>
            <w:rPr>
              <w:rFonts w:hint="eastAsia"/>
            </w:rPr>
            <w:fldChar w:fldCharType="end"/>
          </w:r>
          <w:r>
            <w:rPr>
              <w:rFonts w:hint="eastAsia"/>
            </w:rPr>
            <w:fldChar w:fldCharType="end"/>
          </w:r>
        </w:p>
        <w:p w14:paraId="22037F2F">
          <w:pPr>
            <w:pStyle w:val="30"/>
            <w:ind w:firstLine="210" w:firstLineChars="100"/>
            <w:rPr>
              <w:rFonts w:asciiTheme="minorHAnsi" w:hAnsiTheme="minorHAnsi" w:eastAsiaTheme="minorEastAsia" w:cstheme="minorBidi"/>
              <w:sz w:val="22"/>
              <w:szCs w:val="24"/>
              <w14:ligatures w14:val="standardContextual"/>
            </w:rPr>
          </w:pPr>
          <w:r>
            <w:fldChar w:fldCharType="begin"/>
          </w:r>
          <w:r>
            <w:instrText xml:space="preserve"> HYPERLINK \l "_Toc195040392" </w:instrText>
          </w:r>
          <w:r>
            <w:fldChar w:fldCharType="separate"/>
          </w:r>
          <w:r>
            <w:rPr>
              <w:rStyle w:val="41"/>
              <w:rFonts w:hint="eastAsia"/>
            </w:rPr>
            <w:t>6.1  符合性评价</w:t>
          </w:r>
          <w:r>
            <w:rPr>
              <w:rFonts w:hint="eastAsia"/>
            </w:rPr>
            <w:tab/>
          </w:r>
          <w:r>
            <w:rPr>
              <w:rFonts w:hint="eastAsia"/>
            </w:rPr>
            <w:fldChar w:fldCharType="begin"/>
          </w:r>
          <w:r>
            <w:rPr>
              <w:rFonts w:hint="eastAsia"/>
            </w:rPr>
            <w:instrText xml:space="preserve"> </w:instrText>
          </w:r>
          <w:r>
            <w:instrText xml:space="preserve">PAGEREF _Toc195040392 \h</w:instrText>
          </w:r>
          <w:r>
            <w:rPr>
              <w:rFonts w:hint="eastAsia"/>
            </w:rPr>
            <w:instrText xml:space="preserve"> </w:instrText>
          </w:r>
          <w:r>
            <w:rPr>
              <w:rFonts w:hint="eastAsia"/>
            </w:rPr>
            <w:fldChar w:fldCharType="separate"/>
          </w:r>
          <w:r>
            <w:t>9</w:t>
          </w:r>
          <w:r>
            <w:rPr>
              <w:rFonts w:hint="eastAsia"/>
            </w:rPr>
            <w:fldChar w:fldCharType="end"/>
          </w:r>
          <w:r>
            <w:rPr>
              <w:rFonts w:hint="eastAsia"/>
            </w:rPr>
            <w:fldChar w:fldCharType="end"/>
          </w:r>
        </w:p>
        <w:p w14:paraId="7B330523">
          <w:pPr>
            <w:pStyle w:val="30"/>
            <w:ind w:firstLine="210" w:firstLineChars="100"/>
            <w:rPr>
              <w:rFonts w:asciiTheme="minorHAnsi" w:hAnsiTheme="minorHAnsi" w:eastAsiaTheme="minorEastAsia" w:cstheme="minorBidi"/>
              <w:sz w:val="22"/>
              <w:szCs w:val="24"/>
              <w14:ligatures w14:val="standardContextual"/>
            </w:rPr>
          </w:pPr>
          <w:r>
            <w:fldChar w:fldCharType="begin"/>
          </w:r>
          <w:r>
            <w:instrText xml:space="preserve"> HYPERLINK \l "_Toc195040393" </w:instrText>
          </w:r>
          <w:r>
            <w:fldChar w:fldCharType="separate"/>
          </w:r>
          <w:r>
            <w:rPr>
              <w:rStyle w:val="41"/>
              <w:rFonts w:hint="eastAsia"/>
            </w:rPr>
            <w:t>6.2</w:t>
          </w:r>
          <w:r>
            <w:rPr>
              <w:rStyle w:val="41"/>
              <w:rFonts w:hint="eastAsia" w:ascii="Times New Roman"/>
            </w:rPr>
            <w:t xml:space="preserve">  综合评价</w:t>
          </w:r>
          <w:r>
            <w:rPr>
              <w:rFonts w:hint="eastAsia"/>
            </w:rPr>
            <w:tab/>
          </w:r>
          <w:r>
            <w:rPr>
              <w:rFonts w:hint="eastAsia"/>
            </w:rPr>
            <w:fldChar w:fldCharType="begin"/>
          </w:r>
          <w:r>
            <w:rPr>
              <w:rFonts w:hint="eastAsia"/>
            </w:rPr>
            <w:instrText xml:space="preserve"> </w:instrText>
          </w:r>
          <w:r>
            <w:instrText xml:space="preserve">PAGEREF _Toc195040393 \h</w:instrText>
          </w:r>
          <w:r>
            <w:rPr>
              <w:rFonts w:hint="eastAsia"/>
            </w:rPr>
            <w:instrText xml:space="preserve"> </w:instrText>
          </w:r>
          <w:r>
            <w:rPr>
              <w:rFonts w:hint="eastAsia"/>
            </w:rPr>
            <w:fldChar w:fldCharType="separate"/>
          </w:r>
          <w:r>
            <w:t>9</w:t>
          </w:r>
          <w:r>
            <w:rPr>
              <w:rFonts w:hint="eastAsia"/>
            </w:rPr>
            <w:fldChar w:fldCharType="end"/>
          </w:r>
          <w:r>
            <w:rPr>
              <w:rFonts w:hint="eastAsia"/>
            </w:rPr>
            <w:fldChar w:fldCharType="end"/>
          </w:r>
        </w:p>
        <w:p w14:paraId="6F591276">
          <w:pPr>
            <w:pStyle w:val="21"/>
            <w:spacing w:before="78" w:after="78"/>
            <w:rPr>
              <w:rFonts w:asciiTheme="minorHAnsi" w:hAnsiTheme="minorHAnsi" w:eastAsiaTheme="minorEastAsia" w:cstheme="minorBidi"/>
              <w:sz w:val="22"/>
              <w:szCs w:val="24"/>
              <w14:ligatures w14:val="standardContextual"/>
            </w:rPr>
          </w:pPr>
          <w:r>
            <w:fldChar w:fldCharType="begin"/>
          </w:r>
          <w:r>
            <w:instrText xml:space="preserve"> HYPERLINK \l "_Toc195040394" </w:instrText>
          </w:r>
          <w:r>
            <w:fldChar w:fldCharType="separate"/>
          </w:r>
          <w:r>
            <w:rPr>
              <w:rStyle w:val="41"/>
              <w:rFonts w:hint="eastAsia"/>
            </w:rPr>
            <w:t>7</w:t>
          </w:r>
          <w:r>
            <w:rPr>
              <w:rStyle w:val="41"/>
              <w:rFonts w:hint="eastAsia" w:ascii="Times New Roman"/>
            </w:rPr>
            <w:t xml:space="preserve">  评价程序</w:t>
          </w:r>
          <w:r>
            <w:rPr>
              <w:rFonts w:hint="eastAsia"/>
            </w:rPr>
            <w:tab/>
          </w:r>
          <w:r>
            <w:rPr>
              <w:rFonts w:hint="eastAsia"/>
            </w:rPr>
            <w:fldChar w:fldCharType="begin"/>
          </w:r>
          <w:r>
            <w:rPr>
              <w:rFonts w:hint="eastAsia"/>
            </w:rPr>
            <w:instrText xml:space="preserve"> </w:instrText>
          </w:r>
          <w:r>
            <w:instrText xml:space="preserve">PAGEREF _Toc195040394 \h</w:instrText>
          </w:r>
          <w:r>
            <w:rPr>
              <w:rFonts w:hint="eastAsia"/>
            </w:rPr>
            <w:instrText xml:space="preserve"> </w:instrText>
          </w:r>
          <w:r>
            <w:rPr>
              <w:rFonts w:hint="eastAsia"/>
            </w:rPr>
            <w:fldChar w:fldCharType="separate"/>
          </w:r>
          <w:r>
            <w:t>11</w:t>
          </w:r>
          <w:r>
            <w:rPr>
              <w:rFonts w:hint="eastAsia"/>
            </w:rPr>
            <w:fldChar w:fldCharType="end"/>
          </w:r>
          <w:r>
            <w:rPr>
              <w:rFonts w:hint="eastAsia"/>
            </w:rPr>
            <w:fldChar w:fldCharType="end"/>
          </w:r>
        </w:p>
        <w:p w14:paraId="472637B8">
          <w:pPr>
            <w:pStyle w:val="30"/>
            <w:ind w:firstLine="210" w:firstLineChars="100"/>
            <w:rPr>
              <w:rFonts w:asciiTheme="minorHAnsi" w:hAnsiTheme="minorHAnsi" w:eastAsiaTheme="minorEastAsia" w:cstheme="minorBidi"/>
              <w:sz w:val="22"/>
              <w:szCs w:val="24"/>
              <w14:ligatures w14:val="standardContextual"/>
            </w:rPr>
          </w:pPr>
          <w:r>
            <w:fldChar w:fldCharType="begin"/>
          </w:r>
          <w:r>
            <w:instrText xml:space="preserve"> HYPERLINK \l "_Toc195040395" </w:instrText>
          </w:r>
          <w:r>
            <w:fldChar w:fldCharType="separate"/>
          </w:r>
          <w:r>
            <w:rPr>
              <w:rStyle w:val="41"/>
              <w:rFonts w:hint="eastAsia"/>
            </w:rPr>
            <w:t>7.1</w:t>
          </w:r>
          <w:r>
            <w:rPr>
              <w:rStyle w:val="41"/>
              <w:rFonts w:hint="eastAsia" w:ascii="Times New Roman"/>
            </w:rPr>
            <w:t xml:space="preserve">  成立工作组</w:t>
          </w:r>
          <w:r>
            <w:rPr>
              <w:rFonts w:hint="eastAsia"/>
            </w:rPr>
            <w:tab/>
          </w:r>
          <w:r>
            <w:rPr>
              <w:rFonts w:hint="eastAsia"/>
            </w:rPr>
            <w:fldChar w:fldCharType="begin"/>
          </w:r>
          <w:r>
            <w:rPr>
              <w:rFonts w:hint="eastAsia"/>
            </w:rPr>
            <w:instrText xml:space="preserve"> </w:instrText>
          </w:r>
          <w:r>
            <w:instrText xml:space="preserve">PAGEREF _Toc195040395 \h</w:instrText>
          </w:r>
          <w:r>
            <w:rPr>
              <w:rFonts w:hint="eastAsia"/>
            </w:rPr>
            <w:instrText xml:space="preserve"> </w:instrText>
          </w:r>
          <w:r>
            <w:rPr>
              <w:rFonts w:hint="eastAsia"/>
            </w:rPr>
            <w:fldChar w:fldCharType="separate"/>
          </w:r>
          <w:r>
            <w:t>11</w:t>
          </w:r>
          <w:r>
            <w:rPr>
              <w:rFonts w:hint="eastAsia"/>
            </w:rPr>
            <w:fldChar w:fldCharType="end"/>
          </w:r>
          <w:r>
            <w:rPr>
              <w:rFonts w:hint="eastAsia"/>
            </w:rPr>
            <w:fldChar w:fldCharType="end"/>
          </w:r>
        </w:p>
        <w:p w14:paraId="20347B9E">
          <w:pPr>
            <w:pStyle w:val="30"/>
            <w:ind w:firstLine="210" w:firstLineChars="100"/>
            <w:rPr>
              <w:rFonts w:asciiTheme="minorHAnsi" w:hAnsiTheme="minorHAnsi" w:eastAsiaTheme="minorEastAsia" w:cstheme="minorBidi"/>
              <w:sz w:val="22"/>
              <w:szCs w:val="24"/>
              <w14:ligatures w14:val="standardContextual"/>
            </w:rPr>
          </w:pPr>
          <w:r>
            <w:fldChar w:fldCharType="begin"/>
          </w:r>
          <w:r>
            <w:instrText xml:space="preserve"> HYPERLINK \l "_Toc195040396" </w:instrText>
          </w:r>
          <w:r>
            <w:fldChar w:fldCharType="separate"/>
          </w:r>
          <w:r>
            <w:rPr>
              <w:rStyle w:val="41"/>
              <w:rFonts w:hint="eastAsia"/>
            </w:rPr>
            <w:t>7.2</w:t>
          </w:r>
          <w:r>
            <w:rPr>
              <w:rStyle w:val="41"/>
              <w:rFonts w:hint="eastAsia" w:ascii="Times New Roman"/>
            </w:rPr>
            <w:t xml:space="preserve">  收集材料</w:t>
          </w:r>
          <w:r>
            <w:rPr>
              <w:rFonts w:hint="eastAsia"/>
            </w:rPr>
            <w:tab/>
          </w:r>
          <w:r>
            <w:rPr>
              <w:rFonts w:hint="eastAsia"/>
            </w:rPr>
            <w:fldChar w:fldCharType="begin"/>
          </w:r>
          <w:r>
            <w:rPr>
              <w:rFonts w:hint="eastAsia"/>
            </w:rPr>
            <w:instrText xml:space="preserve"> </w:instrText>
          </w:r>
          <w:r>
            <w:instrText xml:space="preserve">PAGEREF _Toc195040396 \h</w:instrText>
          </w:r>
          <w:r>
            <w:rPr>
              <w:rFonts w:hint="eastAsia"/>
            </w:rPr>
            <w:instrText xml:space="preserve"> </w:instrText>
          </w:r>
          <w:r>
            <w:rPr>
              <w:rFonts w:hint="eastAsia"/>
            </w:rPr>
            <w:fldChar w:fldCharType="separate"/>
          </w:r>
          <w:r>
            <w:t>11</w:t>
          </w:r>
          <w:r>
            <w:rPr>
              <w:rFonts w:hint="eastAsia"/>
            </w:rPr>
            <w:fldChar w:fldCharType="end"/>
          </w:r>
          <w:r>
            <w:rPr>
              <w:rFonts w:hint="eastAsia"/>
            </w:rPr>
            <w:fldChar w:fldCharType="end"/>
          </w:r>
        </w:p>
        <w:p w14:paraId="187713D9">
          <w:pPr>
            <w:pStyle w:val="30"/>
            <w:ind w:firstLine="210" w:firstLineChars="100"/>
            <w:rPr>
              <w:rFonts w:asciiTheme="minorHAnsi" w:hAnsiTheme="minorHAnsi" w:eastAsiaTheme="minorEastAsia" w:cstheme="minorBidi"/>
              <w:sz w:val="22"/>
              <w:szCs w:val="24"/>
              <w14:ligatures w14:val="standardContextual"/>
            </w:rPr>
          </w:pPr>
          <w:r>
            <w:fldChar w:fldCharType="begin"/>
          </w:r>
          <w:r>
            <w:instrText xml:space="preserve"> HYPERLINK \l "_Toc195040397" </w:instrText>
          </w:r>
          <w:r>
            <w:fldChar w:fldCharType="separate"/>
          </w:r>
          <w:r>
            <w:rPr>
              <w:rStyle w:val="41"/>
              <w:rFonts w:hint="eastAsia"/>
            </w:rPr>
            <w:t>7.3</w:t>
          </w:r>
          <w:r>
            <w:rPr>
              <w:rStyle w:val="41"/>
              <w:rFonts w:hint="eastAsia" w:ascii="Times New Roman"/>
            </w:rPr>
            <w:t xml:space="preserve">  编制报告</w:t>
          </w:r>
          <w:r>
            <w:rPr>
              <w:rFonts w:hint="eastAsia"/>
            </w:rPr>
            <w:tab/>
          </w:r>
          <w:r>
            <w:rPr>
              <w:rFonts w:hint="eastAsia"/>
            </w:rPr>
            <w:fldChar w:fldCharType="begin"/>
          </w:r>
          <w:r>
            <w:rPr>
              <w:rFonts w:hint="eastAsia"/>
            </w:rPr>
            <w:instrText xml:space="preserve"> </w:instrText>
          </w:r>
          <w:r>
            <w:instrText xml:space="preserve">PAGEREF _Toc195040397 \h</w:instrText>
          </w:r>
          <w:r>
            <w:rPr>
              <w:rFonts w:hint="eastAsia"/>
            </w:rPr>
            <w:instrText xml:space="preserve"> </w:instrText>
          </w:r>
          <w:r>
            <w:rPr>
              <w:rFonts w:hint="eastAsia"/>
            </w:rPr>
            <w:fldChar w:fldCharType="separate"/>
          </w:r>
          <w:r>
            <w:t>12</w:t>
          </w:r>
          <w:r>
            <w:rPr>
              <w:rFonts w:hint="eastAsia"/>
            </w:rPr>
            <w:fldChar w:fldCharType="end"/>
          </w:r>
          <w:r>
            <w:rPr>
              <w:rFonts w:hint="eastAsia"/>
            </w:rPr>
            <w:fldChar w:fldCharType="end"/>
          </w:r>
        </w:p>
        <w:p w14:paraId="2B412F32">
          <w:pPr>
            <w:pStyle w:val="30"/>
            <w:ind w:firstLine="210" w:firstLineChars="100"/>
            <w:rPr>
              <w:rFonts w:asciiTheme="minorHAnsi" w:hAnsiTheme="minorHAnsi" w:eastAsiaTheme="minorEastAsia" w:cstheme="minorBidi"/>
              <w:sz w:val="22"/>
              <w:szCs w:val="24"/>
              <w14:ligatures w14:val="standardContextual"/>
            </w:rPr>
          </w:pPr>
          <w:r>
            <w:fldChar w:fldCharType="begin"/>
          </w:r>
          <w:r>
            <w:instrText xml:space="preserve"> HYPERLINK \l "_Toc195040398" </w:instrText>
          </w:r>
          <w:r>
            <w:fldChar w:fldCharType="separate"/>
          </w:r>
          <w:r>
            <w:rPr>
              <w:rStyle w:val="41"/>
              <w:rFonts w:hint="eastAsia"/>
            </w:rPr>
            <w:t>7.4</w:t>
          </w:r>
          <w:r>
            <w:rPr>
              <w:rStyle w:val="41"/>
              <w:rFonts w:hint="eastAsia" w:ascii="Times New Roman"/>
            </w:rPr>
            <w:t xml:space="preserve">  认定评审</w:t>
          </w:r>
          <w:r>
            <w:rPr>
              <w:rFonts w:hint="eastAsia"/>
            </w:rPr>
            <w:tab/>
          </w:r>
          <w:r>
            <w:rPr>
              <w:rFonts w:hint="eastAsia"/>
            </w:rPr>
            <w:fldChar w:fldCharType="begin"/>
          </w:r>
          <w:r>
            <w:rPr>
              <w:rFonts w:hint="eastAsia"/>
            </w:rPr>
            <w:instrText xml:space="preserve"> </w:instrText>
          </w:r>
          <w:r>
            <w:instrText xml:space="preserve">PAGEREF _Toc195040398 \h</w:instrText>
          </w:r>
          <w:r>
            <w:rPr>
              <w:rFonts w:hint="eastAsia"/>
            </w:rPr>
            <w:instrText xml:space="preserve"> </w:instrText>
          </w:r>
          <w:r>
            <w:rPr>
              <w:rFonts w:hint="eastAsia"/>
            </w:rPr>
            <w:fldChar w:fldCharType="separate"/>
          </w:r>
          <w:r>
            <w:t>13</w:t>
          </w:r>
          <w:r>
            <w:rPr>
              <w:rFonts w:hint="eastAsia"/>
            </w:rPr>
            <w:fldChar w:fldCharType="end"/>
          </w:r>
          <w:r>
            <w:rPr>
              <w:rFonts w:hint="eastAsia"/>
            </w:rPr>
            <w:fldChar w:fldCharType="end"/>
          </w:r>
        </w:p>
        <w:p w14:paraId="7EBC4FF3">
          <w:pPr>
            <w:pStyle w:val="21"/>
            <w:spacing w:before="78" w:after="78"/>
            <w:rPr>
              <w:rFonts w:asciiTheme="minorHAnsi" w:hAnsiTheme="minorHAnsi" w:eastAsiaTheme="minorEastAsia" w:cstheme="minorBidi"/>
              <w:sz w:val="22"/>
              <w:szCs w:val="24"/>
              <w14:ligatures w14:val="standardContextual"/>
            </w:rPr>
          </w:pPr>
          <w:r>
            <w:fldChar w:fldCharType="begin"/>
          </w:r>
          <w:r>
            <w:instrText xml:space="preserve"> HYPERLINK \l "_Toc195040399" </w:instrText>
          </w:r>
          <w:r>
            <w:fldChar w:fldCharType="separate"/>
          </w:r>
          <w:r>
            <w:rPr>
              <w:rStyle w:val="41"/>
              <w:rFonts w:hint="eastAsia"/>
            </w:rPr>
            <w:t>附录A</w:t>
          </w:r>
          <w:r>
            <w:rPr>
              <w:rStyle w:val="41"/>
              <w:rFonts w:hint="eastAsia" w:ascii="Times New Roman"/>
            </w:rPr>
            <w:t>（规范性）  智能电网建设运营领域绿色低碳产业关键技术先进性评价指标</w:t>
          </w:r>
          <w:r>
            <w:rPr>
              <w:rFonts w:hint="eastAsia"/>
            </w:rPr>
            <w:tab/>
          </w:r>
          <w:r>
            <w:rPr>
              <w:rFonts w:hint="eastAsia"/>
            </w:rPr>
            <w:fldChar w:fldCharType="begin"/>
          </w:r>
          <w:r>
            <w:rPr>
              <w:rFonts w:hint="eastAsia"/>
            </w:rPr>
            <w:instrText xml:space="preserve"> </w:instrText>
          </w:r>
          <w:r>
            <w:instrText xml:space="preserve">PAGEREF _Toc195040399 \h</w:instrText>
          </w:r>
          <w:r>
            <w:rPr>
              <w:rFonts w:hint="eastAsia"/>
            </w:rPr>
            <w:instrText xml:space="preserve"> </w:instrText>
          </w:r>
          <w:r>
            <w:rPr>
              <w:rFonts w:hint="eastAsia"/>
            </w:rPr>
            <w:fldChar w:fldCharType="separate"/>
          </w:r>
          <w:r>
            <w:t>14</w:t>
          </w:r>
          <w:r>
            <w:rPr>
              <w:rFonts w:hint="eastAsia"/>
            </w:rPr>
            <w:fldChar w:fldCharType="end"/>
          </w:r>
          <w:r>
            <w:rPr>
              <w:rFonts w:hint="eastAsia"/>
            </w:rPr>
            <w:fldChar w:fldCharType="end"/>
          </w:r>
        </w:p>
        <w:p w14:paraId="195425B9">
          <w:pPr>
            <w:pStyle w:val="21"/>
            <w:spacing w:before="78" w:after="78"/>
            <w:rPr>
              <w:rFonts w:asciiTheme="minorHAnsi" w:hAnsiTheme="minorHAnsi" w:eastAsiaTheme="minorEastAsia" w:cstheme="minorBidi"/>
              <w:sz w:val="22"/>
              <w:szCs w:val="24"/>
              <w14:ligatures w14:val="standardContextual"/>
            </w:rPr>
          </w:pPr>
          <w:r>
            <w:fldChar w:fldCharType="begin"/>
          </w:r>
          <w:r>
            <w:instrText xml:space="preserve"> HYPERLINK \l "_Toc195040400" </w:instrText>
          </w:r>
          <w:r>
            <w:fldChar w:fldCharType="separate"/>
          </w:r>
          <w:r>
            <w:rPr>
              <w:rStyle w:val="41"/>
              <w:rFonts w:hint="eastAsia"/>
            </w:rPr>
            <w:t xml:space="preserve">附录B（资料性）  智能电网建设运营产业环境效益指标及测算方法示例 </w:t>
          </w:r>
          <w:r>
            <w:rPr>
              <w:rFonts w:hint="eastAsia"/>
            </w:rPr>
            <w:tab/>
          </w:r>
          <w:r>
            <w:rPr>
              <w:rFonts w:hint="eastAsia"/>
            </w:rPr>
            <w:fldChar w:fldCharType="begin"/>
          </w:r>
          <w:r>
            <w:rPr>
              <w:rFonts w:hint="eastAsia"/>
            </w:rPr>
            <w:instrText xml:space="preserve"> </w:instrText>
          </w:r>
          <w:r>
            <w:instrText xml:space="preserve">PAGEREF _Toc195040400 \h</w:instrText>
          </w:r>
          <w:r>
            <w:rPr>
              <w:rFonts w:hint="eastAsia"/>
            </w:rPr>
            <w:instrText xml:space="preserve"> </w:instrText>
          </w:r>
          <w:r>
            <w:rPr>
              <w:rFonts w:hint="eastAsia"/>
            </w:rPr>
            <w:fldChar w:fldCharType="separate"/>
          </w:r>
          <w:r>
            <w:t>18</w:t>
          </w:r>
          <w:r>
            <w:rPr>
              <w:rFonts w:hint="eastAsia"/>
            </w:rPr>
            <w:fldChar w:fldCharType="end"/>
          </w:r>
          <w:r>
            <w:rPr>
              <w:rFonts w:hint="eastAsia"/>
            </w:rPr>
            <w:fldChar w:fldCharType="end"/>
          </w:r>
        </w:p>
        <w:p w14:paraId="4C37FB34">
          <w:pPr>
            <w:pStyle w:val="21"/>
            <w:spacing w:before="78" w:after="78"/>
            <w:rPr>
              <w:rFonts w:asciiTheme="minorHAnsi" w:hAnsiTheme="minorHAnsi" w:eastAsiaTheme="minorEastAsia" w:cstheme="minorBidi"/>
              <w:sz w:val="22"/>
              <w:szCs w:val="24"/>
              <w14:ligatures w14:val="standardContextual"/>
            </w:rPr>
          </w:pPr>
          <w:r>
            <w:fldChar w:fldCharType="begin"/>
          </w:r>
          <w:r>
            <w:instrText xml:space="preserve"> HYPERLINK \l "_Toc195040401" </w:instrText>
          </w:r>
          <w:r>
            <w:fldChar w:fldCharType="separate"/>
          </w:r>
          <w:r>
            <w:rPr>
              <w:rStyle w:val="41"/>
              <w:rFonts w:hint="eastAsia"/>
            </w:rPr>
            <w:t>附录C（资料性）  智能电网建设运营领域绿色低碳产业企业认定评价报告模板</w:t>
          </w:r>
          <w:r>
            <w:rPr>
              <w:rFonts w:hint="eastAsia"/>
            </w:rPr>
            <w:tab/>
          </w:r>
          <w:r>
            <w:rPr>
              <w:rFonts w:hint="eastAsia"/>
            </w:rPr>
            <w:fldChar w:fldCharType="begin"/>
          </w:r>
          <w:r>
            <w:rPr>
              <w:rFonts w:hint="eastAsia"/>
            </w:rPr>
            <w:instrText xml:space="preserve"> </w:instrText>
          </w:r>
          <w:r>
            <w:instrText xml:space="preserve">PAGEREF _Toc195040401 \h</w:instrText>
          </w:r>
          <w:r>
            <w:rPr>
              <w:rFonts w:hint="eastAsia"/>
            </w:rPr>
            <w:instrText xml:space="preserve"> </w:instrText>
          </w:r>
          <w:r>
            <w:rPr>
              <w:rFonts w:hint="eastAsia"/>
            </w:rPr>
            <w:fldChar w:fldCharType="separate"/>
          </w:r>
          <w:r>
            <w:t>20</w:t>
          </w:r>
          <w:r>
            <w:rPr>
              <w:rFonts w:hint="eastAsia"/>
            </w:rPr>
            <w:fldChar w:fldCharType="end"/>
          </w:r>
          <w:r>
            <w:rPr>
              <w:rFonts w:hint="eastAsia"/>
            </w:rPr>
            <w:fldChar w:fldCharType="end"/>
          </w:r>
        </w:p>
        <w:p w14:paraId="1AACE14B">
          <w:pPr>
            <w:pStyle w:val="21"/>
            <w:spacing w:before="78" w:after="78"/>
            <w:rPr>
              <w:rFonts w:asciiTheme="minorHAnsi" w:hAnsiTheme="minorHAnsi" w:eastAsiaTheme="minorEastAsia" w:cstheme="minorBidi"/>
              <w:sz w:val="22"/>
              <w:szCs w:val="24"/>
              <w14:ligatures w14:val="standardContextual"/>
            </w:rPr>
          </w:pPr>
          <w:r>
            <w:fldChar w:fldCharType="begin"/>
          </w:r>
          <w:r>
            <w:instrText xml:space="preserve"> HYPERLINK \l "_Toc195040402" </w:instrText>
          </w:r>
          <w:r>
            <w:fldChar w:fldCharType="separate"/>
          </w:r>
          <w:r>
            <w:rPr>
              <w:rStyle w:val="41"/>
              <w:rFonts w:hint="eastAsia"/>
            </w:rPr>
            <w:t>附录D</w:t>
          </w:r>
          <w:r>
            <w:rPr>
              <w:rStyle w:val="41"/>
              <w:rFonts w:hint="eastAsia" w:ascii="Times New Roman"/>
            </w:rPr>
            <w:t xml:space="preserve">（资料性） </w:t>
          </w:r>
          <w:r>
            <w:rPr>
              <w:rStyle w:val="41"/>
              <w:rFonts w:hint="eastAsia" w:ascii="Times New Roman" w:eastAsia="Times New Roman"/>
            </w:rPr>
            <w:t xml:space="preserve"> </w:t>
          </w:r>
          <w:r>
            <w:rPr>
              <w:rStyle w:val="41"/>
              <w:rFonts w:hint="eastAsia" w:ascii="Times New Roman"/>
            </w:rPr>
            <w:t>智能电网建设运营领域绿色低碳产业项目认定评价报告模板</w:t>
          </w:r>
          <w:r>
            <w:rPr>
              <w:rFonts w:hint="eastAsia"/>
            </w:rPr>
            <w:tab/>
          </w:r>
          <w:r>
            <w:rPr>
              <w:rFonts w:hint="eastAsia"/>
            </w:rPr>
            <w:fldChar w:fldCharType="begin"/>
          </w:r>
          <w:r>
            <w:rPr>
              <w:rFonts w:hint="eastAsia"/>
            </w:rPr>
            <w:instrText xml:space="preserve"> </w:instrText>
          </w:r>
          <w:r>
            <w:instrText xml:space="preserve">PAGEREF _Toc195040402 \h</w:instrText>
          </w:r>
          <w:r>
            <w:rPr>
              <w:rFonts w:hint="eastAsia"/>
            </w:rPr>
            <w:instrText xml:space="preserve"> </w:instrText>
          </w:r>
          <w:r>
            <w:rPr>
              <w:rFonts w:hint="eastAsia"/>
            </w:rPr>
            <w:fldChar w:fldCharType="separate"/>
          </w:r>
          <w:r>
            <w:t>24</w:t>
          </w:r>
          <w:r>
            <w:rPr>
              <w:rFonts w:hint="eastAsia"/>
            </w:rPr>
            <w:fldChar w:fldCharType="end"/>
          </w:r>
          <w:r>
            <w:rPr>
              <w:rFonts w:hint="eastAsia"/>
            </w:rPr>
            <w:fldChar w:fldCharType="end"/>
          </w:r>
        </w:p>
        <w:p w14:paraId="754BC732">
          <w:pPr>
            <w:pStyle w:val="21"/>
            <w:spacing w:before="78" w:after="78"/>
            <w:rPr>
              <w:rFonts w:asciiTheme="minorHAnsi" w:hAnsiTheme="minorHAnsi" w:eastAsiaTheme="minorEastAsia" w:cstheme="minorBidi"/>
              <w:sz w:val="22"/>
              <w:szCs w:val="24"/>
              <w14:ligatures w14:val="standardContextual"/>
            </w:rPr>
          </w:pPr>
          <w:r>
            <w:fldChar w:fldCharType="begin"/>
          </w:r>
          <w:r>
            <w:instrText xml:space="preserve"> HYPERLINK \l "_Toc195040403" </w:instrText>
          </w:r>
          <w:r>
            <w:fldChar w:fldCharType="separate"/>
          </w:r>
          <w:r>
            <w:rPr>
              <w:rStyle w:val="41"/>
              <w:rFonts w:hint="eastAsia"/>
            </w:rPr>
            <w:t>附录E（资料性）  智能电网建设运营领域绿色低碳产业认定评价指标表</w:t>
          </w:r>
          <w:r>
            <w:rPr>
              <w:rFonts w:hint="eastAsia"/>
            </w:rPr>
            <w:tab/>
          </w:r>
          <w:r>
            <w:rPr>
              <w:rFonts w:hint="eastAsia"/>
            </w:rPr>
            <w:fldChar w:fldCharType="begin"/>
          </w:r>
          <w:r>
            <w:rPr>
              <w:rFonts w:hint="eastAsia"/>
            </w:rPr>
            <w:instrText xml:space="preserve"> </w:instrText>
          </w:r>
          <w:r>
            <w:instrText xml:space="preserve">PAGEREF _Toc195040403 \h</w:instrText>
          </w:r>
          <w:r>
            <w:rPr>
              <w:rFonts w:hint="eastAsia"/>
            </w:rPr>
            <w:instrText xml:space="preserve"> </w:instrText>
          </w:r>
          <w:r>
            <w:rPr>
              <w:rFonts w:hint="eastAsia"/>
            </w:rPr>
            <w:fldChar w:fldCharType="separate"/>
          </w:r>
          <w:r>
            <w:t>28</w:t>
          </w:r>
          <w:r>
            <w:rPr>
              <w:rFonts w:hint="eastAsia"/>
            </w:rPr>
            <w:fldChar w:fldCharType="end"/>
          </w:r>
          <w:r>
            <w:rPr>
              <w:rFonts w:hint="eastAsia"/>
            </w:rPr>
            <w:fldChar w:fldCharType="end"/>
          </w:r>
        </w:p>
        <w:p w14:paraId="7725B7E8">
          <w:pPr>
            <w:pStyle w:val="21"/>
            <w:spacing w:before="78" w:after="78"/>
            <w:rPr>
              <w:rFonts w:asciiTheme="minorHAnsi" w:hAnsiTheme="minorHAnsi" w:eastAsiaTheme="minorEastAsia" w:cstheme="minorBidi"/>
              <w:sz w:val="22"/>
              <w:szCs w:val="24"/>
              <w14:ligatures w14:val="standardContextual"/>
            </w:rPr>
          </w:pPr>
          <w:r>
            <w:fldChar w:fldCharType="begin"/>
          </w:r>
          <w:r>
            <w:instrText xml:space="preserve"> HYPERLINK \l "_Toc195040404" </w:instrText>
          </w:r>
          <w:r>
            <w:fldChar w:fldCharType="separate"/>
          </w:r>
          <w:r>
            <w:rPr>
              <w:rStyle w:val="41"/>
              <w:rFonts w:hint="eastAsia" w:ascii="Times New Roman"/>
            </w:rPr>
            <w:t>参考文献</w:t>
          </w:r>
          <w:r>
            <w:rPr>
              <w:rFonts w:hint="eastAsia"/>
            </w:rPr>
            <w:tab/>
          </w:r>
          <w:r>
            <w:rPr>
              <w:rFonts w:hint="eastAsia"/>
            </w:rPr>
            <w:fldChar w:fldCharType="begin"/>
          </w:r>
          <w:r>
            <w:rPr>
              <w:rFonts w:hint="eastAsia"/>
            </w:rPr>
            <w:instrText xml:space="preserve"> </w:instrText>
          </w:r>
          <w:r>
            <w:instrText xml:space="preserve">PAGEREF _Toc195040404 \h</w:instrText>
          </w:r>
          <w:r>
            <w:rPr>
              <w:rFonts w:hint="eastAsia"/>
            </w:rPr>
            <w:instrText xml:space="preserve"> </w:instrText>
          </w:r>
          <w:r>
            <w:rPr>
              <w:rFonts w:hint="eastAsia"/>
            </w:rPr>
            <w:fldChar w:fldCharType="separate"/>
          </w:r>
          <w:r>
            <w:t>34</w:t>
          </w:r>
          <w:r>
            <w:rPr>
              <w:rFonts w:hint="eastAsia"/>
            </w:rPr>
            <w:fldChar w:fldCharType="end"/>
          </w:r>
          <w:r>
            <w:rPr>
              <w:rFonts w:hint="eastAsia"/>
            </w:rPr>
            <w:fldChar w:fldCharType="end"/>
          </w:r>
        </w:p>
        <w:p w14:paraId="11186DF6">
          <w:pPr>
            <w:pStyle w:val="21"/>
            <w:tabs>
              <w:tab w:val="right" w:leader="dot" w:pos="9354"/>
              <w:tab w:val="clear" w:pos="9241"/>
            </w:tabs>
            <w:spacing w:before="78" w:after="78"/>
            <w:rPr>
              <w:rFonts w:hAnsi="宋体"/>
            </w:rPr>
          </w:pPr>
          <w:r>
            <w:rPr>
              <w:rFonts w:hint="eastAsia" w:hAnsi="宋体"/>
              <w:b/>
            </w:rPr>
            <w:fldChar w:fldCharType="end"/>
          </w:r>
        </w:p>
      </w:sdtContent>
    </w:sdt>
    <w:p w14:paraId="713F1F0D">
      <w:pPr>
        <w:pStyle w:val="115"/>
        <w:tabs>
          <w:tab w:val="left" w:pos="897"/>
          <w:tab w:val="center" w:pos="4677"/>
        </w:tabs>
        <w:jc w:val="left"/>
        <w:rPr>
          <w:rFonts w:ascii="Times New Roman"/>
        </w:rPr>
      </w:pPr>
      <w:bookmarkStart w:id="27" w:name="_Toc5564"/>
      <w:bookmarkStart w:id="28" w:name="_Toc23144"/>
      <w:bookmarkStart w:id="29" w:name="_Toc31215"/>
      <w:bookmarkStart w:id="30" w:name="_Toc118282034"/>
      <w:r>
        <w:rPr>
          <w:rFonts w:ascii="Times New Roman"/>
        </w:rPr>
        <w:tab/>
      </w:r>
      <w:r>
        <w:rPr>
          <w:rFonts w:ascii="Times New Roman"/>
        </w:rPr>
        <w:tab/>
      </w:r>
      <w:bookmarkStart w:id="31" w:name="_Toc195040382"/>
      <w:r>
        <w:rPr>
          <w:rFonts w:ascii="Times New Roman"/>
        </w:rPr>
        <w:t>前</w:t>
      </w:r>
      <w:bookmarkStart w:id="32" w:name="BKQY"/>
      <w:r>
        <w:rPr>
          <w:rFonts w:ascii="Times New Roman"/>
        </w:rPr>
        <w:t>  言</w:t>
      </w:r>
      <w:bookmarkEnd w:id="27"/>
      <w:bookmarkEnd w:id="28"/>
      <w:bookmarkEnd w:id="29"/>
      <w:bookmarkEnd w:id="30"/>
      <w:bookmarkEnd w:id="31"/>
      <w:bookmarkEnd w:id="32"/>
    </w:p>
    <w:p w14:paraId="1D9727C4">
      <w:pPr>
        <w:pStyle w:val="25"/>
        <w:rPr>
          <w:rFonts w:hAnsi="宋体" w:cs="宋体"/>
        </w:rPr>
      </w:pPr>
      <w:r>
        <w:rPr>
          <w:rFonts w:hint="eastAsia" w:hAnsi="宋体" w:cs="宋体"/>
        </w:rPr>
        <w:t>本文件等同采用粤港澳大湾区（深港）计量检测认证发展促进联盟标准T/GBATIC 048-2024《绿色低碳产业认定行业技术规范 智能电网建设运营》。</w:t>
      </w:r>
    </w:p>
    <w:p w14:paraId="4ADD4F5D">
      <w:pPr>
        <w:pStyle w:val="25"/>
        <w:rPr>
          <w:rFonts w:hAnsi="宋体" w:cs="宋体"/>
        </w:rPr>
      </w:pPr>
      <w:r>
        <w:rPr>
          <w:rFonts w:hint="eastAsia" w:hAnsi="宋体" w:cs="宋体"/>
        </w:rPr>
        <w:t>本文件按照GB/T 1.1—2020《标准化工作导则  第1部分：标准化文件的结构和起草规则》的规定起草。</w:t>
      </w:r>
    </w:p>
    <w:p w14:paraId="273A6F5D">
      <w:pPr>
        <w:pStyle w:val="25"/>
        <w:rPr>
          <w:rFonts w:hAnsi="宋体" w:cs="宋体"/>
        </w:rPr>
      </w:pPr>
      <w:r>
        <w:rPr>
          <w:rFonts w:hint="eastAsia" w:hAnsi="宋体" w:cs="宋体"/>
        </w:rPr>
        <w:t>本文件由深圳市计量质量检测研究院提出。</w:t>
      </w:r>
    </w:p>
    <w:p w14:paraId="07CF0EB1">
      <w:pPr>
        <w:pStyle w:val="25"/>
        <w:rPr>
          <w:rFonts w:hAnsi="宋体" w:cs="宋体"/>
        </w:rPr>
      </w:pPr>
      <w:r>
        <w:rPr>
          <w:rFonts w:hint="eastAsia" w:hAnsi="宋体" w:cs="宋体"/>
        </w:rPr>
        <w:t>本文件由深圳市深圳标准促进会归口。</w:t>
      </w:r>
    </w:p>
    <w:p w14:paraId="2D734FDA">
      <w:pPr>
        <w:pStyle w:val="25"/>
        <w:rPr>
          <w:rFonts w:hint="eastAsia" w:hAnsi="宋体" w:eastAsia="宋体" w:cs="宋体"/>
          <w:lang w:eastAsia="zh-CN"/>
        </w:rPr>
      </w:pPr>
      <w:r>
        <w:rPr>
          <w:rFonts w:hint="eastAsia" w:hAnsi="宋体" w:cs="宋体"/>
        </w:rPr>
        <w:t>本文件起草单位：深圳市生态环境局、深圳市发展和改革委员会、深圳市市场监督管理局、深圳市计量质量检测研究院、</w:t>
      </w:r>
      <w:r>
        <w:rPr>
          <w:rFonts w:hint="eastAsia" w:hAnsi="宋体" w:cs="宋体"/>
          <w:lang w:val="en-US" w:eastAsia="zh-CN"/>
        </w:rPr>
        <w:t>深圳市电机工程学会、深圳市深鹏达电网科技有限公司、深圳供电局有限公司、深圳市富进电力设备有限公司、</w:t>
      </w:r>
      <w:r>
        <w:rPr>
          <w:rFonts w:hint="eastAsia" w:hAnsi="宋体" w:cs="宋体"/>
        </w:rPr>
        <w:t>深圳市标准技术研究院、一带一路环境技术交流与转移中心（深圳）、深圳国家高技术产业创新中心</w:t>
      </w:r>
      <w:r>
        <w:rPr>
          <w:rFonts w:hint="eastAsia" w:hAnsi="宋体" w:cs="宋体"/>
          <w:lang w:eastAsia="zh-CN"/>
        </w:rPr>
        <w:t>。</w:t>
      </w:r>
    </w:p>
    <w:p w14:paraId="3BCB36D6">
      <w:pPr>
        <w:pStyle w:val="25"/>
        <w:rPr>
          <w:rFonts w:ascii="Times New Roman"/>
        </w:rPr>
      </w:pPr>
      <w:r>
        <w:rPr>
          <w:rFonts w:hint="eastAsia" w:hAnsi="宋体" w:cs="宋体"/>
        </w:rPr>
        <w:t>本文件主要起草人：X</w:t>
      </w:r>
      <w:r>
        <w:rPr>
          <w:rFonts w:hAnsi="宋体" w:cs="宋体"/>
        </w:rPr>
        <w:t>XX</w:t>
      </w:r>
      <w:r>
        <w:rPr>
          <w:rFonts w:hint="eastAsia" w:hAnsi="宋体" w:cs="宋体"/>
        </w:rPr>
        <w:t>。</w:t>
      </w:r>
    </w:p>
    <w:p w14:paraId="7E038502">
      <w:pPr>
        <w:pStyle w:val="25"/>
        <w:rPr>
          <w:rFonts w:ascii="Times New Roman"/>
        </w:rPr>
      </w:pPr>
    </w:p>
    <w:p w14:paraId="681292B0">
      <w:pPr>
        <w:pStyle w:val="53"/>
        <w:rPr>
          <w:rFonts w:ascii="Times New Roman"/>
        </w:rPr>
        <w:sectPr>
          <w:headerReference r:id="rId5" w:type="default"/>
          <w:footerReference r:id="rId6" w:type="default"/>
          <w:footerReference r:id="rId7" w:type="even"/>
          <w:pgSz w:w="11906" w:h="16838"/>
          <w:pgMar w:top="567" w:right="1134" w:bottom="1134" w:left="1418" w:header="1418" w:footer="1134" w:gutter="0"/>
          <w:pgBorders>
            <w:top w:val="none" w:sz="0" w:space="0"/>
            <w:left w:val="none" w:sz="0" w:space="0"/>
            <w:bottom w:val="none" w:sz="0" w:space="0"/>
            <w:right w:val="none" w:sz="0" w:space="0"/>
          </w:pgBorders>
          <w:pgNumType w:fmt="upperRoman" w:start="1"/>
          <w:cols w:space="425" w:num="1"/>
          <w:formProt w:val="0"/>
          <w:docGrid w:type="lines" w:linePitch="312" w:charSpace="0"/>
        </w:sectPr>
      </w:pPr>
      <w:bookmarkStart w:id="33" w:name="_Toc80953770"/>
      <w:bookmarkStart w:id="34" w:name="_Toc80867248"/>
      <w:bookmarkStart w:id="35" w:name="_Toc80954704"/>
      <w:bookmarkStart w:id="36" w:name="_Toc80690485"/>
      <w:bookmarkStart w:id="37" w:name="_Toc80887605"/>
      <w:bookmarkStart w:id="38" w:name="_Toc82157004"/>
      <w:bookmarkStart w:id="39" w:name="_Toc24880"/>
      <w:bookmarkStart w:id="40" w:name="_Toc14800"/>
      <w:bookmarkStart w:id="41" w:name="_Toc19299"/>
      <w:bookmarkStart w:id="42" w:name="_Toc82626056"/>
      <w:bookmarkStart w:id="43" w:name="_Toc52091808"/>
    </w:p>
    <w:p w14:paraId="2B92589C">
      <w:pPr>
        <w:pStyle w:val="53"/>
        <w:rPr>
          <w:rFonts w:ascii="Times New Roman"/>
        </w:rPr>
      </w:pPr>
      <w:bookmarkStart w:id="44" w:name="_Toc27626"/>
      <w:bookmarkStart w:id="45" w:name="_Toc16981"/>
      <w:bookmarkStart w:id="46" w:name="_Toc118282035"/>
      <w:bookmarkStart w:id="47" w:name="_Toc110"/>
      <w:bookmarkStart w:id="48" w:name="_Toc20729"/>
      <w:bookmarkStart w:id="49" w:name="_Toc195040383"/>
      <w:bookmarkStart w:id="50" w:name="_Toc184888571"/>
      <w:r>
        <w:rPr>
          <w:rFonts w:hint="eastAsia" w:ascii="Times New Roman"/>
        </w:rPr>
        <w:t>绿色低碳产业</w:t>
      </w:r>
      <w:r>
        <w:rPr>
          <w:rFonts w:ascii="Times New Roman"/>
        </w:rPr>
        <w:t>认定</w:t>
      </w:r>
      <w:bookmarkEnd w:id="33"/>
      <w:bookmarkEnd w:id="34"/>
      <w:bookmarkEnd w:id="35"/>
      <w:bookmarkEnd w:id="36"/>
      <w:bookmarkEnd w:id="37"/>
      <w:bookmarkEnd w:id="38"/>
      <w:r>
        <w:rPr>
          <w:rFonts w:ascii="Times New Roman"/>
        </w:rPr>
        <w:t xml:space="preserve">行业技术规范 </w:t>
      </w:r>
      <w:bookmarkEnd w:id="39"/>
      <w:bookmarkEnd w:id="40"/>
      <w:bookmarkEnd w:id="41"/>
      <w:bookmarkEnd w:id="42"/>
      <w:bookmarkEnd w:id="44"/>
      <w:bookmarkEnd w:id="45"/>
      <w:bookmarkEnd w:id="46"/>
      <w:bookmarkEnd w:id="47"/>
      <w:bookmarkEnd w:id="48"/>
      <w:r>
        <w:rPr>
          <w:rFonts w:hint="eastAsia" w:ascii="Times New Roman"/>
        </w:rPr>
        <w:t>智能电网建设运营</w:t>
      </w:r>
      <w:bookmarkEnd w:id="49"/>
      <w:bookmarkEnd w:id="50"/>
    </w:p>
    <w:p w14:paraId="285E1704">
      <w:pPr>
        <w:pStyle w:val="48"/>
        <w:outlineLvl w:val="0"/>
        <w:rPr>
          <w:rFonts w:ascii="Times New Roman"/>
        </w:rPr>
      </w:pPr>
      <w:bookmarkStart w:id="51" w:name="_Toc102992448"/>
      <w:bookmarkStart w:id="52" w:name="_Toc20410"/>
      <w:bookmarkStart w:id="53" w:name="_Toc118282036"/>
      <w:bookmarkStart w:id="54" w:name="_Toc13202"/>
      <w:bookmarkStart w:id="55" w:name="_Toc4308"/>
      <w:bookmarkStart w:id="56" w:name="_Toc195040384"/>
      <w:r>
        <w:rPr>
          <w:rFonts w:ascii="Times New Roman"/>
        </w:rPr>
        <w:t>范围</w:t>
      </w:r>
      <w:bookmarkEnd w:id="43"/>
      <w:bookmarkEnd w:id="51"/>
      <w:bookmarkEnd w:id="52"/>
      <w:bookmarkEnd w:id="53"/>
      <w:bookmarkEnd w:id="54"/>
      <w:bookmarkEnd w:id="55"/>
      <w:bookmarkEnd w:id="56"/>
    </w:p>
    <w:p w14:paraId="3CA5ACBA">
      <w:pPr>
        <w:pStyle w:val="25"/>
        <w:rPr>
          <w:rFonts w:ascii="Times New Roman"/>
        </w:rPr>
      </w:pPr>
      <w:r>
        <w:rPr>
          <w:rFonts w:ascii="Times New Roman"/>
        </w:rPr>
        <w:t>本文件规定了</w:t>
      </w:r>
      <w:r>
        <w:rPr>
          <w:rFonts w:hint="eastAsia" w:ascii="Times New Roman"/>
        </w:rPr>
        <w:t>智能电网建设运营领域</w:t>
      </w:r>
      <w:r>
        <w:rPr>
          <w:rFonts w:ascii="Times New Roman"/>
        </w:rPr>
        <w:t>绿色</w:t>
      </w:r>
      <w:r>
        <w:rPr>
          <w:rFonts w:hint="eastAsia" w:ascii="Times New Roman"/>
        </w:rPr>
        <w:t>低碳</w:t>
      </w:r>
      <w:r>
        <w:rPr>
          <w:rFonts w:ascii="Times New Roman"/>
        </w:rPr>
        <w:t>产业认定评价的</w:t>
      </w:r>
      <w:r>
        <w:rPr>
          <w:rFonts w:hint="eastAsia" w:ascii="Times New Roman"/>
        </w:rPr>
        <w:t>评价原则、评价方法、</w:t>
      </w:r>
      <w:r>
        <w:rPr>
          <w:rFonts w:ascii="Times New Roman"/>
        </w:rPr>
        <w:t>评价指标</w:t>
      </w:r>
      <w:r>
        <w:rPr>
          <w:rFonts w:hint="eastAsia" w:ascii="Times New Roman"/>
        </w:rPr>
        <w:t>及</w:t>
      </w:r>
      <w:r>
        <w:rPr>
          <w:rFonts w:ascii="Times New Roman"/>
        </w:rPr>
        <w:t>评价程序。</w:t>
      </w:r>
    </w:p>
    <w:p w14:paraId="3AE01EDB">
      <w:pPr>
        <w:pStyle w:val="25"/>
        <w:rPr>
          <w:rFonts w:ascii="Times New Roman"/>
        </w:rPr>
      </w:pPr>
      <w:r>
        <w:rPr>
          <w:rFonts w:ascii="Times New Roman"/>
        </w:rPr>
        <w:t>本文件适用于</w:t>
      </w:r>
      <w:r>
        <w:rPr>
          <w:rFonts w:hint="eastAsia" w:ascii="Times New Roman"/>
        </w:rPr>
        <w:t>智能电网建设运营领域相关企事业单位或项目</w:t>
      </w:r>
      <w:r>
        <w:rPr>
          <w:rFonts w:ascii="Times New Roman"/>
        </w:rPr>
        <w:t>的</w:t>
      </w:r>
      <w:r>
        <w:rPr>
          <w:rFonts w:hint="eastAsia" w:ascii="Times New Roman"/>
        </w:rPr>
        <w:t>绿色低碳产业</w:t>
      </w:r>
      <w:r>
        <w:rPr>
          <w:rFonts w:ascii="Times New Roman"/>
        </w:rPr>
        <w:t>认定评价</w:t>
      </w:r>
      <w:r>
        <w:rPr>
          <w:rFonts w:hint="eastAsia" w:ascii="Times New Roman"/>
        </w:rPr>
        <w:t>。</w:t>
      </w:r>
    </w:p>
    <w:p w14:paraId="430C95BE">
      <w:pPr>
        <w:pStyle w:val="48"/>
        <w:outlineLvl w:val="0"/>
        <w:rPr>
          <w:rFonts w:ascii="Times New Roman"/>
        </w:rPr>
      </w:pPr>
      <w:bookmarkStart w:id="57" w:name="_Toc102992449"/>
      <w:bookmarkStart w:id="58" w:name="_Toc118282037"/>
      <w:bookmarkStart w:id="59" w:name="_Toc28913"/>
      <w:bookmarkStart w:id="60" w:name="_Toc19567"/>
      <w:bookmarkStart w:id="61" w:name="_Toc9269"/>
      <w:bookmarkStart w:id="62" w:name="_Toc52091809"/>
      <w:bookmarkStart w:id="63" w:name="_Toc195040385"/>
      <w:r>
        <w:rPr>
          <w:rFonts w:ascii="Times New Roman"/>
        </w:rPr>
        <w:t>规范性引用文件</w:t>
      </w:r>
      <w:bookmarkEnd w:id="57"/>
      <w:bookmarkEnd w:id="58"/>
      <w:bookmarkEnd w:id="59"/>
      <w:bookmarkEnd w:id="60"/>
      <w:bookmarkEnd w:id="61"/>
      <w:bookmarkEnd w:id="62"/>
      <w:bookmarkEnd w:id="63"/>
    </w:p>
    <w:p w14:paraId="54D9803A">
      <w:pPr>
        <w:pStyle w:val="11"/>
        <w:ind w:firstLine="420" w:firstLineChars="200"/>
        <w:rPr>
          <w:lang w:val="en-US"/>
        </w:rPr>
      </w:pPr>
      <w:r>
        <w:rPr>
          <w:rFonts w:hint="eastAsia"/>
          <w:lang w:val="en-US"/>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7BFBF171">
      <w:pPr>
        <w:pStyle w:val="11"/>
        <w:ind w:firstLine="420" w:firstLineChars="200"/>
        <w:rPr>
          <w:lang w:val="en-US"/>
        </w:rPr>
      </w:pPr>
      <w:r>
        <w:rPr>
          <w:lang w:val="en-US"/>
        </w:rPr>
        <w:t xml:space="preserve">GB/T 15148  </w:t>
      </w:r>
      <w:r>
        <w:rPr>
          <w:rFonts w:hint="eastAsia"/>
          <w:lang w:val="en-US"/>
        </w:rPr>
        <w:t>电力负荷管理系统技术规范</w:t>
      </w:r>
    </w:p>
    <w:p w14:paraId="1CC014CC">
      <w:pPr>
        <w:pStyle w:val="11"/>
        <w:ind w:firstLine="420" w:firstLineChars="200"/>
        <w:rPr>
          <w:lang w:val="en-US"/>
        </w:rPr>
      </w:pPr>
      <w:r>
        <w:rPr>
          <w:rFonts w:hint="eastAsia"/>
          <w:lang w:val="en-US"/>
        </w:rPr>
        <w:t>G</w:t>
      </w:r>
      <w:r>
        <w:rPr>
          <w:lang w:val="en-US"/>
        </w:rPr>
        <w:t xml:space="preserve">B 20052  </w:t>
      </w:r>
      <w:r>
        <w:rPr>
          <w:rFonts w:hint="eastAsia"/>
          <w:lang w:val="en-US"/>
        </w:rPr>
        <w:t>电力变压器能效限定值及能效等级</w:t>
      </w:r>
    </w:p>
    <w:p w14:paraId="439BA931">
      <w:pPr>
        <w:pStyle w:val="11"/>
        <w:ind w:firstLine="420" w:firstLineChars="200"/>
        <w:rPr>
          <w:lang w:val="en-US"/>
        </w:rPr>
      </w:pPr>
      <w:r>
        <w:rPr>
          <w:rFonts w:hint="eastAsia"/>
          <w:lang w:val="en-US"/>
        </w:rPr>
        <w:t>GB/T 32150  工业企业温室气体排放核算和报告通则</w:t>
      </w:r>
    </w:p>
    <w:p w14:paraId="556D2A9E">
      <w:pPr>
        <w:pStyle w:val="11"/>
        <w:ind w:firstLine="420" w:firstLineChars="200"/>
        <w:rPr>
          <w:lang w:val="en-US"/>
        </w:rPr>
      </w:pPr>
      <w:r>
        <w:rPr>
          <w:lang w:val="en-US"/>
        </w:rPr>
        <w:t xml:space="preserve">GB/T 33607  </w:t>
      </w:r>
      <w:r>
        <w:rPr>
          <w:rFonts w:hint="eastAsia"/>
          <w:lang w:val="en-US"/>
        </w:rPr>
        <w:t>智能电网调度控制系统总体框架</w:t>
      </w:r>
    </w:p>
    <w:p w14:paraId="3719019E">
      <w:pPr>
        <w:pStyle w:val="11"/>
        <w:ind w:firstLine="420" w:firstLineChars="200"/>
        <w:rPr>
          <w:lang w:val="en-US"/>
        </w:rPr>
      </w:pPr>
      <w:r>
        <w:rPr>
          <w:rFonts w:hint="eastAsia"/>
          <w:lang w:val="en-US"/>
        </w:rPr>
        <w:t>GB/T 36132  绿色工厂评价通则</w:t>
      </w:r>
    </w:p>
    <w:p w14:paraId="7AED02CD">
      <w:pPr>
        <w:pStyle w:val="11"/>
        <w:ind w:firstLine="420" w:firstLineChars="200"/>
        <w:rPr>
          <w:lang w:val="en-US"/>
        </w:rPr>
      </w:pPr>
      <w:r>
        <w:rPr>
          <w:lang w:val="en-US"/>
        </w:rPr>
        <w:t>JB/T 10088  6kV</w:t>
      </w:r>
      <w:r>
        <w:rPr>
          <w:rFonts w:hint="eastAsia" w:ascii="仿宋" w:hAnsi="仿宋" w:eastAsia="仿宋" w:cs="仿宋"/>
          <w:color w:val="000000" w:themeColor="text1"/>
          <w:sz w:val="24"/>
          <w:szCs w:val="24"/>
          <w14:textFill>
            <w14:solidFill>
              <w14:schemeClr w14:val="tx1"/>
            </w14:solidFill>
          </w14:textFill>
        </w:rPr>
        <w:t>～</w:t>
      </w:r>
      <w:r>
        <w:rPr>
          <w:lang w:val="en-US"/>
        </w:rPr>
        <w:t>500 kV</w:t>
      </w:r>
      <w:r>
        <w:rPr>
          <w:rFonts w:hint="eastAsia"/>
          <w:lang w:val="en-US"/>
        </w:rPr>
        <w:t>级电力变压器声级</w:t>
      </w:r>
    </w:p>
    <w:p w14:paraId="5C47D85F">
      <w:pPr>
        <w:pStyle w:val="11"/>
        <w:ind w:firstLine="420" w:firstLineChars="200"/>
        <w:rPr>
          <w:lang w:val="en-US"/>
        </w:rPr>
      </w:pPr>
      <w:r>
        <w:rPr>
          <w:rFonts w:hint="eastAsia"/>
          <w:lang w:val="en-US"/>
        </w:rPr>
        <w:t>SZDB/Z 69  组织的温室气体排放量化和报告指南</w:t>
      </w:r>
    </w:p>
    <w:p w14:paraId="0344370F">
      <w:pPr>
        <w:pStyle w:val="48"/>
        <w:outlineLvl w:val="0"/>
        <w:rPr>
          <w:rFonts w:ascii="Times New Roman"/>
        </w:rPr>
      </w:pPr>
      <w:bookmarkStart w:id="64" w:name="_Toc184886939"/>
      <w:bookmarkEnd w:id="64"/>
      <w:bookmarkStart w:id="65" w:name="_Toc184886940"/>
      <w:bookmarkEnd w:id="65"/>
      <w:bookmarkStart w:id="66" w:name="_Toc184888582"/>
      <w:bookmarkEnd w:id="66"/>
      <w:bookmarkStart w:id="67" w:name="_Toc184886941"/>
      <w:bookmarkEnd w:id="67"/>
      <w:bookmarkStart w:id="68" w:name="_Toc184888583"/>
      <w:bookmarkEnd w:id="68"/>
      <w:bookmarkStart w:id="69" w:name="_Toc184886942"/>
      <w:bookmarkEnd w:id="69"/>
      <w:bookmarkStart w:id="70" w:name="_Toc184888577"/>
      <w:bookmarkEnd w:id="70"/>
      <w:bookmarkStart w:id="71" w:name="_Toc184888584"/>
      <w:bookmarkEnd w:id="71"/>
      <w:bookmarkStart w:id="72" w:name="_Toc184886943"/>
      <w:bookmarkEnd w:id="72"/>
      <w:bookmarkStart w:id="73" w:name="_Toc184886932"/>
      <w:bookmarkEnd w:id="73"/>
      <w:bookmarkStart w:id="74" w:name="_Toc184886934"/>
      <w:bookmarkEnd w:id="74"/>
      <w:bookmarkStart w:id="75" w:name="_Toc184888585"/>
      <w:bookmarkEnd w:id="75"/>
      <w:bookmarkStart w:id="76" w:name="_Toc184886936"/>
      <w:bookmarkEnd w:id="76"/>
      <w:bookmarkStart w:id="77" w:name="_Toc184888578"/>
      <w:bookmarkEnd w:id="77"/>
      <w:bookmarkStart w:id="78" w:name="_Toc184888581"/>
      <w:bookmarkEnd w:id="78"/>
      <w:bookmarkStart w:id="79" w:name="_Toc184886933"/>
      <w:bookmarkEnd w:id="79"/>
      <w:bookmarkStart w:id="80" w:name="_Toc184888575"/>
      <w:bookmarkEnd w:id="80"/>
      <w:bookmarkStart w:id="81" w:name="_Toc184888579"/>
      <w:bookmarkEnd w:id="81"/>
      <w:bookmarkStart w:id="82" w:name="_Toc184888576"/>
      <w:bookmarkEnd w:id="82"/>
      <w:bookmarkStart w:id="83" w:name="_Toc184886938"/>
      <w:bookmarkEnd w:id="83"/>
      <w:bookmarkStart w:id="84" w:name="_Toc184888574"/>
      <w:bookmarkEnd w:id="84"/>
      <w:bookmarkStart w:id="85" w:name="_Toc184886935"/>
      <w:bookmarkEnd w:id="85"/>
      <w:bookmarkStart w:id="86" w:name="_Toc184888580"/>
      <w:bookmarkEnd w:id="86"/>
      <w:bookmarkStart w:id="87" w:name="_Toc184886937"/>
      <w:bookmarkEnd w:id="87"/>
      <w:bookmarkStart w:id="88" w:name="_Toc118282038"/>
      <w:bookmarkStart w:id="89" w:name="_Toc1800"/>
      <w:bookmarkStart w:id="90" w:name="_Toc30824"/>
      <w:bookmarkStart w:id="91" w:name="_Toc31147"/>
      <w:bookmarkStart w:id="92" w:name="_Toc102992450"/>
      <w:bookmarkStart w:id="93" w:name="_Toc195040386"/>
      <w:r>
        <w:rPr>
          <w:rFonts w:ascii="Times New Roman"/>
        </w:rPr>
        <w:t>术语和定义</w:t>
      </w:r>
      <w:bookmarkEnd w:id="88"/>
      <w:bookmarkEnd w:id="89"/>
      <w:bookmarkEnd w:id="90"/>
      <w:bookmarkEnd w:id="91"/>
      <w:bookmarkEnd w:id="92"/>
      <w:bookmarkEnd w:id="93"/>
    </w:p>
    <w:p w14:paraId="6B00EA07">
      <w:pPr>
        <w:pStyle w:val="25"/>
        <w:rPr>
          <w:rFonts w:ascii="Times New Roman"/>
        </w:rPr>
      </w:pPr>
      <w:bookmarkStart w:id="94" w:name="_Toc55807229"/>
      <w:bookmarkEnd w:id="94"/>
      <w:bookmarkStart w:id="95" w:name="_Toc52098625"/>
      <w:bookmarkEnd w:id="95"/>
      <w:r>
        <w:rPr>
          <w:rFonts w:ascii="Times New Roman"/>
        </w:rPr>
        <w:t>下列术语和定义适用于本文件。</w:t>
      </w:r>
    </w:p>
    <w:p w14:paraId="1D1EF580">
      <w:pPr>
        <w:pStyle w:val="45"/>
        <w:spacing w:before="0" w:beforeLines="0" w:after="0" w:afterLines="0"/>
        <w:rPr>
          <w:rFonts w:ascii="Times New Roman"/>
        </w:rPr>
      </w:pPr>
    </w:p>
    <w:p w14:paraId="47BCE9B8">
      <w:pPr>
        <w:pStyle w:val="25"/>
        <w:rPr>
          <w:rFonts w:ascii="Times New Roman" w:eastAsia="黑体"/>
        </w:rPr>
      </w:pPr>
      <w:r>
        <w:rPr>
          <w:rFonts w:hint="eastAsia" w:ascii="黑体" w:hAnsi="黑体" w:eastAsia="黑体" w:cs="黑体"/>
        </w:rPr>
        <w:t>绿色低碳产业  green and low-carbon industries</w:t>
      </w:r>
    </w:p>
    <w:p w14:paraId="355F16DB">
      <w:pPr>
        <w:pStyle w:val="25"/>
        <w:rPr>
          <w:rFonts w:ascii="Times New Roman"/>
        </w:rPr>
      </w:pPr>
      <w:r>
        <w:rPr>
          <w:rFonts w:hint="eastAsia" w:ascii="Times New Roman"/>
        </w:rPr>
        <w:t>以低能耗、低排放和低污染为基础，</w:t>
      </w:r>
      <w:r>
        <w:rPr>
          <w:rFonts w:ascii="Times New Roman"/>
        </w:rPr>
        <w:t>提供有利于资源节约</w:t>
      </w:r>
      <w:r>
        <w:rPr>
          <w:rFonts w:hint="eastAsia" w:asciiTheme="minorEastAsia" w:hAnsiTheme="minorEastAsia" w:eastAsiaTheme="minorEastAsia" w:cstheme="minorEastAsia"/>
        </w:rPr>
        <w:t>、环境友好、生态良好</w:t>
      </w:r>
      <w:r>
        <w:rPr>
          <w:rFonts w:ascii="Times New Roman"/>
        </w:rPr>
        <w:t>的产品或服务的企事业单位</w:t>
      </w:r>
      <w:r>
        <w:rPr>
          <w:rFonts w:hint="eastAsia" w:ascii="Times New Roman"/>
        </w:rPr>
        <w:t>及项目</w:t>
      </w:r>
      <w:r>
        <w:rPr>
          <w:rFonts w:ascii="Times New Roman"/>
        </w:rPr>
        <w:t>的集合体。</w:t>
      </w:r>
    </w:p>
    <w:p w14:paraId="1BFC8F53">
      <w:pPr>
        <w:pStyle w:val="45"/>
        <w:spacing w:before="0" w:beforeLines="0" w:after="0" w:afterLines="0"/>
        <w:rPr>
          <w:rFonts w:ascii="Times New Roman"/>
        </w:rPr>
      </w:pPr>
    </w:p>
    <w:p w14:paraId="43132CBB">
      <w:pPr>
        <w:pStyle w:val="25"/>
        <w:rPr>
          <w:rFonts w:ascii="Times New Roman" w:eastAsia="黑体"/>
        </w:rPr>
      </w:pPr>
      <w:r>
        <w:rPr>
          <w:rFonts w:hint="eastAsia" w:ascii="黑体" w:hAnsi="黑体" w:eastAsia="黑体" w:cs="黑体"/>
        </w:rPr>
        <w:t xml:space="preserve">绿色低碳产业企业  </w:t>
      </w:r>
      <w:r>
        <w:rPr>
          <w:rFonts w:hint="eastAsia" w:ascii="黑体" w:hAnsi="黑体" w:eastAsia="黑体" w:cs="黑体"/>
          <w:spacing w:val="-11"/>
        </w:rPr>
        <w:t>enterprises and institutions recognized as green and low-carbon industries</w:t>
      </w:r>
    </w:p>
    <w:p w14:paraId="51A7EA02">
      <w:pPr>
        <w:pStyle w:val="25"/>
        <w:rPr>
          <w:rFonts w:ascii="Times New Roman"/>
        </w:rPr>
      </w:pPr>
      <w:r>
        <w:rPr>
          <w:rFonts w:ascii="Times New Roman"/>
        </w:rPr>
        <w:t>经营范围</w:t>
      </w:r>
      <w:r>
        <w:rPr>
          <w:rFonts w:hint="eastAsia" w:ascii="Times New Roman"/>
        </w:rPr>
        <w:t>属于相关政府职能部门发布的绿色低碳</w:t>
      </w:r>
      <w:r>
        <w:rPr>
          <w:rFonts w:hint="eastAsia" w:hAnsi="宋体" w:cs="宋体"/>
        </w:rPr>
        <w:t>产业（3.1）相</w:t>
      </w:r>
      <w:r>
        <w:rPr>
          <w:rFonts w:hint="eastAsia" w:ascii="Times New Roman"/>
        </w:rPr>
        <w:t>关指导目录所涵盖的产业类别</w:t>
      </w:r>
      <w:r>
        <w:rPr>
          <w:rFonts w:ascii="Times New Roman"/>
        </w:rPr>
        <w:t>，</w:t>
      </w:r>
      <w:r>
        <w:rPr>
          <w:rFonts w:hint="eastAsia" w:ascii="Times New Roman"/>
        </w:rPr>
        <w:t>且</w:t>
      </w:r>
      <w:r>
        <w:rPr>
          <w:rFonts w:ascii="Times New Roman"/>
        </w:rPr>
        <w:t>通过绿色</w:t>
      </w:r>
      <w:r>
        <w:rPr>
          <w:rFonts w:hint="eastAsia" w:ascii="Times New Roman"/>
        </w:rPr>
        <w:t>低碳</w:t>
      </w:r>
      <w:r>
        <w:rPr>
          <w:rFonts w:ascii="Times New Roman"/>
        </w:rPr>
        <w:t>产业认定的企事业单位。</w:t>
      </w:r>
    </w:p>
    <w:p w14:paraId="31C93408">
      <w:pPr>
        <w:numPr>
          <w:ilvl w:val="1"/>
          <w:numId w:val="2"/>
        </w:numPr>
        <w:outlineLvl w:val="2"/>
        <w:rPr>
          <w:rFonts w:eastAsia="黑体"/>
          <w:szCs w:val="21"/>
        </w:rPr>
      </w:pPr>
    </w:p>
    <w:p w14:paraId="0EDDE090">
      <w:pPr>
        <w:autoSpaceDE w:val="0"/>
        <w:autoSpaceDN w:val="0"/>
        <w:ind w:firstLine="420" w:firstLineChars="200"/>
        <w:rPr>
          <w:rFonts w:eastAsia="黑体"/>
        </w:rPr>
      </w:pPr>
      <w:r>
        <w:rPr>
          <w:rFonts w:hint="eastAsia" w:ascii="黑体" w:hAnsi="黑体" w:eastAsia="黑体" w:cs="黑体"/>
        </w:rPr>
        <w:t xml:space="preserve">绿色低碳产业项目  projects </w:t>
      </w:r>
      <w:r>
        <w:rPr>
          <w:rFonts w:hint="eastAsia" w:ascii="黑体" w:hAnsi="黑体" w:eastAsia="黑体" w:cs="黑体"/>
          <w:spacing w:val="-11"/>
        </w:rPr>
        <w:t>recognized as green and low-carbon industries</w:t>
      </w:r>
    </w:p>
    <w:p w14:paraId="70FCBCFE">
      <w:pPr>
        <w:pStyle w:val="25"/>
        <w:rPr>
          <w:rFonts w:ascii="Times New Roman"/>
        </w:rPr>
      </w:pPr>
      <w:r>
        <w:rPr>
          <w:rFonts w:hint="eastAsia" w:ascii="Times New Roman"/>
        </w:rPr>
        <w:t>属于相关政府职能部门发布的绿色低碳产</w:t>
      </w:r>
      <w:r>
        <w:rPr>
          <w:rFonts w:hint="eastAsia" w:hAnsi="宋体" w:cs="宋体"/>
        </w:rPr>
        <w:t>业（3.1）相关</w:t>
      </w:r>
      <w:r>
        <w:rPr>
          <w:rFonts w:hint="eastAsia" w:ascii="Times New Roman"/>
        </w:rPr>
        <w:t>指导目录所涵盖的产业类别，且通过绿色低碳产业认定的项目。</w:t>
      </w:r>
    </w:p>
    <w:p w14:paraId="2AEB3D75">
      <w:pPr>
        <w:pStyle w:val="45"/>
        <w:spacing w:before="0" w:beforeLines="0" w:after="0" w:afterLines="0"/>
        <w:rPr>
          <w:rFonts w:ascii="Times New Roman"/>
        </w:rPr>
      </w:pPr>
    </w:p>
    <w:p w14:paraId="1DA17B9C">
      <w:pPr>
        <w:pStyle w:val="25"/>
        <w:rPr>
          <w:rFonts w:ascii="Times New Roman" w:eastAsia="黑体"/>
        </w:rPr>
      </w:pPr>
      <w:r>
        <w:rPr>
          <w:rFonts w:hint="eastAsia" w:ascii="黑体" w:hAnsi="黑体" w:eastAsia="黑体" w:cs="黑体"/>
        </w:rPr>
        <w:t>绿色业务  green business</w:t>
      </w:r>
    </w:p>
    <w:p w14:paraId="570FDBCC">
      <w:pPr>
        <w:pStyle w:val="25"/>
        <w:rPr>
          <w:rFonts w:ascii="Times New Roman"/>
        </w:rPr>
      </w:pPr>
      <w:r>
        <w:rPr>
          <w:rFonts w:ascii="Times New Roman"/>
        </w:rPr>
        <w:t>提供</w:t>
      </w:r>
      <w:r>
        <w:rPr>
          <w:rFonts w:hint="eastAsia" w:ascii="Times New Roman"/>
        </w:rPr>
        <w:t>相关政府职能部门发布的绿色低碳产</w:t>
      </w:r>
      <w:r>
        <w:rPr>
          <w:rFonts w:hint="eastAsia" w:hAnsi="宋体" w:cs="宋体"/>
        </w:rPr>
        <w:t>业（3.1）相</w:t>
      </w:r>
      <w:r>
        <w:rPr>
          <w:rFonts w:hint="eastAsia" w:ascii="Times New Roman"/>
        </w:rPr>
        <w:t>关指导目录所涵盖的产业类别的</w:t>
      </w:r>
      <w:r>
        <w:rPr>
          <w:rFonts w:ascii="Times New Roman"/>
        </w:rPr>
        <w:t>产品或服务的经营活动。</w:t>
      </w:r>
    </w:p>
    <w:p w14:paraId="16700FEE">
      <w:pPr>
        <w:pStyle w:val="45"/>
        <w:spacing w:before="0" w:beforeLines="0" w:after="0" w:afterLines="0"/>
        <w:rPr>
          <w:rFonts w:ascii="Times New Roman"/>
        </w:rPr>
      </w:pPr>
    </w:p>
    <w:p w14:paraId="641FE9BC">
      <w:pPr>
        <w:kinsoku w:val="0"/>
        <w:overflowPunct w:val="0"/>
        <w:autoSpaceDE w:val="0"/>
        <w:autoSpaceDN w:val="0"/>
        <w:adjustRightInd w:val="0"/>
        <w:snapToGrid w:val="0"/>
        <w:spacing w:line="300" w:lineRule="auto"/>
        <w:ind w:firstLine="420" w:firstLineChars="200"/>
        <w:jc w:val="left"/>
        <w:textAlignment w:val="baseline"/>
        <w:rPr>
          <w:rFonts w:eastAsia="黑体"/>
        </w:rPr>
      </w:pPr>
      <w:r>
        <w:rPr>
          <w:rFonts w:hint="eastAsia" w:eastAsia="黑体"/>
        </w:rPr>
        <w:t xml:space="preserve">优质中小企业 </w:t>
      </w:r>
      <w:r>
        <w:rPr>
          <w:rFonts w:hint="eastAsia" w:ascii="黑体" w:hAnsi="黑体" w:eastAsia="黑体" w:cs="黑体"/>
        </w:rPr>
        <w:t xml:space="preserve"> h</w:t>
      </w:r>
      <w:r>
        <w:rPr>
          <w:rFonts w:ascii="黑体" w:hAnsi="黑体" w:eastAsia="黑体" w:cs="黑体"/>
        </w:rPr>
        <w:t>igh</w:t>
      </w:r>
      <w:r>
        <w:rPr>
          <w:rFonts w:hint="eastAsia" w:ascii="黑体" w:hAnsi="黑体" w:eastAsia="黑体" w:cs="黑体"/>
        </w:rPr>
        <w:t>-quality small and medium-sized enterprises</w:t>
      </w:r>
    </w:p>
    <w:p w14:paraId="3756CE0E">
      <w:pPr>
        <w:autoSpaceDE w:val="0"/>
        <w:autoSpaceDN w:val="0"/>
        <w:ind w:firstLine="420" w:firstLineChars="200"/>
      </w:pPr>
      <w:r>
        <w:rPr>
          <w:rFonts w:hint="eastAsia"/>
        </w:rPr>
        <w:t>在产品、技术、管理、模式等方面创新能力强、专注细分市场、成长性好的中小企业，由创新型中小企业、专精特新中小企业和专精特新“小巨人”企业三个层次组成。</w:t>
      </w:r>
    </w:p>
    <w:p w14:paraId="182BB320">
      <w:pPr>
        <w:widowControl/>
        <w:numPr>
          <w:ilvl w:val="255"/>
          <w:numId w:val="0"/>
        </w:numPr>
        <w:autoSpaceDE w:val="0"/>
        <w:autoSpaceDN w:val="0"/>
        <w:ind w:firstLine="420" w:firstLineChars="200"/>
        <w:rPr>
          <w:sz w:val="18"/>
          <w:szCs w:val="18"/>
        </w:rPr>
      </w:pPr>
      <w:r>
        <w:rPr>
          <w:rFonts w:hint="eastAsia" w:ascii="宋体" w:hAnsi="宋体" w:cs="宋体"/>
        </w:rPr>
        <w:t>[来源：DB4403/T 391—2023，3.5]</w:t>
      </w:r>
    </w:p>
    <w:p w14:paraId="5F838367">
      <w:pPr>
        <w:pStyle w:val="45"/>
        <w:spacing w:before="0" w:beforeLines="0" w:after="0" w:afterLines="0"/>
      </w:pPr>
    </w:p>
    <w:p w14:paraId="5354E9C6">
      <w:pPr>
        <w:pStyle w:val="45"/>
        <w:numPr>
          <w:ilvl w:val="255"/>
          <w:numId w:val="0"/>
        </w:numPr>
        <w:kinsoku w:val="0"/>
        <w:overflowPunct w:val="0"/>
        <w:autoSpaceDE w:val="0"/>
        <w:autoSpaceDN w:val="0"/>
        <w:adjustRightInd w:val="0"/>
        <w:snapToGrid w:val="0"/>
        <w:spacing w:before="0" w:beforeLines="0" w:after="0" w:afterLines="0" w:line="300" w:lineRule="auto"/>
        <w:ind w:firstLine="420" w:firstLineChars="200"/>
        <w:textAlignment w:val="baseline"/>
        <w:outlineLvl w:val="9"/>
      </w:pPr>
      <w:r>
        <w:rPr>
          <w:rFonts w:hint="eastAsia"/>
        </w:rPr>
        <w:t>智能电网建设运营产业  construction and operation of new energy storage systems</w:t>
      </w:r>
    </w:p>
    <w:p w14:paraId="7B992539">
      <w:pPr>
        <w:pStyle w:val="25"/>
        <w:rPr>
          <w:rFonts w:ascii="Times New Roman"/>
        </w:rPr>
      </w:pPr>
      <w:r>
        <w:rPr>
          <w:rFonts w:hint="eastAsia" w:ascii="Times New Roman"/>
        </w:rPr>
        <w:t>属于相关政府职能部门发布的绿色低碳产</w:t>
      </w:r>
      <w:r>
        <w:rPr>
          <w:rFonts w:hint="eastAsia" w:hAnsi="宋体" w:cs="宋体"/>
        </w:rPr>
        <w:t>业（3.1）相</w:t>
      </w:r>
      <w:r>
        <w:rPr>
          <w:rFonts w:hint="eastAsia" w:ascii="Times New Roman"/>
        </w:rPr>
        <w:t>关指导目录中“智能电网建设运营”</w:t>
      </w:r>
      <w:r>
        <w:rPr>
          <w:rFonts w:ascii="Times New Roman"/>
        </w:rPr>
        <w:t>列明的行业。</w:t>
      </w:r>
    </w:p>
    <w:p w14:paraId="3D35E2CF">
      <w:pPr>
        <w:pStyle w:val="48"/>
        <w:outlineLvl w:val="0"/>
        <w:rPr>
          <w:rFonts w:ascii="Times New Roman"/>
        </w:rPr>
      </w:pPr>
      <w:bookmarkStart w:id="96" w:name="_Toc52098628"/>
      <w:bookmarkEnd w:id="96"/>
      <w:bookmarkStart w:id="97" w:name="_Toc52098629"/>
      <w:bookmarkEnd w:id="97"/>
      <w:bookmarkStart w:id="98" w:name="_Toc102992453"/>
      <w:bookmarkEnd w:id="98"/>
      <w:bookmarkStart w:id="99" w:name="_Toc55807232"/>
      <w:bookmarkEnd w:id="99"/>
      <w:bookmarkStart w:id="100" w:name="_Toc55807233"/>
      <w:bookmarkEnd w:id="100"/>
      <w:bookmarkStart w:id="101" w:name="_Toc195040387"/>
      <w:bookmarkStart w:id="102" w:name="_Toc9956"/>
      <w:bookmarkStart w:id="103" w:name="_Toc21178"/>
      <w:bookmarkStart w:id="104" w:name="_Toc3404"/>
      <w:bookmarkStart w:id="105" w:name="_Toc118282039"/>
      <w:r>
        <w:rPr>
          <w:rFonts w:ascii="Times New Roman"/>
        </w:rPr>
        <w:t>评价</w:t>
      </w:r>
      <w:r>
        <w:rPr>
          <w:rFonts w:hint="eastAsia" w:ascii="Times New Roman"/>
        </w:rPr>
        <w:t>原则</w:t>
      </w:r>
      <w:bookmarkEnd w:id="101"/>
      <w:bookmarkEnd w:id="102"/>
      <w:bookmarkEnd w:id="103"/>
      <w:bookmarkEnd w:id="104"/>
      <w:bookmarkEnd w:id="105"/>
    </w:p>
    <w:p w14:paraId="574AF6A4">
      <w:pPr>
        <w:pStyle w:val="25"/>
        <w:rPr>
          <w:rFonts w:hAnsi="宋体" w:cs="宋体"/>
        </w:rPr>
      </w:pPr>
      <w:bookmarkStart w:id="106" w:name="_Toc52098632"/>
      <w:r>
        <w:rPr>
          <w:rFonts w:hint="eastAsia" w:hAnsi="宋体" w:cs="宋体"/>
        </w:rPr>
        <w:t>绿色低碳产业认定评价遵循以下原则：</w:t>
      </w:r>
    </w:p>
    <w:p w14:paraId="71E4CA71">
      <w:pPr>
        <w:pStyle w:val="25"/>
        <w:ind w:left="840" w:leftChars="200" w:hanging="420" w:hangingChars="200"/>
        <w:rPr>
          <w:rFonts w:hAnsi="宋体" w:cs="宋体"/>
        </w:rPr>
      </w:pPr>
      <w:r>
        <w:rPr>
          <w:rFonts w:hint="eastAsia" w:hAnsi="宋体" w:cs="宋体"/>
        </w:rPr>
        <w:t>——科学性。评价过程根据智能电网建设运营领域特点和各子行业差异性，采用科学的方法，全面、客观地评价企事业单位或项目的实际情况，给出评价结论；</w:t>
      </w:r>
    </w:p>
    <w:p w14:paraId="71373B39">
      <w:pPr>
        <w:pStyle w:val="25"/>
        <w:rPr>
          <w:rFonts w:hAnsi="宋体" w:cs="宋体"/>
        </w:rPr>
      </w:pPr>
      <w:r>
        <w:rPr>
          <w:rFonts w:hint="eastAsia" w:hAnsi="宋体" w:cs="宋体"/>
        </w:rPr>
        <w:t>——可验证性。详细记录评价材料、数据、文件等的获取途径、渠道，保留原始的测试数据、材</w:t>
      </w:r>
    </w:p>
    <w:p w14:paraId="6EE7E261">
      <w:pPr>
        <w:pStyle w:val="25"/>
        <w:ind w:firstLine="840" w:firstLineChars="400"/>
        <w:rPr>
          <w:rFonts w:ascii="Times New Roman"/>
        </w:rPr>
      </w:pPr>
      <w:r>
        <w:rPr>
          <w:rFonts w:hint="eastAsia" w:hAnsi="宋体" w:cs="宋体"/>
        </w:rPr>
        <w:t>料，保证数据、材料的可溯源性和可验证性；</w:t>
      </w:r>
    </w:p>
    <w:p w14:paraId="50E49A00">
      <w:pPr>
        <w:pStyle w:val="25"/>
        <w:ind w:left="840" w:leftChars="200" w:hanging="420" w:hangingChars="200"/>
        <w:rPr>
          <w:rFonts w:ascii="Times New Roman"/>
        </w:rPr>
      </w:pPr>
      <w:r>
        <w:rPr>
          <w:rFonts w:hint="eastAsia" w:hAnsi="宋体" w:cs="宋体"/>
        </w:rPr>
        <w:t>——审慎性。评价报告给出谨慎的评价意见，对于基础数据不全、信息不完整的企事业单位或项目，说明由于条件不具备无法给出评价结论。</w:t>
      </w:r>
    </w:p>
    <w:bookmarkEnd w:id="106"/>
    <w:p w14:paraId="6CF4C817">
      <w:pPr>
        <w:pStyle w:val="48"/>
        <w:outlineLvl w:val="0"/>
        <w:rPr>
          <w:rFonts w:ascii="Times New Roman"/>
        </w:rPr>
      </w:pPr>
      <w:bookmarkStart w:id="107" w:name="_Toc102992458"/>
      <w:bookmarkStart w:id="108" w:name="_Toc80690492"/>
      <w:bookmarkStart w:id="109" w:name="_Toc12328"/>
      <w:bookmarkStart w:id="110" w:name="_Toc195040388"/>
      <w:bookmarkStart w:id="111" w:name="_Toc118282042"/>
      <w:bookmarkStart w:id="112" w:name="_Toc13973"/>
      <w:bookmarkStart w:id="113" w:name="_Toc28979"/>
      <w:r>
        <w:rPr>
          <w:rFonts w:hint="eastAsia" w:ascii="Times New Roman"/>
        </w:rPr>
        <w:t>绿色低碳产业企业</w:t>
      </w:r>
      <w:r>
        <w:rPr>
          <w:rFonts w:ascii="Times New Roman"/>
        </w:rPr>
        <w:t>评价</w:t>
      </w:r>
      <w:bookmarkEnd w:id="107"/>
      <w:bookmarkEnd w:id="108"/>
      <w:bookmarkEnd w:id="109"/>
      <w:bookmarkEnd w:id="110"/>
      <w:bookmarkEnd w:id="111"/>
      <w:bookmarkEnd w:id="112"/>
      <w:bookmarkEnd w:id="113"/>
    </w:p>
    <w:p w14:paraId="05AD0F3F">
      <w:pPr>
        <w:pStyle w:val="45"/>
        <w:outlineLvl w:val="1"/>
        <w:rPr>
          <w:rFonts w:ascii="Times New Roman"/>
        </w:rPr>
      </w:pPr>
      <w:bookmarkStart w:id="114" w:name="_Toc102992460"/>
      <w:bookmarkStart w:id="115" w:name="_Toc118282043"/>
      <w:bookmarkStart w:id="116" w:name="_Toc416"/>
      <w:bookmarkStart w:id="117" w:name="_Toc27296"/>
      <w:bookmarkStart w:id="118" w:name="_Toc195040389"/>
      <w:bookmarkStart w:id="119" w:name="_Toc14533"/>
      <w:r>
        <w:rPr>
          <w:rFonts w:ascii="Times New Roman"/>
        </w:rPr>
        <w:t>符合性评价</w:t>
      </w:r>
      <w:bookmarkEnd w:id="114"/>
      <w:bookmarkEnd w:id="115"/>
      <w:bookmarkEnd w:id="116"/>
      <w:bookmarkEnd w:id="117"/>
      <w:bookmarkEnd w:id="118"/>
      <w:bookmarkEnd w:id="119"/>
    </w:p>
    <w:p w14:paraId="5B2EA526">
      <w:pPr>
        <w:pStyle w:val="49"/>
        <w:spacing w:before="156" w:after="156"/>
        <w:rPr>
          <w:rFonts w:ascii="Times New Roman"/>
        </w:rPr>
      </w:pPr>
      <w:r>
        <w:rPr>
          <w:rFonts w:ascii="Times New Roman"/>
        </w:rPr>
        <w:t>目录符合</w:t>
      </w:r>
    </w:p>
    <w:p w14:paraId="278284AA">
      <w:pPr>
        <w:ind w:firstLine="420" w:firstLineChars="200"/>
        <w:jc w:val="left"/>
        <w:rPr>
          <w:rFonts w:asciiTheme="minorEastAsia" w:hAnsiTheme="minorEastAsia" w:eastAsiaTheme="minorEastAsia"/>
        </w:rPr>
      </w:pPr>
      <w:bookmarkStart w:id="120" w:name="_Hlk195036309"/>
      <w:r>
        <w:rPr>
          <w:rFonts w:hint="eastAsia" w:asciiTheme="minorEastAsia" w:hAnsiTheme="minorEastAsia" w:eastAsiaTheme="minorEastAsia"/>
        </w:rPr>
        <w:t>申报认定评价的绿色业务属于</w:t>
      </w:r>
      <w:r>
        <w:rPr>
          <w:rFonts w:hint="eastAsia" w:cs="宋体" w:asciiTheme="minorEastAsia" w:hAnsiTheme="minorEastAsia" w:eastAsiaTheme="minorEastAsia"/>
        </w:rPr>
        <w:t>智能电网建设运营</w:t>
      </w:r>
      <w:r>
        <w:rPr>
          <w:rFonts w:hint="eastAsia" w:asciiTheme="minorEastAsia" w:hAnsiTheme="minorEastAsia" w:eastAsiaTheme="minorEastAsia"/>
        </w:rPr>
        <w:t>领域，且其</w:t>
      </w:r>
      <w:r>
        <w:rPr>
          <w:rFonts w:hint="eastAsia" w:cs="宋体" w:asciiTheme="minorEastAsia" w:hAnsiTheme="minorEastAsia" w:eastAsiaTheme="minorEastAsia"/>
        </w:rPr>
        <w:t>智能电网建设运营</w:t>
      </w:r>
      <w:r>
        <w:rPr>
          <w:rFonts w:hint="eastAsia" w:asciiTheme="minorEastAsia" w:hAnsiTheme="minorEastAsia" w:eastAsiaTheme="minorEastAsia"/>
        </w:rPr>
        <w:t>领域绿色业务占比达到50%及以上，或绿色业务规模达到1亿元；或在当地具备一定市场规模、经相关政府职能部门认可的相关行业。</w:t>
      </w:r>
    </w:p>
    <w:bookmarkEnd w:id="120"/>
    <w:p w14:paraId="552829C6">
      <w:pPr>
        <w:pStyle w:val="49"/>
        <w:spacing w:before="156" w:after="156"/>
        <w:rPr>
          <w:rFonts w:ascii="Times New Roman"/>
        </w:rPr>
      </w:pPr>
      <w:r>
        <w:rPr>
          <w:rFonts w:ascii="Times New Roman"/>
        </w:rPr>
        <w:t>技术符合</w:t>
      </w:r>
    </w:p>
    <w:p w14:paraId="00D77DBB">
      <w:pPr>
        <w:pStyle w:val="25"/>
        <w:rPr>
          <w:rFonts w:ascii="Times New Roman"/>
        </w:rPr>
      </w:pPr>
      <w:r>
        <w:rPr>
          <w:rFonts w:hint="eastAsia" w:hAnsi="宋体" w:cs="宋体"/>
        </w:rPr>
        <w:t>提供的产品或服务应符合国家、广东省及深圳市相关主管部门发布文件列明的有关设计、能效、性能、安全、贮存、回收、标识、验收、管理和运维等技术要求。</w:t>
      </w:r>
    </w:p>
    <w:p w14:paraId="65FF1884">
      <w:pPr>
        <w:pStyle w:val="45"/>
        <w:outlineLvl w:val="1"/>
        <w:rPr>
          <w:rFonts w:ascii="Times New Roman"/>
        </w:rPr>
      </w:pPr>
      <w:bookmarkStart w:id="121" w:name="_Toc82684150"/>
      <w:bookmarkEnd w:id="121"/>
      <w:bookmarkStart w:id="122" w:name="_Toc118282044"/>
      <w:bookmarkStart w:id="123" w:name="_Toc23925"/>
      <w:bookmarkStart w:id="124" w:name="_Toc27661"/>
      <w:bookmarkStart w:id="125" w:name="_Toc195040390"/>
      <w:bookmarkStart w:id="126" w:name="_Toc12569"/>
      <w:bookmarkStart w:id="127" w:name="_Toc102992461"/>
      <w:r>
        <w:rPr>
          <w:rFonts w:ascii="Times New Roman"/>
        </w:rPr>
        <w:t>综合评价</w:t>
      </w:r>
      <w:bookmarkEnd w:id="122"/>
      <w:bookmarkEnd w:id="123"/>
      <w:bookmarkEnd w:id="124"/>
      <w:bookmarkEnd w:id="125"/>
      <w:bookmarkEnd w:id="126"/>
      <w:bookmarkEnd w:id="127"/>
    </w:p>
    <w:p w14:paraId="065C78E4">
      <w:pPr>
        <w:pStyle w:val="49"/>
        <w:spacing w:before="156" w:after="156"/>
        <w:rPr>
          <w:rFonts w:ascii="Times New Roman"/>
        </w:rPr>
      </w:pPr>
      <w:r>
        <w:rPr>
          <w:rFonts w:ascii="Times New Roman"/>
        </w:rPr>
        <w:t>技术表现</w:t>
      </w:r>
    </w:p>
    <w:p w14:paraId="24968837">
      <w:pPr>
        <w:pStyle w:val="54"/>
        <w:numPr>
          <w:ilvl w:val="3"/>
          <w:numId w:val="2"/>
        </w:numPr>
        <w:spacing w:before="156" w:after="156"/>
        <w:rPr>
          <w:rFonts w:ascii="Times New Roman"/>
        </w:rPr>
      </w:pPr>
      <w:r>
        <w:rPr>
          <w:rFonts w:ascii="Times New Roman"/>
        </w:rPr>
        <w:t>先进性</w:t>
      </w:r>
    </w:p>
    <w:p w14:paraId="3DF46119">
      <w:pPr>
        <w:pStyle w:val="58"/>
        <w:spacing w:before="156" w:after="156"/>
        <w:rPr>
          <w:rFonts w:ascii="Times New Roman"/>
        </w:rPr>
      </w:pPr>
      <w:r>
        <w:rPr>
          <w:rFonts w:ascii="Times New Roman"/>
        </w:rPr>
        <w:t>有效知识产权</w:t>
      </w:r>
    </w:p>
    <w:p w14:paraId="633DE1FC">
      <w:pPr>
        <w:pStyle w:val="25"/>
        <w:rPr>
          <w:rFonts w:hAnsi="宋体" w:cs="宋体"/>
        </w:rPr>
      </w:pPr>
      <w:r>
        <w:rPr>
          <w:rFonts w:hint="eastAsia" w:asciiTheme="minorEastAsia" w:hAnsiTheme="minorEastAsia" w:eastAsiaTheme="minorEastAsia" w:cstheme="minorEastAsia"/>
        </w:rPr>
        <w:t>有效知识产权基于知识产权类别和知识产权获得形式采用加权法计算</w:t>
      </w:r>
      <w:r>
        <w:rPr>
          <w:rFonts w:hint="eastAsia" w:hAnsi="宋体" w:cs="宋体"/>
        </w:rPr>
        <w:t>，计算方法见公式（1），具体评分规则见表1。优质中小企业在实际得分基础上增加</w:t>
      </w:r>
      <w:r>
        <w:rPr>
          <w:rFonts w:hAnsi="宋体" w:cs="宋体"/>
        </w:rPr>
        <w:t>15%的得分，最高得分不超过</w:t>
      </w:r>
      <w:r>
        <w:rPr>
          <w:rFonts w:hint="eastAsia" w:hAnsi="宋体" w:cs="宋体"/>
        </w:rPr>
        <w:t>该项指标总</w:t>
      </w:r>
      <w:r>
        <w:rPr>
          <w:rFonts w:hAnsi="宋体" w:cs="宋体"/>
        </w:rPr>
        <w:t>分</w:t>
      </w:r>
      <w:r>
        <w:rPr>
          <w:rFonts w:hint="eastAsia" w:hAnsi="宋体" w:cs="宋体"/>
        </w:rPr>
        <w:t>。</w:t>
      </w:r>
    </w:p>
    <w:p w14:paraId="58135B95">
      <w:pPr>
        <w:pStyle w:val="25"/>
        <w:tabs>
          <w:tab w:val="center" w:leader="middleDot" w:pos="5040"/>
          <w:tab w:val="clear" w:pos="4201"/>
        </w:tabs>
        <w:autoSpaceDE/>
        <w:autoSpaceDN/>
        <w:spacing w:line="480" w:lineRule="auto"/>
        <w:ind w:firstLine="0" w:firstLineChars="0"/>
        <w:jc w:val="right"/>
        <w:rPr>
          <w:rFonts w:hAnsi="宋体" w:cs="宋体"/>
        </w:rPr>
      </w:pPr>
      <m:oMath>
        <w:bookmarkStart w:id="128" w:name="OLE_LINK1"/>
        <m:r>
          <m:rPr/>
          <w:rPr>
            <w:rFonts w:ascii="Cambria Math" w:hAnsi="Cambria Math" w:cs="宋体"/>
          </w:rPr>
          <m:t>N</m:t>
        </m:r>
        <m:r>
          <m:rPr/>
          <w:rPr>
            <w:rFonts w:hint="eastAsia" w:ascii="Cambria Math" w:hAnsi="Cambria Math" w:cs="宋体"/>
          </w:rPr>
          <m:t>=</m:t>
        </m:r>
        <m:nary>
          <m:naryPr>
            <m:chr m:val="∑"/>
            <m:limLoc m:val="undOvr"/>
            <m:ctrlPr>
              <w:rPr>
                <w:rFonts w:hint="eastAsia" w:ascii="Cambria Math" w:hAnsi="Cambria Math" w:cs="宋体"/>
                <w:i/>
                <w:iCs/>
              </w:rPr>
            </m:ctrlPr>
          </m:naryPr>
          <m:sub>
            <m:r>
              <m:rPr/>
              <w:rPr>
                <w:rFonts w:ascii="Cambria Math" w:hAnsi="Cambria Math" w:cs="宋体"/>
              </w:rPr>
              <m:t>i=1</m:t>
            </m:r>
            <m:ctrlPr>
              <w:rPr>
                <w:rFonts w:hint="eastAsia" w:ascii="Cambria Math" w:hAnsi="Cambria Math" w:cs="宋体"/>
                <w:i/>
                <w:iCs/>
              </w:rPr>
            </m:ctrlPr>
          </m:sub>
          <m:sup>
            <m:r>
              <m:rPr/>
              <w:rPr>
                <w:rFonts w:ascii="Cambria Math" w:hAnsi="Cambria Math" w:cs="宋体"/>
              </w:rPr>
              <m:t>n</m:t>
            </m:r>
            <m:ctrlPr>
              <w:rPr>
                <w:rFonts w:hint="eastAsia" w:ascii="Cambria Math" w:hAnsi="Cambria Math" w:cs="宋体"/>
                <w:i/>
                <w:iCs/>
              </w:rPr>
            </m:ctrlPr>
          </m:sup>
          <m:e>
            <m:sSub>
              <m:sSubPr>
                <m:ctrlPr>
                  <w:rPr>
                    <w:rFonts w:hint="eastAsia" w:ascii="Cambria Math" w:hAnsi="Cambria Math" w:cs="宋体"/>
                    <w:i/>
                    <w:iCs/>
                  </w:rPr>
                </m:ctrlPr>
              </m:sSubPr>
              <m:e>
                <m:r>
                  <m:rPr/>
                  <w:rPr>
                    <w:rFonts w:ascii="Cambria Math" w:hAnsi="Cambria Math" w:cs="宋体"/>
                  </w:rPr>
                  <m:t>T</m:t>
                </m:r>
                <m:ctrlPr>
                  <w:rPr>
                    <w:rFonts w:hint="eastAsia" w:ascii="Cambria Math" w:hAnsi="Cambria Math" w:cs="宋体"/>
                    <w:i/>
                    <w:iCs/>
                  </w:rPr>
                </m:ctrlPr>
              </m:e>
              <m:sub>
                <m:r>
                  <m:rPr/>
                  <w:rPr>
                    <w:rFonts w:ascii="Cambria Math" w:hAnsi="Cambria Math" w:cs="宋体"/>
                  </w:rPr>
                  <m:t>i</m:t>
                </m:r>
                <m:ctrlPr>
                  <w:rPr>
                    <w:rFonts w:hint="eastAsia" w:ascii="Cambria Math" w:hAnsi="Cambria Math" w:cs="宋体"/>
                    <w:i/>
                    <w:iCs/>
                  </w:rPr>
                </m:ctrlPr>
              </m:sub>
            </m:sSub>
            <m:r>
              <m:rPr/>
              <w:rPr>
                <w:rFonts w:hint="eastAsia" w:ascii="Cambria Math" w:hAnsi="Cambria Math" w:cs="宋体"/>
              </w:rPr>
              <m:t>×</m:t>
            </m:r>
            <m:sSub>
              <m:sSubPr>
                <m:ctrlPr>
                  <w:rPr>
                    <w:rFonts w:hint="eastAsia" w:ascii="Cambria Math" w:hAnsi="Cambria Math" w:cs="宋体"/>
                    <w:i/>
                    <w:iCs/>
                  </w:rPr>
                </m:ctrlPr>
              </m:sSubPr>
              <m:e>
                <m:r>
                  <m:rPr/>
                  <w:rPr>
                    <w:rFonts w:ascii="Cambria Math" w:hAnsi="Cambria Math" w:cs="宋体"/>
                  </w:rPr>
                  <m:t>G</m:t>
                </m:r>
                <m:ctrlPr>
                  <w:rPr>
                    <w:rFonts w:hint="eastAsia" w:ascii="Cambria Math" w:hAnsi="Cambria Math" w:cs="宋体"/>
                    <w:i/>
                    <w:iCs/>
                  </w:rPr>
                </m:ctrlPr>
              </m:e>
              <m:sub>
                <m:r>
                  <m:rPr/>
                  <w:rPr>
                    <w:rFonts w:ascii="Cambria Math" w:hAnsi="Cambria Math" w:cs="宋体"/>
                  </w:rPr>
                  <m:t>i</m:t>
                </m:r>
                <m:ctrlPr>
                  <w:rPr>
                    <w:rFonts w:hint="eastAsia" w:ascii="Cambria Math" w:hAnsi="Cambria Math" w:cs="宋体"/>
                    <w:i/>
                    <w:iCs/>
                  </w:rPr>
                </m:ctrlPr>
              </m:sub>
            </m:sSub>
            <m:ctrlPr>
              <w:rPr>
                <w:rFonts w:hint="eastAsia" w:ascii="Cambria Math" w:hAnsi="Cambria Math" w:cs="宋体"/>
                <w:i/>
                <w:iCs/>
              </w:rPr>
            </m:ctrlPr>
          </m:e>
        </m:nary>
      </m:oMath>
      <w:r>
        <w:rPr>
          <w:rFonts w:hint="eastAsia" w:ascii="Times New Roman" w:hAnsi="Cambria Math" w:cs="宋体"/>
          <w:kern w:val="2"/>
          <w:szCs w:val="21"/>
        </w:rPr>
        <w:tab/>
      </w:r>
      <w:r>
        <w:rPr>
          <w:rFonts w:hint="eastAsia" w:hAnsi="宋体" w:cs="宋体"/>
          <w:kern w:val="2"/>
          <w:szCs w:val="21"/>
        </w:rPr>
        <w:t>（1）</w:t>
      </w:r>
    </w:p>
    <w:p w14:paraId="79AD5790">
      <w:pPr>
        <w:pStyle w:val="25"/>
        <w:rPr>
          <w:rFonts w:hAnsi="宋体" w:cs="宋体"/>
        </w:rPr>
      </w:pPr>
      <w:r>
        <w:rPr>
          <w:rFonts w:hint="eastAsia" w:hAnsi="宋体" w:cs="宋体"/>
        </w:rPr>
        <w:t>式中：</w:t>
      </w:r>
    </w:p>
    <w:p w14:paraId="0A0539DC">
      <w:pPr>
        <w:pStyle w:val="25"/>
        <w:rPr>
          <w:rFonts w:hAnsi="宋体" w:cs="宋体"/>
        </w:rPr>
      </w:pPr>
      <m:oMath>
        <m:r>
          <m:rPr/>
          <w:rPr>
            <w:rFonts w:ascii="Cambria Math" w:hAnsi="Cambria Math" w:cs="宋体"/>
          </w:rPr>
          <m:t>N</m:t>
        </m:r>
      </m:oMath>
      <w:r>
        <w:rPr>
          <w:rFonts w:hint="eastAsia" w:hAnsi="Cambria Math" w:cs="宋体"/>
          <w:iCs/>
          <w:spacing w:val="-45"/>
        </w:rPr>
        <w:t xml:space="preserve"> </w:t>
      </w:r>
      <w:r>
        <w:rPr>
          <w:rFonts w:hint="eastAsia" w:hAnsi="宋体" w:cs="宋体"/>
        </w:rPr>
        <w:t>——有效知识产权数量；</w:t>
      </w:r>
    </w:p>
    <w:p w14:paraId="05895ADB">
      <w:pPr>
        <w:pStyle w:val="25"/>
        <w:rPr>
          <w:rFonts w:hAnsi="宋体" w:cs="宋体"/>
        </w:rPr>
      </w:pPr>
      <m:oMath>
        <m:sSub>
          <m:sSubPr>
            <m:ctrlPr>
              <w:rPr>
                <w:rFonts w:hint="eastAsia" w:ascii="Cambria Math" w:hAnsi="Cambria Math" w:cs="宋体"/>
                <w:i/>
                <w:iCs/>
              </w:rPr>
            </m:ctrlPr>
          </m:sSubPr>
          <m:e>
            <m:r>
              <m:rPr/>
              <w:rPr>
                <w:rFonts w:ascii="Cambria Math" w:hAnsi="Cambria Math" w:cs="宋体"/>
              </w:rPr>
              <m:t>T</m:t>
            </m:r>
            <m:ctrlPr>
              <w:rPr>
                <w:rFonts w:hint="eastAsia" w:ascii="Cambria Math" w:hAnsi="Cambria Math" w:cs="宋体"/>
                <w:i/>
                <w:iCs/>
              </w:rPr>
            </m:ctrlPr>
          </m:e>
          <m:sub>
            <m:r>
              <m:rPr/>
              <w:rPr>
                <w:rFonts w:ascii="Cambria Math" w:hAnsi="Cambria Math" w:cs="宋体"/>
              </w:rPr>
              <m:t>i</m:t>
            </m:r>
            <m:ctrlPr>
              <w:rPr>
                <w:rFonts w:hint="eastAsia" w:ascii="Cambria Math" w:hAnsi="Cambria Math" w:cs="宋体"/>
                <w:i/>
                <w:iCs/>
              </w:rPr>
            </m:ctrlPr>
          </m:sub>
        </m:sSub>
      </m:oMath>
      <w:r>
        <w:rPr>
          <w:rFonts w:hint="eastAsia" w:hAnsi="宋体" w:cs="宋体"/>
        </w:rPr>
        <w:t>——第i个知识产权类别折算系数；</w:t>
      </w:r>
    </w:p>
    <w:p w14:paraId="016F444D">
      <w:pPr>
        <w:pStyle w:val="25"/>
        <w:rPr>
          <w:rFonts w:hAnsi="宋体" w:cs="宋体"/>
        </w:rPr>
      </w:pPr>
      <m:oMath>
        <m:sSub>
          <m:sSubPr>
            <m:ctrlPr>
              <w:rPr>
                <w:rFonts w:hint="eastAsia" w:ascii="Cambria Math" w:hAnsi="Cambria Math" w:cs="宋体"/>
                <w:i/>
                <w:iCs/>
              </w:rPr>
            </m:ctrlPr>
          </m:sSubPr>
          <m:e>
            <m:r>
              <m:rPr/>
              <w:rPr>
                <w:rFonts w:ascii="Cambria Math" w:hAnsi="Cambria Math" w:cs="宋体"/>
              </w:rPr>
              <m:t>G</m:t>
            </m:r>
            <m:ctrlPr>
              <w:rPr>
                <w:rFonts w:hint="eastAsia" w:ascii="Cambria Math" w:hAnsi="Cambria Math" w:cs="宋体"/>
                <w:i/>
                <w:iCs/>
              </w:rPr>
            </m:ctrlPr>
          </m:e>
          <m:sub>
            <m:r>
              <m:rPr/>
              <w:rPr>
                <w:rFonts w:ascii="Cambria Math" w:hAnsi="Cambria Math" w:cs="宋体"/>
              </w:rPr>
              <m:t>i</m:t>
            </m:r>
            <m:ctrlPr>
              <w:rPr>
                <w:rFonts w:hint="eastAsia" w:ascii="Cambria Math" w:hAnsi="Cambria Math" w:cs="宋体"/>
                <w:i/>
                <w:iCs/>
              </w:rPr>
            </m:ctrlPr>
          </m:sub>
        </m:sSub>
      </m:oMath>
      <w:r>
        <w:rPr>
          <w:rFonts w:hint="eastAsia" w:hAnsi="宋体" w:cs="宋体"/>
        </w:rPr>
        <w:t>——第i个知识产权获得形式折算系数。</w:t>
      </w:r>
    </w:p>
    <w:p w14:paraId="249BEF0D">
      <w:pPr>
        <w:pStyle w:val="61"/>
        <w:numPr>
          <w:ilvl w:val="0"/>
          <w:numId w:val="19"/>
        </w:numPr>
        <w:tabs>
          <w:tab w:val="left" w:pos="840"/>
        </w:tabs>
        <w:ind w:left="811"/>
        <w:rPr>
          <w:rFonts w:hAnsi="宋体" w:cs="宋体"/>
        </w:rPr>
      </w:pPr>
      <w:r>
        <w:rPr>
          <w:rFonts w:hint="eastAsia"/>
        </w:rPr>
        <w:t>有效知识产权是在</w:t>
      </w:r>
      <w:r>
        <w:rPr>
          <w:rFonts w:hint="eastAsia" w:hAnsi="宋体" w:cs="宋体"/>
        </w:rPr>
        <w:t>智能电网建设运营</w:t>
      </w:r>
      <w:r>
        <w:rPr>
          <w:rFonts w:hint="eastAsia"/>
        </w:rPr>
        <w:t>领域，通过自主研发、受让、受赠、并购等方式，获得在有效期内的发明专利、实用新型、非简单改变产品图案和形状的外观设计、软件著作权。</w:t>
      </w:r>
    </w:p>
    <w:p w14:paraId="0D2E9E98">
      <w:pPr>
        <w:pStyle w:val="61"/>
        <w:numPr>
          <w:ilvl w:val="0"/>
          <w:numId w:val="19"/>
        </w:numPr>
        <w:tabs>
          <w:tab w:val="left" w:pos="840"/>
        </w:tabs>
        <w:ind w:left="811"/>
        <w:rPr>
          <w:rFonts w:hAnsi="宋体" w:cs="宋体"/>
        </w:rPr>
      </w:pPr>
      <w:r>
        <w:rPr>
          <w:rFonts w:hint="eastAsia" w:hAnsi="宋体" w:cs="宋体"/>
        </w:rPr>
        <w:t>知识产权类别以发明专利为折算基数，实用新型专利按折算系数为0.</w:t>
      </w:r>
      <w:r>
        <w:rPr>
          <w:rFonts w:hAnsi="宋体" w:cs="宋体"/>
        </w:rPr>
        <w:t>5</w:t>
      </w:r>
      <w:r>
        <w:rPr>
          <w:rFonts w:hint="eastAsia" w:hAnsi="宋体" w:cs="宋体"/>
        </w:rPr>
        <w:t>，软件著作权、外观设计专利折算系数为0.</w:t>
      </w:r>
      <w:r>
        <w:rPr>
          <w:rFonts w:hAnsi="宋体" w:cs="宋体"/>
        </w:rPr>
        <w:t>2</w:t>
      </w:r>
      <w:r>
        <w:rPr>
          <w:rFonts w:hint="eastAsia" w:hAnsi="宋体" w:cs="宋体"/>
        </w:rPr>
        <w:t>。</w:t>
      </w:r>
    </w:p>
    <w:p w14:paraId="5086D62B">
      <w:pPr>
        <w:pStyle w:val="61"/>
        <w:numPr>
          <w:ilvl w:val="0"/>
          <w:numId w:val="19"/>
        </w:numPr>
        <w:tabs>
          <w:tab w:val="left" w:pos="840"/>
        </w:tabs>
        <w:ind w:left="811"/>
      </w:pPr>
      <w:r>
        <w:rPr>
          <w:rFonts w:hint="eastAsia" w:hAnsi="宋体" w:cs="宋体"/>
        </w:rPr>
        <w:t>知识产权获得形式以自主研发为折算基数，通过受让、受赠、并购方式获取其所有权的折算系数为0.5。</w:t>
      </w:r>
    </w:p>
    <w:bookmarkEnd w:id="128"/>
    <w:p w14:paraId="5FD30081">
      <w:pPr>
        <w:pStyle w:val="129"/>
        <w:rPr>
          <w:rFonts w:ascii="Times New Roman"/>
        </w:rPr>
      </w:pPr>
      <w:r>
        <w:rPr>
          <w:rFonts w:ascii="Times New Roman"/>
        </w:rPr>
        <w:t>有效知识产权评分规则</w:t>
      </w:r>
    </w:p>
    <w:tbl>
      <w:tblPr>
        <w:tblStyle w:val="35"/>
        <w:tblW w:w="9570" w:type="dxa"/>
        <w:jc w:val="center"/>
        <w:tblBorders>
          <w:top w:val="single" w:color="auto" w:sz="12" w:space="0"/>
          <w:left w:val="single" w:color="auto" w:sz="12" w:space="0"/>
          <w:bottom w:val="single" w:color="auto" w:sz="12" w:space="0"/>
          <w:right w:val="single" w:color="auto" w:sz="12" w:space="0"/>
          <w:insideH w:val="single" w:color="000000" w:sz="12" w:space="0"/>
          <w:insideV w:val="single" w:color="000000" w:sz="8" w:space="0"/>
        </w:tblBorders>
        <w:tblLayout w:type="fixed"/>
        <w:tblCellMar>
          <w:top w:w="0" w:type="dxa"/>
          <w:left w:w="108" w:type="dxa"/>
          <w:bottom w:w="0" w:type="dxa"/>
          <w:right w:w="108" w:type="dxa"/>
        </w:tblCellMar>
      </w:tblPr>
      <w:tblGrid>
        <w:gridCol w:w="4980"/>
        <w:gridCol w:w="4590"/>
      </w:tblGrid>
      <w:tr w14:paraId="67AFF5BA">
        <w:tblPrEx>
          <w:tblBorders>
            <w:top w:val="single" w:color="auto" w:sz="12" w:space="0"/>
            <w:left w:val="single" w:color="auto" w:sz="12" w:space="0"/>
            <w:bottom w:val="single" w:color="auto" w:sz="12" w:space="0"/>
            <w:right w:val="single" w:color="auto" w:sz="12" w:space="0"/>
            <w:insideH w:val="single" w:color="000000" w:sz="12" w:space="0"/>
            <w:insideV w:val="single" w:color="000000" w:sz="8" w:space="0"/>
          </w:tblBorders>
          <w:tblCellMar>
            <w:top w:w="0" w:type="dxa"/>
            <w:left w:w="108" w:type="dxa"/>
            <w:bottom w:w="0" w:type="dxa"/>
            <w:right w:w="108" w:type="dxa"/>
          </w:tblCellMar>
        </w:tblPrEx>
        <w:trPr>
          <w:trHeight w:val="283" w:hRule="atLeast"/>
          <w:jc w:val="center"/>
        </w:trPr>
        <w:tc>
          <w:tcPr>
            <w:tcW w:w="4980" w:type="dxa"/>
            <w:vAlign w:val="center"/>
          </w:tcPr>
          <w:p w14:paraId="3CC744F5">
            <w:pPr>
              <w:pStyle w:val="25"/>
              <w:ind w:firstLine="0" w:firstLineChars="0"/>
              <w:jc w:val="center"/>
              <w:rPr>
                <w:rFonts w:ascii="Times New Roman"/>
                <w:b/>
                <w:bCs/>
                <w:sz w:val="18"/>
                <w:szCs w:val="16"/>
              </w:rPr>
            </w:pPr>
            <w:r>
              <w:rPr>
                <w:rFonts w:hint="eastAsia" w:ascii="Times New Roman"/>
                <w:b/>
                <w:bCs/>
                <w:sz w:val="18"/>
                <w:szCs w:val="16"/>
              </w:rPr>
              <w:t>评分规则</w:t>
            </w:r>
          </w:p>
        </w:tc>
        <w:tc>
          <w:tcPr>
            <w:tcW w:w="4590" w:type="dxa"/>
            <w:vAlign w:val="center"/>
          </w:tcPr>
          <w:p w14:paraId="43AD3AA7">
            <w:pPr>
              <w:pStyle w:val="25"/>
              <w:ind w:firstLine="0" w:firstLineChars="0"/>
              <w:jc w:val="center"/>
              <w:rPr>
                <w:rFonts w:ascii="Times New Roman"/>
                <w:b/>
                <w:bCs/>
                <w:sz w:val="18"/>
                <w:szCs w:val="16"/>
              </w:rPr>
            </w:pPr>
            <w:r>
              <w:rPr>
                <w:rFonts w:ascii="Times New Roman"/>
                <w:b/>
                <w:bCs/>
                <w:sz w:val="18"/>
                <w:szCs w:val="16"/>
              </w:rPr>
              <w:t>分值</w:t>
            </w:r>
            <w:r>
              <w:rPr>
                <w:rFonts w:hint="eastAsia" w:ascii="Times New Roman"/>
                <w:b/>
                <w:bCs/>
                <w:sz w:val="18"/>
                <w:szCs w:val="16"/>
              </w:rPr>
              <w:t>（分）</w:t>
            </w:r>
          </w:p>
        </w:tc>
      </w:tr>
      <w:tr w14:paraId="590A00DB">
        <w:tblPrEx>
          <w:tblBorders>
            <w:top w:val="single" w:color="auto" w:sz="12" w:space="0"/>
            <w:left w:val="single" w:color="auto" w:sz="12" w:space="0"/>
            <w:bottom w:val="single" w:color="auto" w:sz="12" w:space="0"/>
            <w:right w:val="single" w:color="auto" w:sz="12" w:space="0"/>
            <w:insideH w:val="single" w:color="000000" w:sz="12" w:space="0"/>
            <w:insideV w:val="single" w:color="000000" w:sz="8" w:space="0"/>
          </w:tblBorders>
          <w:tblCellMar>
            <w:top w:w="0" w:type="dxa"/>
            <w:left w:w="108" w:type="dxa"/>
            <w:bottom w:w="0" w:type="dxa"/>
            <w:right w:w="108" w:type="dxa"/>
          </w:tblCellMar>
        </w:tblPrEx>
        <w:trPr>
          <w:trHeight w:val="283" w:hRule="atLeast"/>
          <w:jc w:val="center"/>
        </w:trPr>
        <w:tc>
          <w:tcPr>
            <w:tcW w:w="4980" w:type="dxa"/>
            <w:vAlign w:val="center"/>
          </w:tcPr>
          <w:p w14:paraId="6472D156">
            <w:pPr>
              <w:pStyle w:val="25"/>
              <w:ind w:firstLine="0" w:firstLineChars="0"/>
              <w:jc w:val="center"/>
              <w:rPr>
                <w:rFonts w:hAnsi="宋体" w:cs="宋体"/>
                <w:sz w:val="18"/>
                <w:szCs w:val="16"/>
              </w:rPr>
            </w:pPr>
            <w:r>
              <w:rPr>
                <w:rFonts w:hint="eastAsia" w:hAnsi="宋体" w:cs="宋体"/>
                <w:sz w:val="18"/>
                <w:szCs w:val="16"/>
              </w:rPr>
              <w:t>加权法计算后有效知识产权数量乘以0.</w:t>
            </w:r>
            <w:r>
              <w:rPr>
                <w:rFonts w:hAnsi="宋体" w:cs="宋体"/>
                <w:sz w:val="18"/>
                <w:szCs w:val="16"/>
              </w:rPr>
              <w:t>1</w:t>
            </w:r>
            <w:r>
              <w:rPr>
                <w:rFonts w:hint="eastAsia" w:hAnsi="宋体" w:cs="宋体"/>
                <w:sz w:val="18"/>
                <w:szCs w:val="16"/>
              </w:rPr>
              <w:t>分</w:t>
            </w:r>
          </w:p>
        </w:tc>
        <w:tc>
          <w:tcPr>
            <w:tcW w:w="4590" w:type="dxa"/>
            <w:vAlign w:val="center"/>
          </w:tcPr>
          <w:p w14:paraId="23D5B83F">
            <w:pPr>
              <w:pStyle w:val="25"/>
              <w:ind w:firstLine="0" w:firstLineChars="0"/>
              <w:jc w:val="center"/>
              <w:rPr>
                <w:rFonts w:hAnsi="宋体" w:cs="宋体"/>
                <w:sz w:val="18"/>
                <w:szCs w:val="16"/>
              </w:rPr>
            </w:pPr>
            <w:r>
              <w:rPr>
                <w:rFonts w:hint="eastAsia" w:hAnsi="宋体" w:cs="宋体"/>
                <w:sz w:val="18"/>
                <w:szCs w:val="16"/>
              </w:rPr>
              <w:t>5</w:t>
            </w:r>
          </w:p>
        </w:tc>
      </w:tr>
    </w:tbl>
    <w:p w14:paraId="1C7DC36D">
      <w:pPr>
        <w:pStyle w:val="58"/>
        <w:spacing w:before="156" w:after="156"/>
        <w:rPr>
          <w:rFonts w:ascii="Times New Roman"/>
        </w:rPr>
      </w:pPr>
      <w:r>
        <w:rPr>
          <w:rFonts w:ascii="Times New Roman"/>
        </w:rPr>
        <w:t>制修订标准</w:t>
      </w:r>
    </w:p>
    <w:p w14:paraId="1FBEFECC">
      <w:pPr>
        <w:pStyle w:val="25"/>
        <w:rPr>
          <w:rFonts w:hAnsi="宋体" w:cs="宋体"/>
        </w:rPr>
      </w:pPr>
      <w:r>
        <w:rPr>
          <w:rFonts w:hint="eastAsia" w:hAnsi="宋体" w:cs="宋体"/>
        </w:rPr>
        <w:t>制修订标准数量基于标准类别、标准编制形式和标准制修订参与程度采用加权法计算，计算方法见公式（2），具体评分规则见表2。优质中小企业在实际得分基础上增加15%的得分，</w:t>
      </w:r>
      <w:r>
        <w:rPr>
          <w:rFonts w:hAnsi="宋体" w:cs="宋体"/>
        </w:rPr>
        <w:t>最高得分不超过</w:t>
      </w:r>
      <w:r>
        <w:rPr>
          <w:rFonts w:hint="eastAsia" w:hAnsi="宋体" w:cs="宋体"/>
        </w:rPr>
        <w:t>该项指标总</w:t>
      </w:r>
      <w:r>
        <w:rPr>
          <w:rFonts w:hAnsi="宋体" w:cs="宋体"/>
        </w:rPr>
        <w:t>分</w:t>
      </w:r>
      <w:r>
        <w:rPr>
          <w:rFonts w:hint="eastAsia" w:hAnsi="宋体" w:cs="宋体"/>
        </w:rPr>
        <w:t>。</w:t>
      </w:r>
    </w:p>
    <w:p w14:paraId="7D41958C">
      <w:pPr>
        <w:pStyle w:val="25"/>
        <w:tabs>
          <w:tab w:val="left" w:leader="middleDot" w:pos="5260"/>
          <w:tab w:val="right" w:leader="middleDot" w:pos="9298"/>
          <w:tab w:val="clear" w:pos="4201"/>
        </w:tabs>
        <w:spacing w:line="480" w:lineRule="auto"/>
        <w:jc w:val="right"/>
        <w:rPr>
          <w:rFonts w:hAnsi="宋体" w:cs="宋体"/>
        </w:rPr>
      </w:pPr>
      <m:oMath>
        <m:r>
          <m:rPr/>
          <w:rPr>
            <w:rFonts w:ascii="Cambria Math" w:hAnsi="Cambria Math" w:cs="宋体"/>
          </w:rPr>
          <m:t>N=</m:t>
        </m:r>
        <m:nary>
          <m:naryPr>
            <m:chr m:val="∑"/>
            <m:limLoc m:val="undOvr"/>
            <m:ctrlPr>
              <w:rPr>
                <w:rFonts w:hint="eastAsia" w:ascii="Cambria Math" w:hAnsi="Cambria Math" w:cs="宋体"/>
                <w:i/>
                <w:iCs/>
              </w:rPr>
            </m:ctrlPr>
          </m:naryPr>
          <m:sub>
            <m:r>
              <m:rPr/>
              <w:rPr>
                <w:rFonts w:ascii="Cambria Math" w:hAnsi="Cambria Math" w:cs="宋体"/>
              </w:rPr>
              <m:t>i=1</m:t>
            </m:r>
            <m:ctrlPr>
              <w:rPr>
                <w:rFonts w:hint="eastAsia" w:ascii="Cambria Math" w:hAnsi="Cambria Math" w:cs="宋体"/>
                <w:i/>
                <w:iCs/>
              </w:rPr>
            </m:ctrlPr>
          </m:sub>
          <m:sup>
            <m:r>
              <m:rPr/>
              <w:rPr>
                <w:rFonts w:ascii="Cambria Math" w:hAnsi="Cambria Math" w:cs="宋体"/>
              </w:rPr>
              <m:t>n</m:t>
            </m:r>
            <m:ctrlPr>
              <w:rPr>
                <w:rFonts w:hint="eastAsia" w:ascii="Cambria Math" w:hAnsi="Cambria Math" w:cs="宋体"/>
                <w:i/>
                <w:iCs/>
              </w:rPr>
            </m:ctrlPr>
          </m:sup>
          <m:e>
            <m:sSub>
              <m:sSubPr>
                <m:ctrlPr>
                  <w:rPr>
                    <w:rFonts w:hint="eastAsia" w:ascii="Cambria Math" w:hAnsi="Cambria Math" w:cs="宋体"/>
                    <w:i/>
                    <w:iCs/>
                  </w:rPr>
                </m:ctrlPr>
              </m:sSubPr>
              <m:e>
                <m:r>
                  <m:rPr/>
                  <w:rPr>
                    <w:rFonts w:ascii="Cambria Math" w:hAnsi="Cambria Math" w:cs="宋体"/>
                  </w:rPr>
                  <m:t>F</m:t>
                </m:r>
                <m:ctrlPr>
                  <w:rPr>
                    <w:rFonts w:hint="eastAsia" w:ascii="Cambria Math" w:hAnsi="Cambria Math" w:cs="宋体"/>
                    <w:i/>
                    <w:iCs/>
                  </w:rPr>
                </m:ctrlPr>
              </m:e>
              <m:sub>
                <m:r>
                  <m:rPr/>
                  <w:rPr>
                    <w:rFonts w:ascii="Cambria Math" w:hAnsi="Cambria Math" w:cs="宋体"/>
                  </w:rPr>
                  <m:t>i</m:t>
                </m:r>
                <m:ctrlPr>
                  <w:rPr>
                    <w:rFonts w:hint="eastAsia" w:ascii="Cambria Math" w:hAnsi="Cambria Math" w:cs="宋体"/>
                    <w:i/>
                    <w:iCs/>
                  </w:rPr>
                </m:ctrlPr>
              </m:sub>
            </m:sSub>
            <m:r>
              <m:rPr/>
              <w:rPr>
                <w:rFonts w:hint="eastAsia" w:ascii="Cambria Math" w:hAnsi="Cambria Math" w:cs="宋体"/>
              </w:rPr>
              <m:t>×</m:t>
            </m:r>
            <m:sSub>
              <m:sSubPr>
                <m:ctrlPr>
                  <w:rPr>
                    <w:rFonts w:hint="eastAsia" w:ascii="Cambria Math" w:hAnsi="Cambria Math" w:cs="宋体"/>
                    <w:i/>
                    <w:iCs/>
                  </w:rPr>
                </m:ctrlPr>
              </m:sSubPr>
              <m:e>
                <m:r>
                  <m:rPr/>
                  <w:rPr>
                    <w:rFonts w:ascii="Cambria Math" w:hAnsi="Cambria Math" w:cs="宋体"/>
                  </w:rPr>
                  <m:t>D</m:t>
                </m:r>
                <m:ctrlPr>
                  <w:rPr>
                    <w:rFonts w:hint="eastAsia" w:ascii="Cambria Math" w:hAnsi="Cambria Math" w:cs="宋体"/>
                    <w:i/>
                    <w:iCs/>
                  </w:rPr>
                </m:ctrlPr>
              </m:e>
              <m:sub>
                <m:r>
                  <m:rPr/>
                  <w:rPr>
                    <w:rFonts w:ascii="Cambria Math" w:hAnsi="Cambria Math" w:cs="宋体"/>
                  </w:rPr>
                  <m:t>i</m:t>
                </m:r>
                <m:ctrlPr>
                  <w:rPr>
                    <w:rFonts w:hint="eastAsia" w:ascii="Cambria Math" w:hAnsi="Cambria Math" w:cs="宋体"/>
                    <w:i/>
                    <w:iCs/>
                  </w:rPr>
                </m:ctrlPr>
              </m:sub>
            </m:sSub>
            <m:r>
              <m:rPr/>
              <w:rPr>
                <w:rFonts w:hint="eastAsia" w:ascii="Cambria Math" w:hAnsi="Cambria Math" w:cs="宋体"/>
              </w:rPr>
              <m:t>×</m:t>
            </m:r>
            <m:sSub>
              <m:sSubPr>
                <m:ctrlPr>
                  <w:rPr>
                    <w:rFonts w:hint="eastAsia" w:ascii="Cambria Math" w:hAnsi="Cambria Math" w:cs="宋体"/>
                    <w:i/>
                    <w:iCs/>
                  </w:rPr>
                </m:ctrlPr>
              </m:sSubPr>
              <m:e>
                <m:r>
                  <m:rPr/>
                  <w:rPr>
                    <w:rFonts w:ascii="Cambria Math" w:hAnsi="Cambria Math" w:cs="宋体"/>
                  </w:rPr>
                  <m:t>T</m:t>
                </m:r>
                <m:ctrlPr>
                  <w:rPr>
                    <w:rFonts w:hint="eastAsia" w:ascii="Cambria Math" w:hAnsi="Cambria Math" w:cs="宋体"/>
                    <w:i/>
                    <w:iCs/>
                  </w:rPr>
                </m:ctrlPr>
              </m:e>
              <m:sub>
                <m:r>
                  <m:rPr/>
                  <w:rPr>
                    <w:rFonts w:ascii="Cambria Math" w:hAnsi="Cambria Math" w:cs="宋体"/>
                  </w:rPr>
                  <m:t>i</m:t>
                </m:r>
                <m:ctrlPr>
                  <w:rPr>
                    <w:rFonts w:hint="eastAsia" w:ascii="Cambria Math" w:hAnsi="Cambria Math" w:cs="宋体"/>
                    <w:i/>
                    <w:iCs/>
                  </w:rPr>
                </m:ctrlPr>
              </m:sub>
            </m:sSub>
            <m:ctrlPr>
              <w:rPr>
                <w:rFonts w:hint="eastAsia" w:ascii="Cambria Math" w:hAnsi="Cambria Math" w:cs="宋体"/>
                <w:i/>
                <w:iCs/>
              </w:rPr>
            </m:ctrlPr>
          </m:e>
        </m:nary>
      </m:oMath>
      <w:r>
        <w:rPr>
          <w:rFonts w:hint="eastAsia" w:ascii="Times New Roman" w:hAnsi="Cambria Math" w:cs="宋体"/>
          <w:kern w:val="2"/>
          <w:szCs w:val="21"/>
        </w:rPr>
        <w:tab/>
      </w:r>
      <w:r>
        <w:rPr>
          <w:rFonts w:hint="eastAsia" w:hAnsi="宋体" w:cs="宋体"/>
          <w:szCs w:val="21"/>
        </w:rPr>
        <w:t>（2）</w:t>
      </w:r>
    </w:p>
    <w:p w14:paraId="581319F6">
      <w:pPr>
        <w:pStyle w:val="25"/>
        <w:rPr>
          <w:rFonts w:hAnsi="宋体" w:cs="宋体"/>
        </w:rPr>
      </w:pPr>
      <w:r>
        <w:rPr>
          <w:rFonts w:hint="eastAsia" w:hAnsi="宋体" w:cs="宋体"/>
        </w:rPr>
        <w:t>式中：</w:t>
      </w:r>
    </w:p>
    <w:p w14:paraId="6FD7E72E">
      <w:pPr>
        <w:pStyle w:val="25"/>
        <w:rPr>
          <w:rFonts w:hAnsi="宋体" w:cs="宋体"/>
        </w:rPr>
      </w:pPr>
      <m:oMath>
        <m:r>
          <m:rPr/>
          <w:rPr>
            <w:rFonts w:ascii="Cambria Math" w:hAnsi="Cambria Math" w:cs="宋体"/>
          </w:rPr>
          <m:t>N</m:t>
        </m:r>
      </m:oMath>
      <w:r>
        <w:rPr>
          <w:rFonts w:hint="eastAsia" w:hAnsi="Cambria Math" w:cs="宋体"/>
          <w:iCs/>
          <w:spacing w:val="-28"/>
        </w:rPr>
        <w:t xml:space="preserve"> </w:t>
      </w:r>
      <w:r>
        <w:rPr>
          <w:rFonts w:hint="eastAsia" w:hAnsi="宋体" w:cs="宋体"/>
        </w:rPr>
        <w:t>——制修订标准数量；</w:t>
      </w:r>
    </w:p>
    <w:p w14:paraId="48CCB05E">
      <w:pPr>
        <w:pStyle w:val="25"/>
        <w:rPr>
          <w:rFonts w:hAnsi="宋体" w:cs="宋体"/>
        </w:rPr>
      </w:pPr>
      <m:oMath>
        <m:sSub>
          <m:sSubPr>
            <m:ctrlPr>
              <w:rPr>
                <w:rFonts w:hint="eastAsia" w:ascii="Cambria Math" w:hAnsi="Cambria Math" w:cs="宋体"/>
                <w:i/>
                <w:iCs/>
              </w:rPr>
            </m:ctrlPr>
          </m:sSubPr>
          <m:e>
            <m:r>
              <m:rPr/>
              <w:rPr>
                <w:rFonts w:ascii="Cambria Math" w:hAnsi="Cambria Math" w:cs="宋体"/>
              </w:rPr>
              <m:t>F</m:t>
            </m:r>
            <m:ctrlPr>
              <w:rPr>
                <w:rFonts w:hint="eastAsia" w:ascii="Cambria Math" w:hAnsi="Cambria Math" w:cs="宋体"/>
                <w:i/>
                <w:iCs/>
              </w:rPr>
            </m:ctrlPr>
          </m:e>
          <m:sub>
            <m:r>
              <m:rPr/>
              <w:rPr>
                <w:rFonts w:ascii="Cambria Math" w:hAnsi="Cambria Math" w:cs="宋体"/>
              </w:rPr>
              <m:t>i</m:t>
            </m:r>
            <m:ctrlPr>
              <w:rPr>
                <w:rFonts w:hint="eastAsia" w:ascii="Cambria Math" w:hAnsi="Cambria Math" w:cs="宋体"/>
                <w:i/>
                <w:iCs/>
              </w:rPr>
            </m:ctrlPr>
          </m:sub>
        </m:sSub>
      </m:oMath>
      <w:r>
        <w:rPr>
          <w:rFonts w:hint="eastAsia" w:hAnsi="Cambria Math" w:cs="宋体"/>
          <w:iCs/>
          <w:spacing w:val="-45"/>
        </w:rPr>
        <w:t xml:space="preserve"> </w:t>
      </w:r>
      <w:r>
        <w:rPr>
          <w:rFonts w:hint="eastAsia" w:hAnsi="宋体" w:cs="宋体"/>
        </w:rPr>
        <w:t>——第i个标准的编制形式折算系数；</w:t>
      </w:r>
    </w:p>
    <w:p w14:paraId="6F96EC46">
      <w:pPr>
        <w:pStyle w:val="25"/>
        <w:rPr>
          <w:rFonts w:hAnsi="宋体" w:cs="宋体"/>
        </w:rPr>
      </w:pPr>
      <m:oMath>
        <m:sSub>
          <m:sSubPr>
            <m:ctrlPr>
              <w:rPr>
                <w:rFonts w:hint="eastAsia" w:ascii="Cambria Math" w:hAnsi="Cambria Math" w:cs="宋体"/>
                <w:i/>
                <w:iCs/>
              </w:rPr>
            </m:ctrlPr>
          </m:sSubPr>
          <m:e>
            <m:r>
              <m:rPr/>
              <w:rPr>
                <w:rFonts w:ascii="Cambria Math" w:hAnsi="Cambria Math" w:cs="宋体"/>
              </w:rPr>
              <m:t>D</m:t>
            </m:r>
            <m:ctrlPr>
              <w:rPr>
                <w:rFonts w:hint="eastAsia" w:ascii="Cambria Math" w:hAnsi="Cambria Math" w:cs="宋体"/>
                <w:i/>
                <w:iCs/>
              </w:rPr>
            </m:ctrlPr>
          </m:e>
          <m:sub>
            <m:r>
              <m:rPr/>
              <w:rPr>
                <w:rFonts w:ascii="Cambria Math" w:hAnsi="Cambria Math" w:cs="宋体"/>
              </w:rPr>
              <m:t>i</m:t>
            </m:r>
            <m:ctrlPr>
              <w:rPr>
                <w:rFonts w:hint="eastAsia" w:ascii="Cambria Math" w:hAnsi="Cambria Math" w:cs="宋体"/>
                <w:i/>
                <w:iCs/>
              </w:rPr>
            </m:ctrlPr>
          </m:sub>
        </m:sSub>
      </m:oMath>
      <w:r>
        <w:rPr>
          <w:rFonts w:hint="eastAsia" w:hAnsi="宋体" w:cs="宋体"/>
        </w:rPr>
        <w:t>——第i个标准的制修订参与程度折算系数；</w:t>
      </w:r>
    </w:p>
    <w:p w14:paraId="0BF32960">
      <w:pPr>
        <w:pStyle w:val="25"/>
        <w:rPr>
          <w:rFonts w:hAnsi="宋体" w:cs="宋体"/>
        </w:rPr>
      </w:pPr>
      <m:oMath>
        <m:sSub>
          <m:sSubPr>
            <m:ctrlPr>
              <w:rPr>
                <w:rFonts w:hint="eastAsia" w:ascii="Cambria Math" w:hAnsi="Cambria Math" w:cs="宋体"/>
                <w:i/>
                <w:iCs/>
              </w:rPr>
            </m:ctrlPr>
          </m:sSubPr>
          <m:e>
            <m:r>
              <m:rPr/>
              <w:rPr>
                <w:rFonts w:ascii="Cambria Math" w:hAnsi="Cambria Math" w:cs="宋体"/>
              </w:rPr>
              <m:t>T</m:t>
            </m:r>
            <m:ctrlPr>
              <w:rPr>
                <w:rFonts w:hint="eastAsia" w:ascii="Cambria Math" w:hAnsi="Cambria Math" w:cs="宋体"/>
                <w:i/>
                <w:iCs/>
              </w:rPr>
            </m:ctrlPr>
          </m:e>
          <m:sub>
            <m:r>
              <m:rPr/>
              <w:rPr>
                <w:rFonts w:ascii="Cambria Math" w:hAnsi="Cambria Math" w:cs="宋体"/>
              </w:rPr>
              <m:t>i</m:t>
            </m:r>
            <m:ctrlPr>
              <w:rPr>
                <w:rFonts w:hint="eastAsia" w:ascii="Cambria Math" w:hAnsi="Cambria Math" w:cs="宋体"/>
                <w:i/>
                <w:iCs/>
              </w:rPr>
            </m:ctrlPr>
          </m:sub>
        </m:sSub>
      </m:oMath>
      <w:r>
        <w:rPr>
          <w:rFonts w:hint="eastAsia" w:hAnsi="Cambria Math" w:cs="宋体"/>
          <w:spacing w:val="-45"/>
        </w:rPr>
        <w:t xml:space="preserve">  </w:t>
      </w:r>
      <w:r>
        <w:rPr>
          <w:rFonts w:hint="eastAsia" w:hAnsi="宋体" w:cs="宋体"/>
        </w:rPr>
        <w:t>——第i个标准的类别折算系数。</w:t>
      </w:r>
    </w:p>
    <w:p w14:paraId="0A8709BE">
      <w:pPr>
        <w:pStyle w:val="61"/>
        <w:numPr>
          <w:ilvl w:val="0"/>
          <w:numId w:val="20"/>
        </w:numPr>
        <w:tabs>
          <w:tab w:val="left" w:pos="840"/>
        </w:tabs>
        <w:ind w:left="809" w:leftChars="171" w:hanging="450" w:hangingChars="250"/>
      </w:pPr>
      <w:r>
        <w:rPr>
          <w:rFonts w:hint="eastAsia"/>
        </w:rPr>
        <w:t>制修订标准是在智能电网建设运营领域，近五年内已正式发布的国际标准、国家标准、行业标准、地方标准、团体标准。</w:t>
      </w:r>
    </w:p>
    <w:p w14:paraId="798D6489">
      <w:pPr>
        <w:pStyle w:val="61"/>
        <w:numPr>
          <w:ilvl w:val="0"/>
          <w:numId w:val="20"/>
        </w:numPr>
        <w:ind w:left="809" w:leftChars="171" w:hanging="450" w:hangingChars="250"/>
      </w:pPr>
      <w:r>
        <w:rPr>
          <w:rFonts w:hint="eastAsia" w:hAnsi="宋体" w:cs="宋体"/>
        </w:rPr>
        <w:t>标准类别以国家标准及行业标准为折算基数，国际标准按折算系数为1.2，地方标准按折算系数为0.5，团体标准按折算系数为0.2。</w:t>
      </w:r>
    </w:p>
    <w:p w14:paraId="4056C38C">
      <w:pPr>
        <w:pStyle w:val="61"/>
        <w:numPr>
          <w:ilvl w:val="0"/>
          <w:numId w:val="20"/>
        </w:numPr>
        <w:ind w:left="809" w:leftChars="171" w:hanging="450" w:hangingChars="250"/>
      </w:pPr>
      <w:r>
        <w:rPr>
          <w:rFonts w:hint="eastAsia" w:hAnsi="宋体" w:cs="宋体"/>
        </w:rPr>
        <w:t>在标准编制形式上以制定标准为折算基数，修订标准按折算系数为0.5。</w:t>
      </w:r>
    </w:p>
    <w:p w14:paraId="5B989B5D">
      <w:pPr>
        <w:pStyle w:val="61"/>
        <w:numPr>
          <w:ilvl w:val="0"/>
          <w:numId w:val="20"/>
        </w:numPr>
        <w:ind w:left="809" w:leftChars="171" w:hanging="450" w:hangingChars="250"/>
      </w:pPr>
      <w:r>
        <w:rPr>
          <w:rFonts w:hint="eastAsia"/>
        </w:rPr>
        <w:t>在标准文本“主要起草单位”中排名前两名，视为主导制定起草单位；在标准文本“主要起草单位”中排名第三到第五名，视为参与制定标准单位。如排名前五名的起草单位中有行政机关单位的，名次可相应顺延。若标准中明确起草单位排名不分先后，均视为主导制定起草单位。</w:t>
      </w:r>
      <w:r>
        <w:rPr>
          <w:rFonts w:hint="eastAsia" w:hAnsi="宋体" w:cs="宋体"/>
        </w:rPr>
        <w:t>在标准制修订参与程度上，以主导制定起草单位为折算基数，参与制定标准单位折算系数为0.2。</w:t>
      </w:r>
    </w:p>
    <w:p w14:paraId="088D1FE5">
      <w:pPr>
        <w:pStyle w:val="129"/>
        <w:spacing w:before="78" w:beforeLines="25" w:after="78" w:afterLines="25"/>
        <w:rPr>
          <w:rFonts w:ascii="Times New Roman"/>
        </w:rPr>
      </w:pPr>
      <w:r>
        <w:rPr>
          <w:rFonts w:ascii="Times New Roman"/>
        </w:rPr>
        <w:t>制修订</w:t>
      </w:r>
      <w:r>
        <w:rPr>
          <w:rFonts w:ascii="Times New Roman"/>
          <w:szCs w:val="22"/>
        </w:rPr>
        <w:t>标准</w:t>
      </w:r>
      <w:r>
        <w:rPr>
          <w:rFonts w:ascii="Times New Roman"/>
        </w:rPr>
        <w:t>评分规则</w:t>
      </w:r>
    </w:p>
    <w:tbl>
      <w:tblPr>
        <w:tblStyle w:val="35"/>
        <w:tblW w:w="957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625"/>
        <w:gridCol w:w="4945"/>
      </w:tblGrid>
      <w:tr w14:paraId="47F61A6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blHeader/>
        </w:trPr>
        <w:tc>
          <w:tcPr>
            <w:tcW w:w="4625" w:type="dxa"/>
            <w:tcBorders>
              <w:bottom w:val="single" w:color="auto" w:sz="12" w:space="0"/>
            </w:tcBorders>
            <w:vAlign w:val="center"/>
          </w:tcPr>
          <w:p w14:paraId="290D5741">
            <w:pPr>
              <w:pStyle w:val="25"/>
              <w:ind w:firstLine="0" w:firstLineChars="0"/>
              <w:jc w:val="center"/>
              <w:rPr>
                <w:rFonts w:ascii="Times New Roman"/>
                <w:b/>
                <w:bCs/>
                <w:sz w:val="18"/>
                <w:szCs w:val="16"/>
              </w:rPr>
            </w:pPr>
            <w:r>
              <w:rPr>
                <w:rFonts w:hint="eastAsia" w:ascii="Times New Roman"/>
                <w:b/>
                <w:bCs/>
                <w:sz w:val="18"/>
                <w:szCs w:val="16"/>
              </w:rPr>
              <w:t>评分规则</w:t>
            </w:r>
          </w:p>
        </w:tc>
        <w:tc>
          <w:tcPr>
            <w:tcW w:w="4945" w:type="dxa"/>
            <w:tcBorders>
              <w:bottom w:val="single" w:color="auto" w:sz="12" w:space="0"/>
            </w:tcBorders>
            <w:vAlign w:val="center"/>
          </w:tcPr>
          <w:p w14:paraId="7FD921E4">
            <w:pPr>
              <w:pStyle w:val="25"/>
              <w:ind w:firstLine="0" w:firstLineChars="0"/>
              <w:jc w:val="center"/>
              <w:rPr>
                <w:rFonts w:ascii="Times New Roman"/>
                <w:b/>
                <w:bCs/>
                <w:sz w:val="18"/>
                <w:szCs w:val="16"/>
              </w:rPr>
            </w:pPr>
            <w:r>
              <w:rPr>
                <w:rFonts w:ascii="Times New Roman"/>
                <w:b/>
                <w:bCs/>
                <w:sz w:val="18"/>
                <w:szCs w:val="16"/>
              </w:rPr>
              <w:t>分值</w:t>
            </w:r>
            <w:r>
              <w:rPr>
                <w:rFonts w:hint="eastAsia" w:ascii="Times New Roman"/>
                <w:b/>
                <w:bCs/>
                <w:sz w:val="18"/>
                <w:szCs w:val="16"/>
              </w:rPr>
              <w:t>（分）</w:t>
            </w:r>
          </w:p>
        </w:tc>
      </w:tr>
      <w:tr w14:paraId="01DFA8B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blHeader/>
        </w:trPr>
        <w:tc>
          <w:tcPr>
            <w:tcW w:w="4625" w:type="dxa"/>
            <w:tcBorders>
              <w:top w:val="single" w:color="auto" w:sz="12" w:space="0"/>
              <w:tl2br w:val="nil"/>
              <w:tr2bl w:val="nil"/>
            </w:tcBorders>
            <w:vAlign w:val="center"/>
          </w:tcPr>
          <w:p w14:paraId="475F6431">
            <w:pPr>
              <w:pStyle w:val="25"/>
              <w:ind w:firstLine="0" w:firstLineChars="0"/>
              <w:jc w:val="center"/>
              <w:rPr>
                <w:rFonts w:hAnsi="宋体" w:cs="宋体"/>
                <w:sz w:val="18"/>
                <w:szCs w:val="16"/>
              </w:rPr>
            </w:pPr>
            <w:r>
              <w:rPr>
                <w:rFonts w:hint="eastAsia" w:hAnsi="宋体" w:cs="宋体"/>
                <w:sz w:val="18"/>
                <w:szCs w:val="18"/>
              </w:rPr>
              <w:t>加权法计算后制修订标准数量乘以2分</w:t>
            </w:r>
          </w:p>
        </w:tc>
        <w:tc>
          <w:tcPr>
            <w:tcW w:w="4945" w:type="dxa"/>
            <w:tcBorders>
              <w:top w:val="single" w:color="auto" w:sz="12" w:space="0"/>
              <w:tl2br w:val="nil"/>
              <w:tr2bl w:val="nil"/>
            </w:tcBorders>
            <w:vAlign w:val="center"/>
          </w:tcPr>
          <w:p w14:paraId="31937AED">
            <w:pPr>
              <w:pStyle w:val="25"/>
              <w:ind w:firstLine="0" w:firstLineChars="0"/>
              <w:jc w:val="center"/>
              <w:rPr>
                <w:rFonts w:hAnsi="宋体" w:cs="宋体"/>
                <w:sz w:val="18"/>
                <w:szCs w:val="16"/>
              </w:rPr>
            </w:pPr>
            <w:r>
              <w:rPr>
                <w:rFonts w:hint="eastAsia" w:hAnsi="宋体" w:cs="宋体"/>
                <w:sz w:val="18"/>
                <w:szCs w:val="16"/>
              </w:rPr>
              <w:t>5</w:t>
            </w:r>
          </w:p>
        </w:tc>
      </w:tr>
    </w:tbl>
    <w:p w14:paraId="3D9619C2">
      <w:pPr>
        <w:pStyle w:val="58"/>
        <w:spacing w:before="156" w:after="156"/>
        <w:rPr>
          <w:rFonts w:ascii="Times New Roman"/>
        </w:rPr>
      </w:pPr>
      <w:r>
        <w:rPr>
          <w:rFonts w:ascii="Times New Roman"/>
        </w:rPr>
        <w:t>关键技术先进性</w:t>
      </w:r>
    </w:p>
    <w:p w14:paraId="4266FA0C">
      <w:pPr>
        <w:autoSpaceDE w:val="0"/>
        <w:autoSpaceDN w:val="0"/>
        <w:ind w:firstLine="420" w:firstLineChars="200"/>
        <w:rPr>
          <w:szCs w:val="21"/>
        </w:rPr>
      </w:pPr>
      <w:r>
        <w:rPr>
          <w:rFonts w:hint="eastAsia" w:ascii="宋体" w:hAnsi="宋体" w:cs="宋体"/>
          <w:szCs w:val="21"/>
          <w:lang w:bidi="ar"/>
        </w:rPr>
        <w:t>根据不同子行业、不同产品选取不同评价指标</w:t>
      </w:r>
      <w:r>
        <w:rPr>
          <w:szCs w:val="21"/>
        </w:rPr>
        <w:t>，具体评分规则见表</w:t>
      </w:r>
      <w:r>
        <w:rPr>
          <w:rFonts w:hint="eastAsia" w:ascii="宋体" w:hAnsi="宋体" w:cs="宋体"/>
          <w:szCs w:val="21"/>
        </w:rPr>
        <w:t>3</w:t>
      </w:r>
      <w:r>
        <w:rPr>
          <w:rFonts w:hint="eastAsia" w:asciiTheme="minorEastAsia" w:hAnsiTheme="minorEastAsia" w:eastAsiaTheme="minorEastAsia"/>
          <w:szCs w:val="21"/>
        </w:rPr>
        <w:t>。具体评价内容及评价方法见附录A。</w:t>
      </w:r>
      <w:r>
        <w:rPr>
          <w:rFonts w:hint="eastAsia"/>
          <w:szCs w:val="21"/>
        </w:rPr>
        <w:t>若无</w:t>
      </w:r>
      <w:r>
        <w:rPr>
          <w:szCs w:val="21"/>
        </w:rPr>
        <w:t>相关标准明确</w:t>
      </w:r>
      <w:r>
        <w:rPr>
          <w:rFonts w:hint="eastAsia"/>
          <w:szCs w:val="21"/>
        </w:rPr>
        <w:t>关键技术先进性评价指标</w:t>
      </w:r>
      <w:r>
        <w:rPr>
          <w:szCs w:val="21"/>
        </w:rPr>
        <w:t>时，</w:t>
      </w:r>
      <w:r>
        <w:rPr>
          <w:rFonts w:hint="eastAsia"/>
          <w:szCs w:val="21"/>
        </w:rPr>
        <w:t>宜</w:t>
      </w:r>
      <w:r>
        <w:rPr>
          <w:rFonts w:hint="eastAsia" w:ascii="宋体" w:hAnsi="宋体" w:cs="宋体"/>
          <w:szCs w:val="21"/>
          <w:lang w:bidi="ar"/>
        </w:rPr>
        <w:t>参考国内外行业发展的实际技术先进水平进行评价。</w:t>
      </w:r>
    </w:p>
    <w:p w14:paraId="03937EA5">
      <w:pPr>
        <w:pStyle w:val="129"/>
        <w:spacing w:before="78" w:beforeLines="25" w:after="78" w:afterLines="25"/>
        <w:rPr>
          <w:rFonts w:hAnsi="宋体" w:cs="宋体"/>
        </w:rPr>
      </w:pPr>
      <w:r>
        <w:rPr>
          <w:rFonts w:hint="eastAsia" w:hAnsi="宋体" w:cs="宋体"/>
        </w:rPr>
        <w:t>关键技术先进性评分规则</w:t>
      </w:r>
    </w:p>
    <w:tbl>
      <w:tblPr>
        <w:tblStyle w:val="35"/>
        <w:tblW w:w="9570"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7062"/>
        <w:gridCol w:w="2508"/>
      </w:tblGrid>
      <w:tr w14:paraId="2FA25E09">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91" w:hRule="atLeast"/>
          <w:jc w:val="center"/>
        </w:trPr>
        <w:tc>
          <w:tcPr>
            <w:tcW w:w="7062" w:type="dxa"/>
            <w:tcBorders>
              <w:bottom w:val="single" w:color="auto" w:sz="12" w:space="0"/>
              <w:right w:val="single" w:color="auto" w:sz="4" w:space="0"/>
            </w:tcBorders>
            <w:vAlign w:val="center"/>
          </w:tcPr>
          <w:p w14:paraId="4C6E4314">
            <w:pPr>
              <w:autoSpaceDE w:val="0"/>
              <w:autoSpaceDN w:val="0"/>
              <w:jc w:val="center"/>
              <w:rPr>
                <w:rFonts w:ascii="宋体" w:hAnsi="宋体" w:cs="宋体"/>
                <w:b/>
                <w:bCs/>
                <w:sz w:val="18"/>
                <w:szCs w:val="16"/>
              </w:rPr>
            </w:pPr>
            <w:r>
              <w:rPr>
                <w:rFonts w:hint="eastAsia" w:ascii="宋体" w:hAnsi="宋体" w:cs="宋体"/>
                <w:b/>
                <w:bCs/>
                <w:sz w:val="18"/>
                <w:szCs w:val="16"/>
              </w:rPr>
              <w:t>行业先进水平</w:t>
            </w:r>
          </w:p>
        </w:tc>
        <w:tc>
          <w:tcPr>
            <w:tcW w:w="2508" w:type="dxa"/>
            <w:tcBorders>
              <w:left w:val="single" w:color="auto" w:sz="4" w:space="0"/>
              <w:bottom w:val="single" w:color="auto" w:sz="12" w:space="0"/>
            </w:tcBorders>
            <w:vAlign w:val="center"/>
          </w:tcPr>
          <w:p w14:paraId="3D102684">
            <w:pPr>
              <w:autoSpaceDE w:val="0"/>
              <w:autoSpaceDN w:val="0"/>
              <w:jc w:val="center"/>
              <w:rPr>
                <w:rFonts w:ascii="宋体" w:hAnsi="宋体" w:cs="宋体"/>
                <w:b/>
                <w:bCs/>
                <w:sz w:val="18"/>
                <w:szCs w:val="16"/>
              </w:rPr>
            </w:pPr>
            <w:r>
              <w:rPr>
                <w:rFonts w:hint="eastAsia" w:ascii="宋体" w:hAnsi="宋体" w:cs="宋体"/>
                <w:b/>
                <w:bCs/>
                <w:sz w:val="18"/>
                <w:szCs w:val="16"/>
              </w:rPr>
              <w:t>分值（分）</w:t>
            </w:r>
          </w:p>
        </w:tc>
      </w:tr>
      <w:tr w14:paraId="465AC283">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94" w:hRule="atLeast"/>
          <w:jc w:val="center"/>
        </w:trPr>
        <w:tc>
          <w:tcPr>
            <w:tcW w:w="7062" w:type="dxa"/>
            <w:tcBorders>
              <w:top w:val="single" w:color="auto" w:sz="12" w:space="0"/>
              <w:bottom w:val="single" w:color="auto" w:sz="4" w:space="0"/>
              <w:right w:val="single" w:color="auto" w:sz="4" w:space="0"/>
            </w:tcBorders>
            <w:vAlign w:val="center"/>
          </w:tcPr>
          <w:p w14:paraId="02FE4F12">
            <w:pPr>
              <w:pStyle w:val="25"/>
              <w:ind w:firstLine="0" w:firstLineChars="0"/>
              <w:rPr>
                <w:rFonts w:hAnsi="宋体" w:cs="宋体"/>
                <w:sz w:val="18"/>
                <w:szCs w:val="16"/>
              </w:rPr>
            </w:pPr>
            <w:r>
              <w:rPr>
                <w:rFonts w:hint="eastAsia" w:hAnsi="宋体" w:cs="宋体"/>
                <w:sz w:val="18"/>
                <w:szCs w:val="16"/>
              </w:rPr>
              <w:t>关键技术处于行业领先水平，具有显著技术引领作用</w:t>
            </w:r>
          </w:p>
        </w:tc>
        <w:tc>
          <w:tcPr>
            <w:tcW w:w="2508" w:type="dxa"/>
            <w:tcBorders>
              <w:top w:val="single" w:color="auto" w:sz="12" w:space="0"/>
              <w:left w:val="single" w:color="auto" w:sz="4" w:space="0"/>
              <w:bottom w:val="single" w:color="auto" w:sz="4" w:space="0"/>
            </w:tcBorders>
            <w:vAlign w:val="center"/>
          </w:tcPr>
          <w:p w14:paraId="712C2A2C">
            <w:pPr>
              <w:autoSpaceDE w:val="0"/>
              <w:autoSpaceDN w:val="0"/>
              <w:jc w:val="center"/>
              <w:rPr>
                <w:rFonts w:ascii="宋体" w:hAnsi="宋体" w:cs="宋体"/>
                <w:sz w:val="18"/>
                <w:szCs w:val="16"/>
              </w:rPr>
            </w:pPr>
            <w:r>
              <w:rPr>
                <w:rFonts w:hint="eastAsia" w:ascii="宋体" w:hAnsi="宋体" w:cs="宋体"/>
                <w:sz w:val="18"/>
                <w:szCs w:val="16"/>
              </w:rPr>
              <w:t>(10,15]</w:t>
            </w:r>
          </w:p>
        </w:tc>
      </w:tr>
      <w:tr w14:paraId="7236FAE5">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062" w:type="dxa"/>
            <w:tcBorders>
              <w:top w:val="single" w:color="auto" w:sz="4" w:space="0"/>
              <w:bottom w:val="single" w:color="auto" w:sz="4" w:space="0"/>
              <w:right w:val="single" w:color="auto" w:sz="4" w:space="0"/>
            </w:tcBorders>
            <w:vAlign w:val="center"/>
          </w:tcPr>
          <w:p w14:paraId="22E4F4FB">
            <w:pPr>
              <w:pStyle w:val="25"/>
              <w:ind w:firstLine="0" w:firstLineChars="0"/>
              <w:rPr>
                <w:rFonts w:hAnsi="宋体" w:cs="宋体"/>
                <w:sz w:val="18"/>
                <w:szCs w:val="16"/>
              </w:rPr>
            </w:pPr>
            <w:r>
              <w:rPr>
                <w:rFonts w:hint="eastAsia" w:hAnsi="宋体" w:cs="宋体"/>
                <w:sz w:val="18"/>
                <w:szCs w:val="16"/>
              </w:rPr>
              <w:t>关键技术处于行业较好水平，具有一定技术推动作用</w:t>
            </w:r>
          </w:p>
        </w:tc>
        <w:tc>
          <w:tcPr>
            <w:tcW w:w="2508" w:type="dxa"/>
            <w:tcBorders>
              <w:top w:val="single" w:color="auto" w:sz="4" w:space="0"/>
              <w:left w:val="single" w:color="auto" w:sz="4" w:space="0"/>
              <w:bottom w:val="single" w:color="auto" w:sz="4" w:space="0"/>
            </w:tcBorders>
            <w:vAlign w:val="center"/>
          </w:tcPr>
          <w:p w14:paraId="44970F69">
            <w:pPr>
              <w:autoSpaceDE w:val="0"/>
              <w:autoSpaceDN w:val="0"/>
              <w:jc w:val="center"/>
              <w:rPr>
                <w:rFonts w:ascii="宋体" w:hAnsi="宋体" w:cs="宋体"/>
                <w:sz w:val="18"/>
                <w:szCs w:val="16"/>
              </w:rPr>
            </w:pPr>
            <w:r>
              <w:rPr>
                <w:rFonts w:hint="eastAsia" w:ascii="宋体" w:hAnsi="宋体" w:cs="宋体"/>
                <w:sz w:val="18"/>
                <w:szCs w:val="16"/>
              </w:rPr>
              <w:t>(5,10]</w:t>
            </w:r>
          </w:p>
        </w:tc>
      </w:tr>
      <w:tr w14:paraId="5BF42224">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062" w:type="dxa"/>
            <w:tcBorders>
              <w:top w:val="single" w:color="auto" w:sz="4" w:space="0"/>
              <w:bottom w:val="single" w:color="auto" w:sz="4" w:space="0"/>
              <w:right w:val="single" w:color="auto" w:sz="4" w:space="0"/>
            </w:tcBorders>
            <w:vAlign w:val="center"/>
          </w:tcPr>
          <w:p w14:paraId="42441588">
            <w:pPr>
              <w:pStyle w:val="25"/>
              <w:ind w:firstLine="0" w:firstLineChars="0"/>
              <w:rPr>
                <w:rFonts w:hAnsi="宋体" w:cs="宋体"/>
                <w:sz w:val="18"/>
                <w:szCs w:val="16"/>
              </w:rPr>
            </w:pPr>
            <w:r>
              <w:rPr>
                <w:rFonts w:hint="eastAsia" w:hAnsi="宋体" w:cs="宋体"/>
                <w:sz w:val="18"/>
                <w:szCs w:val="16"/>
              </w:rPr>
              <w:t>关键技术处于行业平均水平</w:t>
            </w:r>
          </w:p>
        </w:tc>
        <w:tc>
          <w:tcPr>
            <w:tcW w:w="2508" w:type="dxa"/>
            <w:tcBorders>
              <w:top w:val="single" w:color="auto" w:sz="4" w:space="0"/>
              <w:left w:val="single" w:color="auto" w:sz="4" w:space="0"/>
              <w:bottom w:val="single" w:color="auto" w:sz="4" w:space="0"/>
            </w:tcBorders>
            <w:vAlign w:val="center"/>
          </w:tcPr>
          <w:p w14:paraId="48FAE370">
            <w:pPr>
              <w:autoSpaceDE w:val="0"/>
              <w:autoSpaceDN w:val="0"/>
              <w:jc w:val="center"/>
              <w:rPr>
                <w:rFonts w:ascii="宋体" w:hAnsi="宋体" w:cs="宋体"/>
                <w:sz w:val="18"/>
                <w:szCs w:val="16"/>
              </w:rPr>
            </w:pPr>
            <w:r>
              <w:rPr>
                <w:rFonts w:hint="eastAsia" w:ascii="宋体" w:hAnsi="宋体" w:cs="宋体"/>
                <w:sz w:val="18"/>
                <w:szCs w:val="16"/>
              </w:rPr>
              <w:t>(0,5]</w:t>
            </w:r>
          </w:p>
        </w:tc>
      </w:tr>
      <w:tr w14:paraId="2F703A8E">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7062" w:type="dxa"/>
            <w:tcBorders>
              <w:top w:val="single" w:color="auto" w:sz="4" w:space="0"/>
              <w:right w:val="single" w:color="auto" w:sz="4" w:space="0"/>
            </w:tcBorders>
            <w:vAlign w:val="center"/>
          </w:tcPr>
          <w:p w14:paraId="3FCEB2D8">
            <w:pPr>
              <w:pStyle w:val="25"/>
              <w:ind w:firstLine="0" w:firstLineChars="0"/>
              <w:rPr>
                <w:rFonts w:hAnsi="宋体" w:cs="宋体"/>
                <w:sz w:val="18"/>
                <w:szCs w:val="16"/>
              </w:rPr>
            </w:pPr>
            <w:r>
              <w:rPr>
                <w:rFonts w:hint="eastAsia" w:hAnsi="宋体" w:cs="宋体"/>
                <w:sz w:val="18"/>
                <w:szCs w:val="16"/>
              </w:rPr>
              <w:t>未满足上述任何一项</w:t>
            </w:r>
          </w:p>
        </w:tc>
        <w:tc>
          <w:tcPr>
            <w:tcW w:w="2508" w:type="dxa"/>
            <w:tcBorders>
              <w:top w:val="single" w:color="auto" w:sz="4" w:space="0"/>
              <w:left w:val="single" w:color="auto" w:sz="4" w:space="0"/>
            </w:tcBorders>
            <w:vAlign w:val="center"/>
          </w:tcPr>
          <w:p w14:paraId="77AFD44B">
            <w:pPr>
              <w:autoSpaceDE w:val="0"/>
              <w:autoSpaceDN w:val="0"/>
              <w:jc w:val="center"/>
              <w:rPr>
                <w:rFonts w:ascii="宋体" w:hAnsi="宋体" w:cs="宋体"/>
                <w:sz w:val="18"/>
                <w:szCs w:val="16"/>
              </w:rPr>
            </w:pPr>
            <w:r>
              <w:rPr>
                <w:rFonts w:hint="eastAsia" w:ascii="宋体" w:hAnsi="宋体" w:cs="宋体"/>
                <w:sz w:val="18"/>
                <w:szCs w:val="16"/>
              </w:rPr>
              <w:t>0</w:t>
            </w:r>
          </w:p>
        </w:tc>
      </w:tr>
    </w:tbl>
    <w:p w14:paraId="7F83366B">
      <w:pPr>
        <w:pStyle w:val="54"/>
        <w:numPr>
          <w:ilvl w:val="3"/>
          <w:numId w:val="2"/>
        </w:numPr>
        <w:spacing w:before="156" w:after="156"/>
        <w:rPr>
          <w:rFonts w:ascii="Times New Roman"/>
          <w:highlight w:val="yellow"/>
        </w:rPr>
      </w:pPr>
      <w:r>
        <w:rPr>
          <w:rFonts w:ascii="Times New Roman"/>
        </w:rPr>
        <w:t>环境效益</w:t>
      </w:r>
    </w:p>
    <w:p w14:paraId="67CBA918">
      <w:pPr>
        <w:pStyle w:val="25"/>
        <w:rPr>
          <w:rFonts w:hAnsi="宋体" w:cs="宋体"/>
        </w:rPr>
      </w:pPr>
      <w:r>
        <w:rPr>
          <w:rFonts w:hint="eastAsia" w:hAnsi="宋体" w:cs="宋体"/>
        </w:rPr>
        <w:t>评估采购方应用智能电网建设运营领域相关产品或服务产生的资源节约、环境友好、生态良好等环境效益贡献量和涉及的环境效益种类数量，环境效益种类包括降碳效益、减污效益。不同子行业选取的环境效益指标见表4，具体评分规则见表5。环境效益贡献量以智能电网建设运营领域相关产品或服务应用前为基准线情景，按年度评估其应用后带来的有利影响增量或不利影响减量，环境效益指标及测算方法见附录B。</w:t>
      </w:r>
    </w:p>
    <w:p w14:paraId="0B22F23C">
      <w:pPr>
        <w:pStyle w:val="129"/>
        <w:rPr>
          <w:rFonts w:ascii="Times New Roman"/>
        </w:rPr>
      </w:pPr>
      <w:r>
        <w:rPr>
          <w:rFonts w:hint="eastAsia" w:ascii="Times New Roman"/>
        </w:rPr>
        <w:t>环境效益指标</w:t>
      </w:r>
    </w:p>
    <w:tbl>
      <w:tblPr>
        <w:tblStyle w:val="35"/>
        <w:tblW w:w="9570"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Layout w:type="fixed"/>
        <w:tblCellMar>
          <w:top w:w="0" w:type="dxa"/>
          <w:left w:w="108" w:type="dxa"/>
          <w:bottom w:w="0" w:type="dxa"/>
          <w:right w:w="108" w:type="dxa"/>
        </w:tblCellMar>
      </w:tblPr>
      <w:tblGrid>
        <w:gridCol w:w="3529"/>
        <w:gridCol w:w="2885"/>
        <w:gridCol w:w="3156"/>
      </w:tblGrid>
      <w:tr w14:paraId="158C52CF">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90" w:hRule="atLeast"/>
          <w:jc w:val="center"/>
        </w:trPr>
        <w:tc>
          <w:tcPr>
            <w:tcW w:w="3529" w:type="dxa"/>
            <w:tcBorders>
              <w:bottom w:val="single" w:color="auto" w:sz="12" w:space="0"/>
            </w:tcBorders>
            <w:vAlign w:val="center"/>
          </w:tcPr>
          <w:p w14:paraId="56B3AC94">
            <w:pPr>
              <w:autoSpaceDE w:val="0"/>
              <w:autoSpaceDN w:val="0"/>
              <w:jc w:val="center"/>
              <w:rPr>
                <w:b/>
                <w:bCs/>
                <w:sz w:val="18"/>
                <w:szCs w:val="16"/>
              </w:rPr>
            </w:pPr>
            <w:r>
              <w:rPr>
                <w:rFonts w:hint="eastAsia"/>
                <w:b/>
                <w:bCs/>
                <w:sz w:val="18"/>
                <w:szCs w:val="16"/>
              </w:rPr>
              <w:t>子行业</w:t>
            </w:r>
          </w:p>
        </w:tc>
        <w:tc>
          <w:tcPr>
            <w:tcW w:w="2885" w:type="dxa"/>
            <w:tcBorders>
              <w:bottom w:val="single" w:color="auto" w:sz="12" w:space="0"/>
            </w:tcBorders>
            <w:vAlign w:val="center"/>
          </w:tcPr>
          <w:p w14:paraId="45F0A03A">
            <w:pPr>
              <w:autoSpaceDE w:val="0"/>
              <w:autoSpaceDN w:val="0"/>
              <w:jc w:val="center"/>
              <w:rPr>
                <w:b/>
                <w:bCs/>
                <w:sz w:val="18"/>
                <w:szCs w:val="16"/>
              </w:rPr>
            </w:pPr>
            <w:r>
              <w:rPr>
                <w:rFonts w:hint="eastAsia"/>
                <w:b/>
                <w:bCs/>
                <w:sz w:val="18"/>
                <w:szCs w:val="16"/>
              </w:rPr>
              <w:t>环境效益</w:t>
            </w:r>
          </w:p>
        </w:tc>
        <w:tc>
          <w:tcPr>
            <w:tcW w:w="3156" w:type="dxa"/>
            <w:tcBorders>
              <w:bottom w:val="single" w:color="auto" w:sz="12" w:space="0"/>
            </w:tcBorders>
            <w:vAlign w:val="center"/>
          </w:tcPr>
          <w:p w14:paraId="3B3FB194">
            <w:pPr>
              <w:autoSpaceDE w:val="0"/>
              <w:autoSpaceDN w:val="0"/>
              <w:jc w:val="center"/>
              <w:rPr>
                <w:b/>
                <w:bCs/>
                <w:sz w:val="18"/>
                <w:szCs w:val="16"/>
              </w:rPr>
            </w:pPr>
            <w:r>
              <w:rPr>
                <w:rFonts w:hint="eastAsia"/>
                <w:b/>
                <w:bCs/>
                <w:sz w:val="18"/>
                <w:szCs w:val="16"/>
              </w:rPr>
              <w:t>具体指标</w:t>
            </w:r>
          </w:p>
        </w:tc>
      </w:tr>
      <w:tr w14:paraId="77BB8D62">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90" w:hRule="atLeast"/>
          <w:jc w:val="center"/>
        </w:trPr>
        <w:tc>
          <w:tcPr>
            <w:tcW w:w="3529" w:type="dxa"/>
            <w:tcBorders>
              <w:top w:val="single" w:color="auto" w:sz="12" w:space="0"/>
              <w:bottom w:val="single" w:color="auto" w:sz="4" w:space="0"/>
            </w:tcBorders>
            <w:vAlign w:val="center"/>
          </w:tcPr>
          <w:p w14:paraId="43519316">
            <w:pPr>
              <w:autoSpaceDE w:val="0"/>
              <w:autoSpaceDN w:val="0"/>
              <w:jc w:val="left"/>
              <w:rPr>
                <w:rFonts w:ascii="宋体" w:hAnsi="宋体" w:cs="宋体"/>
                <w:sz w:val="18"/>
                <w:szCs w:val="16"/>
              </w:rPr>
            </w:pPr>
            <w:r>
              <w:rPr>
                <w:rFonts w:hint="eastAsia" w:ascii="宋体" w:hAnsi="宋体" w:cs="宋体"/>
                <w:sz w:val="18"/>
                <w:szCs w:val="16"/>
              </w:rPr>
              <w:t>关键元器件制造</w:t>
            </w:r>
          </w:p>
        </w:tc>
        <w:tc>
          <w:tcPr>
            <w:tcW w:w="2885" w:type="dxa"/>
            <w:tcBorders>
              <w:top w:val="single" w:color="auto" w:sz="12" w:space="0"/>
              <w:bottom w:val="single" w:color="auto" w:sz="4" w:space="0"/>
            </w:tcBorders>
            <w:vAlign w:val="center"/>
          </w:tcPr>
          <w:p w14:paraId="2B847C33">
            <w:pPr>
              <w:autoSpaceDE w:val="0"/>
              <w:autoSpaceDN w:val="0"/>
              <w:jc w:val="left"/>
              <w:rPr>
                <w:rFonts w:ascii="宋体" w:hAnsi="宋体" w:cs="宋体"/>
                <w:sz w:val="18"/>
                <w:szCs w:val="16"/>
              </w:rPr>
            </w:pPr>
            <w:r>
              <w:rPr>
                <w:rFonts w:hint="eastAsia" w:ascii="宋体" w:hAnsi="宋体" w:cs="宋体"/>
                <w:sz w:val="18"/>
                <w:szCs w:val="16"/>
              </w:rPr>
              <w:t>减污效益</w:t>
            </w:r>
          </w:p>
        </w:tc>
        <w:tc>
          <w:tcPr>
            <w:tcW w:w="3156" w:type="dxa"/>
            <w:tcBorders>
              <w:top w:val="single" w:color="auto" w:sz="12" w:space="0"/>
              <w:bottom w:val="single" w:color="auto" w:sz="4" w:space="0"/>
            </w:tcBorders>
            <w:vAlign w:val="center"/>
          </w:tcPr>
          <w:p w14:paraId="149D75C4">
            <w:pPr>
              <w:autoSpaceDE w:val="0"/>
              <w:autoSpaceDN w:val="0"/>
              <w:jc w:val="left"/>
              <w:rPr>
                <w:rFonts w:ascii="宋体" w:hAnsi="宋体" w:cs="宋体"/>
                <w:sz w:val="18"/>
                <w:szCs w:val="16"/>
              </w:rPr>
            </w:pPr>
            <w:r>
              <w:rPr>
                <w:rFonts w:hint="eastAsia" w:ascii="宋体" w:hAnsi="宋体" w:cs="宋体"/>
                <w:sz w:val="18"/>
                <w:szCs w:val="16"/>
              </w:rPr>
              <w:t>二氧化硫削减量、氮氧化物削减量</w:t>
            </w:r>
          </w:p>
        </w:tc>
      </w:tr>
      <w:tr w14:paraId="256BEA69">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90" w:hRule="atLeast"/>
          <w:jc w:val="center"/>
        </w:trPr>
        <w:tc>
          <w:tcPr>
            <w:tcW w:w="3529" w:type="dxa"/>
            <w:tcBorders>
              <w:top w:val="single" w:color="auto" w:sz="4" w:space="0"/>
              <w:bottom w:val="single" w:color="auto" w:sz="4" w:space="0"/>
            </w:tcBorders>
            <w:vAlign w:val="center"/>
          </w:tcPr>
          <w:p w14:paraId="712BD6BE">
            <w:pPr>
              <w:autoSpaceDE w:val="0"/>
              <w:autoSpaceDN w:val="0"/>
              <w:jc w:val="left"/>
              <w:rPr>
                <w:rFonts w:ascii="宋体" w:hAnsi="宋体" w:cs="宋体"/>
                <w:sz w:val="18"/>
                <w:szCs w:val="16"/>
              </w:rPr>
            </w:pPr>
            <w:r>
              <w:rPr>
                <w:rFonts w:hint="eastAsia" w:ascii="宋体" w:hAnsi="宋体" w:cs="宋体"/>
                <w:sz w:val="18"/>
                <w:szCs w:val="16"/>
              </w:rPr>
              <w:t>智能电网装备制造</w:t>
            </w:r>
          </w:p>
        </w:tc>
        <w:tc>
          <w:tcPr>
            <w:tcW w:w="2885" w:type="dxa"/>
            <w:tcBorders>
              <w:top w:val="single" w:color="auto" w:sz="4" w:space="0"/>
              <w:bottom w:val="single" w:color="auto" w:sz="4" w:space="0"/>
            </w:tcBorders>
            <w:vAlign w:val="center"/>
          </w:tcPr>
          <w:p w14:paraId="39DA37D3">
            <w:pPr>
              <w:autoSpaceDE w:val="0"/>
              <w:autoSpaceDN w:val="0"/>
              <w:jc w:val="left"/>
              <w:rPr>
                <w:rFonts w:ascii="宋体" w:hAnsi="宋体" w:cs="宋体"/>
                <w:sz w:val="18"/>
                <w:szCs w:val="16"/>
              </w:rPr>
            </w:pPr>
            <w:r>
              <w:rPr>
                <w:rFonts w:hint="eastAsia" w:ascii="宋体" w:hAnsi="宋体" w:cs="宋体"/>
                <w:sz w:val="18"/>
                <w:szCs w:val="16"/>
              </w:rPr>
              <w:t>减污效益</w:t>
            </w:r>
          </w:p>
        </w:tc>
        <w:tc>
          <w:tcPr>
            <w:tcW w:w="3156" w:type="dxa"/>
            <w:tcBorders>
              <w:top w:val="single" w:color="auto" w:sz="4" w:space="0"/>
              <w:bottom w:val="single" w:color="auto" w:sz="4" w:space="0"/>
            </w:tcBorders>
            <w:vAlign w:val="center"/>
          </w:tcPr>
          <w:p w14:paraId="039C7CC9">
            <w:pPr>
              <w:autoSpaceDE w:val="0"/>
              <w:autoSpaceDN w:val="0"/>
              <w:jc w:val="left"/>
              <w:rPr>
                <w:rFonts w:ascii="宋体" w:hAnsi="宋体" w:cs="宋体"/>
                <w:sz w:val="18"/>
                <w:szCs w:val="16"/>
              </w:rPr>
            </w:pPr>
            <w:r>
              <w:rPr>
                <w:rFonts w:hint="eastAsia" w:ascii="宋体" w:hAnsi="宋体" w:cs="宋体"/>
                <w:sz w:val="18"/>
                <w:szCs w:val="16"/>
              </w:rPr>
              <w:t>二氧化硫削减量、氮氧化物削减量</w:t>
            </w:r>
          </w:p>
        </w:tc>
      </w:tr>
      <w:tr w14:paraId="292FD10E">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90" w:hRule="atLeast"/>
          <w:jc w:val="center"/>
        </w:trPr>
        <w:tc>
          <w:tcPr>
            <w:tcW w:w="3529" w:type="dxa"/>
            <w:tcBorders>
              <w:top w:val="single" w:color="auto" w:sz="4" w:space="0"/>
              <w:bottom w:val="single" w:color="auto" w:sz="4" w:space="0"/>
            </w:tcBorders>
            <w:vAlign w:val="center"/>
          </w:tcPr>
          <w:p w14:paraId="380C8B3F">
            <w:pPr>
              <w:autoSpaceDE w:val="0"/>
              <w:autoSpaceDN w:val="0"/>
              <w:jc w:val="left"/>
              <w:rPr>
                <w:rFonts w:ascii="宋体" w:hAnsi="宋体" w:cs="宋体"/>
                <w:sz w:val="18"/>
                <w:szCs w:val="16"/>
              </w:rPr>
            </w:pPr>
            <w:r>
              <w:rPr>
                <w:rFonts w:hint="eastAsia" w:ascii="宋体" w:hAnsi="宋体" w:cs="宋体"/>
                <w:sz w:val="18"/>
                <w:szCs w:val="16"/>
              </w:rPr>
              <w:t>智能电网设施建设与运营</w:t>
            </w:r>
          </w:p>
        </w:tc>
        <w:tc>
          <w:tcPr>
            <w:tcW w:w="2885" w:type="dxa"/>
            <w:tcBorders>
              <w:top w:val="single" w:color="auto" w:sz="4" w:space="0"/>
              <w:bottom w:val="single" w:color="auto" w:sz="4" w:space="0"/>
            </w:tcBorders>
            <w:vAlign w:val="center"/>
          </w:tcPr>
          <w:p w14:paraId="5446C634">
            <w:pPr>
              <w:autoSpaceDE w:val="0"/>
              <w:autoSpaceDN w:val="0"/>
              <w:jc w:val="left"/>
              <w:rPr>
                <w:rFonts w:ascii="宋体" w:hAnsi="宋体" w:cs="宋体"/>
                <w:sz w:val="18"/>
                <w:szCs w:val="16"/>
              </w:rPr>
            </w:pPr>
            <w:r>
              <w:rPr>
                <w:rFonts w:hint="eastAsia" w:ascii="宋体" w:hAnsi="宋体" w:cs="宋体"/>
                <w:sz w:val="18"/>
                <w:szCs w:val="16"/>
              </w:rPr>
              <w:t>降碳效益</w:t>
            </w:r>
          </w:p>
        </w:tc>
        <w:tc>
          <w:tcPr>
            <w:tcW w:w="3156" w:type="dxa"/>
            <w:tcBorders>
              <w:top w:val="single" w:color="auto" w:sz="4" w:space="0"/>
              <w:bottom w:val="single" w:color="auto" w:sz="4" w:space="0"/>
            </w:tcBorders>
            <w:vAlign w:val="center"/>
          </w:tcPr>
          <w:p w14:paraId="3A2E9C52">
            <w:pPr>
              <w:autoSpaceDE w:val="0"/>
              <w:autoSpaceDN w:val="0"/>
              <w:jc w:val="left"/>
              <w:rPr>
                <w:rFonts w:ascii="宋体" w:hAnsi="宋体" w:cs="宋体"/>
                <w:sz w:val="18"/>
                <w:szCs w:val="16"/>
              </w:rPr>
            </w:pPr>
            <w:r>
              <w:rPr>
                <w:rFonts w:hint="eastAsia" w:ascii="宋体" w:hAnsi="宋体" w:cs="宋体"/>
                <w:sz w:val="18"/>
                <w:szCs w:val="16"/>
              </w:rPr>
              <w:t>替代化石能源量、碳减排量</w:t>
            </w:r>
          </w:p>
        </w:tc>
      </w:tr>
      <w:tr w14:paraId="57769426">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90" w:hRule="atLeast"/>
          <w:jc w:val="center"/>
        </w:trPr>
        <w:tc>
          <w:tcPr>
            <w:tcW w:w="3529" w:type="dxa"/>
            <w:tcBorders>
              <w:top w:val="single" w:color="auto" w:sz="4" w:space="0"/>
            </w:tcBorders>
            <w:vAlign w:val="center"/>
          </w:tcPr>
          <w:p w14:paraId="2A73C2B4">
            <w:pPr>
              <w:autoSpaceDE w:val="0"/>
              <w:autoSpaceDN w:val="0"/>
              <w:jc w:val="left"/>
              <w:rPr>
                <w:rFonts w:ascii="宋体" w:hAnsi="宋体" w:cs="宋体"/>
                <w:sz w:val="18"/>
                <w:szCs w:val="16"/>
              </w:rPr>
            </w:pPr>
            <w:r>
              <w:rPr>
                <w:rFonts w:hint="eastAsia" w:ascii="宋体" w:hAnsi="宋体" w:cs="宋体"/>
                <w:sz w:val="18"/>
                <w:szCs w:val="16"/>
              </w:rPr>
              <w:t>新型电力负荷管理系统建设与运营</w:t>
            </w:r>
          </w:p>
        </w:tc>
        <w:tc>
          <w:tcPr>
            <w:tcW w:w="2885" w:type="dxa"/>
            <w:tcBorders>
              <w:top w:val="single" w:color="auto" w:sz="4" w:space="0"/>
            </w:tcBorders>
            <w:vAlign w:val="center"/>
          </w:tcPr>
          <w:p w14:paraId="36014B35">
            <w:pPr>
              <w:autoSpaceDE w:val="0"/>
              <w:autoSpaceDN w:val="0"/>
              <w:jc w:val="left"/>
              <w:rPr>
                <w:rFonts w:ascii="宋体" w:hAnsi="宋体" w:cs="宋体"/>
                <w:sz w:val="18"/>
                <w:szCs w:val="16"/>
              </w:rPr>
            </w:pPr>
            <w:r>
              <w:rPr>
                <w:rFonts w:hint="eastAsia" w:ascii="宋体" w:hAnsi="宋体" w:cs="宋体"/>
                <w:sz w:val="18"/>
                <w:szCs w:val="16"/>
              </w:rPr>
              <w:t>降碳效益</w:t>
            </w:r>
          </w:p>
        </w:tc>
        <w:tc>
          <w:tcPr>
            <w:tcW w:w="3156" w:type="dxa"/>
            <w:tcBorders>
              <w:top w:val="single" w:color="auto" w:sz="4" w:space="0"/>
            </w:tcBorders>
            <w:vAlign w:val="center"/>
          </w:tcPr>
          <w:p w14:paraId="6AAF0598">
            <w:pPr>
              <w:autoSpaceDE w:val="0"/>
              <w:autoSpaceDN w:val="0"/>
              <w:jc w:val="left"/>
              <w:rPr>
                <w:rFonts w:ascii="宋体" w:hAnsi="宋体" w:cs="宋体"/>
                <w:sz w:val="18"/>
                <w:szCs w:val="16"/>
              </w:rPr>
            </w:pPr>
            <w:r>
              <w:rPr>
                <w:rFonts w:hint="eastAsia" w:ascii="宋体" w:hAnsi="宋体" w:cs="宋体"/>
                <w:sz w:val="18"/>
                <w:szCs w:val="16"/>
              </w:rPr>
              <w:t>替代化石能源量、碳减排量</w:t>
            </w:r>
          </w:p>
        </w:tc>
      </w:tr>
    </w:tbl>
    <w:p w14:paraId="7B1E6046">
      <w:pPr>
        <w:pStyle w:val="129"/>
        <w:rPr>
          <w:rFonts w:ascii="Times New Roman"/>
        </w:rPr>
      </w:pPr>
      <w:r>
        <w:rPr>
          <w:rFonts w:hint="eastAsia" w:ascii="Times New Roman"/>
          <w:szCs w:val="22"/>
        </w:rPr>
        <w:t>环境效益评分规则</w:t>
      </w:r>
    </w:p>
    <w:tbl>
      <w:tblPr>
        <w:tblStyle w:val="35"/>
        <w:tblW w:w="9570" w:type="dxa"/>
        <w:jc w:val="center"/>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Layout w:type="fixed"/>
        <w:tblCellMar>
          <w:top w:w="0" w:type="dxa"/>
          <w:left w:w="108" w:type="dxa"/>
          <w:bottom w:w="0" w:type="dxa"/>
          <w:right w:w="108" w:type="dxa"/>
        </w:tblCellMar>
      </w:tblPr>
      <w:tblGrid>
        <w:gridCol w:w="6390"/>
        <w:gridCol w:w="3180"/>
      </w:tblGrid>
      <w:tr w14:paraId="292A3ED7">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trHeight w:val="122" w:hRule="atLeast"/>
          <w:jc w:val="center"/>
        </w:trPr>
        <w:tc>
          <w:tcPr>
            <w:tcW w:w="6390" w:type="dxa"/>
            <w:tcBorders>
              <w:bottom w:val="single" w:color="auto" w:sz="12" w:space="0"/>
            </w:tcBorders>
            <w:vAlign w:val="center"/>
          </w:tcPr>
          <w:p w14:paraId="576061E7">
            <w:pPr>
              <w:autoSpaceDE w:val="0"/>
              <w:autoSpaceDN w:val="0"/>
              <w:jc w:val="center"/>
              <w:rPr>
                <w:b/>
                <w:bCs/>
                <w:sz w:val="18"/>
                <w:szCs w:val="16"/>
              </w:rPr>
            </w:pPr>
            <w:r>
              <w:rPr>
                <w:rFonts w:hint="eastAsia"/>
                <w:b/>
                <w:bCs/>
                <w:sz w:val="18"/>
                <w:szCs w:val="16"/>
              </w:rPr>
              <w:t>环境效益</w:t>
            </w:r>
            <w:r>
              <w:rPr>
                <w:b/>
                <w:bCs/>
                <w:sz w:val="18"/>
                <w:szCs w:val="16"/>
              </w:rPr>
              <w:t>水平</w:t>
            </w:r>
          </w:p>
        </w:tc>
        <w:tc>
          <w:tcPr>
            <w:tcW w:w="3180" w:type="dxa"/>
            <w:tcBorders>
              <w:bottom w:val="single" w:color="auto" w:sz="12" w:space="0"/>
            </w:tcBorders>
            <w:vAlign w:val="center"/>
          </w:tcPr>
          <w:p w14:paraId="2798BA27">
            <w:pPr>
              <w:autoSpaceDE w:val="0"/>
              <w:autoSpaceDN w:val="0"/>
              <w:jc w:val="center"/>
              <w:rPr>
                <w:b/>
                <w:bCs/>
                <w:sz w:val="18"/>
                <w:szCs w:val="16"/>
              </w:rPr>
            </w:pPr>
            <w:r>
              <w:rPr>
                <w:rFonts w:hint="eastAsia"/>
                <w:b/>
                <w:bCs/>
                <w:sz w:val="18"/>
                <w:szCs w:val="16"/>
              </w:rPr>
              <w:t>分值（分）</w:t>
            </w:r>
          </w:p>
        </w:tc>
      </w:tr>
      <w:tr w14:paraId="6B3681A5">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trHeight w:val="90" w:hRule="atLeast"/>
          <w:jc w:val="center"/>
        </w:trPr>
        <w:tc>
          <w:tcPr>
            <w:tcW w:w="6390" w:type="dxa"/>
            <w:tcBorders>
              <w:top w:val="single" w:color="auto" w:sz="12" w:space="0"/>
              <w:bottom w:val="single" w:color="auto" w:sz="4" w:space="0"/>
            </w:tcBorders>
            <w:vAlign w:val="center"/>
          </w:tcPr>
          <w:p w14:paraId="54B97B52">
            <w:pPr>
              <w:autoSpaceDE w:val="0"/>
              <w:autoSpaceDN w:val="0"/>
              <w:rPr>
                <w:rFonts w:ascii="宋体" w:hAnsi="宋体" w:cs="宋体"/>
                <w:sz w:val="18"/>
                <w:szCs w:val="16"/>
              </w:rPr>
            </w:pPr>
            <w:r>
              <w:rPr>
                <w:rFonts w:hint="eastAsia"/>
                <w:sz w:val="18"/>
                <w:szCs w:val="16"/>
              </w:rPr>
              <w:t>涉及环境效益种类较多，产生实际环境效益贡献量较多</w:t>
            </w:r>
          </w:p>
        </w:tc>
        <w:tc>
          <w:tcPr>
            <w:tcW w:w="3180" w:type="dxa"/>
            <w:tcBorders>
              <w:top w:val="single" w:color="auto" w:sz="12" w:space="0"/>
              <w:bottom w:val="single" w:color="auto" w:sz="4" w:space="0"/>
            </w:tcBorders>
            <w:vAlign w:val="center"/>
          </w:tcPr>
          <w:p w14:paraId="6ABCE1FC">
            <w:pPr>
              <w:autoSpaceDE w:val="0"/>
              <w:autoSpaceDN w:val="0"/>
              <w:jc w:val="center"/>
              <w:rPr>
                <w:rFonts w:ascii="宋体" w:hAnsi="宋体" w:cs="宋体"/>
                <w:sz w:val="18"/>
                <w:szCs w:val="16"/>
              </w:rPr>
            </w:pPr>
            <w:r>
              <w:rPr>
                <w:rFonts w:hint="eastAsia" w:ascii="宋体" w:hAnsi="宋体" w:cs="宋体"/>
                <w:sz w:val="18"/>
                <w:szCs w:val="16"/>
              </w:rPr>
              <w:t>(10,16]</w:t>
            </w:r>
          </w:p>
        </w:tc>
      </w:tr>
      <w:tr w14:paraId="48AD4186">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trHeight w:val="90" w:hRule="atLeast"/>
          <w:jc w:val="center"/>
        </w:trPr>
        <w:tc>
          <w:tcPr>
            <w:tcW w:w="6390" w:type="dxa"/>
            <w:tcBorders>
              <w:top w:val="single" w:color="auto" w:sz="4" w:space="0"/>
              <w:bottom w:val="single" w:color="auto" w:sz="4" w:space="0"/>
            </w:tcBorders>
            <w:vAlign w:val="center"/>
          </w:tcPr>
          <w:p w14:paraId="251895DF">
            <w:pPr>
              <w:autoSpaceDE w:val="0"/>
              <w:autoSpaceDN w:val="0"/>
              <w:rPr>
                <w:rFonts w:ascii="宋体" w:hAnsi="宋体" w:cs="宋体"/>
                <w:sz w:val="18"/>
                <w:szCs w:val="16"/>
              </w:rPr>
            </w:pPr>
            <w:r>
              <w:rPr>
                <w:rFonts w:hint="eastAsia" w:ascii="宋体" w:hAnsi="宋体" w:cs="宋体"/>
                <w:sz w:val="18"/>
                <w:szCs w:val="16"/>
              </w:rPr>
              <w:t>涉及环境效益种类一般，产生实际环境效益贡献量一般</w:t>
            </w:r>
          </w:p>
        </w:tc>
        <w:tc>
          <w:tcPr>
            <w:tcW w:w="3180" w:type="dxa"/>
            <w:tcBorders>
              <w:top w:val="single" w:color="auto" w:sz="4" w:space="0"/>
              <w:bottom w:val="single" w:color="auto" w:sz="4" w:space="0"/>
            </w:tcBorders>
            <w:vAlign w:val="center"/>
          </w:tcPr>
          <w:p w14:paraId="3B3A5A76">
            <w:pPr>
              <w:autoSpaceDE w:val="0"/>
              <w:autoSpaceDN w:val="0"/>
              <w:jc w:val="center"/>
              <w:rPr>
                <w:rFonts w:ascii="宋体" w:hAnsi="宋体" w:cs="宋体"/>
                <w:sz w:val="18"/>
                <w:szCs w:val="16"/>
              </w:rPr>
            </w:pPr>
            <w:r>
              <w:rPr>
                <w:rFonts w:hint="eastAsia" w:ascii="宋体" w:hAnsi="宋体" w:cs="宋体"/>
                <w:sz w:val="18"/>
                <w:szCs w:val="16"/>
              </w:rPr>
              <w:t>(4,10]</w:t>
            </w:r>
          </w:p>
        </w:tc>
      </w:tr>
      <w:tr w14:paraId="22BC4B97">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trHeight w:val="98" w:hRule="atLeast"/>
          <w:jc w:val="center"/>
        </w:trPr>
        <w:tc>
          <w:tcPr>
            <w:tcW w:w="6390" w:type="dxa"/>
            <w:tcBorders>
              <w:top w:val="single" w:color="auto" w:sz="4" w:space="0"/>
              <w:bottom w:val="single" w:color="auto" w:sz="4" w:space="0"/>
            </w:tcBorders>
            <w:vAlign w:val="center"/>
          </w:tcPr>
          <w:p w14:paraId="39B797A8">
            <w:pPr>
              <w:autoSpaceDE w:val="0"/>
              <w:autoSpaceDN w:val="0"/>
              <w:rPr>
                <w:rFonts w:ascii="宋体" w:hAnsi="宋体" w:cs="宋体"/>
                <w:sz w:val="18"/>
                <w:szCs w:val="16"/>
              </w:rPr>
            </w:pPr>
            <w:r>
              <w:rPr>
                <w:rFonts w:hint="eastAsia" w:ascii="宋体" w:hAnsi="宋体" w:cs="宋体"/>
                <w:sz w:val="18"/>
                <w:szCs w:val="16"/>
              </w:rPr>
              <w:t>涉及环境效益种类较少，产生实际环境效益贡献量较少</w:t>
            </w:r>
          </w:p>
        </w:tc>
        <w:tc>
          <w:tcPr>
            <w:tcW w:w="3180" w:type="dxa"/>
            <w:tcBorders>
              <w:top w:val="single" w:color="auto" w:sz="4" w:space="0"/>
              <w:bottom w:val="single" w:color="auto" w:sz="4" w:space="0"/>
            </w:tcBorders>
            <w:vAlign w:val="center"/>
          </w:tcPr>
          <w:p w14:paraId="5341EA09">
            <w:pPr>
              <w:autoSpaceDE w:val="0"/>
              <w:autoSpaceDN w:val="0"/>
              <w:jc w:val="center"/>
              <w:rPr>
                <w:rFonts w:ascii="宋体" w:hAnsi="宋体" w:cs="宋体"/>
                <w:sz w:val="18"/>
                <w:szCs w:val="16"/>
              </w:rPr>
            </w:pPr>
            <w:r>
              <w:rPr>
                <w:rFonts w:hint="eastAsia" w:ascii="宋体" w:hAnsi="宋体" w:cs="宋体"/>
                <w:sz w:val="18"/>
                <w:szCs w:val="16"/>
              </w:rPr>
              <w:t>(0,4]</w:t>
            </w:r>
          </w:p>
        </w:tc>
      </w:tr>
      <w:tr w14:paraId="00DA21FB">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trHeight w:val="90" w:hRule="atLeast"/>
          <w:jc w:val="center"/>
        </w:trPr>
        <w:tc>
          <w:tcPr>
            <w:tcW w:w="6390" w:type="dxa"/>
            <w:tcBorders>
              <w:top w:val="single" w:color="auto" w:sz="4" w:space="0"/>
            </w:tcBorders>
            <w:vAlign w:val="center"/>
          </w:tcPr>
          <w:p w14:paraId="2CAC9E0C">
            <w:pPr>
              <w:autoSpaceDE w:val="0"/>
              <w:autoSpaceDN w:val="0"/>
              <w:rPr>
                <w:rFonts w:ascii="宋体" w:hAnsi="宋体" w:cs="宋体"/>
                <w:sz w:val="18"/>
                <w:szCs w:val="16"/>
              </w:rPr>
            </w:pPr>
            <w:r>
              <w:rPr>
                <w:rFonts w:hint="eastAsia" w:ascii="宋体" w:hAnsi="宋体" w:cs="宋体"/>
                <w:sz w:val="18"/>
                <w:szCs w:val="16"/>
              </w:rPr>
              <w:t>未产生实际环境效益</w:t>
            </w:r>
          </w:p>
        </w:tc>
        <w:tc>
          <w:tcPr>
            <w:tcW w:w="3180" w:type="dxa"/>
            <w:tcBorders>
              <w:top w:val="single" w:color="auto" w:sz="4" w:space="0"/>
            </w:tcBorders>
            <w:vAlign w:val="center"/>
          </w:tcPr>
          <w:p w14:paraId="7538030E">
            <w:pPr>
              <w:autoSpaceDE w:val="0"/>
              <w:autoSpaceDN w:val="0"/>
              <w:jc w:val="center"/>
              <w:rPr>
                <w:rFonts w:ascii="宋体" w:hAnsi="宋体" w:cs="宋体"/>
                <w:sz w:val="18"/>
                <w:szCs w:val="16"/>
              </w:rPr>
            </w:pPr>
            <w:r>
              <w:rPr>
                <w:rFonts w:hint="eastAsia" w:ascii="宋体" w:hAnsi="宋体" w:cs="宋体"/>
                <w:sz w:val="18"/>
                <w:szCs w:val="16"/>
              </w:rPr>
              <w:t>0</w:t>
            </w:r>
          </w:p>
        </w:tc>
      </w:tr>
    </w:tbl>
    <w:p w14:paraId="4B565141">
      <w:pPr>
        <w:pStyle w:val="49"/>
        <w:spacing w:before="156" w:after="156"/>
        <w:rPr>
          <w:rFonts w:ascii="Times New Roman"/>
        </w:rPr>
      </w:pPr>
      <w:r>
        <w:rPr>
          <w:rFonts w:ascii="Times New Roman"/>
        </w:rPr>
        <w:t>业务表现</w:t>
      </w:r>
    </w:p>
    <w:p w14:paraId="497817DC">
      <w:pPr>
        <w:pStyle w:val="54"/>
        <w:numPr>
          <w:ilvl w:val="3"/>
          <w:numId w:val="2"/>
        </w:numPr>
        <w:spacing w:before="156" w:after="156"/>
        <w:rPr>
          <w:rFonts w:ascii="Times New Roman"/>
          <w:highlight w:val="yellow"/>
        </w:rPr>
      </w:pPr>
      <w:r>
        <w:rPr>
          <w:rFonts w:ascii="Times New Roman"/>
        </w:rPr>
        <w:t>发展能力</w:t>
      </w:r>
    </w:p>
    <w:p w14:paraId="1F3831C9">
      <w:pPr>
        <w:pStyle w:val="58"/>
        <w:spacing w:before="156" w:after="156"/>
        <w:rPr>
          <w:rFonts w:ascii="Times New Roman"/>
        </w:rPr>
      </w:pPr>
      <w:r>
        <w:rPr>
          <w:rFonts w:ascii="Times New Roman"/>
        </w:rPr>
        <w:t>团队技术实力</w:t>
      </w:r>
    </w:p>
    <w:p w14:paraId="49DA9DD9">
      <w:pPr>
        <w:pStyle w:val="25"/>
        <w:rPr>
          <w:rFonts w:hAnsi="宋体" w:cs="宋体"/>
        </w:rPr>
      </w:pPr>
      <w:r>
        <w:rPr>
          <w:rFonts w:hint="eastAsia" w:hAnsi="宋体" w:cs="宋体"/>
        </w:rPr>
        <w:t>从专业覆盖面、学历职称、相关工作年限等方面进行综合评价，具体评分规则见表6。优质中小企业在实际得分基础上增加15%的得分，最高得分不超过单项满分。</w:t>
      </w:r>
    </w:p>
    <w:p w14:paraId="62E65FA7">
      <w:pPr>
        <w:pStyle w:val="129"/>
        <w:spacing w:before="78" w:beforeLines="25" w:after="78" w:afterLines="25"/>
        <w:rPr>
          <w:rFonts w:ascii="Times New Roman"/>
        </w:rPr>
      </w:pPr>
      <w:r>
        <w:rPr>
          <w:rFonts w:ascii="Times New Roman"/>
        </w:rPr>
        <w:t>团队技术实力评分规则</w:t>
      </w:r>
    </w:p>
    <w:tbl>
      <w:tblPr>
        <w:tblStyle w:val="35"/>
        <w:tblW w:w="9570"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4" w:space="0"/>
        </w:tblBorders>
        <w:tblLayout w:type="fixed"/>
        <w:tblCellMar>
          <w:top w:w="0" w:type="dxa"/>
          <w:left w:w="108" w:type="dxa"/>
          <w:bottom w:w="0" w:type="dxa"/>
          <w:right w:w="108" w:type="dxa"/>
        </w:tblCellMar>
      </w:tblPr>
      <w:tblGrid>
        <w:gridCol w:w="4096"/>
        <w:gridCol w:w="1559"/>
        <w:gridCol w:w="1560"/>
        <w:gridCol w:w="2355"/>
      </w:tblGrid>
      <w:tr w14:paraId="00F64841">
        <w:tblPrEx>
          <w:tblBorders>
            <w:top w:val="single" w:color="auto" w:sz="12" w:space="0"/>
            <w:left w:val="single" w:color="auto" w:sz="12" w:space="0"/>
            <w:bottom w:val="single" w:color="auto" w:sz="12" w:space="0"/>
            <w:right w:val="single" w:color="auto" w:sz="12" w:space="0"/>
            <w:insideH w:val="single" w:color="auto" w:sz="12" w:space="0"/>
            <w:insideV w:val="single" w:color="auto" w:sz="4" w:space="0"/>
          </w:tblBorders>
          <w:tblCellMar>
            <w:top w:w="0" w:type="dxa"/>
            <w:left w:w="108" w:type="dxa"/>
            <w:bottom w:w="0" w:type="dxa"/>
            <w:right w:w="108" w:type="dxa"/>
          </w:tblCellMar>
        </w:tblPrEx>
        <w:trPr>
          <w:trHeight w:val="90" w:hRule="atLeast"/>
          <w:jc w:val="center"/>
        </w:trPr>
        <w:tc>
          <w:tcPr>
            <w:tcW w:w="4096" w:type="dxa"/>
            <w:vAlign w:val="center"/>
          </w:tcPr>
          <w:p w14:paraId="3AF070FF">
            <w:pPr>
              <w:pStyle w:val="25"/>
              <w:ind w:firstLine="0" w:firstLineChars="0"/>
              <w:jc w:val="center"/>
              <w:rPr>
                <w:rFonts w:ascii="Times New Roman"/>
                <w:b/>
                <w:bCs/>
                <w:sz w:val="18"/>
                <w:szCs w:val="18"/>
              </w:rPr>
            </w:pPr>
            <w:r>
              <w:rPr>
                <w:rFonts w:ascii="Times New Roman"/>
                <w:b/>
                <w:bCs/>
                <w:sz w:val="18"/>
                <w:szCs w:val="18"/>
              </w:rPr>
              <w:t>团队技术实力</w:t>
            </w:r>
          </w:p>
        </w:tc>
        <w:tc>
          <w:tcPr>
            <w:tcW w:w="1559" w:type="dxa"/>
            <w:vAlign w:val="center"/>
          </w:tcPr>
          <w:p w14:paraId="352BAC9F">
            <w:pPr>
              <w:pStyle w:val="25"/>
              <w:ind w:firstLine="0" w:firstLineChars="0"/>
              <w:jc w:val="center"/>
              <w:rPr>
                <w:rFonts w:ascii="Times New Roman"/>
                <w:b/>
                <w:bCs/>
                <w:sz w:val="18"/>
                <w:szCs w:val="18"/>
              </w:rPr>
            </w:pPr>
            <w:r>
              <w:rPr>
                <w:rFonts w:ascii="Times New Roman"/>
                <w:b/>
                <w:bCs/>
                <w:sz w:val="18"/>
                <w:szCs w:val="18"/>
              </w:rPr>
              <w:t>基础分值</w:t>
            </w:r>
            <w:r>
              <w:rPr>
                <w:rFonts w:hint="eastAsia" w:ascii="Times New Roman"/>
                <w:b/>
                <w:bCs/>
                <w:sz w:val="18"/>
                <w:szCs w:val="18"/>
              </w:rPr>
              <w:t>（分）</w:t>
            </w:r>
          </w:p>
        </w:tc>
        <w:tc>
          <w:tcPr>
            <w:tcW w:w="1560" w:type="dxa"/>
            <w:vAlign w:val="center"/>
          </w:tcPr>
          <w:p w14:paraId="678A1C43">
            <w:pPr>
              <w:pStyle w:val="25"/>
              <w:ind w:firstLine="0" w:firstLineChars="0"/>
              <w:jc w:val="center"/>
              <w:rPr>
                <w:rFonts w:ascii="Times New Roman"/>
                <w:b/>
                <w:bCs/>
                <w:sz w:val="18"/>
                <w:szCs w:val="18"/>
              </w:rPr>
            </w:pPr>
            <w:r>
              <w:rPr>
                <w:rFonts w:ascii="Times New Roman"/>
                <w:b/>
                <w:bCs/>
                <w:sz w:val="18"/>
                <w:szCs w:val="18"/>
              </w:rPr>
              <w:t>最高分值</w:t>
            </w:r>
            <w:r>
              <w:rPr>
                <w:rFonts w:hint="eastAsia" w:ascii="Times New Roman"/>
                <w:b/>
                <w:bCs/>
                <w:sz w:val="18"/>
                <w:szCs w:val="18"/>
              </w:rPr>
              <w:t>（分）</w:t>
            </w:r>
          </w:p>
        </w:tc>
        <w:tc>
          <w:tcPr>
            <w:tcW w:w="2355" w:type="dxa"/>
            <w:vAlign w:val="center"/>
          </w:tcPr>
          <w:p w14:paraId="386B21A3">
            <w:pPr>
              <w:pStyle w:val="25"/>
              <w:ind w:firstLine="0" w:firstLineChars="0"/>
              <w:jc w:val="center"/>
              <w:rPr>
                <w:rFonts w:ascii="Times New Roman"/>
                <w:b/>
                <w:bCs/>
                <w:sz w:val="18"/>
                <w:szCs w:val="18"/>
              </w:rPr>
            </w:pPr>
            <w:r>
              <w:rPr>
                <w:rFonts w:ascii="Times New Roman"/>
                <w:b/>
                <w:bCs/>
                <w:sz w:val="18"/>
                <w:szCs w:val="18"/>
              </w:rPr>
              <w:t>加分规则</w:t>
            </w:r>
            <w:r>
              <w:rPr>
                <w:rFonts w:hint="eastAsia" w:ascii="Times New Roman"/>
                <w:b/>
                <w:bCs/>
                <w:sz w:val="18"/>
                <w:szCs w:val="18"/>
              </w:rPr>
              <w:t xml:space="preserve"> </w:t>
            </w:r>
          </w:p>
        </w:tc>
      </w:tr>
      <w:tr w14:paraId="46CAC105">
        <w:tblPrEx>
          <w:tblBorders>
            <w:top w:val="single" w:color="auto" w:sz="12" w:space="0"/>
            <w:left w:val="single" w:color="auto" w:sz="12" w:space="0"/>
            <w:bottom w:val="single" w:color="auto" w:sz="12" w:space="0"/>
            <w:right w:val="single" w:color="auto" w:sz="12" w:space="0"/>
            <w:insideH w:val="single" w:color="auto" w:sz="12" w:space="0"/>
            <w:insideV w:val="single" w:color="auto" w:sz="4" w:space="0"/>
          </w:tblBorders>
          <w:tblCellMar>
            <w:top w:w="0" w:type="dxa"/>
            <w:left w:w="108" w:type="dxa"/>
            <w:bottom w:w="0" w:type="dxa"/>
            <w:right w:w="108" w:type="dxa"/>
          </w:tblCellMar>
        </w:tblPrEx>
        <w:trPr>
          <w:trHeight w:val="1370" w:hRule="atLeast"/>
          <w:jc w:val="center"/>
        </w:trPr>
        <w:tc>
          <w:tcPr>
            <w:tcW w:w="4096" w:type="dxa"/>
            <w:vAlign w:val="center"/>
          </w:tcPr>
          <w:p w14:paraId="033E9785">
            <w:pPr>
              <w:pStyle w:val="25"/>
              <w:spacing w:line="240" w:lineRule="atLeast"/>
              <w:ind w:firstLine="0" w:firstLineChars="0"/>
              <w:rPr>
                <w:rFonts w:hAnsi="宋体" w:cs="宋体"/>
                <w:sz w:val="18"/>
                <w:szCs w:val="18"/>
              </w:rPr>
            </w:pPr>
            <w:r>
              <w:rPr>
                <w:rFonts w:hint="eastAsia" w:hAnsi="宋体" w:cs="宋体"/>
                <w:sz w:val="18"/>
                <w:szCs w:val="18"/>
              </w:rPr>
              <w:t>人员配置合理，涵盖所需专业，研发部门中30%以上科研人员从事相关工作达3年或以上年限，至少配备一名具有高级职称或博士学位的技术人员</w:t>
            </w:r>
          </w:p>
        </w:tc>
        <w:tc>
          <w:tcPr>
            <w:tcW w:w="1559" w:type="dxa"/>
            <w:vAlign w:val="center"/>
          </w:tcPr>
          <w:p w14:paraId="13477BBF">
            <w:pPr>
              <w:pStyle w:val="25"/>
              <w:spacing w:line="240" w:lineRule="atLeast"/>
              <w:ind w:firstLine="0" w:firstLineChars="0"/>
              <w:jc w:val="center"/>
              <w:rPr>
                <w:rFonts w:hAnsi="宋体" w:cs="宋体"/>
                <w:sz w:val="18"/>
                <w:szCs w:val="18"/>
              </w:rPr>
            </w:pPr>
            <w:r>
              <w:rPr>
                <w:rFonts w:hint="eastAsia" w:hAnsi="宋体" w:cs="宋体"/>
                <w:sz w:val="18"/>
                <w:szCs w:val="18"/>
              </w:rPr>
              <w:t>4</w:t>
            </w:r>
          </w:p>
        </w:tc>
        <w:tc>
          <w:tcPr>
            <w:tcW w:w="1560" w:type="dxa"/>
            <w:vAlign w:val="center"/>
          </w:tcPr>
          <w:p w14:paraId="386316BA">
            <w:pPr>
              <w:pStyle w:val="25"/>
              <w:spacing w:line="240" w:lineRule="atLeast"/>
              <w:ind w:firstLine="0" w:firstLineChars="0"/>
              <w:jc w:val="center"/>
              <w:rPr>
                <w:rFonts w:hAnsi="宋体" w:cs="宋体"/>
                <w:sz w:val="18"/>
                <w:szCs w:val="18"/>
              </w:rPr>
            </w:pPr>
            <w:r>
              <w:rPr>
                <w:rFonts w:hint="eastAsia" w:hAnsi="宋体" w:cs="宋体"/>
                <w:sz w:val="18"/>
                <w:szCs w:val="18"/>
              </w:rPr>
              <w:t>6</w:t>
            </w:r>
          </w:p>
        </w:tc>
        <w:tc>
          <w:tcPr>
            <w:tcW w:w="2355" w:type="dxa"/>
            <w:vAlign w:val="center"/>
          </w:tcPr>
          <w:p w14:paraId="5CFBE69B">
            <w:pPr>
              <w:pStyle w:val="25"/>
              <w:spacing w:line="240" w:lineRule="atLeast"/>
              <w:ind w:firstLine="0" w:firstLineChars="0"/>
              <w:rPr>
                <w:rFonts w:hAnsi="宋体" w:cs="宋体"/>
                <w:sz w:val="18"/>
                <w:szCs w:val="18"/>
              </w:rPr>
            </w:pPr>
            <w:r>
              <w:rPr>
                <w:rFonts w:hint="eastAsia" w:hAnsi="宋体" w:cs="宋体"/>
                <w:sz w:val="18"/>
                <w:szCs w:val="18"/>
              </w:rPr>
              <w:t>（1）每增加一名从事相关技术领域的高级职称或博士学位的技术人员，加0.5分</w:t>
            </w:r>
          </w:p>
        </w:tc>
      </w:tr>
    </w:tbl>
    <w:p w14:paraId="2ADA8C23">
      <w:pPr>
        <w:pStyle w:val="129"/>
        <w:numPr>
          <w:ilvl w:val="0"/>
          <w:numId w:val="0"/>
        </w:numPr>
        <w:spacing w:before="78" w:beforeLines="25" w:after="78" w:afterLines="25"/>
        <w:rPr>
          <w:rFonts w:hAnsi="黑体"/>
        </w:rPr>
      </w:pPr>
      <w:r>
        <w:rPr>
          <w:rFonts w:hint="eastAsia" w:hAnsi="黑体"/>
        </w:rPr>
        <w:t xml:space="preserve">表6  </w:t>
      </w:r>
      <w:r>
        <w:rPr>
          <w:rFonts w:hAnsi="黑体"/>
        </w:rPr>
        <w:t>团队技术实力评分规则</w:t>
      </w:r>
      <w:r>
        <w:rPr>
          <w:rFonts w:hint="eastAsia" w:asciiTheme="minorEastAsia" w:hAnsiTheme="minorEastAsia" w:eastAsiaTheme="minorEastAsia"/>
        </w:rPr>
        <w:t>（续）</w:t>
      </w:r>
    </w:p>
    <w:tbl>
      <w:tblPr>
        <w:tblStyle w:val="35"/>
        <w:tblW w:w="9570" w:type="dxa"/>
        <w:jc w:val="center"/>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Layout w:type="fixed"/>
        <w:tblCellMar>
          <w:top w:w="0" w:type="dxa"/>
          <w:left w:w="108" w:type="dxa"/>
          <w:bottom w:w="0" w:type="dxa"/>
          <w:right w:w="108" w:type="dxa"/>
        </w:tblCellMar>
      </w:tblPr>
      <w:tblGrid>
        <w:gridCol w:w="4096"/>
        <w:gridCol w:w="1559"/>
        <w:gridCol w:w="1560"/>
        <w:gridCol w:w="2355"/>
      </w:tblGrid>
      <w:tr w14:paraId="3B5C2386">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trHeight w:val="425" w:hRule="atLeast"/>
          <w:jc w:val="center"/>
        </w:trPr>
        <w:tc>
          <w:tcPr>
            <w:tcW w:w="4096" w:type="dxa"/>
            <w:tcBorders>
              <w:top w:val="single" w:color="auto" w:sz="12" w:space="0"/>
              <w:bottom w:val="single" w:color="auto" w:sz="4" w:space="0"/>
            </w:tcBorders>
            <w:vAlign w:val="center"/>
          </w:tcPr>
          <w:p w14:paraId="1C60DB66">
            <w:pPr>
              <w:pStyle w:val="25"/>
              <w:ind w:firstLine="0" w:firstLineChars="0"/>
              <w:jc w:val="center"/>
              <w:rPr>
                <w:rFonts w:hAnsi="宋体" w:cs="宋体"/>
                <w:sz w:val="18"/>
                <w:szCs w:val="18"/>
              </w:rPr>
            </w:pPr>
            <w:r>
              <w:rPr>
                <w:rFonts w:ascii="Times New Roman"/>
                <w:b/>
                <w:bCs/>
                <w:sz w:val="18"/>
                <w:szCs w:val="18"/>
              </w:rPr>
              <w:t>团队技术实力</w:t>
            </w:r>
          </w:p>
        </w:tc>
        <w:tc>
          <w:tcPr>
            <w:tcW w:w="1559" w:type="dxa"/>
            <w:tcBorders>
              <w:top w:val="single" w:color="auto" w:sz="12" w:space="0"/>
              <w:bottom w:val="single" w:color="auto" w:sz="4" w:space="0"/>
            </w:tcBorders>
            <w:vAlign w:val="center"/>
          </w:tcPr>
          <w:p w14:paraId="4ACDA874">
            <w:pPr>
              <w:pStyle w:val="25"/>
              <w:ind w:firstLine="0" w:firstLineChars="0"/>
              <w:jc w:val="center"/>
              <w:rPr>
                <w:rFonts w:hAnsi="宋体" w:cs="宋体"/>
                <w:sz w:val="18"/>
                <w:szCs w:val="18"/>
              </w:rPr>
            </w:pPr>
            <w:r>
              <w:rPr>
                <w:rFonts w:ascii="Times New Roman"/>
                <w:b/>
                <w:bCs/>
                <w:sz w:val="18"/>
                <w:szCs w:val="18"/>
              </w:rPr>
              <w:t>基础分值</w:t>
            </w:r>
            <w:r>
              <w:rPr>
                <w:rFonts w:hint="eastAsia" w:ascii="Times New Roman"/>
                <w:b/>
                <w:bCs/>
                <w:sz w:val="18"/>
                <w:szCs w:val="18"/>
              </w:rPr>
              <w:t>（分）</w:t>
            </w:r>
          </w:p>
        </w:tc>
        <w:tc>
          <w:tcPr>
            <w:tcW w:w="1560" w:type="dxa"/>
            <w:tcBorders>
              <w:top w:val="single" w:color="auto" w:sz="12" w:space="0"/>
              <w:bottom w:val="single" w:color="auto" w:sz="4" w:space="0"/>
            </w:tcBorders>
            <w:vAlign w:val="center"/>
          </w:tcPr>
          <w:p w14:paraId="4EC44028">
            <w:pPr>
              <w:pStyle w:val="25"/>
              <w:ind w:firstLine="0" w:firstLineChars="0"/>
              <w:jc w:val="center"/>
              <w:rPr>
                <w:rFonts w:hAnsi="宋体" w:cs="宋体"/>
                <w:sz w:val="18"/>
                <w:szCs w:val="18"/>
              </w:rPr>
            </w:pPr>
            <w:r>
              <w:rPr>
                <w:rFonts w:ascii="Times New Roman"/>
                <w:b/>
                <w:bCs/>
                <w:sz w:val="18"/>
                <w:szCs w:val="18"/>
              </w:rPr>
              <w:t>最高分值</w:t>
            </w:r>
            <w:r>
              <w:rPr>
                <w:rFonts w:hint="eastAsia" w:ascii="Times New Roman"/>
                <w:b/>
                <w:bCs/>
                <w:sz w:val="18"/>
                <w:szCs w:val="18"/>
              </w:rPr>
              <w:t>（分）</w:t>
            </w:r>
          </w:p>
        </w:tc>
        <w:tc>
          <w:tcPr>
            <w:tcW w:w="2355" w:type="dxa"/>
            <w:tcBorders>
              <w:top w:val="single" w:color="auto" w:sz="12" w:space="0"/>
              <w:bottom w:val="single" w:color="auto" w:sz="4" w:space="0"/>
            </w:tcBorders>
            <w:vAlign w:val="center"/>
          </w:tcPr>
          <w:p w14:paraId="59DE2C73">
            <w:pPr>
              <w:pStyle w:val="25"/>
              <w:ind w:firstLine="0" w:firstLineChars="0"/>
              <w:jc w:val="center"/>
              <w:rPr>
                <w:rFonts w:hAnsi="宋体" w:cs="宋体"/>
                <w:sz w:val="18"/>
                <w:szCs w:val="18"/>
              </w:rPr>
            </w:pPr>
            <w:r>
              <w:rPr>
                <w:rFonts w:ascii="Times New Roman"/>
                <w:b/>
                <w:bCs/>
                <w:sz w:val="18"/>
                <w:szCs w:val="18"/>
              </w:rPr>
              <w:t>加分规则</w:t>
            </w:r>
          </w:p>
        </w:tc>
      </w:tr>
      <w:tr w14:paraId="04B61188">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trHeight w:val="425" w:hRule="atLeast"/>
          <w:jc w:val="center"/>
        </w:trPr>
        <w:tc>
          <w:tcPr>
            <w:tcW w:w="4096" w:type="dxa"/>
            <w:tcBorders>
              <w:top w:val="single" w:color="auto" w:sz="4" w:space="0"/>
              <w:bottom w:val="single" w:color="auto" w:sz="4" w:space="0"/>
            </w:tcBorders>
            <w:vAlign w:val="center"/>
          </w:tcPr>
          <w:p w14:paraId="6B5BA831">
            <w:pPr>
              <w:pStyle w:val="25"/>
              <w:ind w:firstLine="0" w:firstLineChars="0"/>
              <w:rPr>
                <w:rFonts w:hAnsi="宋体" w:cs="宋体"/>
                <w:sz w:val="18"/>
                <w:szCs w:val="18"/>
              </w:rPr>
            </w:pPr>
            <w:r>
              <w:rPr>
                <w:rFonts w:hint="eastAsia" w:hAnsi="宋体" w:cs="宋体"/>
                <w:sz w:val="18"/>
                <w:szCs w:val="18"/>
              </w:rPr>
              <w:t>人员配置基本合理，涵盖所需专业，研发部门中20%以上科研人员从事相关工作达3年或以上年限，至少配备一名具有高级职称或博士学位的技术人员</w:t>
            </w:r>
          </w:p>
        </w:tc>
        <w:tc>
          <w:tcPr>
            <w:tcW w:w="1559" w:type="dxa"/>
            <w:tcBorders>
              <w:top w:val="single" w:color="auto" w:sz="4" w:space="0"/>
              <w:bottom w:val="single" w:color="auto" w:sz="4" w:space="0"/>
            </w:tcBorders>
            <w:vAlign w:val="center"/>
          </w:tcPr>
          <w:p w14:paraId="365055AA">
            <w:pPr>
              <w:pStyle w:val="25"/>
              <w:ind w:firstLine="0" w:firstLineChars="0"/>
              <w:jc w:val="center"/>
              <w:rPr>
                <w:rFonts w:hAnsi="宋体" w:cs="宋体"/>
                <w:sz w:val="18"/>
                <w:szCs w:val="18"/>
              </w:rPr>
            </w:pPr>
            <w:r>
              <w:rPr>
                <w:rFonts w:hAnsi="宋体" w:cs="宋体"/>
                <w:sz w:val="18"/>
                <w:szCs w:val="18"/>
              </w:rPr>
              <w:t>3</w:t>
            </w:r>
          </w:p>
        </w:tc>
        <w:tc>
          <w:tcPr>
            <w:tcW w:w="1560" w:type="dxa"/>
            <w:tcBorders>
              <w:top w:val="single" w:color="auto" w:sz="4" w:space="0"/>
              <w:bottom w:val="single" w:color="auto" w:sz="4" w:space="0"/>
            </w:tcBorders>
            <w:vAlign w:val="center"/>
          </w:tcPr>
          <w:p w14:paraId="42F329F5">
            <w:pPr>
              <w:pStyle w:val="25"/>
              <w:ind w:firstLine="0" w:firstLineChars="0"/>
              <w:jc w:val="center"/>
              <w:rPr>
                <w:rFonts w:hAnsi="宋体" w:cs="宋体"/>
                <w:sz w:val="18"/>
                <w:szCs w:val="18"/>
              </w:rPr>
            </w:pPr>
            <w:r>
              <w:rPr>
                <w:rFonts w:hAnsi="宋体" w:cs="宋体"/>
                <w:sz w:val="18"/>
                <w:szCs w:val="18"/>
              </w:rPr>
              <w:t>5</w:t>
            </w:r>
          </w:p>
        </w:tc>
        <w:tc>
          <w:tcPr>
            <w:tcW w:w="2355" w:type="dxa"/>
            <w:vMerge w:val="restart"/>
            <w:tcBorders>
              <w:top w:val="single" w:color="auto" w:sz="8" w:space="0"/>
              <w:bottom w:val="single" w:color="auto" w:sz="4" w:space="0"/>
            </w:tcBorders>
            <w:vAlign w:val="center"/>
          </w:tcPr>
          <w:p w14:paraId="059D759F">
            <w:pPr>
              <w:pStyle w:val="25"/>
              <w:ind w:firstLine="0" w:firstLineChars="0"/>
              <w:rPr>
                <w:rFonts w:hAnsi="宋体" w:cs="宋体"/>
                <w:sz w:val="18"/>
                <w:szCs w:val="18"/>
              </w:rPr>
            </w:pPr>
            <w:r>
              <w:rPr>
                <w:rFonts w:hint="eastAsia" w:hAnsi="宋体" w:cs="宋体"/>
                <w:sz w:val="18"/>
                <w:szCs w:val="18"/>
              </w:rPr>
              <w:t>（2）每增加5%从事相关工作达3年或以上年限的团队人员，加0.5分</w:t>
            </w:r>
          </w:p>
        </w:tc>
      </w:tr>
      <w:tr w14:paraId="0FECC9E1">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jc w:val="center"/>
        </w:trPr>
        <w:tc>
          <w:tcPr>
            <w:tcW w:w="4096" w:type="dxa"/>
            <w:tcBorders>
              <w:top w:val="single" w:color="auto" w:sz="4" w:space="0"/>
              <w:bottom w:val="single" w:color="auto" w:sz="12" w:space="0"/>
            </w:tcBorders>
            <w:vAlign w:val="center"/>
          </w:tcPr>
          <w:p w14:paraId="57CB4DCB">
            <w:pPr>
              <w:pStyle w:val="25"/>
              <w:ind w:firstLine="0" w:firstLineChars="0"/>
              <w:rPr>
                <w:rFonts w:hAnsi="宋体" w:cs="宋体"/>
                <w:sz w:val="18"/>
                <w:szCs w:val="18"/>
              </w:rPr>
            </w:pPr>
            <w:r>
              <w:rPr>
                <w:rFonts w:hint="eastAsia" w:hAnsi="宋体" w:cs="宋体"/>
                <w:sz w:val="18"/>
                <w:szCs w:val="18"/>
              </w:rPr>
              <w:t>人员配置未完全覆盖所需专业，团队实力一般</w:t>
            </w:r>
          </w:p>
        </w:tc>
        <w:tc>
          <w:tcPr>
            <w:tcW w:w="1559" w:type="dxa"/>
            <w:tcBorders>
              <w:top w:val="single" w:color="auto" w:sz="4" w:space="0"/>
              <w:bottom w:val="single" w:color="auto" w:sz="12" w:space="0"/>
            </w:tcBorders>
            <w:vAlign w:val="center"/>
          </w:tcPr>
          <w:p w14:paraId="2D745836">
            <w:pPr>
              <w:pStyle w:val="25"/>
              <w:ind w:firstLine="0" w:firstLineChars="0"/>
              <w:jc w:val="center"/>
              <w:rPr>
                <w:rFonts w:hAnsi="宋体" w:cs="宋体"/>
                <w:sz w:val="18"/>
                <w:szCs w:val="18"/>
              </w:rPr>
            </w:pPr>
            <w:r>
              <w:rPr>
                <w:rFonts w:hint="eastAsia" w:hAnsi="宋体" w:cs="宋体"/>
                <w:sz w:val="18"/>
                <w:szCs w:val="18"/>
              </w:rPr>
              <w:t>0</w:t>
            </w:r>
          </w:p>
        </w:tc>
        <w:tc>
          <w:tcPr>
            <w:tcW w:w="1560" w:type="dxa"/>
            <w:tcBorders>
              <w:top w:val="single" w:color="auto" w:sz="4" w:space="0"/>
              <w:bottom w:val="single" w:color="auto" w:sz="12" w:space="0"/>
            </w:tcBorders>
            <w:vAlign w:val="center"/>
          </w:tcPr>
          <w:p w14:paraId="6368E5EF">
            <w:pPr>
              <w:pStyle w:val="25"/>
              <w:ind w:firstLine="0" w:firstLineChars="0"/>
              <w:jc w:val="center"/>
              <w:rPr>
                <w:rFonts w:hAnsi="宋体" w:cs="宋体"/>
                <w:sz w:val="18"/>
                <w:szCs w:val="18"/>
              </w:rPr>
            </w:pPr>
            <w:r>
              <w:rPr>
                <w:rFonts w:hAnsi="宋体" w:cs="宋体"/>
                <w:sz w:val="18"/>
                <w:szCs w:val="18"/>
              </w:rPr>
              <w:t>3</w:t>
            </w:r>
          </w:p>
        </w:tc>
        <w:tc>
          <w:tcPr>
            <w:tcW w:w="2355" w:type="dxa"/>
            <w:vMerge w:val="continue"/>
            <w:tcBorders>
              <w:top w:val="single" w:color="auto" w:sz="4" w:space="0"/>
              <w:bottom w:val="single" w:color="auto" w:sz="12" w:space="0"/>
            </w:tcBorders>
            <w:vAlign w:val="center"/>
          </w:tcPr>
          <w:p w14:paraId="4A49E541">
            <w:pPr>
              <w:pStyle w:val="25"/>
              <w:ind w:firstLine="0" w:firstLineChars="0"/>
              <w:rPr>
                <w:rFonts w:hAnsi="宋体" w:cs="宋体"/>
                <w:sz w:val="18"/>
                <w:szCs w:val="18"/>
              </w:rPr>
            </w:pPr>
          </w:p>
        </w:tc>
      </w:tr>
      <w:tr w14:paraId="28816FE0">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jc w:val="center"/>
        </w:trPr>
        <w:tc>
          <w:tcPr>
            <w:tcW w:w="9570" w:type="dxa"/>
            <w:gridSpan w:val="4"/>
            <w:tcBorders>
              <w:top w:val="single" w:color="auto" w:sz="12" w:space="0"/>
              <w:bottom w:val="single" w:color="auto" w:sz="12" w:space="0"/>
              <w:tl2br w:val="nil"/>
              <w:tr2bl w:val="nil"/>
            </w:tcBorders>
            <w:vAlign w:val="center"/>
          </w:tcPr>
          <w:p w14:paraId="0A09795C">
            <w:pPr>
              <w:pStyle w:val="67"/>
            </w:pPr>
            <w:r>
              <w:rPr>
                <w:rFonts w:hint="eastAsia"/>
              </w:rPr>
              <w:t>科研人员是指直接从事研发和相关技术创新活动，以及专门从事上述活动的管理或提供直接技术服务的，累计实际工作时间在183天以上的人员，包括在职、兼职和临时聘用人员。在职人员可以通过企事业单位是否签订了劳动合同或缴纳社会保险费来鉴别；兼职、临时聘用人员全年须在企事业单位累计工作183天以上来鉴别。</w:t>
            </w:r>
          </w:p>
        </w:tc>
      </w:tr>
    </w:tbl>
    <w:p w14:paraId="08ADB9B9">
      <w:pPr>
        <w:pStyle w:val="58"/>
        <w:spacing w:before="156" w:after="156"/>
        <w:rPr>
          <w:rFonts w:ascii="Times New Roman"/>
        </w:rPr>
      </w:pPr>
      <w:r>
        <w:rPr>
          <w:rFonts w:ascii="Times New Roman"/>
        </w:rPr>
        <w:t>研发投入</w:t>
      </w:r>
    </w:p>
    <w:p w14:paraId="0BBA9D6A">
      <w:pPr>
        <w:pStyle w:val="25"/>
        <w:rPr>
          <w:rFonts w:hAnsi="宋体" w:cs="宋体"/>
          <w:sz w:val="18"/>
          <w:szCs w:val="18"/>
        </w:rPr>
      </w:pPr>
      <w:r>
        <w:rPr>
          <w:rFonts w:hint="eastAsia" w:hAnsi="宋体" w:cs="宋体"/>
        </w:rPr>
        <w:t>从智能电网建设运营研发投入占比或研发投入金额等方面进行评价。具体评分规则见表7。</w:t>
      </w:r>
    </w:p>
    <w:p w14:paraId="1135AF9F">
      <w:pPr>
        <w:pStyle w:val="67"/>
        <w:ind w:left="780" w:leftChars="200" w:hanging="360" w:hangingChars="200"/>
        <w:rPr>
          <w:rFonts w:ascii="Times New Roman"/>
        </w:rPr>
      </w:pPr>
      <w:r>
        <w:rPr>
          <w:rFonts w:hint="eastAsia" w:hAnsi="宋体" w:cs="宋体"/>
        </w:rPr>
        <w:t>智能电网建设运营领域的研发投入占比是指上一个会计年度（实际经营期不满一年的，按实际经营时间计算）的研究开发费用总额与同期销售收入总额的比值。其中，</w:t>
      </w:r>
      <w:r>
        <w:rPr>
          <w:rFonts w:hint="eastAsia" w:ascii="Times New Roman"/>
        </w:rPr>
        <w:t>研发</w:t>
      </w:r>
      <w:r>
        <w:rPr>
          <w:rFonts w:ascii="Times New Roman"/>
        </w:rPr>
        <w:t>开发费用包含研发人员人工费用、直接投入费用、折旧费用与长期待摊费用、无形资产摊销费用、设计费用、装备调试费用与试验费用、委托外部研究开发费用等。</w:t>
      </w:r>
    </w:p>
    <w:p w14:paraId="539F1E82">
      <w:pPr>
        <w:pStyle w:val="129"/>
        <w:spacing w:before="78" w:beforeLines="25" w:after="78" w:afterLines="25"/>
        <w:rPr>
          <w:rFonts w:ascii="Times New Roman"/>
        </w:rPr>
      </w:pPr>
      <w:r>
        <w:rPr>
          <w:rFonts w:ascii="Times New Roman"/>
        </w:rPr>
        <w:t>研发投入评分规则</w:t>
      </w:r>
    </w:p>
    <w:tbl>
      <w:tblPr>
        <w:tblStyle w:val="35"/>
        <w:tblW w:w="95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118"/>
        <w:gridCol w:w="1452"/>
      </w:tblGrid>
      <w:tr w14:paraId="7D0D425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18" w:type="dxa"/>
            <w:tcBorders>
              <w:bottom w:val="single" w:color="auto" w:sz="12" w:space="0"/>
            </w:tcBorders>
            <w:vAlign w:val="center"/>
          </w:tcPr>
          <w:p w14:paraId="1A624077">
            <w:pPr>
              <w:pStyle w:val="25"/>
              <w:ind w:firstLine="0" w:firstLineChars="0"/>
              <w:jc w:val="center"/>
              <w:rPr>
                <w:rFonts w:ascii="Times New Roman"/>
                <w:b/>
                <w:bCs/>
                <w:sz w:val="18"/>
                <w:szCs w:val="18"/>
              </w:rPr>
            </w:pPr>
            <w:r>
              <w:rPr>
                <w:rFonts w:ascii="Times New Roman"/>
                <w:b/>
                <w:bCs/>
                <w:sz w:val="18"/>
                <w:szCs w:val="18"/>
              </w:rPr>
              <w:t>绿色业务领域研发投入占比</w:t>
            </w:r>
          </w:p>
        </w:tc>
        <w:tc>
          <w:tcPr>
            <w:tcW w:w="1452" w:type="dxa"/>
            <w:tcBorders>
              <w:bottom w:val="single" w:color="auto" w:sz="12" w:space="0"/>
            </w:tcBorders>
            <w:vAlign w:val="center"/>
          </w:tcPr>
          <w:p w14:paraId="464FC389">
            <w:pPr>
              <w:pStyle w:val="25"/>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r>
      <w:tr w14:paraId="40FDF10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118" w:type="dxa"/>
            <w:tcBorders>
              <w:top w:val="single" w:color="auto" w:sz="12" w:space="0"/>
              <w:tl2br w:val="nil"/>
              <w:tr2bl w:val="nil"/>
            </w:tcBorders>
            <w:vAlign w:val="center"/>
          </w:tcPr>
          <w:p w14:paraId="00B73989">
            <w:pPr>
              <w:pStyle w:val="25"/>
              <w:ind w:firstLine="0" w:firstLineChars="0"/>
              <w:rPr>
                <w:rFonts w:hAnsi="宋体" w:cs="宋体"/>
                <w:sz w:val="18"/>
                <w:szCs w:val="18"/>
              </w:rPr>
            </w:pPr>
            <w:r>
              <w:rPr>
                <w:rFonts w:hint="eastAsia" w:hAnsi="宋体" w:cs="宋体"/>
                <w:sz w:val="18"/>
                <w:szCs w:val="18"/>
              </w:rPr>
              <w:t>最近一年营业收入在2亿元以上的企事业单位，比例不低于3%，或不低于600万元</w:t>
            </w:r>
          </w:p>
        </w:tc>
        <w:tc>
          <w:tcPr>
            <w:tcW w:w="1452" w:type="dxa"/>
            <w:vMerge w:val="restart"/>
            <w:tcBorders>
              <w:top w:val="single" w:color="auto" w:sz="12" w:space="0"/>
              <w:tl2br w:val="nil"/>
              <w:tr2bl w:val="nil"/>
            </w:tcBorders>
            <w:vAlign w:val="center"/>
          </w:tcPr>
          <w:p w14:paraId="1026F126">
            <w:pPr>
              <w:pStyle w:val="25"/>
              <w:ind w:firstLine="0" w:firstLineChars="0"/>
              <w:jc w:val="center"/>
              <w:rPr>
                <w:rFonts w:hAnsi="宋体" w:cs="宋体"/>
                <w:sz w:val="18"/>
                <w:szCs w:val="18"/>
              </w:rPr>
            </w:pPr>
            <w:r>
              <w:rPr>
                <w:rFonts w:hint="eastAsia" w:hAnsi="宋体" w:cs="宋体"/>
                <w:sz w:val="18"/>
                <w:szCs w:val="18"/>
              </w:rPr>
              <w:t>7</w:t>
            </w:r>
          </w:p>
        </w:tc>
      </w:tr>
      <w:tr w14:paraId="78EBD1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118" w:type="dxa"/>
            <w:tcBorders>
              <w:tl2br w:val="nil"/>
              <w:tr2bl w:val="nil"/>
            </w:tcBorders>
            <w:vAlign w:val="center"/>
          </w:tcPr>
          <w:p w14:paraId="6913B387">
            <w:pPr>
              <w:pStyle w:val="25"/>
              <w:ind w:firstLine="0" w:firstLineChars="0"/>
              <w:rPr>
                <w:rFonts w:hAnsi="宋体" w:cs="宋体"/>
                <w:sz w:val="18"/>
                <w:szCs w:val="18"/>
              </w:rPr>
            </w:pPr>
            <w:r>
              <w:rPr>
                <w:rFonts w:hint="eastAsia" w:hAnsi="宋体" w:cs="宋体"/>
                <w:sz w:val="18"/>
                <w:szCs w:val="18"/>
              </w:rPr>
              <w:t>最近一年营业收入在5000万元至2亿元（含）的企事业单位，比例不低于4%，或不低于400万元</w:t>
            </w:r>
          </w:p>
        </w:tc>
        <w:tc>
          <w:tcPr>
            <w:tcW w:w="1452" w:type="dxa"/>
            <w:vMerge w:val="continue"/>
            <w:tcBorders>
              <w:tl2br w:val="nil"/>
              <w:tr2bl w:val="nil"/>
            </w:tcBorders>
            <w:vAlign w:val="center"/>
          </w:tcPr>
          <w:p w14:paraId="33DB2373">
            <w:pPr>
              <w:pStyle w:val="25"/>
              <w:ind w:firstLine="0" w:firstLineChars="0"/>
              <w:jc w:val="center"/>
              <w:rPr>
                <w:rFonts w:hAnsi="宋体" w:cs="宋体"/>
                <w:sz w:val="18"/>
                <w:szCs w:val="18"/>
              </w:rPr>
            </w:pPr>
          </w:p>
        </w:tc>
      </w:tr>
      <w:tr w14:paraId="5928B83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118" w:type="dxa"/>
            <w:tcBorders>
              <w:tl2br w:val="nil"/>
              <w:tr2bl w:val="nil"/>
            </w:tcBorders>
            <w:vAlign w:val="center"/>
          </w:tcPr>
          <w:p w14:paraId="09D91248">
            <w:pPr>
              <w:pStyle w:val="25"/>
              <w:ind w:firstLine="0" w:firstLineChars="0"/>
              <w:rPr>
                <w:rFonts w:hAnsi="宋体" w:cs="宋体"/>
                <w:sz w:val="18"/>
                <w:szCs w:val="18"/>
              </w:rPr>
            </w:pPr>
            <w:r>
              <w:rPr>
                <w:rFonts w:hint="eastAsia" w:hAnsi="宋体" w:cs="宋体"/>
                <w:sz w:val="18"/>
                <w:szCs w:val="18"/>
              </w:rPr>
              <w:t>最近一年营业收入小于5000万元（含）的企事业单位，比例不低于5%，或不低于250万元</w:t>
            </w:r>
          </w:p>
        </w:tc>
        <w:tc>
          <w:tcPr>
            <w:tcW w:w="1452" w:type="dxa"/>
            <w:vMerge w:val="continue"/>
            <w:tcBorders>
              <w:tl2br w:val="nil"/>
              <w:tr2bl w:val="nil"/>
            </w:tcBorders>
            <w:vAlign w:val="center"/>
          </w:tcPr>
          <w:p w14:paraId="679EFBA4">
            <w:pPr>
              <w:pStyle w:val="25"/>
              <w:ind w:firstLine="0" w:firstLineChars="0"/>
              <w:jc w:val="center"/>
              <w:rPr>
                <w:rFonts w:hAnsi="宋体" w:cs="宋体"/>
                <w:sz w:val="18"/>
                <w:szCs w:val="18"/>
              </w:rPr>
            </w:pPr>
          </w:p>
        </w:tc>
      </w:tr>
      <w:tr w14:paraId="05F51C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118" w:type="dxa"/>
            <w:tcBorders>
              <w:bottom w:val="single" w:color="auto" w:sz="12" w:space="0"/>
              <w:tl2br w:val="nil"/>
              <w:tr2bl w:val="nil"/>
            </w:tcBorders>
            <w:vAlign w:val="center"/>
          </w:tcPr>
          <w:p w14:paraId="0A2FF691">
            <w:pPr>
              <w:pStyle w:val="25"/>
              <w:ind w:firstLine="0" w:firstLineChars="0"/>
              <w:rPr>
                <w:rFonts w:hAnsi="宋体" w:cs="宋体"/>
                <w:sz w:val="18"/>
                <w:szCs w:val="18"/>
              </w:rPr>
            </w:pPr>
            <w:r>
              <w:rPr>
                <w:rFonts w:hint="eastAsia" w:hAnsi="宋体" w:cs="宋体"/>
                <w:sz w:val="18"/>
                <w:szCs w:val="18"/>
              </w:rPr>
              <w:t>未满足上述任何一项</w:t>
            </w:r>
          </w:p>
        </w:tc>
        <w:tc>
          <w:tcPr>
            <w:tcW w:w="1452" w:type="dxa"/>
            <w:tcBorders>
              <w:bottom w:val="single" w:color="auto" w:sz="12" w:space="0"/>
              <w:tl2br w:val="nil"/>
              <w:tr2bl w:val="nil"/>
            </w:tcBorders>
            <w:vAlign w:val="center"/>
          </w:tcPr>
          <w:p w14:paraId="6D12D152">
            <w:pPr>
              <w:pStyle w:val="25"/>
              <w:ind w:firstLine="0" w:firstLineChars="0"/>
              <w:jc w:val="center"/>
              <w:rPr>
                <w:rFonts w:hAnsi="宋体" w:cs="宋体"/>
                <w:sz w:val="18"/>
                <w:szCs w:val="18"/>
              </w:rPr>
            </w:pPr>
            <w:r>
              <w:rPr>
                <w:rFonts w:hint="eastAsia" w:hAnsi="宋体" w:cs="宋体"/>
                <w:sz w:val="18"/>
                <w:szCs w:val="18"/>
              </w:rPr>
              <w:t>0</w:t>
            </w:r>
          </w:p>
        </w:tc>
      </w:tr>
      <w:tr w14:paraId="22C32E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570" w:type="dxa"/>
            <w:gridSpan w:val="2"/>
            <w:tcBorders>
              <w:top w:val="single" w:color="auto" w:sz="12" w:space="0"/>
            </w:tcBorders>
            <w:vAlign w:val="center"/>
          </w:tcPr>
          <w:p w14:paraId="27632D07">
            <w:pPr>
              <w:pStyle w:val="67"/>
              <w:rPr>
                <w:rFonts w:hAnsi="宋体" w:cs="宋体"/>
              </w:rPr>
            </w:pPr>
            <w:r>
              <w:rPr>
                <w:rFonts w:hint="eastAsia"/>
              </w:rPr>
              <w:t>不同营业收入的企事业单位，按照其实际营业收入，满足对应研发投入比例或金额要求即可得分。</w:t>
            </w:r>
          </w:p>
        </w:tc>
      </w:tr>
    </w:tbl>
    <w:p w14:paraId="34D121E4">
      <w:pPr>
        <w:pStyle w:val="58"/>
        <w:spacing w:before="156" w:after="156"/>
        <w:rPr>
          <w:rFonts w:ascii="Times New Roman"/>
        </w:rPr>
      </w:pPr>
      <w:r>
        <w:rPr>
          <w:rFonts w:hint="eastAsia" w:ascii="Times New Roman"/>
        </w:rPr>
        <w:t>运营效益水平</w:t>
      </w:r>
    </w:p>
    <w:p w14:paraId="560DF1DB">
      <w:pPr>
        <w:pStyle w:val="25"/>
        <w:rPr>
          <w:rFonts w:hAnsi="宋体" w:cs="宋体"/>
        </w:rPr>
      </w:pPr>
      <w:r>
        <w:rPr>
          <w:rFonts w:hint="eastAsia" w:hAnsi="宋体" w:cs="宋体"/>
        </w:rPr>
        <w:t>从业务增长率进行评价，采用近三年平均值进行评估（实际经营期不满三年的，按实际经营时间计算）。具体评分规则见表8。</w:t>
      </w:r>
    </w:p>
    <w:p w14:paraId="70044A14">
      <w:pPr>
        <w:pStyle w:val="67"/>
        <w:ind w:left="780" w:leftChars="200" w:hanging="360" w:hangingChars="200"/>
        <w:rPr>
          <w:rFonts w:hAnsi="宋体" w:cs="宋体"/>
        </w:rPr>
      </w:pPr>
      <w:r>
        <w:rPr>
          <w:rFonts w:hint="eastAsia" w:hAnsi="宋体" w:cs="宋体"/>
        </w:rPr>
        <w:t>指当年主营业务收入增长额与上年主营业务收入总额比值。</w:t>
      </w:r>
    </w:p>
    <w:p w14:paraId="6F9AD434">
      <w:pPr>
        <w:pStyle w:val="129"/>
        <w:spacing w:before="78" w:beforeLines="25" w:after="78" w:afterLines="25"/>
        <w:rPr>
          <w:rFonts w:ascii="Times New Roman"/>
        </w:rPr>
      </w:pPr>
      <w:r>
        <w:rPr>
          <w:rFonts w:hint="eastAsia" w:ascii="Times New Roman"/>
        </w:rPr>
        <w:t>运营效益水平</w:t>
      </w:r>
      <w:r>
        <w:rPr>
          <w:rFonts w:ascii="Times New Roman"/>
        </w:rPr>
        <w:t>评分规则</w:t>
      </w:r>
    </w:p>
    <w:tbl>
      <w:tblPr>
        <w:tblStyle w:val="35"/>
        <w:tblW w:w="5000" w:type="pct"/>
        <w:jc w:val="center"/>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Layout w:type="autofit"/>
        <w:tblCellMar>
          <w:top w:w="0" w:type="dxa"/>
          <w:left w:w="108" w:type="dxa"/>
          <w:bottom w:w="0" w:type="dxa"/>
          <w:right w:w="108" w:type="dxa"/>
        </w:tblCellMar>
      </w:tblPr>
      <w:tblGrid>
        <w:gridCol w:w="1732"/>
        <w:gridCol w:w="1600"/>
        <w:gridCol w:w="2327"/>
        <w:gridCol w:w="2327"/>
        <w:gridCol w:w="1584"/>
      </w:tblGrid>
      <w:tr w14:paraId="0F0DA2B6">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90" w:hRule="atLeast"/>
          <w:jc w:val="center"/>
        </w:trPr>
        <w:tc>
          <w:tcPr>
            <w:tcW w:w="905" w:type="pct"/>
            <w:tcBorders>
              <w:bottom w:val="single" w:color="auto" w:sz="12" w:space="0"/>
            </w:tcBorders>
            <w:vAlign w:val="center"/>
          </w:tcPr>
          <w:p w14:paraId="21CBC14F">
            <w:pPr>
              <w:autoSpaceDE w:val="0"/>
              <w:autoSpaceDN w:val="0"/>
              <w:jc w:val="center"/>
              <w:rPr>
                <w:rFonts w:asciiTheme="minorEastAsia" w:hAnsiTheme="minorEastAsia" w:eastAsiaTheme="minorEastAsia"/>
                <w:b/>
                <w:bCs/>
                <w:sz w:val="18"/>
                <w:szCs w:val="18"/>
              </w:rPr>
            </w:pPr>
            <w:r>
              <w:rPr>
                <w:rFonts w:asciiTheme="minorEastAsia" w:hAnsiTheme="minorEastAsia" w:eastAsiaTheme="minorEastAsia"/>
                <w:b/>
                <w:bCs/>
                <w:sz w:val="18"/>
                <w:szCs w:val="18"/>
              </w:rPr>
              <w:t>业务增长率</w:t>
            </w:r>
            <w:r>
              <w:rPr>
                <w:rFonts w:hint="eastAsia" w:asciiTheme="minorEastAsia" w:hAnsiTheme="minorEastAsia" w:eastAsiaTheme="minorEastAsia"/>
                <w:b/>
                <w:bCs/>
                <w:sz w:val="18"/>
                <w:szCs w:val="18"/>
              </w:rPr>
              <w:t>（%）</w:t>
            </w:r>
          </w:p>
        </w:tc>
        <w:tc>
          <w:tcPr>
            <w:tcW w:w="836" w:type="pct"/>
            <w:tcBorders>
              <w:bottom w:val="single" w:color="auto" w:sz="12" w:space="0"/>
            </w:tcBorders>
            <w:vAlign w:val="center"/>
          </w:tcPr>
          <w:p w14:paraId="01C9212B">
            <w:pPr>
              <w:autoSpaceDE w:val="0"/>
              <w:autoSpaceDN w:val="0"/>
              <w:jc w:val="center"/>
              <w:rPr>
                <w:rFonts w:asciiTheme="minorEastAsia" w:hAnsiTheme="minorEastAsia" w:eastAsiaTheme="minorEastAsia"/>
                <w:b/>
                <w:bCs/>
                <w:sz w:val="18"/>
                <w:szCs w:val="18"/>
              </w:rPr>
            </w:pPr>
            <w:r>
              <w:rPr>
                <w:rFonts w:asciiTheme="minorEastAsia" w:hAnsiTheme="minorEastAsia" w:eastAsiaTheme="minorEastAsia"/>
                <w:b/>
                <w:bCs/>
                <w:sz w:val="18"/>
                <w:szCs w:val="18"/>
              </w:rPr>
              <w:t>分值</w:t>
            </w:r>
            <w:r>
              <w:rPr>
                <w:rFonts w:hint="eastAsia" w:asciiTheme="minorEastAsia" w:hAnsiTheme="minorEastAsia" w:eastAsiaTheme="minorEastAsia"/>
                <w:b/>
                <w:bCs/>
                <w:sz w:val="18"/>
                <w:szCs w:val="18"/>
              </w:rPr>
              <w:t>（分）</w:t>
            </w:r>
          </w:p>
        </w:tc>
        <w:tc>
          <w:tcPr>
            <w:tcW w:w="1216" w:type="pct"/>
            <w:tcBorders>
              <w:bottom w:val="single" w:color="auto" w:sz="12" w:space="0"/>
            </w:tcBorders>
            <w:vAlign w:val="center"/>
          </w:tcPr>
          <w:p w14:paraId="67C762DD">
            <w:pPr>
              <w:autoSpaceDE w:val="0"/>
              <w:autoSpaceDN w:val="0"/>
              <w:jc w:val="center"/>
              <w:rPr>
                <w:rFonts w:asciiTheme="minorEastAsia" w:hAnsiTheme="minorEastAsia" w:eastAsiaTheme="minorEastAsia"/>
                <w:b/>
                <w:bCs/>
                <w:sz w:val="18"/>
                <w:szCs w:val="18"/>
              </w:rPr>
            </w:pPr>
            <w:r>
              <w:rPr>
                <w:rFonts w:hint="eastAsia" w:cs="宋体" w:asciiTheme="minorEastAsia" w:hAnsiTheme="minorEastAsia" w:eastAsiaTheme="minorEastAsia"/>
                <w:b/>
                <w:bCs/>
                <w:sz w:val="18"/>
                <w:szCs w:val="18"/>
              </w:rPr>
              <w:t>净利润率（%）</w:t>
            </w:r>
          </w:p>
        </w:tc>
        <w:tc>
          <w:tcPr>
            <w:tcW w:w="1216" w:type="pct"/>
            <w:tcBorders>
              <w:bottom w:val="single" w:color="auto" w:sz="12" w:space="0"/>
            </w:tcBorders>
            <w:vAlign w:val="center"/>
          </w:tcPr>
          <w:p w14:paraId="0127EA2B">
            <w:pPr>
              <w:autoSpaceDE w:val="0"/>
              <w:autoSpaceDN w:val="0"/>
              <w:jc w:val="center"/>
              <w:rPr>
                <w:rFonts w:asciiTheme="minorEastAsia" w:hAnsiTheme="minorEastAsia" w:eastAsiaTheme="minorEastAsia"/>
                <w:b/>
                <w:bCs/>
                <w:sz w:val="18"/>
                <w:szCs w:val="18"/>
              </w:rPr>
            </w:pPr>
            <w:r>
              <w:rPr>
                <w:rFonts w:hint="eastAsia" w:cs="宋体" w:asciiTheme="minorEastAsia" w:hAnsiTheme="minorEastAsia" w:eastAsiaTheme="minorEastAsia"/>
                <w:b/>
                <w:bCs/>
                <w:sz w:val="18"/>
                <w:szCs w:val="18"/>
              </w:rPr>
              <w:t>单项分值（分）</w:t>
            </w:r>
          </w:p>
        </w:tc>
        <w:tc>
          <w:tcPr>
            <w:tcW w:w="827" w:type="pct"/>
            <w:tcBorders>
              <w:bottom w:val="single" w:color="auto" w:sz="12" w:space="0"/>
            </w:tcBorders>
          </w:tcPr>
          <w:p w14:paraId="763EB07B">
            <w:pPr>
              <w:autoSpaceDE w:val="0"/>
              <w:autoSpaceDN w:val="0"/>
              <w:jc w:val="center"/>
              <w:rPr>
                <w:rFonts w:asciiTheme="minorEastAsia" w:hAnsiTheme="minorEastAsia" w:eastAsiaTheme="minorEastAsia"/>
                <w:b/>
                <w:bCs/>
                <w:sz w:val="18"/>
                <w:szCs w:val="18"/>
              </w:rPr>
            </w:pPr>
            <w:r>
              <w:rPr>
                <w:rFonts w:hint="eastAsia" w:asciiTheme="minorEastAsia" w:hAnsiTheme="minorEastAsia" w:eastAsiaTheme="minorEastAsia"/>
                <w:b/>
                <w:bCs/>
                <w:sz w:val="18"/>
                <w:szCs w:val="18"/>
              </w:rPr>
              <w:t>总分值（分）</w:t>
            </w:r>
          </w:p>
        </w:tc>
      </w:tr>
      <w:tr w14:paraId="2A910ECF">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94" w:hRule="atLeast"/>
          <w:jc w:val="center"/>
        </w:trPr>
        <w:tc>
          <w:tcPr>
            <w:tcW w:w="905" w:type="pct"/>
            <w:tcBorders>
              <w:top w:val="single" w:color="auto" w:sz="12" w:space="0"/>
              <w:bottom w:val="single" w:color="auto" w:sz="4" w:space="0"/>
            </w:tcBorders>
            <w:vAlign w:val="center"/>
          </w:tcPr>
          <w:p w14:paraId="1927CBA7">
            <w:pPr>
              <w:autoSpaceDE w:val="0"/>
              <w:autoSpaceDN w:val="0"/>
              <w:jc w:val="center"/>
              <w:rPr>
                <w:rFonts w:ascii="宋体" w:hAnsi="宋体" w:cs="宋体"/>
                <w:sz w:val="18"/>
                <w:szCs w:val="18"/>
              </w:rPr>
            </w:pPr>
            <w:r>
              <w:rPr>
                <w:rFonts w:hint="eastAsia" w:ascii="宋体" w:hAnsi="宋体" w:cs="宋体"/>
                <w:sz w:val="18"/>
                <w:szCs w:val="18"/>
              </w:rPr>
              <w:t>≥15</w:t>
            </w:r>
          </w:p>
        </w:tc>
        <w:tc>
          <w:tcPr>
            <w:tcW w:w="836" w:type="pct"/>
            <w:tcBorders>
              <w:top w:val="single" w:color="auto" w:sz="12" w:space="0"/>
              <w:bottom w:val="single" w:color="auto" w:sz="4" w:space="0"/>
            </w:tcBorders>
            <w:vAlign w:val="center"/>
          </w:tcPr>
          <w:p w14:paraId="4CA560ED">
            <w:pPr>
              <w:autoSpaceDE w:val="0"/>
              <w:autoSpaceDN w:val="0"/>
              <w:jc w:val="center"/>
              <w:rPr>
                <w:rFonts w:ascii="宋体" w:hAnsi="宋体" w:cs="宋体"/>
                <w:sz w:val="18"/>
                <w:szCs w:val="18"/>
              </w:rPr>
            </w:pPr>
            <w:r>
              <w:rPr>
                <w:rFonts w:hint="eastAsia" w:ascii="宋体" w:hAnsi="宋体" w:cs="宋体"/>
                <w:sz w:val="18"/>
                <w:szCs w:val="18"/>
              </w:rPr>
              <w:t>2</w:t>
            </w:r>
          </w:p>
        </w:tc>
        <w:tc>
          <w:tcPr>
            <w:tcW w:w="1216" w:type="pct"/>
            <w:tcBorders>
              <w:top w:val="single" w:color="auto" w:sz="12" w:space="0"/>
              <w:bottom w:val="single" w:color="auto" w:sz="4" w:space="0"/>
            </w:tcBorders>
            <w:vAlign w:val="center"/>
          </w:tcPr>
          <w:p w14:paraId="1D26D3FC">
            <w:pPr>
              <w:autoSpaceDE w:val="0"/>
              <w:autoSpaceDN w:val="0"/>
              <w:jc w:val="center"/>
              <w:rPr>
                <w:rFonts w:ascii="宋体" w:hAnsi="宋体" w:cs="宋体"/>
                <w:sz w:val="18"/>
                <w:szCs w:val="18"/>
              </w:rPr>
            </w:pPr>
            <w:r>
              <w:rPr>
                <w:rFonts w:hint="eastAsia" w:ascii="宋体" w:hAnsi="宋体" w:cs="宋体"/>
                <w:sz w:val="18"/>
                <w:szCs w:val="18"/>
              </w:rPr>
              <w:t>≥6</w:t>
            </w:r>
          </w:p>
        </w:tc>
        <w:tc>
          <w:tcPr>
            <w:tcW w:w="1216" w:type="pct"/>
            <w:tcBorders>
              <w:top w:val="single" w:color="auto" w:sz="12" w:space="0"/>
              <w:bottom w:val="single" w:color="auto" w:sz="4" w:space="0"/>
            </w:tcBorders>
            <w:vAlign w:val="center"/>
          </w:tcPr>
          <w:p w14:paraId="402B49C7">
            <w:pPr>
              <w:autoSpaceDE w:val="0"/>
              <w:autoSpaceDN w:val="0"/>
              <w:jc w:val="center"/>
              <w:rPr>
                <w:rFonts w:ascii="宋体" w:hAnsi="宋体" w:cs="宋体"/>
                <w:sz w:val="18"/>
                <w:szCs w:val="18"/>
              </w:rPr>
            </w:pPr>
            <w:r>
              <w:rPr>
                <w:rFonts w:ascii="宋体" w:hAnsi="宋体" w:cs="宋体"/>
                <w:sz w:val="18"/>
                <w:szCs w:val="18"/>
              </w:rPr>
              <w:t>1</w:t>
            </w:r>
          </w:p>
        </w:tc>
        <w:tc>
          <w:tcPr>
            <w:tcW w:w="827" w:type="pct"/>
            <w:vMerge w:val="restart"/>
            <w:tcBorders>
              <w:top w:val="single" w:color="auto" w:sz="12" w:space="0"/>
            </w:tcBorders>
            <w:vAlign w:val="center"/>
          </w:tcPr>
          <w:p w14:paraId="10356F48">
            <w:pPr>
              <w:autoSpaceDE w:val="0"/>
              <w:autoSpaceDN w:val="0"/>
              <w:rPr>
                <w:rFonts w:ascii="宋体" w:hAnsi="宋体" w:cs="宋体"/>
                <w:sz w:val="18"/>
                <w:szCs w:val="18"/>
              </w:rPr>
            </w:pPr>
            <w:r>
              <w:rPr>
                <w:rFonts w:hint="eastAsia" w:ascii="宋体" w:hAnsi="宋体" w:cs="宋体"/>
                <w:sz w:val="18"/>
                <w:szCs w:val="18"/>
              </w:rPr>
              <w:t>该项得分为两项指标累计得分</w:t>
            </w:r>
          </w:p>
        </w:tc>
      </w:tr>
      <w:tr w14:paraId="5596C4A4">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90" w:hRule="atLeast"/>
          <w:jc w:val="center"/>
        </w:trPr>
        <w:tc>
          <w:tcPr>
            <w:tcW w:w="905" w:type="pct"/>
            <w:tcBorders>
              <w:top w:val="single" w:color="auto" w:sz="4" w:space="0"/>
              <w:bottom w:val="single" w:color="auto" w:sz="4" w:space="0"/>
            </w:tcBorders>
            <w:vAlign w:val="center"/>
          </w:tcPr>
          <w:p w14:paraId="19F1E814">
            <w:pPr>
              <w:autoSpaceDE w:val="0"/>
              <w:autoSpaceDN w:val="0"/>
              <w:jc w:val="center"/>
              <w:rPr>
                <w:rFonts w:ascii="宋体" w:hAnsi="宋体" w:cs="宋体"/>
                <w:sz w:val="18"/>
                <w:szCs w:val="18"/>
              </w:rPr>
            </w:pPr>
            <w:r>
              <w:rPr>
                <w:rFonts w:hint="eastAsia" w:ascii="宋体" w:hAnsi="宋体" w:cs="宋体"/>
                <w:sz w:val="18"/>
                <w:szCs w:val="18"/>
              </w:rPr>
              <w:t>[5,15)</w:t>
            </w:r>
          </w:p>
        </w:tc>
        <w:tc>
          <w:tcPr>
            <w:tcW w:w="836" w:type="pct"/>
            <w:tcBorders>
              <w:top w:val="single" w:color="auto" w:sz="4" w:space="0"/>
              <w:bottom w:val="single" w:color="auto" w:sz="4" w:space="0"/>
            </w:tcBorders>
            <w:vAlign w:val="center"/>
          </w:tcPr>
          <w:p w14:paraId="11B8B5CC">
            <w:pPr>
              <w:autoSpaceDE w:val="0"/>
              <w:autoSpaceDN w:val="0"/>
              <w:jc w:val="center"/>
              <w:rPr>
                <w:rFonts w:ascii="宋体" w:hAnsi="宋体" w:cs="宋体"/>
                <w:sz w:val="18"/>
                <w:szCs w:val="18"/>
              </w:rPr>
            </w:pPr>
            <w:r>
              <w:rPr>
                <w:rFonts w:hint="eastAsia" w:ascii="宋体" w:hAnsi="宋体" w:cs="宋体"/>
                <w:sz w:val="18"/>
                <w:szCs w:val="18"/>
              </w:rPr>
              <w:t>1</w:t>
            </w:r>
          </w:p>
        </w:tc>
        <w:tc>
          <w:tcPr>
            <w:tcW w:w="1216" w:type="pct"/>
            <w:tcBorders>
              <w:top w:val="single" w:color="auto" w:sz="4" w:space="0"/>
              <w:bottom w:val="single" w:color="auto" w:sz="4" w:space="0"/>
            </w:tcBorders>
            <w:vAlign w:val="center"/>
          </w:tcPr>
          <w:p w14:paraId="7588EFC1">
            <w:pPr>
              <w:autoSpaceDE w:val="0"/>
              <w:autoSpaceDN w:val="0"/>
              <w:jc w:val="center"/>
              <w:rPr>
                <w:rFonts w:ascii="宋体" w:hAnsi="宋体" w:cs="宋体"/>
                <w:sz w:val="18"/>
                <w:szCs w:val="18"/>
              </w:rPr>
            </w:pPr>
            <w:r>
              <w:rPr>
                <w:rFonts w:hint="eastAsia" w:ascii="宋体" w:hAnsi="宋体" w:cs="宋体"/>
                <w:sz w:val="18"/>
                <w:szCs w:val="18"/>
              </w:rPr>
              <w:t>[2,6)</w:t>
            </w:r>
          </w:p>
        </w:tc>
        <w:tc>
          <w:tcPr>
            <w:tcW w:w="1216" w:type="pct"/>
            <w:tcBorders>
              <w:top w:val="single" w:color="auto" w:sz="4" w:space="0"/>
              <w:bottom w:val="single" w:color="auto" w:sz="4" w:space="0"/>
            </w:tcBorders>
            <w:vAlign w:val="center"/>
          </w:tcPr>
          <w:p w14:paraId="1F0C9F3B">
            <w:pPr>
              <w:autoSpaceDE w:val="0"/>
              <w:autoSpaceDN w:val="0"/>
              <w:jc w:val="center"/>
              <w:rPr>
                <w:rFonts w:ascii="宋体" w:hAnsi="宋体" w:cs="宋体"/>
                <w:sz w:val="18"/>
                <w:szCs w:val="18"/>
              </w:rPr>
            </w:pPr>
            <w:r>
              <w:rPr>
                <w:rFonts w:ascii="宋体" w:hAnsi="宋体" w:cs="宋体"/>
                <w:sz w:val="18"/>
                <w:szCs w:val="18"/>
              </w:rPr>
              <w:t>0.5</w:t>
            </w:r>
          </w:p>
        </w:tc>
        <w:tc>
          <w:tcPr>
            <w:tcW w:w="827" w:type="pct"/>
            <w:vMerge w:val="continue"/>
          </w:tcPr>
          <w:p w14:paraId="6F982C33">
            <w:pPr>
              <w:autoSpaceDE w:val="0"/>
              <w:autoSpaceDN w:val="0"/>
              <w:jc w:val="center"/>
              <w:rPr>
                <w:rFonts w:ascii="宋体" w:hAnsi="宋体" w:cs="宋体"/>
                <w:sz w:val="18"/>
                <w:szCs w:val="18"/>
              </w:rPr>
            </w:pPr>
          </w:p>
        </w:tc>
      </w:tr>
      <w:tr w14:paraId="3BFFF073">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90" w:hRule="atLeast"/>
          <w:jc w:val="center"/>
        </w:trPr>
        <w:tc>
          <w:tcPr>
            <w:tcW w:w="905" w:type="pct"/>
            <w:tcBorders>
              <w:top w:val="single" w:color="auto" w:sz="4" w:space="0"/>
              <w:bottom w:val="single" w:color="auto" w:sz="4" w:space="0"/>
            </w:tcBorders>
            <w:vAlign w:val="center"/>
          </w:tcPr>
          <w:p w14:paraId="1402A1B8">
            <w:pPr>
              <w:autoSpaceDE w:val="0"/>
              <w:autoSpaceDN w:val="0"/>
              <w:jc w:val="center"/>
              <w:rPr>
                <w:rFonts w:ascii="宋体" w:hAnsi="宋体" w:cs="宋体"/>
                <w:sz w:val="18"/>
                <w:szCs w:val="18"/>
              </w:rPr>
            </w:pPr>
            <w:r>
              <w:rPr>
                <w:rFonts w:hint="eastAsia" w:ascii="宋体" w:hAnsi="宋体" w:cs="宋体"/>
                <w:sz w:val="18"/>
                <w:szCs w:val="18"/>
              </w:rPr>
              <w:t>[0,5)</w:t>
            </w:r>
          </w:p>
        </w:tc>
        <w:tc>
          <w:tcPr>
            <w:tcW w:w="836" w:type="pct"/>
            <w:tcBorders>
              <w:top w:val="single" w:color="auto" w:sz="4" w:space="0"/>
              <w:bottom w:val="single" w:color="auto" w:sz="4" w:space="0"/>
            </w:tcBorders>
            <w:vAlign w:val="center"/>
          </w:tcPr>
          <w:p w14:paraId="3CA8CD29">
            <w:pPr>
              <w:autoSpaceDE w:val="0"/>
              <w:autoSpaceDN w:val="0"/>
              <w:jc w:val="center"/>
              <w:rPr>
                <w:rFonts w:ascii="宋体" w:hAnsi="宋体" w:cs="宋体"/>
                <w:sz w:val="18"/>
                <w:szCs w:val="18"/>
              </w:rPr>
            </w:pPr>
            <w:r>
              <w:rPr>
                <w:rFonts w:hint="eastAsia" w:ascii="宋体" w:hAnsi="宋体" w:cs="宋体"/>
                <w:sz w:val="18"/>
                <w:szCs w:val="18"/>
              </w:rPr>
              <w:t>0.5</w:t>
            </w:r>
          </w:p>
        </w:tc>
        <w:tc>
          <w:tcPr>
            <w:tcW w:w="1216" w:type="pct"/>
            <w:vMerge w:val="restart"/>
            <w:tcBorders>
              <w:top w:val="single" w:color="auto" w:sz="4" w:space="0"/>
            </w:tcBorders>
            <w:vAlign w:val="center"/>
          </w:tcPr>
          <w:p w14:paraId="603087C3">
            <w:pPr>
              <w:autoSpaceDE w:val="0"/>
              <w:autoSpaceDN w:val="0"/>
              <w:jc w:val="center"/>
              <w:rPr>
                <w:rFonts w:ascii="宋体" w:hAnsi="宋体" w:cs="宋体"/>
                <w:sz w:val="18"/>
                <w:szCs w:val="18"/>
              </w:rPr>
            </w:pPr>
            <w:r>
              <w:rPr>
                <w:rFonts w:hint="eastAsia" w:ascii="宋体" w:hAnsi="宋体" w:cs="宋体"/>
                <w:sz w:val="18"/>
                <w:szCs w:val="18"/>
              </w:rPr>
              <w:t>＜2</w:t>
            </w:r>
          </w:p>
        </w:tc>
        <w:tc>
          <w:tcPr>
            <w:tcW w:w="1216" w:type="pct"/>
            <w:vMerge w:val="restart"/>
            <w:tcBorders>
              <w:top w:val="single" w:color="auto" w:sz="4" w:space="0"/>
            </w:tcBorders>
            <w:vAlign w:val="center"/>
          </w:tcPr>
          <w:p w14:paraId="79126692">
            <w:pPr>
              <w:autoSpaceDE w:val="0"/>
              <w:autoSpaceDN w:val="0"/>
              <w:jc w:val="center"/>
              <w:rPr>
                <w:rFonts w:ascii="宋体" w:hAnsi="宋体" w:cs="宋体"/>
                <w:sz w:val="18"/>
                <w:szCs w:val="18"/>
              </w:rPr>
            </w:pPr>
            <w:r>
              <w:rPr>
                <w:rFonts w:hint="eastAsia" w:ascii="宋体" w:hAnsi="宋体" w:cs="宋体"/>
                <w:sz w:val="18"/>
                <w:szCs w:val="18"/>
              </w:rPr>
              <w:t>0</w:t>
            </w:r>
          </w:p>
        </w:tc>
        <w:tc>
          <w:tcPr>
            <w:tcW w:w="827" w:type="pct"/>
            <w:vMerge w:val="continue"/>
          </w:tcPr>
          <w:p w14:paraId="49E35B1E">
            <w:pPr>
              <w:autoSpaceDE w:val="0"/>
              <w:autoSpaceDN w:val="0"/>
              <w:jc w:val="center"/>
              <w:rPr>
                <w:rFonts w:ascii="宋体" w:hAnsi="宋体" w:cs="宋体"/>
                <w:sz w:val="18"/>
                <w:szCs w:val="18"/>
              </w:rPr>
            </w:pPr>
          </w:p>
        </w:tc>
      </w:tr>
      <w:tr w14:paraId="55A904B0">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90" w:hRule="atLeast"/>
          <w:jc w:val="center"/>
        </w:trPr>
        <w:tc>
          <w:tcPr>
            <w:tcW w:w="905" w:type="pct"/>
            <w:tcBorders>
              <w:top w:val="single" w:color="auto" w:sz="4" w:space="0"/>
              <w:bottom w:val="single" w:color="auto" w:sz="12" w:space="0"/>
            </w:tcBorders>
            <w:vAlign w:val="center"/>
          </w:tcPr>
          <w:p w14:paraId="64B83B80">
            <w:pPr>
              <w:autoSpaceDE w:val="0"/>
              <w:autoSpaceDN w:val="0"/>
              <w:jc w:val="center"/>
              <w:rPr>
                <w:rFonts w:ascii="宋体" w:hAnsi="宋体" w:cs="宋体"/>
                <w:sz w:val="18"/>
                <w:szCs w:val="18"/>
              </w:rPr>
            </w:pPr>
            <w:r>
              <w:rPr>
                <w:rFonts w:hint="eastAsia" w:ascii="宋体" w:hAnsi="宋体" w:cs="宋体"/>
                <w:sz w:val="18"/>
                <w:szCs w:val="18"/>
              </w:rPr>
              <w:t>＜0</w:t>
            </w:r>
          </w:p>
        </w:tc>
        <w:tc>
          <w:tcPr>
            <w:tcW w:w="836" w:type="pct"/>
            <w:tcBorders>
              <w:top w:val="single" w:color="auto" w:sz="4" w:space="0"/>
              <w:bottom w:val="single" w:color="auto" w:sz="12" w:space="0"/>
            </w:tcBorders>
            <w:vAlign w:val="center"/>
          </w:tcPr>
          <w:p w14:paraId="736652D5">
            <w:pPr>
              <w:autoSpaceDE w:val="0"/>
              <w:autoSpaceDN w:val="0"/>
              <w:jc w:val="center"/>
              <w:rPr>
                <w:rFonts w:ascii="宋体" w:hAnsi="宋体" w:cs="宋体"/>
                <w:sz w:val="18"/>
                <w:szCs w:val="18"/>
              </w:rPr>
            </w:pPr>
            <w:r>
              <w:rPr>
                <w:rFonts w:hint="eastAsia" w:ascii="宋体" w:hAnsi="宋体" w:cs="宋体"/>
                <w:sz w:val="18"/>
                <w:szCs w:val="18"/>
              </w:rPr>
              <w:t>0</w:t>
            </w:r>
          </w:p>
        </w:tc>
        <w:tc>
          <w:tcPr>
            <w:tcW w:w="1216" w:type="pct"/>
            <w:vMerge w:val="continue"/>
            <w:tcBorders>
              <w:bottom w:val="single" w:color="auto" w:sz="12" w:space="0"/>
            </w:tcBorders>
          </w:tcPr>
          <w:p w14:paraId="4EE85F74">
            <w:pPr>
              <w:autoSpaceDE w:val="0"/>
              <w:autoSpaceDN w:val="0"/>
              <w:jc w:val="center"/>
              <w:rPr>
                <w:rFonts w:ascii="宋体" w:hAnsi="宋体" w:cs="宋体"/>
                <w:sz w:val="18"/>
                <w:szCs w:val="18"/>
              </w:rPr>
            </w:pPr>
          </w:p>
        </w:tc>
        <w:tc>
          <w:tcPr>
            <w:tcW w:w="1216" w:type="pct"/>
            <w:vMerge w:val="continue"/>
            <w:tcBorders>
              <w:bottom w:val="single" w:color="auto" w:sz="12" w:space="0"/>
            </w:tcBorders>
            <w:vAlign w:val="center"/>
          </w:tcPr>
          <w:p w14:paraId="616C8057">
            <w:pPr>
              <w:autoSpaceDE w:val="0"/>
              <w:autoSpaceDN w:val="0"/>
              <w:jc w:val="center"/>
              <w:rPr>
                <w:rFonts w:ascii="宋体" w:hAnsi="宋体" w:cs="宋体"/>
                <w:sz w:val="18"/>
                <w:szCs w:val="18"/>
              </w:rPr>
            </w:pPr>
          </w:p>
        </w:tc>
        <w:tc>
          <w:tcPr>
            <w:tcW w:w="827" w:type="pct"/>
            <w:vMerge w:val="continue"/>
            <w:tcBorders>
              <w:bottom w:val="single" w:color="auto" w:sz="12" w:space="0"/>
            </w:tcBorders>
          </w:tcPr>
          <w:p w14:paraId="43F00996">
            <w:pPr>
              <w:autoSpaceDE w:val="0"/>
              <w:autoSpaceDN w:val="0"/>
              <w:jc w:val="center"/>
              <w:rPr>
                <w:rFonts w:ascii="宋体" w:hAnsi="宋体" w:cs="宋体"/>
                <w:sz w:val="18"/>
                <w:szCs w:val="18"/>
              </w:rPr>
            </w:pPr>
          </w:p>
        </w:tc>
      </w:tr>
    </w:tbl>
    <w:p w14:paraId="5025BC50">
      <w:pPr>
        <w:pStyle w:val="54"/>
        <w:numPr>
          <w:ilvl w:val="3"/>
          <w:numId w:val="2"/>
        </w:numPr>
        <w:spacing w:before="156" w:after="156"/>
        <w:rPr>
          <w:rFonts w:ascii="Times New Roman"/>
          <w:highlight w:val="yellow"/>
        </w:rPr>
      </w:pPr>
      <w:r>
        <w:rPr>
          <w:rFonts w:hint="eastAsia" w:ascii="Times New Roman"/>
        </w:rPr>
        <w:t>市场影响</w:t>
      </w:r>
    </w:p>
    <w:p w14:paraId="52B623E0">
      <w:pPr>
        <w:pStyle w:val="58"/>
        <w:spacing w:before="156" w:after="156"/>
        <w:rPr>
          <w:rFonts w:ascii="Times New Roman"/>
        </w:rPr>
      </w:pPr>
      <w:r>
        <w:rPr>
          <w:rFonts w:ascii="Times New Roman"/>
        </w:rPr>
        <w:t>市场竞争力</w:t>
      </w:r>
    </w:p>
    <w:p w14:paraId="308B27E9">
      <w:pPr>
        <w:pStyle w:val="25"/>
        <w:rPr>
          <w:rFonts w:ascii="Times New Roman"/>
        </w:rPr>
      </w:pPr>
      <w:r>
        <w:rPr>
          <w:rFonts w:hint="eastAsia" w:hAnsi="宋体" w:cs="宋体"/>
        </w:rPr>
        <w:t>从智能电网建设运营领域相关产品或服务的市场占有率、稳定提供智能电网建设运营领域相关产品或服务的年限等方面进行综合评价，具体评分规则见表9。优质中小企业在实际得分基础上增加15%的得分，最高得分不超过该项指标总分。</w:t>
      </w:r>
    </w:p>
    <w:p w14:paraId="6586DFD2">
      <w:pPr>
        <w:pStyle w:val="129"/>
        <w:rPr>
          <w:rFonts w:ascii="Times New Roman"/>
        </w:rPr>
      </w:pPr>
      <w:r>
        <w:rPr>
          <w:rFonts w:hint="eastAsia" w:ascii="Times New Roman"/>
          <w:szCs w:val="22"/>
        </w:rPr>
        <w:t>市场竞争力评分规则</w:t>
      </w:r>
    </w:p>
    <w:tbl>
      <w:tblPr>
        <w:tblStyle w:val="35"/>
        <w:tblW w:w="95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757"/>
        <w:gridCol w:w="1500"/>
        <w:gridCol w:w="2225"/>
        <w:gridCol w:w="1418"/>
        <w:gridCol w:w="1670"/>
      </w:tblGrid>
      <w:tr w14:paraId="368147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0" w:hRule="exact"/>
          <w:jc w:val="center"/>
        </w:trPr>
        <w:tc>
          <w:tcPr>
            <w:tcW w:w="2757" w:type="dxa"/>
            <w:tcBorders>
              <w:bottom w:val="single" w:color="auto" w:sz="12" w:space="0"/>
            </w:tcBorders>
            <w:vAlign w:val="center"/>
          </w:tcPr>
          <w:p w14:paraId="024574C0">
            <w:pPr>
              <w:pStyle w:val="25"/>
              <w:adjustRightInd w:val="0"/>
              <w:ind w:firstLine="0" w:firstLineChars="0"/>
              <w:jc w:val="center"/>
              <w:rPr>
                <w:rFonts w:ascii="Times New Roman"/>
                <w:b/>
                <w:bCs/>
                <w:sz w:val="18"/>
                <w:szCs w:val="18"/>
              </w:rPr>
            </w:pPr>
            <w:r>
              <w:rPr>
                <w:rFonts w:ascii="Times New Roman"/>
                <w:b/>
                <w:bCs/>
                <w:sz w:val="18"/>
                <w:szCs w:val="18"/>
              </w:rPr>
              <w:t>市场占有</w:t>
            </w:r>
            <w:r>
              <w:rPr>
                <w:rFonts w:hint="eastAsia" w:ascii="Times New Roman"/>
                <w:b/>
                <w:bCs/>
                <w:sz w:val="18"/>
                <w:szCs w:val="18"/>
              </w:rPr>
              <w:t>率</w:t>
            </w:r>
          </w:p>
        </w:tc>
        <w:tc>
          <w:tcPr>
            <w:tcW w:w="1500" w:type="dxa"/>
            <w:tcBorders>
              <w:bottom w:val="single" w:color="auto" w:sz="12" w:space="0"/>
            </w:tcBorders>
            <w:vAlign w:val="center"/>
          </w:tcPr>
          <w:p w14:paraId="3D9CAE16">
            <w:pPr>
              <w:pStyle w:val="25"/>
              <w:adjustRightInd w:val="0"/>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2225" w:type="dxa"/>
            <w:tcBorders>
              <w:bottom w:val="single" w:color="auto" w:sz="12" w:space="0"/>
            </w:tcBorders>
            <w:vAlign w:val="center"/>
          </w:tcPr>
          <w:p w14:paraId="3ECF4EA6">
            <w:pPr>
              <w:pStyle w:val="25"/>
              <w:adjustRightInd w:val="0"/>
              <w:ind w:firstLine="0" w:firstLineChars="0"/>
              <w:jc w:val="center"/>
              <w:rPr>
                <w:rFonts w:ascii="Times New Roman"/>
                <w:b/>
                <w:bCs/>
                <w:sz w:val="18"/>
                <w:szCs w:val="18"/>
              </w:rPr>
            </w:pPr>
            <w:r>
              <w:rPr>
                <w:rFonts w:ascii="Times New Roman"/>
                <w:b/>
                <w:bCs/>
                <w:sz w:val="18"/>
                <w:szCs w:val="18"/>
              </w:rPr>
              <w:t>稳定提供产品或服务年限</w:t>
            </w:r>
          </w:p>
        </w:tc>
        <w:tc>
          <w:tcPr>
            <w:tcW w:w="1418" w:type="dxa"/>
            <w:tcBorders>
              <w:bottom w:val="single" w:color="auto" w:sz="12" w:space="0"/>
            </w:tcBorders>
            <w:vAlign w:val="center"/>
          </w:tcPr>
          <w:p w14:paraId="3208F9D1">
            <w:pPr>
              <w:pStyle w:val="25"/>
              <w:adjustRightInd w:val="0"/>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670" w:type="dxa"/>
            <w:tcBorders>
              <w:bottom w:val="single" w:color="auto" w:sz="12" w:space="0"/>
            </w:tcBorders>
            <w:vAlign w:val="center"/>
          </w:tcPr>
          <w:p w14:paraId="1D6493A8">
            <w:pPr>
              <w:pStyle w:val="25"/>
              <w:adjustRightInd w:val="0"/>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r>
      <w:tr w14:paraId="471983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0" w:hRule="exact"/>
          <w:jc w:val="center"/>
        </w:trPr>
        <w:tc>
          <w:tcPr>
            <w:tcW w:w="2757" w:type="dxa"/>
            <w:tcBorders>
              <w:top w:val="single" w:color="auto" w:sz="12" w:space="0"/>
              <w:tl2br w:val="nil"/>
              <w:tr2bl w:val="nil"/>
            </w:tcBorders>
            <w:vAlign w:val="center"/>
          </w:tcPr>
          <w:p w14:paraId="18A117E7">
            <w:pPr>
              <w:pStyle w:val="25"/>
              <w:adjustRightInd w:val="0"/>
              <w:ind w:firstLine="0" w:firstLineChars="0"/>
              <w:rPr>
                <w:rFonts w:hAnsi="宋体" w:cs="宋体"/>
                <w:sz w:val="18"/>
                <w:szCs w:val="18"/>
              </w:rPr>
            </w:pPr>
            <w:r>
              <w:rPr>
                <w:rFonts w:hint="eastAsia" w:hAnsi="宋体" w:cs="宋体"/>
                <w:sz w:val="18"/>
                <w:szCs w:val="18"/>
              </w:rPr>
              <w:t>行业内市场占有率处于较高水平</w:t>
            </w:r>
          </w:p>
        </w:tc>
        <w:tc>
          <w:tcPr>
            <w:tcW w:w="1500" w:type="dxa"/>
            <w:tcBorders>
              <w:top w:val="single" w:color="auto" w:sz="12" w:space="0"/>
              <w:tl2br w:val="nil"/>
              <w:tr2bl w:val="nil"/>
            </w:tcBorders>
            <w:vAlign w:val="center"/>
          </w:tcPr>
          <w:p w14:paraId="771EABF1">
            <w:pPr>
              <w:pStyle w:val="25"/>
              <w:adjustRightInd w:val="0"/>
              <w:ind w:firstLine="0" w:firstLineChars="0"/>
              <w:jc w:val="center"/>
              <w:rPr>
                <w:rFonts w:hAnsi="宋体" w:cs="宋体"/>
                <w:sz w:val="18"/>
                <w:szCs w:val="18"/>
              </w:rPr>
            </w:pPr>
            <w:r>
              <w:rPr>
                <w:rFonts w:hint="eastAsia" w:hAnsi="宋体" w:cs="宋体"/>
                <w:sz w:val="18"/>
                <w:szCs w:val="18"/>
              </w:rPr>
              <w:t>(4,6]</w:t>
            </w:r>
          </w:p>
        </w:tc>
        <w:tc>
          <w:tcPr>
            <w:tcW w:w="2225" w:type="dxa"/>
            <w:tcBorders>
              <w:top w:val="single" w:color="auto" w:sz="12" w:space="0"/>
              <w:tl2br w:val="nil"/>
              <w:tr2bl w:val="nil"/>
            </w:tcBorders>
            <w:vAlign w:val="center"/>
          </w:tcPr>
          <w:p w14:paraId="6EB73123">
            <w:pPr>
              <w:pStyle w:val="25"/>
              <w:adjustRightInd w:val="0"/>
              <w:ind w:firstLine="0" w:firstLineChars="0"/>
              <w:jc w:val="center"/>
              <w:rPr>
                <w:rFonts w:hAnsi="宋体" w:cs="宋体"/>
                <w:sz w:val="18"/>
                <w:szCs w:val="18"/>
              </w:rPr>
            </w:pPr>
            <w:r>
              <w:rPr>
                <w:rFonts w:hint="eastAsia" w:hAnsi="宋体" w:cs="宋体"/>
                <w:sz w:val="18"/>
                <w:szCs w:val="18"/>
              </w:rPr>
              <w:t>＞10</w:t>
            </w:r>
          </w:p>
        </w:tc>
        <w:tc>
          <w:tcPr>
            <w:tcW w:w="1418" w:type="dxa"/>
            <w:tcBorders>
              <w:top w:val="single" w:color="auto" w:sz="12" w:space="0"/>
              <w:tl2br w:val="nil"/>
              <w:tr2bl w:val="nil"/>
            </w:tcBorders>
            <w:vAlign w:val="center"/>
          </w:tcPr>
          <w:p w14:paraId="04E4FDD6">
            <w:pPr>
              <w:pStyle w:val="25"/>
              <w:adjustRightInd w:val="0"/>
              <w:ind w:firstLine="0" w:firstLineChars="0"/>
              <w:jc w:val="center"/>
              <w:rPr>
                <w:rFonts w:hAnsi="宋体" w:cs="宋体"/>
                <w:sz w:val="18"/>
                <w:szCs w:val="18"/>
              </w:rPr>
            </w:pPr>
            <w:r>
              <w:rPr>
                <w:rFonts w:hint="eastAsia" w:hAnsi="宋体" w:cs="宋体"/>
                <w:sz w:val="18"/>
                <w:szCs w:val="18"/>
              </w:rPr>
              <w:t>3</w:t>
            </w:r>
          </w:p>
        </w:tc>
        <w:tc>
          <w:tcPr>
            <w:tcW w:w="1670" w:type="dxa"/>
            <w:vMerge w:val="restart"/>
            <w:tcBorders>
              <w:top w:val="single" w:color="auto" w:sz="12" w:space="0"/>
              <w:tl2br w:val="nil"/>
              <w:tr2bl w:val="nil"/>
            </w:tcBorders>
            <w:vAlign w:val="center"/>
          </w:tcPr>
          <w:p w14:paraId="5FEAA06E">
            <w:pPr>
              <w:pStyle w:val="25"/>
              <w:adjustRightInd w:val="0"/>
              <w:ind w:firstLine="0" w:firstLineChars="0"/>
              <w:rPr>
                <w:rFonts w:hAnsi="宋体" w:cs="宋体"/>
                <w:sz w:val="18"/>
                <w:szCs w:val="18"/>
              </w:rPr>
            </w:pPr>
            <w:r>
              <w:rPr>
                <w:rFonts w:hint="eastAsia" w:hAnsi="宋体" w:cs="宋体"/>
                <w:sz w:val="18"/>
                <w:szCs w:val="18"/>
              </w:rPr>
              <w:t>该项得分为两项指标累计得分</w:t>
            </w:r>
          </w:p>
        </w:tc>
      </w:tr>
      <w:tr w14:paraId="44AF76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0" w:hRule="exact"/>
          <w:jc w:val="center"/>
        </w:trPr>
        <w:tc>
          <w:tcPr>
            <w:tcW w:w="2757" w:type="dxa"/>
            <w:tcBorders>
              <w:tl2br w:val="nil"/>
              <w:tr2bl w:val="nil"/>
            </w:tcBorders>
            <w:vAlign w:val="center"/>
          </w:tcPr>
          <w:p w14:paraId="38E292F6">
            <w:pPr>
              <w:pStyle w:val="25"/>
              <w:adjustRightInd w:val="0"/>
              <w:ind w:firstLine="0" w:firstLineChars="0"/>
              <w:rPr>
                <w:rFonts w:hAnsi="宋体" w:cs="宋体"/>
                <w:sz w:val="18"/>
                <w:szCs w:val="18"/>
              </w:rPr>
            </w:pPr>
            <w:r>
              <w:rPr>
                <w:rFonts w:hint="eastAsia" w:hAnsi="宋体" w:cs="宋体"/>
                <w:sz w:val="18"/>
                <w:szCs w:val="18"/>
              </w:rPr>
              <w:t>行业内市场占有率处于中等水平</w:t>
            </w:r>
          </w:p>
        </w:tc>
        <w:tc>
          <w:tcPr>
            <w:tcW w:w="1500" w:type="dxa"/>
            <w:tcBorders>
              <w:tl2br w:val="nil"/>
              <w:tr2bl w:val="nil"/>
            </w:tcBorders>
            <w:vAlign w:val="center"/>
          </w:tcPr>
          <w:p w14:paraId="672CBD62">
            <w:pPr>
              <w:pStyle w:val="25"/>
              <w:adjustRightInd w:val="0"/>
              <w:ind w:firstLine="0" w:firstLineChars="0"/>
              <w:jc w:val="center"/>
              <w:rPr>
                <w:rFonts w:hAnsi="宋体" w:cs="宋体"/>
                <w:sz w:val="18"/>
                <w:szCs w:val="18"/>
              </w:rPr>
            </w:pPr>
            <w:r>
              <w:rPr>
                <w:rFonts w:hint="eastAsia" w:hAnsi="宋体" w:cs="宋体"/>
                <w:sz w:val="18"/>
                <w:szCs w:val="18"/>
              </w:rPr>
              <w:t>(2,4]</w:t>
            </w:r>
          </w:p>
        </w:tc>
        <w:tc>
          <w:tcPr>
            <w:tcW w:w="2225" w:type="dxa"/>
            <w:tcBorders>
              <w:tl2br w:val="nil"/>
              <w:tr2bl w:val="nil"/>
            </w:tcBorders>
            <w:vAlign w:val="center"/>
          </w:tcPr>
          <w:p w14:paraId="3A6A4686">
            <w:pPr>
              <w:pStyle w:val="25"/>
              <w:adjustRightInd w:val="0"/>
              <w:ind w:firstLine="0" w:firstLineChars="0"/>
              <w:jc w:val="center"/>
              <w:rPr>
                <w:rFonts w:hAnsi="宋体" w:cs="宋体"/>
                <w:sz w:val="18"/>
                <w:szCs w:val="18"/>
              </w:rPr>
            </w:pPr>
            <w:r>
              <w:rPr>
                <w:rFonts w:hint="eastAsia" w:hAnsi="宋体" w:cs="宋体"/>
                <w:sz w:val="18"/>
                <w:szCs w:val="18"/>
              </w:rPr>
              <w:t>(5,10]</w:t>
            </w:r>
          </w:p>
        </w:tc>
        <w:tc>
          <w:tcPr>
            <w:tcW w:w="1418" w:type="dxa"/>
            <w:tcBorders>
              <w:tl2br w:val="nil"/>
              <w:tr2bl w:val="nil"/>
            </w:tcBorders>
            <w:vAlign w:val="center"/>
          </w:tcPr>
          <w:p w14:paraId="1A204811">
            <w:pPr>
              <w:pStyle w:val="25"/>
              <w:adjustRightInd w:val="0"/>
              <w:ind w:firstLine="0" w:firstLineChars="0"/>
              <w:jc w:val="center"/>
              <w:rPr>
                <w:rFonts w:hAnsi="宋体" w:cs="宋体"/>
                <w:sz w:val="18"/>
                <w:szCs w:val="18"/>
              </w:rPr>
            </w:pPr>
            <w:r>
              <w:rPr>
                <w:rFonts w:hint="eastAsia" w:hAnsi="宋体" w:cs="宋体"/>
                <w:sz w:val="18"/>
                <w:szCs w:val="18"/>
              </w:rPr>
              <w:t>2</w:t>
            </w:r>
          </w:p>
        </w:tc>
        <w:tc>
          <w:tcPr>
            <w:tcW w:w="1670" w:type="dxa"/>
            <w:vMerge w:val="continue"/>
            <w:tcBorders>
              <w:tl2br w:val="nil"/>
              <w:tr2bl w:val="nil"/>
            </w:tcBorders>
            <w:vAlign w:val="center"/>
          </w:tcPr>
          <w:p w14:paraId="63796F4B">
            <w:pPr>
              <w:pStyle w:val="25"/>
              <w:adjustRightInd w:val="0"/>
              <w:ind w:firstLine="0" w:firstLineChars="0"/>
              <w:rPr>
                <w:rFonts w:hAnsi="宋体" w:cs="宋体"/>
                <w:sz w:val="18"/>
                <w:szCs w:val="18"/>
              </w:rPr>
            </w:pPr>
          </w:p>
        </w:tc>
      </w:tr>
      <w:tr w14:paraId="74A11D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0" w:hRule="exact"/>
          <w:jc w:val="center"/>
        </w:trPr>
        <w:tc>
          <w:tcPr>
            <w:tcW w:w="2757" w:type="dxa"/>
            <w:tcBorders>
              <w:tl2br w:val="nil"/>
              <w:tr2bl w:val="nil"/>
            </w:tcBorders>
            <w:vAlign w:val="center"/>
          </w:tcPr>
          <w:p w14:paraId="1A546AD8">
            <w:pPr>
              <w:pStyle w:val="25"/>
              <w:adjustRightInd w:val="0"/>
              <w:ind w:firstLine="0" w:firstLineChars="0"/>
              <w:rPr>
                <w:rFonts w:hAnsi="宋体" w:cs="宋体"/>
                <w:sz w:val="18"/>
                <w:szCs w:val="18"/>
              </w:rPr>
            </w:pPr>
            <w:r>
              <w:rPr>
                <w:rFonts w:hint="eastAsia" w:hAnsi="宋体" w:cs="宋体"/>
                <w:sz w:val="18"/>
                <w:szCs w:val="18"/>
              </w:rPr>
              <w:t>行业内市场占有率处于一般水平</w:t>
            </w:r>
          </w:p>
        </w:tc>
        <w:tc>
          <w:tcPr>
            <w:tcW w:w="1500" w:type="dxa"/>
            <w:tcBorders>
              <w:tl2br w:val="nil"/>
              <w:tr2bl w:val="nil"/>
            </w:tcBorders>
            <w:vAlign w:val="center"/>
          </w:tcPr>
          <w:p w14:paraId="3393AE8C">
            <w:pPr>
              <w:pStyle w:val="25"/>
              <w:adjustRightInd w:val="0"/>
              <w:ind w:firstLine="0" w:firstLineChars="0"/>
              <w:jc w:val="center"/>
              <w:rPr>
                <w:rFonts w:hAnsi="宋体" w:cs="宋体"/>
                <w:sz w:val="18"/>
                <w:szCs w:val="18"/>
              </w:rPr>
            </w:pPr>
            <w:r>
              <w:rPr>
                <w:rFonts w:hint="eastAsia" w:hAnsi="宋体" w:cs="宋体"/>
                <w:sz w:val="18"/>
                <w:szCs w:val="18"/>
              </w:rPr>
              <w:t>[0,2]</w:t>
            </w:r>
          </w:p>
        </w:tc>
        <w:tc>
          <w:tcPr>
            <w:tcW w:w="2225" w:type="dxa"/>
            <w:tcBorders>
              <w:tl2br w:val="nil"/>
              <w:tr2bl w:val="nil"/>
            </w:tcBorders>
            <w:vAlign w:val="center"/>
          </w:tcPr>
          <w:p w14:paraId="439BEEAD">
            <w:pPr>
              <w:pStyle w:val="25"/>
              <w:adjustRightInd w:val="0"/>
              <w:ind w:firstLine="0" w:firstLineChars="0"/>
              <w:jc w:val="center"/>
              <w:rPr>
                <w:rFonts w:hAnsi="宋体" w:cs="宋体"/>
                <w:sz w:val="18"/>
                <w:szCs w:val="18"/>
              </w:rPr>
            </w:pPr>
            <w:r>
              <w:rPr>
                <w:rFonts w:hint="eastAsia" w:hAnsi="宋体" w:cs="宋体"/>
                <w:sz w:val="18"/>
                <w:szCs w:val="18"/>
              </w:rPr>
              <w:t>(2,5]</w:t>
            </w:r>
          </w:p>
        </w:tc>
        <w:tc>
          <w:tcPr>
            <w:tcW w:w="1418" w:type="dxa"/>
            <w:tcBorders>
              <w:tl2br w:val="nil"/>
              <w:tr2bl w:val="nil"/>
            </w:tcBorders>
            <w:vAlign w:val="center"/>
          </w:tcPr>
          <w:p w14:paraId="50203711">
            <w:pPr>
              <w:pStyle w:val="25"/>
              <w:adjustRightInd w:val="0"/>
              <w:ind w:firstLine="0" w:firstLineChars="0"/>
              <w:jc w:val="center"/>
              <w:rPr>
                <w:rFonts w:hAnsi="宋体" w:cs="宋体"/>
                <w:sz w:val="18"/>
                <w:szCs w:val="18"/>
              </w:rPr>
            </w:pPr>
            <w:r>
              <w:rPr>
                <w:rFonts w:hint="eastAsia" w:hAnsi="宋体" w:cs="宋体"/>
                <w:sz w:val="18"/>
                <w:szCs w:val="18"/>
              </w:rPr>
              <w:t>1</w:t>
            </w:r>
          </w:p>
        </w:tc>
        <w:tc>
          <w:tcPr>
            <w:tcW w:w="1670" w:type="dxa"/>
            <w:vMerge w:val="continue"/>
            <w:tcBorders>
              <w:tl2br w:val="nil"/>
              <w:tr2bl w:val="nil"/>
            </w:tcBorders>
            <w:vAlign w:val="center"/>
          </w:tcPr>
          <w:p w14:paraId="7EED674E">
            <w:pPr>
              <w:pStyle w:val="25"/>
              <w:adjustRightInd w:val="0"/>
              <w:ind w:firstLine="0" w:firstLineChars="0"/>
              <w:rPr>
                <w:rFonts w:hAnsi="宋体" w:cs="宋体"/>
                <w:sz w:val="18"/>
                <w:szCs w:val="18"/>
              </w:rPr>
            </w:pPr>
          </w:p>
        </w:tc>
      </w:tr>
    </w:tbl>
    <w:p w14:paraId="63EC6BFA">
      <w:pPr>
        <w:pStyle w:val="58"/>
        <w:spacing w:before="156" w:after="156"/>
        <w:rPr>
          <w:rFonts w:ascii="Times New Roman"/>
        </w:rPr>
      </w:pPr>
      <w:r>
        <w:rPr>
          <w:rFonts w:ascii="Times New Roman"/>
        </w:rPr>
        <w:t>产业影响力</w:t>
      </w:r>
    </w:p>
    <w:p w14:paraId="7FF75186">
      <w:pPr>
        <w:pStyle w:val="25"/>
        <w:rPr>
          <w:rFonts w:hAnsi="宋体" w:cs="宋体"/>
        </w:rPr>
      </w:pPr>
      <w:r>
        <w:rPr>
          <w:rFonts w:hint="eastAsia" w:hAnsi="宋体" w:cs="宋体"/>
        </w:rPr>
        <w:t>从智能电网建设运营领域的相关产品或服务引领绿色低碳产业技术创新或市场发展的影响能力等方面进行综合评价，如在产业链关键环节及领域取得“补短板”“锻长链”“填空白”的实际技术突破，或有助于新产业、新业态、新商业模式的培育壮大等，具体评分规则见表10。优质中小企业在实际得分基础上增加15%的得分，最高得分不超过该项指标总分。</w:t>
      </w:r>
    </w:p>
    <w:p w14:paraId="4DFF7D9C">
      <w:pPr>
        <w:pStyle w:val="60"/>
        <w:rPr>
          <w:rFonts w:ascii="Times New Roman"/>
        </w:rPr>
      </w:pPr>
      <w:r>
        <w:rPr>
          <w:rFonts w:hint="eastAsia"/>
        </w:rPr>
        <w:t>智能电网建设运营产业链关键环节及领域包含但不限于</w:t>
      </w:r>
      <w:r>
        <w:rPr>
          <w:rFonts w:hint="eastAsia" w:hAnsi="宋体" w:cs="宋体"/>
        </w:rPr>
        <w:t>支持基于直流的综合能源系统、逆变器集群统一控制技术、前端智能传感器数据采集技术等关键技术和核心零部件攻关。鼓励面向新型电力系统建设所需的电网侧智能化、数字化设备及技术的科技成果转化与产业化。</w:t>
      </w:r>
    </w:p>
    <w:p w14:paraId="5D82B44B">
      <w:pPr>
        <w:pStyle w:val="129"/>
        <w:rPr>
          <w:rFonts w:ascii="Times New Roman"/>
        </w:rPr>
      </w:pPr>
      <w:r>
        <w:rPr>
          <w:rFonts w:ascii="Times New Roman"/>
        </w:rPr>
        <w:t>产业影响力评分规则</w:t>
      </w:r>
    </w:p>
    <w:tbl>
      <w:tblPr>
        <w:tblStyle w:val="35"/>
        <w:tblW w:w="9570"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7920"/>
        <w:gridCol w:w="1650"/>
      </w:tblGrid>
      <w:tr w14:paraId="0537F2A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5" w:hRule="exact"/>
          <w:tblHeader/>
          <w:jc w:val="center"/>
        </w:trPr>
        <w:tc>
          <w:tcPr>
            <w:tcW w:w="7920" w:type="dxa"/>
            <w:tcBorders>
              <w:bottom w:val="single" w:color="auto" w:sz="12" w:space="0"/>
            </w:tcBorders>
          </w:tcPr>
          <w:p w14:paraId="7A4B8D4A">
            <w:pPr>
              <w:pStyle w:val="25"/>
              <w:ind w:firstLine="0" w:firstLineChars="0"/>
              <w:jc w:val="center"/>
              <w:rPr>
                <w:rFonts w:ascii="Times New Roman"/>
                <w:b/>
                <w:bCs/>
                <w:sz w:val="18"/>
                <w:szCs w:val="18"/>
              </w:rPr>
            </w:pPr>
            <w:r>
              <w:rPr>
                <w:rFonts w:ascii="Times New Roman"/>
                <w:b/>
                <w:bCs/>
                <w:sz w:val="18"/>
                <w:szCs w:val="18"/>
              </w:rPr>
              <w:t>产业影响力水平</w:t>
            </w:r>
          </w:p>
        </w:tc>
        <w:tc>
          <w:tcPr>
            <w:tcW w:w="1650" w:type="dxa"/>
            <w:tcBorders>
              <w:bottom w:val="single" w:color="auto" w:sz="12" w:space="0"/>
            </w:tcBorders>
          </w:tcPr>
          <w:p w14:paraId="3F784D3D">
            <w:pPr>
              <w:pStyle w:val="25"/>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r>
      <w:tr w14:paraId="7EF2E2D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5" w:hRule="exact"/>
          <w:jc w:val="center"/>
        </w:trPr>
        <w:tc>
          <w:tcPr>
            <w:tcW w:w="7920" w:type="dxa"/>
            <w:tcBorders>
              <w:top w:val="single" w:color="auto" w:sz="12" w:space="0"/>
              <w:bottom w:val="single" w:color="auto" w:sz="4" w:space="0"/>
              <w:right w:val="single" w:color="auto" w:sz="4" w:space="0"/>
            </w:tcBorders>
          </w:tcPr>
          <w:p w14:paraId="4E64D42C">
            <w:pPr>
              <w:pStyle w:val="25"/>
              <w:ind w:firstLine="0" w:firstLineChars="0"/>
              <w:rPr>
                <w:rFonts w:hAnsi="宋体" w:cs="宋体"/>
                <w:sz w:val="18"/>
                <w:szCs w:val="18"/>
              </w:rPr>
            </w:pPr>
            <w:r>
              <w:rPr>
                <w:rFonts w:hint="eastAsia" w:hAnsi="宋体" w:cs="宋体"/>
                <w:sz w:val="18"/>
                <w:szCs w:val="18"/>
              </w:rPr>
              <w:t>具有显著的引领绿色低碳产业技术或市场发展的影响能力</w:t>
            </w:r>
          </w:p>
        </w:tc>
        <w:tc>
          <w:tcPr>
            <w:tcW w:w="1650" w:type="dxa"/>
            <w:tcBorders>
              <w:top w:val="single" w:color="auto" w:sz="12" w:space="0"/>
              <w:left w:val="single" w:color="auto" w:sz="4" w:space="0"/>
              <w:bottom w:val="single" w:color="auto" w:sz="4" w:space="0"/>
            </w:tcBorders>
            <w:vAlign w:val="center"/>
          </w:tcPr>
          <w:p w14:paraId="0D2C7E38">
            <w:pPr>
              <w:pStyle w:val="25"/>
              <w:ind w:firstLine="0" w:firstLineChars="0"/>
              <w:jc w:val="center"/>
              <w:rPr>
                <w:rFonts w:hAnsi="宋体" w:cs="宋体"/>
                <w:sz w:val="18"/>
                <w:szCs w:val="18"/>
              </w:rPr>
            </w:pPr>
            <w:r>
              <w:rPr>
                <w:rFonts w:hint="eastAsia" w:hAnsi="宋体" w:cs="宋体"/>
                <w:sz w:val="18"/>
                <w:szCs w:val="18"/>
              </w:rPr>
              <w:t>(4,</w:t>
            </w:r>
            <w:r>
              <w:rPr>
                <w:rFonts w:hAnsi="宋体" w:cs="宋体"/>
                <w:sz w:val="18"/>
                <w:szCs w:val="18"/>
              </w:rPr>
              <w:t>6</w:t>
            </w:r>
            <w:r>
              <w:rPr>
                <w:rFonts w:hint="eastAsia" w:hAnsi="宋体" w:cs="宋体"/>
                <w:sz w:val="18"/>
                <w:szCs w:val="18"/>
              </w:rPr>
              <w:t>]</w:t>
            </w:r>
          </w:p>
        </w:tc>
      </w:tr>
      <w:tr w14:paraId="17497E2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5" w:hRule="exact"/>
          <w:jc w:val="center"/>
        </w:trPr>
        <w:tc>
          <w:tcPr>
            <w:tcW w:w="7920" w:type="dxa"/>
            <w:tcBorders>
              <w:top w:val="single" w:color="auto" w:sz="4" w:space="0"/>
              <w:bottom w:val="single" w:color="auto" w:sz="4" w:space="0"/>
              <w:right w:val="single" w:color="auto" w:sz="4" w:space="0"/>
            </w:tcBorders>
          </w:tcPr>
          <w:p w14:paraId="46F52A4C">
            <w:pPr>
              <w:pStyle w:val="25"/>
              <w:ind w:firstLine="0" w:firstLineChars="0"/>
              <w:rPr>
                <w:rFonts w:hAnsi="宋体" w:cs="宋体"/>
                <w:sz w:val="18"/>
                <w:szCs w:val="18"/>
              </w:rPr>
            </w:pPr>
            <w:r>
              <w:rPr>
                <w:rFonts w:hint="eastAsia" w:hAnsi="宋体" w:cs="宋体"/>
                <w:sz w:val="18"/>
                <w:szCs w:val="18"/>
              </w:rPr>
              <w:t>具有较强的引领绿色低碳产业技术或市场发展的影响能力</w:t>
            </w:r>
          </w:p>
        </w:tc>
        <w:tc>
          <w:tcPr>
            <w:tcW w:w="1650" w:type="dxa"/>
            <w:tcBorders>
              <w:top w:val="single" w:color="auto" w:sz="4" w:space="0"/>
              <w:left w:val="single" w:color="auto" w:sz="4" w:space="0"/>
              <w:bottom w:val="single" w:color="auto" w:sz="4" w:space="0"/>
            </w:tcBorders>
            <w:vAlign w:val="center"/>
          </w:tcPr>
          <w:p w14:paraId="46647782">
            <w:pPr>
              <w:pStyle w:val="25"/>
              <w:ind w:firstLine="0" w:firstLineChars="0"/>
              <w:jc w:val="center"/>
              <w:rPr>
                <w:rFonts w:hAnsi="宋体" w:cs="宋体"/>
                <w:sz w:val="18"/>
                <w:szCs w:val="18"/>
              </w:rPr>
            </w:pPr>
            <w:r>
              <w:rPr>
                <w:rFonts w:hint="eastAsia" w:hAnsi="宋体" w:cs="宋体"/>
                <w:sz w:val="18"/>
                <w:szCs w:val="18"/>
              </w:rPr>
              <w:t>(2,4]</w:t>
            </w:r>
          </w:p>
        </w:tc>
      </w:tr>
      <w:tr w14:paraId="38EE739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5" w:hRule="exact"/>
          <w:jc w:val="center"/>
        </w:trPr>
        <w:tc>
          <w:tcPr>
            <w:tcW w:w="7920" w:type="dxa"/>
            <w:tcBorders>
              <w:top w:val="single" w:color="auto" w:sz="4" w:space="0"/>
              <w:bottom w:val="single" w:color="auto" w:sz="4" w:space="0"/>
              <w:right w:val="single" w:color="auto" w:sz="4" w:space="0"/>
            </w:tcBorders>
          </w:tcPr>
          <w:p w14:paraId="7979ACC1">
            <w:pPr>
              <w:pStyle w:val="25"/>
              <w:ind w:firstLine="0" w:firstLineChars="0"/>
              <w:rPr>
                <w:rFonts w:hAnsi="宋体" w:cs="宋体"/>
                <w:sz w:val="18"/>
                <w:szCs w:val="18"/>
              </w:rPr>
            </w:pPr>
            <w:r>
              <w:rPr>
                <w:rFonts w:hint="eastAsia" w:hAnsi="宋体" w:cs="宋体"/>
                <w:sz w:val="18"/>
                <w:szCs w:val="18"/>
              </w:rPr>
              <w:t>具有一定的引领绿色低碳产业技术或市场发展的影响能力</w:t>
            </w:r>
          </w:p>
        </w:tc>
        <w:tc>
          <w:tcPr>
            <w:tcW w:w="1650" w:type="dxa"/>
            <w:tcBorders>
              <w:top w:val="single" w:color="auto" w:sz="4" w:space="0"/>
              <w:left w:val="single" w:color="auto" w:sz="4" w:space="0"/>
              <w:bottom w:val="single" w:color="auto" w:sz="4" w:space="0"/>
            </w:tcBorders>
            <w:vAlign w:val="center"/>
          </w:tcPr>
          <w:p w14:paraId="4BE55B5A">
            <w:pPr>
              <w:pStyle w:val="25"/>
              <w:ind w:firstLine="0" w:firstLineChars="0"/>
              <w:jc w:val="center"/>
              <w:rPr>
                <w:rFonts w:hAnsi="宋体" w:cs="宋体"/>
                <w:sz w:val="18"/>
                <w:szCs w:val="18"/>
              </w:rPr>
            </w:pPr>
            <w:r>
              <w:rPr>
                <w:rFonts w:hint="eastAsia" w:hAnsi="宋体" w:cs="宋体"/>
                <w:sz w:val="18"/>
                <w:szCs w:val="18"/>
              </w:rPr>
              <w:t>(0,2]</w:t>
            </w:r>
          </w:p>
        </w:tc>
      </w:tr>
      <w:tr w14:paraId="3A1E256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5" w:hRule="exact"/>
          <w:jc w:val="center"/>
        </w:trPr>
        <w:tc>
          <w:tcPr>
            <w:tcW w:w="7920" w:type="dxa"/>
            <w:tcBorders>
              <w:top w:val="single" w:color="auto" w:sz="4" w:space="0"/>
              <w:right w:val="single" w:color="auto" w:sz="4" w:space="0"/>
            </w:tcBorders>
          </w:tcPr>
          <w:p w14:paraId="2ED67221">
            <w:pPr>
              <w:pStyle w:val="25"/>
              <w:ind w:firstLine="0" w:firstLineChars="0"/>
              <w:rPr>
                <w:rFonts w:hAnsi="宋体" w:cs="宋体"/>
                <w:sz w:val="18"/>
                <w:szCs w:val="18"/>
              </w:rPr>
            </w:pPr>
            <w:r>
              <w:rPr>
                <w:rFonts w:hint="eastAsia" w:hAnsi="宋体" w:cs="宋体"/>
                <w:sz w:val="18"/>
                <w:szCs w:val="18"/>
              </w:rPr>
              <w:t>未产生明显产业影响力</w:t>
            </w:r>
          </w:p>
        </w:tc>
        <w:tc>
          <w:tcPr>
            <w:tcW w:w="1650" w:type="dxa"/>
            <w:tcBorders>
              <w:top w:val="single" w:color="auto" w:sz="4" w:space="0"/>
              <w:left w:val="single" w:color="auto" w:sz="4" w:space="0"/>
            </w:tcBorders>
            <w:vAlign w:val="center"/>
          </w:tcPr>
          <w:p w14:paraId="73E52DE2">
            <w:pPr>
              <w:pStyle w:val="25"/>
              <w:ind w:firstLine="0" w:firstLineChars="0"/>
              <w:jc w:val="center"/>
              <w:rPr>
                <w:rFonts w:hAnsi="宋体" w:cs="宋体"/>
                <w:sz w:val="18"/>
                <w:szCs w:val="18"/>
              </w:rPr>
            </w:pPr>
            <w:r>
              <w:rPr>
                <w:rFonts w:hint="eastAsia" w:hAnsi="宋体" w:cs="宋体"/>
                <w:sz w:val="18"/>
                <w:szCs w:val="18"/>
              </w:rPr>
              <w:t>0</w:t>
            </w:r>
          </w:p>
        </w:tc>
      </w:tr>
    </w:tbl>
    <w:p w14:paraId="318D7BEB">
      <w:pPr>
        <w:pStyle w:val="58"/>
        <w:spacing w:before="156" w:after="156"/>
        <w:rPr>
          <w:rFonts w:ascii="Times New Roman"/>
        </w:rPr>
      </w:pPr>
      <w:r>
        <w:rPr>
          <w:rFonts w:ascii="Times New Roman"/>
        </w:rPr>
        <w:t>行业资质荣誉</w:t>
      </w:r>
    </w:p>
    <w:p w14:paraId="1BD7B340">
      <w:pPr>
        <w:pStyle w:val="25"/>
        <w:rPr>
          <w:rFonts w:hAnsi="宋体" w:cs="宋体"/>
        </w:rPr>
      </w:pPr>
      <w:r>
        <w:rPr>
          <w:rFonts w:hint="eastAsia" w:hAnsi="宋体" w:cs="宋体"/>
        </w:rPr>
        <w:t>在智能电网建设运营领域获得的国家级、省部级、市级或区级奖项、资质、荣誉、认定及证书的情况，具体评分规则见表11。优质中小企业在实际得分基础上增加15%的得分，最高得分不超过该项指标总分。</w:t>
      </w:r>
    </w:p>
    <w:p w14:paraId="3D045FAA">
      <w:pPr>
        <w:pStyle w:val="61"/>
        <w:numPr>
          <w:ilvl w:val="0"/>
          <w:numId w:val="21"/>
        </w:numPr>
        <w:ind w:left="0" w:firstLine="360" w:firstLineChars="200"/>
      </w:pPr>
      <w:r>
        <w:rPr>
          <w:rFonts w:hint="eastAsia"/>
        </w:rPr>
        <w:t>国家级行业协会颁发的相关资质、荣誉、认定或证书视为省部级。</w:t>
      </w:r>
    </w:p>
    <w:p w14:paraId="6BD6C62F">
      <w:pPr>
        <w:pStyle w:val="61"/>
        <w:numPr>
          <w:ilvl w:val="0"/>
          <w:numId w:val="21"/>
        </w:numPr>
        <w:ind w:left="0" w:firstLine="360" w:firstLineChars="200"/>
      </w:pPr>
      <w:r>
        <w:rPr>
          <w:rFonts w:hint="eastAsia"/>
        </w:rPr>
        <w:t>在国际上获得行业认可的同等级别行业资质荣誉，按对应等级行业资质荣誉得分。</w:t>
      </w:r>
    </w:p>
    <w:p w14:paraId="297DF994">
      <w:pPr>
        <w:pStyle w:val="129"/>
        <w:rPr>
          <w:rFonts w:ascii="Times New Roman"/>
        </w:rPr>
      </w:pPr>
      <w:r>
        <w:rPr>
          <w:rFonts w:ascii="Times New Roman"/>
        </w:rPr>
        <w:t>行业资质荣誉评分规则</w:t>
      </w:r>
    </w:p>
    <w:tbl>
      <w:tblPr>
        <w:tblStyle w:val="35"/>
        <w:tblW w:w="9570"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Layout w:type="fixed"/>
        <w:tblCellMar>
          <w:top w:w="0" w:type="dxa"/>
          <w:left w:w="108" w:type="dxa"/>
          <w:bottom w:w="0" w:type="dxa"/>
          <w:right w:w="108" w:type="dxa"/>
        </w:tblCellMar>
      </w:tblPr>
      <w:tblGrid>
        <w:gridCol w:w="4805"/>
        <w:gridCol w:w="3260"/>
        <w:gridCol w:w="1505"/>
      </w:tblGrid>
      <w:tr w14:paraId="41A81058">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90" w:hRule="atLeast"/>
          <w:jc w:val="center"/>
        </w:trPr>
        <w:tc>
          <w:tcPr>
            <w:tcW w:w="4805" w:type="dxa"/>
            <w:tcBorders>
              <w:bottom w:val="single" w:color="auto" w:sz="12" w:space="0"/>
            </w:tcBorders>
            <w:vAlign w:val="center"/>
          </w:tcPr>
          <w:p w14:paraId="60DC6A05">
            <w:pPr>
              <w:pStyle w:val="25"/>
              <w:ind w:firstLine="0" w:firstLineChars="0"/>
              <w:jc w:val="center"/>
              <w:rPr>
                <w:rFonts w:ascii="Times New Roman"/>
                <w:b/>
                <w:bCs/>
                <w:sz w:val="18"/>
                <w:szCs w:val="18"/>
              </w:rPr>
            </w:pPr>
            <w:r>
              <w:rPr>
                <w:rFonts w:hint="eastAsia" w:ascii="Times New Roman"/>
                <w:b/>
                <w:bCs/>
                <w:sz w:val="18"/>
                <w:szCs w:val="18"/>
              </w:rPr>
              <w:t>行业资质荣誉</w:t>
            </w:r>
          </w:p>
        </w:tc>
        <w:tc>
          <w:tcPr>
            <w:tcW w:w="3260" w:type="dxa"/>
            <w:tcBorders>
              <w:bottom w:val="single" w:color="auto" w:sz="12" w:space="0"/>
            </w:tcBorders>
            <w:vAlign w:val="center"/>
          </w:tcPr>
          <w:p w14:paraId="02DC380F">
            <w:pPr>
              <w:pStyle w:val="25"/>
              <w:ind w:firstLine="0" w:firstLineChars="0"/>
              <w:jc w:val="center"/>
              <w:rPr>
                <w:rFonts w:ascii="Times New Roman"/>
                <w:b/>
                <w:bCs/>
                <w:sz w:val="18"/>
                <w:szCs w:val="18"/>
              </w:rPr>
            </w:pPr>
            <w:r>
              <w:rPr>
                <w:rFonts w:hint="eastAsia" w:ascii="Times New Roman"/>
                <w:b/>
                <w:bCs/>
                <w:sz w:val="18"/>
                <w:szCs w:val="18"/>
              </w:rPr>
              <w:t>加分规则（分）</w:t>
            </w:r>
          </w:p>
        </w:tc>
        <w:tc>
          <w:tcPr>
            <w:tcW w:w="1505" w:type="dxa"/>
            <w:tcBorders>
              <w:bottom w:val="single" w:color="auto" w:sz="12" w:space="0"/>
            </w:tcBorders>
            <w:vAlign w:val="center"/>
          </w:tcPr>
          <w:p w14:paraId="555F3CB0">
            <w:pPr>
              <w:pStyle w:val="25"/>
              <w:ind w:firstLine="0" w:firstLineChars="0"/>
              <w:jc w:val="center"/>
              <w:rPr>
                <w:rFonts w:ascii="Times New Roman"/>
                <w:b/>
                <w:bCs/>
                <w:sz w:val="18"/>
                <w:szCs w:val="18"/>
              </w:rPr>
            </w:pPr>
            <w:r>
              <w:rPr>
                <w:rFonts w:ascii="Times New Roman"/>
                <w:b/>
                <w:bCs/>
                <w:sz w:val="18"/>
                <w:szCs w:val="18"/>
              </w:rPr>
              <w:t>最高分值</w:t>
            </w:r>
            <w:r>
              <w:rPr>
                <w:rFonts w:hint="eastAsia" w:ascii="Times New Roman"/>
                <w:b/>
                <w:bCs/>
                <w:sz w:val="18"/>
                <w:szCs w:val="18"/>
              </w:rPr>
              <w:t>（分）</w:t>
            </w:r>
          </w:p>
        </w:tc>
      </w:tr>
      <w:tr w14:paraId="344EE471">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23" w:hRule="atLeast"/>
          <w:jc w:val="center"/>
        </w:trPr>
        <w:tc>
          <w:tcPr>
            <w:tcW w:w="4805" w:type="dxa"/>
            <w:tcBorders>
              <w:top w:val="single" w:color="auto" w:sz="12" w:space="0"/>
              <w:tl2br w:val="nil"/>
              <w:tr2bl w:val="nil"/>
            </w:tcBorders>
            <w:vAlign w:val="center"/>
          </w:tcPr>
          <w:p w14:paraId="6787D9BB">
            <w:pPr>
              <w:pStyle w:val="25"/>
              <w:ind w:firstLine="0" w:firstLineChars="0"/>
              <w:rPr>
                <w:rFonts w:hAnsi="宋体" w:cs="宋体"/>
                <w:sz w:val="18"/>
                <w:szCs w:val="18"/>
              </w:rPr>
            </w:pPr>
            <w:r>
              <w:rPr>
                <w:rFonts w:hint="eastAsia" w:hAnsi="宋体" w:cs="宋体"/>
                <w:sz w:val="18"/>
                <w:szCs w:val="18"/>
              </w:rPr>
              <w:t>以获得的一项最高级别行业资质荣誉为评价标准，国家级、省部级、市级、区级行业资质荣誉分别得4分，3分、2分、1分的基础分</w:t>
            </w:r>
          </w:p>
        </w:tc>
        <w:tc>
          <w:tcPr>
            <w:tcW w:w="3260" w:type="dxa"/>
            <w:tcBorders>
              <w:top w:val="single" w:color="auto" w:sz="12" w:space="0"/>
              <w:tl2br w:val="nil"/>
              <w:tr2bl w:val="nil"/>
            </w:tcBorders>
            <w:vAlign w:val="center"/>
          </w:tcPr>
          <w:p w14:paraId="61B8CC00">
            <w:pPr>
              <w:pStyle w:val="25"/>
              <w:ind w:firstLine="0" w:firstLineChars="0"/>
              <w:rPr>
                <w:rFonts w:hAnsi="宋体" w:cs="宋体"/>
                <w:sz w:val="18"/>
                <w:szCs w:val="18"/>
              </w:rPr>
            </w:pPr>
            <w:r>
              <w:rPr>
                <w:rFonts w:hint="eastAsia" w:hAnsi="宋体" w:cs="宋体"/>
                <w:sz w:val="18"/>
                <w:szCs w:val="18"/>
              </w:rPr>
              <w:t>每多获得一项省部级、市级、区级行业资质荣誉，分别加1分、0.5分、0.3分、0.2分</w:t>
            </w:r>
          </w:p>
        </w:tc>
        <w:tc>
          <w:tcPr>
            <w:tcW w:w="1505" w:type="dxa"/>
            <w:tcBorders>
              <w:top w:val="single" w:color="auto" w:sz="12" w:space="0"/>
              <w:tl2br w:val="nil"/>
              <w:tr2bl w:val="nil"/>
            </w:tcBorders>
            <w:vAlign w:val="center"/>
          </w:tcPr>
          <w:p w14:paraId="0976F984">
            <w:pPr>
              <w:pStyle w:val="25"/>
              <w:ind w:firstLine="0" w:firstLineChars="0"/>
              <w:jc w:val="center"/>
              <w:rPr>
                <w:rFonts w:hAnsi="宋体" w:cs="宋体"/>
                <w:sz w:val="18"/>
                <w:szCs w:val="18"/>
              </w:rPr>
            </w:pPr>
            <w:r>
              <w:rPr>
                <w:rFonts w:hint="eastAsia" w:hAnsi="宋体" w:cs="宋体"/>
                <w:sz w:val="18"/>
                <w:szCs w:val="18"/>
              </w:rPr>
              <w:t>4</w:t>
            </w:r>
          </w:p>
        </w:tc>
      </w:tr>
    </w:tbl>
    <w:p w14:paraId="519E9253">
      <w:pPr>
        <w:pStyle w:val="49"/>
        <w:spacing w:before="156" w:after="156"/>
        <w:rPr>
          <w:rFonts w:ascii="Times New Roman"/>
        </w:rPr>
      </w:pPr>
      <w:r>
        <w:rPr>
          <w:rFonts w:ascii="Times New Roman"/>
        </w:rPr>
        <w:t>环境表现</w:t>
      </w:r>
    </w:p>
    <w:p w14:paraId="4B605ABC">
      <w:pPr>
        <w:numPr>
          <w:ilvl w:val="3"/>
          <w:numId w:val="2"/>
        </w:numPr>
        <w:spacing w:before="156" w:beforeLines="50" w:after="156" w:afterLines="50"/>
        <w:outlineLvl w:val="4"/>
        <w:rPr>
          <w:rFonts w:eastAsia="黑体"/>
          <w:szCs w:val="21"/>
        </w:rPr>
      </w:pPr>
      <w:r>
        <w:rPr>
          <w:rFonts w:hint="eastAsia" w:eastAsia="黑体"/>
          <w:szCs w:val="21"/>
        </w:rPr>
        <w:t>温室气体</w:t>
      </w:r>
      <w:r>
        <w:rPr>
          <w:rFonts w:eastAsia="黑体"/>
          <w:szCs w:val="21"/>
        </w:rPr>
        <w:t>排放</w:t>
      </w:r>
      <w:r>
        <w:rPr>
          <w:rFonts w:hint="eastAsia" w:eastAsia="黑体"/>
          <w:szCs w:val="21"/>
        </w:rPr>
        <w:t>水平</w:t>
      </w:r>
    </w:p>
    <w:p w14:paraId="4A85BD4E">
      <w:pPr>
        <w:autoSpaceDE w:val="0"/>
        <w:autoSpaceDN w:val="0"/>
        <w:ind w:firstLine="420" w:firstLineChars="200"/>
        <w:rPr>
          <w:rFonts w:ascii="宋体" w:hAnsi="宋体" w:cs="宋体"/>
        </w:rPr>
      </w:pPr>
      <w:r>
        <w:rPr>
          <w:rFonts w:hint="eastAsia" w:ascii="宋体" w:hAnsi="宋体" w:cs="宋体"/>
        </w:rPr>
        <w:t>从企事业单位自身生产运营过程向环境排放温室气体的情况进行评价，具体评分规则见表12。碳排放量核算方法参照GB/T 32150、SZDB/Z 69等相关政府职能部门印发的规范性文件，宜以碳排放核查机构出具的报告数据为准。</w:t>
      </w:r>
    </w:p>
    <w:p w14:paraId="07BC3F78">
      <w:pPr>
        <w:pStyle w:val="129"/>
        <w:rPr>
          <w:rFonts w:ascii="Times New Roman"/>
        </w:rPr>
      </w:pPr>
      <w:r>
        <w:rPr>
          <w:rFonts w:hint="eastAsia" w:ascii="Times New Roman"/>
        </w:rPr>
        <w:t>温室气体</w:t>
      </w:r>
      <w:r>
        <w:rPr>
          <w:rFonts w:ascii="Times New Roman"/>
        </w:rPr>
        <w:t>排放</w:t>
      </w:r>
      <w:r>
        <w:rPr>
          <w:rFonts w:hint="eastAsia" w:ascii="Times New Roman"/>
        </w:rPr>
        <w:t>水平</w:t>
      </w:r>
      <w:r>
        <w:rPr>
          <w:rFonts w:ascii="Times New Roman"/>
        </w:rPr>
        <w:t>评分规则</w:t>
      </w:r>
    </w:p>
    <w:tbl>
      <w:tblPr>
        <w:tblStyle w:val="35"/>
        <w:tblW w:w="956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238"/>
        <w:gridCol w:w="1328"/>
      </w:tblGrid>
      <w:tr w14:paraId="6BCFC4B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1" w:hRule="atLeast"/>
          <w:jc w:val="center"/>
        </w:trPr>
        <w:tc>
          <w:tcPr>
            <w:tcW w:w="8238" w:type="dxa"/>
            <w:tcBorders>
              <w:bottom w:val="single" w:color="auto" w:sz="12" w:space="0"/>
            </w:tcBorders>
            <w:vAlign w:val="center"/>
          </w:tcPr>
          <w:p w14:paraId="5BDB81CF">
            <w:pPr>
              <w:autoSpaceDE w:val="0"/>
              <w:autoSpaceDN w:val="0"/>
              <w:jc w:val="center"/>
              <w:rPr>
                <w:b/>
                <w:bCs/>
                <w:sz w:val="18"/>
                <w:szCs w:val="18"/>
              </w:rPr>
            </w:pPr>
            <w:r>
              <w:rPr>
                <w:b/>
                <w:bCs/>
                <w:sz w:val="18"/>
                <w:szCs w:val="18"/>
              </w:rPr>
              <w:t>温室气体排放水平</w:t>
            </w:r>
          </w:p>
        </w:tc>
        <w:tc>
          <w:tcPr>
            <w:tcW w:w="1328" w:type="dxa"/>
            <w:tcBorders>
              <w:bottom w:val="single" w:color="auto" w:sz="12" w:space="0"/>
            </w:tcBorders>
            <w:vAlign w:val="center"/>
          </w:tcPr>
          <w:p w14:paraId="0F0FCA47">
            <w:pPr>
              <w:autoSpaceDE w:val="0"/>
              <w:autoSpaceDN w:val="0"/>
              <w:jc w:val="center"/>
              <w:rPr>
                <w:b/>
                <w:bCs/>
                <w:sz w:val="18"/>
                <w:szCs w:val="18"/>
              </w:rPr>
            </w:pPr>
            <w:r>
              <w:rPr>
                <w:b/>
                <w:bCs/>
                <w:sz w:val="18"/>
                <w:szCs w:val="18"/>
              </w:rPr>
              <w:t>分值</w:t>
            </w:r>
            <w:r>
              <w:rPr>
                <w:rFonts w:hint="eastAsia"/>
                <w:b/>
                <w:bCs/>
                <w:sz w:val="18"/>
                <w:szCs w:val="18"/>
              </w:rPr>
              <w:t>（分）</w:t>
            </w:r>
          </w:p>
        </w:tc>
      </w:tr>
      <w:tr w14:paraId="5FFC74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8238" w:type="dxa"/>
            <w:tcBorders>
              <w:top w:val="single" w:color="auto" w:sz="12" w:space="0"/>
              <w:tl2br w:val="nil"/>
              <w:tr2bl w:val="nil"/>
            </w:tcBorders>
            <w:vAlign w:val="center"/>
          </w:tcPr>
          <w:p w14:paraId="1CBB29F4">
            <w:pPr>
              <w:autoSpaceDE w:val="0"/>
              <w:autoSpaceDN w:val="0"/>
              <w:rPr>
                <w:rFonts w:ascii="宋体" w:hAnsi="宋体" w:cs="宋体"/>
                <w:sz w:val="18"/>
                <w:szCs w:val="18"/>
              </w:rPr>
            </w:pPr>
            <w:r>
              <w:rPr>
                <w:rFonts w:hint="eastAsia" w:ascii="宋体" w:hAnsi="宋体" w:cs="宋体"/>
                <w:sz w:val="18"/>
                <w:szCs w:val="18"/>
              </w:rPr>
              <w:t>生产制造类企业碳排放强度相较上一年度的下降比例大于等于6%</w:t>
            </w:r>
          </w:p>
          <w:p w14:paraId="53453E65">
            <w:pPr>
              <w:autoSpaceDE w:val="0"/>
              <w:autoSpaceDN w:val="0"/>
              <w:rPr>
                <w:rFonts w:ascii="宋体" w:hAnsi="宋体" w:cs="宋体"/>
                <w:sz w:val="18"/>
                <w:szCs w:val="18"/>
              </w:rPr>
            </w:pPr>
            <w:r>
              <w:rPr>
                <w:rFonts w:hint="eastAsia" w:ascii="宋体" w:hAnsi="宋体" w:cs="宋体"/>
                <w:sz w:val="18"/>
                <w:szCs w:val="18"/>
              </w:rPr>
              <w:t>建设运营类企业碳排放强度相较上一年度的下降比例大于等于3%</w:t>
            </w:r>
          </w:p>
        </w:tc>
        <w:tc>
          <w:tcPr>
            <w:tcW w:w="1328" w:type="dxa"/>
            <w:tcBorders>
              <w:top w:val="single" w:color="auto" w:sz="12" w:space="0"/>
              <w:tl2br w:val="nil"/>
              <w:tr2bl w:val="nil"/>
            </w:tcBorders>
            <w:vAlign w:val="center"/>
          </w:tcPr>
          <w:p w14:paraId="227790D8">
            <w:pPr>
              <w:autoSpaceDE w:val="0"/>
              <w:autoSpaceDN w:val="0"/>
              <w:jc w:val="center"/>
              <w:rPr>
                <w:rFonts w:ascii="宋体" w:hAnsi="宋体" w:cs="宋体"/>
                <w:sz w:val="18"/>
                <w:szCs w:val="18"/>
              </w:rPr>
            </w:pPr>
            <w:r>
              <w:rPr>
                <w:rFonts w:ascii="宋体" w:hAnsi="宋体" w:cs="宋体"/>
                <w:sz w:val="18"/>
                <w:szCs w:val="18"/>
              </w:rPr>
              <w:t>6</w:t>
            </w:r>
          </w:p>
        </w:tc>
      </w:tr>
      <w:tr w14:paraId="4E9A77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8238" w:type="dxa"/>
            <w:tcBorders>
              <w:tl2br w:val="nil"/>
              <w:tr2bl w:val="nil"/>
            </w:tcBorders>
            <w:vAlign w:val="center"/>
          </w:tcPr>
          <w:p w14:paraId="730972C5">
            <w:pPr>
              <w:autoSpaceDE w:val="0"/>
              <w:autoSpaceDN w:val="0"/>
              <w:rPr>
                <w:rFonts w:ascii="宋体" w:hAnsi="宋体" w:cs="宋体"/>
                <w:sz w:val="18"/>
                <w:szCs w:val="18"/>
              </w:rPr>
            </w:pPr>
            <w:r>
              <w:rPr>
                <w:rFonts w:hint="eastAsia" w:ascii="宋体" w:hAnsi="宋体" w:cs="宋体"/>
                <w:sz w:val="18"/>
                <w:szCs w:val="18"/>
              </w:rPr>
              <w:t>生产制造类企业碳排放强度相较上一年度的下降比例大于等于3%、小于6%</w:t>
            </w:r>
          </w:p>
          <w:p w14:paraId="4C84DEFC">
            <w:pPr>
              <w:autoSpaceDE w:val="0"/>
              <w:autoSpaceDN w:val="0"/>
              <w:rPr>
                <w:rFonts w:ascii="宋体" w:hAnsi="宋体" w:cs="宋体"/>
                <w:sz w:val="18"/>
                <w:szCs w:val="18"/>
              </w:rPr>
            </w:pPr>
            <w:r>
              <w:rPr>
                <w:rFonts w:hint="eastAsia" w:ascii="宋体" w:hAnsi="宋体" w:cs="宋体"/>
                <w:sz w:val="18"/>
                <w:szCs w:val="18"/>
              </w:rPr>
              <w:t>建设运营类企业碳排放强度相较上一年度的下降比例大于等于1%、小于3%</w:t>
            </w:r>
          </w:p>
        </w:tc>
        <w:tc>
          <w:tcPr>
            <w:tcW w:w="1328" w:type="dxa"/>
            <w:tcBorders>
              <w:tl2br w:val="nil"/>
              <w:tr2bl w:val="nil"/>
            </w:tcBorders>
            <w:vAlign w:val="center"/>
          </w:tcPr>
          <w:p w14:paraId="206B4749">
            <w:pPr>
              <w:autoSpaceDE w:val="0"/>
              <w:autoSpaceDN w:val="0"/>
              <w:jc w:val="center"/>
              <w:rPr>
                <w:rFonts w:ascii="宋体" w:hAnsi="宋体" w:cs="宋体"/>
                <w:sz w:val="18"/>
                <w:szCs w:val="18"/>
              </w:rPr>
            </w:pPr>
            <w:r>
              <w:rPr>
                <w:rFonts w:ascii="宋体" w:hAnsi="宋体" w:cs="宋体"/>
                <w:sz w:val="18"/>
                <w:szCs w:val="18"/>
              </w:rPr>
              <w:t>4</w:t>
            </w:r>
          </w:p>
        </w:tc>
      </w:tr>
      <w:tr w14:paraId="7E8EE6B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8238" w:type="dxa"/>
            <w:tcBorders>
              <w:bottom w:val="single" w:color="auto" w:sz="12" w:space="0"/>
              <w:tl2br w:val="nil"/>
              <w:tr2bl w:val="nil"/>
            </w:tcBorders>
            <w:vAlign w:val="center"/>
          </w:tcPr>
          <w:p w14:paraId="16F70EEC">
            <w:pPr>
              <w:autoSpaceDE w:val="0"/>
              <w:autoSpaceDN w:val="0"/>
              <w:rPr>
                <w:rFonts w:ascii="宋体" w:hAnsi="宋体" w:cs="宋体"/>
                <w:sz w:val="18"/>
                <w:szCs w:val="18"/>
              </w:rPr>
            </w:pPr>
            <w:r>
              <w:rPr>
                <w:rFonts w:hint="eastAsia" w:ascii="宋体" w:hAnsi="宋体" w:cs="宋体"/>
                <w:sz w:val="18"/>
                <w:szCs w:val="18"/>
              </w:rPr>
              <w:t>未满足上述任何一项</w:t>
            </w:r>
          </w:p>
        </w:tc>
        <w:tc>
          <w:tcPr>
            <w:tcW w:w="1328" w:type="dxa"/>
            <w:tcBorders>
              <w:bottom w:val="single" w:color="auto" w:sz="12" w:space="0"/>
              <w:tl2br w:val="nil"/>
              <w:tr2bl w:val="nil"/>
            </w:tcBorders>
            <w:vAlign w:val="center"/>
          </w:tcPr>
          <w:p w14:paraId="1F042F14">
            <w:pPr>
              <w:autoSpaceDE w:val="0"/>
              <w:autoSpaceDN w:val="0"/>
              <w:jc w:val="center"/>
              <w:rPr>
                <w:rFonts w:ascii="宋体" w:hAnsi="宋体" w:cs="宋体"/>
                <w:sz w:val="18"/>
                <w:szCs w:val="18"/>
              </w:rPr>
            </w:pPr>
            <w:r>
              <w:rPr>
                <w:rFonts w:hint="eastAsia" w:ascii="宋体" w:hAnsi="宋体" w:cs="宋体"/>
                <w:sz w:val="18"/>
                <w:szCs w:val="18"/>
              </w:rPr>
              <w:t>0</w:t>
            </w:r>
          </w:p>
        </w:tc>
      </w:tr>
      <w:tr w14:paraId="683D21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566" w:type="dxa"/>
            <w:gridSpan w:val="2"/>
            <w:tcBorders>
              <w:top w:val="single" w:color="auto" w:sz="12" w:space="0"/>
            </w:tcBorders>
            <w:vAlign w:val="center"/>
          </w:tcPr>
          <w:p w14:paraId="4B35A2CB">
            <w:pPr>
              <w:numPr>
                <w:ilvl w:val="0"/>
                <w:numId w:val="22"/>
              </w:numPr>
              <w:autoSpaceDE w:val="0"/>
              <w:autoSpaceDN w:val="0"/>
              <w:ind w:left="809" w:leftChars="171" w:hanging="450" w:hangingChars="250"/>
              <w:rPr>
                <w:rFonts w:ascii="宋体" w:hAnsi="宋体" w:cs="宋体"/>
                <w:sz w:val="18"/>
                <w:szCs w:val="18"/>
              </w:rPr>
            </w:pPr>
            <w:r>
              <w:rPr>
                <w:rFonts w:hint="eastAsia" w:ascii="宋体"/>
                <w:sz w:val="18"/>
                <w:szCs w:val="18"/>
              </w:rPr>
              <w:t>生产制造类企事业单位是以生产制造为主要业务，通过生产过程将原材料转化为具有特定功能和性能产品的企事业单位；建设运营类企事业单位是以建设、开发、运营和管理各类基础设施和公共设施为主营业务，为社会提供必要的公共服务和产品的企事业单位。</w:t>
            </w:r>
          </w:p>
          <w:p w14:paraId="63B31518">
            <w:pPr>
              <w:numPr>
                <w:ilvl w:val="0"/>
                <w:numId w:val="22"/>
              </w:numPr>
              <w:autoSpaceDE w:val="0"/>
              <w:autoSpaceDN w:val="0"/>
              <w:ind w:left="809" w:leftChars="171" w:hanging="450" w:hangingChars="250"/>
              <w:rPr>
                <w:rFonts w:ascii="宋体" w:hAnsi="宋体" w:cs="宋体"/>
                <w:sz w:val="18"/>
                <w:szCs w:val="18"/>
              </w:rPr>
            </w:pPr>
            <w:r>
              <w:rPr>
                <w:rFonts w:ascii="宋体"/>
                <w:sz w:val="18"/>
                <w:szCs w:val="18"/>
              </w:rPr>
              <w:t>碳排放强度为</w:t>
            </w:r>
            <w:r>
              <w:rPr>
                <w:rFonts w:hint="eastAsia" w:ascii="宋体"/>
                <w:sz w:val="18"/>
                <w:szCs w:val="18"/>
              </w:rPr>
              <w:t>碳排放量</w:t>
            </w:r>
            <w:r>
              <w:rPr>
                <w:rFonts w:ascii="宋体"/>
                <w:sz w:val="18"/>
                <w:szCs w:val="18"/>
              </w:rPr>
              <w:t>与</w:t>
            </w:r>
            <w:r>
              <w:rPr>
                <w:rFonts w:hint="eastAsia" w:ascii="宋体"/>
                <w:sz w:val="18"/>
                <w:szCs w:val="18"/>
              </w:rPr>
              <w:t>生产活动产出数据</w:t>
            </w:r>
            <w:r>
              <w:rPr>
                <w:rFonts w:ascii="宋体"/>
                <w:sz w:val="18"/>
                <w:szCs w:val="18"/>
              </w:rPr>
              <w:t>的比值</w:t>
            </w:r>
            <w:r>
              <w:rPr>
                <w:rFonts w:hint="eastAsia" w:ascii="宋体"/>
                <w:sz w:val="18"/>
                <w:szCs w:val="18"/>
              </w:rPr>
              <w:t>，生产活动产出数据根据企事业单位所属行业的不同，包括增加值等统计指标数据。</w:t>
            </w:r>
          </w:p>
        </w:tc>
      </w:tr>
    </w:tbl>
    <w:p w14:paraId="0C322EF5">
      <w:pPr>
        <w:pStyle w:val="54"/>
        <w:numPr>
          <w:ilvl w:val="3"/>
          <w:numId w:val="2"/>
        </w:numPr>
        <w:spacing w:before="156" w:after="156"/>
        <w:rPr>
          <w:rFonts w:ascii="Times New Roman"/>
        </w:rPr>
      </w:pPr>
      <w:r>
        <w:rPr>
          <w:rFonts w:hint="eastAsia" w:ascii="Times New Roman"/>
        </w:rPr>
        <w:t>工艺</w:t>
      </w:r>
      <w:r>
        <w:rPr>
          <w:rFonts w:ascii="Times New Roman"/>
        </w:rPr>
        <w:t>设备材料</w:t>
      </w:r>
    </w:p>
    <w:p w14:paraId="7C402D24">
      <w:pPr>
        <w:pStyle w:val="25"/>
        <w:rPr>
          <w:rFonts w:hAnsi="宋体" w:cs="宋体"/>
        </w:rPr>
      </w:pPr>
      <w:r>
        <w:rPr>
          <w:rFonts w:hint="eastAsia" w:hAnsi="宋体" w:cs="宋体"/>
        </w:rPr>
        <w:t>从企事业单位自身生产运营过程采用设备及原材料的绿色化水平进行综合评价，具体评分规则见表13。设备绿色化水平宜从企事业单位选用列入国家节能、环保相关技术推荐目录的工艺技术、装备设备的情况进行评价，材料绿色化水平宜从企事业单位参照《国家鼓励的有毒有害原料（产品）替代品目录》等目录实现有毒有害原材料替代的情况进行评价。</w:t>
      </w:r>
    </w:p>
    <w:p w14:paraId="4510AA80">
      <w:pPr>
        <w:pStyle w:val="129"/>
        <w:rPr>
          <w:rFonts w:ascii="Times New Roman"/>
        </w:rPr>
      </w:pPr>
      <w:r>
        <w:rPr>
          <w:rFonts w:hint="eastAsia" w:ascii="Times New Roman"/>
        </w:rPr>
        <w:t>工艺</w:t>
      </w:r>
      <w:r>
        <w:rPr>
          <w:rFonts w:ascii="Times New Roman"/>
        </w:rPr>
        <w:t>设备材料评分规则</w:t>
      </w:r>
    </w:p>
    <w:tbl>
      <w:tblPr>
        <w:tblStyle w:val="35"/>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733"/>
        <w:gridCol w:w="1018"/>
        <w:gridCol w:w="1890"/>
        <w:gridCol w:w="1311"/>
        <w:gridCol w:w="1891"/>
        <w:gridCol w:w="872"/>
        <w:gridCol w:w="856"/>
      </w:tblGrid>
      <w:tr w14:paraId="27A260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905" w:type="pct"/>
            <w:tcBorders>
              <w:bottom w:val="single" w:color="auto" w:sz="12" w:space="0"/>
            </w:tcBorders>
            <w:vAlign w:val="center"/>
          </w:tcPr>
          <w:p w14:paraId="2B69C40C">
            <w:pPr>
              <w:pStyle w:val="25"/>
              <w:ind w:firstLine="0" w:firstLineChars="0"/>
              <w:jc w:val="center"/>
              <w:rPr>
                <w:rFonts w:ascii="Times New Roman"/>
                <w:b/>
                <w:bCs/>
                <w:sz w:val="18"/>
                <w:szCs w:val="18"/>
              </w:rPr>
            </w:pPr>
            <w:r>
              <w:rPr>
                <w:rFonts w:hint="eastAsia" w:ascii="Times New Roman"/>
                <w:b/>
                <w:bCs/>
                <w:sz w:val="18"/>
                <w:szCs w:val="18"/>
              </w:rPr>
              <w:t>工艺绿色化水平</w:t>
            </w:r>
          </w:p>
        </w:tc>
        <w:tc>
          <w:tcPr>
            <w:tcW w:w="532" w:type="pct"/>
            <w:tcBorders>
              <w:bottom w:val="single" w:color="auto" w:sz="12" w:space="0"/>
            </w:tcBorders>
            <w:vAlign w:val="center"/>
          </w:tcPr>
          <w:p w14:paraId="1392C825">
            <w:pPr>
              <w:pStyle w:val="25"/>
              <w:ind w:firstLine="0" w:firstLineChars="0"/>
              <w:jc w:val="center"/>
              <w:rPr>
                <w:rFonts w:ascii="Times New Roman"/>
                <w:b/>
                <w:bCs/>
                <w:sz w:val="18"/>
                <w:szCs w:val="18"/>
              </w:rPr>
            </w:pPr>
            <w:r>
              <w:rPr>
                <w:rFonts w:hint="eastAsia" w:ascii="Times New Roman"/>
                <w:b/>
                <w:bCs/>
                <w:sz w:val="18"/>
                <w:szCs w:val="18"/>
              </w:rPr>
              <w:t>单项分值（分）</w:t>
            </w:r>
          </w:p>
        </w:tc>
        <w:tc>
          <w:tcPr>
            <w:tcW w:w="987" w:type="pct"/>
            <w:tcBorders>
              <w:bottom w:val="single" w:color="auto" w:sz="12" w:space="0"/>
            </w:tcBorders>
            <w:vAlign w:val="center"/>
          </w:tcPr>
          <w:p w14:paraId="0114E75F">
            <w:pPr>
              <w:pStyle w:val="25"/>
              <w:ind w:firstLine="0" w:firstLineChars="0"/>
              <w:jc w:val="center"/>
              <w:rPr>
                <w:rFonts w:ascii="Times New Roman"/>
                <w:b/>
                <w:bCs/>
                <w:sz w:val="18"/>
                <w:szCs w:val="18"/>
              </w:rPr>
            </w:pPr>
            <w:r>
              <w:rPr>
                <w:rFonts w:ascii="Times New Roman"/>
                <w:b/>
                <w:bCs/>
                <w:sz w:val="18"/>
                <w:szCs w:val="18"/>
              </w:rPr>
              <w:t>设备绿色化水平</w:t>
            </w:r>
          </w:p>
        </w:tc>
        <w:tc>
          <w:tcPr>
            <w:tcW w:w="685" w:type="pct"/>
            <w:tcBorders>
              <w:bottom w:val="single" w:color="auto" w:sz="12" w:space="0"/>
            </w:tcBorders>
            <w:vAlign w:val="center"/>
          </w:tcPr>
          <w:p w14:paraId="19FCD645">
            <w:pPr>
              <w:pStyle w:val="25"/>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988" w:type="pct"/>
            <w:tcBorders>
              <w:bottom w:val="single" w:color="auto" w:sz="12" w:space="0"/>
            </w:tcBorders>
            <w:vAlign w:val="center"/>
          </w:tcPr>
          <w:p w14:paraId="13B4D5BC">
            <w:pPr>
              <w:pStyle w:val="25"/>
              <w:ind w:firstLine="0" w:firstLineChars="0"/>
              <w:jc w:val="center"/>
              <w:rPr>
                <w:rFonts w:ascii="Times New Roman"/>
                <w:b/>
                <w:bCs/>
                <w:sz w:val="18"/>
                <w:szCs w:val="18"/>
              </w:rPr>
            </w:pPr>
            <w:r>
              <w:rPr>
                <w:rFonts w:ascii="Times New Roman"/>
                <w:b/>
                <w:bCs/>
                <w:sz w:val="18"/>
                <w:szCs w:val="18"/>
              </w:rPr>
              <w:t>材料绿色化水平</w:t>
            </w:r>
          </w:p>
        </w:tc>
        <w:tc>
          <w:tcPr>
            <w:tcW w:w="456" w:type="pct"/>
            <w:tcBorders>
              <w:bottom w:val="single" w:color="auto" w:sz="12" w:space="0"/>
            </w:tcBorders>
            <w:vAlign w:val="center"/>
          </w:tcPr>
          <w:p w14:paraId="1B7842E9">
            <w:pPr>
              <w:pStyle w:val="25"/>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447" w:type="pct"/>
            <w:tcBorders>
              <w:bottom w:val="single" w:color="auto" w:sz="12" w:space="0"/>
            </w:tcBorders>
            <w:vAlign w:val="center"/>
          </w:tcPr>
          <w:p w14:paraId="6FABA9EA">
            <w:pPr>
              <w:pStyle w:val="25"/>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r>
      <w:tr w14:paraId="770A56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5" w:hRule="atLeast"/>
          <w:jc w:val="center"/>
        </w:trPr>
        <w:tc>
          <w:tcPr>
            <w:tcW w:w="905" w:type="pct"/>
            <w:tcBorders>
              <w:top w:val="single" w:color="auto" w:sz="12" w:space="0"/>
              <w:tl2br w:val="nil"/>
              <w:tr2bl w:val="nil"/>
            </w:tcBorders>
            <w:vAlign w:val="center"/>
          </w:tcPr>
          <w:p w14:paraId="1B521D49">
            <w:pPr>
              <w:pStyle w:val="25"/>
              <w:ind w:firstLine="0" w:firstLineChars="0"/>
              <w:jc w:val="center"/>
              <w:rPr>
                <w:rFonts w:hAnsi="宋体" w:cs="宋体"/>
                <w:sz w:val="18"/>
                <w:szCs w:val="18"/>
              </w:rPr>
            </w:pPr>
            <w:r>
              <w:rPr>
                <w:rFonts w:hint="eastAsia" w:hAnsi="宋体" w:cs="宋体"/>
                <w:sz w:val="18"/>
                <w:szCs w:val="18"/>
              </w:rPr>
              <w:t>全部选用推荐工艺</w:t>
            </w:r>
          </w:p>
        </w:tc>
        <w:tc>
          <w:tcPr>
            <w:tcW w:w="532" w:type="pct"/>
            <w:tcBorders>
              <w:top w:val="single" w:color="auto" w:sz="12" w:space="0"/>
              <w:tl2br w:val="nil"/>
              <w:tr2bl w:val="nil"/>
            </w:tcBorders>
            <w:vAlign w:val="center"/>
          </w:tcPr>
          <w:p w14:paraId="383A444C">
            <w:pPr>
              <w:pStyle w:val="25"/>
              <w:ind w:firstLine="0" w:firstLineChars="0"/>
              <w:jc w:val="center"/>
              <w:rPr>
                <w:rFonts w:hAnsi="宋体" w:cs="宋体"/>
                <w:sz w:val="18"/>
                <w:szCs w:val="18"/>
              </w:rPr>
            </w:pPr>
            <w:r>
              <w:rPr>
                <w:rFonts w:hint="eastAsia" w:hAnsi="宋体" w:cs="宋体"/>
                <w:sz w:val="18"/>
                <w:szCs w:val="18"/>
              </w:rPr>
              <w:t>2</w:t>
            </w:r>
          </w:p>
        </w:tc>
        <w:tc>
          <w:tcPr>
            <w:tcW w:w="987" w:type="pct"/>
            <w:tcBorders>
              <w:top w:val="single" w:color="auto" w:sz="12" w:space="0"/>
              <w:tl2br w:val="nil"/>
              <w:tr2bl w:val="nil"/>
            </w:tcBorders>
            <w:vAlign w:val="center"/>
          </w:tcPr>
          <w:p w14:paraId="2E5AFC17">
            <w:pPr>
              <w:pStyle w:val="25"/>
              <w:ind w:firstLine="0" w:firstLineChars="0"/>
              <w:rPr>
                <w:rFonts w:hAnsi="宋体" w:cs="宋体"/>
                <w:sz w:val="18"/>
                <w:szCs w:val="18"/>
              </w:rPr>
            </w:pPr>
            <w:r>
              <w:rPr>
                <w:rFonts w:hint="eastAsia" w:hAnsi="宋体" w:cs="宋体"/>
                <w:sz w:val="18"/>
                <w:szCs w:val="18"/>
              </w:rPr>
              <w:t>推荐目录采购比例超过50%</w:t>
            </w:r>
          </w:p>
        </w:tc>
        <w:tc>
          <w:tcPr>
            <w:tcW w:w="685" w:type="pct"/>
            <w:tcBorders>
              <w:top w:val="single" w:color="auto" w:sz="12" w:space="0"/>
              <w:tl2br w:val="nil"/>
              <w:tr2bl w:val="nil"/>
            </w:tcBorders>
            <w:vAlign w:val="center"/>
          </w:tcPr>
          <w:p w14:paraId="7385C815">
            <w:pPr>
              <w:pStyle w:val="25"/>
              <w:ind w:firstLine="0" w:firstLineChars="0"/>
              <w:jc w:val="center"/>
              <w:rPr>
                <w:rFonts w:hAnsi="宋体" w:cs="宋体"/>
                <w:sz w:val="18"/>
                <w:szCs w:val="18"/>
              </w:rPr>
            </w:pPr>
            <w:r>
              <w:rPr>
                <w:rFonts w:hAnsi="宋体" w:cs="宋体"/>
                <w:sz w:val="18"/>
                <w:szCs w:val="18"/>
              </w:rPr>
              <w:t>1</w:t>
            </w:r>
          </w:p>
        </w:tc>
        <w:tc>
          <w:tcPr>
            <w:tcW w:w="988" w:type="pct"/>
            <w:tcBorders>
              <w:top w:val="single" w:color="auto" w:sz="12" w:space="0"/>
              <w:tl2br w:val="nil"/>
              <w:tr2bl w:val="nil"/>
            </w:tcBorders>
            <w:vAlign w:val="center"/>
          </w:tcPr>
          <w:p w14:paraId="6E59C3A3">
            <w:pPr>
              <w:pStyle w:val="25"/>
              <w:ind w:firstLine="0" w:firstLineChars="0"/>
              <w:rPr>
                <w:rFonts w:hAnsi="宋体" w:cs="宋体"/>
                <w:sz w:val="18"/>
                <w:szCs w:val="18"/>
              </w:rPr>
            </w:pPr>
            <w:r>
              <w:rPr>
                <w:rFonts w:hint="eastAsia" w:hAnsi="宋体" w:cs="宋体"/>
                <w:sz w:val="18"/>
                <w:szCs w:val="18"/>
              </w:rPr>
              <w:t>全面实施无毒无害原材料替代</w:t>
            </w:r>
          </w:p>
        </w:tc>
        <w:tc>
          <w:tcPr>
            <w:tcW w:w="456" w:type="pct"/>
            <w:tcBorders>
              <w:top w:val="single" w:color="auto" w:sz="12" w:space="0"/>
              <w:tl2br w:val="nil"/>
              <w:tr2bl w:val="nil"/>
            </w:tcBorders>
            <w:vAlign w:val="center"/>
          </w:tcPr>
          <w:p w14:paraId="04B347B8">
            <w:pPr>
              <w:pStyle w:val="25"/>
              <w:ind w:firstLine="0" w:firstLineChars="0"/>
              <w:jc w:val="center"/>
              <w:rPr>
                <w:rFonts w:hAnsi="宋体" w:cs="宋体"/>
                <w:sz w:val="18"/>
                <w:szCs w:val="18"/>
              </w:rPr>
            </w:pPr>
            <w:r>
              <w:rPr>
                <w:rFonts w:hAnsi="宋体" w:cs="宋体"/>
                <w:sz w:val="18"/>
                <w:szCs w:val="18"/>
              </w:rPr>
              <w:t>1</w:t>
            </w:r>
          </w:p>
        </w:tc>
        <w:tc>
          <w:tcPr>
            <w:tcW w:w="447" w:type="pct"/>
            <w:vMerge w:val="restart"/>
            <w:tcBorders>
              <w:top w:val="single" w:color="auto" w:sz="12" w:space="0"/>
              <w:tl2br w:val="nil"/>
              <w:tr2bl w:val="nil"/>
            </w:tcBorders>
            <w:vAlign w:val="center"/>
          </w:tcPr>
          <w:p w14:paraId="6CD308ED">
            <w:pPr>
              <w:pStyle w:val="25"/>
              <w:ind w:firstLine="0" w:firstLineChars="0"/>
              <w:rPr>
                <w:rFonts w:hAnsi="宋体" w:cs="宋体"/>
                <w:sz w:val="18"/>
                <w:szCs w:val="18"/>
              </w:rPr>
            </w:pPr>
            <w:r>
              <w:rPr>
                <w:rFonts w:hint="eastAsia" w:hAnsi="宋体" w:cs="宋体"/>
                <w:sz w:val="18"/>
                <w:szCs w:val="18"/>
              </w:rPr>
              <w:t>该项得分为三项指标累计得分</w:t>
            </w:r>
          </w:p>
        </w:tc>
      </w:tr>
      <w:tr w14:paraId="02871EA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9" w:hRule="atLeast"/>
          <w:jc w:val="center"/>
        </w:trPr>
        <w:tc>
          <w:tcPr>
            <w:tcW w:w="905" w:type="pct"/>
            <w:tcBorders>
              <w:tl2br w:val="nil"/>
              <w:tr2bl w:val="nil"/>
            </w:tcBorders>
            <w:vAlign w:val="center"/>
          </w:tcPr>
          <w:p w14:paraId="62B65CA7">
            <w:pPr>
              <w:pStyle w:val="25"/>
              <w:ind w:firstLine="0" w:firstLineChars="0"/>
              <w:jc w:val="center"/>
              <w:rPr>
                <w:rFonts w:hAnsi="宋体" w:cs="宋体"/>
                <w:sz w:val="18"/>
                <w:szCs w:val="18"/>
              </w:rPr>
            </w:pPr>
            <w:r>
              <w:rPr>
                <w:rFonts w:hint="eastAsia" w:hAnsi="宋体" w:cs="宋体"/>
                <w:sz w:val="18"/>
                <w:szCs w:val="18"/>
              </w:rPr>
              <w:t>部分选用推荐工艺</w:t>
            </w:r>
          </w:p>
        </w:tc>
        <w:tc>
          <w:tcPr>
            <w:tcW w:w="532" w:type="pct"/>
            <w:tcBorders>
              <w:tl2br w:val="nil"/>
              <w:tr2bl w:val="nil"/>
            </w:tcBorders>
            <w:vAlign w:val="center"/>
          </w:tcPr>
          <w:p w14:paraId="090D4B50">
            <w:pPr>
              <w:pStyle w:val="25"/>
              <w:ind w:firstLine="0" w:firstLineChars="0"/>
              <w:jc w:val="center"/>
              <w:rPr>
                <w:rFonts w:hAnsi="宋体" w:cs="宋体"/>
                <w:sz w:val="18"/>
                <w:szCs w:val="18"/>
              </w:rPr>
            </w:pPr>
            <w:r>
              <w:rPr>
                <w:rFonts w:hAnsi="宋体" w:cs="宋体"/>
                <w:sz w:val="18"/>
                <w:szCs w:val="18"/>
              </w:rPr>
              <w:t>1</w:t>
            </w:r>
          </w:p>
        </w:tc>
        <w:tc>
          <w:tcPr>
            <w:tcW w:w="987" w:type="pct"/>
            <w:tcBorders>
              <w:tl2br w:val="nil"/>
              <w:tr2bl w:val="nil"/>
            </w:tcBorders>
            <w:vAlign w:val="center"/>
          </w:tcPr>
          <w:p w14:paraId="5E0EEAF7">
            <w:pPr>
              <w:pStyle w:val="25"/>
              <w:ind w:firstLine="0" w:firstLineChars="0"/>
              <w:rPr>
                <w:rFonts w:hAnsi="宋体" w:cs="宋体"/>
                <w:sz w:val="18"/>
                <w:szCs w:val="18"/>
              </w:rPr>
            </w:pPr>
            <w:r>
              <w:rPr>
                <w:rFonts w:hint="eastAsia" w:hAnsi="宋体" w:cs="宋体"/>
                <w:sz w:val="18"/>
                <w:szCs w:val="18"/>
              </w:rPr>
              <w:t>推荐目录采购比例超过30%</w:t>
            </w:r>
          </w:p>
        </w:tc>
        <w:tc>
          <w:tcPr>
            <w:tcW w:w="685" w:type="pct"/>
            <w:tcBorders>
              <w:tl2br w:val="nil"/>
              <w:tr2bl w:val="nil"/>
            </w:tcBorders>
            <w:vAlign w:val="center"/>
          </w:tcPr>
          <w:p w14:paraId="7D58FAB1">
            <w:pPr>
              <w:pStyle w:val="25"/>
              <w:ind w:firstLine="0" w:firstLineChars="0"/>
              <w:jc w:val="center"/>
              <w:rPr>
                <w:rFonts w:hAnsi="宋体" w:cs="宋体"/>
                <w:sz w:val="18"/>
                <w:szCs w:val="18"/>
              </w:rPr>
            </w:pPr>
            <w:r>
              <w:rPr>
                <w:rFonts w:hAnsi="宋体" w:cs="宋体"/>
                <w:sz w:val="18"/>
                <w:szCs w:val="18"/>
              </w:rPr>
              <w:t>0.5</w:t>
            </w:r>
          </w:p>
        </w:tc>
        <w:tc>
          <w:tcPr>
            <w:tcW w:w="988" w:type="pct"/>
            <w:tcBorders>
              <w:tl2br w:val="nil"/>
              <w:tr2bl w:val="nil"/>
            </w:tcBorders>
            <w:vAlign w:val="center"/>
          </w:tcPr>
          <w:p w14:paraId="599646E5">
            <w:pPr>
              <w:pStyle w:val="25"/>
              <w:ind w:firstLine="0" w:firstLineChars="0"/>
              <w:rPr>
                <w:rFonts w:hAnsi="宋体" w:cs="宋体"/>
                <w:sz w:val="18"/>
                <w:szCs w:val="18"/>
              </w:rPr>
            </w:pPr>
            <w:r>
              <w:rPr>
                <w:rFonts w:hint="eastAsia" w:hAnsi="宋体" w:cs="宋体"/>
                <w:sz w:val="18"/>
                <w:szCs w:val="18"/>
              </w:rPr>
              <w:t>部分实施无毒无害原材料替代</w:t>
            </w:r>
          </w:p>
        </w:tc>
        <w:tc>
          <w:tcPr>
            <w:tcW w:w="456" w:type="pct"/>
            <w:tcBorders>
              <w:tl2br w:val="nil"/>
              <w:tr2bl w:val="nil"/>
            </w:tcBorders>
            <w:vAlign w:val="center"/>
          </w:tcPr>
          <w:p w14:paraId="752A9CEC">
            <w:pPr>
              <w:pStyle w:val="25"/>
              <w:ind w:firstLine="0" w:firstLineChars="0"/>
              <w:jc w:val="center"/>
              <w:rPr>
                <w:rFonts w:hAnsi="宋体" w:cs="宋体"/>
                <w:sz w:val="18"/>
                <w:szCs w:val="18"/>
              </w:rPr>
            </w:pPr>
            <w:r>
              <w:rPr>
                <w:rFonts w:hAnsi="宋体" w:cs="宋体"/>
                <w:sz w:val="18"/>
                <w:szCs w:val="18"/>
              </w:rPr>
              <w:t>0.5</w:t>
            </w:r>
          </w:p>
        </w:tc>
        <w:tc>
          <w:tcPr>
            <w:tcW w:w="447" w:type="pct"/>
            <w:vMerge w:val="continue"/>
            <w:tcBorders>
              <w:tl2br w:val="nil"/>
              <w:tr2bl w:val="nil"/>
            </w:tcBorders>
            <w:vAlign w:val="center"/>
          </w:tcPr>
          <w:p w14:paraId="7ED312DA">
            <w:pPr>
              <w:pStyle w:val="25"/>
              <w:ind w:firstLine="0" w:firstLineChars="0"/>
              <w:rPr>
                <w:rFonts w:hAnsi="宋体" w:cs="宋体"/>
                <w:sz w:val="18"/>
                <w:szCs w:val="18"/>
              </w:rPr>
            </w:pPr>
          </w:p>
        </w:tc>
      </w:tr>
      <w:tr w14:paraId="33FB50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905" w:type="pct"/>
            <w:tcBorders>
              <w:tl2br w:val="nil"/>
              <w:tr2bl w:val="nil"/>
            </w:tcBorders>
            <w:vAlign w:val="center"/>
          </w:tcPr>
          <w:p w14:paraId="14AE831F">
            <w:pPr>
              <w:pStyle w:val="25"/>
              <w:ind w:firstLine="0" w:firstLineChars="0"/>
              <w:jc w:val="center"/>
              <w:rPr>
                <w:rFonts w:hAnsi="宋体" w:cs="宋体"/>
                <w:sz w:val="18"/>
                <w:szCs w:val="18"/>
              </w:rPr>
            </w:pPr>
            <w:r>
              <w:rPr>
                <w:rFonts w:hint="eastAsia" w:hAnsi="宋体" w:cs="宋体"/>
                <w:sz w:val="18"/>
                <w:szCs w:val="18"/>
              </w:rPr>
              <w:t>未选用推荐工艺</w:t>
            </w:r>
          </w:p>
        </w:tc>
        <w:tc>
          <w:tcPr>
            <w:tcW w:w="532" w:type="pct"/>
            <w:tcBorders>
              <w:tl2br w:val="nil"/>
              <w:tr2bl w:val="nil"/>
            </w:tcBorders>
            <w:vAlign w:val="center"/>
          </w:tcPr>
          <w:p w14:paraId="05E8E913">
            <w:pPr>
              <w:pStyle w:val="25"/>
              <w:ind w:firstLine="0" w:firstLineChars="0"/>
              <w:jc w:val="center"/>
              <w:rPr>
                <w:rFonts w:hAnsi="宋体" w:cs="宋体"/>
                <w:sz w:val="18"/>
                <w:szCs w:val="18"/>
              </w:rPr>
            </w:pPr>
            <w:r>
              <w:rPr>
                <w:rFonts w:hint="eastAsia" w:hAnsi="宋体" w:cs="宋体"/>
                <w:sz w:val="18"/>
                <w:szCs w:val="18"/>
              </w:rPr>
              <w:t>0</w:t>
            </w:r>
          </w:p>
        </w:tc>
        <w:tc>
          <w:tcPr>
            <w:tcW w:w="987" w:type="pct"/>
            <w:tcBorders>
              <w:tl2br w:val="nil"/>
              <w:tr2bl w:val="nil"/>
            </w:tcBorders>
            <w:vAlign w:val="center"/>
          </w:tcPr>
          <w:p w14:paraId="534239D8">
            <w:pPr>
              <w:pStyle w:val="25"/>
              <w:ind w:firstLine="0" w:firstLineChars="0"/>
              <w:rPr>
                <w:rFonts w:hAnsi="宋体" w:cs="宋体"/>
                <w:sz w:val="18"/>
                <w:szCs w:val="18"/>
              </w:rPr>
            </w:pPr>
            <w:r>
              <w:rPr>
                <w:rFonts w:hint="eastAsia" w:hAnsi="宋体" w:cs="宋体"/>
                <w:sz w:val="18"/>
                <w:szCs w:val="18"/>
              </w:rPr>
              <w:t>推荐目录采购比例未超过30%</w:t>
            </w:r>
          </w:p>
        </w:tc>
        <w:tc>
          <w:tcPr>
            <w:tcW w:w="685" w:type="pct"/>
            <w:tcBorders>
              <w:tl2br w:val="nil"/>
              <w:tr2bl w:val="nil"/>
            </w:tcBorders>
            <w:vAlign w:val="center"/>
          </w:tcPr>
          <w:p w14:paraId="2EB1F94C">
            <w:pPr>
              <w:pStyle w:val="25"/>
              <w:ind w:firstLine="0" w:firstLineChars="0"/>
              <w:jc w:val="center"/>
              <w:rPr>
                <w:rFonts w:hAnsi="宋体" w:cs="宋体"/>
                <w:sz w:val="18"/>
                <w:szCs w:val="18"/>
              </w:rPr>
            </w:pPr>
            <w:r>
              <w:rPr>
                <w:rFonts w:hint="eastAsia" w:hAnsi="宋体" w:cs="宋体"/>
                <w:sz w:val="18"/>
                <w:szCs w:val="18"/>
              </w:rPr>
              <w:t>0</w:t>
            </w:r>
          </w:p>
        </w:tc>
        <w:tc>
          <w:tcPr>
            <w:tcW w:w="988" w:type="pct"/>
            <w:tcBorders>
              <w:tl2br w:val="nil"/>
              <w:tr2bl w:val="nil"/>
            </w:tcBorders>
            <w:vAlign w:val="center"/>
          </w:tcPr>
          <w:p w14:paraId="7CB5ACAD">
            <w:pPr>
              <w:pStyle w:val="25"/>
              <w:ind w:firstLine="0" w:firstLineChars="0"/>
              <w:rPr>
                <w:rFonts w:hAnsi="宋体" w:cs="宋体"/>
                <w:sz w:val="18"/>
                <w:szCs w:val="18"/>
              </w:rPr>
            </w:pPr>
            <w:r>
              <w:rPr>
                <w:rFonts w:hint="eastAsia" w:hAnsi="宋体" w:cs="宋体"/>
                <w:sz w:val="18"/>
                <w:szCs w:val="18"/>
              </w:rPr>
              <w:t>未实施无毒无害原材料替代</w:t>
            </w:r>
          </w:p>
        </w:tc>
        <w:tc>
          <w:tcPr>
            <w:tcW w:w="456" w:type="pct"/>
            <w:tcBorders>
              <w:tl2br w:val="nil"/>
              <w:tr2bl w:val="nil"/>
            </w:tcBorders>
            <w:vAlign w:val="center"/>
          </w:tcPr>
          <w:p w14:paraId="60AE6168">
            <w:pPr>
              <w:pStyle w:val="25"/>
              <w:ind w:firstLine="0" w:firstLineChars="0"/>
              <w:jc w:val="center"/>
              <w:rPr>
                <w:rFonts w:hAnsi="宋体" w:cs="宋体"/>
                <w:sz w:val="18"/>
                <w:szCs w:val="18"/>
              </w:rPr>
            </w:pPr>
            <w:r>
              <w:rPr>
                <w:rFonts w:hint="eastAsia" w:hAnsi="宋体" w:cs="宋体"/>
                <w:sz w:val="18"/>
                <w:szCs w:val="18"/>
              </w:rPr>
              <w:t>0</w:t>
            </w:r>
          </w:p>
        </w:tc>
        <w:tc>
          <w:tcPr>
            <w:tcW w:w="447" w:type="pct"/>
            <w:vMerge w:val="continue"/>
            <w:tcBorders>
              <w:tl2br w:val="nil"/>
              <w:tr2bl w:val="nil"/>
            </w:tcBorders>
            <w:vAlign w:val="center"/>
          </w:tcPr>
          <w:p w14:paraId="1CDBB6AA">
            <w:pPr>
              <w:pStyle w:val="25"/>
              <w:ind w:firstLine="0" w:firstLineChars="0"/>
              <w:rPr>
                <w:rFonts w:hAnsi="宋体" w:cs="宋体"/>
                <w:sz w:val="18"/>
                <w:szCs w:val="18"/>
              </w:rPr>
            </w:pPr>
          </w:p>
        </w:tc>
      </w:tr>
    </w:tbl>
    <w:p w14:paraId="4B3CE610">
      <w:pPr>
        <w:pStyle w:val="54"/>
        <w:numPr>
          <w:ilvl w:val="3"/>
          <w:numId w:val="2"/>
        </w:numPr>
        <w:spacing w:before="156" w:after="156"/>
      </w:pPr>
      <w:r>
        <w:rPr>
          <w:rFonts w:hint="eastAsia"/>
        </w:rPr>
        <w:t>能源资源利用</w:t>
      </w:r>
    </w:p>
    <w:p w14:paraId="7A52CDE0">
      <w:pPr>
        <w:pStyle w:val="59"/>
        <w:numPr>
          <w:ilvl w:val="255"/>
          <w:numId w:val="0"/>
        </w:numPr>
        <w:spacing w:before="156" w:after="0" w:afterLines="0"/>
        <w:ind w:firstLine="420" w:firstLineChars="200"/>
        <w:outlineLvl w:val="9"/>
        <w:rPr>
          <w:rFonts w:ascii="宋体" w:hAnsi="宋体" w:eastAsia="宋体" w:cs="宋体"/>
        </w:rPr>
      </w:pPr>
      <w:r>
        <w:rPr>
          <w:rFonts w:hint="eastAsia" w:ascii="宋体" w:hAnsi="宋体" w:eastAsia="宋体" w:cs="宋体"/>
        </w:rPr>
        <w:t>从企事业单位自身生产运营过程的可再生能源占比的情况进行评价，具体评分规则见表14。</w:t>
      </w:r>
    </w:p>
    <w:p w14:paraId="55B0F0F3">
      <w:pPr>
        <w:ind w:firstLine="360" w:firstLineChars="200"/>
        <w:rPr>
          <w:rFonts w:ascii="宋体" w:hAnsi="宋体"/>
          <w:sz w:val="18"/>
          <w:szCs w:val="18"/>
        </w:rPr>
      </w:pPr>
      <w:r>
        <w:rPr>
          <w:rFonts w:hint="eastAsia" w:ascii="黑体" w:hAnsi="黑体" w:eastAsia="黑体"/>
          <w:sz w:val="18"/>
          <w:szCs w:val="18"/>
        </w:rPr>
        <w:t>注</w:t>
      </w:r>
      <w:r>
        <w:rPr>
          <w:rFonts w:ascii="黑体" w:hAnsi="黑体" w:eastAsia="黑体"/>
          <w:sz w:val="18"/>
          <w:szCs w:val="18"/>
        </w:rPr>
        <w:t>1</w:t>
      </w:r>
      <w:r>
        <w:rPr>
          <w:rFonts w:hint="eastAsia" w:ascii="黑体" w:hAnsi="黑体" w:eastAsia="黑体"/>
          <w:sz w:val="18"/>
          <w:szCs w:val="18"/>
        </w:rPr>
        <w:t>：</w:t>
      </w:r>
      <w:r>
        <w:rPr>
          <w:rFonts w:hint="eastAsia" w:ascii="宋体" w:hAnsi="宋体"/>
          <w:sz w:val="18"/>
          <w:szCs w:val="18"/>
        </w:rPr>
        <w:t>可再生能源占比是可再生能源消费量与终端能源消费总量的比值。</w:t>
      </w:r>
    </w:p>
    <w:p w14:paraId="00188DBF">
      <w:pPr>
        <w:ind w:firstLine="360" w:firstLineChars="200"/>
        <w:rPr>
          <w:rFonts w:ascii="宋体" w:hAnsi="宋体"/>
          <w:sz w:val="18"/>
          <w:szCs w:val="18"/>
        </w:rPr>
      </w:pPr>
      <w:r>
        <w:rPr>
          <w:rFonts w:hint="eastAsia" w:ascii="黑体" w:hAnsi="黑体" w:eastAsia="黑体"/>
          <w:sz w:val="18"/>
          <w:szCs w:val="18"/>
        </w:rPr>
        <w:t>注</w:t>
      </w:r>
      <w:r>
        <w:rPr>
          <w:rFonts w:ascii="黑体" w:hAnsi="黑体" w:eastAsia="黑体"/>
          <w:sz w:val="18"/>
          <w:szCs w:val="18"/>
        </w:rPr>
        <w:t>2</w:t>
      </w:r>
      <w:r>
        <w:rPr>
          <w:rFonts w:hint="eastAsia" w:ascii="黑体" w:hAnsi="黑体" w:eastAsia="黑体"/>
          <w:sz w:val="18"/>
          <w:szCs w:val="18"/>
        </w:rPr>
        <w:t>：</w:t>
      </w:r>
      <w:r>
        <w:rPr>
          <w:rFonts w:hint="eastAsia" w:ascii="宋体" w:hAnsi="宋体"/>
          <w:sz w:val="18"/>
          <w:szCs w:val="18"/>
        </w:rPr>
        <w:t>非常规水资源利用率是再生水、雨水、海水、矿井水、苦咸水等非常规水资源利用总量与用水总量的比值</w:t>
      </w:r>
    </w:p>
    <w:p w14:paraId="49028857">
      <w:pPr>
        <w:numPr>
          <w:ilvl w:val="0"/>
          <w:numId w:val="17"/>
        </w:numPr>
        <w:spacing w:before="156" w:beforeLines="50" w:after="156" w:afterLines="50"/>
        <w:jc w:val="center"/>
        <w:rPr>
          <w:rFonts w:eastAsia="黑体"/>
        </w:rPr>
      </w:pPr>
      <w:r>
        <w:rPr>
          <w:rFonts w:hint="eastAsia" w:eastAsia="黑体"/>
        </w:rPr>
        <w:t>可再生能源占比评分规则</w:t>
      </w:r>
    </w:p>
    <w:tbl>
      <w:tblPr>
        <w:tblStyle w:val="35"/>
        <w:tblW w:w="5000" w:type="pct"/>
        <w:jc w:val="center"/>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Layout w:type="autofit"/>
        <w:tblCellMar>
          <w:top w:w="0" w:type="dxa"/>
          <w:left w:w="108" w:type="dxa"/>
          <w:bottom w:w="0" w:type="dxa"/>
          <w:right w:w="108" w:type="dxa"/>
        </w:tblCellMar>
      </w:tblPr>
      <w:tblGrid>
        <w:gridCol w:w="6368"/>
        <w:gridCol w:w="3202"/>
      </w:tblGrid>
      <w:tr w14:paraId="4AAE0DDA">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jc w:val="center"/>
        </w:trPr>
        <w:tc>
          <w:tcPr>
            <w:tcW w:w="3327" w:type="pct"/>
            <w:tcBorders>
              <w:top w:val="single" w:color="auto" w:sz="12" w:space="0"/>
              <w:bottom w:val="single" w:color="auto" w:sz="12" w:space="0"/>
            </w:tcBorders>
            <w:vAlign w:val="center"/>
          </w:tcPr>
          <w:p w14:paraId="0135550A">
            <w:pPr>
              <w:autoSpaceDE w:val="0"/>
              <w:autoSpaceDN w:val="0"/>
              <w:jc w:val="center"/>
              <w:rPr>
                <w:rFonts w:ascii="宋体" w:hAnsi="宋体"/>
                <w:b/>
                <w:bCs/>
                <w:sz w:val="18"/>
                <w:szCs w:val="18"/>
              </w:rPr>
            </w:pPr>
            <w:r>
              <w:rPr>
                <w:rFonts w:hint="eastAsia" w:ascii="宋体" w:hAnsi="宋体"/>
                <w:b/>
                <w:bCs/>
                <w:sz w:val="18"/>
                <w:szCs w:val="18"/>
              </w:rPr>
              <w:t>可再生能源占比（</w:t>
            </w:r>
            <w:r>
              <w:rPr>
                <w:rFonts w:ascii="宋体" w:hAnsi="宋体"/>
                <w:b/>
                <w:bCs/>
                <w:sz w:val="18"/>
                <w:szCs w:val="18"/>
              </w:rPr>
              <w:t>%</w:t>
            </w:r>
            <w:r>
              <w:rPr>
                <w:rFonts w:hint="eastAsia" w:ascii="宋体" w:hAnsi="宋体"/>
                <w:b/>
                <w:bCs/>
                <w:sz w:val="18"/>
                <w:szCs w:val="18"/>
              </w:rPr>
              <w:t>）</w:t>
            </w:r>
          </w:p>
        </w:tc>
        <w:tc>
          <w:tcPr>
            <w:tcW w:w="1673" w:type="pct"/>
            <w:tcBorders>
              <w:top w:val="single" w:color="auto" w:sz="12" w:space="0"/>
              <w:bottom w:val="single" w:color="auto" w:sz="12" w:space="0"/>
            </w:tcBorders>
            <w:vAlign w:val="center"/>
          </w:tcPr>
          <w:p w14:paraId="760C232B">
            <w:pPr>
              <w:autoSpaceDE w:val="0"/>
              <w:autoSpaceDN w:val="0"/>
              <w:jc w:val="center"/>
              <w:rPr>
                <w:b/>
                <w:bCs/>
                <w:sz w:val="18"/>
                <w:szCs w:val="18"/>
              </w:rPr>
            </w:pPr>
            <w:r>
              <w:rPr>
                <w:rFonts w:hint="eastAsia"/>
                <w:b/>
                <w:bCs/>
                <w:sz w:val="18"/>
                <w:szCs w:val="18"/>
              </w:rPr>
              <w:t>分值（分）</w:t>
            </w:r>
          </w:p>
        </w:tc>
      </w:tr>
      <w:tr w14:paraId="06B333C8">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90" w:hRule="atLeast"/>
          <w:jc w:val="center"/>
        </w:trPr>
        <w:tc>
          <w:tcPr>
            <w:tcW w:w="3327" w:type="pct"/>
            <w:tcBorders>
              <w:top w:val="single" w:color="auto" w:sz="12" w:space="0"/>
              <w:bottom w:val="single" w:color="auto" w:sz="4" w:space="0"/>
            </w:tcBorders>
            <w:vAlign w:val="center"/>
          </w:tcPr>
          <w:p w14:paraId="12563280">
            <w:pPr>
              <w:autoSpaceDE w:val="0"/>
              <w:autoSpaceDN w:val="0"/>
              <w:jc w:val="center"/>
              <w:rPr>
                <w:rFonts w:ascii="宋体" w:hAnsi="宋体" w:cs="宋体"/>
                <w:sz w:val="18"/>
                <w:szCs w:val="18"/>
              </w:rPr>
            </w:pPr>
            <w:r>
              <w:rPr>
                <w:rFonts w:hint="eastAsia" w:ascii="宋体" w:hAnsi="宋体" w:cs="宋体"/>
                <w:sz w:val="18"/>
                <w:szCs w:val="18"/>
              </w:rPr>
              <w:t>≥10</w:t>
            </w:r>
          </w:p>
        </w:tc>
        <w:tc>
          <w:tcPr>
            <w:tcW w:w="1673" w:type="pct"/>
            <w:tcBorders>
              <w:top w:val="single" w:color="auto" w:sz="12" w:space="0"/>
              <w:bottom w:val="single" w:color="auto" w:sz="4" w:space="0"/>
            </w:tcBorders>
            <w:vAlign w:val="center"/>
          </w:tcPr>
          <w:p w14:paraId="0FDC04DC">
            <w:pPr>
              <w:autoSpaceDE w:val="0"/>
              <w:autoSpaceDN w:val="0"/>
              <w:jc w:val="center"/>
              <w:rPr>
                <w:rFonts w:ascii="宋体" w:hAnsi="宋体" w:cs="宋体"/>
                <w:sz w:val="18"/>
                <w:szCs w:val="18"/>
              </w:rPr>
            </w:pPr>
            <w:r>
              <w:rPr>
                <w:rFonts w:ascii="宋体" w:hAnsi="宋体" w:cs="宋体"/>
                <w:sz w:val="18"/>
                <w:szCs w:val="18"/>
              </w:rPr>
              <w:t>4</w:t>
            </w:r>
          </w:p>
        </w:tc>
      </w:tr>
    </w:tbl>
    <w:p w14:paraId="23D63A8D">
      <w:pPr>
        <w:spacing w:before="156" w:beforeLines="50" w:after="156" w:afterLines="50"/>
        <w:jc w:val="center"/>
        <w:rPr>
          <w:rFonts w:ascii="黑体" w:hAnsi="黑体" w:eastAsia="黑体"/>
        </w:rPr>
      </w:pPr>
      <w:r>
        <w:rPr>
          <w:rFonts w:hint="eastAsia" w:ascii="黑体" w:hAnsi="黑体" w:eastAsia="黑体"/>
        </w:rPr>
        <w:t>表1</w:t>
      </w:r>
      <w:r>
        <w:rPr>
          <w:rFonts w:ascii="黑体" w:hAnsi="黑体" w:eastAsia="黑体"/>
        </w:rPr>
        <w:t xml:space="preserve">4 </w:t>
      </w:r>
      <w:r>
        <w:rPr>
          <w:rFonts w:hint="eastAsia" w:ascii="黑体" w:hAnsi="黑体" w:eastAsia="黑体"/>
          <w:lang w:val="en-US" w:eastAsia="zh-CN"/>
        </w:rPr>
        <w:t xml:space="preserve"> </w:t>
      </w:r>
      <w:r>
        <w:rPr>
          <w:rFonts w:hint="eastAsia" w:ascii="黑体" w:hAnsi="黑体" w:eastAsia="黑体"/>
        </w:rPr>
        <w:t>可再生能源占比评分规则</w:t>
      </w:r>
      <w:r>
        <w:rPr>
          <w:rFonts w:hint="eastAsia" w:asciiTheme="minorEastAsia" w:hAnsiTheme="minorEastAsia" w:eastAsiaTheme="minorEastAsia"/>
        </w:rPr>
        <w:t>（续）</w:t>
      </w:r>
    </w:p>
    <w:tbl>
      <w:tblPr>
        <w:tblStyle w:val="35"/>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6368"/>
        <w:gridCol w:w="3202"/>
      </w:tblGrid>
      <w:tr w14:paraId="64D7CF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327" w:type="pct"/>
            <w:tcBorders>
              <w:top w:val="single" w:color="auto" w:sz="12" w:space="0"/>
              <w:bottom w:val="single" w:color="auto" w:sz="12" w:space="0"/>
            </w:tcBorders>
            <w:vAlign w:val="center"/>
          </w:tcPr>
          <w:p w14:paraId="6C910438">
            <w:pPr>
              <w:autoSpaceDE w:val="0"/>
              <w:autoSpaceDN w:val="0"/>
              <w:jc w:val="center"/>
              <w:rPr>
                <w:rFonts w:ascii="宋体" w:hAnsi="宋体"/>
                <w:b/>
                <w:bCs/>
                <w:sz w:val="18"/>
                <w:szCs w:val="18"/>
              </w:rPr>
            </w:pPr>
            <w:r>
              <w:rPr>
                <w:rFonts w:hint="eastAsia" w:ascii="宋体" w:hAnsi="宋体"/>
                <w:b/>
                <w:bCs/>
                <w:sz w:val="18"/>
                <w:szCs w:val="18"/>
              </w:rPr>
              <w:t>可再生能源占比（</w:t>
            </w:r>
            <w:r>
              <w:rPr>
                <w:rFonts w:ascii="宋体" w:hAnsi="宋体"/>
                <w:b/>
                <w:bCs/>
                <w:sz w:val="18"/>
                <w:szCs w:val="18"/>
              </w:rPr>
              <w:t>%</w:t>
            </w:r>
            <w:r>
              <w:rPr>
                <w:rFonts w:hint="eastAsia" w:ascii="宋体" w:hAnsi="宋体"/>
                <w:b/>
                <w:bCs/>
                <w:sz w:val="18"/>
                <w:szCs w:val="18"/>
              </w:rPr>
              <w:t>）</w:t>
            </w:r>
          </w:p>
        </w:tc>
        <w:tc>
          <w:tcPr>
            <w:tcW w:w="1673" w:type="pct"/>
            <w:tcBorders>
              <w:top w:val="single" w:color="auto" w:sz="12" w:space="0"/>
              <w:bottom w:val="single" w:color="auto" w:sz="12" w:space="0"/>
            </w:tcBorders>
            <w:vAlign w:val="center"/>
          </w:tcPr>
          <w:p w14:paraId="125BBFBF">
            <w:pPr>
              <w:autoSpaceDE w:val="0"/>
              <w:autoSpaceDN w:val="0"/>
              <w:jc w:val="center"/>
              <w:rPr>
                <w:b/>
                <w:bCs/>
                <w:sz w:val="18"/>
                <w:szCs w:val="18"/>
              </w:rPr>
            </w:pPr>
            <w:r>
              <w:rPr>
                <w:rFonts w:hint="eastAsia"/>
                <w:b/>
                <w:bCs/>
                <w:sz w:val="18"/>
                <w:szCs w:val="18"/>
              </w:rPr>
              <w:t>分值（分）</w:t>
            </w:r>
          </w:p>
        </w:tc>
      </w:tr>
      <w:tr w14:paraId="76F9F5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327" w:type="pct"/>
            <w:tcBorders>
              <w:top w:val="single" w:color="auto" w:sz="12" w:space="0"/>
            </w:tcBorders>
            <w:vAlign w:val="center"/>
          </w:tcPr>
          <w:p w14:paraId="463A04FC">
            <w:pPr>
              <w:autoSpaceDE w:val="0"/>
              <w:autoSpaceDN w:val="0"/>
              <w:jc w:val="center"/>
              <w:rPr>
                <w:rFonts w:ascii="宋体" w:hAnsi="宋体" w:cs="宋体"/>
                <w:sz w:val="18"/>
                <w:szCs w:val="18"/>
              </w:rPr>
            </w:pPr>
            <w:r>
              <w:rPr>
                <w:rFonts w:hint="eastAsia" w:ascii="宋体" w:hAnsi="宋体" w:cs="宋体"/>
                <w:sz w:val="18"/>
                <w:szCs w:val="18"/>
              </w:rPr>
              <w:t>（0，10）</w:t>
            </w:r>
          </w:p>
        </w:tc>
        <w:tc>
          <w:tcPr>
            <w:tcW w:w="1673" w:type="pct"/>
            <w:tcBorders>
              <w:top w:val="single" w:color="auto" w:sz="12" w:space="0"/>
            </w:tcBorders>
            <w:vAlign w:val="center"/>
          </w:tcPr>
          <w:p w14:paraId="3ADE2338">
            <w:pPr>
              <w:autoSpaceDE w:val="0"/>
              <w:autoSpaceDN w:val="0"/>
              <w:jc w:val="center"/>
              <w:rPr>
                <w:rFonts w:ascii="宋体" w:hAnsi="宋体" w:cs="宋体"/>
                <w:sz w:val="18"/>
                <w:szCs w:val="18"/>
              </w:rPr>
            </w:pPr>
            <w:r>
              <w:rPr>
                <w:rFonts w:ascii="宋体" w:hAnsi="宋体" w:cs="宋体"/>
                <w:sz w:val="18"/>
                <w:szCs w:val="18"/>
              </w:rPr>
              <w:t>2</w:t>
            </w:r>
          </w:p>
        </w:tc>
      </w:tr>
      <w:tr w14:paraId="580A6F4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327" w:type="pct"/>
            <w:tcBorders>
              <w:bottom w:val="single" w:color="auto" w:sz="12" w:space="0"/>
            </w:tcBorders>
            <w:vAlign w:val="center"/>
          </w:tcPr>
          <w:p w14:paraId="6E59BC94">
            <w:pPr>
              <w:autoSpaceDE w:val="0"/>
              <w:autoSpaceDN w:val="0"/>
              <w:jc w:val="center"/>
              <w:rPr>
                <w:rFonts w:ascii="宋体" w:hAnsi="宋体" w:cs="宋体"/>
                <w:sz w:val="18"/>
                <w:szCs w:val="18"/>
              </w:rPr>
            </w:pPr>
            <w:r>
              <w:rPr>
                <w:rFonts w:hint="eastAsia" w:ascii="宋体"/>
                <w:sz w:val="18"/>
                <w:szCs w:val="18"/>
              </w:rPr>
              <w:t>0</w:t>
            </w:r>
          </w:p>
        </w:tc>
        <w:tc>
          <w:tcPr>
            <w:tcW w:w="1673" w:type="pct"/>
            <w:tcBorders>
              <w:bottom w:val="single" w:color="auto" w:sz="12" w:space="0"/>
            </w:tcBorders>
            <w:vAlign w:val="center"/>
          </w:tcPr>
          <w:p w14:paraId="03A47ADF">
            <w:pPr>
              <w:autoSpaceDE w:val="0"/>
              <w:autoSpaceDN w:val="0"/>
              <w:jc w:val="center"/>
              <w:rPr>
                <w:rFonts w:ascii="宋体" w:hAnsi="宋体" w:cs="宋体"/>
                <w:sz w:val="18"/>
                <w:szCs w:val="18"/>
              </w:rPr>
            </w:pPr>
            <w:r>
              <w:rPr>
                <w:rFonts w:ascii="宋体" w:hAnsi="宋体" w:cs="宋体"/>
                <w:sz w:val="18"/>
                <w:szCs w:val="18"/>
              </w:rPr>
              <w:t>0</w:t>
            </w:r>
          </w:p>
        </w:tc>
      </w:tr>
    </w:tbl>
    <w:p w14:paraId="24EF89C5">
      <w:pPr>
        <w:pStyle w:val="59"/>
        <w:numPr>
          <w:ilvl w:val="3"/>
          <w:numId w:val="2"/>
        </w:numPr>
        <w:spacing w:before="156" w:after="156"/>
        <w:outlineLvl w:val="4"/>
        <w:rPr>
          <w:rFonts w:ascii="Times New Roman"/>
        </w:rPr>
      </w:pPr>
      <w:r>
        <w:rPr>
          <w:rFonts w:hint="eastAsia" w:ascii="Times New Roman"/>
        </w:rPr>
        <w:t>污染物</w:t>
      </w:r>
      <w:r>
        <w:rPr>
          <w:rFonts w:ascii="Times New Roman"/>
        </w:rPr>
        <w:t>排放</w:t>
      </w:r>
      <w:r>
        <w:rPr>
          <w:rFonts w:hint="eastAsia" w:ascii="Times New Roman"/>
        </w:rPr>
        <w:t>水平</w:t>
      </w:r>
    </w:p>
    <w:p w14:paraId="148512CD">
      <w:pPr>
        <w:autoSpaceDE w:val="0"/>
        <w:autoSpaceDN w:val="0"/>
        <w:ind w:firstLine="420" w:firstLineChars="200"/>
        <w:rPr>
          <w:rFonts w:ascii="宋体" w:hAnsi="宋体" w:cs="宋体"/>
        </w:rPr>
      </w:pPr>
      <w:r>
        <w:rPr>
          <w:rFonts w:hint="eastAsia" w:ascii="宋体" w:hAnsi="宋体" w:cs="宋体"/>
        </w:rPr>
        <w:t>从企事业单位自身生产运营过程向环境排放污染物的情况进行评价，具体评分规则见表1</w:t>
      </w:r>
      <w:r>
        <w:rPr>
          <w:rFonts w:ascii="宋体" w:hAnsi="宋体" w:cs="宋体"/>
        </w:rPr>
        <w:t>5</w:t>
      </w:r>
      <w:r>
        <w:rPr>
          <w:rFonts w:hint="eastAsia" w:ascii="宋体" w:hAnsi="宋体" w:cs="宋体"/>
        </w:rPr>
        <w:t>。污染物排放水平数据宜以近一年全国污染源监测数据管理与共享系统平台的自行监测数据为准。</w:t>
      </w:r>
    </w:p>
    <w:p w14:paraId="502EF9D8">
      <w:pPr>
        <w:numPr>
          <w:ilvl w:val="0"/>
          <w:numId w:val="17"/>
        </w:numPr>
        <w:spacing w:before="156" w:beforeLines="50" w:after="156" w:afterLines="50"/>
        <w:jc w:val="center"/>
        <w:rPr>
          <w:rFonts w:eastAsia="黑体"/>
        </w:rPr>
      </w:pPr>
      <w:r>
        <w:rPr>
          <w:rFonts w:hint="eastAsia" w:eastAsia="黑体"/>
        </w:rPr>
        <w:t>污染物</w:t>
      </w:r>
      <w:r>
        <w:rPr>
          <w:rFonts w:eastAsia="黑体"/>
        </w:rPr>
        <w:t>排放</w:t>
      </w:r>
      <w:r>
        <w:rPr>
          <w:rFonts w:hint="eastAsia" w:eastAsia="黑体"/>
        </w:rPr>
        <w:t>水平</w:t>
      </w:r>
      <w:r>
        <w:rPr>
          <w:rFonts w:eastAsia="黑体"/>
        </w:rPr>
        <w:t>评分规则</w:t>
      </w:r>
    </w:p>
    <w:tbl>
      <w:tblPr>
        <w:tblStyle w:val="35"/>
        <w:tblW w:w="95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782"/>
        <w:gridCol w:w="1788"/>
      </w:tblGrid>
      <w:tr w14:paraId="5E072BE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782" w:type="dxa"/>
            <w:tcBorders>
              <w:bottom w:val="single" w:color="auto" w:sz="12" w:space="0"/>
            </w:tcBorders>
            <w:vAlign w:val="center"/>
          </w:tcPr>
          <w:p w14:paraId="3533B63A">
            <w:pPr>
              <w:autoSpaceDE w:val="0"/>
              <w:autoSpaceDN w:val="0"/>
              <w:jc w:val="center"/>
              <w:rPr>
                <w:b/>
                <w:bCs/>
                <w:sz w:val="18"/>
                <w:szCs w:val="18"/>
              </w:rPr>
            </w:pPr>
            <w:r>
              <w:rPr>
                <w:b/>
                <w:bCs/>
                <w:sz w:val="18"/>
                <w:szCs w:val="18"/>
              </w:rPr>
              <w:t>污染物排放水平</w:t>
            </w:r>
          </w:p>
        </w:tc>
        <w:tc>
          <w:tcPr>
            <w:tcW w:w="1788" w:type="dxa"/>
            <w:tcBorders>
              <w:bottom w:val="single" w:color="auto" w:sz="12" w:space="0"/>
            </w:tcBorders>
            <w:vAlign w:val="center"/>
          </w:tcPr>
          <w:p w14:paraId="1BE291FC">
            <w:pPr>
              <w:autoSpaceDE w:val="0"/>
              <w:autoSpaceDN w:val="0"/>
              <w:jc w:val="center"/>
              <w:rPr>
                <w:b/>
                <w:bCs/>
                <w:sz w:val="18"/>
                <w:szCs w:val="18"/>
              </w:rPr>
            </w:pPr>
            <w:r>
              <w:rPr>
                <w:b/>
                <w:bCs/>
                <w:sz w:val="18"/>
                <w:szCs w:val="18"/>
              </w:rPr>
              <w:t>分值</w:t>
            </w:r>
            <w:r>
              <w:rPr>
                <w:rFonts w:hint="eastAsia"/>
                <w:b/>
                <w:bCs/>
                <w:sz w:val="18"/>
                <w:szCs w:val="18"/>
              </w:rPr>
              <w:t>（分）</w:t>
            </w:r>
          </w:p>
        </w:tc>
      </w:tr>
      <w:tr w14:paraId="13B4850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7782" w:type="dxa"/>
            <w:tcBorders>
              <w:top w:val="single" w:color="auto" w:sz="12" w:space="0"/>
              <w:tl2br w:val="nil"/>
              <w:tr2bl w:val="nil"/>
            </w:tcBorders>
            <w:vAlign w:val="center"/>
          </w:tcPr>
          <w:p w14:paraId="542B9E45">
            <w:pPr>
              <w:autoSpaceDE w:val="0"/>
              <w:autoSpaceDN w:val="0"/>
              <w:rPr>
                <w:rFonts w:ascii="宋体" w:hAnsi="宋体" w:cs="宋体"/>
                <w:sz w:val="18"/>
                <w:szCs w:val="18"/>
              </w:rPr>
            </w:pPr>
            <w:r>
              <w:rPr>
                <w:rFonts w:hint="eastAsia" w:ascii="宋体" w:hAnsi="宋体" w:cs="宋体"/>
                <w:sz w:val="18"/>
                <w:szCs w:val="18"/>
              </w:rPr>
              <w:t>不排放污染物，或根据排污许可相关管理条例实行排污登记管理，或需控制的污染物有80%的种类优于排污许可证限值20%，或优于排放源所在地同类行业污染物排放限值20%</w:t>
            </w:r>
          </w:p>
        </w:tc>
        <w:tc>
          <w:tcPr>
            <w:tcW w:w="1788" w:type="dxa"/>
            <w:tcBorders>
              <w:top w:val="single" w:color="auto" w:sz="12" w:space="0"/>
              <w:tl2br w:val="nil"/>
              <w:tr2bl w:val="nil"/>
            </w:tcBorders>
            <w:vAlign w:val="center"/>
          </w:tcPr>
          <w:p w14:paraId="2863B21B">
            <w:pPr>
              <w:autoSpaceDE w:val="0"/>
              <w:autoSpaceDN w:val="0"/>
              <w:jc w:val="center"/>
              <w:rPr>
                <w:rFonts w:ascii="宋体" w:hAnsi="宋体" w:cs="宋体"/>
                <w:sz w:val="18"/>
                <w:szCs w:val="18"/>
              </w:rPr>
            </w:pPr>
            <w:r>
              <w:rPr>
                <w:rFonts w:hint="eastAsia" w:ascii="宋体" w:hAnsi="宋体" w:cs="宋体"/>
                <w:sz w:val="18"/>
                <w:szCs w:val="18"/>
              </w:rPr>
              <w:t>4</w:t>
            </w:r>
          </w:p>
        </w:tc>
      </w:tr>
      <w:tr w14:paraId="226B3D0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7782" w:type="dxa"/>
            <w:tcBorders>
              <w:tl2br w:val="nil"/>
              <w:tr2bl w:val="nil"/>
            </w:tcBorders>
            <w:vAlign w:val="center"/>
          </w:tcPr>
          <w:p w14:paraId="0F5F7758">
            <w:pPr>
              <w:autoSpaceDE w:val="0"/>
              <w:autoSpaceDN w:val="0"/>
              <w:rPr>
                <w:rFonts w:ascii="宋体" w:hAnsi="宋体" w:cs="宋体"/>
                <w:sz w:val="18"/>
                <w:szCs w:val="18"/>
              </w:rPr>
            </w:pPr>
            <w:r>
              <w:rPr>
                <w:rFonts w:hint="eastAsia" w:ascii="宋体" w:hAnsi="宋体" w:cs="宋体"/>
                <w:sz w:val="18"/>
                <w:szCs w:val="18"/>
              </w:rPr>
              <w:t>需控制的污染物有80%的种类优于排污许可证限值10%，或优于排放源所在地同类行业污染物排放限值10%</w:t>
            </w:r>
          </w:p>
        </w:tc>
        <w:tc>
          <w:tcPr>
            <w:tcW w:w="1788" w:type="dxa"/>
            <w:tcBorders>
              <w:tl2br w:val="nil"/>
              <w:tr2bl w:val="nil"/>
            </w:tcBorders>
            <w:vAlign w:val="center"/>
          </w:tcPr>
          <w:p w14:paraId="5C7227BC">
            <w:pPr>
              <w:autoSpaceDE w:val="0"/>
              <w:autoSpaceDN w:val="0"/>
              <w:jc w:val="center"/>
              <w:rPr>
                <w:rFonts w:ascii="宋体" w:hAnsi="宋体" w:cs="宋体"/>
                <w:sz w:val="18"/>
                <w:szCs w:val="18"/>
              </w:rPr>
            </w:pPr>
            <w:r>
              <w:rPr>
                <w:rFonts w:hint="eastAsia" w:ascii="宋体" w:hAnsi="宋体" w:cs="宋体"/>
                <w:sz w:val="18"/>
                <w:szCs w:val="18"/>
              </w:rPr>
              <w:t>2</w:t>
            </w:r>
          </w:p>
        </w:tc>
      </w:tr>
      <w:tr w14:paraId="70E759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3" w:hRule="atLeast"/>
          <w:jc w:val="center"/>
        </w:trPr>
        <w:tc>
          <w:tcPr>
            <w:tcW w:w="7782" w:type="dxa"/>
            <w:tcBorders>
              <w:tl2br w:val="nil"/>
              <w:tr2bl w:val="nil"/>
            </w:tcBorders>
            <w:vAlign w:val="center"/>
          </w:tcPr>
          <w:p w14:paraId="0711E8D4">
            <w:pPr>
              <w:autoSpaceDE w:val="0"/>
              <w:autoSpaceDN w:val="0"/>
              <w:rPr>
                <w:rFonts w:ascii="宋体" w:hAnsi="宋体" w:cs="宋体"/>
                <w:sz w:val="18"/>
                <w:szCs w:val="18"/>
              </w:rPr>
            </w:pPr>
            <w:r>
              <w:rPr>
                <w:rFonts w:hint="eastAsia" w:ascii="宋体" w:hAnsi="宋体" w:cs="宋体"/>
                <w:sz w:val="18"/>
                <w:szCs w:val="18"/>
              </w:rPr>
              <w:t>未满足上述任何一项</w:t>
            </w:r>
          </w:p>
        </w:tc>
        <w:tc>
          <w:tcPr>
            <w:tcW w:w="1788" w:type="dxa"/>
            <w:tcBorders>
              <w:tl2br w:val="nil"/>
              <w:tr2bl w:val="nil"/>
            </w:tcBorders>
            <w:vAlign w:val="center"/>
          </w:tcPr>
          <w:p w14:paraId="551DBCF8">
            <w:pPr>
              <w:autoSpaceDE w:val="0"/>
              <w:autoSpaceDN w:val="0"/>
              <w:jc w:val="center"/>
              <w:rPr>
                <w:rFonts w:ascii="宋体" w:hAnsi="宋体" w:cs="宋体"/>
                <w:sz w:val="18"/>
                <w:szCs w:val="18"/>
              </w:rPr>
            </w:pPr>
            <w:r>
              <w:rPr>
                <w:rFonts w:hint="eastAsia" w:ascii="宋体" w:hAnsi="宋体" w:cs="宋体"/>
                <w:sz w:val="18"/>
                <w:szCs w:val="18"/>
              </w:rPr>
              <w:t>0</w:t>
            </w:r>
          </w:p>
        </w:tc>
      </w:tr>
    </w:tbl>
    <w:p w14:paraId="766244F0">
      <w:pPr>
        <w:pStyle w:val="49"/>
        <w:spacing w:before="156" w:after="156"/>
        <w:rPr>
          <w:rFonts w:ascii="Times New Roman"/>
        </w:rPr>
      </w:pPr>
      <w:r>
        <w:rPr>
          <w:rFonts w:ascii="Times New Roman"/>
        </w:rPr>
        <w:t>社会表现</w:t>
      </w:r>
    </w:p>
    <w:p w14:paraId="32FBB4AF">
      <w:pPr>
        <w:pStyle w:val="54"/>
        <w:numPr>
          <w:ilvl w:val="3"/>
          <w:numId w:val="2"/>
        </w:numPr>
        <w:spacing w:before="156" w:after="156"/>
        <w:rPr>
          <w:rFonts w:hAnsi="宋体" w:cs="宋体"/>
        </w:rPr>
      </w:pPr>
      <w:r>
        <w:rPr>
          <w:rFonts w:hint="eastAsia" w:hAnsi="宋体" w:cs="宋体"/>
        </w:rPr>
        <w:t>内容行动</w:t>
      </w:r>
    </w:p>
    <w:p w14:paraId="7D4F5D09">
      <w:pPr>
        <w:pStyle w:val="25"/>
        <w:rPr>
          <w:rFonts w:hAnsi="宋体" w:cs="宋体"/>
        </w:rPr>
      </w:pPr>
      <w:r>
        <w:rPr>
          <w:rFonts w:hint="eastAsia" w:hAnsi="宋体" w:cs="宋体"/>
        </w:rPr>
        <w:t>从企事业单位开展绿色行动、信息披露、低碳培训等方面进行综合评价，具体评分规则见表1</w:t>
      </w:r>
      <w:r>
        <w:rPr>
          <w:rFonts w:hAnsi="宋体" w:cs="宋体"/>
        </w:rPr>
        <w:t>6</w:t>
      </w:r>
      <w:r>
        <w:rPr>
          <w:rFonts w:hint="eastAsia" w:hAnsi="宋体" w:cs="宋体"/>
        </w:rPr>
        <w:t>。</w:t>
      </w:r>
    </w:p>
    <w:p w14:paraId="68B11CB3">
      <w:pPr>
        <w:pStyle w:val="129"/>
        <w:rPr>
          <w:rFonts w:ascii="Times New Roman"/>
        </w:rPr>
      </w:pPr>
      <w:r>
        <w:rPr>
          <w:rFonts w:ascii="Times New Roman"/>
        </w:rPr>
        <w:t>内部行动评分规则</w:t>
      </w:r>
    </w:p>
    <w:tbl>
      <w:tblPr>
        <w:tblStyle w:val="35"/>
        <w:tblW w:w="9570"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Layout w:type="fixed"/>
        <w:tblCellMar>
          <w:top w:w="0" w:type="dxa"/>
          <w:left w:w="108" w:type="dxa"/>
          <w:bottom w:w="0" w:type="dxa"/>
          <w:right w:w="108" w:type="dxa"/>
        </w:tblCellMar>
      </w:tblPr>
      <w:tblGrid>
        <w:gridCol w:w="978"/>
        <w:gridCol w:w="5244"/>
        <w:gridCol w:w="1843"/>
        <w:gridCol w:w="1505"/>
      </w:tblGrid>
      <w:tr w14:paraId="28F41DC0">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459" w:hRule="atLeast"/>
          <w:jc w:val="center"/>
        </w:trPr>
        <w:tc>
          <w:tcPr>
            <w:tcW w:w="978" w:type="dxa"/>
            <w:tcBorders>
              <w:bottom w:val="single" w:color="auto" w:sz="12" w:space="0"/>
            </w:tcBorders>
            <w:vAlign w:val="center"/>
          </w:tcPr>
          <w:p w14:paraId="6DA6F7BC">
            <w:pPr>
              <w:pStyle w:val="25"/>
              <w:ind w:firstLine="0" w:firstLineChars="0"/>
              <w:jc w:val="center"/>
              <w:rPr>
                <w:rFonts w:ascii="Times New Roman"/>
                <w:b/>
                <w:bCs/>
                <w:sz w:val="18"/>
                <w:szCs w:val="18"/>
              </w:rPr>
            </w:pPr>
            <w:r>
              <w:rPr>
                <w:rFonts w:hint="eastAsia" w:ascii="Times New Roman"/>
                <w:b/>
                <w:bCs/>
                <w:sz w:val="18"/>
                <w:szCs w:val="18"/>
              </w:rPr>
              <w:t>内部行动</w:t>
            </w:r>
          </w:p>
        </w:tc>
        <w:tc>
          <w:tcPr>
            <w:tcW w:w="5244" w:type="dxa"/>
            <w:tcBorders>
              <w:bottom w:val="single" w:color="auto" w:sz="12" w:space="0"/>
            </w:tcBorders>
            <w:vAlign w:val="center"/>
          </w:tcPr>
          <w:p w14:paraId="397AD90A">
            <w:pPr>
              <w:pStyle w:val="25"/>
              <w:ind w:firstLine="0" w:firstLineChars="0"/>
              <w:jc w:val="center"/>
              <w:rPr>
                <w:rFonts w:ascii="Times New Roman"/>
                <w:b/>
                <w:bCs/>
                <w:sz w:val="18"/>
                <w:szCs w:val="18"/>
              </w:rPr>
            </w:pPr>
            <w:r>
              <w:rPr>
                <w:rFonts w:ascii="Times New Roman"/>
                <w:b/>
                <w:bCs/>
                <w:sz w:val="18"/>
                <w:szCs w:val="18"/>
              </w:rPr>
              <w:t>开展情况</w:t>
            </w:r>
          </w:p>
        </w:tc>
        <w:tc>
          <w:tcPr>
            <w:tcW w:w="1843" w:type="dxa"/>
            <w:tcBorders>
              <w:bottom w:val="single" w:color="auto" w:sz="12" w:space="0"/>
            </w:tcBorders>
            <w:vAlign w:val="center"/>
          </w:tcPr>
          <w:p w14:paraId="38E52448">
            <w:pPr>
              <w:pStyle w:val="25"/>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505" w:type="dxa"/>
            <w:tcBorders>
              <w:bottom w:val="single" w:color="auto" w:sz="12" w:space="0"/>
            </w:tcBorders>
            <w:vAlign w:val="center"/>
          </w:tcPr>
          <w:p w14:paraId="49ADBB38">
            <w:pPr>
              <w:pStyle w:val="25"/>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r>
      <w:tr w14:paraId="7B4076C9">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1230" w:hRule="atLeast"/>
          <w:jc w:val="center"/>
        </w:trPr>
        <w:tc>
          <w:tcPr>
            <w:tcW w:w="978" w:type="dxa"/>
            <w:tcBorders>
              <w:top w:val="single" w:color="auto" w:sz="12" w:space="0"/>
              <w:tl2br w:val="nil"/>
              <w:tr2bl w:val="nil"/>
            </w:tcBorders>
            <w:vAlign w:val="center"/>
          </w:tcPr>
          <w:p w14:paraId="38261063">
            <w:pPr>
              <w:pStyle w:val="25"/>
              <w:ind w:firstLine="0" w:firstLineChars="0"/>
              <w:jc w:val="center"/>
              <w:rPr>
                <w:rFonts w:hAnsi="宋体" w:cs="宋体"/>
                <w:sz w:val="18"/>
                <w:szCs w:val="18"/>
              </w:rPr>
            </w:pPr>
            <w:r>
              <w:rPr>
                <w:rFonts w:hint="eastAsia" w:hAnsi="宋体" w:cs="宋体"/>
                <w:sz w:val="18"/>
                <w:szCs w:val="18"/>
              </w:rPr>
              <w:t>绿色行动</w:t>
            </w:r>
          </w:p>
        </w:tc>
        <w:tc>
          <w:tcPr>
            <w:tcW w:w="5244" w:type="dxa"/>
            <w:tcBorders>
              <w:top w:val="single" w:color="auto" w:sz="12" w:space="0"/>
              <w:tl2br w:val="nil"/>
              <w:tr2bl w:val="nil"/>
            </w:tcBorders>
            <w:vAlign w:val="center"/>
          </w:tcPr>
          <w:p w14:paraId="274F844D">
            <w:pPr>
              <w:pStyle w:val="25"/>
              <w:ind w:firstLine="0" w:firstLineChars="0"/>
              <w:rPr>
                <w:rFonts w:hAnsi="宋体" w:cs="宋体"/>
                <w:sz w:val="18"/>
                <w:szCs w:val="18"/>
              </w:rPr>
            </w:pPr>
            <w:r>
              <w:rPr>
                <w:rFonts w:hint="eastAsia" w:hAnsi="宋体" w:cs="宋体"/>
                <w:sz w:val="18"/>
                <w:szCs w:val="18"/>
              </w:rPr>
              <w:t>发布碳中和规划或行动方案、创建近零碳排放试点、开展产品碳足迹核算、创建碳普惠低碳场景或实现多场大型活动碳中和等绿色行动</w:t>
            </w:r>
          </w:p>
        </w:tc>
        <w:tc>
          <w:tcPr>
            <w:tcW w:w="1843" w:type="dxa"/>
            <w:tcBorders>
              <w:top w:val="single" w:color="auto" w:sz="12" w:space="0"/>
              <w:tl2br w:val="nil"/>
              <w:tr2bl w:val="nil"/>
            </w:tcBorders>
            <w:vAlign w:val="center"/>
          </w:tcPr>
          <w:p w14:paraId="30934BC0">
            <w:pPr>
              <w:pStyle w:val="25"/>
              <w:ind w:firstLine="0" w:firstLineChars="0"/>
              <w:jc w:val="center"/>
              <w:rPr>
                <w:rFonts w:hAnsi="宋体" w:cs="宋体"/>
                <w:sz w:val="18"/>
                <w:szCs w:val="18"/>
              </w:rPr>
            </w:pPr>
            <w:r>
              <w:rPr>
                <w:rFonts w:hint="eastAsia" w:hAnsi="宋体" w:cs="宋体"/>
                <w:sz w:val="18"/>
                <w:szCs w:val="18"/>
              </w:rPr>
              <w:t>1</w:t>
            </w:r>
          </w:p>
        </w:tc>
        <w:tc>
          <w:tcPr>
            <w:tcW w:w="1505" w:type="dxa"/>
            <w:vMerge w:val="restart"/>
            <w:tcBorders>
              <w:top w:val="single" w:color="auto" w:sz="12" w:space="0"/>
              <w:tl2br w:val="nil"/>
              <w:tr2bl w:val="nil"/>
            </w:tcBorders>
            <w:vAlign w:val="center"/>
          </w:tcPr>
          <w:p w14:paraId="1DCDCD0F">
            <w:pPr>
              <w:pStyle w:val="25"/>
              <w:ind w:firstLine="0" w:firstLineChars="0"/>
              <w:rPr>
                <w:rFonts w:hAnsi="宋体" w:cs="宋体"/>
                <w:sz w:val="18"/>
                <w:szCs w:val="18"/>
              </w:rPr>
            </w:pPr>
            <w:r>
              <w:rPr>
                <w:rFonts w:hint="eastAsia" w:hAnsi="宋体" w:cs="宋体"/>
                <w:sz w:val="18"/>
                <w:szCs w:val="18"/>
              </w:rPr>
              <w:t>该项得分为三项指标累计得分</w:t>
            </w:r>
          </w:p>
        </w:tc>
      </w:tr>
      <w:tr w14:paraId="42D68AF2">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1102" w:hRule="atLeast"/>
          <w:jc w:val="center"/>
        </w:trPr>
        <w:tc>
          <w:tcPr>
            <w:tcW w:w="978" w:type="dxa"/>
            <w:tcBorders>
              <w:tl2br w:val="nil"/>
              <w:tr2bl w:val="nil"/>
            </w:tcBorders>
            <w:vAlign w:val="center"/>
          </w:tcPr>
          <w:p w14:paraId="731A0204">
            <w:pPr>
              <w:pStyle w:val="25"/>
              <w:ind w:firstLine="0" w:firstLineChars="0"/>
              <w:jc w:val="center"/>
              <w:rPr>
                <w:rFonts w:hAnsi="宋体" w:cs="宋体"/>
                <w:sz w:val="18"/>
                <w:szCs w:val="18"/>
              </w:rPr>
            </w:pPr>
            <w:r>
              <w:rPr>
                <w:rFonts w:hint="eastAsia" w:hAnsi="宋体" w:cs="宋体"/>
                <w:sz w:val="18"/>
                <w:szCs w:val="18"/>
              </w:rPr>
              <w:t>信息披露</w:t>
            </w:r>
          </w:p>
        </w:tc>
        <w:tc>
          <w:tcPr>
            <w:tcW w:w="5244" w:type="dxa"/>
            <w:tcBorders>
              <w:tl2br w:val="nil"/>
              <w:tr2bl w:val="nil"/>
            </w:tcBorders>
            <w:vAlign w:val="center"/>
          </w:tcPr>
          <w:p w14:paraId="47CC3D2D">
            <w:pPr>
              <w:pStyle w:val="25"/>
              <w:ind w:firstLine="0" w:firstLineChars="0"/>
              <w:jc w:val="left"/>
              <w:rPr>
                <w:rFonts w:hAnsi="宋体" w:cs="宋体"/>
                <w:sz w:val="18"/>
                <w:szCs w:val="18"/>
              </w:rPr>
            </w:pPr>
            <w:r>
              <w:rPr>
                <w:rFonts w:hint="eastAsia" w:hAnsi="宋体" w:cs="宋体"/>
                <w:sz w:val="18"/>
                <w:szCs w:val="18"/>
              </w:rPr>
              <w:t>主动依据《企业环境信息依法披露管理办法》，通过公开渠道披露产品或服务技术性能、资源能源消耗情况、环境信息等相关内容，或依法依规披露环境、社会和公司治理（ESG）情况</w:t>
            </w:r>
          </w:p>
        </w:tc>
        <w:tc>
          <w:tcPr>
            <w:tcW w:w="1843" w:type="dxa"/>
            <w:tcBorders>
              <w:tl2br w:val="nil"/>
              <w:tr2bl w:val="nil"/>
            </w:tcBorders>
            <w:vAlign w:val="center"/>
          </w:tcPr>
          <w:p w14:paraId="0153CC94">
            <w:pPr>
              <w:pStyle w:val="25"/>
              <w:ind w:firstLine="0" w:firstLineChars="0"/>
              <w:jc w:val="center"/>
              <w:rPr>
                <w:rFonts w:hAnsi="宋体" w:cs="宋体"/>
                <w:sz w:val="18"/>
                <w:szCs w:val="18"/>
              </w:rPr>
            </w:pPr>
            <w:r>
              <w:rPr>
                <w:rFonts w:hint="eastAsia" w:hAnsi="宋体" w:cs="宋体"/>
                <w:sz w:val="18"/>
                <w:szCs w:val="18"/>
              </w:rPr>
              <w:t>1</w:t>
            </w:r>
          </w:p>
        </w:tc>
        <w:tc>
          <w:tcPr>
            <w:tcW w:w="1505" w:type="dxa"/>
            <w:vMerge w:val="continue"/>
            <w:tcBorders>
              <w:tl2br w:val="nil"/>
              <w:tr2bl w:val="nil"/>
            </w:tcBorders>
            <w:vAlign w:val="center"/>
          </w:tcPr>
          <w:p w14:paraId="06DC0C75">
            <w:pPr>
              <w:pStyle w:val="25"/>
              <w:ind w:firstLine="0" w:firstLineChars="0"/>
              <w:jc w:val="center"/>
              <w:rPr>
                <w:rFonts w:hAnsi="宋体" w:cs="宋体"/>
                <w:sz w:val="18"/>
                <w:szCs w:val="18"/>
              </w:rPr>
            </w:pPr>
          </w:p>
        </w:tc>
      </w:tr>
      <w:tr w14:paraId="5F867DB1">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834" w:hRule="atLeast"/>
          <w:jc w:val="center"/>
        </w:trPr>
        <w:tc>
          <w:tcPr>
            <w:tcW w:w="978" w:type="dxa"/>
            <w:tcBorders>
              <w:tl2br w:val="nil"/>
              <w:tr2bl w:val="nil"/>
            </w:tcBorders>
            <w:vAlign w:val="center"/>
          </w:tcPr>
          <w:p w14:paraId="3B9D2BDC">
            <w:pPr>
              <w:pStyle w:val="25"/>
              <w:ind w:firstLine="0" w:firstLineChars="0"/>
              <w:jc w:val="center"/>
              <w:rPr>
                <w:rFonts w:hAnsi="宋体" w:cs="宋体"/>
                <w:sz w:val="18"/>
                <w:szCs w:val="18"/>
              </w:rPr>
            </w:pPr>
            <w:r>
              <w:rPr>
                <w:rFonts w:hint="eastAsia" w:hAnsi="宋体" w:cs="宋体"/>
                <w:sz w:val="18"/>
                <w:szCs w:val="18"/>
              </w:rPr>
              <w:t>低碳培训</w:t>
            </w:r>
          </w:p>
        </w:tc>
        <w:tc>
          <w:tcPr>
            <w:tcW w:w="5244" w:type="dxa"/>
            <w:tcBorders>
              <w:tl2br w:val="nil"/>
              <w:tr2bl w:val="nil"/>
            </w:tcBorders>
            <w:vAlign w:val="center"/>
          </w:tcPr>
          <w:p w14:paraId="17A87316">
            <w:pPr>
              <w:pStyle w:val="25"/>
              <w:ind w:firstLine="0" w:firstLineChars="0"/>
              <w:jc w:val="left"/>
              <w:rPr>
                <w:rFonts w:hAnsi="宋体" w:cs="宋体"/>
                <w:sz w:val="18"/>
                <w:szCs w:val="18"/>
              </w:rPr>
            </w:pPr>
            <w:r>
              <w:rPr>
                <w:rFonts w:hint="eastAsia" w:hAnsi="宋体" w:cs="宋体"/>
                <w:sz w:val="18"/>
                <w:szCs w:val="18"/>
              </w:rPr>
              <w:t>每年对员工开展2次及以上低碳环保、节能减排、循环经济等主题培训</w:t>
            </w:r>
          </w:p>
        </w:tc>
        <w:tc>
          <w:tcPr>
            <w:tcW w:w="1843" w:type="dxa"/>
            <w:tcBorders>
              <w:tl2br w:val="nil"/>
              <w:tr2bl w:val="nil"/>
            </w:tcBorders>
            <w:vAlign w:val="center"/>
          </w:tcPr>
          <w:p w14:paraId="3453D681">
            <w:pPr>
              <w:pStyle w:val="25"/>
              <w:ind w:firstLine="0" w:firstLineChars="0"/>
              <w:jc w:val="center"/>
              <w:rPr>
                <w:rFonts w:hAnsi="宋体" w:cs="宋体"/>
                <w:sz w:val="18"/>
                <w:szCs w:val="18"/>
              </w:rPr>
            </w:pPr>
            <w:r>
              <w:rPr>
                <w:rFonts w:hint="eastAsia" w:hAnsi="宋体" w:cs="宋体"/>
                <w:sz w:val="18"/>
                <w:szCs w:val="18"/>
              </w:rPr>
              <w:t>1</w:t>
            </w:r>
          </w:p>
        </w:tc>
        <w:tc>
          <w:tcPr>
            <w:tcW w:w="1505" w:type="dxa"/>
            <w:vMerge w:val="continue"/>
            <w:tcBorders>
              <w:tl2br w:val="nil"/>
              <w:tr2bl w:val="nil"/>
            </w:tcBorders>
            <w:vAlign w:val="center"/>
          </w:tcPr>
          <w:p w14:paraId="0F58DF98">
            <w:pPr>
              <w:pStyle w:val="25"/>
              <w:ind w:firstLine="0" w:firstLineChars="0"/>
              <w:jc w:val="center"/>
              <w:rPr>
                <w:rFonts w:hAnsi="宋体" w:cs="宋体"/>
                <w:sz w:val="18"/>
                <w:szCs w:val="18"/>
              </w:rPr>
            </w:pPr>
          </w:p>
        </w:tc>
      </w:tr>
    </w:tbl>
    <w:p w14:paraId="4590E756">
      <w:pPr>
        <w:pStyle w:val="54"/>
        <w:numPr>
          <w:ilvl w:val="3"/>
          <w:numId w:val="2"/>
        </w:numPr>
        <w:spacing w:before="156" w:after="156"/>
        <w:rPr>
          <w:rFonts w:ascii="Times New Roman"/>
        </w:rPr>
      </w:pPr>
      <w:r>
        <w:rPr>
          <w:rFonts w:ascii="Times New Roman"/>
        </w:rPr>
        <w:t>社会责任</w:t>
      </w:r>
    </w:p>
    <w:p w14:paraId="78F38B04">
      <w:pPr>
        <w:pStyle w:val="25"/>
        <w:rPr>
          <w:rFonts w:hAnsi="宋体" w:cs="宋体"/>
        </w:rPr>
      </w:pPr>
      <w:r>
        <w:rPr>
          <w:rFonts w:hint="eastAsia" w:hAnsi="宋体" w:cs="宋体"/>
        </w:rPr>
        <w:t>从企事业单位履行公共关系和社会公益责任、实施供应链绿色管理等情况进行评价。具体评分规则见表1</w:t>
      </w:r>
      <w:r>
        <w:rPr>
          <w:rFonts w:hAnsi="宋体" w:cs="宋体"/>
        </w:rPr>
        <w:t>7</w:t>
      </w:r>
      <w:r>
        <w:rPr>
          <w:rFonts w:hint="eastAsia" w:hAnsi="宋体" w:cs="宋体"/>
        </w:rPr>
        <w:t>。</w:t>
      </w:r>
    </w:p>
    <w:p w14:paraId="32290ACB">
      <w:pPr>
        <w:pStyle w:val="129"/>
        <w:rPr>
          <w:rFonts w:ascii="Times New Roman"/>
        </w:rPr>
      </w:pPr>
      <w:r>
        <w:rPr>
          <w:rFonts w:ascii="Times New Roman"/>
        </w:rPr>
        <w:t>社会责任评分规则</w:t>
      </w:r>
    </w:p>
    <w:tbl>
      <w:tblPr>
        <w:tblStyle w:val="35"/>
        <w:tblW w:w="95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489"/>
        <w:gridCol w:w="3733"/>
        <w:gridCol w:w="1547"/>
        <w:gridCol w:w="1801"/>
      </w:tblGrid>
      <w:tr w14:paraId="7D9B515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489" w:type="dxa"/>
            <w:tcBorders>
              <w:bottom w:val="single" w:color="auto" w:sz="12" w:space="0"/>
            </w:tcBorders>
            <w:vAlign w:val="center"/>
          </w:tcPr>
          <w:p w14:paraId="6B8FEEC7">
            <w:pPr>
              <w:pStyle w:val="25"/>
              <w:ind w:firstLine="0" w:firstLineChars="0"/>
              <w:jc w:val="center"/>
              <w:rPr>
                <w:rFonts w:ascii="Times New Roman"/>
                <w:b/>
                <w:bCs/>
                <w:sz w:val="18"/>
                <w:szCs w:val="18"/>
              </w:rPr>
            </w:pPr>
            <w:r>
              <w:rPr>
                <w:rFonts w:ascii="Times New Roman"/>
                <w:b/>
                <w:bCs/>
                <w:sz w:val="18"/>
                <w:szCs w:val="18"/>
              </w:rPr>
              <w:t>社会责任</w:t>
            </w:r>
          </w:p>
        </w:tc>
        <w:tc>
          <w:tcPr>
            <w:tcW w:w="3733" w:type="dxa"/>
            <w:tcBorders>
              <w:bottom w:val="single" w:color="auto" w:sz="12" w:space="0"/>
            </w:tcBorders>
            <w:vAlign w:val="center"/>
          </w:tcPr>
          <w:p w14:paraId="0BC82AC1">
            <w:pPr>
              <w:pStyle w:val="25"/>
              <w:ind w:firstLine="0" w:firstLineChars="0"/>
              <w:jc w:val="center"/>
              <w:rPr>
                <w:rFonts w:ascii="Times New Roman"/>
                <w:b/>
                <w:bCs/>
                <w:sz w:val="18"/>
                <w:szCs w:val="18"/>
              </w:rPr>
            </w:pPr>
            <w:r>
              <w:rPr>
                <w:rFonts w:hint="eastAsia" w:ascii="Times New Roman"/>
                <w:b/>
                <w:bCs/>
                <w:sz w:val="18"/>
                <w:szCs w:val="18"/>
              </w:rPr>
              <w:t>开展情况</w:t>
            </w:r>
          </w:p>
        </w:tc>
        <w:tc>
          <w:tcPr>
            <w:tcW w:w="1547" w:type="dxa"/>
            <w:tcBorders>
              <w:bottom w:val="single" w:color="auto" w:sz="12" w:space="0"/>
            </w:tcBorders>
            <w:vAlign w:val="center"/>
          </w:tcPr>
          <w:p w14:paraId="191CD54E">
            <w:pPr>
              <w:pStyle w:val="25"/>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801" w:type="dxa"/>
            <w:tcBorders>
              <w:bottom w:val="single" w:color="auto" w:sz="12" w:space="0"/>
            </w:tcBorders>
            <w:vAlign w:val="center"/>
          </w:tcPr>
          <w:p w14:paraId="022FC4BE">
            <w:pPr>
              <w:pStyle w:val="25"/>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r>
      <w:tr w14:paraId="2F31FE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2489" w:type="dxa"/>
            <w:tcBorders>
              <w:top w:val="single" w:color="auto" w:sz="12" w:space="0"/>
              <w:tl2br w:val="nil"/>
              <w:tr2bl w:val="nil"/>
            </w:tcBorders>
            <w:vAlign w:val="center"/>
          </w:tcPr>
          <w:p w14:paraId="4A8D3A4C">
            <w:pPr>
              <w:pStyle w:val="25"/>
              <w:ind w:firstLine="0" w:firstLineChars="0"/>
              <w:rPr>
                <w:rFonts w:hAnsi="宋体" w:cs="宋体"/>
                <w:sz w:val="18"/>
                <w:szCs w:val="18"/>
              </w:rPr>
            </w:pPr>
            <w:r>
              <w:rPr>
                <w:rFonts w:hint="eastAsia" w:hAnsi="宋体" w:cs="宋体"/>
                <w:sz w:val="18"/>
                <w:szCs w:val="18"/>
              </w:rPr>
              <w:t>公共关系和社会公益责任</w:t>
            </w:r>
          </w:p>
        </w:tc>
        <w:tc>
          <w:tcPr>
            <w:tcW w:w="3733" w:type="dxa"/>
            <w:tcBorders>
              <w:top w:val="single" w:color="auto" w:sz="12" w:space="0"/>
              <w:tl2br w:val="nil"/>
              <w:tr2bl w:val="nil"/>
            </w:tcBorders>
            <w:vAlign w:val="center"/>
          </w:tcPr>
          <w:p w14:paraId="27025A8A">
            <w:pPr>
              <w:pStyle w:val="25"/>
              <w:ind w:firstLine="0" w:firstLineChars="0"/>
              <w:rPr>
                <w:rFonts w:hAnsi="宋体" w:cs="宋体"/>
                <w:sz w:val="18"/>
                <w:szCs w:val="18"/>
              </w:rPr>
            </w:pPr>
            <w:r>
              <w:rPr>
                <w:rFonts w:hint="eastAsia" w:hAnsi="宋体" w:cs="宋体"/>
                <w:sz w:val="18"/>
                <w:szCs w:val="18"/>
              </w:rPr>
              <w:t>主动举办环保公益活动，或参加环境保护、教育、扶贫济困等公益活动，或积极对重大自然灾害、突发事件提供援助</w:t>
            </w:r>
          </w:p>
        </w:tc>
        <w:tc>
          <w:tcPr>
            <w:tcW w:w="1547" w:type="dxa"/>
            <w:tcBorders>
              <w:top w:val="single" w:color="auto" w:sz="12" w:space="0"/>
              <w:tl2br w:val="nil"/>
              <w:tr2bl w:val="nil"/>
            </w:tcBorders>
            <w:vAlign w:val="center"/>
          </w:tcPr>
          <w:p w14:paraId="20582D50">
            <w:pPr>
              <w:pStyle w:val="25"/>
              <w:ind w:firstLine="0" w:firstLineChars="0"/>
              <w:jc w:val="center"/>
              <w:rPr>
                <w:rFonts w:hAnsi="宋体" w:cs="宋体"/>
                <w:sz w:val="18"/>
                <w:szCs w:val="18"/>
              </w:rPr>
            </w:pPr>
            <w:r>
              <w:rPr>
                <w:rFonts w:hint="eastAsia" w:hAnsi="宋体" w:cs="宋体"/>
                <w:sz w:val="18"/>
                <w:szCs w:val="18"/>
              </w:rPr>
              <w:t>2</w:t>
            </w:r>
          </w:p>
        </w:tc>
        <w:tc>
          <w:tcPr>
            <w:tcW w:w="1801" w:type="dxa"/>
            <w:vMerge w:val="restart"/>
            <w:tcBorders>
              <w:top w:val="single" w:color="auto" w:sz="12" w:space="0"/>
              <w:tl2br w:val="nil"/>
              <w:tr2bl w:val="nil"/>
            </w:tcBorders>
            <w:vAlign w:val="center"/>
          </w:tcPr>
          <w:p w14:paraId="71CF0CFB">
            <w:pPr>
              <w:pStyle w:val="25"/>
              <w:ind w:firstLine="0" w:firstLineChars="0"/>
              <w:rPr>
                <w:rFonts w:hAnsi="宋体" w:cs="宋体"/>
                <w:sz w:val="18"/>
                <w:szCs w:val="18"/>
              </w:rPr>
            </w:pPr>
            <w:r>
              <w:rPr>
                <w:rFonts w:hint="eastAsia" w:hAnsi="宋体" w:cs="宋体"/>
                <w:sz w:val="18"/>
                <w:szCs w:val="18"/>
              </w:rPr>
              <w:t>该项得分为两项指标累计得分</w:t>
            </w:r>
          </w:p>
        </w:tc>
      </w:tr>
      <w:tr w14:paraId="0B379D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2489" w:type="dxa"/>
            <w:tcBorders>
              <w:tl2br w:val="nil"/>
              <w:tr2bl w:val="nil"/>
            </w:tcBorders>
            <w:vAlign w:val="center"/>
          </w:tcPr>
          <w:p w14:paraId="2C0AF333">
            <w:pPr>
              <w:pStyle w:val="25"/>
              <w:ind w:firstLine="0" w:firstLineChars="0"/>
              <w:rPr>
                <w:rFonts w:hAnsi="宋体" w:cs="宋体"/>
                <w:sz w:val="18"/>
                <w:szCs w:val="18"/>
              </w:rPr>
            </w:pPr>
            <w:r>
              <w:rPr>
                <w:rFonts w:hint="eastAsia" w:hAnsi="宋体" w:cs="宋体"/>
                <w:sz w:val="18"/>
                <w:szCs w:val="18"/>
              </w:rPr>
              <w:t>绿色化管理</w:t>
            </w:r>
          </w:p>
        </w:tc>
        <w:tc>
          <w:tcPr>
            <w:tcW w:w="3733" w:type="dxa"/>
            <w:tcBorders>
              <w:tl2br w:val="nil"/>
              <w:tr2bl w:val="nil"/>
            </w:tcBorders>
            <w:vAlign w:val="center"/>
          </w:tcPr>
          <w:p w14:paraId="3B20A4A0">
            <w:pPr>
              <w:pStyle w:val="25"/>
              <w:ind w:firstLine="0" w:firstLineChars="0"/>
              <w:rPr>
                <w:rFonts w:hAnsi="宋体" w:cs="宋体"/>
                <w:sz w:val="18"/>
                <w:szCs w:val="18"/>
              </w:rPr>
            </w:pPr>
            <w:r>
              <w:rPr>
                <w:rFonts w:hint="eastAsia" w:hAnsi="宋体" w:cs="宋体"/>
                <w:sz w:val="18"/>
                <w:szCs w:val="18"/>
              </w:rPr>
              <w:t>获得在有效期内的绿色供应链管理体系认证证书，或实施供应商绿色化管理相关制度</w:t>
            </w:r>
          </w:p>
        </w:tc>
        <w:tc>
          <w:tcPr>
            <w:tcW w:w="1547" w:type="dxa"/>
            <w:tcBorders>
              <w:tl2br w:val="nil"/>
              <w:tr2bl w:val="nil"/>
            </w:tcBorders>
            <w:vAlign w:val="center"/>
          </w:tcPr>
          <w:p w14:paraId="6E585155">
            <w:pPr>
              <w:pStyle w:val="25"/>
              <w:ind w:firstLine="0" w:firstLineChars="0"/>
              <w:jc w:val="center"/>
              <w:rPr>
                <w:rFonts w:hAnsi="宋体" w:cs="宋体"/>
                <w:sz w:val="18"/>
                <w:szCs w:val="18"/>
              </w:rPr>
            </w:pPr>
            <w:r>
              <w:rPr>
                <w:rFonts w:hint="eastAsia" w:hAnsi="宋体" w:cs="宋体"/>
                <w:sz w:val="18"/>
                <w:szCs w:val="18"/>
              </w:rPr>
              <w:t>1</w:t>
            </w:r>
          </w:p>
        </w:tc>
        <w:tc>
          <w:tcPr>
            <w:tcW w:w="1801" w:type="dxa"/>
            <w:vMerge w:val="continue"/>
            <w:tcBorders>
              <w:tl2br w:val="nil"/>
              <w:tr2bl w:val="nil"/>
            </w:tcBorders>
            <w:vAlign w:val="center"/>
          </w:tcPr>
          <w:p w14:paraId="4D352775">
            <w:pPr>
              <w:pStyle w:val="25"/>
              <w:ind w:firstLine="0" w:firstLineChars="0"/>
              <w:jc w:val="center"/>
              <w:rPr>
                <w:rFonts w:hAnsi="宋体" w:cs="宋体"/>
                <w:sz w:val="18"/>
                <w:szCs w:val="18"/>
              </w:rPr>
            </w:pPr>
          </w:p>
        </w:tc>
      </w:tr>
    </w:tbl>
    <w:p w14:paraId="6FAE9E30">
      <w:pPr>
        <w:pStyle w:val="48"/>
        <w:outlineLvl w:val="0"/>
        <w:rPr>
          <w:rFonts w:ascii="Times New Roman"/>
        </w:rPr>
      </w:pPr>
      <w:bookmarkStart w:id="129" w:name="_Toc1429"/>
      <w:bookmarkStart w:id="130" w:name="_Toc4125"/>
      <w:bookmarkStart w:id="131" w:name="_Toc195040391"/>
      <w:bookmarkStart w:id="132" w:name="_Toc18633"/>
      <w:bookmarkStart w:id="133" w:name="_Toc23684"/>
      <w:bookmarkStart w:id="134" w:name="_Toc102992462"/>
      <w:bookmarkStart w:id="135" w:name="_Toc118282045"/>
      <w:r>
        <w:rPr>
          <w:rFonts w:hint="eastAsia" w:ascii="Times New Roman"/>
        </w:rPr>
        <w:t>绿色低碳产业项目</w:t>
      </w:r>
      <w:bookmarkEnd w:id="129"/>
      <w:bookmarkEnd w:id="130"/>
      <w:r>
        <w:rPr>
          <w:rFonts w:hint="eastAsia" w:ascii="Times New Roman"/>
        </w:rPr>
        <w:t>评价</w:t>
      </w:r>
      <w:bookmarkEnd w:id="131"/>
      <w:bookmarkEnd w:id="132"/>
    </w:p>
    <w:p w14:paraId="18F77EEB">
      <w:pPr>
        <w:pStyle w:val="45"/>
        <w:outlineLvl w:val="1"/>
      </w:pPr>
      <w:bookmarkStart w:id="136" w:name="_Toc15152"/>
      <w:bookmarkStart w:id="137" w:name="_Toc15283"/>
      <w:bookmarkStart w:id="138" w:name="_Toc29963"/>
      <w:bookmarkStart w:id="139" w:name="_Toc195040392"/>
      <w:r>
        <w:rPr>
          <w:rFonts w:hint="eastAsia"/>
        </w:rPr>
        <w:t>符合性评价</w:t>
      </w:r>
      <w:bookmarkEnd w:id="136"/>
      <w:bookmarkEnd w:id="137"/>
      <w:bookmarkEnd w:id="138"/>
      <w:bookmarkEnd w:id="139"/>
    </w:p>
    <w:p w14:paraId="69CCAB00">
      <w:pPr>
        <w:pStyle w:val="49"/>
        <w:spacing w:before="156" w:after="156"/>
      </w:pPr>
      <w:r>
        <w:rPr>
          <w:rFonts w:hint="eastAsia"/>
        </w:rPr>
        <w:t>目录符合</w:t>
      </w:r>
    </w:p>
    <w:p w14:paraId="6BC91097">
      <w:pPr>
        <w:pStyle w:val="25"/>
      </w:pPr>
      <w:r>
        <w:rPr>
          <w:rFonts w:hint="eastAsia"/>
        </w:rPr>
        <w:t>申请认定评价的项目属于智能电网建设运营产业，或在当地具备一定市场规模，经相关政府职能部门认可的其他相关行业，且符合安全、环保、质量相关法规政策、强制性标准等要求。</w:t>
      </w:r>
    </w:p>
    <w:p w14:paraId="1B8E58C9">
      <w:pPr>
        <w:pStyle w:val="49"/>
        <w:spacing w:before="156" w:after="156"/>
      </w:pPr>
      <w:r>
        <w:rPr>
          <w:rFonts w:hint="eastAsia"/>
        </w:rPr>
        <w:t>技术符合</w:t>
      </w:r>
    </w:p>
    <w:p w14:paraId="3EF0C819">
      <w:pPr>
        <w:pStyle w:val="25"/>
      </w:pPr>
      <w:r>
        <w:rPr>
          <w:rFonts w:hint="eastAsia"/>
        </w:rPr>
        <w:t>提供的产品或服务应符合国家及各省市相关主管部门发布文件列明的有关设计、能效、性能、安全、贮存、回收、标识、验收、管理和运维等技术要求。</w:t>
      </w:r>
    </w:p>
    <w:p w14:paraId="36393FF3">
      <w:pPr>
        <w:pStyle w:val="60"/>
        <w:rPr>
          <w:rFonts w:ascii="Times New Roman"/>
        </w:rPr>
      </w:pPr>
      <w:r>
        <w:rPr>
          <w:rFonts w:hint="eastAsia"/>
        </w:rPr>
        <w:t>“绿色服务”类项目不参评“技术符合”指标。</w:t>
      </w:r>
    </w:p>
    <w:p w14:paraId="4D571116">
      <w:pPr>
        <w:pStyle w:val="45"/>
        <w:outlineLvl w:val="1"/>
        <w:rPr>
          <w:rFonts w:ascii="Times New Roman"/>
        </w:rPr>
      </w:pPr>
      <w:bookmarkStart w:id="140" w:name="_Toc195040393"/>
      <w:bookmarkStart w:id="141" w:name="_Toc9398"/>
      <w:bookmarkStart w:id="142" w:name="_Toc30295"/>
      <w:bookmarkStart w:id="143" w:name="_Toc27708"/>
      <w:r>
        <w:rPr>
          <w:rFonts w:hint="eastAsia" w:ascii="Times New Roman"/>
        </w:rPr>
        <w:t>综合评价</w:t>
      </w:r>
      <w:bookmarkEnd w:id="140"/>
      <w:bookmarkEnd w:id="141"/>
      <w:bookmarkEnd w:id="142"/>
      <w:bookmarkEnd w:id="143"/>
    </w:p>
    <w:p w14:paraId="20376198">
      <w:pPr>
        <w:pStyle w:val="49"/>
        <w:spacing w:before="156" w:after="156"/>
      </w:pPr>
      <w:r>
        <w:rPr>
          <w:rFonts w:hint="eastAsia"/>
        </w:rPr>
        <w:t>技术表现</w:t>
      </w:r>
    </w:p>
    <w:p w14:paraId="07A7CD94">
      <w:pPr>
        <w:pStyle w:val="54"/>
        <w:numPr>
          <w:ilvl w:val="3"/>
          <w:numId w:val="2"/>
        </w:numPr>
        <w:spacing w:before="156" w:after="156"/>
      </w:pPr>
      <w:r>
        <w:rPr>
          <w:rFonts w:hint="eastAsia"/>
        </w:rPr>
        <w:t>有效知识产权</w:t>
      </w:r>
    </w:p>
    <w:p w14:paraId="4B865393">
      <w:pPr>
        <w:pStyle w:val="58"/>
        <w:numPr>
          <w:ilvl w:val="255"/>
          <w:numId w:val="0"/>
        </w:numPr>
        <w:adjustRightInd w:val="0"/>
        <w:spacing w:before="156" w:after="156"/>
        <w:ind w:firstLine="420" w:firstLineChars="200"/>
        <w:outlineLvl w:val="9"/>
        <w:rPr>
          <w:rFonts w:ascii="Times New Roman" w:eastAsia="宋体"/>
        </w:rPr>
      </w:pPr>
      <w:r>
        <w:rPr>
          <w:rFonts w:hint="eastAsia" w:ascii="宋体" w:hAnsi="宋体" w:eastAsia="宋体" w:cs="宋体"/>
        </w:rPr>
        <w:t>从项目直接应用的与智能电网建设运营相关的有效知识产权数量情况进行评价，具体类别及加权计算规则见5.2.1.1.1。具体评分规则见表1</w:t>
      </w:r>
      <w:r>
        <w:rPr>
          <w:rFonts w:ascii="宋体" w:hAnsi="宋体" w:eastAsia="宋体" w:cs="宋体"/>
        </w:rPr>
        <w:t>8</w:t>
      </w:r>
      <w:r>
        <w:rPr>
          <w:rFonts w:hint="eastAsia" w:ascii="宋体" w:hAnsi="宋体" w:eastAsia="宋体" w:cs="宋体"/>
        </w:rPr>
        <w:t>。</w:t>
      </w:r>
    </w:p>
    <w:p w14:paraId="7B40F9B4">
      <w:pPr>
        <w:pStyle w:val="129"/>
        <w:rPr>
          <w:rFonts w:ascii="Times New Roman"/>
        </w:rPr>
      </w:pPr>
      <w:r>
        <w:rPr>
          <w:rFonts w:hint="eastAsia" w:ascii="Times New Roman"/>
        </w:rPr>
        <w:t>有效知识产权</w:t>
      </w:r>
      <w:r>
        <w:rPr>
          <w:rFonts w:ascii="Times New Roman"/>
        </w:rPr>
        <w:t>评分规则</w:t>
      </w:r>
    </w:p>
    <w:tbl>
      <w:tblPr>
        <w:tblStyle w:val="35"/>
        <w:tblW w:w="9570"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Layout w:type="fixed"/>
        <w:tblCellMar>
          <w:top w:w="0" w:type="dxa"/>
          <w:left w:w="108" w:type="dxa"/>
          <w:bottom w:w="0" w:type="dxa"/>
          <w:right w:w="108" w:type="dxa"/>
        </w:tblCellMar>
      </w:tblPr>
      <w:tblGrid>
        <w:gridCol w:w="7936"/>
        <w:gridCol w:w="1634"/>
      </w:tblGrid>
      <w:tr w14:paraId="40280D7A">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357" w:hRule="atLeast"/>
          <w:jc w:val="center"/>
        </w:trPr>
        <w:tc>
          <w:tcPr>
            <w:tcW w:w="7936" w:type="dxa"/>
            <w:tcBorders>
              <w:bottom w:val="single" w:color="auto" w:sz="12" w:space="0"/>
            </w:tcBorders>
            <w:vAlign w:val="center"/>
          </w:tcPr>
          <w:p w14:paraId="06B85D4A">
            <w:pPr>
              <w:pStyle w:val="25"/>
              <w:ind w:firstLine="0" w:firstLineChars="0"/>
              <w:jc w:val="center"/>
              <w:rPr>
                <w:rFonts w:ascii="Times New Roman"/>
                <w:b/>
                <w:bCs/>
                <w:sz w:val="18"/>
                <w:szCs w:val="18"/>
              </w:rPr>
            </w:pPr>
            <w:r>
              <w:rPr>
                <w:rFonts w:hint="eastAsia" w:ascii="Times New Roman"/>
                <w:b/>
                <w:bCs/>
                <w:sz w:val="18"/>
                <w:szCs w:val="18"/>
              </w:rPr>
              <w:t>有效知识产权</w:t>
            </w:r>
          </w:p>
        </w:tc>
        <w:tc>
          <w:tcPr>
            <w:tcW w:w="1634" w:type="dxa"/>
            <w:tcBorders>
              <w:bottom w:val="single" w:color="auto" w:sz="12" w:space="0"/>
            </w:tcBorders>
            <w:vAlign w:val="center"/>
          </w:tcPr>
          <w:p w14:paraId="69DF8CC3">
            <w:pPr>
              <w:pStyle w:val="25"/>
              <w:ind w:firstLine="0" w:firstLineChars="0"/>
              <w:jc w:val="center"/>
              <w:rPr>
                <w:rFonts w:ascii="Times New Roman"/>
                <w:b/>
                <w:bCs/>
                <w:sz w:val="18"/>
                <w:szCs w:val="18"/>
              </w:rPr>
            </w:pPr>
            <w:r>
              <w:rPr>
                <w:rFonts w:hint="eastAsia" w:ascii="Times New Roman"/>
                <w:b/>
                <w:bCs/>
                <w:sz w:val="18"/>
                <w:szCs w:val="18"/>
              </w:rPr>
              <w:t>分值（分）</w:t>
            </w:r>
          </w:p>
        </w:tc>
      </w:tr>
      <w:tr w14:paraId="765B9855">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352" w:hRule="atLeast"/>
          <w:jc w:val="center"/>
        </w:trPr>
        <w:tc>
          <w:tcPr>
            <w:tcW w:w="7936" w:type="dxa"/>
            <w:tcBorders>
              <w:top w:val="single" w:color="auto" w:sz="12" w:space="0"/>
              <w:bottom w:val="single" w:color="auto" w:sz="4" w:space="0"/>
            </w:tcBorders>
            <w:vAlign w:val="center"/>
          </w:tcPr>
          <w:p w14:paraId="5B99C5BA">
            <w:pPr>
              <w:pStyle w:val="25"/>
              <w:ind w:firstLine="0" w:firstLineChars="0"/>
              <w:jc w:val="left"/>
              <w:rPr>
                <w:rFonts w:hAnsi="宋体" w:cs="宋体"/>
                <w:sz w:val="18"/>
                <w:szCs w:val="18"/>
              </w:rPr>
            </w:pPr>
            <w:r>
              <w:rPr>
                <w:rFonts w:hint="eastAsia" w:hAnsi="宋体" w:cs="宋体"/>
                <w:sz w:val="18"/>
                <w:szCs w:val="18"/>
              </w:rPr>
              <w:t>有效知识产权应用数量处于行业领先水平</w:t>
            </w:r>
          </w:p>
        </w:tc>
        <w:tc>
          <w:tcPr>
            <w:tcW w:w="1634" w:type="dxa"/>
            <w:tcBorders>
              <w:top w:val="single" w:color="auto" w:sz="12" w:space="0"/>
              <w:bottom w:val="single" w:color="auto" w:sz="4" w:space="0"/>
            </w:tcBorders>
            <w:vAlign w:val="center"/>
          </w:tcPr>
          <w:p w14:paraId="35436A8E">
            <w:pPr>
              <w:pStyle w:val="25"/>
              <w:ind w:firstLine="0" w:firstLineChars="0"/>
              <w:jc w:val="center"/>
              <w:rPr>
                <w:rFonts w:hAnsi="宋体" w:cs="宋体"/>
                <w:sz w:val="18"/>
                <w:szCs w:val="18"/>
              </w:rPr>
            </w:pPr>
            <w:r>
              <w:rPr>
                <w:rFonts w:hint="eastAsia" w:hAnsi="宋体" w:cs="宋体"/>
                <w:sz w:val="18"/>
                <w:szCs w:val="18"/>
              </w:rPr>
              <w:t>(14,20]</w:t>
            </w:r>
          </w:p>
        </w:tc>
      </w:tr>
      <w:tr w14:paraId="2462F677">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90" w:hRule="atLeast"/>
          <w:jc w:val="center"/>
        </w:trPr>
        <w:tc>
          <w:tcPr>
            <w:tcW w:w="7936" w:type="dxa"/>
            <w:tcBorders>
              <w:top w:val="single" w:color="auto" w:sz="4" w:space="0"/>
              <w:bottom w:val="single" w:color="auto" w:sz="4" w:space="0"/>
            </w:tcBorders>
            <w:vAlign w:val="center"/>
          </w:tcPr>
          <w:p w14:paraId="32EFF169">
            <w:pPr>
              <w:pStyle w:val="25"/>
              <w:ind w:firstLine="0" w:firstLineChars="0"/>
              <w:jc w:val="left"/>
              <w:rPr>
                <w:rFonts w:hAnsi="宋体" w:cs="宋体"/>
                <w:sz w:val="18"/>
                <w:szCs w:val="18"/>
              </w:rPr>
            </w:pPr>
            <w:r>
              <w:rPr>
                <w:rFonts w:hint="eastAsia" w:hAnsi="宋体" w:cs="宋体"/>
                <w:sz w:val="18"/>
                <w:szCs w:val="18"/>
              </w:rPr>
              <w:t>有效知识产权应用数量处于行业良好水平</w:t>
            </w:r>
          </w:p>
        </w:tc>
        <w:tc>
          <w:tcPr>
            <w:tcW w:w="1634" w:type="dxa"/>
            <w:tcBorders>
              <w:top w:val="single" w:color="auto" w:sz="4" w:space="0"/>
              <w:bottom w:val="single" w:color="auto" w:sz="4" w:space="0"/>
            </w:tcBorders>
            <w:vAlign w:val="center"/>
          </w:tcPr>
          <w:p w14:paraId="3A0D1ECA">
            <w:pPr>
              <w:pStyle w:val="25"/>
              <w:ind w:firstLine="0" w:firstLineChars="0"/>
              <w:jc w:val="center"/>
              <w:rPr>
                <w:rFonts w:hAnsi="宋体" w:cs="宋体"/>
                <w:sz w:val="18"/>
                <w:szCs w:val="18"/>
              </w:rPr>
            </w:pPr>
            <w:r>
              <w:rPr>
                <w:rFonts w:hint="eastAsia" w:hAnsi="宋体" w:cs="宋体"/>
                <w:sz w:val="18"/>
                <w:szCs w:val="18"/>
              </w:rPr>
              <w:t>(7,14]</w:t>
            </w:r>
          </w:p>
        </w:tc>
      </w:tr>
      <w:tr w14:paraId="587225C4">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90" w:hRule="atLeast"/>
          <w:jc w:val="center"/>
        </w:trPr>
        <w:tc>
          <w:tcPr>
            <w:tcW w:w="7936" w:type="dxa"/>
            <w:tcBorders>
              <w:top w:val="single" w:color="auto" w:sz="4" w:space="0"/>
            </w:tcBorders>
            <w:vAlign w:val="center"/>
          </w:tcPr>
          <w:p w14:paraId="0395E6DC">
            <w:pPr>
              <w:pStyle w:val="25"/>
              <w:ind w:firstLine="0" w:firstLineChars="0"/>
              <w:jc w:val="left"/>
              <w:rPr>
                <w:rFonts w:hAnsi="宋体" w:cs="宋体"/>
                <w:sz w:val="18"/>
                <w:szCs w:val="18"/>
              </w:rPr>
            </w:pPr>
            <w:r>
              <w:rPr>
                <w:rFonts w:hint="eastAsia" w:hAnsi="宋体" w:cs="宋体"/>
                <w:sz w:val="18"/>
                <w:szCs w:val="18"/>
              </w:rPr>
              <w:t>有效知识产权应用数量处于行业一般水平</w:t>
            </w:r>
          </w:p>
        </w:tc>
        <w:tc>
          <w:tcPr>
            <w:tcW w:w="1634" w:type="dxa"/>
            <w:tcBorders>
              <w:top w:val="single" w:color="auto" w:sz="4" w:space="0"/>
            </w:tcBorders>
            <w:vAlign w:val="center"/>
          </w:tcPr>
          <w:p w14:paraId="28C63F2B">
            <w:pPr>
              <w:pStyle w:val="25"/>
              <w:ind w:firstLine="0" w:firstLineChars="0"/>
              <w:jc w:val="center"/>
              <w:rPr>
                <w:rFonts w:hAnsi="宋体" w:cs="宋体"/>
                <w:sz w:val="18"/>
                <w:szCs w:val="18"/>
              </w:rPr>
            </w:pPr>
            <w:r>
              <w:rPr>
                <w:rFonts w:hint="eastAsia" w:hAnsi="宋体" w:cs="宋体"/>
                <w:sz w:val="18"/>
                <w:szCs w:val="18"/>
              </w:rPr>
              <w:t>[0,7]</w:t>
            </w:r>
          </w:p>
        </w:tc>
      </w:tr>
    </w:tbl>
    <w:p w14:paraId="2E1FC58B">
      <w:pPr>
        <w:pStyle w:val="54"/>
        <w:numPr>
          <w:ilvl w:val="3"/>
          <w:numId w:val="2"/>
        </w:numPr>
        <w:spacing w:before="156" w:after="156"/>
        <w:rPr>
          <w:rFonts w:ascii="Times New Roman" w:eastAsia="宋体"/>
        </w:rPr>
      </w:pPr>
      <w:r>
        <w:rPr>
          <w:rFonts w:hint="eastAsia"/>
        </w:rPr>
        <w:t>关键技术先进性</w:t>
      </w:r>
    </w:p>
    <w:p w14:paraId="13EA2A35">
      <w:pPr>
        <w:pStyle w:val="58"/>
        <w:numPr>
          <w:ilvl w:val="255"/>
          <w:numId w:val="0"/>
        </w:numPr>
        <w:adjustRightInd w:val="0"/>
        <w:spacing w:before="156" w:after="156"/>
        <w:ind w:firstLine="420" w:firstLineChars="200"/>
        <w:outlineLvl w:val="9"/>
        <w:rPr>
          <w:rFonts w:ascii="宋体" w:hAnsi="宋体" w:eastAsia="宋体" w:cs="宋体"/>
        </w:rPr>
      </w:pPr>
      <w:r>
        <w:rPr>
          <w:rFonts w:hint="eastAsia" w:ascii="宋体" w:hAnsi="宋体" w:eastAsia="宋体" w:cs="宋体"/>
          <w:szCs w:val="22"/>
        </w:rPr>
        <w:t>具体评价内容见5.2.1.1.3。具体评分规则见表</w:t>
      </w:r>
      <w:r>
        <w:rPr>
          <w:rFonts w:ascii="宋体" w:hAnsi="宋体" w:eastAsia="宋体" w:cs="宋体"/>
          <w:szCs w:val="22"/>
        </w:rPr>
        <w:t>19</w:t>
      </w:r>
      <w:r>
        <w:rPr>
          <w:rFonts w:hint="eastAsia" w:ascii="宋体" w:hAnsi="宋体" w:eastAsia="宋体" w:cs="宋体"/>
        </w:rPr>
        <w:t>。</w:t>
      </w:r>
    </w:p>
    <w:p w14:paraId="1961FC63">
      <w:pPr>
        <w:pStyle w:val="129"/>
        <w:rPr>
          <w:rFonts w:ascii="Times New Roman"/>
        </w:rPr>
      </w:pPr>
      <w:r>
        <w:rPr>
          <w:rFonts w:hint="eastAsia" w:ascii="Times New Roman"/>
        </w:rPr>
        <w:t>关键技术先进性</w:t>
      </w:r>
      <w:r>
        <w:rPr>
          <w:rFonts w:ascii="Times New Roman"/>
        </w:rPr>
        <w:t>评分规则</w:t>
      </w:r>
    </w:p>
    <w:tbl>
      <w:tblPr>
        <w:tblStyle w:val="35"/>
        <w:tblW w:w="9570"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Layout w:type="fixed"/>
        <w:tblCellMar>
          <w:top w:w="0" w:type="dxa"/>
          <w:left w:w="108" w:type="dxa"/>
          <w:bottom w:w="0" w:type="dxa"/>
          <w:right w:w="108" w:type="dxa"/>
        </w:tblCellMar>
      </w:tblPr>
      <w:tblGrid>
        <w:gridCol w:w="7905"/>
        <w:gridCol w:w="1665"/>
      </w:tblGrid>
      <w:tr w14:paraId="7AA05FD9">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PrEx>
        <w:trPr>
          <w:trHeight w:val="211" w:hRule="atLeast"/>
          <w:jc w:val="center"/>
        </w:trPr>
        <w:tc>
          <w:tcPr>
            <w:tcW w:w="7905" w:type="dxa"/>
            <w:tcBorders>
              <w:top w:val="single" w:color="auto" w:sz="12" w:space="0"/>
              <w:bottom w:val="single" w:color="auto" w:sz="12" w:space="0"/>
            </w:tcBorders>
            <w:vAlign w:val="center"/>
          </w:tcPr>
          <w:p w14:paraId="5F1C203B">
            <w:pPr>
              <w:pStyle w:val="25"/>
              <w:ind w:firstLine="0" w:firstLineChars="0"/>
              <w:jc w:val="center"/>
              <w:rPr>
                <w:rFonts w:ascii="Times New Roman"/>
                <w:b/>
                <w:bCs/>
                <w:sz w:val="18"/>
                <w:szCs w:val="18"/>
              </w:rPr>
            </w:pPr>
            <w:r>
              <w:rPr>
                <w:rFonts w:hint="eastAsia" w:ascii="Times New Roman"/>
                <w:b/>
                <w:bCs/>
                <w:sz w:val="18"/>
                <w:szCs w:val="18"/>
              </w:rPr>
              <w:t>关键技术先进性</w:t>
            </w:r>
          </w:p>
        </w:tc>
        <w:tc>
          <w:tcPr>
            <w:tcW w:w="1665" w:type="dxa"/>
            <w:tcBorders>
              <w:top w:val="single" w:color="auto" w:sz="12" w:space="0"/>
              <w:bottom w:val="single" w:color="auto" w:sz="12" w:space="0"/>
            </w:tcBorders>
            <w:vAlign w:val="center"/>
          </w:tcPr>
          <w:p w14:paraId="550D4F19">
            <w:pPr>
              <w:pStyle w:val="25"/>
              <w:ind w:firstLine="0" w:firstLineChars="0"/>
              <w:jc w:val="center"/>
              <w:rPr>
                <w:rFonts w:ascii="Times New Roman"/>
                <w:b/>
                <w:bCs/>
                <w:sz w:val="18"/>
                <w:szCs w:val="18"/>
              </w:rPr>
            </w:pPr>
            <w:r>
              <w:rPr>
                <w:rFonts w:hint="eastAsia" w:ascii="Times New Roman"/>
                <w:b/>
                <w:bCs/>
                <w:sz w:val="18"/>
                <w:szCs w:val="18"/>
              </w:rPr>
              <w:t>分值（分）</w:t>
            </w:r>
          </w:p>
        </w:tc>
      </w:tr>
      <w:tr w14:paraId="076E6D39">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90" w:hRule="atLeast"/>
          <w:jc w:val="center"/>
        </w:trPr>
        <w:tc>
          <w:tcPr>
            <w:tcW w:w="7905" w:type="dxa"/>
            <w:tcBorders>
              <w:top w:val="single" w:color="auto" w:sz="12" w:space="0"/>
              <w:bottom w:val="single" w:color="auto" w:sz="4" w:space="0"/>
            </w:tcBorders>
            <w:vAlign w:val="center"/>
          </w:tcPr>
          <w:p w14:paraId="758A0C01">
            <w:pPr>
              <w:pStyle w:val="25"/>
              <w:ind w:firstLine="0" w:firstLineChars="0"/>
              <w:jc w:val="left"/>
              <w:rPr>
                <w:rFonts w:hAnsi="宋体" w:cs="宋体"/>
                <w:sz w:val="18"/>
                <w:szCs w:val="18"/>
              </w:rPr>
            </w:pPr>
            <w:r>
              <w:rPr>
                <w:rFonts w:hint="eastAsia" w:hAnsi="宋体" w:cs="宋体"/>
                <w:sz w:val="18"/>
                <w:szCs w:val="18"/>
              </w:rPr>
              <w:t>关键技术处于行业领先水平，具有显著技术引领作用</w:t>
            </w:r>
          </w:p>
        </w:tc>
        <w:tc>
          <w:tcPr>
            <w:tcW w:w="1665" w:type="dxa"/>
            <w:tcBorders>
              <w:top w:val="single" w:color="auto" w:sz="12" w:space="0"/>
              <w:bottom w:val="single" w:color="auto" w:sz="4" w:space="0"/>
            </w:tcBorders>
            <w:vAlign w:val="center"/>
          </w:tcPr>
          <w:p w14:paraId="4BFB6C16">
            <w:pPr>
              <w:pStyle w:val="25"/>
              <w:ind w:firstLine="0" w:firstLineChars="0"/>
              <w:jc w:val="center"/>
              <w:rPr>
                <w:rFonts w:hAnsi="宋体" w:cs="宋体"/>
                <w:sz w:val="18"/>
                <w:szCs w:val="18"/>
              </w:rPr>
            </w:pPr>
            <w:r>
              <w:rPr>
                <w:rFonts w:hint="eastAsia" w:hAnsi="宋体" w:cs="宋体"/>
                <w:sz w:val="18"/>
                <w:szCs w:val="18"/>
              </w:rPr>
              <w:t>(15，20]</w:t>
            </w:r>
          </w:p>
        </w:tc>
      </w:tr>
      <w:tr w14:paraId="4BA22B95">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90" w:hRule="atLeast"/>
          <w:jc w:val="center"/>
        </w:trPr>
        <w:tc>
          <w:tcPr>
            <w:tcW w:w="7905" w:type="dxa"/>
            <w:tcBorders>
              <w:top w:val="single" w:color="auto" w:sz="4" w:space="0"/>
              <w:bottom w:val="single" w:color="auto" w:sz="12" w:space="0"/>
            </w:tcBorders>
            <w:vAlign w:val="center"/>
          </w:tcPr>
          <w:p w14:paraId="3260E665">
            <w:pPr>
              <w:pStyle w:val="25"/>
              <w:ind w:firstLine="0" w:firstLineChars="0"/>
              <w:jc w:val="left"/>
              <w:rPr>
                <w:rFonts w:hAnsi="宋体" w:cs="宋体"/>
                <w:sz w:val="18"/>
                <w:szCs w:val="18"/>
              </w:rPr>
            </w:pPr>
            <w:r>
              <w:rPr>
                <w:rFonts w:hint="eastAsia" w:hAnsi="宋体" w:cs="宋体"/>
                <w:sz w:val="18"/>
                <w:szCs w:val="18"/>
              </w:rPr>
              <w:t>关键技术处于行业较好水平，具有一定技术推动作用</w:t>
            </w:r>
          </w:p>
        </w:tc>
        <w:tc>
          <w:tcPr>
            <w:tcW w:w="1665" w:type="dxa"/>
            <w:tcBorders>
              <w:top w:val="single" w:color="auto" w:sz="4" w:space="0"/>
              <w:bottom w:val="single" w:color="auto" w:sz="12" w:space="0"/>
            </w:tcBorders>
            <w:vAlign w:val="center"/>
          </w:tcPr>
          <w:p w14:paraId="4A737D7E">
            <w:pPr>
              <w:pStyle w:val="25"/>
              <w:ind w:firstLine="0" w:firstLineChars="0"/>
              <w:jc w:val="center"/>
              <w:rPr>
                <w:rFonts w:hAnsi="宋体" w:cs="宋体"/>
                <w:sz w:val="18"/>
                <w:szCs w:val="18"/>
              </w:rPr>
            </w:pPr>
            <w:r>
              <w:rPr>
                <w:rFonts w:hint="eastAsia" w:hAnsi="宋体" w:cs="宋体"/>
                <w:sz w:val="18"/>
                <w:szCs w:val="18"/>
              </w:rPr>
              <w:t>(10,15]</w:t>
            </w:r>
          </w:p>
        </w:tc>
      </w:tr>
    </w:tbl>
    <w:p w14:paraId="276EC0AE">
      <w:pPr>
        <w:pStyle w:val="129"/>
        <w:numPr>
          <w:ilvl w:val="0"/>
          <w:numId w:val="0"/>
        </w:numPr>
        <w:rPr>
          <w:rFonts w:hAnsi="黑体"/>
        </w:rPr>
      </w:pPr>
      <w:r>
        <w:rPr>
          <w:rFonts w:hint="eastAsia" w:hAnsi="黑体"/>
        </w:rPr>
        <w:t>表1</w:t>
      </w:r>
      <w:r>
        <w:rPr>
          <w:rFonts w:hAnsi="黑体"/>
        </w:rPr>
        <w:t xml:space="preserve">9 </w:t>
      </w:r>
      <w:r>
        <w:rPr>
          <w:rFonts w:hint="eastAsia" w:hAnsi="黑体"/>
          <w:lang w:val="en-US" w:eastAsia="zh-CN"/>
        </w:rPr>
        <w:t xml:space="preserve"> </w:t>
      </w:r>
      <w:r>
        <w:rPr>
          <w:rFonts w:hint="eastAsia" w:hAnsi="黑体"/>
        </w:rPr>
        <w:t>关键技术先进性</w:t>
      </w:r>
      <w:r>
        <w:rPr>
          <w:rFonts w:hAnsi="黑体"/>
        </w:rPr>
        <w:t>评分规则</w:t>
      </w:r>
      <w:r>
        <w:rPr>
          <w:rFonts w:hint="eastAsia" w:asciiTheme="minorEastAsia" w:hAnsiTheme="minorEastAsia" w:eastAsiaTheme="minorEastAsia"/>
        </w:rPr>
        <w:t>（续）</w:t>
      </w:r>
    </w:p>
    <w:tbl>
      <w:tblPr>
        <w:tblStyle w:val="35"/>
        <w:tblW w:w="95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905"/>
        <w:gridCol w:w="1665"/>
      </w:tblGrid>
      <w:tr w14:paraId="1EFD9B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7905" w:type="dxa"/>
            <w:tcBorders>
              <w:top w:val="single" w:color="auto" w:sz="12" w:space="0"/>
              <w:bottom w:val="single" w:color="auto" w:sz="12" w:space="0"/>
            </w:tcBorders>
            <w:vAlign w:val="center"/>
          </w:tcPr>
          <w:p w14:paraId="5EE2ACF9">
            <w:pPr>
              <w:pStyle w:val="25"/>
              <w:ind w:firstLine="0" w:firstLineChars="0"/>
              <w:jc w:val="center"/>
              <w:rPr>
                <w:rFonts w:ascii="Times New Roman"/>
                <w:b/>
                <w:bCs/>
                <w:sz w:val="18"/>
                <w:szCs w:val="18"/>
              </w:rPr>
            </w:pPr>
            <w:r>
              <w:rPr>
                <w:rFonts w:hint="eastAsia" w:ascii="Times New Roman"/>
                <w:b/>
                <w:bCs/>
                <w:sz w:val="18"/>
                <w:szCs w:val="18"/>
              </w:rPr>
              <w:t>关键技术先进性</w:t>
            </w:r>
          </w:p>
        </w:tc>
        <w:tc>
          <w:tcPr>
            <w:tcW w:w="1665" w:type="dxa"/>
            <w:tcBorders>
              <w:top w:val="single" w:color="auto" w:sz="12" w:space="0"/>
              <w:bottom w:val="single" w:color="auto" w:sz="12" w:space="0"/>
            </w:tcBorders>
            <w:vAlign w:val="center"/>
          </w:tcPr>
          <w:p w14:paraId="3912BD86">
            <w:pPr>
              <w:pStyle w:val="25"/>
              <w:ind w:firstLine="0" w:firstLineChars="0"/>
              <w:jc w:val="center"/>
              <w:rPr>
                <w:rFonts w:ascii="Times New Roman"/>
                <w:b/>
                <w:bCs/>
                <w:sz w:val="18"/>
                <w:szCs w:val="18"/>
              </w:rPr>
            </w:pPr>
            <w:r>
              <w:rPr>
                <w:rFonts w:hint="eastAsia" w:ascii="Times New Roman"/>
                <w:b/>
                <w:bCs/>
                <w:sz w:val="18"/>
                <w:szCs w:val="18"/>
              </w:rPr>
              <w:t>分值（分）</w:t>
            </w:r>
          </w:p>
        </w:tc>
      </w:tr>
      <w:tr w14:paraId="4FBB73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87" w:hRule="atLeast"/>
          <w:jc w:val="center"/>
        </w:trPr>
        <w:tc>
          <w:tcPr>
            <w:tcW w:w="7905" w:type="dxa"/>
            <w:tcBorders>
              <w:top w:val="single" w:color="auto" w:sz="12" w:space="0"/>
            </w:tcBorders>
            <w:vAlign w:val="center"/>
          </w:tcPr>
          <w:p w14:paraId="023774A8">
            <w:pPr>
              <w:pStyle w:val="25"/>
              <w:ind w:firstLine="0" w:firstLineChars="0"/>
              <w:jc w:val="left"/>
              <w:rPr>
                <w:rFonts w:hAnsi="宋体" w:cs="宋体"/>
                <w:sz w:val="18"/>
                <w:szCs w:val="18"/>
              </w:rPr>
            </w:pPr>
            <w:r>
              <w:rPr>
                <w:rFonts w:hint="eastAsia" w:hAnsi="宋体" w:cs="宋体"/>
                <w:sz w:val="18"/>
                <w:szCs w:val="18"/>
              </w:rPr>
              <w:t>关键技术处于行业平均水平</w:t>
            </w:r>
          </w:p>
        </w:tc>
        <w:tc>
          <w:tcPr>
            <w:tcW w:w="1665" w:type="dxa"/>
            <w:tcBorders>
              <w:top w:val="single" w:color="auto" w:sz="12" w:space="0"/>
            </w:tcBorders>
            <w:vAlign w:val="center"/>
          </w:tcPr>
          <w:p w14:paraId="2482F9F2">
            <w:pPr>
              <w:pStyle w:val="25"/>
              <w:ind w:firstLine="0" w:firstLineChars="0"/>
              <w:jc w:val="center"/>
              <w:rPr>
                <w:rFonts w:hAnsi="宋体" w:cs="宋体"/>
                <w:sz w:val="18"/>
                <w:szCs w:val="18"/>
              </w:rPr>
            </w:pPr>
            <w:r>
              <w:rPr>
                <w:rFonts w:hint="eastAsia" w:hAnsi="宋体" w:cs="宋体"/>
                <w:sz w:val="18"/>
                <w:szCs w:val="18"/>
              </w:rPr>
              <w:t>(0,</w:t>
            </w:r>
            <w:r>
              <w:rPr>
                <w:rFonts w:hAnsi="宋体" w:cs="宋体"/>
                <w:sz w:val="18"/>
                <w:szCs w:val="18"/>
              </w:rPr>
              <w:t>10</w:t>
            </w:r>
            <w:r>
              <w:rPr>
                <w:rFonts w:hint="eastAsia" w:hAnsi="宋体" w:cs="宋体"/>
                <w:sz w:val="18"/>
                <w:szCs w:val="18"/>
              </w:rPr>
              <w:t>]</w:t>
            </w:r>
          </w:p>
        </w:tc>
      </w:tr>
      <w:tr w14:paraId="3F35A8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905" w:type="dxa"/>
            <w:vAlign w:val="center"/>
          </w:tcPr>
          <w:p w14:paraId="653CD55D">
            <w:pPr>
              <w:pStyle w:val="25"/>
              <w:ind w:firstLine="0" w:firstLineChars="0"/>
              <w:jc w:val="left"/>
              <w:rPr>
                <w:rFonts w:hAnsi="宋体" w:cs="宋体"/>
                <w:sz w:val="18"/>
                <w:szCs w:val="18"/>
              </w:rPr>
            </w:pPr>
            <w:r>
              <w:rPr>
                <w:rFonts w:hint="eastAsia" w:hAnsi="宋体" w:cs="宋体"/>
                <w:sz w:val="18"/>
                <w:szCs w:val="18"/>
              </w:rPr>
              <w:t>未满足上述任何一项</w:t>
            </w:r>
          </w:p>
        </w:tc>
        <w:tc>
          <w:tcPr>
            <w:tcW w:w="1665" w:type="dxa"/>
            <w:vAlign w:val="center"/>
          </w:tcPr>
          <w:p w14:paraId="69D22DD8">
            <w:pPr>
              <w:pStyle w:val="25"/>
              <w:ind w:firstLine="0" w:firstLineChars="0"/>
              <w:jc w:val="center"/>
              <w:rPr>
                <w:rFonts w:hAnsi="宋体" w:cs="宋体"/>
                <w:sz w:val="18"/>
                <w:szCs w:val="18"/>
              </w:rPr>
            </w:pPr>
            <w:r>
              <w:rPr>
                <w:rFonts w:hint="eastAsia" w:hAnsi="宋体" w:cs="宋体"/>
                <w:sz w:val="18"/>
                <w:szCs w:val="18"/>
              </w:rPr>
              <w:t>0</w:t>
            </w:r>
          </w:p>
        </w:tc>
      </w:tr>
    </w:tbl>
    <w:p w14:paraId="0883EDCD">
      <w:pPr>
        <w:pStyle w:val="54"/>
        <w:numPr>
          <w:ilvl w:val="3"/>
          <w:numId w:val="2"/>
        </w:numPr>
        <w:spacing w:before="156" w:after="156"/>
        <w:rPr>
          <w:rFonts w:ascii="Times New Roman" w:eastAsia="宋体"/>
        </w:rPr>
      </w:pPr>
      <w:r>
        <w:rPr>
          <w:rFonts w:hint="eastAsia"/>
        </w:rPr>
        <w:t>环境效益</w:t>
      </w:r>
    </w:p>
    <w:p w14:paraId="48468972">
      <w:pPr>
        <w:pStyle w:val="25"/>
        <w:numPr>
          <w:ilvl w:val="255"/>
          <w:numId w:val="0"/>
        </w:numPr>
        <w:spacing w:before="156" w:after="156"/>
        <w:ind w:firstLine="420" w:firstLineChars="200"/>
        <w:rPr>
          <w:rFonts w:ascii="Times New Roman"/>
        </w:rPr>
      </w:pPr>
      <w:r>
        <w:rPr>
          <w:rFonts w:hint="eastAsia" w:hAnsi="宋体" w:cs="宋体"/>
        </w:rPr>
        <w:t>具体评价内容见5.2.1.2。具体评分规则见表2</w:t>
      </w:r>
      <w:r>
        <w:rPr>
          <w:rFonts w:hAnsi="宋体" w:cs="宋体"/>
        </w:rPr>
        <w:t>0</w:t>
      </w:r>
      <w:r>
        <w:rPr>
          <w:rFonts w:hint="eastAsia" w:hAnsi="宋体" w:cs="宋体"/>
        </w:rPr>
        <w:t>。</w:t>
      </w:r>
    </w:p>
    <w:p w14:paraId="5513A830">
      <w:pPr>
        <w:pStyle w:val="129"/>
        <w:rPr>
          <w:rFonts w:ascii="Times New Roman"/>
        </w:rPr>
      </w:pPr>
      <w:r>
        <w:rPr>
          <w:rFonts w:hint="eastAsia" w:ascii="Times New Roman"/>
        </w:rPr>
        <w:t>环境效益</w:t>
      </w:r>
      <w:r>
        <w:rPr>
          <w:rFonts w:ascii="Times New Roman"/>
        </w:rPr>
        <w:t>评分规则</w:t>
      </w:r>
    </w:p>
    <w:tbl>
      <w:tblPr>
        <w:tblStyle w:val="35"/>
        <w:tblW w:w="9570"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Layout w:type="fixed"/>
        <w:tblCellMar>
          <w:top w:w="0" w:type="dxa"/>
          <w:left w:w="108" w:type="dxa"/>
          <w:bottom w:w="0" w:type="dxa"/>
          <w:right w:w="108" w:type="dxa"/>
        </w:tblCellMar>
      </w:tblPr>
      <w:tblGrid>
        <w:gridCol w:w="8304"/>
        <w:gridCol w:w="1266"/>
      </w:tblGrid>
      <w:tr w14:paraId="6EF71839">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90" w:hRule="atLeast"/>
          <w:jc w:val="center"/>
        </w:trPr>
        <w:tc>
          <w:tcPr>
            <w:tcW w:w="8304" w:type="dxa"/>
            <w:tcBorders>
              <w:top w:val="single" w:color="auto" w:sz="12" w:space="0"/>
              <w:bottom w:val="single" w:color="auto" w:sz="12" w:space="0"/>
            </w:tcBorders>
            <w:vAlign w:val="center"/>
          </w:tcPr>
          <w:p w14:paraId="6E28281B">
            <w:pPr>
              <w:pStyle w:val="25"/>
              <w:ind w:firstLine="0" w:firstLineChars="0"/>
              <w:jc w:val="center"/>
              <w:rPr>
                <w:rFonts w:ascii="Times New Roman"/>
                <w:b/>
                <w:bCs/>
                <w:sz w:val="18"/>
                <w:szCs w:val="18"/>
              </w:rPr>
            </w:pPr>
            <w:r>
              <w:rPr>
                <w:rFonts w:hint="eastAsia" w:ascii="Times New Roman"/>
                <w:b/>
                <w:bCs/>
                <w:sz w:val="18"/>
                <w:szCs w:val="18"/>
              </w:rPr>
              <w:t>环境效益水平</w:t>
            </w:r>
          </w:p>
        </w:tc>
        <w:tc>
          <w:tcPr>
            <w:tcW w:w="1266" w:type="dxa"/>
            <w:tcBorders>
              <w:top w:val="single" w:color="auto" w:sz="12" w:space="0"/>
              <w:bottom w:val="single" w:color="auto" w:sz="12" w:space="0"/>
            </w:tcBorders>
            <w:vAlign w:val="center"/>
          </w:tcPr>
          <w:p w14:paraId="15977884">
            <w:pPr>
              <w:pStyle w:val="25"/>
              <w:ind w:firstLine="0" w:firstLineChars="0"/>
              <w:jc w:val="center"/>
              <w:rPr>
                <w:rFonts w:ascii="Times New Roman"/>
                <w:b/>
                <w:bCs/>
                <w:sz w:val="18"/>
                <w:szCs w:val="18"/>
              </w:rPr>
            </w:pPr>
            <w:r>
              <w:rPr>
                <w:rFonts w:hint="eastAsia" w:ascii="Times New Roman"/>
                <w:b/>
                <w:bCs/>
                <w:sz w:val="18"/>
                <w:szCs w:val="18"/>
              </w:rPr>
              <w:t>分值（分）</w:t>
            </w:r>
          </w:p>
        </w:tc>
      </w:tr>
      <w:tr w14:paraId="06F25979">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289" w:hRule="atLeast"/>
          <w:jc w:val="center"/>
        </w:trPr>
        <w:tc>
          <w:tcPr>
            <w:tcW w:w="8304" w:type="dxa"/>
            <w:tcBorders>
              <w:top w:val="single" w:color="auto" w:sz="12" w:space="0"/>
              <w:bottom w:val="single" w:color="auto" w:sz="4" w:space="0"/>
            </w:tcBorders>
            <w:vAlign w:val="center"/>
          </w:tcPr>
          <w:p w14:paraId="18692C5C">
            <w:pPr>
              <w:pStyle w:val="25"/>
              <w:ind w:firstLine="0" w:firstLineChars="0"/>
              <w:jc w:val="left"/>
              <w:rPr>
                <w:rFonts w:hAnsi="宋体" w:cs="宋体"/>
                <w:sz w:val="18"/>
                <w:szCs w:val="18"/>
              </w:rPr>
            </w:pPr>
            <w:r>
              <w:rPr>
                <w:rFonts w:hint="eastAsia" w:hAnsi="宋体" w:cs="宋体"/>
                <w:sz w:val="18"/>
                <w:szCs w:val="18"/>
              </w:rPr>
              <w:t>取得的环境效益效果显著，处于行业领先水平</w:t>
            </w:r>
          </w:p>
        </w:tc>
        <w:tc>
          <w:tcPr>
            <w:tcW w:w="1266" w:type="dxa"/>
            <w:tcBorders>
              <w:top w:val="single" w:color="auto" w:sz="12" w:space="0"/>
              <w:bottom w:val="single" w:color="auto" w:sz="4" w:space="0"/>
            </w:tcBorders>
            <w:vAlign w:val="center"/>
          </w:tcPr>
          <w:p w14:paraId="15D77D65">
            <w:pPr>
              <w:pStyle w:val="25"/>
              <w:ind w:firstLine="0" w:firstLineChars="0"/>
              <w:jc w:val="center"/>
              <w:rPr>
                <w:rFonts w:hAnsi="宋体" w:cs="宋体"/>
                <w:sz w:val="18"/>
                <w:szCs w:val="18"/>
              </w:rPr>
            </w:pPr>
            <w:r>
              <w:rPr>
                <w:rFonts w:hint="eastAsia" w:hAnsi="宋体" w:cs="宋体"/>
                <w:sz w:val="18"/>
                <w:szCs w:val="18"/>
              </w:rPr>
              <w:t>(15,20]</w:t>
            </w:r>
          </w:p>
        </w:tc>
      </w:tr>
      <w:tr w14:paraId="5455069C">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289" w:hRule="atLeast"/>
          <w:jc w:val="center"/>
        </w:trPr>
        <w:tc>
          <w:tcPr>
            <w:tcW w:w="8304" w:type="dxa"/>
            <w:tcBorders>
              <w:top w:val="single" w:color="auto" w:sz="4" w:space="0"/>
              <w:bottom w:val="single" w:color="auto" w:sz="4" w:space="0"/>
            </w:tcBorders>
            <w:vAlign w:val="center"/>
          </w:tcPr>
          <w:p w14:paraId="1A5F18E7">
            <w:pPr>
              <w:pStyle w:val="25"/>
              <w:ind w:firstLine="0" w:firstLineChars="0"/>
              <w:jc w:val="left"/>
              <w:rPr>
                <w:rFonts w:hAnsi="宋体" w:cs="宋体"/>
                <w:sz w:val="18"/>
                <w:szCs w:val="18"/>
              </w:rPr>
            </w:pPr>
            <w:r>
              <w:rPr>
                <w:rFonts w:hint="eastAsia" w:hAnsi="宋体" w:cs="宋体"/>
                <w:sz w:val="18"/>
                <w:szCs w:val="18"/>
              </w:rPr>
              <w:t>取得的环境效益效果较好，处于行业良好水平</w:t>
            </w:r>
          </w:p>
        </w:tc>
        <w:tc>
          <w:tcPr>
            <w:tcW w:w="1266" w:type="dxa"/>
            <w:tcBorders>
              <w:top w:val="single" w:color="auto" w:sz="4" w:space="0"/>
              <w:bottom w:val="single" w:color="auto" w:sz="4" w:space="0"/>
            </w:tcBorders>
            <w:vAlign w:val="center"/>
          </w:tcPr>
          <w:p w14:paraId="4D4B1442">
            <w:pPr>
              <w:pStyle w:val="25"/>
              <w:ind w:firstLine="0" w:firstLineChars="0"/>
              <w:jc w:val="center"/>
              <w:rPr>
                <w:rFonts w:hAnsi="宋体" w:cs="宋体"/>
                <w:sz w:val="18"/>
                <w:szCs w:val="18"/>
              </w:rPr>
            </w:pPr>
            <w:r>
              <w:rPr>
                <w:rFonts w:hint="eastAsia" w:hAnsi="宋体" w:cs="宋体"/>
                <w:sz w:val="18"/>
                <w:szCs w:val="18"/>
              </w:rPr>
              <w:t>(10,15]</w:t>
            </w:r>
          </w:p>
        </w:tc>
      </w:tr>
      <w:tr w14:paraId="039899AA">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289" w:hRule="atLeast"/>
          <w:jc w:val="center"/>
        </w:trPr>
        <w:tc>
          <w:tcPr>
            <w:tcW w:w="8304" w:type="dxa"/>
            <w:tcBorders>
              <w:top w:val="single" w:color="auto" w:sz="4" w:space="0"/>
              <w:bottom w:val="single" w:color="auto" w:sz="12" w:space="0"/>
            </w:tcBorders>
            <w:vAlign w:val="center"/>
          </w:tcPr>
          <w:p w14:paraId="5CEB7852">
            <w:pPr>
              <w:pStyle w:val="25"/>
              <w:ind w:firstLine="0" w:firstLineChars="0"/>
              <w:jc w:val="left"/>
              <w:rPr>
                <w:rFonts w:hAnsi="宋体" w:cs="宋体"/>
                <w:sz w:val="18"/>
                <w:szCs w:val="18"/>
              </w:rPr>
            </w:pPr>
            <w:r>
              <w:rPr>
                <w:rFonts w:hint="eastAsia" w:hAnsi="宋体" w:cs="宋体"/>
                <w:sz w:val="18"/>
                <w:szCs w:val="18"/>
              </w:rPr>
              <w:t>取得的环境效益效果一般，处于行业一般水平</w:t>
            </w:r>
          </w:p>
        </w:tc>
        <w:tc>
          <w:tcPr>
            <w:tcW w:w="1266" w:type="dxa"/>
            <w:tcBorders>
              <w:top w:val="single" w:color="auto" w:sz="4" w:space="0"/>
              <w:bottom w:val="single" w:color="auto" w:sz="12" w:space="0"/>
            </w:tcBorders>
            <w:vAlign w:val="center"/>
          </w:tcPr>
          <w:p w14:paraId="5073BFF9">
            <w:pPr>
              <w:pStyle w:val="25"/>
              <w:ind w:firstLine="0" w:firstLineChars="0"/>
              <w:jc w:val="center"/>
              <w:rPr>
                <w:rFonts w:hAnsi="宋体" w:cs="宋体"/>
                <w:sz w:val="18"/>
                <w:szCs w:val="18"/>
              </w:rPr>
            </w:pPr>
            <w:r>
              <w:rPr>
                <w:rFonts w:hint="eastAsia" w:hAnsi="宋体" w:cs="宋体"/>
                <w:sz w:val="18"/>
                <w:szCs w:val="18"/>
              </w:rPr>
              <w:t>[0,10]</w:t>
            </w:r>
          </w:p>
        </w:tc>
      </w:tr>
    </w:tbl>
    <w:p w14:paraId="104BB8F2">
      <w:pPr>
        <w:pStyle w:val="49"/>
        <w:spacing w:before="156" w:after="156"/>
      </w:pPr>
      <w:r>
        <w:t>环境表现</w:t>
      </w:r>
    </w:p>
    <w:p w14:paraId="4402D981">
      <w:pPr>
        <w:pStyle w:val="54"/>
        <w:numPr>
          <w:ilvl w:val="3"/>
          <w:numId w:val="2"/>
        </w:numPr>
        <w:spacing w:before="156" w:after="156"/>
      </w:pPr>
      <w:r>
        <w:rPr>
          <w:rFonts w:hint="eastAsia"/>
        </w:rPr>
        <w:t>绿色低碳运营</w:t>
      </w:r>
    </w:p>
    <w:p w14:paraId="3C5F0F8B">
      <w:pPr>
        <w:autoSpaceDE w:val="0"/>
        <w:autoSpaceDN w:val="0"/>
        <w:ind w:firstLine="420" w:firstLineChars="200"/>
        <w:rPr>
          <w:rFonts w:ascii="宋体"/>
        </w:rPr>
      </w:pPr>
      <w:r>
        <w:rPr>
          <w:rFonts w:hint="eastAsia" w:ascii="宋体"/>
        </w:rPr>
        <w:t>从单位总投资综合能耗、单位总投资用水量、单位总投资用地面积、单位总投资碳排放量等方面进行综合评估，</w:t>
      </w:r>
      <w:r>
        <w:rPr>
          <w:rFonts w:hint="eastAsia" w:ascii="宋体" w:hAnsi="宋体" w:cs="宋体"/>
        </w:rPr>
        <w:t>具体评分规则见表2</w:t>
      </w:r>
      <w:r>
        <w:rPr>
          <w:rFonts w:ascii="宋体" w:hAnsi="宋体" w:cs="宋体"/>
        </w:rPr>
        <w:t>1</w:t>
      </w:r>
      <w:r>
        <w:rPr>
          <w:rFonts w:hint="eastAsia" w:ascii="宋体"/>
        </w:rPr>
        <w:t>。</w:t>
      </w:r>
    </w:p>
    <w:p w14:paraId="25E40DA2">
      <w:pPr>
        <w:numPr>
          <w:ilvl w:val="0"/>
          <w:numId w:val="6"/>
        </w:numPr>
        <w:autoSpaceDE w:val="0"/>
        <w:autoSpaceDN w:val="0"/>
        <w:rPr>
          <w:rFonts w:ascii="宋体"/>
          <w:sz w:val="18"/>
          <w:szCs w:val="18"/>
        </w:rPr>
      </w:pPr>
      <w:r>
        <w:rPr>
          <w:rFonts w:hint="eastAsia" w:ascii="宋体"/>
          <w:sz w:val="18"/>
          <w:szCs w:val="18"/>
        </w:rPr>
        <w:t>单位总投资综合能耗为项目生产建设综合能耗与项目总投资额的比值，单位为吨标准煤/万元；单位总投资用水量为项目生产建设用水总量与项目总投资额的比值，单位为吨/万元；单位总投资用地面积为项目生产建设用地面积与项目总投资额的比值，单位为平方米/万元；单位总投资碳排放量为项目碳排放总量与项目总投资额的比值，单位为吨二氧化碳当量/万元。</w:t>
      </w:r>
    </w:p>
    <w:p w14:paraId="38EBB3ED">
      <w:pPr>
        <w:numPr>
          <w:ilvl w:val="0"/>
          <w:numId w:val="17"/>
        </w:numPr>
        <w:spacing w:before="156" w:beforeLines="50" w:after="156" w:afterLines="50"/>
        <w:jc w:val="center"/>
        <w:rPr>
          <w:rFonts w:eastAsia="黑体"/>
        </w:rPr>
      </w:pPr>
      <w:r>
        <w:rPr>
          <w:rFonts w:hint="eastAsia" w:eastAsia="黑体"/>
        </w:rPr>
        <w:t>绿色低碳运营</w:t>
      </w:r>
      <w:r>
        <w:rPr>
          <w:rFonts w:eastAsia="黑体"/>
        </w:rPr>
        <w:t>评分规则</w:t>
      </w:r>
    </w:p>
    <w:tbl>
      <w:tblPr>
        <w:tblStyle w:val="35"/>
        <w:tblW w:w="9570"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Layout w:type="fixed"/>
        <w:tblCellMar>
          <w:top w:w="0" w:type="dxa"/>
          <w:left w:w="108" w:type="dxa"/>
          <w:bottom w:w="0" w:type="dxa"/>
          <w:right w:w="108" w:type="dxa"/>
        </w:tblCellMar>
      </w:tblPr>
      <w:tblGrid>
        <w:gridCol w:w="5570"/>
        <w:gridCol w:w="4000"/>
      </w:tblGrid>
      <w:tr w14:paraId="6F7FDDDC">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118" w:hRule="atLeast"/>
          <w:tblHeader/>
          <w:jc w:val="center"/>
        </w:trPr>
        <w:tc>
          <w:tcPr>
            <w:tcW w:w="5570" w:type="dxa"/>
            <w:tcBorders>
              <w:bottom w:val="single" w:color="auto" w:sz="12" w:space="0"/>
            </w:tcBorders>
            <w:vAlign w:val="center"/>
          </w:tcPr>
          <w:p w14:paraId="45626E27">
            <w:pPr>
              <w:autoSpaceDE w:val="0"/>
              <w:autoSpaceDN w:val="0"/>
              <w:jc w:val="center"/>
              <w:rPr>
                <w:b/>
                <w:bCs/>
                <w:sz w:val="18"/>
                <w:szCs w:val="18"/>
              </w:rPr>
            </w:pPr>
            <w:r>
              <w:rPr>
                <w:rFonts w:hint="eastAsia"/>
                <w:b/>
                <w:bCs/>
                <w:sz w:val="18"/>
                <w:szCs w:val="18"/>
              </w:rPr>
              <w:t>项目投资水平</w:t>
            </w:r>
          </w:p>
        </w:tc>
        <w:tc>
          <w:tcPr>
            <w:tcW w:w="4000" w:type="dxa"/>
            <w:tcBorders>
              <w:bottom w:val="single" w:color="auto" w:sz="12" w:space="0"/>
            </w:tcBorders>
            <w:vAlign w:val="center"/>
          </w:tcPr>
          <w:p w14:paraId="6C28ACF3">
            <w:pPr>
              <w:autoSpaceDE w:val="0"/>
              <w:autoSpaceDN w:val="0"/>
              <w:jc w:val="center"/>
              <w:rPr>
                <w:b/>
                <w:bCs/>
                <w:sz w:val="18"/>
                <w:szCs w:val="18"/>
              </w:rPr>
            </w:pPr>
            <w:r>
              <w:rPr>
                <w:rFonts w:hint="eastAsia"/>
                <w:b/>
                <w:bCs/>
                <w:sz w:val="18"/>
                <w:szCs w:val="18"/>
              </w:rPr>
              <w:t>评分依据及单项分值（分）</w:t>
            </w:r>
          </w:p>
        </w:tc>
      </w:tr>
      <w:tr w14:paraId="78699F3E">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312" w:hRule="atLeast"/>
          <w:jc w:val="center"/>
        </w:trPr>
        <w:tc>
          <w:tcPr>
            <w:tcW w:w="5570" w:type="dxa"/>
            <w:tcBorders>
              <w:top w:val="single" w:color="auto" w:sz="12" w:space="0"/>
              <w:bottom w:val="single" w:color="auto" w:sz="4" w:space="0"/>
            </w:tcBorders>
            <w:vAlign w:val="center"/>
          </w:tcPr>
          <w:p w14:paraId="176F3D3B">
            <w:pPr>
              <w:autoSpaceDE w:val="0"/>
              <w:autoSpaceDN w:val="0"/>
              <w:jc w:val="left"/>
              <w:rPr>
                <w:rFonts w:ascii="宋体" w:hAnsi="宋体" w:cs="宋体"/>
                <w:sz w:val="18"/>
                <w:szCs w:val="18"/>
              </w:rPr>
            </w:pPr>
            <w:r>
              <w:rPr>
                <w:rFonts w:hint="eastAsia" w:ascii="宋体" w:hAnsi="宋体" w:cs="宋体"/>
                <w:sz w:val="18"/>
                <w:szCs w:val="18"/>
              </w:rPr>
              <w:t>单位总投资综合能耗</w:t>
            </w:r>
          </w:p>
        </w:tc>
        <w:tc>
          <w:tcPr>
            <w:tcW w:w="4000" w:type="dxa"/>
            <w:vMerge w:val="restart"/>
            <w:tcBorders>
              <w:top w:val="single" w:color="auto" w:sz="12" w:space="0"/>
            </w:tcBorders>
            <w:vAlign w:val="center"/>
          </w:tcPr>
          <w:p w14:paraId="218CC119">
            <w:pPr>
              <w:jc w:val="left"/>
              <w:rPr>
                <w:rFonts w:ascii="宋体" w:hAnsi="宋体" w:cs="宋体"/>
                <w:sz w:val="18"/>
                <w:szCs w:val="18"/>
              </w:rPr>
            </w:pPr>
            <w:r>
              <w:rPr>
                <w:rFonts w:hint="eastAsia" w:ascii="宋体" w:hAnsi="宋体" w:cs="宋体"/>
                <w:sz w:val="18"/>
                <w:szCs w:val="18"/>
              </w:rPr>
              <w:t>五项指标达到业内领先水平得(1</w:t>
            </w:r>
            <w:r>
              <w:rPr>
                <w:rFonts w:ascii="宋体" w:hAnsi="宋体" w:cs="宋体"/>
                <w:sz w:val="18"/>
                <w:szCs w:val="18"/>
              </w:rPr>
              <w:t>6</w:t>
            </w:r>
            <w:r>
              <w:rPr>
                <w:rFonts w:hint="eastAsia" w:ascii="宋体" w:hAnsi="宋体" w:cs="宋体"/>
                <w:sz w:val="18"/>
                <w:szCs w:val="18"/>
              </w:rPr>
              <w:t>，20]</w:t>
            </w:r>
          </w:p>
          <w:p w14:paraId="2FD8AC8E">
            <w:pPr>
              <w:jc w:val="left"/>
              <w:rPr>
                <w:rFonts w:ascii="宋体" w:hAnsi="宋体" w:cs="宋体"/>
                <w:sz w:val="18"/>
                <w:szCs w:val="18"/>
              </w:rPr>
            </w:pPr>
            <w:r>
              <w:rPr>
                <w:rFonts w:hint="eastAsia" w:ascii="宋体" w:hAnsi="宋体" w:cs="宋体"/>
                <w:sz w:val="18"/>
                <w:szCs w:val="18"/>
              </w:rPr>
              <w:t>四项指标达到业内领先水平得(1</w:t>
            </w:r>
            <w:r>
              <w:rPr>
                <w:rFonts w:ascii="宋体" w:hAnsi="宋体" w:cs="宋体"/>
                <w:sz w:val="18"/>
                <w:szCs w:val="18"/>
              </w:rPr>
              <w:t>2</w:t>
            </w:r>
            <w:r>
              <w:rPr>
                <w:rFonts w:hint="eastAsia" w:ascii="宋体" w:hAnsi="宋体" w:cs="宋体"/>
                <w:sz w:val="18"/>
                <w:szCs w:val="18"/>
              </w:rPr>
              <w:t>，1</w:t>
            </w:r>
            <w:r>
              <w:rPr>
                <w:rFonts w:ascii="宋体" w:hAnsi="宋体" w:cs="宋体"/>
                <w:sz w:val="18"/>
                <w:szCs w:val="18"/>
              </w:rPr>
              <w:t>6</w:t>
            </w:r>
            <w:r>
              <w:rPr>
                <w:rFonts w:hint="eastAsia" w:ascii="宋体" w:hAnsi="宋体" w:cs="宋体"/>
                <w:sz w:val="18"/>
                <w:szCs w:val="18"/>
              </w:rPr>
              <w:t>]</w:t>
            </w:r>
          </w:p>
          <w:p w14:paraId="2660A093">
            <w:pPr>
              <w:jc w:val="left"/>
              <w:rPr>
                <w:rFonts w:ascii="宋体" w:hAnsi="宋体" w:cs="宋体"/>
                <w:sz w:val="18"/>
                <w:szCs w:val="18"/>
              </w:rPr>
            </w:pPr>
            <w:r>
              <w:rPr>
                <w:rFonts w:hint="eastAsia" w:ascii="宋体" w:hAnsi="宋体" w:cs="宋体"/>
                <w:sz w:val="18"/>
                <w:szCs w:val="18"/>
              </w:rPr>
              <w:t>三项指标达到业内领先水平得(</w:t>
            </w:r>
            <w:r>
              <w:rPr>
                <w:rFonts w:ascii="宋体" w:hAnsi="宋体" w:cs="宋体"/>
                <w:sz w:val="18"/>
                <w:szCs w:val="18"/>
              </w:rPr>
              <w:t>8</w:t>
            </w:r>
            <w:r>
              <w:rPr>
                <w:rFonts w:hint="eastAsia" w:ascii="宋体" w:hAnsi="宋体" w:cs="宋体"/>
                <w:sz w:val="18"/>
                <w:szCs w:val="18"/>
              </w:rPr>
              <w:t>，1</w:t>
            </w:r>
            <w:r>
              <w:rPr>
                <w:rFonts w:ascii="宋体" w:hAnsi="宋体" w:cs="宋体"/>
                <w:sz w:val="18"/>
                <w:szCs w:val="18"/>
              </w:rPr>
              <w:t>2</w:t>
            </w:r>
            <w:r>
              <w:rPr>
                <w:rFonts w:hint="eastAsia" w:ascii="宋体" w:hAnsi="宋体" w:cs="宋体"/>
                <w:sz w:val="18"/>
                <w:szCs w:val="18"/>
              </w:rPr>
              <w:t>]</w:t>
            </w:r>
          </w:p>
          <w:p w14:paraId="63FCEAD6">
            <w:pPr>
              <w:jc w:val="left"/>
              <w:rPr>
                <w:rFonts w:ascii="宋体" w:hAnsi="宋体" w:cs="宋体"/>
                <w:sz w:val="18"/>
                <w:szCs w:val="18"/>
              </w:rPr>
            </w:pPr>
            <w:r>
              <w:rPr>
                <w:rFonts w:hint="eastAsia" w:ascii="宋体" w:hAnsi="宋体" w:cs="宋体"/>
                <w:sz w:val="18"/>
                <w:szCs w:val="18"/>
              </w:rPr>
              <w:t>二项指标达到业内领先水平得(</w:t>
            </w:r>
            <w:r>
              <w:rPr>
                <w:rFonts w:ascii="宋体" w:hAnsi="宋体" w:cs="宋体"/>
                <w:sz w:val="18"/>
                <w:szCs w:val="18"/>
              </w:rPr>
              <w:t>4</w:t>
            </w:r>
            <w:r>
              <w:rPr>
                <w:rFonts w:hint="eastAsia" w:ascii="宋体" w:hAnsi="宋体" w:cs="宋体"/>
                <w:sz w:val="18"/>
                <w:szCs w:val="18"/>
              </w:rPr>
              <w:t>，</w:t>
            </w:r>
            <w:r>
              <w:rPr>
                <w:rFonts w:ascii="宋体" w:hAnsi="宋体" w:cs="宋体"/>
                <w:sz w:val="18"/>
                <w:szCs w:val="18"/>
              </w:rPr>
              <w:t>8</w:t>
            </w:r>
            <w:r>
              <w:rPr>
                <w:rFonts w:hint="eastAsia" w:ascii="宋体" w:hAnsi="宋体" w:cs="宋体"/>
                <w:sz w:val="18"/>
                <w:szCs w:val="18"/>
              </w:rPr>
              <w:t>]</w:t>
            </w:r>
          </w:p>
          <w:p w14:paraId="78C9FFDC">
            <w:pPr>
              <w:jc w:val="left"/>
              <w:rPr>
                <w:rFonts w:ascii="宋体" w:hAnsi="宋体" w:cs="宋体"/>
                <w:sz w:val="18"/>
                <w:szCs w:val="18"/>
              </w:rPr>
            </w:pPr>
            <w:r>
              <w:rPr>
                <w:rFonts w:hint="eastAsia" w:ascii="宋体" w:hAnsi="宋体" w:cs="宋体"/>
                <w:sz w:val="18"/>
                <w:szCs w:val="18"/>
              </w:rPr>
              <w:t>一项指标达到业内领先水平得(0，</w:t>
            </w:r>
            <w:r>
              <w:rPr>
                <w:rFonts w:ascii="宋体" w:hAnsi="宋体" w:cs="宋体"/>
                <w:sz w:val="18"/>
                <w:szCs w:val="18"/>
              </w:rPr>
              <w:t>4</w:t>
            </w:r>
            <w:r>
              <w:rPr>
                <w:rFonts w:hint="eastAsia" w:ascii="宋体" w:hAnsi="宋体" w:cs="宋体"/>
                <w:sz w:val="18"/>
                <w:szCs w:val="18"/>
              </w:rPr>
              <w:t>]</w:t>
            </w:r>
          </w:p>
        </w:tc>
      </w:tr>
      <w:tr w14:paraId="1EC33208">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312" w:hRule="atLeast"/>
          <w:jc w:val="center"/>
        </w:trPr>
        <w:tc>
          <w:tcPr>
            <w:tcW w:w="5570" w:type="dxa"/>
            <w:tcBorders>
              <w:top w:val="single" w:color="auto" w:sz="4" w:space="0"/>
              <w:bottom w:val="single" w:color="auto" w:sz="4" w:space="0"/>
            </w:tcBorders>
            <w:vAlign w:val="center"/>
          </w:tcPr>
          <w:p w14:paraId="070F0556">
            <w:pPr>
              <w:autoSpaceDE w:val="0"/>
              <w:autoSpaceDN w:val="0"/>
              <w:jc w:val="left"/>
              <w:rPr>
                <w:rFonts w:ascii="宋体" w:hAnsi="宋体" w:cs="宋体"/>
                <w:sz w:val="18"/>
                <w:szCs w:val="18"/>
              </w:rPr>
            </w:pPr>
            <w:r>
              <w:rPr>
                <w:rFonts w:hint="eastAsia" w:ascii="宋体" w:hAnsi="宋体" w:cs="宋体"/>
                <w:sz w:val="18"/>
                <w:szCs w:val="18"/>
              </w:rPr>
              <w:t>单位总投资用水量</w:t>
            </w:r>
          </w:p>
        </w:tc>
        <w:tc>
          <w:tcPr>
            <w:tcW w:w="4000" w:type="dxa"/>
            <w:vMerge w:val="continue"/>
            <w:vAlign w:val="center"/>
          </w:tcPr>
          <w:p w14:paraId="664C78CD">
            <w:pPr>
              <w:autoSpaceDE w:val="0"/>
              <w:autoSpaceDN w:val="0"/>
              <w:jc w:val="center"/>
              <w:rPr>
                <w:rFonts w:ascii="宋体" w:hAnsi="宋体" w:cs="宋体"/>
                <w:sz w:val="18"/>
                <w:szCs w:val="18"/>
              </w:rPr>
            </w:pPr>
          </w:p>
        </w:tc>
      </w:tr>
      <w:tr w14:paraId="5CAFD40C">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312" w:hRule="atLeast"/>
          <w:jc w:val="center"/>
        </w:trPr>
        <w:tc>
          <w:tcPr>
            <w:tcW w:w="5570" w:type="dxa"/>
            <w:tcBorders>
              <w:top w:val="single" w:color="auto" w:sz="4" w:space="0"/>
              <w:bottom w:val="single" w:color="auto" w:sz="4" w:space="0"/>
            </w:tcBorders>
            <w:vAlign w:val="center"/>
          </w:tcPr>
          <w:p w14:paraId="4163236A">
            <w:pPr>
              <w:autoSpaceDE w:val="0"/>
              <w:autoSpaceDN w:val="0"/>
              <w:jc w:val="left"/>
              <w:rPr>
                <w:rFonts w:ascii="宋体" w:hAnsi="宋体" w:cs="宋体"/>
                <w:sz w:val="18"/>
                <w:szCs w:val="18"/>
              </w:rPr>
            </w:pPr>
            <w:r>
              <w:rPr>
                <w:rFonts w:hint="eastAsia" w:ascii="宋体" w:hAnsi="宋体" w:cs="宋体"/>
                <w:sz w:val="18"/>
                <w:szCs w:val="18"/>
              </w:rPr>
              <w:t>单位总投资用地面积</w:t>
            </w:r>
          </w:p>
        </w:tc>
        <w:tc>
          <w:tcPr>
            <w:tcW w:w="4000" w:type="dxa"/>
            <w:vMerge w:val="continue"/>
            <w:vAlign w:val="center"/>
          </w:tcPr>
          <w:p w14:paraId="1352706D">
            <w:pPr>
              <w:autoSpaceDE w:val="0"/>
              <w:autoSpaceDN w:val="0"/>
              <w:jc w:val="center"/>
              <w:rPr>
                <w:rFonts w:ascii="宋体" w:hAnsi="宋体" w:cs="宋体"/>
                <w:sz w:val="18"/>
                <w:szCs w:val="18"/>
              </w:rPr>
            </w:pPr>
          </w:p>
        </w:tc>
      </w:tr>
      <w:tr w14:paraId="002C79F9">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90" w:hRule="atLeast"/>
          <w:jc w:val="center"/>
        </w:trPr>
        <w:tc>
          <w:tcPr>
            <w:tcW w:w="5570" w:type="dxa"/>
            <w:tcBorders>
              <w:top w:val="single" w:color="auto" w:sz="4" w:space="0"/>
              <w:bottom w:val="single" w:color="auto" w:sz="4" w:space="0"/>
            </w:tcBorders>
            <w:vAlign w:val="center"/>
          </w:tcPr>
          <w:p w14:paraId="6066B104">
            <w:pPr>
              <w:autoSpaceDE w:val="0"/>
              <w:autoSpaceDN w:val="0"/>
              <w:jc w:val="left"/>
              <w:rPr>
                <w:rFonts w:ascii="宋体" w:hAnsi="宋体" w:cs="宋体"/>
                <w:sz w:val="18"/>
                <w:szCs w:val="18"/>
              </w:rPr>
            </w:pPr>
            <w:r>
              <w:rPr>
                <w:rFonts w:hint="eastAsia" w:ascii="宋体" w:hAnsi="宋体" w:cs="宋体"/>
                <w:sz w:val="18"/>
                <w:szCs w:val="18"/>
              </w:rPr>
              <w:t>单位总投资碳排放量</w:t>
            </w:r>
          </w:p>
        </w:tc>
        <w:tc>
          <w:tcPr>
            <w:tcW w:w="4000" w:type="dxa"/>
            <w:vMerge w:val="continue"/>
            <w:vAlign w:val="center"/>
          </w:tcPr>
          <w:p w14:paraId="5EA1CC6E">
            <w:pPr>
              <w:autoSpaceDE w:val="0"/>
              <w:autoSpaceDN w:val="0"/>
              <w:jc w:val="center"/>
              <w:rPr>
                <w:rFonts w:ascii="宋体" w:hAnsi="宋体" w:cs="宋体"/>
                <w:sz w:val="18"/>
                <w:szCs w:val="18"/>
              </w:rPr>
            </w:pPr>
          </w:p>
        </w:tc>
      </w:tr>
      <w:tr w14:paraId="5F68D117">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90" w:hRule="atLeast"/>
          <w:jc w:val="center"/>
        </w:trPr>
        <w:tc>
          <w:tcPr>
            <w:tcW w:w="5570" w:type="dxa"/>
            <w:tcBorders>
              <w:top w:val="single" w:color="auto" w:sz="4" w:space="0"/>
            </w:tcBorders>
            <w:vAlign w:val="center"/>
          </w:tcPr>
          <w:p w14:paraId="454FE90C">
            <w:pPr>
              <w:autoSpaceDE w:val="0"/>
              <w:autoSpaceDN w:val="0"/>
              <w:jc w:val="left"/>
              <w:rPr>
                <w:rFonts w:ascii="宋体" w:hAnsi="宋体" w:cs="宋体"/>
                <w:sz w:val="18"/>
                <w:szCs w:val="18"/>
              </w:rPr>
            </w:pPr>
            <w:r>
              <w:rPr>
                <w:rFonts w:hint="eastAsia" w:ascii="宋体" w:hAnsi="宋体" w:cs="宋体"/>
                <w:sz w:val="18"/>
                <w:szCs w:val="18"/>
              </w:rPr>
              <w:t>废弃物综合利用率</w:t>
            </w:r>
          </w:p>
        </w:tc>
        <w:tc>
          <w:tcPr>
            <w:tcW w:w="4000" w:type="dxa"/>
            <w:vMerge w:val="continue"/>
            <w:vAlign w:val="center"/>
          </w:tcPr>
          <w:p w14:paraId="25AC55EB">
            <w:pPr>
              <w:autoSpaceDE w:val="0"/>
              <w:autoSpaceDN w:val="0"/>
              <w:jc w:val="center"/>
              <w:rPr>
                <w:rFonts w:ascii="宋体" w:hAnsi="宋体" w:cs="宋体"/>
                <w:sz w:val="18"/>
                <w:szCs w:val="18"/>
              </w:rPr>
            </w:pPr>
          </w:p>
        </w:tc>
      </w:tr>
    </w:tbl>
    <w:p w14:paraId="532A4C73">
      <w:pPr>
        <w:pStyle w:val="54"/>
        <w:numPr>
          <w:ilvl w:val="3"/>
          <w:numId w:val="2"/>
        </w:numPr>
        <w:spacing w:before="156" w:after="156"/>
      </w:pPr>
      <w:r>
        <w:rPr>
          <w:rFonts w:hint="eastAsia"/>
        </w:rPr>
        <w:t>工艺设备材料</w:t>
      </w:r>
    </w:p>
    <w:p w14:paraId="18C3C39A">
      <w:pPr>
        <w:pStyle w:val="25"/>
        <w:rPr>
          <w:rFonts w:ascii="Times New Roman"/>
        </w:rPr>
      </w:pPr>
      <w:r>
        <w:rPr>
          <w:rFonts w:hint="eastAsia" w:hAnsi="宋体" w:cs="宋体"/>
        </w:rPr>
        <w:t>具体评价内容见5.2.3.2，具体评分规则见表2</w:t>
      </w:r>
      <w:r>
        <w:rPr>
          <w:rFonts w:hAnsi="宋体" w:cs="宋体"/>
        </w:rPr>
        <w:t>2</w:t>
      </w:r>
      <w:r>
        <w:rPr>
          <w:rFonts w:hint="eastAsia" w:hAnsi="宋体" w:cs="宋体"/>
        </w:rPr>
        <w:t>。</w:t>
      </w:r>
    </w:p>
    <w:p w14:paraId="2933AD09">
      <w:pPr>
        <w:pStyle w:val="129"/>
        <w:rPr>
          <w:rFonts w:ascii="Times New Roman"/>
        </w:rPr>
      </w:pPr>
      <w:r>
        <w:rPr>
          <w:rFonts w:hint="eastAsia" w:ascii="Times New Roman"/>
        </w:rPr>
        <w:t>工艺</w:t>
      </w:r>
      <w:r>
        <w:rPr>
          <w:rFonts w:ascii="Times New Roman"/>
        </w:rPr>
        <w:t>设备材料评分规则</w:t>
      </w:r>
    </w:p>
    <w:tbl>
      <w:tblPr>
        <w:tblStyle w:val="35"/>
        <w:tblW w:w="95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237"/>
        <w:gridCol w:w="1333"/>
      </w:tblGrid>
      <w:tr w14:paraId="1E18CB4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237" w:type="dxa"/>
            <w:tcBorders>
              <w:bottom w:val="single" w:color="auto" w:sz="12" w:space="0"/>
            </w:tcBorders>
            <w:vAlign w:val="center"/>
          </w:tcPr>
          <w:p w14:paraId="3E81EDB0">
            <w:pPr>
              <w:pStyle w:val="25"/>
              <w:ind w:firstLine="0" w:firstLineChars="0"/>
              <w:jc w:val="center"/>
              <w:rPr>
                <w:rFonts w:ascii="Times New Roman"/>
                <w:b/>
                <w:bCs/>
                <w:sz w:val="18"/>
                <w:szCs w:val="18"/>
              </w:rPr>
            </w:pPr>
            <w:r>
              <w:rPr>
                <w:rFonts w:hint="eastAsia" w:ascii="Times New Roman"/>
                <w:b/>
                <w:bCs/>
                <w:sz w:val="18"/>
                <w:szCs w:val="18"/>
              </w:rPr>
              <w:t>设备材料</w:t>
            </w:r>
          </w:p>
        </w:tc>
        <w:tc>
          <w:tcPr>
            <w:tcW w:w="1333" w:type="dxa"/>
            <w:tcBorders>
              <w:bottom w:val="single" w:color="auto" w:sz="12" w:space="0"/>
            </w:tcBorders>
            <w:vAlign w:val="center"/>
          </w:tcPr>
          <w:p w14:paraId="1988545A">
            <w:pPr>
              <w:pStyle w:val="25"/>
              <w:ind w:firstLine="0" w:firstLineChars="0"/>
              <w:jc w:val="center"/>
              <w:rPr>
                <w:rFonts w:ascii="Times New Roman"/>
                <w:b/>
                <w:bCs/>
                <w:sz w:val="18"/>
                <w:szCs w:val="18"/>
              </w:rPr>
            </w:pPr>
            <w:r>
              <w:rPr>
                <w:rFonts w:hint="eastAsia" w:ascii="Times New Roman"/>
                <w:b/>
                <w:bCs/>
                <w:sz w:val="18"/>
                <w:szCs w:val="18"/>
              </w:rPr>
              <w:t>分值（分）</w:t>
            </w:r>
          </w:p>
        </w:tc>
      </w:tr>
      <w:tr w14:paraId="417F9E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237" w:type="dxa"/>
            <w:tcBorders>
              <w:top w:val="single" w:color="auto" w:sz="12" w:space="0"/>
              <w:tl2br w:val="nil"/>
              <w:tr2bl w:val="nil"/>
            </w:tcBorders>
            <w:vAlign w:val="center"/>
          </w:tcPr>
          <w:p w14:paraId="383A25D3">
            <w:pPr>
              <w:pStyle w:val="25"/>
              <w:ind w:firstLine="0" w:firstLineChars="0"/>
              <w:jc w:val="left"/>
              <w:rPr>
                <w:rFonts w:hAnsi="宋体" w:cs="宋体"/>
                <w:sz w:val="18"/>
                <w:szCs w:val="18"/>
              </w:rPr>
            </w:pPr>
            <w:r>
              <w:rPr>
                <w:rFonts w:hint="eastAsia" w:hAnsi="宋体" w:cs="宋体"/>
                <w:sz w:val="18"/>
                <w:szCs w:val="18"/>
              </w:rPr>
              <w:t>工艺设备材料绿色化程度较高</w:t>
            </w:r>
          </w:p>
        </w:tc>
        <w:tc>
          <w:tcPr>
            <w:tcW w:w="1333" w:type="dxa"/>
            <w:tcBorders>
              <w:top w:val="single" w:color="auto" w:sz="12" w:space="0"/>
              <w:tl2br w:val="nil"/>
              <w:tr2bl w:val="nil"/>
            </w:tcBorders>
            <w:vAlign w:val="center"/>
          </w:tcPr>
          <w:p w14:paraId="29C9E5BF">
            <w:pPr>
              <w:pStyle w:val="25"/>
              <w:ind w:firstLine="0" w:firstLineChars="0"/>
              <w:jc w:val="center"/>
              <w:rPr>
                <w:rFonts w:hAnsi="宋体" w:cs="宋体"/>
                <w:sz w:val="18"/>
                <w:szCs w:val="18"/>
              </w:rPr>
            </w:pPr>
            <w:r>
              <w:rPr>
                <w:rFonts w:hint="eastAsia" w:hAnsi="宋体" w:cs="宋体"/>
                <w:sz w:val="18"/>
                <w:szCs w:val="18"/>
              </w:rPr>
              <w:t>(7,10]</w:t>
            </w:r>
          </w:p>
        </w:tc>
      </w:tr>
      <w:tr w14:paraId="6E7390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237" w:type="dxa"/>
            <w:tcBorders>
              <w:tl2br w:val="nil"/>
              <w:tr2bl w:val="nil"/>
            </w:tcBorders>
            <w:vAlign w:val="center"/>
          </w:tcPr>
          <w:p w14:paraId="58003845">
            <w:pPr>
              <w:pStyle w:val="25"/>
              <w:ind w:firstLine="0" w:firstLineChars="0"/>
              <w:jc w:val="left"/>
              <w:rPr>
                <w:rFonts w:hAnsi="宋体" w:cs="宋体"/>
                <w:sz w:val="18"/>
                <w:szCs w:val="18"/>
              </w:rPr>
            </w:pPr>
            <w:r>
              <w:rPr>
                <w:rFonts w:hint="eastAsia" w:hAnsi="宋体" w:cs="宋体"/>
                <w:sz w:val="18"/>
                <w:szCs w:val="18"/>
              </w:rPr>
              <w:t>工艺设备材料绿色化程度中等</w:t>
            </w:r>
          </w:p>
        </w:tc>
        <w:tc>
          <w:tcPr>
            <w:tcW w:w="1333" w:type="dxa"/>
            <w:tcBorders>
              <w:tl2br w:val="nil"/>
              <w:tr2bl w:val="nil"/>
            </w:tcBorders>
            <w:vAlign w:val="center"/>
          </w:tcPr>
          <w:p w14:paraId="1B7B90ED">
            <w:pPr>
              <w:pStyle w:val="25"/>
              <w:ind w:firstLine="0" w:firstLineChars="0"/>
              <w:jc w:val="center"/>
              <w:rPr>
                <w:rFonts w:hAnsi="宋体" w:cs="宋体"/>
                <w:sz w:val="18"/>
                <w:szCs w:val="18"/>
              </w:rPr>
            </w:pPr>
            <w:r>
              <w:rPr>
                <w:rFonts w:hint="eastAsia" w:hAnsi="宋体" w:cs="宋体"/>
                <w:sz w:val="18"/>
                <w:szCs w:val="18"/>
              </w:rPr>
              <w:t>(4,7]</w:t>
            </w:r>
          </w:p>
        </w:tc>
      </w:tr>
      <w:tr w14:paraId="5A7E70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8237" w:type="dxa"/>
            <w:tcBorders>
              <w:tl2br w:val="nil"/>
              <w:tr2bl w:val="nil"/>
            </w:tcBorders>
            <w:vAlign w:val="center"/>
          </w:tcPr>
          <w:p w14:paraId="626C9554">
            <w:pPr>
              <w:pStyle w:val="25"/>
              <w:ind w:firstLine="0" w:firstLineChars="0"/>
              <w:jc w:val="left"/>
              <w:rPr>
                <w:rFonts w:hAnsi="宋体" w:cs="宋体"/>
                <w:sz w:val="18"/>
                <w:szCs w:val="18"/>
              </w:rPr>
            </w:pPr>
            <w:r>
              <w:rPr>
                <w:rFonts w:hint="eastAsia" w:hAnsi="宋体" w:cs="宋体"/>
                <w:sz w:val="18"/>
                <w:szCs w:val="18"/>
              </w:rPr>
              <w:t>工艺设备材料绿色化程度一般</w:t>
            </w:r>
          </w:p>
        </w:tc>
        <w:tc>
          <w:tcPr>
            <w:tcW w:w="1333" w:type="dxa"/>
            <w:tcBorders>
              <w:tl2br w:val="nil"/>
              <w:tr2bl w:val="nil"/>
            </w:tcBorders>
            <w:vAlign w:val="center"/>
          </w:tcPr>
          <w:p w14:paraId="7AA9ADD3">
            <w:pPr>
              <w:pStyle w:val="25"/>
              <w:ind w:firstLine="0" w:firstLineChars="0"/>
              <w:jc w:val="center"/>
              <w:rPr>
                <w:rFonts w:hAnsi="宋体" w:cs="宋体"/>
                <w:sz w:val="18"/>
                <w:szCs w:val="18"/>
              </w:rPr>
            </w:pPr>
            <w:r>
              <w:rPr>
                <w:rFonts w:hint="eastAsia" w:hAnsi="宋体" w:cs="宋体"/>
                <w:sz w:val="18"/>
                <w:szCs w:val="18"/>
              </w:rPr>
              <w:t>(0,4]</w:t>
            </w:r>
          </w:p>
        </w:tc>
      </w:tr>
    </w:tbl>
    <w:p w14:paraId="3FB20AED">
      <w:pPr>
        <w:pStyle w:val="54"/>
        <w:numPr>
          <w:ilvl w:val="3"/>
          <w:numId w:val="2"/>
        </w:numPr>
        <w:spacing w:before="156" w:after="156"/>
      </w:pPr>
      <w:r>
        <w:rPr>
          <w:rFonts w:hint="eastAsia"/>
        </w:rPr>
        <w:t>污染物</w:t>
      </w:r>
      <w:r>
        <w:t>排放</w:t>
      </w:r>
      <w:r>
        <w:rPr>
          <w:rFonts w:hint="eastAsia"/>
        </w:rPr>
        <w:t>水平</w:t>
      </w:r>
    </w:p>
    <w:p w14:paraId="2C59F72C">
      <w:pPr>
        <w:pStyle w:val="25"/>
        <w:rPr>
          <w:rFonts w:hAnsi="宋体" w:cs="宋体"/>
        </w:rPr>
      </w:pPr>
      <w:r>
        <w:rPr>
          <w:rFonts w:hint="eastAsia" w:hAnsi="宋体" w:cs="宋体"/>
        </w:rPr>
        <w:t>从项目近一年自身生产运营过程向环境排放污染物的情况进行评价，具体评价内容见5.2.3.4，具体评分规则见表2</w:t>
      </w:r>
      <w:r>
        <w:rPr>
          <w:rFonts w:hAnsi="宋体" w:cs="宋体"/>
        </w:rPr>
        <w:t>3</w:t>
      </w:r>
      <w:r>
        <w:rPr>
          <w:rFonts w:hint="eastAsia" w:hAnsi="宋体" w:cs="宋体"/>
        </w:rPr>
        <w:t>。</w:t>
      </w:r>
    </w:p>
    <w:p w14:paraId="126C1AFE">
      <w:pPr>
        <w:pStyle w:val="129"/>
        <w:rPr>
          <w:rFonts w:ascii="Times New Roman"/>
        </w:rPr>
      </w:pPr>
      <w:r>
        <w:rPr>
          <w:rFonts w:hint="eastAsia" w:ascii="Times New Roman"/>
        </w:rPr>
        <w:t>污染物</w:t>
      </w:r>
      <w:r>
        <w:rPr>
          <w:rFonts w:ascii="Times New Roman"/>
        </w:rPr>
        <w:t>排放</w:t>
      </w:r>
      <w:r>
        <w:rPr>
          <w:rFonts w:hint="eastAsia" w:ascii="Times New Roman"/>
        </w:rPr>
        <w:t>水平</w:t>
      </w:r>
      <w:r>
        <w:rPr>
          <w:rFonts w:ascii="Times New Roman"/>
        </w:rPr>
        <w:t>评分规则</w:t>
      </w:r>
    </w:p>
    <w:tbl>
      <w:tblPr>
        <w:tblStyle w:val="35"/>
        <w:tblW w:w="9570"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Layout w:type="fixed"/>
        <w:tblCellMar>
          <w:top w:w="0" w:type="dxa"/>
          <w:left w:w="108" w:type="dxa"/>
          <w:bottom w:w="0" w:type="dxa"/>
          <w:right w:w="108" w:type="dxa"/>
        </w:tblCellMar>
      </w:tblPr>
      <w:tblGrid>
        <w:gridCol w:w="8322"/>
        <w:gridCol w:w="1248"/>
      </w:tblGrid>
      <w:tr w14:paraId="7A456376">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jc w:val="center"/>
        </w:trPr>
        <w:tc>
          <w:tcPr>
            <w:tcW w:w="8322" w:type="dxa"/>
            <w:tcBorders>
              <w:bottom w:val="single" w:color="auto" w:sz="12" w:space="0"/>
            </w:tcBorders>
            <w:vAlign w:val="center"/>
          </w:tcPr>
          <w:p w14:paraId="58544B1A">
            <w:pPr>
              <w:pStyle w:val="25"/>
              <w:ind w:firstLine="0" w:firstLineChars="0"/>
              <w:jc w:val="center"/>
              <w:rPr>
                <w:rFonts w:ascii="Times New Roman"/>
                <w:b/>
                <w:bCs/>
                <w:sz w:val="18"/>
                <w:szCs w:val="18"/>
              </w:rPr>
            </w:pPr>
            <w:r>
              <w:rPr>
                <w:rFonts w:ascii="Times New Roman"/>
                <w:b/>
                <w:bCs/>
                <w:sz w:val="18"/>
                <w:szCs w:val="18"/>
              </w:rPr>
              <w:t>污染物排放水平</w:t>
            </w:r>
          </w:p>
        </w:tc>
        <w:tc>
          <w:tcPr>
            <w:tcW w:w="1248" w:type="dxa"/>
            <w:tcBorders>
              <w:bottom w:val="single" w:color="auto" w:sz="12" w:space="0"/>
            </w:tcBorders>
            <w:vAlign w:val="center"/>
          </w:tcPr>
          <w:p w14:paraId="34D21391">
            <w:pPr>
              <w:pStyle w:val="25"/>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r>
      <w:tr w14:paraId="5D2613F6">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jc w:val="center"/>
        </w:trPr>
        <w:tc>
          <w:tcPr>
            <w:tcW w:w="8322" w:type="dxa"/>
            <w:tcBorders>
              <w:top w:val="single" w:color="auto" w:sz="12" w:space="0"/>
              <w:bottom w:val="single" w:color="auto" w:sz="4" w:space="0"/>
            </w:tcBorders>
            <w:vAlign w:val="center"/>
          </w:tcPr>
          <w:p w14:paraId="53059223">
            <w:pPr>
              <w:pStyle w:val="25"/>
              <w:ind w:firstLine="0" w:firstLineChars="0"/>
              <w:rPr>
                <w:rFonts w:hAnsi="宋体" w:cs="宋体"/>
                <w:sz w:val="18"/>
                <w:szCs w:val="18"/>
              </w:rPr>
            </w:pPr>
            <w:r>
              <w:rPr>
                <w:rFonts w:hint="eastAsia" w:hAnsi="宋体" w:cs="宋体"/>
                <w:sz w:val="18"/>
                <w:szCs w:val="18"/>
              </w:rPr>
              <w:t>不排放污染物，或根据排污许可相关管理条例实行排污登记管理，或需控制的污染物有80%的种类优于排污许可证限值20%，或优于排放源所在地同类行业污染物排放限值20%</w:t>
            </w:r>
          </w:p>
        </w:tc>
        <w:tc>
          <w:tcPr>
            <w:tcW w:w="1248" w:type="dxa"/>
            <w:tcBorders>
              <w:top w:val="single" w:color="auto" w:sz="12" w:space="0"/>
              <w:bottom w:val="single" w:color="auto" w:sz="4" w:space="0"/>
            </w:tcBorders>
            <w:vAlign w:val="center"/>
          </w:tcPr>
          <w:p w14:paraId="17C434B0">
            <w:pPr>
              <w:pStyle w:val="25"/>
              <w:ind w:firstLine="0" w:firstLineChars="0"/>
              <w:jc w:val="center"/>
              <w:rPr>
                <w:rFonts w:hAnsi="宋体" w:cs="宋体"/>
                <w:sz w:val="18"/>
                <w:szCs w:val="18"/>
              </w:rPr>
            </w:pPr>
            <w:r>
              <w:rPr>
                <w:rFonts w:hint="eastAsia" w:hAnsi="宋体" w:cs="宋体"/>
                <w:sz w:val="18"/>
                <w:szCs w:val="18"/>
              </w:rPr>
              <w:t>(5,10]</w:t>
            </w:r>
          </w:p>
        </w:tc>
      </w:tr>
      <w:tr w14:paraId="1E273DED">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jc w:val="center"/>
        </w:trPr>
        <w:tc>
          <w:tcPr>
            <w:tcW w:w="8322" w:type="dxa"/>
            <w:tcBorders>
              <w:top w:val="single" w:color="auto" w:sz="4" w:space="0"/>
              <w:bottom w:val="single" w:color="auto" w:sz="4" w:space="0"/>
            </w:tcBorders>
            <w:vAlign w:val="center"/>
          </w:tcPr>
          <w:p w14:paraId="18D89DE9">
            <w:pPr>
              <w:pStyle w:val="25"/>
              <w:ind w:firstLine="0" w:firstLineChars="0"/>
              <w:rPr>
                <w:rFonts w:hAnsi="宋体" w:cs="宋体"/>
                <w:sz w:val="18"/>
                <w:szCs w:val="18"/>
              </w:rPr>
            </w:pPr>
            <w:r>
              <w:rPr>
                <w:rFonts w:hint="eastAsia" w:hAnsi="宋体" w:cs="宋体"/>
                <w:sz w:val="18"/>
                <w:szCs w:val="18"/>
              </w:rPr>
              <w:t>需控制的污染物有80%的种类优于排污许可证限值10%，或优于排放源所在地同类行业污染物排放限值10%</w:t>
            </w:r>
          </w:p>
        </w:tc>
        <w:tc>
          <w:tcPr>
            <w:tcW w:w="1248" w:type="dxa"/>
            <w:tcBorders>
              <w:top w:val="single" w:color="auto" w:sz="4" w:space="0"/>
              <w:bottom w:val="single" w:color="auto" w:sz="4" w:space="0"/>
            </w:tcBorders>
            <w:vAlign w:val="center"/>
          </w:tcPr>
          <w:p w14:paraId="492EA971">
            <w:pPr>
              <w:pStyle w:val="25"/>
              <w:ind w:firstLine="0" w:firstLineChars="0"/>
              <w:jc w:val="center"/>
              <w:rPr>
                <w:rFonts w:hAnsi="宋体" w:cs="宋体"/>
                <w:sz w:val="18"/>
                <w:szCs w:val="18"/>
              </w:rPr>
            </w:pPr>
            <w:r>
              <w:rPr>
                <w:rFonts w:hint="eastAsia" w:hAnsi="宋体" w:cs="宋体"/>
                <w:sz w:val="18"/>
                <w:szCs w:val="18"/>
              </w:rPr>
              <w:t>(0,5]</w:t>
            </w:r>
          </w:p>
        </w:tc>
      </w:tr>
      <w:tr w14:paraId="4D824C72">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jc w:val="center"/>
        </w:trPr>
        <w:tc>
          <w:tcPr>
            <w:tcW w:w="8322" w:type="dxa"/>
            <w:tcBorders>
              <w:top w:val="single" w:color="auto" w:sz="4" w:space="0"/>
            </w:tcBorders>
            <w:vAlign w:val="center"/>
          </w:tcPr>
          <w:p w14:paraId="627F79D3">
            <w:pPr>
              <w:pStyle w:val="25"/>
              <w:ind w:firstLine="0" w:firstLineChars="0"/>
              <w:rPr>
                <w:rFonts w:hAnsi="宋体" w:cs="宋体"/>
                <w:sz w:val="18"/>
                <w:szCs w:val="18"/>
              </w:rPr>
            </w:pPr>
            <w:r>
              <w:rPr>
                <w:rFonts w:hint="eastAsia" w:hAnsi="宋体" w:cs="宋体"/>
                <w:sz w:val="18"/>
                <w:szCs w:val="18"/>
              </w:rPr>
              <w:t>未满足上述任何一项</w:t>
            </w:r>
          </w:p>
        </w:tc>
        <w:tc>
          <w:tcPr>
            <w:tcW w:w="1248" w:type="dxa"/>
            <w:tcBorders>
              <w:top w:val="single" w:color="auto" w:sz="4" w:space="0"/>
            </w:tcBorders>
            <w:vAlign w:val="center"/>
          </w:tcPr>
          <w:p w14:paraId="4F716D7E">
            <w:pPr>
              <w:pStyle w:val="25"/>
              <w:ind w:firstLine="0" w:firstLineChars="0"/>
              <w:jc w:val="center"/>
              <w:rPr>
                <w:rFonts w:hAnsi="宋体" w:cs="宋体"/>
                <w:sz w:val="18"/>
                <w:szCs w:val="18"/>
              </w:rPr>
            </w:pPr>
            <w:r>
              <w:rPr>
                <w:rFonts w:hint="eastAsia" w:hAnsi="宋体" w:cs="宋体"/>
                <w:sz w:val="18"/>
                <w:szCs w:val="18"/>
              </w:rPr>
              <w:t>0</w:t>
            </w:r>
          </w:p>
        </w:tc>
      </w:tr>
    </w:tbl>
    <w:p w14:paraId="1ABB8ACE">
      <w:pPr>
        <w:pStyle w:val="48"/>
        <w:outlineLvl w:val="0"/>
        <w:rPr>
          <w:rFonts w:ascii="Times New Roman"/>
        </w:rPr>
      </w:pPr>
      <w:bookmarkStart w:id="144" w:name="_Toc14317"/>
      <w:bookmarkStart w:id="145" w:name="_Toc22832"/>
      <w:bookmarkStart w:id="146" w:name="_Toc195040394"/>
      <w:r>
        <w:rPr>
          <w:rFonts w:ascii="Times New Roman"/>
        </w:rPr>
        <w:t>评价程序</w:t>
      </w:r>
      <w:bookmarkEnd w:id="133"/>
      <w:bookmarkEnd w:id="134"/>
      <w:bookmarkEnd w:id="135"/>
      <w:bookmarkEnd w:id="144"/>
      <w:bookmarkEnd w:id="145"/>
      <w:bookmarkEnd w:id="146"/>
    </w:p>
    <w:p w14:paraId="27C8CF10">
      <w:pPr>
        <w:pStyle w:val="45"/>
        <w:outlineLvl w:val="1"/>
        <w:rPr>
          <w:rFonts w:ascii="Times New Roman"/>
        </w:rPr>
      </w:pPr>
      <w:bookmarkStart w:id="147" w:name="_Toc2913"/>
      <w:bookmarkStart w:id="148" w:name="_Toc19162"/>
      <w:bookmarkStart w:id="149" w:name="_Toc23470"/>
      <w:bookmarkStart w:id="150" w:name="_Toc3418"/>
      <w:bookmarkStart w:id="151" w:name="_Toc118281022"/>
      <w:bookmarkStart w:id="152" w:name="_Toc118282046"/>
      <w:bookmarkStart w:id="153" w:name="_Toc195040395"/>
      <w:r>
        <w:rPr>
          <w:rFonts w:ascii="Times New Roman"/>
        </w:rPr>
        <w:t>成立工作组</w:t>
      </w:r>
      <w:bookmarkEnd w:id="147"/>
      <w:bookmarkEnd w:id="148"/>
      <w:bookmarkEnd w:id="149"/>
      <w:bookmarkEnd w:id="150"/>
      <w:bookmarkEnd w:id="151"/>
      <w:bookmarkEnd w:id="152"/>
      <w:bookmarkEnd w:id="153"/>
    </w:p>
    <w:p w14:paraId="5DBC6490">
      <w:pPr>
        <w:ind w:firstLine="420" w:firstLineChars="200"/>
      </w:pPr>
      <w:r>
        <w:rPr>
          <w:rFonts w:hint="eastAsia"/>
        </w:rPr>
        <w:t>企事业单位或项目主体成立绿色低碳产业认定申报工作组，负责具体协调、组织和实施绿色低碳产业认定申报工作。工作组成员应满足以下条件：</w:t>
      </w:r>
    </w:p>
    <w:p w14:paraId="1F6ADAA8">
      <w:pPr>
        <w:ind w:firstLine="420" w:firstLineChars="200"/>
      </w:pPr>
      <w:r>
        <w:rPr>
          <w:rFonts w:hint="eastAsia"/>
        </w:rPr>
        <w:t>——具有智能电网建设运营、环境、财务等相关专业背景；</w:t>
      </w:r>
    </w:p>
    <w:p w14:paraId="6153198C">
      <w:pPr>
        <w:ind w:firstLine="420" w:firstLineChars="200"/>
      </w:pPr>
      <w:r>
        <w:rPr>
          <w:rFonts w:hint="eastAsia"/>
        </w:rPr>
        <w:t>——熟悉掌握绿色低碳产业认定评价方法和步骤；</w:t>
      </w:r>
    </w:p>
    <w:p w14:paraId="4C080ABE">
      <w:pPr>
        <w:ind w:firstLine="420" w:firstLineChars="200"/>
      </w:pPr>
      <w:r>
        <w:rPr>
          <w:rFonts w:hint="eastAsia"/>
        </w:rPr>
        <w:t>——具备良好的沟通协调能力和文字表达能力。</w:t>
      </w:r>
    </w:p>
    <w:p w14:paraId="6B90F0AA">
      <w:pPr>
        <w:pStyle w:val="45"/>
        <w:outlineLvl w:val="1"/>
        <w:rPr>
          <w:rFonts w:ascii="Times New Roman"/>
        </w:rPr>
      </w:pPr>
      <w:bookmarkStart w:id="154" w:name="_Toc118282047"/>
      <w:bookmarkStart w:id="155" w:name="_Toc23482"/>
      <w:bookmarkStart w:id="156" w:name="_Toc118281023"/>
      <w:bookmarkStart w:id="157" w:name="_Toc19473"/>
      <w:bookmarkStart w:id="158" w:name="_Toc195040396"/>
      <w:bookmarkStart w:id="159" w:name="_Toc8861"/>
      <w:r>
        <w:rPr>
          <w:rFonts w:hint="eastAsia" w:ascii="Times New Roman"/>
        </w:rPr>
        <w:t>收集材料</w:t>
      </w:r>
      <w:bookmarkEnd w:id="154"/>
      <w:bookmarkEnd w:id="155"/>
      <w:bookmarkEnd w:id="156"/>
      <w:bookmarkEnd w:id="157"/>
      <w:bookmarkEnd w:id="158"/>
      <w:bookmarkEnd w:id="159"/>
    </w:p>
    <w:p w14:paraId="326D9B33">
      <w:pPr>
        <w:pStyle w:val="25"/>
      </w:pPr>
      <w:r>
        <w:rPr>
          <w:rFonts w:hint="eastAsia"/>
        </w:rPr>
        <w:t>企事业单位或项目主体开展智能电网建设运营领域绿色低碳产业认定评价应收集的信息和文件资料见表2</w:t>
      </w:r>
      <w:r>
        <w:t>4</w:t>
      </w:r>
      <w:r>
        <w:rPr>
          <w:rFonts w:hint="eastAsia" w:ascii="仿宋" w:hAnsi="仿宋" w:eastAsia="仿宋" w:cs="仿宋"/>
          <w:color w:val="000000" w:themeColor="text1"/>
          <w:sz w:val="24"/>
          <w:szCs w:val="24"/>
          <w14:textFill>
            <w14:solidFill>
              <w14:schemeClr w14:val="tx1"/>
            </w14:solidFill>
          </w14:textFill>
        </w:rPr>
        <w:t>～</w:t>
      </w:r>
      <w:r>
        <w:rPr>
          <w:rFonts w:hint="eastAsia"/>
        </w:rPr>
        <w:t>表2</w:t>
      </w:r>
      <w:r>
        <w:t>7</w:t>
      </w:r>
      <w:r>
        <w:rPr>
          <w:rFonts w:hint="eastAsia"/>
        </w:rPr>
        <w:t>。</w:t>
      </w:r>
    </w:p>
    <w:p w14:paraId="31E7CDAB">
      <w:pPr>
        <w:numPr>
          <w:ilvl w:val="0"/>
          <w:numId w:val="17"/>
        </w:numPr>
        <w:spacing w:before="156" w:beforeLines="50" w:after="156" w:afterLines="50"/>
        <w:jc w:val="center"/>
      </w:pPr>
      <w:r>
        <w:rPr>
          <w:rFonts w:hint="eastAsia" w:eastAsia="黑体"/>
        </w:rPr>
        <w:t>智能电网建设运营领域绿色低碳产业企业认定符合性评价证明材料</w:t>
      </w:r>
    </w:p>
    <w:tbl>
      <w:tblPr>
        <w:tblStyle w:val="36"/>
        <w:tblW w:w="9570" w:type="dxa"/>
        <w:jc w:val="center"/>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Layout w:type="fixed"/>
        <w:tblCellMar>
          <w:top w:w="0" w:type="dxa"/>
          <w:left w:w="108" w:type="dxa"/>
          <w:bottom w:w="0" w:type="dxa"/>
          <w:right w:w="108" w:type="dxa"/>
        </w:tblCellMar>
      </w:tblPr>
      <w:tblGrid>
        <w:gridCol w:w="747"/>
        <w:gridCol w:w="6184"/>
        <w:gridCol w:w="2639"/>
      </w:tblGrid>
      <w:tr w14:paraId="677727E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tblHeader/>
          <w:jc w:val="center"/>
        </w:trPr>
        <w:tc>
          <w:tcPr>
            <w:tcW w:w="747" w:type="dxa"/>
            <w:tcBorders>
              <w:bottom w:val="single" w:color="000000" w:sz="12" w:space="0"/>
            </w:tcBorders>
            <w:vAlign w:val="center"/>
          </w:tcPr>
          <w:p w14:paraId="24C9E04E">
            <w:pPr>
              <w:widowControl/>
              <w:tabs>
                <w:tab w:val="center" w:pos="4201"/>
                <w:tab w:val="right" w:leader="dot" w:pos="9298"/>
              </w:tabs>
              <w:autoSpaceDE w:val="0"/>
              <w:autoSpaceDN w:val="0"/>
              <w:jc w:val="center"/>
              <w:rPr>
                <w:rFonts w:ascii="宋体"/>
                <w:b/>
                <w:kern w:val="0"/>
                <w:sz w:val="18"/>
                <w:szCs w:val="18"/>
              </w:rPr>
            </w:pPr>
            <w:r>
              <w:rPr>
                <w:rFonts w:hint="eastAsia" w:ascii="宋体"/>
                <w:b/>
                <w:kern w:val="0"/>
                <w:sz w:val="18"/>
                <w:szCs w:val="18"/>
              </w:rPr>
              <w:t>指标</w:t>
            </w:r>
          </w:p>
        </w:tc>
        <w:tc>
          <w:tcPr>
            <w:tcW w:w="6184" w:type="dxa"/>
            <w:tcBorders>
              <w:bottom w:val="single" w:color="000000" w:sz="12" w:space="0"/>
            </w:tcBorders>
            <w:vAlign w:val="center"/>
          </w:tcPr>
          <w:p w14:paraId="6FAED93D">
            <w:pPr>
              <w:widowControl/>
              <w:tabs>
                <w:tab w:val="center" w:pos="4201"/>
                <w:tab w:val="right" w:leader="dot" w:pos="9298"/>
              </w:tabs>
              <w:autoSpaceDE w:val="0"/>
              <w:autoSpaceDN w:val="0"/>
              <w:jc w:val="center"/>
              <w:rPr>
                <w:rFonts w:ascii="宋体"/>
                <w:b/>
                <w:kern w:val="0"/>
                <w:sz w:val="18"/>
                <w:szCs w:val="18"/>
              </w:rPr>
            </w:pPr>
            <w:r>
              <w:rPr>
                <w:rFonts w:hint="eastAsia" w:ascii="宋体"/>
                <w:b/>
                <w:kern w:val="0"/>
                <w:sz w:val="18"/>
                <w:szCs w:val="18"/>
              </w:rPr>
              <w:t>评价内容</w:t>
            </w:r>
          </w:p>
        </w:tc>
        <w:tc>
          <w:tcPr>
            <w:tcW w:w="2639" w:type="dxa"/>
            <w:tcBorders>
              <w:bottom w:val="single" w:color="000000" w:sz="12" w:space="0"/>
            </w:tcBorders>
            <w:vAlign w:val="center"/>
          </w:tcPr>
          <w:p w14:paraId="21D0EF40">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证明材料</w:t>
            </w:r>
          </w:p>
        </w:tc>
      </w:tr>
      <w:tr w14:paraId="05369D7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trHeight w:val="928" w:hRule="atLeast"/>
          <w:jc w:val="center"/>
        </w:trPr>
        <w:tc>
          <w:tcPr>
            <w:tcW w:w="747" w:type="dxa"/>
            <w:tcBorders>
              <w:top w:val="single" w:color="000000" w:sz="12" w:space="0"/>
              <w:bottom w:val="single" w:color="000000" w:sz="4" w:space="0"/>
            </w:tcBorders>
            <w:vAlign w:val="center"/>
          </w:tcPr>
          <w:p w14:paraId="614328A7">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目录符合</w:t>
            </w:r>
          </w:p>
        </w:tc>
        <w:tc>
          <w:tcPr>
            <w:tcW w:w="6184" w:type="dxa"/>
            <w:tcBorders>
              <w:top w:val="single" w:color="000000" w:sz="12" w:space="0"/>
              <w:bottom w:val="single" w:color="000000" w:sz="4" w:space="0"/>
            </w:tcBorders>
            <w:vAlign w:val="center"/>
          </w:tcPr>
          <w:p w14:paraId="687B770A">
            <w:pPr>
              <w:widowControl/>
              <w:tabs>
                <w:tab w:val="center" w:pos="4201"/>
                <w:tab w:val="right" w:leader="dot" w:pos="9298"/>
              </w:tabs>
              <w:autoSpaceDE w:val="0"/>
              <w:autoSpaceDN w:val="0"/>
              <w:jc w:val="left"/>
              <w:rPr>
                <w:rFonts w:ascii="宋体"/>
                <w:kern w:val="0"/>
                <w:sz w:val="18"/>
                <w:szCs w:val="18"/>
              </w:rPr>
            </w:pPr>
            <w:r>
              <w:rPr>
                <w:rFonts w:hint="eastAsia" w:ascii="宋体"/>
                <w:kern w:val="0"/>
                <w:sz w:val="18"/>
                <w:szCs w:val="18"/>
              </w:rPr>
              <w:t>申报认定评价的绿色业务属于智能电网建设运营领域，且其智能电网建设运营领域绿色业务占比达到50%及以上，或绿色业务规模达到1亿元；或在当地具备一定市场规模、经相关政府职能部门认可的相关行业</w:t>
            </w:r>
          </w:p>
        </w:tc>
        <w:tc>
          <w:tcPr>
            <w:tcW w:w="2639" w:type="dxa"/>
            <w:tcBorders>
              <w:top w:val="single" w:color="000000" w:sz="12" w:space="0"/>
              <w:bottom w:val="single" w:color="000000" w:sz="4" w:space="0"/>
            </w:tcBorders>
            <w:vAlign w:val="center"/>
          </w:tcPr>
          <w:p w14:paraId="6392BBCF">
            <w:pPr>
              <w:widowControl/>
              <w:tabs>
                <w:tab w:val="center" w:pos="4201"/>
                <w:tab w:val="right" w:leader="dot" w:pos="9298"/>
              </w:tabs>
              <w:autoSpaceDE w:val="0"/>
              <w:autoSpaceDN w:val="0"/>
              <w:jc w:val="left"/>
              <w:rPr>
                <w:rFonts w:ascii="宋体"/>
                <w:kern w:val="0"/>
                <w:sz w:val="18"/>
                <w:szCs w:val="18"/>
              </w:rPr>
            </w:pPr>
            <w:r>
              <w:rPr>
                <w:rFonts w:hint="eastAsia" w:ascii="宋体"/>
                <w:kern w:val="0"/>
                <w:sz w:val="18"/>
                <w:szCs w:val="18"/>
              </w:rPr>
              <w:t>（1）</w:t>
            </w:r>
            <w:r>
              <w:rPr>
                <w:rFonts w:ascii="宋体"/>
                <w:kern w:val="0"/>
                <w:sz w:val="18"/>
                <w:szCs w:val="18"/>
              </w:rPr>
              <w:t>有效营业执照</w:t>
            </w:r>
          </w:p>
          <w:p w14:paraId="0F3BD3BC">
            <w:pPr>
              <w:widowControl/>
              <w:tabs>
                <w:tab w:val="center" w:pos="4201"/>
                <w:tab w:val="right" w:leader="dot" w:pos="9298"/>
              </w:tabs>
              <w:autoSpaceDE w:val="0"/>
              <w:autoSpaceDN w:val="0"/>
              <w:jc w:val="left"/>
              <w:rPr>
                <w:rFonts w:ascii="宋体"/>
                <w:kern w:val="0"/>
                <w:sz w:val="18"/>
                <w:szCs w:val="18"/>
              </w:rPr>
            </w:pPr>
            <w:r>
              <w:rPr>
                <w:rFonts w:hint="eastAsia" w:ascii="宋体"/>
                <w:kern w:val="0"/>
                <w:sz w:val="18"/>
                <w:szCs w:val="18"/>
              </w:rPr>
              <w:t>（2）绿色低碳产业产品（服务）收入专项审计或鉴证报告</w:t>
            </w:r>
          </w:p>
        </w:tc>
      </w:tr>
      <w:tr w14:paraId="7630E92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jc w:val="center"/>
        </w:trPr>
        <w:tc>
          <w:tcPr>
            <w:tcW w:w="747" w:type="dxa"/>
            <w:tcBorders>
              <w:top w:val="single" w:color="000000" w:sz="4" w:space="0"/>
            </w:tcBorders>
            <w:vAlign w:val="center"/>
          </w:tcPr>
          <w:p w14:paraId="1B44246B">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技术符合</w:t>
            </w:r>
          </w:p>
        </w:tc>
        <w:tc>
          <w:tcPr>
            <w:tcW w:w="6184" w:type="dxa"/>
            <w:tcBorders>
              <w:top w:val="single" w:color="000000" w:sz="4" w:space="0"/>
            </w:tcBorders>
            <w:vAlign w:val="center"/>
          </w:tcPr>
          <w:p w14:paraId="2035E135">
            <w:pPr>
              <w:pStyle w:val="25"/>
              <w:ind w:firstLine="0" w:firstLineChars="0"/>
              <w:rPr>
                <w:sz w:val="18"/>
                <w:szCs w:val="18"/>
              </w:rPr>
            </w:pPr>
            <w:r>
              <w:rPr>
                <w:rFonts w:hint="eastAsia"/>
                <w:sz w:val="18"/>
                <w:szCs w:val="20"/>
              </w:rPr>
              <w:t>提供的产品或服务应符合国家、广东省及深圳市相关主管部门发布文件列明的有关设计、能效、性能、安全、贮存、回收、标识、验收、管理和运维等技术要求</w:t>
            </w:r>
          </w:p>
        </w:tc>
        <w:tc>
          <w:tcPr>
            <w:tcW w:w="2639" w:type="dxa"/>
            <w:tcBorders>
              <w:top w:val="single" w:color="000000" w:sz="4" w:space="0"/>
            </w:tcBorders>
            <w:vAlign w:val="center"/>
          </w:tcPr>
          <w:p w14:paraId="4E0D7AE8">
            <w:pPr>
              <w:widowControl/>
              <w:tabs>
                <w:tab w:val="center" w:pos="4201"/>
                <w:tab w:val="right" w:leader="dot" w:pos="9298"/>
              </w:tabs>
              <w:autoSpaceDE w:val="0"/>
              <w:autoSpaceDN w:val="0"/>
              <w:jc w:val="left"/>
              <w:rPr>
                <w:rFonts w:ascii="宋体"/>
                <w:kern w:val="0"/>
                <w:sz w:val="18"/>
                <w:szCs w:val="18"/>
              </w:rPr>
            </w:pPr>
            <w:r>
              <w:rPr>
                <w:rFonts w:ascii="宋体"/>
                <w:kern w:val="0"/>
                <w:sz w:val="18"/>
                <w:szCs w:val="18"/>
              </w:rPr>
              <w:t>第三方检验报告及相关证明材料</w:t>
            </w:r>
          </w:p>
        </w:tc>
      </w:tr>
    </w:tbl>
    <w:p w14:paraId="4D6D52F6">
      <w:pPr>
        <w:numPr>
          <w:ilvl w:val="0"/>
          <w:numId w:val="17"/>
        </w:numPr>
        <w:spacing w:before="156" w:beforeLines="50" w:after="156" w:afterLines="50"/>
        <w:jc w:val="center"/>
      </w:pPr>
      <w:r>
        <w:rPr>
          <w:rFonts w:hint="eastAsia" w:eastAsia="黑体"/>
        </w:rPr>
        <w:t>智能电网建设运营领域绿色低碳产业企业认定综合</w:t>
      </w:r>
      <w:r>
        <w:rPr>
          <w:rFonts w:eastAsia="黑体"/>
        </w:rPr>
        <w:t>评价证明材料</w:t>
      </w:r>
    </w:p>
    <w:tbl>
      <w:tblPr>
        <w:tblStyle w:val="36"/>
        <w:tblW w:w="9570" w:type="dxa"/>
        <w:jc w:val="center"/>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Layout w:type="fixed"/>
        <w:tblCellMar>
          <w:top w:w="0" w:type="dxa"/>
          <w:left w:w="108" w:type="dxa"/>
          <w:bottom w:w="0" w:type="dxa"/>
          <w:right w:w="108" w:type="dxa"/>
        </w:tblCellMar>
      </w:tblPr>
      <w:tblGrid>
        <w:gridCol w:w="1352"/>
        <w:gridCol w:w="1610"/>
        <w:gridCol w:w="1843"/>
        <w:gridCol w:w="4765"/>
      </w:tblGrid>
      <w:tr w14:paraId="3DE5B44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jc w:val="center"/>
        </w:trPr>
        <w:tc>
          <w:tcPr>
            <w:tcW w:w="1352" w:type="dxa"/>
            <w:tcBorders>
              <w:top w:val="single" w:color="000000" w:sz="12" w:space="0"/>
              <w:bottom w:val="single" w:color="000000" w:sz="12" w:space="0"/>
            </w:tcBorders>
            <w:vAlign w:val="center"/>
          </w:tcPr>
          <w:p w14:paraId="76148074">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一级指标</w:t>
            </w:r>
          </w:p>
        </w:tc>
        <w:tc>
          <w:tcPr>
            <w:tcW w:w="1610" w:type="dxa"/>
            <w:tcBorders>
              <w:top w:val="single" w:color="000000" w:sz="12" w:space="0"/>
              <w:bottom w:val="single" w:color="000000" w:sz="12" w:space="0"/>
            </w:tcBorders>
            <w:vAlign w:val="center"/>
          </w:tcPr>
          <w:p w14:paraId="0B90E139">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二级指标</w:t>
            </w:r>
          </w:p>
        </w:tc>
        <w:tc>
          <w:tcPr>
            <w:tcW w:w="1843" w:type="dxa"/>
            <w:tcBorders>
              <w:top w:val="single" w:color="000000" w:sz="12" w:space="0"/>
              <w:bottom w:val="single" w:color="000000" w:sz="12" w:space="0"/>
            </w:tcBorders>
            <w:vAlign w:val="center"/>
          </w:tcPr>
          <w:p w14:paraId="501CFD94">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三级指标</w:t>
            </w:r>
          </w:p>
        </w:tc>
        <w:tc>
          <w:tcPr>
            <w:tcW w:w="4765" w:type="dxa"/>
            <w:tcBorders>
              <w:top w:val="single" w:color="000000" w:sz="12" w:space="0"/>
              <w:bottom w:val="single" w:color="000000" w:sz="12" w:space="0"/>
            </w:tcBorders>
            <w:vAlign w:val="center"/>
          </w:tcPr>
          <w:p w14:paraId="0339079D">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证明材料</w:t>
            </w:r>
          </w:p>
        </w:tc>
      </w:tr>
      <w:tr w14:paraId="52CE150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jc w:val="center"/>
        </w:trPr>
        <w:tc>
          <w:tcPr>
            <w:tcW w:w="1352" w:type="dxa"/>
            <w:vMerge w:val="restart"/>
            <w:tcBorders>
              <w:top w:val="single" w:color="000000" w:sz="12" w:space="0"/>
              <w:bottom w:val="single" w:color="000000" w:sz="4" w:space="0"/>
            </w:tcBorders>
            <w:vAlign w:val="center"/>
          </w:tcPr>
          <w:p w14:paraId="3041E203">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技术表现</w:t>
            </w:r>
          </w:p>
        </w:tc>
        <w:tc>
          <w:tcPr>
            <w:tcW w:w="1610" w:type="dxa"/>
            <w:vMerge w:val="restart"/>
            <w:tcBorders>
              <w:top w:val="single" w:color="000000" w:sz="12" w:space="0"/>
              <w:bottom w:val="single" w:color="000000" w:sz="4" w:space="0"/>
            </w:tcBorders>
            <w:vAlign w:val="center"/>
          </w:tcPr>
          <w:p w14:paraId="6A884BE1">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先进性</w:t>
            </w:r>
          </w:p>
        </w:tc>
        <w:tc>
          <w:tcPr>
            <w:tcW w:w="1843" w:type="dxa"/>
            <w:tcBorders>
              <w:top w:val="single" w:color="000000" w:sz="12" w:space="0"/>
              <w:bottom w:val="single" w:color="000000" w:sz="4" w:space="0"/>
            </w:tcBorders>
            <w:vAlign w:val="center"/>
          </w:tcPr>
          <w:p w14:paraId="09D3D8D3">
            <w:pPr>
              <w:autoSpaceDE w:val="0"/>
              <w:autoSpaceDN w:val="0"/>
              <w:jc w:val="center"/>
              <w:rPr>
                <w:rFonts w:ascii="宋体"/>
                <w:sz w:val="18"/>
                <w:szCs w:val="18"/>
              </w:rPr>
            </w:pPr>
            <w:r>
              <w:rPr>
                <w:rFonts w:ascii="宋体"/>
                <w:sz w:val="18"/>
                <w:szCs w:val="18"/>
              </w:rPr>
              <w:t>有效知识产权</w:t>
            </w:r>
          </w:p>
        </w:tc>
        <w:tc>
          <w:tcPr>
            <w:tcW w:w="4765" w:type="dxa"/>
            <w:tcBorders>
              <w:top w:val="single" w:color="000000" w:sz="12" w:space="0"/>
              <w:bottom w:val="single" w:color="000000" w:sz="4" w:space="0"/>
            </w:tcBorders>
            <w:vAlign w:val="center"/>
          </w:tcPr>
          <w:p w14:paraId="1F31C137">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相关知识产权证明</w:t>
            </w:r>
          </w:p>
        </w:tc>
      </w:tr>
      <w:tr w14:paraId="446A432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jc w:val="center"/>
        </w:trPr>
        <w:tc>
          <w:tcPr>
            <w:tcW w:w="1352" w:type="dxa"/>
            <w:vMerge w:val="continue"/>
            <w:tcBorders>
              <w:top w:val="single" w:color="000000" w:sz="4" w:space="0"/>
              <w:bottom w:val="single" w:color="000000" w:sz="4" w:space="0"/>
            </w:tcBorders>
            <w:vAlign w:val="center"/>
          </w:tcPr>
          <w:p w14:paraId="470A64CC">
            <w:pPr>
              <w:widowControl/>
              <w:tabs>
                <w:tab w:val="center" w:pos="4201"/>
                <w:tab w:val="right" w:leader="dot" w:pos="9298"/>
              </w:tabs>
              <w:autoSpaceDE w:val="0"/>
              <w:autoSpaceDN w:val="0"/>
              <w:jc w:val="center"/>
              <w:rPr>
                <w:rFonts w:ascii="宋体"/>
                <w:kern w:val="0"/>
                <w:sz w:val="18"/>
                <w:szCs w:val="18"/>
              </w:rPr>
            </w:pPr>
          </w:p>
        </w:tc>
        <w:tc>
          <w:tcPr>
            <w:tcW w:w="1610" w:type="dxa"/>
            <w:vMerge w:val="continue"/>
            <w:tcBorders>
              <w:top w:val="single" w:color="000000" w:sz="4" w:space="0"/>
              <w:bottom w:val="single" w:color="000000" w:sz="4" w:space="0"/>
            </w:tcBorders>
            <w:vAlign w:val="center"/>
          </w:tcPr>
          <w:p w14:paraId="74C9AE1D">
            <w:pPr>
              <w:widowControl/>
              <w:tabs>
                <w:tab w:val="center" w:pos="4201"/>
                <w:tab w:val="right" w:leader="dot" w:pos="9298"/>
              </w:tabs>
              <w:autoSpaceDE w:val="0"/>
              <w:autoSpaceDN w:val="0"/>
              <w:jc w:val="center"/>
              <w:rPr>
                <w:rFonts w:ascii="宋体"/>
                <w:kern w:val="0"/>
                <w:sz w:val="18"/>
                <w:szCs w:val="18"/>
              </w:rPr>
            </w:pPr>
          </w:p>
        </w:tc>
        <w:tc>
          <w:tcPr>
            <w:tcW w:w="1843" w:type="dxa"/>
            <w:tcBorders>
              <w:top w:val="single" w:color="000000" w:sz="4" w:space="0"/>
              <w:bottom w:val="single" w:color="000000" w:sz="4" w:space="0"/>
            </w:tcBorders>
            <w:vAlign w:val="center"/>
          </w:tcPr>
          <w:p w14:paraId="78297DBA">
            <w:pPr>
              <w:autoSpaceDE w:val="0"/>
              <w:autoSpaceDN w:val="0"/>
              <w:jc w:val="center"/>
              <w:rPr>
                <w:rFonts w:ascii="宋体"/>
                <w:sz w:val="18"/>
                <w:szCs w:val="18"/>
              </w:rPr>
            </w:pPr>
            <w:r>
              <w:rPr>
                <w:rFonts w:ascii="宋体"/>
                <w:sz w:val="18"/>
                <w:szCs w:val="18"/>
              </w:rPr>
              <w:t>制修订标准</w:t>
            </w:r>
          </w:p>
        </w:tc>
        <w:tc>
          <w:tcPr>
            <w:tcW w:w="4765" w:type="dxa"/>
            <w:tcBorders>
              <w:top w:val="single" w:color="000000" w:sz="4" w:space="0"/>
              <w:bottom w:val="single" w:color="000000" w:sz="4" w:space="0"/>
            </w:tcBorders>
            <w:vAlign w:val="center"/>
          </w:tcPr>
          <w:p w14:paraId="6AC937B0">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相关</w:t>
            </w:r>
            <w:r>
              <w:rPr>
                <w:rFonts w:hint="eastAsia" w:ascii="宋体"/>
                <w:kern w:val="0"/>
                <w:sz w:val="18"/>
                <w:szCs w:val="18"/>
              </w:rPr>
              <w:t>标准材料</w:t>
            </w:r>
            <w:r>
              <w:rPr>
                <w:rFonts w:ascii="宋体"/>
                <w:kern w:val="0"/>
                <w:sz w:val="18"/>
                <w:szCs w:val="18"/>
              </w:rPr>
              <w:t>证明</w:t>
            </w:r>
          </w:p>
        </w:tc>
      </w:tr>
      <w:tr w14:paraId="6C08DA8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jc w:val="center"/>
        </w:trPr>
        <w:tc>
          <w:tcPr>
            <w:tcW w:w="1352" w:type="dxa"/>
            <w:vMerge w:val="continue"/>
            <w:tcBorders>
              <w:top w:val="single" w:color="000000" w:sz="4" w:space="0"/>
              <w:bottom w:val="single" w:color="000000" w:sz="4" w:space="0"/>
            </w:tcBorders>
            <w:vAlign w:val="center"/>
          </w:tcPr>
          <w:p w14:paraId="3B9F6F36">
            <w:pPr>
              <w:widowControl/>
              <w:tabs>
                <w:tab w:val="center" w:pos="4201"/>
                <w:tab w:val="right" w:leader="dot" w:pos="9298"/>
              </w:tabs>
              <w:autoSpaceDE w:val="0"/>
              <w:autoSpaceDN w:val="0"/>
              <w:jc w:val="center"/>
              <w:rPr>
                <w:rFonts w:ascii="宋体"/>
                <w:kern w:val="0"/>
                <w:sz w:val="18"/>
                <w:szCs w:val="18"/>
              </w:rPr>
            </w:pPr>
          </w:p>
        </w:tc>
        <w:tc>
          <w:tcPr>
            <w:tcW w:w="1610" w:type="dxa"/>
            <w:vMerge w:val="continue"/>
            <w:tcBorders>
              <w:top w:val="single" w:color="000000" w:sz="4" w:space="0"/>
              <w:bottom w:val="single" w:color="000000" w:sz="4" w:space="0"/>
            </w:tcBorders>
            <w:vAlign w:val="center"/>
          </w:tcPr>
          <w:p w14:paraId="6E7A32FF">
            <w:pPr>
              <w:widowControl/>
              <w:tabs>
                <w:tab w:val="center" w:pos="4201"/>
                <w:tab w:val="right" w:leader="dot" w:pos="9298"/>
              </w:tabs>
              <w:autoSpaceDE w:val="0"/>
              <w:autoSpaceDN w:val="0"/>
              <w:jc w:val="center"/>
              <w:rPr>
                <w:rFonts w:ascii="宋体"/>
                <w:kern w:val="0"/>
                <w:sz w:val="18"/>
                <w:szCs w:val="18"/>
              </w:rPr>
            </w:pPr>
          </w:p>
        </w:tc>
        <w:tc>
          <w:tcPr>
            <w:tcW w:w="1843" w:type="dxa"/>
            <w:tcBorders>
              <w:top w:val="single" w:color="000000" w:sz="4" w:space="0"/>
              <w:bottom w:val="single" w:color="000000" w:sz="4" w:space="0"/>
            </w:tcBorders>
            <w:vAlign w:val="center"/>
          </w:tcPr>
          <w:p w14:paraId="61034C4F">
            <w:pPr>
              <w:autoSpaceDE w:val="0"/>
              <w:autoSpaceDN w:val="0"/>
              <w:jc w:val="center"/>
              <w:rPr>
                <w:rFonts w:ascii="宋体"/>
                <w:sz w:val="18"/>
                <w:szCs w:val="18"/>
              </w:rPr>
            </w:pPr>
            <w:r>
              <w:rPr>
                <w:rFonts w:hint="eastAsia" w:ascii="宋体"/>
                <w:sz w:val="18"/>
                <w:szCs w:val="18"/>
              </w:rPr>
              <w:t>关键技术先进性</w:t>
            </w:r>
          </w:p>
        </w:tc>
        <w:tc>
          <w:tcPr>
            <w:tcW w:w="4765" w:type="dxa"/>
            <w:tcBorders>
              <w:top w:val="single" w:color="000000" w:sz="4" w:space="0"/>
              <w:bottom w:val="single" w:color="000000" w:sz="4" w:space="0"/>
            </w:tcBorders>
            <w:vAlign w:val="center"/>
          </w:tcPr>
          <w:p w14:paraId="56934D49">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第三方检验报告</w:t>
            </w:r>
            <w:r>
              <w:rPr>
                <w:rFonts w:hint="eastAsia" w:ascii="宋体"/>
                <w:kern w:val="0"/>
                <w:sz w:val="18"/>
                <w:szCs w:val="18"/>
              </w:rPr>
              <w:t>/企业相关自证材料</w:t>
            </w:r>
            <w:r>
              <w:rPr>
                <w:rFonts w:hint="eastAsia" w:ascii="宋体"/>
                <w:kern w:val="0"/>
                <w:sz w:val="18"/>
                <w:szCs w:val="18"/>
                <w:vertAlign w:val="superscript"/>
              </w:rPr>
              <w:t>a</w:t>
            </w:r>
          </w:p>
        </w:tc>
      </w:tr>
      <w:tr w14:paraId="02002FB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jc w:val="center"/>
        </w:trPr>
        <w:tc>
          <w:tcPr>
            <w:tcW w:w="1352" w:type="dxa"/>
            <w:vMerge w:val="continue"/>
            <w:tcBorders>
              <w:top w:val="single" w:color="000000" w:sz="4" w:space="0"/>
              <w:bottom w:val="single" w:color="000000" w:sz="4" w:space="0"/>
            </w:tcBorders>
            <w:vAlign w:val="center"/>
          </w:tcPr>
          <w:p w14:paraId="2AB3AA22">
            <w:pPr>
              <w:widowControl/>
              <w:tabs>
                <w:tab w:val="center" w:pos="4201"/>
                <w:tab w:val="right" w:leader="dot" w:pos="9298"/>
              </w:tabs>
              <w:autoSpaceDE w:val="0"/>
              <w:autoSpaceDN w:val="0"/>
              <w:jc w:val="center"/>
              <w:rPr>
                <w:rFonts w:ascii="宋体"/>
                <w:kern w:val="0"/>
                <w:sz w:val="18"/>
                <w:szCs w:val="18"/>
              </w:rPr>
            </w:pPr>
          </w:p>
        </w:tc>
        <w:tc>
          <w:tcPr>
            <w:tcW w:w="3453" w:type="dxa"/>
            <w:gridSpan w:val="2"/>
            <w:tcBorders>
              <w:top w:val="single" w:color="000000" w:sz="4" w:space="0"/>
              <w:bottom w:val="single" w:color="000000" w:sz="4" w:space="0"/>
            </w:tcBorders>
            <w:vAlign w:val="center"/>
          </w:tcPr>
          <w:p w14:paraId="4992AC66">
            <w:pPr>
              <w:widowControl/>
              <w:tabs>
                <w:tab w:val="center" w:pos="4201"/>
                <w:tab w:val="right" w:leader="dot" w:pos="9298"/>
              </w:tabs>
              <w:autoSpaceDE w:val="0"/>
              <w:autoSpaceDN w:val="0"/>
              <w:jc w:val="center"/>
              <w:rPr>
                <w:rFonts w:ascii="宋体"/>
                <w:sz w:val="18"/>
                <w:szCs w:val="18"/>
              </w:rPr>
            </w:pPr>
            <w:r>
              <w:rPr>
                <w:rFonts w:ascii="宋体"/>
                <w:kern w:val="0"/>
                <w:sz w:val="18"/>
                <w:szCs w:val="18"/>
              </w:rPr>
              <w:t>环境效益</w:t>
            </w:r>
          </w:p>
        </w:tc>
        <w:tc>
          <w:tcPr>
            <w:tcW w:w="4765" w:type="dxa"/>
            <w:tcBorders>
              <w:top w:val="single" w:color="000000" w:sz="4" w:space="0"/>
              <w:bottom w:val="single" w:color="000000" w:sz="4" w:space="0"/>
            </w:tcBorders>
            <w:vAlign w:val="center"/>
          </w:tcPr>
          <w:p w14:paraId="1AEC9AED">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r>
              <w:rPr>
                <w:rFonts w:hint="eastAsia" w:ascii="宋体"/>
                <w:kern w:val="0"/>
                <w:sz w:val="18"/>
                <w:szCs w:val="18"/>
                <w:vertAlign w:val="superscript"/>
              </w:rPr>
              <w:t>b</w:t>
            </w:r>
          </w:p>
        </w:tc>
      </w:tr>
      <w:tr w14:paraId="5A26D0D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jc w:val="center"/>
        </w:trPr>
        <w:tc>
          <w:tcPr>
            <w:tcW w:w="1352" w:type="dxa"/>
            <w:vMerge w:val="restart"/>
            <w:tcBorders>
              <w:top w:val="single" w:color="000000" w:sz="4" w:space="0"/>
            </w:tcBorders>
            <w:vAlign w:val="center"/>
          </w:tcPr>
          <w:p w14:paraId="5C337378">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业务表现</w:t>
            </w:r>
          </w:p>
        </w:tc>
        <w:tc>
          <w:tcPr>
            <w:tcW w:w="1610" w:type="dxa"/>
            <w:vMerge w:val="restart"/>
            <w:tcBorders>
              <w:top w:val="single" w:color="000000" w:sz="4" w:space="0"/>
            </w:tcBorders>
            <w:vAlign w:val="center"/>
          </w:tcPr>
          <w:p w14:paraId="3CE1A354">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发展能力</w:t>
            </w:r>
          </w:p>
        </w:tc>
        <w:tc>
          <w:tcPr>
            <w:tcW w:w="1843" w:type="dxa"/>
            <w:tcBorders>
              <w:top w:val="single" w:color="000000" w:sz="4" w:space="0"/>
              <w:bottom w:val="single" w:color="000000" w:sz="4" w:space="0"/>
            </w:tcBorders>
            <w:vAlign w:val="center"/>
          </w:tcPr>
          <w:p w14:paraId="3743AB1A">
            <w:pPr>
              <w:autoSpaceDE w:val="0"/>
              <w:autoSpaceDN w:val="0"/>
              <w:jc w:val="center"/>
              <w:rPr>
                <w:rFonts w:ascii="宋体"/>
                <w:sz w:val="18"/>
                <w:szCs w:val="18"/>
              </w:rPr>
            </w:pPr>
            <w:r>
              <w:rPr>
                <w:rFonts w:ascii="宋体"/>
                <w:sz w:val="18"/>
                <w:szCs w:val="18"/>
              </w:rPr>
              <w:t>团队技术实力</w:t>
            </w:r>
          </w:p>
        </w:tc>
        <w:tc>
          <w:tcPr>
            <w:tcW w:w="4765" w:type="dxa"/>
            <w:tcBorders>
              <w:top w:val="single" w:color="000000" w:sz="4" w:space="0"/>
              <w:bottom w:val="single" w:color="000000" w:sz="4" w:space="0"/>
            </w:tcBorders>
            <w:vAlign w:val="center"/>
          </w:tcPr>
          <w:p w14:paraId="3A07D944">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合同</w:t>
            </w:r>
            <w:r>
              <w:rPr>
                <w:rFonts w:hint="eastAsia" w:ascii="宋体"/>
                <w:kern w:val="0"/>
                <w:sz w:val="18"/>
                <w:szCs w:val="18"/>
              </w:rPr>
              <w:t>、学历职称证书</w:t>
            </w:r>
            <w:r>
              <w:rPr>
                <w:rFonts w:ascii="宋体"/>
                <w:kern w:val="0"/>
                <w:sz w:val="18"/>
                <w:szCs w:val="18"/>
              </w:rPr>
              <w:t>及社保等相关材料</w:t>
            </w:r>
          </w:p>
        </w:tc>
      </w:tr>
      <w:tr w14:paraId="2CB1C30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jc w:val="center"/>
        </w:trPr>
        <w:tc>
          <w:tcPr>
            <w:tcW w:w="1352" w:type="dxa"/>
            <w:vMerge w:val="continue"/>
            <w:vAlign w:val="center"/>
          </w:tcPr>
          <w:p w14:paraId="1E274285">
            <w:pPr>
              <w:widowControl/>
              <w:tabs>
                <w:tab w:val="center" w:pos="4201"/>
                <w:tab w:val="right" w:leader="dot" w:pos="9298"/>
              </w:tabs>
              <w:autoSpaceDE w:val="0"/>
              <w:autoSpaceDN w:val="0"/>
              <w:jc w:val="center"/>
              <w:rPr>
                <w:rFonts w:ascii="宋体"/>
                <w:kern w:val="0"/>
                <w:sz w:val="18"/>
                <w:szCs w:val="18"/>
              </w:rPr>
            </w:pPr>
          </w:p>
        </w:tc>
        <w:tc>
          <w:tcPr>
            <w:tcW w:w="1610" w:type="dxa"/>
            <w:vMerge w:val="continue"/>
            <w:vAlign w:val="center"/>
          </w:tcPr>
          <w:p w14:paraId="632F9D70">
            <w:pPr>
              <w:widowControl/>
              <w:tabs>
                <w:tab w:val="center" w:pos="4201"/>
                <w:tab w:val="right" w:leader="dot" w:pos="9298"/>
              </w:tabs>
              <w:autoSpaceDE w:val="0"/>
              <w:autoSpaceDN w:val="0"/>
              <w:jc w:val="center"/>
              <w:rPr>
                <w:rFonts w:ascii="宋体"/>
                <w:kern w:val="0"/>
                <w:sz w:val="18"/>
                <w:szCs w:val="18"/>
              </w:rPr>
            </w:pPr>
          </w:p>
        </w:tc>
        <w:tc>
          <w:tcPr>
            <w:tcW w:w="1843" w:type="dxa"/>
            <w:tcBorders>
              <w:top w:val="single" w:color="000000" w:sz="4" w:space="0"/>
              <w:bottom w:val="single" w:color="000000" w:sz="4" w:space="0"/>
            </w:tcBorders>
            <w:vAlign w:val="center"/>
          </w:tcPr>
          <w:p w14:paraId="34B7C993">
            <w:pPr>
              <w:autoSpaceDE w:val="0"/>
              <w:autoSpaceDN w:val="0"/>
              <w:jc w:val="center"/>
              <w:rPr>
                <w:rFonts w:ascii="宋体"/>
                <w:sz w:val="18"/>
                <w:szCs w:val="18"/>
              </w:rPr>
            </w:pPr>
            <w:r>
              <w:rPr>
                <w:rFonts w:hint="eastAsia" w:ascii="宋体"/>
                <w:sz w:val="18"/>
                <w:szCs w:val="18"/>
              </w:rPr>
              <w:t>研发投入</w:t>
            </w:r>
          </w:p>
        </w:tc>
        <w:tc>
          <w:tcPr>
            <w:tcW w:w="4765" w:type="dxa"/>
            <w:tcBorders>
              <w:top w:val="single" w:color="000000" w:sz="4" w:space="0"/>
              <w:bottom w:val="single" w:color="000000" w:sz="4" w:space="0"/>
            </w:tcBorders>
            <w:vAlign w:val="center"/>
          </w:tcPr>
          <w:p w14:paraId="09BCD7DC">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专项审计或鉴证报告</w:t>
            </w:r>
            <w:r>
              <w:rPr>
                <w:rFonts w:hint="eastAsia" w:ascii="宋体"/>
                <w:kern w:val="0"/>
                <w:sz w:val="18"/>
                <w:szCs w:val="18"/>
                <w:vertAlign w:val="superscript"/>
              </w:rPr>
              <w:t>c</w:t>
            </w:r>
          </w:p>
        </w:tc>
      </w:tr>
      <w:tr w14:paraId="50FDC6A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jc w:val="center"/>
        </w:trPr>
        <w:tc>
          <w:tcPr>
            <w:tcW w:w="1352" w:type="dxa"/>
            <w:vMerge w:val="continue"/>
            <w:tcBorders>
              <w:bottom w:val="single" w:color="000000" w:sz="12" w:space="0"/>
            </w:tcBorders>
            <w:vAlign w:val="center"/>
          </w:tcPr>
          <w:p w14:paraId="3A93AE8C">
            <w:pPr>
              <w:widowControl/>
              <w:tabs>
                <w:tab w:val="center" w:pos="4201"/>
                <w:tab w:val="right" w:leader="dot" w:pos="9298"/>
              </w:tabs>
              <w:autoSpaceDE w:val="0"/>
              <w:autoSpaceDN w:val="0"/>
              <w:jc w:val="center"/>
              <w:rPr>
                <w:rFonts w:ascii="宋体"/>
                <w:kern w:val="0"/>
                <w:sz w:val="18"/>
                <w:szCs w:val="18"/>
              </w:rPr>
            </w:pPr>
          </w:p>
        </w:tc>
        <w:tc>
          <w:tcPr>
            <w:tcW w:w="1610" w:type="dxa"/>
            <w:vMerge w:val="continue"/>
            <w:tcBorders>
              <w:bottom w:val="single" w:color="000000" w:sz="12" w:space="0"/>
            </w:tcBorders>
            <w:vAlign w:val="center"/>
          </w:tcPr>
          <w:p w14:paraId="4E9C03E1">
            <w:pPr>
              <w:widowControl/>
              <w:tabs>
                <w:tab w:val="center" w:pos="4201"/>
                <w:tab w:val="right" w:leader="dot" w:pos="9298"/>
              </w:tabs>
              <w:autoSpaceDE w:val="0"/>
              <w:autoSpaceDN w:val="0"/>
              <w:jc w:val="center"/>
              <w:rPr>
                <w:rFonts w:ascii="宋体"/>
                <w:kern w:val="0"/>
                <w:sz w:val="18"/>
                <w:szCs w:val="18"/>
              </w:rPr>
            </w:pPr>
          </w:p>
        </w:tc>
        <w:tc>
          <w:tcPr>
            <w:tcW w:w="1843" w:type="dxa"/>
            <w:tcBorders>
              <w:top w:val="single" w:color="000000" w:sz="4" w:space="0"/>
              <w:bottom w:val="single" w:color="000000" w:sz="12" w:space="0"/>
            </w:tcBorders>
            <w:vAlign w:val="center"/>
          </w:tcPr>
          <w:p w14:paraId="524DB278">
            <w:pPr>
              <w:autoSpaceDE w:val="0"/>
              <w:autoSpaceDN w:val="0"/>
              <w:jc w:val="center"/>
              <w:rPr>
                <w:rFonts w:ascii="宋体"/>
                <w:sz w:val="18"/>
                <w:szCs w:val="18"/>
              </w:rPr>
            </w:pPr>
            <w:r>
              <w:rPr>
                <w:rFonts w:hint="eastAsia" w:ascii="宋体"/>
                <w:sz w:val="18"/>
                <w:szCs w:val="18"/>
              </w:rPr>
              <w:t>运营效益水平</w:t>
            </w:r>
          </w:p>
        </w:tc>
        <w:tc>
          <w:tcPr>
            <w:tcW w:w="4765" w:type="dxa"/>
            <w:tcBorders>
              <w:top w:val="single" w:color="000000" w:sz="4" w:space="0"/>
              <w:bottom w:val="single" w:color="000000" w:sz="12" w:space="0"/>
            </w:tcBorders>
            <w:vAlign w:val="center"/>
          </w:tcPr>
          <w:p w14:paraId="09C4765F">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财务审计报告</w:t>
            </w:r>
            <w:r>
              <w:rPr>
                <w:rFonts w:hint="eastAsia" w:ascii="宋体"/>
                <w:kern w:val="0"/>
                <w:sz w:val="18"/>
                <w:szCs w:val="18"/>
                <w:vertAlign w:val="superscript"/>
              </w:rPr>
              <w:t>d</w:t>
            </w:r>
          </w:p>
        </w:tc>
      </w:tr>
    </w:tbl>
    <w:p w14:paraId="32BA8142">
      <w:pPr>
        <w:spacing w:before="156" w:beforeLines="50" w:after="156" w:afterLines="50"/>
        <w:jc w:val="center"/>
        <w:rPr>
          <w:rFonts w:ascii="黑体" w:hAnsi="黑体" w:eastAsia="黑体"/>
        </w:rPr>
      </w:pPr>
      <w:r>
        <w:rPr>
          <w:rFonts w:hint="eastAsia" w:ascii="黑体" w:hAnsi="黑体" w:eastAsia="黑体"/>
        </w:rPr>
        <w:t>表2</w:t>
      </w:r>
      <w:r>
        <w:rPr>
          <w:rFonts w:ascii="黑体" w:hAnsi="黑体" w:eastAsia="黑体"/>
        </w:rPr>
        <w:t xml:space="preserve">5 </w:t>
      </w:r>
      <w:r>
        <w:rPr>
          <w:rFonts w:hint="eastAsia" w:ascii="黑体" w:hAnsi="黑体" w:eastAsia="黑体"/>
        </w:rPr>
        <w:t>智能电网建设运营领域绿色低碳产业企业认定综合</w:t>
      </w:r>
      <w:r>
        <w:rPr>
          <w:rFonts w:ascii="黑体" w:hAnsi="黑体" w:eastAsia="黑体"/>
        </w:rPr>
        <w:t>评价证明材料</w:t>
      </w:r>
      <w:r>
        <w:rPr>
          <w:rFonts w:hint="eastAsia" w:ascii="黑体" w:hAnsi="黑体" w:eastAsia="黑体"/>
        </w:rPr>
        <w:t>（续）</w:t>
      </w:r>
    </w:p>
    <w:tbl>
      <w:tblPr>
        <w:tblStyle w:val="36"/>
        <w:tblW w:w="9570" w:type="dxa"/>
        <w:jc w:val="center"/>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Layout w:type="fixed"/>
        <w:tblCellMar>
          <w:top w:w="0" w:type="dxa"/>
          <w:left w:w="108" w:type="dxa"/>
          <w:bottom w:w="0" w:type="dxa"/>
          <w:right w:w="108" w:type="dxa"/>
        </w:tblCellMar>
      </w:tblPr>
      <w:tblGrid>
        <w:gridCol w:w="1352"/>
        <w:gridCol w:w="1610"/>
        <w:gridCol w:w="1843"/>
        <w:gridCol w:w="4765"/>
      </w:tblGrid>
      <w:tr w14:paraId="4E7926D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jc w:val="center"/>
        </w:trPr>
        <w:tc>
          <w:tcPr>
            <w:tcW w:w="1352" w:type="dxa"/>
            <w:tcBorders>
              <w:top w:val="single" w:color="000000" w:sz="12" w:space="0"/>
              <w:bottom w:val="single" w:color="000000" w:sz="12" w:space="0"/>
            </w:tcBorders>
            <w:vAlign w:val="center"/>
          </w:tcPr>
          <w:p w14:paraId="37FD883C">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一级指标</w:t>
            </w:r>
          </w:p>
        </w:tc>
        <w:tc>
          <w:tcPr>
            <w:tcW w:w="1610" w:type="dxa"/>
            <w:tcBorders>
              <w:top w:val="single" w:color="000000" w:sz="12" w:space="0"/>
              <w:bottom w:val="single" w:color="000000" w:sz="12" w:space="0"/>
            </w:tcBorders>
            <w:vAlign w:val="center"/>
          </w:tcPr>
          <w:p w14:paraId="146035AC">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二级指标</w:t>
            </w:r>
          </w:p>
        </w:tc>
        <w:tc>
          <w:tcPr>
            <w:tcW w:w="1843" w:type="dxa"/>
            <w:tcBorders>
              <w:top w:val="single" w:color="000000" w:sz="12" w:space="0"/>
              <w:bottom w:val="single" w:color="000000" w:sz="12" w:space="0"/>
            </w:tcBorders>
            <w:vAlign w:val="center"/>
          </w:tcPr>
          <w:p w14:paraId="49F7D316">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三级指标</w:t>
            </w:r>
          </w:p>
        </w:tc>
        <w:tc>
          <w:tcPr>
            <w:tcW w:w="4765" w:type="dxa"/>
            <w:tcBorders>
              <w:top w:val="single" w:color="000000" w:sz="12" w:space="0"/>
              <w:bottom w:val="single" w:color="000000" w:sz="12" w:space="0"/>
            </w:tcBorders>
            <w:vAlign w:val="center"/>
          </w:tcPr>
          <w:p w14:paraId="4369D765">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证明材料</w:t>
            </w:r>
          </w:p>
        </w:tc>
      </w:tr>
      <w:tr w14:paraId="28ABEED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jc w:val="center"/>
        </w:trPr>
        <w:tc>
          <w:tcPr>
            <w:tcW w:w="1352" w:type="dxa"/>
            <w:vMerge w:val="restart"/>
            <w:tcBorders>
              <w:top w:val="single" w:color="000000" w:sz="12" w:space="0"/>
            </w:tcBorders>
            <w:vAlign w:val="center"/>
          </w:tcPr>
          <w:p w14:paraId="18D2F3B3">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业务表现</w:t>
            </w:r>
          </w:p>
        </w:tc>
        <w:tc>
          <w:tcPr>
            <w:tcW w:w="1610" w:type="dxa"/>
            <w:vMerge w:val="restart"/>
            <w:tcBorders>
              <w:top w:val="single" w:color="000000" w:sz="12" w:space="0"/>
            </w:tcBorders>
            <w:vAlign w:val="center"/>
          </w:tcPr>
          <w:p w14:paraId="6FDBD059">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市场影响</w:t>
            </w:r>
          </w:p>
        </w:tc>
        <w:tc>
          <w:tcPr>
            <w:tcW w:w="1843" w:type="dxa"/>
            <w:tcBorders>
              <w:top w:val="single" w:color="000000" w:sz="12" w:space="0"/>
              <w:bottom w:val="single" w:color="000000" w:sz="4" w:space="0"/>
            </w:tcBorders>
            <w:vAlign w:val="center"/>
          </w:tcPr>
          <w:p w14:paraId="5ED4DA9F">
            <w:pPr>
              <w:autoSpaceDE w:val="0"/>
              <w:autoSpaceDN w:val="0"/>
              <w:jc w:val="center"/>
              <w:rPr>
                <w:rFonts w:ascii="宋体"/>
                <w:sz w:val="18"/>
                <w:szCs w:val="18"/>
              </w:rPr>
            </w:pPr>
            <w:r>
              <w:rPr>
                <w:rFonts w:ascii="宋体"/>
                <w:sz w:val="18"/>
                <w:szCs w:val="18"/>
              </w:rPr>
              <w:t>市场竞争力</w:t>
            </w:r>
          </w:p>
        </w:tc>
        <w:tc>
          <w:tcPr>
            <w:tcW w:w="4765" w:type="dxa"/>
            <w:tcBorders>
              <w:top w:val="single" w:color="000000" w:sz="12" w:space="0"/>
              <w:bottom w:val="single" w:color="000000" w:sz="4" w:space="0"/>
            </w:tcBorders>
            <w:vAlign w:val="center"/>
          </w:tcPr>
          <w:p w14:paraId="26D3DC02">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14:paraId="6B4EF6D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jc w:val="center"/>
        </w:trPr>
        <w:tc>
          <w:tcPr>
            <w:tcW w:w="1352" w:type="dxa"/>
            <w:vMerge w:val="continue"/>
            <w:vAlign w:val="center"/>
          </w:tcPr>
          <w:p w14:paraId="66F5F409">
            <w:pPr>
              <w:widowControl/>
              <w:tabs>
                <w:tab w:val="center" w:pos="4201"/>
                <w:tab w:val="right" w:leader="dot" w:pos="9298"/>
              </w:tabs>
              <w:autoSpaceDE w:val="0"/>
              <w:autoSpaceDN w:val="0"/>
              <w:jc w:val="center"/>
              <w:rPr>
                <w:rFonts w:ascii="宋体"/>
                <w:kern w:val="0"/>
                <w:sz w:val="18"/>
                <w:szCs w:val="18"/>
              </w:rPr>
            </w:pPr>
          </w:p>
        </w:tc>
        <w:tc>
          <w:tcPr>
            <w:tcW w:w="1610" w:type="dxa"/>
            <w:vMerge w:val="continue"/>
            <w:vAlign w:val="center"/>
          </w:tcPr>
          <w:p w14:paraId="049FDFE1">
            <w:pPr>
              <w:widowControl/>
              <w:tabs>
                <w:tab w:val="center" w:pos="4201"/>
                <w:tab w:val="right" w:leader="dot" w:pos="9298"/>
              </w:tabs>
              <w:autoSpaceDE w:val="0"/>
              <w:autoSpaceDN w:val="0"/>
              <w:jc w:val="center"/>
              <w:rPr>
                <w:rFonts w:ascii="宋体"/>
                <w:kern w:val="0"/>
                <w:sz w:val="18"/>
                <w:szCs w:val="18"/>
              </w:rPr>
            </w:pPr>
          </w:p>
        </w:tc>
        <w:tc>
          <w:tcPr>
            <w:tcW w:w="1843" w:type="dxa"/>
            <w:tcBorders>
              <w:top w:val="single" w:color="000000" w:sz="4" w:space="0"/>
              <w:bottom w:val="single" w:color="000000" w:sz="4" w:space="0"/>
            </w:tcBorders>
            <w:vAlign w:val="center"/>
          </w:tcPr>
          <w:p w14:paraId="045C6FB7">
            <w:pPr>
              <w:autoSpaceDE w:val="0"/>
              <w:autoSpaceDN w:val="0"/>
              <w:jc w:val="center"/>
              <w:rPr>
                <w:rFonts w:ascii="宋体"/>
                <w:sz w:val="18"/>
                <w:szCs w:val="18"/>
              </w:rPr>
            </w:pPr>
            <w:r>
              <w:rPr>
                <w:rFonts w:ascii="宋体"/>
                <w:sz w:val="18"/>
                <w:szCs w:val="18"/>
              </w:rPr>
              <w:t>产业影响力</w:t>
            </w:r>
          </w:p>
        </w:tc>
        <w:tc>
          <w:tcPr>
            <w:tcW w:w="4765" w:type="dxa"/>
            <w:tcBorders>
              <w:top w:val="single" w:color="000000" w:sz="4" w:space="0"/>
              <w:bottom w:val="single" w:color="000000" w:sz="4" w:space="0"/>
            </w:tcBorders>
            <w:vAlign w:val="center"/>
          </w:tcPr>
          <w:p w14:paraId="69368310">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企业相关自证材料</w:t>
            </w:r>
          </w:p>
        </w:tc>
      </w:tr>
      <w:tr w14:paraId="0347732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jc w:val="center"/>
        </w:trPr>
        <w:tc>
          <w:tcPr>
            <w:tcW w:w="1352" w:type="dxa"/>
            <w:vMerge w:val="continue"/>
            <w:tcBorders>
              <w:bottom w:val="single" w:color="000000" w:sz="4" w:space="0"/>
            </w:tcBorders>
            <w:vAlign w:val="center"/>
          </w:tcPr>
          <w:p w14:paraId="4F619EBB">
            <w:pPr>
              <w:widowControl/>
              <w:tabs>
                <w:tab w:val="center" w:pos="4201"/>
                <w:tab w:val="right" w:leader="dot" w:pos="9298"/>
              </w:tabs>
              <w:autoSpaceDE w:val="0"/>
              <w:autoSpaceDN w:val="0"/>
              <w:jc w:val="center"/>
              <w:rPr>
                <w:rFonts w:ascii="宋体"/>
                <w:kern w:val="0"/>
                <w:sz w:val="18"/>
                <w:szCs w:val="18"/>
              </w:rPr>
            </w:pPr>
          </w:p>
        </w:tc>
        <w:tc>
          <w:tcPr>
            <w:tcW w:w="1610" w:type="dxa"/>
            <w:vMerge w:val="continue"/>
            <w:tcBorders>
              <w:bottom w:val="single" w:color="000000" w:sz="4" w:space="0"/>
            </w:tcBorders>
            <w:vAlign w:val="center"/>
          </w:tcPr>
          <w:p w14:paraId="6F133DFA">
            <w:pPr>
              <w:widowControl/>
              <w:tabs>
                <w:tab w:val="center" w:pos="4201"/>
                <w:tab w:val="right" w:leader="dot" w:pos="9298"/>
              </w:tabs>
              <w:autoSpaceDE w:val="0"/>
              <w:autoSpaceDN w:val="0"/>
              <w:jc w:val="center"/>
              <w:rPr>
                <w:rFonts w:ascii="宋体"/>
                <w:kern w:val="0"/>
                <w:sz w:val="18"/>
                <w:szCs w:val="18"/>
              </w:rPr>
            </w:pPr>
          </w:p>
        </w:tc>
        <w:tc>
          <w:tcPr>
            <w:tcW w:w="1843" w:type="dxa"/>
            <w:tcBorders>
              <w:top w:val="single" w:color="000000" w:sz="4" w:space="0"/>
              <w:bottom w:val="single" w:color="000000" w:sz="4" w:space="0"/>
            </w:tcBorders>
            <w:vAlign w:val="center"/>
          </w:tcPr>
          <w:p w14:paraId="503D9C0D">
            <w:pPr>
              <w:autoSpaceDE w:val="0"/>
              <w:autoSpaceDN w:val="0"/>
              <w:jc w:val="center"/>
              <w:rPr>
                <w:rFonts w:ascii="宋体"/>
                <w:sz w:val="18"/>
                <w:szCs w:val="18"/>
              </w:rPr>
            </w:pPr>
            <w:r>
              <w:rPr>
                <w:rFonts w:ascii="宋体"/>
                <w:sz w:val="18"/>
                <w:szCs w:val="18"/>
              </w:rPr>
              <w:t>行业资质荣誉</w:t>
            </w:r>
          </w:p>
        </w:tc>
        <w:tc>
          <w:tcPr>
            <w:tcW w:w="4765" w:type="dxa"/>
            <w:tcBorders>
              <w:top w:val="single" w:color="000000" w:sz="4" w:space="0"/>
              <w:bottom w:val="single" w:color="000000" w:sz="4" w:space="0"/>
            </w:tcBorders>
            <w:vAlign w:val="center"/>
          </w:tcPr>
          <w:p w14:paraId="66987EDB">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相关机构颁发的证明文件</w:t>
            </w:r>
          </w:p>
        </w:tc>
      </w:tr>
      <w:tr w14:paraId="17EDBEC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jc w:val="center"/>
        </w:trPr>
        <w:tc>
          <w:tcPr>
            <w:tcW w:w="1352" w:type="dxa"/>
            <w:vMerge w:val="restart"/>
            <w:tcBorders>
              <w:top w:val="single" w:color="000000" w:sz="4" w:space="0"/>
            </w:tcBorders>
            <w:vAlign w:val="center"/>
          </w:tcPr>
          <w:p w14:paraId="671844C0">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环境表现</w:t>
            </w:r>
          </w:p>
        </w:tc>
        <w:tc>
          <w:tcPr>
            <w:tcW w:w="3453" w:type="dxa"/>
            <w:gridSpan w:val="2"/>
            <w:tcBorders>
              <w:top w:val="single" w:color="000000" w:sz="4" w:space="0"/>
              <w:bottom w:val="single" w:color="000000" w:sz="4" w:space="0"/>
            </w:tcBorders>
            <w:vAlign w:val="center"/>
          </w:tcPr>
          <w:p w14:paraId="29126773">
            <w:pPr>
              <w:autoSpaceDE w:val="0"/>
              <w:autoSpaceDN w:val="0"/>
              <w:jc w:val="center"/>
              <w:rPr>
                <w:rFonts w:ascii="宋体"/>
                <w:sz w:val="18"/>
                <w:szCs w:val="18"/>
              </w:rPr>
            </w:pPr>
            <w:r>
              <w:rPr>
                <w:rFonts w:hint="eastAsia" w:ascii="宋体"/>
                <w:kern w:val="0"/>
                <w:sz w:val="18"/>
                <w:szCs w:val="18"/>
              </w:rPr>
              <w:t>温室气体排放水平</w:t>
            </w:r>
          </w:p>
        </w:tc>
        <w:tc>
          <w:tcPr>
            <w:tcW w:w="4765" w:type="dxa"/>
            <w:tcBorders>
              <w:top w:val="single" w:color="000000" w:sz="4" w:space="0"/>
              <w:bottom w:val="single" w:color="000000" w:sz="4" w:space="0"/>
            </w:tcBorders>
            <w:vAlign w:val="center"/>
          </w:tcPr>
          <w:p w14:paraId="42176E42">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温室气体核算</w:t>
            </w:r>
            <w:r>
              <w:rPr>
                <w:rFonts w:ascii="宋体"/>
                <w:kern w:val="0"/>
                <w:sz w:val="18"/>
                <w:szCs w:val="18"/>
              </w:rPr>
              <w:t>报告</w:t>
            </w:r>
            <w:r>
              <w:rPr>
                <w:rFonts w:hint="eastAsia" w:ascii="宋体"/>
                <w:kern w:val="0"/>
                <w:sz w:val="18"/>
                <w:szCs w:val="18"/>
                <w:vertAlign w:val="superscript"/>
              </w:rPr>
              <w:t>e</w:t>
            </w:r>
          </w:p>
        </w:tc>
      </w:tr>
      <w:tr w14:paraId="0F18073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jc w:val="center"/>
        </w:trPr>
        <w:tc>
          <w:tcPr>
            <w:tcW w:w="1352" w:type="dxa"/>
            <w:vMerge w:val="continue"/>
            <w:vAlign w:val="center"/>
          </w:tcPr>
          <w:p w14:paraId="16BBD7B8">
            <w:pPr>
              <w:widowControl/>
              <w:tabs>
                <w:tab w:val="center" w:pos="4201"/>
                <w:tab w:val="right" w:leader="dot" w:pos="9298"/>
              </w:tabs>
              <w:autoSpaceDE w:val="0"/>
              <w:autoSpaceDN w:val="0"/>
              <w:jc w:val="center"/>
              <w:rPr>
                <w:rFonts w:ascii="宋体"/>
                <w:kern w:val="0"/>
                <w:sz w:val="18"/>
                <w:szCs w:val="18"/>
              </w:rPr>
            </w:pPr>
          </w:p>
        </w:tc>
        <w:tc>
          <w:tcPr>
            <w:tcW w:w="3453" w:type="dxa"/>
            <w:gridSpan w:val="2"/>
            <w:tcBorders>
              <w:top w:val="single" w:color="000000" w:sz="4" w:space="0"/>
              <w:bottom w:val="single" w:color="000000" w:sz="4" w:space="0"/>
            </w:tcBorders>
            <w:vAlign w:val="center"/>
          </w:tcPr>
          <w:p w14:paraId="3F4F6D02">
            <w:pPr>
              <w:autoSpaceDE w:val="0"/>
              <w:autoSpaceDN w:val="0"/>
              <w:jc w:val="center"/>
              <w:rPr>
                <w:rFonts w:ascii="宋体"/>
                <w:kern w:val="0"/>
                <w:sz w:val="18"/>
                <w:szCs w:val="18"/>
              </w:rPr>
            </w:pPr>
            <w:r>
              <w:rPr>
                <w:rFonts w:hint="eastAsia" w:ascii="宋体"/>
                <w:kern w:val="0"/>
                <w:sz w:val="18"/>
                <w:szCs w:val="18"/>
              </w:rPr>
              <w:t>工艺</w:t>
            </w:r>
            <w:r>
              <w:rPr>
                <w:rFonts w:ascii="宋体"/>
                <w:kern w:val="0"/>
                <w:sz w:val="18"/>
                <w:szCs w:val="18"/>
              </w:rPr>
              <w:t>设备材料</w:t>
            </w:r>
          </w:p>
        </w:tc>
        <w:tc>
          <w:tcPr>
            <w:tcW w:w="4765" w:type="dxa"/>
            <w:tcBorders>
              <w:top w:val="single" w:color="000000" w:sz="4" w:space="0"/>
              <w:bottom w:val="single" w:color="000000" w:sz="4" w:space="0"/>
            </w:tcBorders>
            <w:vAlign w:val="center"/>
          </w:tcPr>
          <w:p w14:paraId="6515C449">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14:paraId="41E5415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jc w:val="center"/>
        </w:trPr>
        <w:tc>
          <w:tcPr>
            <w:tcW w:w="1352" w:type="dxa"/>
            <w:vMerge w:val="continue"/>
            <w:vAlign w:val="center"/>
          </w:tcPr>
          <w:p w14:paraId="27D911D6">
            <w:pPr>
              <w:widowControl/>
              <w:tabs>
                <w:tab w:val="center" w:pos="4201"/>
                <w:tab w:val="right" w:leader="dot" w:pos="9298"/>
              </w:tabs>
              <w:autoSpaceDE w:val="0"/>
              <w:autoSpaceDN w:val="0"/>
              <w:jc w:val="center"/>
              <w:rPr>
                <w:rFonts w:ascii="宋体"/>
                <w:kern w:val="0"/>
                <w:sz w:val="18"/>
                <w:szCs w:val="18"/>
              </w:rPr>
            </w:pPr>
          </w:p>
        </w:tc>
        <w:tc>
          <w:tcPr>
            <w:tcW w:w="3453" w:type="dxa"/>
            <w:gridSpan w:val="2"/>
            <w:tcBorders>
              <w:top w:val="single" w:color="000000" w:sz="4" w:space="0"/>
              <w:bottom w:val="single" w:color="000000" w:sz="4" w:space="0"/>
            </w:tcBorders>
            <w:vAlign w:val="center"/>
          </w:tcPr>
          <w:p w14:paraId="4D8DFE35">
            <w:pPr>
              <w:autoSpaceDE w:val="0"/>
              <w:autoSpaceDN w:val="0"/>
              <w:jc w:val="center"/>
              <w:rPr>
                <w:rFonts w:ascii="宋体"/>
                <w:sz w:val="18"/>
                <w:szCs w:val="18"/>
              </w:rPr>
            </w:pPr>
            <w:r>
              <w:rPr>
                <w:rFonts w:hint="eastAsia" w:ascii="宋体"/>
                <w:sz w:val="18"/>
                <w:szCs w:val="18"/>
              </w:rPr>
              <w:t>能源资源利用</w:t>
            </w:r>
          </w:p>
        </w:tc>
        <w:tc>
          <w:tcPr>
            <w:tcW w:w="4765" w:type="dxa"/>
            <w:tcBorders>
              <w:top w:val="single" w:color="000000" w:sz="4" w:space="0"/>
              <w:bottom w:val="single" w:color="000000" w:sz="4" w:space="0"/>
            </w:tcBorders>
            <w:vAlign w:val="center"/>
          </w:tcPr>
          <w:p w14:paraId="5B5E0B52">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r>
              <w:rPr>
                <w:rFonts w:hint="eastAsia" w:ascii="宋体"/>
                <w:kern w:val="0"/>
                <w:sz w:val="18"/>
                <w:szCs w:val="18"/>
              </w:rPr>
              <w:t>及</w:t>
            </w:r>
            <w:r>
              <w:rPr>
                <w:rFonts w:ascii="宋体"/>
                <w:kern w:val="0"/>
                <w:sz w:val="18"/>
                <w:szCs w:val="18"/>
              </w:rPr>
              <w:t>第三方检测</w:t>
            </w:r>
            <w:r>
              <w:rPr>
                <w:rFonts w:hint="eastAsia" w:ascii="宋体"/>
                <w:kern w:val="0"/>
                <w:sz w:val="18"/>
                <w:szCs w:val="18"/>
              </w:rPr>
              <w:t>/核查</w:t>
            </w:r>
            <w:r>
              <w:rPr>
                <w:rFonts w:ascii="宋体"/>
                <w:kern w:val="0"/>
                <w:sz w:val="18"/>
                <w:szCs w:val="18"/>
              </w:rPr>
              <w:t>机构相关报告</w:t>
            </w:r>
          </w:p>
        </w:tc>
      </w:tr>
      <w:tr w14:paraId="778D486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jc w:val="center"/>
        </w:trPr>
        <w:tc>
          <w:tcPr>
            <w:tcW w:w="1352" w:type="dxa"/>
            <w:vMerge w:val="continue"/>
            <w:tcBorders>
              <w:bottom w:val="single" w:color="000000" w:sz="4" w:space="0"/>
            </w:tcBorders>
            <w:vAlign w:val="center"/>
          </w:tcPr>
          <w:p w14:paraId="1308D724">
            <w:pPr>
              <w:widowControl/>
              <w:tabs>
                <w:tab w:val="center" w:pos="4201"/>
                <w:tab w:val="right" w:leader="dot" w:pos="9298"/>
              </w:tabs>
              <w:autoSpaceDE w:val="0"/>
              <w:autoSpaceDN w:val="0"/>
              <w:jc w:val="center"/>
              <w:rPr>
                <w:rFonts w:ascii="宋体"/>
                <w:kern w:val="0"/>
                <w:sz w:val="18"/>
                <w:szCs w:val="18"/>
              </w:rPr>
            </w:pPr>
          </w:p>
        </w:tc>
        <w:tc>
          <w:tcPr>
            <w:tcW w:w="3453" w:type="dxa"/>
            <w:gridSpan w:val="2"/>
            <w:tcBorders>
              <w:top w:val="single" w:color="000000" w:sz="4" w:space="0"/>
              <w:bottom w:val="single" w:color="000000" w:sz="4" w:space="0"/>
            </w:tcBorders>
            <w:vAlign w:val="center"/>
          </w:tcPr>
          <w:p w14:paraId="55323174">
            <w:pPr>
              <w:autoSpaceDE w:val="0"/>
              <w:autoSpaceDN w:val="0"/>
              <w:jc w:val="center"/>
              <w:rPr>
                <w:rFonts w:ascii="宋体"/>
                <w:sz w:val="18"/>
                <w:szCs w:val="18"/>
              </w:rPr>
            </w:pPr>
            <w:r>
              <w:rPr>
                <w:rFonts w:hint="eastAsia" w:ascii="宋体"/>
                <w:kern w:val="0"/>
                <w:sz w:val="18"/>
                <w:szCs w:val="18"/>
              </w:rPr>
              <w:t>污染物排放水平</w:t>
            </w:r>
          </w:p>
        </w:tc>
        <w:tc>
          <w:tcPr>
            <w:tcW w:w="4765" w:type="dxa"/>
            <w:tcBorders>
              <w:top w:val="single" w:color="000000" w:sz="4" w:space="0"/>
              <w:bottom w:val="single" w:color="000000" w:sz="4" w:space="0"/>
            </w:tcBorders>
            <w:vAlign w:val="center"/>
          </w:tcPr>
          <w:p w14:paraId="01A023E2">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全国污染源监测数据管理与共享系统平台的自行监测数据</w:t>
            </w:r>
          </w:p>
        </w:tc>
      </w:tr>
      <w:tr w14:paraId="187A36F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jc w:val="center"/>
        </w:trPr>
        <w:tc>
          <w:tcPr>
            <w:tcW w:w="1352" w:type="dxa"/>
            <w:vMerge w:val="restart"/>
            <w:tcBorders>
              <w:top w:val="single" w:color="000000" w:sz="4" w:space="0"/>
            </w:tcBorders>
            <w:vAlign w:val="center"/>
          </w:tcPr>
          <w:p w14:paraId="022067B4">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社会表现</w:t>
            </w:r>
          </w:p>
        </w:tc>
        <w:tc>
          <w:tcPr>
            <w:tcW w:w="3453" w:type="dxa"/>
            <w:gridSpan w:val="2"/>
            <w:tcBorders>
              <w:top w:val="single" w:color="000000" w:sz="4" w:space="0"/>
              <w:bottom w:val="single" w:color="000000" w:sz="4" w:space="0"/>
            </w:tcBorders>
            <w:vAlign w:val="center"/>
          </w:tcPr>
          <w:p w14:paraId="303704D6">
            <w:pPr>
              <w:autoSpaceDE w:val="0"/>
              <w:autoSpaceDN w:val="0"/>
              <w:jc w:val="center"/>
              <w:rPr>
                <w:rFonts w:ascii="宋体"/>
                <w:sz w:val="18"/>
                <w:szCs w:val="18"/>
              </w:rPr>
            </w:pPr>
            <w:r>
              <w:rPr>
                <w:rFonts w:hint="eastAsia" w:ascii="宋体"/>
                <w:kern w:val="0"/>
                <w:sz w:val="18"/>
                <w:szCs w:val="18"/>
              </w:rPr>
              <w:t>内部行动</w:t>
            </w:r>
          </w:p>
        </w:tc>
        <w:tc>
          <w:tcPr>
            <w:tcW w:w="4765" w:type="dxa"/>
            <w:tcBorders>
              <w:top w:val="single" w:color="000000" w:sz="4" w:space="0"/>
              <w:bottom w:val="single" w:color="000000" w:sz="4" w:space="0"/>
            </w:tcBorders>
            <w:vAlign w:val="center"/>
          </w:tcPr>
          <w:p w14:paraId="49C1522C">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企业相关自证材料</w:t>
            </w:r>
          </w:p>
        </w:tc>
      </w:tr>
      <w:tr w14:paraId="473A5BF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jc w:val="center"/>
        </w:trPr>
        <w:tc>
          <w:tcPr>
            <w:tcW w:w="1352" w:type="dxa"/>
            <w:vMerge w:val="continue"/>
            <w:tcBorders>
              <w:bottom w:val="single" w:color="000000" w:sz="4" w:space="0"/>
            </w:tcBorders>
            <w:vAlign w:val="center"/>
          </w:tcPr>
          <w:p w14:paraId="239B07BC">
            <w:pPr>
              <w:widowControl/>
              <w:tabs>
                <w:tab w:val="center" w:pos="4201"/>
                <w:tab w:val="right" w:leader="dot" w:pos="9298"/>
              </w:tabs>
              <w:autoSpaceDE w:val="0"/>
              <w:autoSpaceDN w:val="0"/>
              <w:jc w:val="center"/>
              <w:rPr>
                <w:rFonts w:ascii="宋体"/>
                <w:kern w:val="0"/>
                <w:sz w:val="18"/>
                <w:szCs w:val="18"/>
              </w:rPr>
            </w:pPr>
          </w:p>
        </w:tc>
        <w:tc>
          <w:tcPr>
            <w:tcW w:w="3453" w:type="dxa"/>
            <w:gridSpan w:val="2"/>
            <w:tcBorders>
              <w:top w:val="single" w:color="000000" w:sz="4" w:space="0"/>
              <w:bottom w:val="single" w:color="000000" w:sz="4" w:space="0"/>
            </w:tcBorders>
            <w:vAlign w:val="center"/>
          </w:tcPr>
          <w:p w14:paraId="0D8469A7">
            <w:pPr>
              <w:autoSpaceDE w:val="0"/>
              <w:autoSpaceDN w:val="0"/>
              <w:jc w:val="center"/>
              <w:rPr>
                <w:rFonts w:ascii="宋体"/>
                <w:sz w:val="18"/>
                <w:szCs w:val="18"/>
              </w:rPr>
            </w:pPr>
            <w:r>
              <w:rPr>
                <w:rFonts w:ascii="宋体"/>
                <w:kern w:val="0"/>
                <w:sz w:val="18"/>
                <w:szCs w:val="18"/>
              </w:rPr>
              <w:t>社会责任</w:t>
            </w:r>
          </w:p>
        </w:tc>
        <w:tc>
          <w:tcPr>
            <w:tcW w:w="4765" w:type="dxa"/>
            <w:tcBorders>
              <w:top w:val="single" w:color="000000" w:sz="4" w:space="0"/>
              <w:bottom w:val="single" w:color="000000" w:sz="4" w:space="0"/>
            </w:tcBorders>
            <w:vAlign w:val="center"/>
          </w:tcPr>
          <w:p w14:paraId="2BD5E18B">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14:paraId="53CD83F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jc w:val="center"/>
        </w:trPr>
        <w:tc>
          <w:tcPr>
            <w:tcW w:w="9570" w:type="dxa"/>
            <w:gridSpan w:val="4"/>
            <w:tcBorders>
              <w:top w:val="single" w:color="000000" w:sz="4" w:space="0"/>
              <w:bottom w:val="single" w:color="000000" w:sz="12" w:space="0"/>
            </w:tcBorders>
            <w:vAlign w:val="center"/>
          </w:tcPr>
          <w:p w14:paraId="24E74E6E">
            <w:pPr>
              <w:widowControl/>
              <w:tabs>
                <w:tab w:val="center" w:pos="4201"/>
                <w:tab w:val="right" w:leader="dot" w:pos="9298"/>
              </w:tabs>
              <w:autoSpaceDE w:val="0"/>
              <w:autoSpaceDN w:val="0"/>
              <w:ind w:firstLine="360" w:firstLineChars="200"/>
              <w:jc w:val="left"/>
              <w:rPr>
                <w:rFonts w:ascii="宋体"/>
                <w:kern w:val="0"/>
                <w:sz w:val="18"/>
                <w:szCs w:val="18"/>
              </w:rPr>
            </w:pPr>
            <w:r>
              <w:rPr>
                <w:rFonts w:hint="eastAsia" w:ascii="宋体"/>
                <w:kern w:val="0"/>
                <w:sz w:val="18"/>
                <w:szCs w:val="18"/>
                <w:vertAlign w:val="superscript"/>
              </w:rPr>
              <w:t>a</w:t>
            </w:r>
            <w:r>
              <w:rPr>
                <w:rFonts w:hint="eastAsia" w:ascii="宋体"/>
                <w:kern w:val="0"/>
                <w:sz w:val="18"/>
                <w:szCs w:val="18"/>
              </w:rPr>
              <w:t xml:space="preserve">  提供能证明技术产品（服务）的关键技术和技术指标的相关材料。</w:t>
            </w:r>
          </w:p>
          <w:p w14:paraId="58B885CF">
            <w:pPr>
              <w:widowControl/>
              <w:tabs>
                <w:tab w:val="center" w:pos="4201"/>
                <w:tab w:val="right" w:leader="dot" w:pos="9298"/>
              </w:tabs>
              <w:autoSpaceDE w:val="0"/>
              <w:autoSpaceDN w:val="0"/>
              <w:ind w:firstLine="360" w:firstLineChars="200"/>
              <w:jc w:val="left"/>
              <w:rPr>
                <w:rFonts w:ascii="宋体"/>
                <w:kern w:val="0"/>
                <w:sz w:val="18"/>
                <w:szCs w:val="18"/>
              </w:rPr>
            </w:pPr>
            <w:r>
              <w:rPr>
                <w:rFonts w:hint="eastAsia" w:ascii="宋体"/>
                <w:kern w:val="0"/>
                <w:sz w:val="18"/>
                <w:szCs w:val="18"/>
                <w:vertAlign w:val="superscript"/>
              </w:rPr>
              <w:t>b</w:t>
            </w:r>
            <w:r>
              <w:rPr>
                <w:rFonts w:hint="eastAsia" w:ascii="宋体"/>
                <w:kern w:val="0"/>
                <w:sz w:val="18"/>
                <w:szCs w:val="18"/>
              </w:rPr>
              <w:t xml:space="preserve">  提供环境效益测算的过程材料以及相关佐证材料。</w:t>
            </w:r>
          </w:p>
          <w:p w14:paraId="39F24AB7">
            <w:pPr>
              <w:widowControl/>
              <w:tabs>
                <w:tab w:val="center" w:pos="4201"/>
                <w:tab w:val="right" w:leader="dot" w:pos="9298"/>
              </w:tabs>
              <w:autoSpaceDE w:val="0"/>
              <w:autoSpaceDN w:val="0"/>
              <w:ind w:firstLine="360" w:firstLineChars="200"/>
              <w:jc w:val="left"/>
              <w:rPr>
                <w:rFonts w:ascii="宋体"/>
                <w:kern w:val="0"/>
                <w:sz w:val="18"/>
                <w:szCs w:val="18"/>
              </w:rPr>
            </w:pPr>
            <w:r>
              <w:rPr>
                <w:rFonts w:hint="eastAsia" w:ascii="宋体"/>
                <w:kern w:val="0"/>
                <w:sz w:val="18"/>
                <w:szCs w:val="18"/>
                <w:vertAlign w:val="superscript"/>
              </w:rPr>
              <w:t>c</w:t>
            </w:r>
            <w:r>
              <w:rPr>
                <w:rFonts w:hint="eastAsia" w:ascii="宋体"/>
                <w:kern w:val="0"/>
                <w:sz w:val="18"/>
                <w:szCs w:val="18"/>
              </w:rPr>
              <w:t xml:space="preserve">  提供近1个会计年度绿色低碳领域研究开发费用、营业收入专项审计或鉴证报告。</w:t>
            </w:r>
          </w:p>
          <w:p w14:paraId="388989BB">
            <w:pPr>
              <w:widowControl/>
              <w:tabs>
                <w:tab w:val="center" w:pos="4201"/>
                <w:tab w:val="right" w:leader="dot" w:pos="9298"/>
              </w:tabs>
              <w:autoSpaceDE w:val="0"/>
              <w:autoSpaceDN w:val="0"/>
              <w:ind w:firstLine="360" w:firstLineChars="200"/>
              <w:jc w:val="left"/>
              <w:rPr>
                <w:rFonts w:ascii="宋体"/>
                <w:kern w:val="0"/>
                <w:sz w:val="18"/>
                <w:szCs w:val="18"/>
              </w:rPr>
            </w:pPr>
            <w:r>
              <w:rPr>
                <w:rFonts w:hint="eastAsia" w:ascii="宋体"/>
                <w:kern w:val="0"/>
                <w:sz w:val="18"/>
                <w:szCs w:val="18"/>
                <w:vertAlign w:val="superscript"/>
              </w:rPr>
              <w:t>d</w:t>
            </w:r>
            <w:r>
              <w:rPr>
                <w:rFonts w:hint="eastAsia" w:ascii="宋体"/>
                <w:kern w:val="0"/>
                <w:sz w:val="18"/>
                <w:szCs w:val="18"/>
              </w:rPr>
              <w:t xml:space="preserve">  提供经具有资质的中介机构出具的企业近3年财务审计报告。</w:t>
            </w:r>
          </w:p>
          <w:p w14:paraId="2D3C88C1">
            <w:pPr>
              <w:widowControl/>
              <w:tabs>
                <w:tab w:val="center" w:pos="4201"/>
                <w:tab w:val="right" w:leader="dot" w:pos="9298"/>
              </w:tabs>
              <w:autoSpaceDE w:val="0"/>
              <w:autoSpaceDN w:val="0"/>
              <w:ind w:firstLine="360" w:firstLineChars="200"/>
              <w:jc w:val="left"/>
              <w:rPr>
                <w:rFonts w:ascii="宋体"/>
                <w:kern w:val="0"/>
                <w:sz w:val="18"/>
                <w:szCs w:val="18"/>
              </w:rPr>
            </w:pPr>
            <w:r>
              <w:rPr>
                <w:rFonts w:hint="eastAsia" w:ascii="宋体"/>
                <w:kern w:val="0"/>
                <w:sz w:val="18"/>
                <w:szCs w:val="18"/>
                <w:vertAlign w:val="superscript"/>
              </w:rPr>
              <w:t xml:space="preserve">e    </w:t>
            </w:r>
            <w:r>
              <w:rPr>
                <w:rFonts w:hint="eastAsia" w:ascii="宋体"/>
                <w:kern w:val="0"/>
                <w:sz w:val="18"/>
                <w:szCs w:val="18"/>
              </w:rPr>
              <w:t>提供碳排放核查机构出具的报告，或企事业单位参照GB/T 32150、SZDB/Z 69等相关政府职能部门印发的规范性</w:t>
            </w:r>
          </w:p>
          <w:p w14:paraId="05D4E7CE">
            <w:pPr>
              <w:widowControl/>
              <w:tabs>
                <w:tab w:val="center" w:pos="4201"/>
                <w:tab w:val="right" w:leader="dot" w:pos="9298"/>
              </w:tabs>
              <w:autoSpaceDE w:val="0"/>
              <w:autoSpaceDN w:val="0"/>
              <w:ind w:firstLine="360" w:firstLineChars="200"/>
              <w:jc w:val="left"/>
              <w:rPr>
                <w:rFonts w:ascii="宋体"/>
                <w:kern w:val="0"/>
                <w:sz w:val="18"/>
                <w:szCs w:val="18"/>
                <w:highlight w:val="yellow"/>
              </w:rPr>
            </w:pPr>
            <w:r>
              <w:rPr>
                <w:rFonts w:hint="eastAsia" w:ascii="宋体"/>
                <w:kern w:val="0"/>
                <w:sz w:val="18"/>
                <w:szCs w:val="18"/>
              </w:rPr>
              <w:t>文件编制的温室气体核算报告。</w:t>
            </w:r>
          </w:p>
        </w:tc>
      </w:tr>
    </w:tbl>
    <w:p w14:paraId="0E4D0C3A">
      <w:pPr>
        <w:numPr>
          <w:ilvl w:val="0"/>
          <w:numId w:val="17"/>
        </w:numPr>
        <w:spacing w:before="156" w:beforeLines="50" w:after="156" w:afterLines="50"/>
        <w:jc w:val="center"/>
      </w:pPr>
      <w:bookmarkStart w:id="160" w:name="_Toc23498"/>
      <w:bookmarkStart w:id="161" w:name="_Toc14748"/>
      <w:bookmarkStart w:id="162" w:name="_Toc23601"/>
      <w:bookmarkStart w:id="163" w:name="_Toc118281024"/>
      <w:bookmarkStart w:id="164" w:name="_Toc118282048"/>
      <w:r>
        <w:rPr>
          <w:rFonts w:hint="eastAsia" w:eastAsia="黑体"/>
        </w:rPr>
        <w:t>智能电网建设运营领域绿色低碳产业项目认定符合性评价证明材料</w:t>
      </w:r>
    </w:p>
    <w:tbl>
      <w:tblPr>
        <w:tblStyle w:val="36"/>
        <w:tblW w:w="9559"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1095"/>
        <w:gridCol w:w="4844"/>
        <w:gridCol w:w="3620"/>
      </w:tblGrid>
      <w:tr w14:paraId="028CFAB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blHeader/>
          <w:jc w:val="center"/>
        </w:trPr>
        <w:tc>
          <w:tcPr>
            <w:tcW w:w="1095" w:type="dxa"/>
            <w:tcBorders>
              <w:bottom w:val="single" w:color="000000" w:sz="12" w:space="0"/>
            </w:tcBorders>
            <w:vAlign w:val="center"/>
          </w:tcPr>
          <w:p w14:paraId="3CDAD0F5">
            <w:pPr>
              <w:widowControl/>
              <w:tabs>
                <w:tab w:val="center" w:pos="4201"/>
                <w:tab w:val="right" w:leader="dot" w:pos="9298"/>
              </w:tabs>
              <w:autoSpaceDE w:val="0"/>
              <w:autoSpaceDN w:val="0"/>
              <w:jc w:val="center"/>
              <w:rPr>
                <w:rFonts w:ascii="宋体"/>
                <w:b/>
                <w:kern w:val="0"/>
                <w:sz w:val="18"/>
                <w:szCs w:val="18"/>
              </w:rPr>
            </w:pPr>
            <w:r>
              <w:rPr>
                <w:rFonts w:hint="eastAsia" w:ascii="宋体"/>
                <w:b/>
                <w:kern w:val="0"/>
                <w:sz w:val="18"/>
                <w:szCs w:val="18"/>
              </w:rPr>
              <w:t>指标</w:t>
            </w:r>
          </w:p>
        </w:tc>
        <w:tc>
          <w:tcPr>
            <w:tcW w:w="4844" w:type="dxa"/>
            <w:tcBorders>
              <w:bottom w:val="single" w:color="000000" w:sz="12" w:space="0"/>
            </w:tcBorders>
            <w:vAlign w:val="center"/>
          </w:tcPr>
          <w:p w14:paraId="318F1036">
            <w:pPr>
              <w:widowControl/>
              <w:tabs>
                <w:tab w:val="center" w:pos="4201"/>
                <w:tab w:val="right" w:leader="dot" w:pos="9298"/>
              </w:tabs>
              <w:autoSpaceDE w:val="0"/>
              <w:autoSpaceDN w:val="0"/>
              <w:jc w:val="center"/>
              <w:rPr>
                <w:rFonts w:ascii="宋体"/>
                <w:b/>
                <w:kern w:val="0"/>
                <w:sz w:val="18"/>
                <w:szCs w:val="18"/>
              </w:rPr>
            </w:pPr>
            <w:r>
              <w:rPr>
                <w:rFonts w:hint="eastAsia" w:ascii="宋体"/>
                <w:b/>
                <w:kern w:val="0"/>
                <w:sz w:val="18"/>
                <w:szCs w:val="18"/>
              </w:rPr>
              <w:t>评价内容</w:t>
            </w:r>
          </w:p>
        </w:tc>
        <w:tc>
          <w:tcPr>
            <w:tcW w:w="3620" w:type="dxa"/>
            <w:tcBorders>
              <w:bottom w:val="single" w:color="000000" w:sz="12" w:space="0"/>
            </w:tcBorders>
            <w:vAlign w:val="center"/>
          </w:tcPr>
          <w:p w14:paraId="586DACDA">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证明材料</w:t>
            </w:r>
          </w:p>
        </w:tc>
      </w:tr>
      <w:tr w14:paraId="4528935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44" w:hRule="atLeast"/>
          <w:jc w:val="center"/>
        </w:trPr>
        <w:tc>
          <w:tcPr>
            <w:tcW w:w="1095" w:type="dxa"/>
            <w:tcBorders>
              <w:top w:val="single" w:color="000000" w:sz="12" w:space="0"/>
              <w:tl2br w:val="nil"/>
              <w:tr2bl w:val="nil"/>
            </w:tcBorders>
            <w:vAlign w:val="center"/>
          </w:tcPr>
          <w:p w14:paraId="757C12CD">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目录符合</w:t>
            </w:r>
          </w:p>
        </w:tc>
        <w:tc>
          <w:tcPr>
            <w:tcW w:w="4844" w:type="dxa"/>
            <w:tcBorders>
              <w:top w:val="single" w:color="000000" w:sz="12" w:space="0"/>
              <w:tl2br w:val="nil"/>
              <w:tr2bl w:val="nil"/>
            </w:tcBorders>
            <w:vAlign w:val="center"/>
          </w:tcPr>
          <w:p w14:paraId="33EA4321">
            <w:pPr>
              <w:widowControl/>
              <w:tabs>
                <w:tab w:val="center" w:pos="4201"/>
                <w:tab w:val="right" w:leader="dot" w:pos="9298"/>
              </w:tabs>
              <w:autoSpaceDE w:val="0"/>
              <w:autoSpaceDN w:val="0"/>
              <w:rPr>
                <w:rFonts w:ascii="宋体"/>
                <w:kern w:val="0"/>
                <w:sz w:val="18"/>
                <w:szCs w:val="18"/>
              </w:rPr>
            </w:pPr>
            <w:r>
              <w:rPr>
                <w:rFonts w:hint="eastAsia" w:ascii="宋体"/>
                <w:sz w:val="18"/>
                <w:szCs w:val="18"/>
              </w:rPr>
              <w:t>申请认定评价的项目属于智能电网建设运营产业，或在当地具备一定市场规模，经相关政府职能部门认可的其他相关行业，且符合安全、环保、质量相关法规政策、强制性标准等要求</w:t>
            </w:r>
          </w:p>
        </w:tc>
        <w:tc>
          <w:tcPr>
            <w:tcW w:w="3620" w:type="dxa"/>
            <w:tcBorders>
              <w:top w:val="single" w:color="000000" w:sz="12" w:space="0"/>
              <w:tl2br w:val="nil"/>
              <w:tr2bl w:val="nil"/>
            </w:tcBorders>
            <w:vAlign w:val="center"/>
          </w:tcPr>
          <w:p w14:paraId="3D1E0EBF">
            <w:pPr>
              <w:widowControl/>
              <w:tabs>
                <w:tab w:val="center" w:pos="4201"/>
                <w:tab w:val="right" w:leader="dot" w:pos="9298"/>
              </w:tabs>
              <w:autoSpaceDE w:val="0"/>
              <w:autoSpaceDN w:val="0"/>
              <w:rPr>
                <w:rFonts w:ascii="宋体"/>
                <w:kern w:val="0"/>
                <w:sz w:val="18"/>
                <w:szCs w:val="18"/>
              </w:rPr>
            </w:pPr>
            <w:r>
              <w:rPr>
                <w:rFonts w:ascii="宋体"/>
                <w:kern w:val="0"/>
                <w:sz w:val="18"/>
                <w:szCs w:val="18"/>
              </w:rPr>
              <w:t>有效营业执照</w:t>
            </w:r>
          </w:p>
        </w:tc>
      </w:tr>
      <w:tr w14:paraId="48DFD85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78" w:hRule="atLeast"/>
          <w:jc w:val="center"/>
        </w:trPr>
        <w:tc>
          <w:tcPr>
            <w:tcW w:w="1095" w:type="dxa"/>
            <w:tcBorders>
              <w:bottom w:val="single" w:color="000000" w:sz="12" w:space="0"/>
              <w:tl2br w:val="nil"/>
              <w:tr2bl w:val="nil"/>
            </w:tcBorders>
            <w:vAlign w:val="center"/>
          </w:tcPr>
          <w:p w14:paraId="40A98EA1">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技术符合</w:t>
            </w:r>
          </w:p>
        </w:tc>
        <w:tc>
          <w:tcPr>
            <w:tcW w:w="4844" w:type="dxa"/>
            <w:tcBorders>
              <w:bottom w:val="single" w:color="000000" w:sz="12" w:space="0"/>
              <w:tl2br w:val="nil"/>
              <w:tr2bl w:val="nil"/>
            </w:tcBorders>
            <w:vAlign w:val="center"/>
          </w:tcPr>
          <w:p w14:paraId="43D19366">
            <w:pPr>
              <w:pStyle w:val="25"/>
              <w:ind w:firstLine="0" w:firstLineChars="0"/>
              <w:rPr>
                <w:kern w:val="2"/>
                <w:sz w:val="18"/>
                <w:szCs w:val="18"/>
              </w:rPr>
            </w:pPr>
            <w:r>
              <w:rPr>
                <w:rFonts w:hint="eastAsia"/>
                <w:kern w:val="2"/>
                <w:sz w:val="18"/>
                <w:szCs w:val="20"/>
              </w:rPr>
              <w:t>提供的产品或服务应符合国家及各省市相关主管部门发布文件列明的有关设计、能效、性能、安全、贮存、回收、标识、验收、管理和运维等技术要求</w:t>
            </w:r>
          </w:p>
        </w:tc>
        <w:tc>
          <w:tcPr>
            <w:tcW w:w="3620" w:type="dxa"/>
            <w:tcBorders>
              <w:bottom w:val="single" w:color="000000" w:sz="12" w:space="0"/>
              <w:tl2br w:val="nil"/>
              <w:tr2bl w:val="nil"/>
            </w:tcBorders>
            <w:vAlign w:val="center"/>
          </w:tcPr>
          <w:p w14:paraId="5A1092E2">
            <w:pPr>
              <w:widowControl/>
              <w:tabs>
                <w:tab w:val="center" w:pos="4201"/>
                <w:tab w:val="right" w:leader="dot" w:pos="9298"/>
              </w:tabs>
              <w:autoSpaceDE w:val="0"/>
              <w:autoSpaceDN w:val="0"/>
              <w:jc w:val="left"/>
              <w:rPr>
                <w:rFonts w:ascii="宋体"/>
                <w:kern w:val="0"/>
                <w:sz w:val="18"/>
                <w:szCs w:val="18"/>
              </w:rPr>
            </w:pPr>
            <w:r>
              <w:rPr>
                <w:rFonts w:ascii="宋体"/>
                <w:kern w:val="0"/>
                <w:sz w:val="18"/>
                <w:szCs w:val="18"/>
              </w:rPr>
              <w:t>第三方检验报告及相关证明材料</w:t>
            </w:r>
          </w:p>
        </w:tc>
      </w:tr>
    </w:tbl>
    <w:p w14:paraId="4E7B858E">
      <w:pPr>
        <w:numPr>
          <w:ilvl w:val="0"/>
          <w:numId w:val="17"/>
        </w:numPr>
        <w:spacing w:before="156" w:beforeLines="50" w:after="156" w:afterLines="50"/>
        <w:jc w:val="center"/>
      </w:pPr>
      <w:r>
        <w:rPr>
          <w:rFonts w:hint="eastAsia" w:eastAsia="黑体"/>
        </w:rPr>
        <w:t>智能电网建设运营领域绿色低碳产业项目认定综合</w:t>
      </w:r>
      <w:r>
        <w:rPr>
          <w:rFonts w:eastAsia="黑体"/>
        </w:rPr>
        <w:t>评价证明材料</w:t>
      </w:r>
    </w:p>
    <w:tbl>
      <w:tblPr>
        <w:tblStyle w:val="36"/>
        <w:tblW w:w="9570" w:type="dxa"/>
        <w:jc w:val="center"/>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Layout w:type="fixed"/>
        <w:tblCellMar>
          <w:top w:w="0" w:type="dxa"/>
          <w:left w:w="108" w:type="dxa"/>
          <w:bottom w:w="0" w:type="dxa"/>
          <w:right w:w="108" w:type="dxa"/>
        </w:tblCellMar>
      </w:tblPr>
      <w:tblGrid>
        <w:gridCol w:w="1340"/>
        <w:gridCol w:w="2031"/>
        <w:gridCol w:w="6199"/>
      </w:tblGrid>
      <w:tr w14:paraId="3930820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tblHeader/>
          <w:jc w:val="center"/>
        </w:trPr>
        <w:tc>
          <w:tcPr>
            <w:tcW w:w="1340" w:type="dxa"/>
            <w:tcBorders>
              <w:top w:val="single" w:color="000000" w:sz="12" w:space="0"/>
              <w:bottom w:val="single" w:color="000000" w:sz="12" w:space="0"/>
            </w:tcBorders>
            <w:vAlign w:val="center"/>
          </w:tcPr>
          <w:p w14:paraId="73BF6D67">
            <w:pPr>
              <w:widowControl/>
              <w:tabs>
                <w:tab w:val="center" w:pos="4201"/>
                <w:tab w:val="right" w:leader="dot" w:pos="9298"/>
              </w:tabs>
              <w:autoSpaceDE w:val="0"/>
              <w:autoSpaceDN w:val="0"/>
              <w:jc w:val="center"/>
              <w:rPr>
                <w:rFonts w:ascii="宋体"/>
                <w:b/>
                <w:kern w:val="0"/>
                <w:szCs w:val="18"/>
              </w:rPr>
            </w:pPr>
            <w:r>
              <w:rPr>
                <w:rFonts w:ascii="宋体"/>
                <w:b/>
                <w:kern w:val="0"/>
                <w:szCs w:val="18"/>
              </w:rPr>
              <w:t>一级指标</w:t>
            </w:r>
          </w:p>
        </w:tc>
        <w:tc>
          <w:tcPr>
            <w:tcW w:w="2031" w:type="dxa"/>
            <w:tcBorders>
              <w:top w:val="single" w:color="000000" w:sz="12" w:space="0"/>
              <w:bottom w:val="single" w:color="000000" w:sz="12" w:space="0"/>
            </w:tcBorders>
            <w:vAlign w:val="center"/>
          </w:tcPr>
          <w:p w14:paraId="11D4F9F0">
            <w:pPr>
              <w:widowControl/>
              <w:tabs>
                <w:tab w:val="center" w:pos="4201"/>
                <w:tab w:val="right" w:leader="dot" w:pos="9298"/>
              </w:tabs>
              <w:autoSpaceDE w:val="0"/>
              <w:autoSpaceDN w:val="0"/>
              <w:jc w:val="center"/>
              <w:rPr>
                <w:rFonts w:ascii="宋体"/>
                <w:b/>
                <w:kern w:val="0"/>
                <w:szCs w:val="18"/>
              </w:rPr>
            </w:pPr>
            <w:r>
              <w:rPr>
                <w:rFonts w:ascii="宋体"/>
                <w:b/>
                <w:kern w:val="0"/>
                <w:szCs w:val="18"/>
              </w:rPr>
              <w:t>三级指标</w:t>
            </w:r>
          </w:p>
        </w:tc>
        <w:tc>
          <w:tcPr>
            <w:tcW w:w="6199" w:type="dxa"/>
            <w:tcBorders>
              <w:top w:val="single" w:color="000000" w:sz="12" w:space="0"/>
              <w:bottom w:val="single" w:color="000000" w:sz="12" w:space="0"/>
            </w:tcBorders>
            <w:vAlign w:val="center"/>
          </w:tcPr>
          <w:p w14:paraId="328526DC">
            <w:pPr>
              <w:widowControl/>
              <w:tabs>
                <w:tab w:val="center" w:pos="4201"/>
                <w:tab w:val="right" w:leader="dot" w:pos="9298"/>
              </w:tabs>
              <w:autoSpaceDE w:val="0"/>
              <w:autoSpaceDN w:val="0"/>
              <w:jc w:val="center"/>
              <w:rPr>
                <w:rFonts w:ascii="宋体"/>
                <w:b/>
                <w:kern w:val="0"/>
                <w:szCs w:val="18"/>
              </w:rPr>
            </w:pPr>
            <w:r>
              <w:rPr>
                <w:rFonts w:ascii="宋体"/>
                <w:b/>
                <w:kern w:val="0"/>
                <w:szCs w:val="18"/>
              </w:rPr>
              <w:t>证明材料</w:t>
            </w:r>
          </w:p>
        </w:tc>
      </w:tr>
      <w:tr w14:paraId="3BC0346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jc w:val="center"/>
        </w:trPr>
        <w:tc>
          <w:tcPr>
            <w:tcW w:w="1340" w:type="dxa"/>
            <w:vMerge w:val="restart"/>
            <w:tcBorders>
              <w:top w:val="single" w:color="000000" w:sz="12" w:space="0"/>
              <w:bottom w:val="single" w:color="000000" w:sz="4" w:space="0"/>
            </w:tcBorders>
            <w:vAlign w:val="center"/>
          </w:tcPr>
          <w:p w14:paraId="14F8A0DB">
            <w:pPr>
              <w:widowControl/>
              <w:tabs>
                <w:tab w:val="center" w:pos="4201"/>
                <w:tab w:val="right" w:leader="dot" w:pos="9298"/>
              </w:tabs>
              <w:autoSpaceDE w:val="0"/>
              <w:autoSpaceDN w:val="0"/>
              <w:jc w:val="center"/>
              <w:rPr>
                <w:rFonts w:ascii="宋体"/>
                <w:kern w:val="0"/>
                <w:sz w:val="18"/>
                <w:szCs w:val="15"/>
              </w:rPr>
            </w:pPr>
            <w:r>
              <w:rPr>
                <w:rFonts w:ascii="宋体"/>
                <w:kern w:val="0"/>
                <w:sz w:val="18"/>
                <w:szCs w:val="15"/>
              </w:rPr>
              <w:t>技术表现</w:t>
            </w:r>
          </w:p>
        </w:tc>
        <w:tc>
          <w:tcPr>
            <w:tcW w:w="2031" w:type="dxa"/>
            <w:tcBorders>
              <w:top w:val="single" w:color="000000" w:sz="12" w:space="0"/>
              <w:bottom w:val="single" w:color="000000" w:sz="4" w:space="0"/>
            </w:tcBorders>
            <w:vAlign w:val="center"/>
          </w:tcPr>
          <w:p w14:paraId="213FBD63">
            <w:pPr>
              <w:autoSpaceDE w:val="0"/>
              <w:autoSpaceDN w:val="0"/>
              <w:jc w:val="center"/>
              <w:rPr>
                <w:rFonts w:ascii="宋体"/>
                <w:sz w:val="18"/>
                <w:szCs w:val="15"/>
              </w:rPr>
            </w:pPr>
            <w:r>
              <w:rPr>
                <w:rFonts w:ascii="宋体"/>
                <w:sz w:val="18"/>
                <w:szCs w:val="15"/>
              </w:rPr>
              <w:t>有效知识产权</w:t>
            </w:r>
          </w:p>
        </w:tc>
        <w:tc>
          <w:tcPr>
            <w:tcW w:w="6199" w:type="dxa"/>
            <w:tcBorders>
              <w:top w:val="single" w:color="000000" w:sz="12" w:space="0"/>
              <w:bottom w:val="single" w:color="000000" w:sz="4" w:space="0"/>
            </w:tcBorders>
            <w:vAlign w:val="center"/>
          </w:tcPr>
          <w:p w14:paraId="255151EA">
            <w:pPr>
              <w:widowControl/>
              <w:tabs>
                <w:tab w:val="center" w:pos="4201"/>
                <w:tab w:val="right" w:leader="dot" w:pos="9298"/>
              </w:tabs>
              <w:autoSpaceDE w:val="0"/>
              <w:autoSpaceDN w:val="0"/>
              <w:jc w:val="center"/>
              <w:rPr>
                <w:rFonts w:ascii="宋体"/>
                <w:kern w:val="0"/>
                <w:sz w:val="18"/>
                <w:szCs w:val="15"/>
              </w:rPr>
            </w:pPr>
            <w:r>
              <w:rPr>
                <w:rFonts w:ascii="宋体"/>
                <w:kern w:val="0"/>
                <w:sz w:val="18"/>
                <w:szCs w:val="15"/>
              </w:rPr>
              <w:t>相关知识产权证明</w:t>
            </w:r>
          </w:p>
        </w:tc>
      </w:tr>
      <w:tr w14:paraId="4C26685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jc w:val="center"/>
        </w:trPr>
        <w:tc>
          <w:tcPr>
            <w:tcW w:w="1340" w:type="dxa"/>
            <w:vMerge w:val="continue"/>
            <w:tcBorders>
              <w:top w:val="single" w:color="000000" w:sz="4" w:space="0"/>
              <w:bottom w:val="single" w:color="000000" w:sz="4" w:space="0"/>
            </w:tcBorders>
            <w:vAlign w:val="center"/>
          </w:tcPr>
          <w:p w14:paraId="57A74EAD">
            <w:pPr>
              <w:widowControl/>
              <w:tabs>
                <w:tab w:val="center" w:pos="4201"/>
                <w:tab w:val="right" w:leader="dot" w:pos="9298"/>
              </w:tabs>
              <w:autoSpaceDE w:val="0"/>
              <w:autoSpaceDN w:val="0"/>
              <w:jc w:val="center"/>
              <w:rPr>
                <w:rFonts w:ascii="宋体"/>
                <w:kern w:val="0"/>
                <w:sz w:val="18"/>
                <w:szCs w:val="15"/>
              </w:rPr>
            </w:pPr>
          </w:p>
        </w:tc>
        <w:tc>
          <w:tcPr>
            <w:tcW w:w="2031" w:type="dxa"/>
            <w:tcBorders>
              <w:top w:val="single" w:color="000000" w:sz="4" w:space="0"/>
              <w:bottom w:val="single" w:color="000000" w:sz="4" w:space="0"/>
            </w:tcBorders>
            <w:vAlign w:val="center"/>
          </w:tcPr>
          <w:p w14:paraId="488214F8">
            <w:pPr>
              <w:autoSpaceDE w:val="0"/>
              <w:autoSpaceDN w:val="0"/>
              <w:jc w:val="center"/>
              <w:rPr>
                <w:rFonts w:ascii="宋体"/>
                <w:sz w:val="18"/>
                <w:szCs w:val="15"/>
              </w:rPr>
            </w:pPr>
            <w:r>
              <w:rPr>
                <w:rFonts w:hint="eastAsia" w:ascii="宋体"/>
                <w:sz w:val="18"/>
                <w:szCs w:val="15"/>
              </w:rPr>
              <w:t>关键技术先进性</w:t>
            </w:r>
          </w:p>
        </w:tc>
        <w:tc>
          <w:tcPr>
            <w:tcW w:w="6199" w:type="dxa"/>
            <w:tcBorders>
              <w:top w:val="single" w:color="000000" w:sz="4" w:space="0"/>
              <w:bottom w:val="single" w:color="000000" w:sz="4" w:space="0"/>
            </w:tcBorders>
            <w:vAlign w:val="center"/>
          </w:tcPr>
          <w:p w14:paraId="416B4AEE">
            <w:pPr>
              <w:widowControl/>
              <w:tabs>
                <w:tab w:val="center" w:pos="4201"/>
                <w:tab w:val="right" w:leader="dot" w:pos="9298"/>
              </w:tabs>
              <w:autoSpaceDE w:val="0"/>
              <w:autoSpaceDN w:val="0"/>
              <w:jc w:val="center"/>
              <w:rPr>
                <w:rFonts w:ascii="宋体"/>
                <w:kern w:val="0"/>
                <w:sz w:val="18"/>
                <w:szCs w:val="15"/>
              </w:rPr>
            </w:pPr>
            <w:r>
              <w:rPr>
                <w:rFonts w:hint="eastAsia" w:ascii="宋体"/>
                <w:kern w:val="0"/>
                <w:sz w:val="18"/>
                <w:szCs w:val="15"/>
              </w:rPr>
              <w:t>第三方检验报告</w:t>
            </w:r>
          </w:p>
        </w:tc>
      </w:tr>
      <w:tr w14:paraId="19ED859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jc w:val="center"/>
        </w:trPr>
        <w:tc>
          <w:tcPr>
            <w:tcW w:w="1340" w:type="dxa"/>
            <w:vMerge w:val="continue"/>
            <w:tcBorders>
              <w:top w:val="single" w:color="000000" w:sz="4" w:space="0"/>
              <w:bottom w:val="single" w:color="000000" w:sz="4" w:space="0"/>
            </w:tcBorders>
            <w:vAlign w:val="center"/>
          </w:tcPr>
          <w:p w14:paraId="787D0626">
            <w:pPr>
              <w:widowControl/>
              <w:tabs>
                <w:tab w:val="center" w:pos="4201"/>
                <w:tab w:val="right" w:leader="dot" w:pos="9298"/>
              </w:tabs>
              <w:autoSpaceDE w:val="0"/>
              <w:autoSpaceDN w:val="0"/>
              <w:jc w:val="center"/>
              <w:rPr>
                <w:rFonts w:ascii="宋体"/>
                <w:kern w:val="0"/>
                <w:sz w:val="18"/>
                <w:szCs w:val="15"/>
              </w:rPr>
            </w:pPr>
          </w:p>
        </w:tc>
        <w:tc>
          <w:tcPr>
            <w:tcW w:w="2031" w:type="dxa"/>
            <w:tcBorders>
              <w:top w:val="single" w:color="000000" w:sz="4" w:space="0"/>
              <w:bottom w:val="single" w:color="000000" w:sz="4" w:space="0"/>
            </w:tcBorders>
            <w:vAlign w:val="center"/>
          </w:tcPr>
          <w:p w14:paraId="6F61E360">
            <w:pPr>
              <w:autoSpaceDE w:val="0"/>
              <w:autoSpaceDN w:val="0"/>
              <w:jc w:val="center"/>
              <w:rPr>
                <w:rFonts w:ascii="宋体"/>
                <w:sz w:val="18"/>
                <w:szCs w:val="15"/>
              </w:rPr>
            </w:pPr>
            <w:r>
              <w:rPr>
                <w:rFonts w:hint="eastAsia" w:ascii="宋体"/>
                <w:sz w:val="18"/>
                <w:szCs w:val="15"/>
              </w:rPr>
              <w:t>环境</w:t>
            </w:r>
            <w:r>
              <w:rPr>
                <w:rFonts w:ascii="宋体"/>
                <w:sz w:val="18"/>
                <w:szCs w:val="15"/>
              </w:rPr>
              <w:t>效益</w:t>
            </w:r>
          </w:p>
        </w:tc>
        <w:tc>
          <w:tcPr>
            <w:tcW w:w="6199" w:type="dxa"/>
            <w:tcBorders>
              <w:top w:val="single" w:color="000000" w:sz="4" w:space="0"/>
              <w:bottom w:val="single" w:color="000000" w:sz="4" w:space="0"/>
            </w:tcBorders>
            <w:vAlign w:val="center"/>
          </w:tcPr>
          <w:p w14:paraId="195CD895">
            <w:pPr>
              <w:widowControl/>
              <w:tabs>
                <w:tab w:val="center" w:pos="4201"/>
                <w:tab w:val="right" w:leader="dot" w:pos="9298"/>
              </w:tabs>
              <w:autoSpaceDE w:val="0"/>
              <w:autoSpaceDN w:val="0"/>
              <w:jc w:val="center"/>
              <w:rPr>
                <w:rFonts w:ascii="宋体"/>
                <w:kern w:val="0"/>
                <w:sz w:val="18"/>
                <w:szCs w:val="15"/>
              </w:rPr>
            </w:pPr>
            <w:r>
              <w:rPr>
                <w:rFonts w:ascii="宋体"/>
                <w:kern w:val="0"/>
                <w:sz w:val="18"/>
                <w:szCs w:val="15"/>
              </w:rPr>
              <w:t>企业相关自证材料</w:t>
            </w:r>
          </w:p>
        </w:tc>
      </w:tr>
      <w:tr w14:paraId="34B426C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jc w:val="center"/>
        </w:trPr>
        <w:tc>
          <w:tcPr>
            <w:tcW w:w="1340" w:type="dxa"/>
            <w:vMerge w:val="restart"/>
            <w:tcBorders>
              <w:top w:val="single" w:color="000000" w:sz="4" w:space="0"/>
              <w:bottom w:val="single" w:color="000000" w:sz="4" w:space="0"/>
            </w:tcBorders>
            <w:vAlign w:val="center"/>
          </w:tcPr>
          <w:p w14:paraId="482B24A2">
            <w:pPr>
              <w:widowControl/>
              <w:tabs>
                <w:tab w:val="center" w:pos="4201"/>
                <w:tab w:val="right" w:leader="dot" w:pos="9298"/>
              </w:tabs>
              <w:autoSpaceDE w:val="0"/>
              <w:autoSpaceDN w:val="0"/>
              <w:jc w:val="center"/>
              <w:rPr>
                <w:rFonts w:ascii="宋体"/>
                <w:kern w:val="0"/>
                <w:sz w:val="18"/>
                <w:szCs w:val="15"/>
              </w:rPr>
            </w:pPr>
            <w:r>
              <w:rPr>
                <w:rFonts w:ascii="宋体"/>
                <w:kern w:val="0"/>
                <w:sz w:val="18"/>
                <w:szCs w:val="15"/>
              </w:rPr>
              <w:t>环境表现</w:t>
            </w:r>
          </w:p>
        </w:tc>
        <w:tc>
          <w:tcPr>
            <w:tcW w:w="2031" w:type="dxa"/>
            <w:tcBorders>
              <w:top w:val="single" w:color="000000" w:sz="4" w:space="0"/>
              <w:bottom w:val="single" w:color="000000" w:sz="4" w:space="0"/>
            </w:tcBorders>
            <w:vAlign w:val="center"/>
          </w:tcPr>
          <w:p w14:paraId="3A2943D4">
            <w:pPr>
              <w:autoSpaceDE w:val="0"/>
              <w:autoSpaceDN w:val="0"/>
              <w:jc w:val="center"/>
              <w:rPr>
                <w:rFonts w:ascii="宋体"/>
                <w:kern w:val="0"/>
                <w:sz w:val="18"/>
                <w:szCs w:val="15"/>
              </w:rPr>
            </w:pPr>
            <w:r>
              <w:rPr>
                <w:rFonts w:hint="eastAsia" w:ascii="宋体"/>
                <w:kern w:val="0"/>
                <w:sz w:val="18"/>
                <w:szCs w:val="15"/>
              </w:rPr>
              <w:t>绿色低碳运营</w:t>
            </w:r>
          </w:p>
        </w:tc>
        <w:tc>
          <w:tcPr>
            <w:tcW w:w="6199" w:type="dxa"/>
            <w:tcBorders>
              <w:top w:val="single" w:color="000000" w:sz="4" w:space="0"/>
              <w:bottom w:val="single" w:color="000000" w:sz="4" w:space="0"/>
            </w:tcBorders>
            <w:vAlign w:val="center"/>
          </w:tcPr>
          <w:p w14:paraId="5C1BE1D9">
            <w:pPr>
              <w:widowControl/>
              <w:tabs>
                <w:tab w:val="center" w:pos="4201"/>
                <w:tab w:val="right" w:leader="dot" w:pos="9298"/>
              </w:tabs>
              <w:autoSpaceDE w:val="0"/>
              <w:autoSpaceDN w:val="0"/>
              <w:jc w:val="center"/>
              <w:rPr>
                <w:rFonts w:ascii="宋体"/>
                <w:kern w:val="0"/>
                <w:sz w:val="18"/>
                <w:szCs w:val="15"/>
              </w:rPr>
            </w:pPr>
            <w:r>
              <w:rPr>
                <w:rFonts w:hint="eastAsia" w:ascii="宋体"/>
                <w:kern w:val="0"/>
                <w:sz w:val="18"/>
                <w:szCs w:val="15"/>
              </w:rPr>
              <w:t>财务报表，项目能耗、耗水、用地及其他企业相关自证材料</w:t>
            </w:r>
          </w:p>
        </w:tc>
      </w:tr>
      <w:tr w14:paraId="5F007CA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trHeight w:val="102" w:hRule="atLeast"/>
          <w:jc w:val="center"/>
        </w:trPr>
        <w:tc>
          <w:tcPr>
            <w:tcW w:w="1340" w:type="dxa"/>
            <w:vMerge w:val="continue"/>
            <w:vAlign w:val="center"/>
          </w:tcPr>
          <w:p w14:paraId="7E3FD403">
            <w:pPr>
              <w:widowControl/>
              <w:tabs>
                <w:tab w:val="center" w:pos="4201"/>
                <w:tab w:val="right" w:leader="dot" w:pos="9298"/>
              </w:tabs>
              <w:autoSpaceDE w:val="0"/>
              <w:autoSpaceDN w:val="0"/>
              <w:jc w:val="center"/>
              <w:rPr>
                <w:rFonts w:ascii="宋体"/>
                <w:kern w:val="0"/>
                <w:sz w:val="18"/>
                <w:szCs w:val="15"/>
              </w:rPr>
            </w:pPr>
          </w:p>
        </w:tc>
        <w:tc>
          <w:tcPr>
            <w:tcW w:w="2031" w:type="dxa"/>
            <w:tcBorders>
              <w:top w:val="single" w:color="000000" w:sz="4" w:space="0"/>
              <w:bottom w:val="single" w:color="000000" w:sz="4" w:space="0"/>
            </w:tcBorders>
            <w:vAlign w:val="center"/>
          </w:tcPr>
          <w:p w14:paraId="71B57ABC">
            <w:pPr>
              <w:autoSpaceDE w:val="0"/>
              <w:autoSpaceDN w:val="0"/>
              <w:jc w:val="center"/>
              <w:rPr>
                <w:rFonts w:ascii="宋体"/>
                <w:kern w:val="0"/>
                <w:sz w:val="18"/>
                <w:szCs w:val="15"/>
              </w:rPr>
            </w:pPr>
            <w:r>
              <w:rPr>
                <w:rFonts w:hint="eastAsia" w:ascii="宋体"/>
                <w:kern w:val="0"/>
                <w:sz w:val="18"/>
                <w:szCs w:val="15"/>
              </w:rPr>
              <w:t>工艺设备材料</w:t>
            </w:r>
          </w:p>
        </w:tc>
        <w:tc>
          <w:tcPr>
            <w:tcW w:w="6199" w:type="dxa"/>
            <w:tcBorders>
              <w:top w:val="single" w:color="000000" w:sz="4" w:space="0"/>
              <w:bottom w:val="single" w:color="000000" w:sz="4" w:space="0"/>
            </w:tcBorders>
            <w:vAlign w:val="center"/>
          </w:tcPr>
          <w:p w14:paraId="5A32840B">
            <w:pPr>
              <w:widowControl/>
              <w:tabs>
                <w:tab w:val="center" w:pos="4201"/>
                <w:tab w:val="right" w:leader="dot" w:pos="9298"/>
              </w:tabs>
              <w:autoSpaceDE w:val="0"/>
              <w:autoSpaceDN w:val="0"/>
              <w:jc w:val="center"/>
              <w:rPr>
                <w:rFonts w:ascii="宋体"/>
                <w:kern w:val="0"/>
                <w:sz w:val="18"/>
                <w:szCs w:val="15"/>
              </w:rPr>
            </w:pPr>
            <w:r>
              <w:rPr>
                <w:rFonts w:ascii="宋体"/>
                <w:kern w:val="0"/>
                <w:sz w:val="18"/>
                <w:szCs w:val="15"/>
              </w:rPr>
              <w:t>企业相关自证材料</w:t>
            </w:r>
          </w:p>
        </w:tc>
      </w:tr>
      <w:tr w14:paraId="62313FF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jc w:val="center"/>
        </w:trPr>
        <w:tc>
          <w:tcPr>
            <w:tcW w:w="1340" w:type="dxa"/>
            <w:vMerge w:val="continue"/>
            <w:tcBorders>
              <w:top w:val="single" w:color="000000" w:sz="4" w:space="0"/>
              <w:bottom w:val="single" w:color="000000" w:sz="12" w:space="0"/>
            </w:tcBorders>
            <w:vAlign w:val="center"/>
          </w:tcPr>
          <w:p w14:paraId="30BBDB28">
            <w:pPr>
              <w:widowControl/>
              <w:tabs>
                <w:tab w:val="center" w:pos="4201"/>
                <w:tab w:val="right" w:leader="dot" w:pos="9298"/>
              </w:tabs>
              <w:autoSpaceDE w:val="0"/>
              <w:autoSpaceDN w:val="0"/>
              <w:jc w:val="center"/>
              <w:rPr>
                <w:rFonts w:ascii="宋体"/>
                <w:kern w:val="0"/>
                <w:sz w:val="18"/>
                <w:szCs w:val="15"/>
              </w:rPr>
            </w:pPr>
          </w:p>
        </w:tc>
        <w:tc>
          <w:tcPr>
            <w:tcW w:w="2031" w:type="dxa"/>
            <w:tcBorders>
              <w:top w:val="single" w:color="000000" w:sz="4" w:space="0"/>
              <w:bottom w:val="single" w:color="000000" w:sz="12" w:space="0"/>
            </w:tcBorders>
            <w:vAlign w:val="center"/>
          </w:tcPr>
          <w:p w14:paraId="31D34CFF">
            <w:pPr>
              <w:autoSpaceDE w:val="0"/>
              <w:autoSpaceDN w:val="0"/>
              <w:jc w:val="center"/>
              <w:rPr>
                <w:rFonts w:ascii="宋体"/>
                <w:kern w:val="0"/>
                <w:sz w:val="18"/>
                <w:szCs w:val="15"/>
              </w:rPr>
            </w:pPr>
            <w:r>
              <w:rPr>
                <w:rFonts w:hint="eastAsia" w:ascii="宋体"/>
                <w:kern w:val="0"/>
                <w:sz w:val="18"/>
                <w:szCs w:val="15"/>
              </w:rPr>
              <w:t>污染物排放水平</w:t>
            </w:r>
          </w:p>
        </w:tc>
        <w:tc>
          <w:tcPr>
            <w:tcW w:w="6199" w:type="dxa"/>
            <w:tcBorders>
              <w:top w:val="single" w:color="000000" w:sz="4" w:space="0"/>
              <w:bottom w:val="single" w:color="000000" w:sz="12" w:space="0"/>
            </w:tcBorders>
            <w:vAlign w:val="center"/>
          </w:tcPr>
          <w:p w14:paraId="123DA6B6">
            <w:pPr>
              <w:widowControl/>
              <w:tabs>
                <w:tab w:val="center" w:pos="4201"/>
                <w:tab w:val="right" w:leader="dot" w:pos="9298"/>
              </w:tabs>
              <w:autoSpaceDE w:val="0"/>
              <w:autoSpaceDN w:val="0"/>
              <w:jc w:val="center"/>
              <w:rPr>
                <w:rFonts w:ascii="宋体"/>
                <w:kern w:val="0"/>
                <w:sz w:val="18"/>
                <w:szCs w:val="15"/>
              </w:rPr>
            </w:pPr>
            <w:r>
              <w:rPr>
                <w:rFonts w:hint="eastAsia" w:ascii="宋体"/>
                <w:kern w:val="0"/>
                <w:sz w:val="18"/>
                <w:szCs w:val="18"/>
              </w:rPr>
              <w:t>企业相关自证材料</w:t>
            </w:r>
            <w:r>
              <w:rPr>
                <w:rFonts w:hint="eastAsia" w:ascii="宋体"/>
                <w:kern w:val="0"/>
                <w:sz w:val="18"/>
                <w:szCs w:val="18"/>
                <w:vertAlign w:val="superscript"/>
              </w:rPr>
              <w:t>a</w:t>
            </w:r>
          </w:p>
        </w:tc>
      </w:tr>
      <w:tr w14:paraId="42BACA5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jc w:val="center"/>
        </w:trPr>
        <w:tc>
          <w:tcPr>
            <w:tcW w:w="9570" w:type="dxa"/>
            <w:gridSpan w:val="3"/>
            <w:tcBorders>
              <w:top w:val="single" w:color="000000" w:sz="12" w:space="0"/>
              <w:bottom w:val="single" w:color="000000" w:sz="12" w:space="0"/>
            </w:tcBorders>
            <w:vAlign w:val="center"/>
          </w:tcPr>
          <w:p w14:paraId="166F3116">
            <w:pPr>
              <w:widowControl/>
              <w:tabs>
                <w:tab w:val="center" w:pos="4201"/>
                <w:tab w:val="right" w:leader="dot" w:pos="9298"/>
              </w:tabs>
              <w:ind w:left="589" w:leftChars="170" w:hanging="232" w:hangingChars="129"/>
              <w:jc w:val="left"/>
              <w:rPr>
                <w:rFonts w:ascii="宋体"/>
                <w:kern w:val="0"/>
                <w:sz w:val="18"/>
                <w:szCs w:val="15"/>
              </w:rPr>
            </w:pPr>
            <w:bookmarkStart w:id="165" w:name="_Toc26726"/>
            <w:bookmarkStart w:id="166" w:name="_Toc23959"/>
            <w:bookmarkStart w:id="167" w:name="_Toc21466"/>
            <w:r>
              <w:rPr>
                <w:rFonts w:hint="eastAsia" w:ascii="宋体"/>
                <w:kern w:val="0"/>
                <w:sz w:val="18"/>
                <w:szCs w:val="18"/>
                <w:vertAlign w:val="superscript"/>
              </w:rPr>
              <w:t>a</w:t>
            </w:r>
            <w:r>
              <w:rPr>
                <w:rFonts w:hint="eastAsia" w:ascii="宋体"/>
                <w:kern w:val="0"/>
                <w:sz w:val="18"/>
                <w:szCs w:val="18"/>
              </w:rPr>
              <w:t xml:space="preserve">  已开展的项目采用全国污染源监测数据管理与共享系统平台的自行监测数据，未开展的项目采用环境影响评价报告。</w:t>
            </w:r>
          </w:p>
        </w:tc>
      </w:tr>
    </w:tbl>
    <w:p w14:paraId="12F26CE4">
      <w:pPr>
        <w:pStyle w:val="45"/>
        <w:outlineLvl w:val="1"/>
        <w:rPr>
          <w:rFonts w:ascii="Times New Roman"/>
        </w:rPr>
      </w:pPr>
      <w:bookmarkStart w:id="168" w:name="_Toc195040397"/>
      <w:r>
        <w:rPr>
          <w:rFonts w:hint="eastAsia" w:ascii="Times New Roman"/>
        </w:rPr>
        <w:t>编制报告</w:t>
      </w:r>
      <w:bookmarkEnd w:id="165"/>
      <w:bookmarkEnd w:id="166"/>
      <w:bookmarkEnd w:id="167"/>
      <w:bookmarkEnd w:id="168"/>
    </w:p>
    <w:p w14:paraId="79481A27">
      <w:pPr>
        <w:autoSpaceDE w:val="0"/>
        <w:autoSpaceDN w:val="0"/>
        <w:ind w:firstLine="420" w:firstLineChars="200"/>
        <w:rPr>
          <w:rFonts w:ascii="宋体" w:hAnsi="宋体" w:cs="宋体"/>
        </w:rPr>
      </w:pPr>
      <w:r>
        <w:rPr>
          <w:rFonts w:hint="eastAsia" w:ascii="宋体" w:hAnsi="宋体" w:cs="宋体"/>
        </w:rPr>
        <w:t>企事业单位或项目主体认定报告模板分别见附录C和附录D</w:t>
      </w:r>
      <w:r>
        <w:rPr>
          <w:rFonts w:hint="eastAsia" w:hAnsi="宋体" w:cs="宋体"/>
        </w:rPr>
        <w:t>，</w:t>
      </w:r>
      <w:r>
        <w:rPr>
          <w:rFonts w:hint="eastAsia" w:ascii="宋体" w:hAnsi="宋体" w:cs="宋体"/>
        </w:rPr>
        <w:t>内容包括但不限于：</w:t>
      </w:r>
    </w:p>
    <w:p w14:paraId="5E203444">
      <w:pPr>
        <w:autoSpaceDE w:val="0"/>
        <w:autoSpaceDN w:val="0"/>
        <w:ind w:firstLine="420" w:firstLineChars="200"/>
        <w:rPr>
          <w:rFonts w:ascii="宋体" w:hAnsi="宋体" w:cs="宋体"/>
        </w:rPr>
      </w:pPr>
      <w:r>
        <w:rPr>
          <w:rFonts w:hint="eastAsia" w:ascii="宋体" w:hAnsi="宋体" w:cs="宋体"/>
        </w:rPr>
        <w:t>——基本信息表，包括企事业单位或项目基本信息；</w:t>
      </w:r>
    </w:p>
    <w:p w14:paraId="1481F656">
      <w:pPr>
        <w:autoSpaceDE w:val="0"/>
        <w:autoSpaceDN w:val="0"/>
        <w:ind w:firstLine="420" w:firstLineChars="200"/>
        <w:rPr>
          <w:rFonts w:ascii="宋体" w:hAnsi="宋体" w:cs="宋体"/>
        </w:rPr>
      </w:pPr>
      <w:r>
        <w:rPr>
          <w:rFonts w:hint="eastAsia" w:ascii="宋体" w:hAnsi="宋体" w:cs="宋体"/>
        </w:rPr>
        <w:t>——基本情况，概述企事业单位或项目发展现状以及在绿色低碳方面开展的重点工作；</w:t>
      </w:r>
    </w:p>
    <w:p w14:paraId="58D40EB8">
      <w:pPr>
        <w:autoSpaceDE w:val="0"/>
        <w:autoSpaceDN w:val="0"/>
        <w:ind w:firstLine="420" w:firstLineChars="200"/>
        <w:rPr>
          <w:rFonts w:ascii="宋体" w:hAnsi="宋体" w:cs="宋体"/>
        </w:rPr>
      </w:pPr>
      <w:r>
        <w:rPr>
          <w:rFonts w:hint="eastAsia" w:ascii="宋体" w:hAnsi="宋体" w:cs="宋体"/>
        </w:rPr>
        <w:t>——评价工作，概述绿色低碳产业认定评价工作具体开展情况；</w:t>
      </w:r>
    </w:p>
    <w:p w14:paraId="5A457BA3">
      <w:pPr>
        <w:autoSpaceDE w:val="0"/>
        <w:autoSpaceDN w:val="0"/>
        <w:ind w:firstLine="420" w:firstLineChars="200"/>
        <w:rPr>
          <w:rFonts w:ascii="宋体" w:hAnsi="宋体" w:cs="宋体"/>
        </w:rPr>
      </w:pPr>
      <w:r>
        <w:rPr>
          <w:rFonts w:hint="eastAsia" w:ascii="宋体" w:hAnsi="宋体" w:cs="宋体"/>
        </w:rPr>
        <w:t>——认定情况，对符合性评价要求及综合评价要求等内容进行具体描述；</w:t>
      </w:r>
    </w:p>
    <w:p w14:paraId="36A51167">
      <w:pPr>
        <w:autoSpaceDE w:val="0"/>
        <w:autoSpaceDN w:val="0"/>
        <w:ind w:firstLine="420" w:firstLineChars="200"/>
        <w:rPr>
          <w:rFonts w:ascii="宋体" w:hAnsi="宋体" w:cs="宋体"/>
        </w:rPr>
      </w:pPr>
      <w:bookmarkStart w:id="169" w:name="_Toc31223"/>
      <w:bookmarkStart w:id="170" w:name="_Toc2456"/>
      <w:r>
        <w:rPr>
          <w:rFonts w:hint="eastAsia" w:ascii="宋体" w:hAnsi="宋体" w:cs="宋体"/>
        </w:rPr>
        <w:t>——评价表，对符合性评价及综合评价指标得分情况进行量化；</w:t>
      </w:r>
      <w:bookmarkEnd w:id="169"/>
      <w:bookmarkEnd w:id="170"/>
    </w:p>
    <w:p w14:paraId="7599798D">
      <w:pPr>
        <w:autoSpaceDE w:val="0"/>
        <w:autoSpaceDN w:val="0"/>
        <w:ind w:firstLine="420" w:firstLineChars="200"/>
      </w:pPr>
      <w:bookmarkStart w:id="171" w:name="_Toc18350"/>
      <w:bookmarkStart w:id="172" w:name="_Toc18275"/>
      <w:r>
        <w:rPr>
          <w:rFonts w:hint="eastAsia" w:ascii="宋体" w:hAnsi="宋体" w:cs="宋体"/>
        </w:rPr>
        <w:t>——相关支持材料。</w:t>
      </w:r>
      <w:bookmarkEnd w:id="171"/>
      <w:bookmarkEnd w:id="172"/>
    </w:p>
    <w:p w14:paraId="1BD90DF6">
      <w:pPr>
        <w:pStyle w:val="45"/>
        <w:outlineLvl w:val="1"/>
        <w:rPr>
          <w:rFonts w:ascii="Times New Roman"/>
        </w:rPr>
      </w:pPr>
      <w:bookmarkStart w:id="173" w:name="_Toc195040398"/>
      <w:bookmarkStart w:id="174" w:name="_Toc24083"/>
      <w:bookmarkStart w:id="175" w:name="_Toc27179"/>
      <w:r>
        <w:rPr>
          <w:rFonts w:hint="eastAsia" w:ascii="Times New Roman"/>
        </w:rPr>
        <w:t>认定评审</w:t>
      </w:r>
      <w:bookmarkEnd w:id="173"/>
      <w:bookmarkEnd w:id="174"/>
      <w:bookmarkEnd w:id="175"/>
    </w:p>
    <w:p w14:paraId="70F95408">
      <w:pPr>
        <w:pStyle w:val="49"/>
        <w:spacing w:before="156" w:after="156"/>
        <w:rPr>
          <w:rFonts w:ascii="Times New Roman"/>
        </w:rPr>
      </w:pPr>
      <w:r>
        <w:rPr>
          <w:rFonts w:ascii="Times New Roman"/>
        </w:rPr>
        <w:t>评价方式</w:t>
      </w:r>
    </w:p>
    <w:p w14:paraId="2819A38E">
      <w:pPr>
        <w:pStyle w:val="25"/>
        <w:rPr>
          <w:rFonts w:hAnsi="宋体" w:cs="宋体"/>
        </w:rPr>
      </w:pPr>
      <w:r>
        <w:rPr>
          <w:rFonts w:hint="eastAsia" w:ascii="Times New Roman"/>
        </w:rPr>
        <w:t>依据符合性评价指标对企事业单位或项目申请认定评价的绿色业务进行界定，达到符合性评价要求的，进一步依据综合评价指标对其绿色业务影响力（技术表现、业务表现）和自身绿色化程度（环境表现、社会表现）进行综合评价。</w:t>
      </w:r>
      <w:r>
        <w:rPr>
          <w:rFonts w:hint="eastAsia" w:hAnsi="宋体" w:cs="宋体"/>
        </w:rPr>
        <w:t>智能电网建设运营领域绿色低碳产业认定评价等级划分见表2</w:t>
      </w:r>
      <w:r>
        <w:rPr>
          <w:rFonts w:hAnsi="宋体" w:cs="宋体"/>
        </w:rPr>
        <w:t>8</w:t>
      </w:r>
      <w:r>
        <w:rPr>
          <w:rFonts w:hint="eastAsia" w:hAnsi="宋体" w:cs="宋体"/>
        </w:rPr>
        <w:t>。</w:t>
      </w:r>
    </w:p>
    <w:p w14:paraId="0A54C824">
      <w:pPr>
        <w:numPr>
          <w:ilvl w:val="0"/>
          <w:numId w:val="17"/>
        </w:numPr>
        <w:spacing w:before="156" w:beforeLines="50" w:after="156" w:afterLines="50"/>
        <w:jc w:val="center"/>
        <w:rPr>
          <w:rFonts w:eastAsia="黑体"/>
        </w:rPr>
      </w:pPr>
      <w:r>
        <w:rPr>
          <w:rFonts w:hint="eastAsia" w:eastAsia="黑体"/>
        </w:rPr>
        <w:t>智能电网建设运营领域绿色低碳产业认定评价等级划分</w:t>
      </w:r>
    </w:p>
    <w:tbl>
      <w:tblPr>
        <w:tblStyle w:val="35"/>
        <w:tblW w:w="956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679"/>
        <w:gridCol w:w="2294"/>
        <w:gridCol w:w="2294"/>
        <w:gridCol w:w="2301"/>
      </w:tblGrid>
      <w:tr w14:paraId="0A3756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679" w:type="dxa"/>
            <w:vMerge w:val="restart"/>
            <w:tcBorders>
              <w:top w:val="single" w:color="auto" w:sz="12" w:space="0"/>
            </w:tcBorders>
            <w:vAlign w:val="center"/>
          </w:tcPr>
          <w:p w14:paraId="718EBE27">
            <w:pPr>
              <w:autoSpaceDE w:val="0"/>
              <w:autoSpaceDN w:val="0"/>
              <w:jc w:val="center"/>
              <w:rPr>
                <w:b/>
                <w:bCs/>
                <w:sz w:val="18"/>
                <w:szCs w:val="16"/>
              </w:rPr>
            </w:pPr>
            <w:r>
              <w:rPr>
                <w:rFonts w:hint="eastAsia"/>
                <w:b/>
                <w:bCs/>
                <w:sz w:val="18"/>
                <w:szCs w:val="16"/>
              </w:rPr>
              <w:t>评价对象</w:t>
            </w:r>
          </w:p>
        </w:tc>
        <w:tc>
          <w:tcPr>
            <w:tcW w:w="6889" w:type="dxa"/>
            <w:gridSpan w:val="3"/>
            <w:tcBorders>
              <w:top w:val="single" w:color="auto" w:sz="12" w:space="0"/>
            </w:tcBorders>
            <w:vAlign w:val="center"/>
          </w:tcPr>
          <w:p w14:paraId="0C21DD66">
            <w:pPr>
              <w:autoSpaceDE w:val="0"/>
              <w:autoSpaceDN w:val="0"/>
              <w:jc w:val="center"/>
              <w:rPr>
                <w:b/>
                <w:bCs/>
                <w:sz w:val="18"/>
                <w:szCs w:val="16"/>
              </w:rPr>
            </w:pPr>
            <w:r>
              <w:rPr>
                <w:rFonts w:hint="eastAsia"/>
                <w:b/>
                <w:bCs/>
                <w:sz w:val="18"/>
                <w:szCs w:val="16"/>
              </w:rPr>
              <w:t>评价等级</w:t>
            </w:r>
          </w:p>
        </w:tc>
      </w:tr>
      <w:tr w14:paraId="6BE8B35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679" w:type="dxa"/>
            <w:vMerge w:val="continue"/>
            <w:tcBorders>
              <w:bottom w:val="single" w:color="auto" w:sz="12" w:space="0"/>
            </w:tcBorders>
          </w:tcPr>
          <w:p w14:paraId="07EBA7A1">
            <w:pPr>
              <w:autoSpaceDE w:val="0"/>
              <w:autoSpaceDN w:val="0"/>
              <w:jc w:val="center"/>
              <w:rPr>
                <w:rFonts w:ascii="宋体" w:hAnsi="宋体" w:cs="宋体"/>
                <w:sz w:val="18"/>
                <w:szCs w:val="16"/>
              </w:rPr>
            </w:pPr>
          </w:p>
        </w:tc>
        <w:tc>
          <w:tcPr>
            <w:tcW w:w="2294" w:type="dxa"/>
            <w:tcBorders>
              <w:bottom w:val="single" w:color="auto" w:sz="12" w:space="0"/>
            </w:tcBorders>
          </w:tcPr>
          <w:p w14:paraId="768A8C99">
            <w:pPr>
              <w:autoSpaceDE w:val="0"/>
              <w:autoSpaceDN w:val="0"/>
              <w:jc w:val="center"/>
              <w:rPr>
                <w:rFonts w:ascii="宋体" w:hAnsi="宋体" w:cs="宋体"/>
                <w:sz w:val="18"/>
                <w:szCs w:val="16"/>
              </w:rPr>
            </w:pPr>
            <w:r>
              <w:rPr>
                <w:rFonts w:hint="eastAsia" w:ascii="宋体" w:hAnsi="宋体" w:cs="宋体"/>
                <w:sz w:val="18"/>
                <w:szCs w:val="16"/>
              </w:rPr>
              <w:t>浅绿</w:t>
            </w:r>
          </w:p>
        </w:tc>
        <w:tc>
          <w:tcPr>
            <w:tcW w:w="2294" w:type="dxa"/>
            <w:tcBorders>
              <w:bottom w:val="single" w:color="auto" w:sz="12" w:space="0"/>
            </w:tcBorders>
          </w:tcPr>
          <w:p w14:paraId="3C40C3DE">
            <w:pPr>
              <w:autoSpaceDE w:val="0"/>
              <w:autoSpaceDN w:val="0"/>
              <w:jc w:val="center"/>
              <w:rPr>
                <w:rFonts w:ascii="宋体" w:hAnsi="宋体" w:cs="宋体"/>
                <w:sz w:val="18"/>
                <w:szCs w:val="16"/>
              </w:rPr>
            </w:pPr>
            <w:r>
              <w:rPr>
                <w:rFonts w:hint="eastAsia" w:ascii="宋体" w:hAnsi="宋体" w:cs="宋体"/>
                <w:sz w:val="18"/>
                <w:szCs w:val="16"/>
              </w:rPr>
              <w:t>中绿</w:t>
            </w:r>
          </w:p>
        </w:tc>
        <w:tc>
          <w:tcPr>
            <w:tcW w:w="2301" w:type="dxa"/>
            <w:tcBorders>
              <w:bottom w:val="single" w:color="auto" w:sz="12" w:space="0"/>
            </w:tcBorders>
          </w:tcPr>
          <w:p w14:paraId="1BA6DFE9">
            <w:pPr>
              <w:autoSpaceDE w:val="0"/>
              <w:autoSpaceDN w:val="0"/>
              <w:jc w:val="center"/>
              <w:rPr>
                <w:rFonts w:ascii="宋体" w:hAnsi="宋体" w:cs="宋体"/>
                <w:sz w:val="18"/>
                <w:szCs w:val="16"/>
              </w:rPr>
            </w:pPr>
            <w:r>
              <w:rPr>
                <w:rFonts w:hint="eastAsia" w:ascii="宋体" w:hAnsi="宋体" w:cs="宋体"/>
                <w:sz w:val="18"/>
                <w:szCs w:val="16"/>
              </w:rPr>
              <w:t>深绿</w:t>
            </w:r>
          </w:p>
        </w:tc>
      </w:tr>
      <w:tr w14:paraId="387BB52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679" w:type="dxa"/>
            <w:tcBorders>
              <w:top w:val="single" w:color="auto" w:sz="12" w:space="0"/>
              <w:tl2br w:val="nil"/>
              <w:tr2bl w:val="nil"/>
            </w:tcBorders>
          </w:tcPr>
          <w:p w14:paraId="59347482">
            <w:pPr>
              <w:autoSpaceDE w:val="0"/>
              <w:autoSpaceDN w:val="0"/>
              <w:jc w:val="center"/>
              <w:rPr>
                <w:rFonts w:ascii="宋体" w:hAnsi="宋体" w:cs="宋体"/>
                <w:sz w:val="18"/>
                <w:szCs w:val="16"/>
              </w:rPr>
            </w:pPr>
            <w:r>
              <w:rPr>
                <w:rFonts w:hint="eastAsia" w:ascii="宋体" w:hAnsi="宋体" w:cs="宋体"/>
                <w:sz w:val="18"/>
                <w:szCs w:val="16"/>
              </w:rPr>
              <w:t>绿色低碳产业企业</w:t>
            </w:r>
          </w:p>
        </w:tc>
        <w:tc>
          <w:tcPr>
            <w:tcW w:w="2294" w:type="dxa"/>
            <w:tcBorders>
              <w:top w:val="single" w:color="auto" w:sz="12" w:space="0"/>
              <w:tl2br w:val="nil"/>
              <w:tr2bl w:val="nil"/>
            </w:tcBorders>
          </w:tcPr>
          <w:p w14:paraId="4C6674B8">
            <w:pPr>
              <w:autoSpaceDE w:val="0"/>
              <w:autoSpaceDN w:val="0"/>
              <w:jc w:val="center"/>
              <w:rPr>
                <w:rFonts w:ascii="宋体" w:hAnsi="宋体" w:cs="宋体"/>
                <w:sz w:val="18"/>
                <w:szCs w:val="16"/>
              </w:rPr>
            </w:pPr>
            <w:r>
              <w:rPr>
                <w:rFonts w:hint="eastAsia" w:ascii="宋体" w:hAnsi="宋体" w:cs="宋体"/>
                <w:sz w:val="18"/>
                <w:szCs w:val="16"/>
              </w:rPr>
              <w:t>60分≤S＜70分</w:t>
            </w:r>
          </w:p>
        </w:tc>
        <w:tc>
          <w:tcPr>
            <w:tcW w:w="2294" w:type="dxa"/>
            <w:tcBorders>
              <w:top w:val="single" w:color="auto" w:sz="12" w:space="0"/>
              <w:tl2br w:val="nil"/>
              <w:tr2bl w:val="nil"/>
            </w:tcBorders>
          </w:tcPr>
          <w:p w14:paraId="11989A5A">
            <w:pPr>
              <w:autoSpaceDE w:val="0"/>
              <w:autoSpaceDN w:val="0"/>
              <w:jc w:val="center"/>
              <w:rPr>
                <w:rFonts w:ascii="宋体" w:hAnsi="宋体" w:cs="宋体"/>
                <w:sz w:val="18"/>
                <w:szCs w:val="16"/>
              </w:rPr>
            </w:pPr>
            <w:r>
              <w:rPr>
                <w:rFonts w:hint="eastAsia" w:ascii="宋体" w:hAnsi="宋体" w:cs="宋体"/>
                <w:sz w:val="18"/>
                <w:szCs w:val="16"/>
              </w:rPr>
              <w:t>70分≤S＜85分</w:t>
            </w:r>
          </w:p>
        </w:tc>
        <w:tc>
          <w:tcPr>
            <w:tcW w:w="2301" w:type="dxa"/>
            <w:tcBorders>
              <w:top w:val="single" w:color="auto" w:sz="12" w:space="0"/>
              <w:tl2br w:val="nil"/>
              <w:tr2bl w:val="nil"/>
            </w:tcBorders>
          </w:tcPr>
          <w:p w14:paraId="26662A91">
            <w:pPr>
              <w:autoSpaceDE w:val="0"/>
              <w:autoSpaceDN w:val="0"/>
              <w:jc w:val="center"/>
              <w:rPr>
                <w:rFonts w:ascii="宋体" w:hAnsi="宋体" w:cs="宋体"/>
                <w:sz w:val="18"/>
                <w:szCs w:val="16"/>
              </w:rPr>
            </w:pPr>
            <w:r>
              <w:rPr>
                <w:rFonts w:hint="eastAsia" w:ascii="宋体" w:hAnsi="宋体" w:cs="宋体"/>
                <w:sz w:val="18"/>
                <w:szCs w:val="16"/>
              </w:rPr>
              <w:t>S≥85分</w:t>
            </w:r>
          </w:p>
        </w:tc>
      </w:tr>
      <w:tr w14:paraId="11802F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679" w:type="dxa"/>
            <w:tcBorders>
              <w:bottom w:val="single" w:color="auto" w:sz="12" w:space="0"/>
              <w:tl2br w:val="nil"/>
              <w:tr2bl w:val="nil"/>
            </w:tcBorders>
          </w:tcPr>
          <w:p w14:paraId="7CE2312C">
            <w:pPr>
              <w:autoSpaceDE w:val="0"/>
              <w:autoSpaceDN w:val="0"/>
              <w:jc w:val="center"/>
              <w:rPr>
                <w:rFonts w:ascii="宋体" w:hAnsi="宋体" w:cs="宋体"/>
                <w:sz w:val="18"/>
                <w:szCs w:val="16"/>
              </w:rPr>
            </w:pPr>
            <w:r>
              <w:rPr>
                <w:rFonts w:hint="eastAsia" w:ascii="宋体" w:hAnsi="宋体" w:cs="宋体"/>
                <w:sz w:val="18"/>
                <w:szCs w:val="16"/>
              </w:rPr>
              <w:t>绿色低碳产业项目</w:t>
            </w:r>
          </w:p>
        </w:tc>
        <w:tc>
          <w:tcPr>
            <w:tcW w:w="2294" w:type="dxa"/>
            <w:tcBorders>
              <w:bottom w:val="single" w:color="auto" w:sz="12" w:space="0"/>
              <w:tl2br w:val="nil"/>
              <w:tr2bl w:val="nil"/>
            </w:tcBorders>
          </w:tcPr>
          <w:p w14:paraId="0C855D2C">
            <w:pPr>
              <w:autoSpaceDE w:val="0"/>
              <w:autoSpaceDN w:val="0"/>
              <w:jc w:val="center"/>
              <w:rPr>
                <w:rFonts w:ascii="宋体" w:hAnsi="宋体" w:cs="宋体"/>
                <w:sz w:val="18"/>
                <w:szCs w:val="16"/>
              </w:rPr>
            </w:pPr>
            <w:r>
              <w:rPr>
                <w:rFonts w:hint="eastAsia" w:ascii="宋体" w:hAnsi="宋体" w:cs="宋体"/>
                <w:sz w:val="18"/>
                <w:szCs w:val="16"/>
              </w:rPr>
              <w:t>满足符合性评价要求</w:t>
            </w:r>
          </w:p>
        </w:tc>
        <w:tc>
          <w:tcPr>
            <w:tcW w:w="2294" w:type="dxa"/>
            <w:tcBorders>
              <w:bottom w:val="single" w:color="auto" w:sz="12" w:space="0"/>
              <w:tl2br w:val="nil"/>
              <w:tr2bl w:val="nil"/>
            </w:tcBorders>
          </w:tcPr>
          <w:p w14:paraId="735421F2">
            <w:pPr>
              <w:autoSpaceDE w:val="0"/>
              <w:autoSpaceDN w:val="0"/>
              <w:jc w:val="center"/>
              <w:rPr>
                <w:rFonts w:ascii="宋体" w:hAnsi="宋体" w:cs="宋体"/>
                <w:sz w:val="18"/>
                <w:szCs w:val="16"/>
              </w:rPr>
            </w:pPr>
            <w:r>
              <w:rPr>
                <w:rFonts w:hint="eastAsia" w:ascii="宋体" w:hAnsi="宋体" w:cs="宋体"/>
                <w:sz w:val="18"/>
                <w:szCs w:val="16"/>
              </w:rPr>
              <w:t>60分≤S＜80分</w:t>
            </w:r>
          </w:p>
        </w:tc>
        <w:tc>
          <w:tcPr>
            <w:tcW w:w="2301" w:type="dxa"/>
            <w:tcBorders>
              <w:bottom w:val="single" w:color="auto" w:sz="12" w:space="0"/>
              <w:tl2br w:val="nil"/>
              <w:tr2bl w:val="nil"/>
            </w:tcBorders>
          </w:tcPr>
          <w:p w14:paraId="7DA72D42">
            <w:pPr>
              <w:autoSpaceDE w:val="0"/>
              <w:autoSpaceDN w:val="0"/>
              <w:jc w:val="center"/>
              <w:rPr>
                <w:rFonts w:ascii="宋体" w:hAnsi="宋体" w:cs="宋体"/>
                <w:sz w:val="18"/>
                <w:szCs w:val="16"/>
              </w:rPr>
            </w:pPr>
            <w:r>
              <w:rPr>
                <w:rFonts w:hint="eastAsia" w:ascii="宋体" w:hAnsi="宋体" w:cs="宋体"/>
                <w:sz w:val="18"/>
                <w:szCs w:val="16"/>
              </w:rPr>
              <w:t>S≥80分</w:t>
            </w:r>
          </w:p>
        </w:tc>
      </w:tr>
      <w:tr w14:paraId="7B9B9F1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568" w:type="dxa"/>
            <w:gridSpan w:val="4"/>
            <w:tcBorders>
              <w:top w:val="single" w:color="auto" w:sz="12" w:space="0"/>
              <w:bottom w:val="single" w:color="auto" w:sz="12" w:space="0"/>
            </w:tcBorders>
          </w:tcPr>
          <w:p w14:paraId="7DBDF637">
            <w:pPr>
              <w:numPr>
                <w:ilvl w:val="0"/>
                <w:numId w:val="6"/>
              </w:numPr>
              <w:autoSpaceDE w:val="0"/>
              <w:autoSpaceDN w:val="0"/>
              <w:rPr>
                <w:rFonts w:ascii="宋体" w:hAnsi="宋体" w:cs="宋体"/>
                <w:sz w:val="18"/>
                <w:szCs w:val="16"/>
              </w:rPr>
            </w:pPr>
            <w:r>
              <w:rPr>
                <w:rFonts w:hint="eastAsia" w:ascii="宋体"/>
                <w:sz w:val="18"/>
                <w:szCs w:val="18"/>
              </w:rPr>
              <w:t>S为绿色低碳产业企业或项目认定综合评价值。</w:t>
            </w:r>
          </w:p>
        </w:tc>
      </w:tr>
    </w:tbl>
    <w:p w14:paraId="1C33A3DB">
      <w:pPr>
        <w:pStyle w:val="49"/>
        <w:spacing w:before="156" w:after="156"/>
      </w:pPr>
      <w:r>
        <w:rPr>
          <w:rFonts w:ascii="Times New Roman"/>
        </w:rPr>
        <w:t>评价</w:t>
      </w:r>
      <w:r>
        <w:rPr>
          <w:rFonts w:hint="eastAsia" w:ascii="Times New Roman"/>
        </w:rPr>
        <w:t>打分</w:t>
      </w:r>
    </w:p>
    <w:p w14:paraId="0421C255">
      <w:pPr>
        <w:pStyle w:val="25"/>
        <w:rPr>
          <w:rFonts w:hAnsi="宋体" w:cs="宋体"/>
        </w:rPr>
      </w:pPr>
      <w:r>
        <w:rPr>
          <w:rFonts w:hint="eastAsia" w:hAnsi="宋体" w:cs="宋体"/>
        </w:rPr>
        <w:t>绿色低碳产业认定评价的符合性评价为一票否决项，绿色低碳产业认定综合评价值为各项指标得分的累计叠加值，满分为100分，计算方法见公式（3）。</w:t>
      </w:r>
    </w:p>
    <w:p w14:paraId="1E28EC15">
      <w:pPr>
        <w:pStyle w:val="25"/>
        <w:tabs>
          <w:tab w:val="center" w:leader="middleDot" w:pos="5460"/>
          <w:tab w:val="clear" w:pos="4201"/>
        </w:tabs>
        <w:autoSpaceDE/>
        <w:autoSpaceDN/>
        <w:spacing w:line="480" w:lineRule="auto"/>
        <w:jc w:val="right"/>
        <w:rPr>
          <w:rFonts w:hAnsi="宋体" w:cs="宋体"/>
        </w:rPr>
      </w:pPr>
      <m:oMath>
        <m:r>
          <m:rPr/>
          <w:rPr>
            <w:rFonts w:ascii="Cambria Math" w:hAnsi="Cambria Math" w:eastAsiaTheme="minorEastAsia" w:cstheme="minorEastAsia"/>
          </w:rPr>
          <m:t>S=</m:t>
        </m:r>
        <m:nary>
          <m:naryPr>
            <m:chr m:val="∑"/>
            <m:limLoc m:val="undOvr"/>
            <m:ctrlPr>
              <w:rPr>
                <w:rFonts w:hint="eastAsia" w:ascii="Cambria Math" w:hAnsi="Cambria Math" w:eastAsiaTheme="minorEastAsia" w:cstheme="minorEastAsia"/>
                <w:i/>
                <w:iCs/>
              </w:rPr>
            </m:ctrlPr>
          </m:naryPr>
          <m:sub>
            <m:r>
              <m:rPr/>
              <w:rPr>
                <w:rFonts w:ascii="Cambria Math" w:hAnsi="Cambria Math" w:eastAsiaTheme="minorEastAsia" w:cstheme="minorEastAsia"/>
              </w:rPr>
              <m:t>i=1</m:t>
            </m:r>
            <m:ctrlPr>
              <w:rPr>
                <w:rFonts w:hint="eastAsia" w:ascii="Cambria Math" w:hAnsi="Cambria Math" w:eastAsiaTheme="minorEastAsia" w:cstheme="minorEastAsia"/>
                <w:i/>
                <w:iCs/>
              </w:rPr>
            </m:ctrlPr>
          </m:sub>
          <m:sup>
            <m:r>
              <m:rPr/>
              <w:rPr>
                <w:rFonts w:ascii="Cambria Math" w:hAnsi="Cambria Math" w:eastAsiaTheme="minorEastAsia" w:cstheme="minorEastAsia"/>
              </w:rPr>
              <m:t>n</m:t>
            </m:r>
            <m:ctrlPr>
              <w:rPr>
                <w:rFonts w:hint="eastAsia" w:ascii="Cambria Math" w:hAnsi="Cambria Math" w:eastAsiaTheme="minorEastAsia" w:cstheme="minorEastAsia"/>
                <w:i/>
                <w:iCs/>
              </w:rPr>
            </m:ctrlPr>
          </m:sup>
          <m:e>
            <m:sSub>
              <m:sSubPr>
                <m:ctrlPr>
                  <w:rPr>
                    <w:rFonts w:hint="eastAsia" w:ascii="Cambria Math" w:hAnsi="Cambria Math" w:eastAsiaTheme="minorEastAsia" w:cstheme="minorEastAsia"/>
                    <w:i/>
                    <w:iCs/>
                  </w:rPr>
                </m:ctrlPr>
              </m:sSubPr>
              <m:e>
                <m:r>
                  <m:rPr/>
                  <w:rPr>
                    <w:rFonts w:ascii="Cambria Math" w:hAnsi="Cambria Math" w:eastAsiaTheme="minorEastAsia" w:cstheme="minorEastAsia"/>
                  </w:rPr>
                  <m:t>X</m:t>
                </m:r>
                <m:ctrlPr>
                  <w:rPr>
                    <w:rFonts w:hint="eastAsia" w:ascii="Cambria Math" w:hAnsi="Cambria Math" w:eastAsiaTheme="minorEastAsia" w:cstheme="minorEastAsia"/>
                    <w:i/>
                    <w:iCs/>
                  </w:rPr>
                </m:ctrlPr>
              </m:e>
              <m:sub>
                <m:r>
                  <m:rPr/>
                  <w:rPr>
                    <w:rFonts w:ascii="Cambria Math" w:hAnsi="Cambria Math" w:eastAsiaTheme="minorEastAsia" w:cstheme="minorEastAsia"/>
                  </w:rPr>
                  <m:t>i</m:t>
                </m:r>
                <m:ctrlPr>
                  <w:rPr>
                    <w:rFonts w:hint="eastAsia" w:ascii="Cambria Math" w:hAnsi="Cambria Math" w:eastAsiaTheme="minorEastAsia" w:cstheme="minorEastAsia"/>
                    <w:i/>
                    <w:iCs/>
                  </w:rPr>
                </m:ctrlPr>
              </m:sub>
            </m:sSub>
            <m:ctrlPr>
              <w:rPr>
                <w:rFonts w:hint="eastAsia" w:ascii="Cambria Math" w:hAnsi="Cambria Math" w:eastAsiaTheme="minorEastAsia" w:cstheme="minorEastAsia"/>
                <w:i/>
                <w:iCs/>
              </w:rPr>
            </m:ctrlPr>
          </m:e>
        </m:nary>
      </m:oMath>
      <w:r>
        <w:rPr>
          <w:rFonts w:hint="eastAsia" w:hAnsi="Cambria Math" w:cs="宋体"/>
          <w:iCs/>
        </w:rPr>
        <w:tab/>
      </w:r>
      <w:r>
        <w:rPr>
          <w:rFonts w:hint="eastAsia" w:hAnsi="Cambria Math" w:cs="宋体"/>
          <w:iCs/>
        </w:rPr>
        <w:t>（3）</w:t>
      </w:r>
    </w:p>
    <w:p w14:paraId="22F593C2">
      <w:pPr>
        <w:pStyle w:val="25"/>
        <w:rPr>
          <w:rFonts w:hAnsi="宋体" w:cs="宋体"/>
        </w:rPr>
      </w:pPr>
      <w:r>
        <w:rPr>
          <w:rFonts w:hint="eastAsia" w:hAnsi="宋体" w:cs="宋体"/>
        </w:rPr>
        <w:t>式中：</w:t>
      </w:r>
    </w:p>
    <w:p w14:paraId="423240CF">
      <w:pPr>
        <w:pStyle w:val="25"/>
        <w:rPr>
          <w:rFonts w:hAnsi="宋体" w:cs="宋体"/>
        </w:rPr>
      </w:pPr>
      <m:oMath>
        <m:r>
          <m:rPr/>
          <w:rPr>
            <w:rFonts w:ascii="Cambria Math" w:hAnsi="Cambria Math" w:cs="宋体"/>
          </w:rPr>
          <m:t>S</m:t>
        </m:r>
      </m:oMath>
      <w:r>
        <w:rPr>
          <w:rFonts w:hint="eastAsia" w:hAnsi="Cambria Math" w:cs="宋体"/>
          <w:iCs/>
          <w:spacing w:val="-11"/>
        </w:rPr>
        <w:t xml:space="preserve"> </w:t>
      </w:r>
      <w:r>
        <w:rPr>
          <w:rFonts w:hint="eastAsia" w:hAnsi="宋体" w:cs="宋体"/>
        </w:rPr>
        <w:t>——绿色低碳产业认定综合评价值；</w:t>
      </w:r>
    </w:p>
    <w:p w14:paraId="1CED1C0B">
      <w:pPr>
        <w:pStyle w:val="25"/>
        <w:rPr>
          <w:rFonts w:hAnsi="宋体" w:cs="宋体"/>
        </w:rPr>
      </w:pPr>
      <m:oMath>
        <m:sSub>
          <m:sSubPr>
            <m:ctrlPr>
              <w:rPr>
                <w:rFonts w:hint="eastAsia" w:ascii="Cambria Math" w:hAnsi="Cambria Math" w:cs="宋体"/>
                <w:i/>
                <w:iCs/>
              </w:rPr>
            </m:ctrlPr>
          </m:sSubPr>
          <m:e>
            <m:r>
              <m:rPr/>
              <w:rPr>
                <w:rFonts w:ascii="Cambria Math" w:hAnsi="Cambria Math" w:cs="宋体"/>
              </w:rPr>
              <m:t>X</m:t>
            </m:r>
            <m:ctrlPr>
              <w:rPr>
                <w:rFonts w:hint="eastAsia" w:ascii="Cambria Math" w:hAnsi="Cambria Math" w:cs="宋体"/>
                <w:i/>
                <w:iCs/>
              </w:rPr>
            </m:ctrlPr>
          </m:e>
          <m:sub>
            <m:r>
              <m:rPr/>
              <w:rPr>
                <w:rFonts w:ascii="Cambria Math" w:hAnsi="Cambria Math" w:cs="宋体"/>
              </w:rPr>
              <m:t>i</m:t>
            </m:r>
            <m:ctrlPr>
              <w:rPr>
                <w:rFonts w:hint="eastAsia" w:ascii="Cambria Math" w:hAnsi="Cambria Math" w:cs="宋体"/>
                <w:i/>
                <w:iCs/>
              </w:rPr>
            </m:ctrlPr>
          </m:sub>
        </m:sSub>
      </m:oMath>
      <w:r>
        <w:rPr>
          <w:rFonts w:hint="eastAsia" w:hAnsi="宋体" w:cs="宋体"/>
        </w:rPr>
        <w:t>——各综合评价指标得分值。</w:t>
      </w:r>
    </w:p>
    <w:p w14:paraId="4F59997A">
      <w:pPr>
        <w:pStyle w:val="61"/>
        <w:numPr>
          <w:ilvl w:val="0"/>
          <w:numId w:val="23"/>
        </w:numPr>
        <w:ind w:left="780" w:leftChars="200" w:hanging="360" w:hangingChars="200"/>
      </w:pPr>
      <w:r>
        <w:rPr>
          <w:rFonts w:hint="eastAsia"/>
        </w:rPr>
        <w:t>“绿色服务”类企事业单位或项目，不参评“环境表现”类指标。</w:t>
      </w:r>
    </w:p>
    <w:p w14:paraId="3B61C219">
      <w:pPr>
        <w:pStyle w:val="61"/>
        <w:numPr>
          <w:ilvl w:val="0"/>
          <w:numId w:val="23"/>
        </w:numPr>
        <w:ind w:left="811" w:hanging="391"/>
      </w:pPr>
      <w:r>
        <w:rPr>
          <w:rFonts w:hint="eastAsia"/>
        </w:rPr>
        <w:t>某子行业的部分评价指标经专家评估审定不适用的，其综合评价值折算方法为参评项得分值与参评项总分值的比值乘以100。</w:t>
      </w:r>
    </w:p>
    <w:p w14:paraId="30601EB0">
      <w:pPr>
        <w:pStyle w:val="49"/>
        <w:spacing w:before="156" w:after="156"/>
      </w:pPr>
      <w:bookmarkStart w:id="176" w:name="_Toc21004"/>
      <w:bookmarkStart w:id="177" w:name="_Toc26832"/>
      <w:bookmarkStart w:id="178" w:name="_Toc20408"/>
      <w:r>
        <w:rPr>
          <w:rFonts w:hint="eastAsia"/>
        </w:rPr>
        <w:t>专家评审</w:t>
      </w:r>
      <w:bookmarkEnd w:id="176"/>
      <w:bookmarkEnd w:id="177"/>
      <w:bookmarkEnd w:id="178"/>
    </w:p>
    <w:p w14:paraId="72860519">
      <w:pPr>
        <w:pStyle w:val="25"/>
        <w:rPr>
          <w:rFonts w:hAnsi="宋体" w:cs="宋体"/>
        </w:rPr>
        <w:sectPr>
          <w:headerReference r:id="rId8" w:type="default"/>
          <w:footerReference r:id="rId9" w:type="default"/>
          <w:pgSz w:w="11906" w:h="16838"/>
          <w:pgMar w:top="567" w:right="1134" w:bottom="1134" w:left="1418" w:header="1418" w:footer="1134" w:gutter="0"/>
          <w:pgBorders>
            <w:top w:val="none" w:sz="0" w:space="0"/>
            <w:left w:val="none" w:sz="0" w:space="0"/>
            <w:bottom w:val="none" w:sz="0" w:space="0"/>
            <w:right w:val="none" w:sz="0" w:space="0"/>
          </w:pgBorders>
          <w:pgNumType w:start="1"/>
          <w:cols w:space="425" w:num="1"/>
          <w:formProt w:val="0"/>
          <w:docGrid w:type="lines" w:linePitch="312" w:charSpace="0"/>
        </w:sectPr>
      </w:pPr>
      <w:r>
        <w:rPr>
          <w:rFonts w:hint="eastAsia" w:asciiTheme="minorEastAsia" w:hAnsiTheme="minorEastAsia" w:eastAsiaTheme="minorEastAsia" w:cstheme="minorEastAsia"/>
        </w:rPr>
        <w:t>由相关政府职能部门或其委托的第三方组织具备智能电网建设运营领域专业技术能力的专家，查看收集的报告文件、统计报表、原始记录，按照本文件要求根据智能电网建设运营领域绿色低碳产业认定评价指标表（见附录E）对申报材料进行评审打分并给出具体评审结论</w:t>
      </w:r>
      <w:r>
        <w:rPr>
          <w:rFonts w:hint="eastAsia" w:hAnsi="宋体" w:cs="宋体"/>
          <w:szCs w:val="22"/>
        </w:rPr>
        <w:t>。</w:t>
      </w:r>
      <w:bookmarkEnd w:id="160"/>
      <w:bookmarkEnd w:id="161"/>
      <w:bookmarkEnd w:id="162"/>
      <w:bookmarkEnd w:id="163"/>
      <w:bookmarkEnd w:id="164"/>
    </w:p>
    <w:p w14:paraId="1A7E9502">
      <w:pPr>
        <w:pStyle w:val="87"/>
      </w:pPr>
      <w:bookmarkStart w:id="179" w:name="_Toc82684163"/>
      <w:bookmarkEnd w:id="179"/>
      <w:bookmarkStart w:id="180" w:name="_Toc82684167"/>
      <w:bookmarkEnd w:id="180"/>
      <w:bookmarkStart w:id="181" w:name="_Toc82684166"/>
      <w:bookmarkEnd w:id="181"/>
      <w:bookmarkStart w:id="182" w:name="_Toc82684170"/>
      <w:bookmarkEnd w:id="182"/>
      <w:bookmarkStart w:id="183" w:name="_Toc82684164"/>
      <w:bookmarkEnd w:id="183"/>
      <w:bookmarkStart w:id="184" w:name="_Toc82684165"/>
      <w:bookmarkEnd w:id="184"/>
      <w:bookmarkStart w:id="185" w:name="_Toc82684169"/>
      <w:bookmarkEnd w:id="185"/>
      <w:bookmarkStart w:id="186" w:name="_Toc82684158"/>
      <w:bookmarkEnd w:id="186"/>
      <w:bookmarkStart w:id="187" w:name="_Toc82684157"/>
      <w:bookmarkEnd w:id="187"/>
      <w:bookmarkStart w:id="188" w:name="_Toc82684162"/>
      <w:bookmarkEnd w:id="188"/>
      <w:bookmarkStart w:id="189" w:name="_Toc82684159"/>
      <w:bookmarkEnd w:id="189"/>
      <w:bookmarkStart w:id="190" w:name="_Toc82684168"/>
      <w:bookmarkEnd w:id="190"/>
      <w:bookmarkStart w:id="191" w:name="_Toc82684161"/>
      <w:bookmarkEnd w:id="191"/>
      <w:bookmarkStart w:id="192" w:name="_Toc82684160"/>
      <w:bookmarkEnd w:id="192"/>
      <w:bookmarkStart w:id="193" w:name="_Toc19772"/>
      <w:bookmarkStart w:id="194" w:name="_Toc18080"/>
      <w:bookmarkStart w:id="195" w:name="_Toc859"/>
      <w:r>
        <w:rPr>
          <w:rFonts w:ascii="Times New Roman"/>
        </w:rPr>
        <w:br w:type="textWrapping"/>
      </w:r>
      <w:bookmarkStart w:id="196" w:name="_Toc195040399"/>
      <w:bookmarkStart w:id="197" w:name="_Toc82684171"/>
      <w:bookmarkStart w:id="198" w:name="_Toc118282050"/>
      <w:r>
        <w:rPr>
          <w:rFonts w:ascii="Times New Roman"/>
        </w:rPr>
        <w:t>（</w:t>
      </w:r>
      <w:r>
        <w:rPr>
          <w:rFonts w:hint="eastAsia" w:ascii="Times New Roman"/>
        </w:rPr>
        <w:t>规范性</w:t>
      </w:r>
      <w:r>
        <w:rPr>
          <w:rFonts w:ascii="Times New Roman"/>
        </w:rPr>
        <w:t>）</w:t>
      </w:r>
      <w:r>
        <w:rPr>
          <w:rFonts w:ascii="Times New Roman"/>
        </w:rPr>
        <w:br w:type="textWrapping"/>
      </w:r>
      <w:r>
        <w:rPr>
          <w:rFonts w:hint="eastAsia" w:ascii="Times New Roman"/>
        </w:rPr>
        <w:t>智能电网建设运营领域绿色低碳产业关键技术先进性评价指标</w:t>
      </w:r>
      <w:bookmarkEnd w:id="193"/>
      <w:bookmarkEnd w:id="196"/>
    </w:p>
    <w:p w14:paraId="05272A33">
      <w:pPr>
        <w:pStyle w:val="59"/>
        <w:numPr>
          <w:ilvl w:val="255"/>
          <w:numId w:val="0"/>
        </w:numPr>
        <w:spacing w:before="156" w:after="156"/>
        <w:outlineLvl w:val="9"/>
        <w:rPr>
          <w:rFonts w:hAnsi="黑体" w:cs="黑体"/>
        </w:rPr>
      </w:pPr>
      <w:r>
        <w:rPr>
          <w:rFonts w:hint="eastAsia"/>
        </w:rPr>
        <w:t>A.1  关键元器件制造</w:t>
      </w:r>
    </w:p>
    <w:p w14:paraId="4A8A8A0B">
      <w:pPr>
        <w:spacing w:before="156" w:beforeLines="50" w:after="156" w:afterLines="50"/>
        <w:rPr>
          <w:rFonts w:ascii="黑体" w:hAnsi="黑体" w:eastAsia="黑体" w:cs="黑体"/>
          <w:szCs w:val="21"/>
        </w:rPr>
      </w:pPr>
      <w:r>
        <w:rPr>
          <w:rFonts w:hint="eastAsia" w:ascii="黑体" w:eastAsia="黑体"/>
          <w:kern w:val="0"/>
          <w:szCs w:val="21"/>
        </w:rPr>
        <w:t>A.1.1  芯片</w:t>
      </w:r>
    </w:p>
    <w:p w14:paraId="3FDEA595">
      <w:pPr>
        <w:autoSpaceDE w:val="0"/>
        <w:autoSpaceDN w:val="0"/>
        <w:ind w:firstLine="420" w:firstLineChars="200"/>
        <w:rPr>
          <w:rFonts w:ascii="宋体" w:hAnsi="宋体" w:cs="宋体"/>
          <w:szCs w:val="21"/>
        </w:rPr>
      </w:pPr>
      <w:r>
        <w:rPr>
          <w:rFonts w:hint="eastAsia" w:ascii="宋体" w:hAnsi="宋体" w:cs="宋体"/>
          <w:szCs w:val="21"/>
        </w:rPr>
        <w:t>芯片主要包括安全芯片、控制芯片、通用芯片、计量芯片、传感芯片等，具体评价内容及评价方法见表</w:t>
      </w:r>
      <w:r>
        <w:rPr>
          <w:rFonts w:hint="eastAsia" w:ascii="宋体" w:hAnsi="宋体" w:cs="宋体"/>
          <w:kern w:val="0"/>
          <w:szCs w:val="21"/>
        </w:rPr>
        <w:t>A</w:t>
      </w:r>
      <w:r>
        <w:rPr>
          <w:rFonts w:hint="eastAsia" w:ascii="宋体" w:hAnsi="宋体" w:cs="宋体"/>
          <w:szCs w:val="21"/>
        </w:rPr>
        <w:t>.1。</w:t>
      </w:r>
    </w:p>
    <w:p w14:paraId="5B8319F2">
      <w:pPr>
        <w:spacing w:before="156" w:beforeLines="50" w:after="156" w:afterLines="50"/>
        <w:jc w:val="center"/>
        <w:rPr>
          <w:szCs w:val="21"/>
        </w:rPr>
      </w:pPr>
      <w:r>
        <w:rPr>
          <w:rFonts w:hint="eastAsia" w:ascii="黑体" w:hAnsi="黑体" w:eastAsia="黑体" w:cs="黑体"/>
        </w:rPr>
        <w:t>表</w:t>
      </w:r>
      <w:r>
        <w:rPr>
          <w:rFonts w:hint="eastAsia" w:ascii="黑体" w:hAnsi="黑体" w:eastAsia="黑体" w:cs="黑体"/>
          <w:kern w:val="0"/>
          <w:szCs w:val="21"/>
        </w:rPr>
        <w:t>A</w:t>
      </w:r>
      <w:r>
        <w:rPr>
          <w:rFonts w:hint="eastAsia" w:ascii="黑体" w:hAnsi="黑体" w:eastAsia="黑体" w:cs="黑体"/>
          <w:szCs w:val="21"/>
        </w:rPr>
        <w:t>.1</w:t>
      </w:r>
      <w:r>
        <w:rPr>
          <w:rFonts w:hint="eastAsia" w:hAnsi="黑体" w:cs="黑体"/>
          <w:szCs w:val="21"/>
        </w:rPr>
        <w:t xml:space="preserve">  </w:t>
      </w:r>
      <w:r>
        <w:rPr>
          <w:rFonts w:hint="eastAsia" w:eastAsia="黑体"/>
        </w:rPr>
        <w:t>芯片关</w:t>
      </w:r>
      <w:bookmarkStart w:id="199" w:name="_Hlk195036023"/>
      <w:r>
        <w:rPr>
          <w:rFonts w:hint="eastAsia" w:eastAsia="黑体"/>
        </w:rPr>
        <w:t>键</w:t>
      </w:r>
      <w:r>
        <w:rPr>
          <w:rFonts w:eastAsia="黑体"/>
        </w:rPr>
        <w:t>技术先进性</w:t>
      </w:r>
      <w:r>
        <w:rPr>
          <w:rFonts w:hint="eastAsia" w:eastAsia="黑体"/>
        </w:rPr>
        <w:t>评价规则</w:t>
      </w:r>
      <w:bookmarkEnd w:id="199"/>
    </w:p>
    <w:tbl>
      <w:tblPr>
        <w:tblStyle w:val="35"/>
        <w:tblW w:w="95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07"/>
        <w:gridCol w:w="863"/>
        <w:gridCol w:w="1041"/>
        <w:gridCol w:w="5414"/>
        <w:gridCol w:w="1145"/>
      </w:tblGrid>
      <w:tr w14:paraId="2534443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107" w:type="dxa"/>
            <w:tcBorders>
              <w:top w:val="single" w:color="auto" w:sz="12" w:space="0"/>
              <w:bottom w:val="single" w:color="auto" w:sz="12" w:space="0"/>
            </w:tcBorders>
            <w:vAlign w:val="center"/>
          </w:tcPr>
          <w:p w14:paraId="4F874A6E">
            <w:pPr>
              <w:autoSpaceDE w:val="0"/>
              <w:autoSpaceDN w:val="0"/>
              <w:jc w:val="center"/>
              <w:rPr>
                <w:rFonts w:ascii="宋体" w:hAnsi="宋体" w:cs="宋体"/>
                <w:b/>
                <w:bCs/>
                <w:sz w:val="18"/>
                <w:szCs w:val="18"/>
              </w:rPr>
            </w:pPr>
            <w:r>
              <w:rPr>
                <w:rFonts w:hint="eastAsia" w:ascii="宋体" w:hAnsi="宋体" w:cs="宋体"/>
                <w:b/>
                <w:bCs/>
                <w:sz w:val="18"/>
                <w:szCs w:val="18"/>
              </w:rPr>
              <w:t>评价环节</w:t>
            </w:r>
          </w:p>
        </w:tc>
        <w:tc>
          <w:tcPr>
            <w:tcW w:w="863" w:type="dxa"/>
            <w:tcBorders>
              <w:top w:val="single" w:color="auto" w:sz="12" w:space="0"/>
              <w:bottom w:val="single" w:color="auto" w:sz="12" w:space="0"/>
            </w:tcBorders>
            <w:vAlign w:val="center"/>
          </w:tcPr>
          <w:p w14:paraId="143F3EEC">
            <w:pPr>
              <w:autoSpaceDE w:val="0"/>
              <w:autoSpaceDN w:val="0"/>
              <w:jc w:val="center"/>
              <w:rPr>
                <w:rFonts w:ascii="宋体" w:hAnsi="宋体" w:cs="宋体"/>
                <w:b/>
                <w:bCs/>
                <w:sz w:val="18"/>
                <w:szCs w:val="18"/>
              </w:rPr>
            </w:pPr>
            <w:r>
              <w:rPr>
                <w:rFonts w:hint="eastAsia" w:ascii="宋体" w:hAnsi="宋体" w:cs="宋体"/>
                <w:b/>
                <w:bCs/>
                <w:sz w:val="18"/>
                <w:szCs w:val="18"/>
              </w:rPr>
              <w:t>评价对象</w:t>
            </w:r>
          </w:p>
        </w:tc>
        <w:tc>
          <w:tcPr>
            <w:tcW w:w="1041" w:type="dxa"/>
            <w:tcBorders>
              <w:top w:val="single" w:color="auto" w:sz="12" w:space="0"/>
              <w:bottom w:val="single" w:color="auto" w:sz="12" w:space="0"/>
            </w:tcBorders>
            <w:vAlign w:val="center"/>
          </w:tcPr>
          <w:p w14:paraId="595D98DB">
            <w:pPr>
              <w:autoSpaceDE w:val="0"/>
              <w:autoSpaceDN w:val="0"/>
              <w:jc w:val="center"/>
              <w:rPr>
                <w:rFonts w:ascii="宋体" w:hAnsi="宋体" w:cs="宋体"/>
                <w:b/>
                <w:bCs/>
                <w:sz w:val="18"/>
                <w:szCs w:val="18"/>
              </w:rPr>
            </w:pPr>
            <w:r>
              <w:rPr>
                <w:rFonts w:hint="eastAsia" w:ascii="宋体" w:hAnsi="宋体" w:cs="宋体"/>
                <w:b/>
                <w:bCs/>
                <w:sz w:val="18"/>
                <w:szCs w:val="18"/>
              </w:rPr>
              <w:t>核心评价指标</w:t>
            </w:r>
          </w:p>
        </w:tc>
        <w:tc>
          <w:tcPr>
            <w:tcW w:w="5414" w:type="dxa"/>
            <w:tcBorders>
              <w:top w:val="single" w:color="auto" w:sz="12" w:space="0"/>
              <w:bottom w:val="single" w:color="auto" w:sz="12" w:space="0"/>
            </w:tcBorders>
            <w:vAlign w:val="center"/>
          </w:tcPr>
          <w:p w14:paraId="76BE0171">
            <w:pPr>
              <w:autoSpaceDE w:val="0"/>
              <w:autoSpaceDN w:val="0"/>
              <w:jc w:val="center"/>
              <w:rPr>
                <w:rFonts w:ascii="宋体" w:hAnsi="宋体" w:cs="宋体"/>
                <w:b/>
                <w:bCs/>
                <w:sz w:val="18"/>
                <w:szCs w:val="18"/>
              </w:rPr>
            </w:pPr>
            <w:r>
              <w:rPr>
                <w:rFonts w:hint="eastAsia" w:ascii="宋体" w:hAnsi="宋体" w:cs="宋体"/>
                <w:b/>
                <w:bCs/>
                <w:sz w:val="18"/>
                <w:szCs w:val="18"/>
              </w:rPr>
              <w:t>评价维度</w:t>
            </w:r>
          </w:p>
        </w:tc>
        <w:tc>
          <w:tcPr>
            <w:tcW w:w="1145" w:type="dxa"/>
            <w:tcBorders>
              <w:top w:val="single" w:color="auto" w:sz="12" w:space="0"/>
              <w:bottom w:val="single" w:color="auto" w:sz="12" w:space="0"/>
            </w:tcBorders>
            <w:vAlign w:val="center"/>
          </w:tcPr>
          <w:p w14:paraId="724A3DDD">
            <w:pPr>
              <w:autoSpaceDE w:val="0"/>
              <w:autoSpaceDN w:val="0"/>
              <w:jc w:val="center"/>
              <w:rPr>
                <w:rFonts w:ascii="宋体" w:hAnsi="宋体" w:cs="宋体"/>
                <w:b/>
                <w:bCs/>
                <w:sz w:val="18"/>
                <w:szCs w:val="18"/>
              </w:rPr>
            </w:pPr>
            <w:r>
              <w:rPr>
                <w:rFonts w:hint="eastAsia" w:ascii="宋体" w:hAnsi="宋体" w:cs="宋体"/>
                <w:b/>
                <w:bCs/>
                <w:sz w:val="18"/>
                <w:szCs w:val="18"/>
              </w:rPr>
              <w:t>评价依据</w:t>
            </w:r>
          </w:p>
        </w:tc>
      </w:tr>
      <w:tr w14:paraId="171039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107" w:type="dxa"/>
            <w:vMerge w:val="restart"/>
            <w:tcBorders>
              <w:top w:val="single" w:color="auto" w:sz="12" w:space="0"/>
            </w:tcBorders>
            <w:vAlign w:val="center"/>
          </w:tcPr>
          <w:p w14:paraId="6128DDD8">
            <w:pPr>
              <w:autoSpaceDE w:val="0"/>
              <w:autoSpaceDN w:val="0"/>
              <w:jc w:val="left"/>
              <w:rPr>
                <w:rFonts w:ascii="宋体" w:hAnsi="宋体" w:cs="宋体"/>
                <w:sz w:val="18"/>
                <w:szCs w:val="18"/>
              </w:rPr>
            </w:pPr>
            <w:r>
              <w:rPr>
                <w:rFonts w:hint="eastAsia" w:ascii="宋体" w:hAnsi="宋体" w:cs="宋体"/>
                <w:sz w:val="18"/>
                <w:szCs w:val="18"/>
              </w:rPr>
              <w:t>生产制造</w:t>
            </w:r>
          </w:p>
        </w:tc>
        <w:tc>
          <w:tcPr>
            <w:tcW w:w="863" w:type="dxa"/>
            <w:vMerge w:val="restart"/>
            <w:tcBorders>
              <w:top w:val="single" w:color="auto" w:sz="12" w:space="0"/>
              <w:bottom w:val="single" w:color="auto" w:sz="4" w:space="0"/>
            </w:tcBorders>
            <w:vAlign w:val="center"/>
          </w:tcPr>
          <w:p w14:paraId="77D3A3B2">
            <w:pPr>
              <w:autoSpaceDE w:val="0"/>
              <w:autoSpaceDN w:val="0"/>
              <w:jc w:val="center"/>
              <w:rPr>
                <w:rFonts w:ascii="宋体" w:hAnsi="宋体" w:cs="宋体"/>
                <w:sz w:val="18"/>
                <w:szCs w:val="18"/>
              </w:rPr>
            </w:pPr>
            <w:r>
              <w:rPr>
                <w:rFonts w:hint="eastAsia" w:ascii="宋体" w:hAnsi="宋体" w:cs="宋体"/>
                <w:sz w:val="18"/>
                <w:szCs w:val="18"/>
              </w:rPr>
              <w:t>芯片</w:t>
            </w:r>
          </w:p>
        </w:tc>
        <w:tc>
          <w:tcPr>
            <w:tcW w:w="1041" w:type="dxa"/>
            <w:tcBorders>
              <w:top w:val="single" w:color="auto" w:sz="12" w:space="0"/>
              <w:bottom w:val="single" w:color="auto" w:sz="4" w:space="0"/>
              <w:right w:val="single" w:color="auto" w:sz="4" w:space="0"/>
            </w:tcBorders>
            <w:vAlign w:val="center"/>
          </w:tcPr>
          <w:p w14:paraId="0D3BEA04">
            <w:pPr>
              <w:autoSpaceDE w:val="0"/>
              <w:autoSpaceDN w:val="0"/>
              <w:jc w:val="center"/>
              <w:rPr>
                <w:rFonts w:ascii="宋体" w:hAnsi="宋体" w:cs="宋体"/>
                <w:sz w:val="18"/>
                <w:szCs w:val="18"/>
              </w:rPr>
            </w:pPr>
            <w:r>
              <w:rPr>
                <w:rFonts w:hint="eastAsia" w:ascii="宋体" w:hAnsi="宋体" w:cs="宋体"/>
                <w:sz w:val="18"/>
                <w:szCs w:val="18"/>
              </w:rPr>
              <w:t>性能</w:t>
            </w:r>
          </w:p>
        </w:tc>
        <w:tc>
          <w:tcPr>
            <w:tcW w:w="5414" w:type="dxa"/>
            <w:tcBorders>
              <w:top w:val="single" w:color="auto" w:sz="12" w:space="0"/>
              <w:left w:val="single" w:color="auto" w:sz="4" w:space="0"/>
              <w:bottom w:val="single" w:color="auto" w:sz="4" w:space="0"/>
              <w:right w:val="single" w:color="auto" w:sz="4" w:space="0"/>
            </w:tcBorders>
            <w:vAlign w:val="center"/>
          </w:tcPr>
          <w:p w14:paraId="4E8D42CA">
            <w:pPr>
              <w:autoSpaceDE w:val="0"/>
              <w:autoSpaceDN w:val="0"/>
              <w:rPr>
                <w:rFonts w:ascii="宋体" w:hAnsi="宋体" w:cs="宋体"/>
                <w:sz w:val="18"/>
                <w:szCs w:val="18"/>
              </w:rPr>
            </w:pPr>
            <w:r>
              <w:rPr>
                <w:rFonts w:hint="eastAsia" w:ascii="宋体" w:hAnsi="宋体" w:cs="宋体"/>
                <w:sz w:val="18"/>
                <w:szCs w:val="18"/>
              </w:rPr>
              <w:t>从每秒百万条指令数（MIPS）、每秒浮点运算次数（FLOPS）的运算性能；数据吞吐量、数据处理延迟的数据处理能力；通信速率、通信协议支持种类和兼容性的通信能力等方面评价</w:t>
            </w:r>
          </w:p>
        </w:tc>
        <w:tc>
          <w:tcPr>
            <w:tcW w:w="1145" w:type="dxa"/>
            <w:tcBorders>
              <w:top w:val="single" w:color="auto" w:sz="12" w:space="0"/>
              <w:left w:val="single" w:color="auto" w:sz="4" w:space="0"/>
              <w:bottom w:val="single" w:color="auto" w:sz="4" w:space="0"/>
              <w:right w:val="single" w:color="auto" w:sz="12" w:space="0"/>
            </w:tcBorders>
            <w:vAlign w:val="center"/>
          </w:tcPr>
          <w:p w14:paraId="1C482716">
            <w:pPr>
              <w:autoSpaceDE w:val="0"/>
              <w:autoSpaceDN w:val="0"/>
              <w:rPr>
                <w:rFonts w:ascii="宋体" w:hAnsi="宋体" w:cs="宋体"/>
                <w:sz w:val="18"/>
                <w:szCs w:val="18"/>
              </w:rPr>
            </w:pPr>
            <w:r>
              <w:rPr>
                <w:rFonts w:hint="eastAsia" w:ascii="宋体" w:hAnsi="宋体" w:cs="宋体"/>
                <w:sz w:val="18"/>
                <w:szCs w:val="18"/>
              </w:rPr>
              <w:t>—</w:t>
            </w:r>
          </w:p>
        </w:tc>
      </w:tr>
      <w:tr w14:paraId="6776CD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20" w:hRule="atLeast"/>
          <w:jc w:val="center"/>
        </w:trPr>
        <w:tc>
          <w:tcPr>
            <w:tcW w:w="1107" w:type="dxa"/>
            <w:vMerge w:val="continue"/>
            <w:vAlign w:val="center"/>
          </w:tcPr>
          <w:p w14:paraId="6478F566">
            <w:pPr>
              <w:autoSpaceDE w:val="0"/>
              <w:autoSpaceDN w:val="0"/>
              <w:jc w:val="left"/>
              <w:rPr>
                <w:rFonts w:ascii="宋体" w:hAnsi="宋体" w:cs="宋体"/>
                <w:sz w:val="18"/>
                <w:szCs w:val="18"/>
              </w:rPr>
            </w:pPr>
          </w:p>
        </w:tc>
        <w:tc>
          <w:tcPr>
            <w:tcW w:w="863" w:type="dxa"/>
            <w:vMerge w:val="continue"/>
            <w:tcBorders>
              <w:top w:val="single" w:color="auto" w:sz="4" w:space="0"/>
              <w:bottom w:val="single" w:color="auto" w:sz="4" w:space="0"/>
            </w:tcBorders>
            <w:vAlign w:val="center"/>
          </w:tcPr>
          <w:p w14:paraId="0F6B373A">
            <w:pPr>
              <w:autoSpaceDE w:val="0"/>
              <w:autoSpaceDN w:val="0"/>
              <w:jc w:val="center"/>
              <w:rPr>
                <w:rFonts w:ascii="宋体" w:hAnsi="宋体" w:cs="宋体"/>
                <w:sz w:val="18"/>
                <w:szCs w:val="18"/>
              </w:rPr>
            </w:pPr>
          </w:p>
        </w:tc>
        <w:tc>
          <w:tcPr>
            <w:tcW w:w="1041" w:type="dxa"/>
            <w:tcBorders>
              <w:top w:val="single" w:color="auto" w:sz="4" w:space="0"/>
              <w:bottom w:val="single" w:color="auto" w:sz="4" w:space="0"/>
              <w:right w:val="single" w:color="auto" w:sz="4" w:space="0"/>
            </w:tcBorders>
            <w:vAlign w:val="center"/>
          </w:tcPr>
          <w:p w14:paraId="1F327880">
            <w:pPr>
              <w:autoSpaceDE w:val="0"/>
              <w:autoSpaceDN w:val="0"/>
              <w:jc w:val="center"/>
              <w:rPr>
                <w:rFonts w:ascii="宋体" w:hAnsi="宋体" w:cs="宋体"/>
                <w:sz w:val="18"/>
                <w:szCs w:val="18"/>
              </w:rPr>
            </w:pPr>
            <w:r>
              <w:rPr>
                <w:rFonts w:hint="eastAsia" w:ascii="宋体" w:hAnsi="宋体" w:cs="宋体"/>
                <w:sz w:val="18"/>
                <w:szCs w:val="18"/>
              </w:rPr>
              <w:t>可靠性</w:t>
            </w:r>
          </w:p>
        </w:tc>
        <w:tc>
          <w:tcPr>
            <w:tcW w:w="5414" w:type="dxa"/>
            <w:tcBorders>
              <w:top w:val="single" w:color="auto" w:sz="4" w:space="0"/>
              <w:left w:val="single" w:color="auto" w:sz="4" w:space="0"/>
              <w:bottom w:val="single" w:color="auto" w:sz="4" w:space="0"/>
              <w:right w:val="single" w:color="auto" w:sz="4" w:space="0"/>
            </w:tcBorders>
            <w:vAlign w:val="center"/>
          </w:tcPr>
          <w:p w14:paraId="6E458477">
            <w:pPr>
              <w:autoSpaceDE w:val="0"/>
              <w:autoSpaceDN w:val="0"/>
              <w:rPr>
                <w:rFonts w:ascii="宋体" w:hAnsi="宋体" w:cs="宋体"/>
                <w:sz w:val="18"/>
                <w:szCs w:val="18"/>
              </w:rPr>
            </w:pPr>
            <w:r>
              <w:rPr>
                <w:rFonts w:hint="eastAsia" w:ascii="宋体" w:hAnsi="宋体" w:cs="宋体"/>
                <w:sz w:val="18"/>
                <w:szCs w:val="18"/>
              </w:rPr>
              <w:t>从平均故障间隔时间（MTBF）的工作稳定性；工作温度范围、湿度耐受范围、抗电磁干扰（EMI）和抗静电放电（ESD）能力的环境适应性等方面评价</w:t>
            </w:r>
          </w:p>
        </w:tc>
        <w:tc>
          <w:tcPr>
            <w:tcW w:w="1145" w:type="dxa"/>
            <w:tcBorders>
              <w:top w:val="single" w:color="auto" w:sz="4" w:space="0"/>
              <w:left w:val="single" w:color="auto" w:sz="4" w:space="0"/>
              <w:bottom w:val="single" w:color="auto" w:sz="4" w:space="0"/>
              <w:right w:val="single" w:color="auto" w:sz="12" w:space="0"/>
            </w:tcBorders>
            <w:vAlign w:val="center"/>
          </w:tcPr>
          <w:p w14:paraId="7BF7AB62">
            <w:pPr>
              <w:autoSpaceDE w:val="0"/>
              <w:autoSpaceDN w:val="0"/>
              <w:rPr>
                <w:rFonts w:ascii="宋体" w:hAnsi="宋体" w:cs="宋体"/>
                <w:sz w:val="18"/>
                <w:szCs w:val="18"/>
              </w:rPr>
            </w:pPr>
            <w:r>
              <w:rPr>
                <w:rFonts w:hint="eastAsia" w:ascii="宋体" w:hAnsi="宋体" w:cs="宋体"/>
                <w:sz w:val="18"/>
                <w:szCs w:val="18"/>
              </w:rPr>
              <w:t>—</w:t>
            </w:r>
          </w:p>
        </w:tc>
      </w:tr>
      <w:tr w14:paraId="25EED9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1107" w:type="dxa"/>
            <w:vMerge w:val="continue"/>
            <w:vAlign w:val="center"/>
          </w:tcPr>
          <w:p w14:paraId="53A389B0">
            <w:pPr>
              <w:autoSpaceDE w:val="0"/>
              <w:autoSpaceDN w:val="0"/>
              <w:jc w:val="left"/>
              <w:rPr>
                <w:rFonts w:ascii="宋体" w:hAnsi="宋体" w:cs="宋体"/>
                <w:sz w:val="18"/>
                <w:szCs w:val="18"/>
              </w:rPr>
            </w:pPr>
          </w:p>
        </w:tc>
        <w:tc>
          <w:tcPr>
            <w:tcW w:w="863" w:type="dxa"/>
            <w:vMerge w:val="continue"/>
            <w:tcBorders>
              <w:top w:val="single" w:color="auto" w:sz="4" w:space="0"/>
              <w:bottom w:val="single" w:color="auto" w:sz="4" w:space="0"/>
            </w:tcBorders>
            <w:vAlign w:val="center"/>
          </w:tcPr>
          <w:p w14:paraId="43E5F51C">
            <w:pPr>
              <w:autoSpaceDE w:val="0"/>
              <w:autoSpaceDN w:val="0"/>
              <w:jc w:val="center"/>
              <w:rPr>
                <w:rFonts w:ascii="宋体" w:hAnsi="宋体" w:cs="宋体"/>
                <w:sz w:val="18"/>
                <w:szCs w:val="18"/>
              </w:rPr>
            </w:pPr>
          </w:p>
        </w:tc>
        <w:tc>
          <w:tcPr>
            <w:tcW w:w="1041" w:type="dxa"/>
            <w:tcBorders>
              <w:top w:val="single" w:color="auto" w:sz="4" w:space="0"/>
              <w:bottom w:val="single" w:color="auto" w:sz="4" w:space="0"/>
            </w:tcBorders>
            <w:vAlign w:val="center"/>
          </w:tcPr>
          <w:p w14:paraId="67F91AA5">
            <w:pPr>
              <w:autoSpaceDE w:val="0"/>
              <w:autoSpaceDN w:val="0"/>
              <w:jc w:val="center"/>
              <w:rPr>
                <w:rFonts w:ascii="宋体" w:hAnsi="宋体" w:cs="宋体"/>
                <w:sz w:val="18"/>
                <w:szCs w:val="18"/>
              </w:rPr>
            </w:pPr>
            <w:r>
              <w:rPr>
                <w:rFonts w:hint="eastAsia" w:ascii="宋体" w:hAnsi="宋体" w:cs="宋体"/>
                <w:sz w:val="18"/>
                <w:szCs w:val="18"/>
              </w:rPr>
              <w:t>安全性</w:t>
            </w:r>
          </w:p>
        </w:tc>
        <w:tc>
          <w:tcPr>
            <w:tcW w:w="5414" w:type="dxa"/>
            <w:tcBorders>
              <w:top w:val="single" w:color="auto" w:sz="4" w:space="0"/>
              <w:bottom w:val="single" w:color="auto" w:sz="4" w:space="0"/>
            </w:tcBorders>
            <w:vAlign w:val="center"/>
          </w:tcPr>
          <w:p w14:paraId="5A802639">
            <w:pPr>
              <w:autoSpaceDE w:val="0"/>
              <w:autoSpaceDN w:val="0"/>
              <w:rPr>
                <w:rFonts w:ascii="宋体" w:hAnsi="宋体" w:cs="宋体"/>
                <w:sz w:val="18"/>
                <w:szCs w:val="18"/>
              </w:rPr>
            </w:pPr>
            <w:r>
              <w:rPr>
                <w:rFonts w:hint="eastAsia" w:ascii="宋体" w:hAnsi="宋体" w:cs="宋体"/>
                <w:sz w:val="18"/>
                <w:szCs w:val="18"/>
              </w:rPr>
              <w:t>从加密算法支持、密钥管理能力、数据完整性验证的数据安全；防篡改设计、物理安全防护的硬件安全等方面进行评价</w:t>
            </w:r>
          </w:p>
        </w:tc>
        <w:tc>
          <w:tcPr>
            <w:tcW w:w="1145" w:type="dxa"/>
            <w:tcBorders>
              <w:top w:val="single" w:color="auto" w:sz="4" w:space="0"/>
              <w:bottom w:val="single" w:color="auto" w:sz="4" w:space="0"/>
            </w:tcBorders>
            <w:vAlign w:val="center"/>
          </w:tcPr>
          <w:p w14:paraId="01474356">
            <w:pPr>
              <w:autoSpaceDE w:val="0"/>
              <w:autoSpaceDN w:val="0"/>
              <w:rPr>
                <w:rFonts w:ascii="宋体" w:hAnsi="宋体" w:cs="宋体"/>
                <w:sz w:val="18"/>
                <w:szCs w:val="18"/>
              </w:rPr>
            </w:pPr>
            <w:r>
              <w:rPr>
                <w:rFonts w:hint="eastAsia" w:ascii="宋体" w:hAnsi="宋体" w:cs="宋体"/>
                <w:sz w:val="18"/>
                <w:szCs w:val="18"/>
              </w:rPr>
              <w:t>—</w:t>
            </w:r>
          </w:p>
        </w:tc>
      </w:tr>
      <w:tr w14:paraId="30842F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78" w:hRule="atLeast"/>
          <w:jc w:val="center"/>
        </w:trPr>
        <w:tc>
          <w:tcPr>
            <w:tcW w:w="1107" w:type="dxa"/>
            <w:vMerge w:val="continue"/>
            <w:vAlign w:val="center"/>
          </w:tcPr>
          <w:p w14:paraId="067BD5D4">
            <w:pPr>
              <w:autoSpaceDE w:val="0"/>
              <w:autoSpaceDN w:val="0"/>
              <w:jc w:val="left"/>
              <w:rPr>
                <w:rFonts w:ascii="宋体" w:hAnsi="宋体" w:cs="宋体"/>
                <w:sz w:val="18"/>
                <w:szCs w:val="18"/>
              </w:rPr>
            </w:pPr>
          </w:p>
        </w:tc>
        <w:tc>
          <w:tcPr>
            <w:tcW w:w="863" w:type="dxa"/>
            <w:vMerge w:val="restart"/>
            <w:tcBorders>
              <w:top w:val="single" w:color="auto" w:sz="4" w:space="0"/>
              <w:bottom w:val="single" w:color="auto" w:sz="4" w:space="0"/>
            </w:tcBorders>
            <w:vAlign w:val="center"/>
          </w:tcPr>
          <w:p w14:paraId="57C6E40E">
            <w:pPr>
              <w:autoSpaceDE w:val="0"/>
              <w:autoSpaceDN w:val="0"/>
              <w:jc w:val="center"/>
              <w:rPr>
                <w:rFonts w:ascii="宋体" w:hAnsi="宋体" w:cs="宋体"/>
                <w:sz w:val="18"/>
                <w:szCs w:val="18"/>
              </w:rPr>
            </w:pPr>
            <w:r>
              <w:rPr>
                <w:rFonts w:hint="eastAsia" w:ascii="宋体" w:hAnsi="宋体" w:cs="宋体"/>
                <w:sz w:val="18"/>
                <w:szCs w:val="18"/>
              </w:rPr>
              <w:t>电力电子功率器件</w:t>
            </w:r>
          </w:p>
        </w:tc>
        <w:tc>
          <w:tcPr>
            <w:tcW w:w="1041" w:type="dxa"/>
            <w:tcBorders>
              <w:top w:val="single" w:color="auto" w:sz="4" w:space="0"/>
              <w:bottom w:val="single" w:color="auto" w:sz="4" w:space="0"/>
            </w:tcBorders>
            <w:vAlign w:val="center"/>
          </w:tcPr>
          <w:p w14:paraId="0427D637">
            <w:pPr>
              <w:autoSpaceDE w:val="0"/>
              <w:autoSpaceDN w:val="0"/>
              <w:jc w:val="center"/>
              <w:rPr>
                <w:rFonts w:hint="eastAsia" w:ascii="宋体" w:hAnsi="宋体" w:cs="宋体"/>
                <w:sz w:val="18"/>
                <w:szCs w:val="18"/>
              </w:rPr>
            </w:pPr>
            <w:r>
              <w:rPr>
                <w:rFonts w:hint="eastAsia" w:ascii="宋体" w:hAnsi="宋体" w:cs="宋体"/>
                <w:sz w:val="18"/>
                <w:szCs w:val="18"/>
              </w:rPr>
              <w:t>电气性能</w:t>
            </w:r>
          </w:p>
        </w:tc>
        <w:tc>
          <w:tcPr>
            <w:tcW w:w="5414" w:type="dxa"/>
            <w:tcBorders>
              <w:top w:val="single" w:color="auto" w:sz="4" w:space="0"/>
              <w:bottom w:val="single" w:color="auto" w:sz="4" w:space="0"/>
            </w:tcBorders>
          </w:tcPr>
          <w:p w14:paraId="0751A964">
            <w:pPr>
              <w:autoSpaceDE w:val="0"/>
              <w:autoSpaceDN w:val="0"/>
              <w:rPr>
                <w:rFonts w:hint="eastAsia" w:ascii="宋体" w:hAnsi="宋体" w:cs="宋体"/>
                <w:sz w:val="18"/>
                <w:szCs w:val="18"/>
              </w:rPr>
            </w:pPr>
            <w:r>
              <w:rPr>
                <w:rFonts w:hint="eastAsia" w:ascii="宋体" w:hAnsi="宋体" w:cs="宋体"/>
                <w:sz w:val="18"/>
                <w:szCs w:val="18"/>
              </w:rPr>
              <w:t>从击穿电压、导通电阻、漏电流、开关速度等方面评价</w:t>
            </w:r>
          </w:p>
        </w:tc>
        <w:tc>
          <w:tcPr>
            <w:tcW w:w="1145" w:type="dxa"/>
            <w:tcBorders>
              <w:top w:val="single" w:color="auto" w:sz="4" w:space="0"/>
              <w:bottom w:val="single" w:color="auto" w:sz="4" w:space="0"/>
            </w:tcBorders>
            <w:vAlign w:val="center"/>
          </w:tcPr>
          <w:p w14:paraId="62DC17A6">
            <w:pPr>
              <w:autoSpaceDE w:val="0"/>
              <w:autoSpaceDN w:val="0"/>
              <w:rPr>
                <w:rFonts w:hint="eastAsia" w:ascii="宋体" w:hAnsi="宋体" w:cs="宋体"/>
                <w:sz w:val="18"/>
                <w:szCs w:val="18"/>
              </w:rPr>
            </w:pPr>
            <w:r>
              <w:rPr>
                <w:rFonts w:hint="eastAsia" w:ascii="宋体" w:hAnsi="宋体" w:cs="宋体"/>
                <w:sz w:val="18"/>
                <w:szCs w:val="18"/>
              </w:rPr>
              <w:t>—</w:t>
            </w:r>
          </w:p>
        </w:tc>
      </w:tr>
      <w:tr w14:paraId="580389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107" w:type="dxa"/>
            <w:vMerge w:val="continue"/>
            <w:vAlign w:val="center"/>
          </w:tcPr>
          <w:p w14:paraId="5A22B076">
            <w:pPr>
              <w:autoSpaceDE w:val="0"/>
              <w:autoSpaceDN w:val="0"/>
              <w:jc w:val="left"/>
              <w:rPr>
                <w:rFonts w:ascii="宋体" w:hAnsi="宋体" w:cs="宋体"/>
                <w:sz w:val="18"/>
                <w:szCs w:val="18"/>
              </w:rPr>
            </w:pPr>
          </w:p>
        </w:tc>
        <w:tc>
          <w:tcPr>
            <w:tcW w:w="863" w:type="dxa"/>
            <w:vMerge w:val="continue"/>
            <w:tcBorders>
              <w:top w:val="single" w:color="auto" w:sz="4" w:space="0"/>
              <w:bottom w:val="single" w:color="auto" w:sz="4" w:space="0"/>
            </w:tcBorders>
            <w:vAlign w:val="center"/>
          </w:tcPr>
          <w:p w14:paraId="7FD87B53">
            <w:pPr>
              <w:autoSpaceDE w:val="0"/>
              <w:autoSpaceDN w:val="0"/>
              <w:jc w:val="center"/>
              <w:rPr>
                <w:rFonts w:ascii="宋体" w:hAnsi="宋体" w:cs="宋体"/>
                <w:sz w:val="18"/>
                <w:szCs w:val="18"/>
              </w:rPr>
            </w:pPr>
          </w:p>
        </w:tc>
        <w:tc>
          <w:tcPr>
            <w:tcW w:w="1041" w:type="dxa"/>
            <w:tcBorders>
              <w:top w:val="single" w:color="auto" w:sz="4" w:space="0"/>
              <w:bottom w:val="single" w:color="auto" w:sz="4" w:space="0"/>
            </w:tcBorders>
            <w:vAlign w:val="center"/>
          </w:tcPr>
          <w:p w14:paraId="2F0024E7">
            <w:pPr>
              <w:autoSpaceDE w:val="0"/>
              <w:autoSpaceDN w:val="0"/>
              <w:jc w:val="center"/>
              <w:rPr>
                <w:rFonts w:hint="eastAsia" w:ascii="宋体" w:hAnsi="宋体" w:cs="宋体"/>
                <w:sz w:val="18"/>
                <w:szCs w:val="18"/>
              </w:rPr>
            </w:pPr>
            <w:r>
              <w:rPr>
                <w:rFonts w:hint="eastAsia" w:ascii="宋体" w:hAnsi="宋体" w:cs="宋体"/>
                <w:sz w:val="18"/>
                <w:szCs w:val="18"/>
              </w:rPr>
              <w:t>热性能</w:t>
            </w:r>
          </w:p>
        </w:tc>
        <w:tc>
          <w:tcPr>
            <w:tcW w:w="5414" w:type="dxa"/>
            <w:tcBorders>
              <w:top w:val="single" w:color="auto" w:sz="4" w:space="0"/>
              <w:bottom w:val="single" w:color="auto" w:sz="4" w:space="0"/>
            </w:tcBorders>
          </w:tcPr>
          <w:p w14:paraId="33946E3D">
            <w:pPr>
              <w:autoSpaceDE w:val="0"/>
              <w:autoSpaceDN w:val="0"/>
              <w:rPr>
                <w:rFonts w:hint="eastAsia" w:ascii="宋体" w:hAnsi="宋体" w:cs="宋体"/>
                <w:sz w:val="18"/>
                <w:szCs w:val="18"/>
              </w:rPr>
            </w:pPr>
            <w:r>
              <w:rPr>
                <w:rFonts w:hint="eastAsia" w:ascii="宋体" w:hAnsi="宋体" w:cs="宋体"/>
                <w:sz w:val="18"/>
                <w:szCs w:val="18"/>
              </w:rPr>
              <w:t>从热导率、热膨胀系数、结温等方面评价</w:t>
            </w:r>
          </w:p>
        </w:tc>
        <w:tc>
          <w:tcPr>
            <w:tcW w:w="1145" w:type="dxa"/>
            <w:tcBorders>
              <w:top w:val="single" w:color="auto" w:sz="4" w:space="0"/>
              <w:bottom w:val="single" w:color="auto" w:sz="4" w:space="0"/>
            </w:tcBorders>
            <w:vAlign w:val="center"/>
          </w:tcPr>
          <w:p w14:paraId="6055D61A">
            <w:pPr>
              <w:autoSpaceDE w:val="0"/>
              <w:autoSpaceDN w:val="0"/>
              <w:rPr>
                <w:rFonts w:hint="eastAsia" w:ascii="宋体" w:hAnsi="宋体" w:cs="宋体"/>
                <w:sz w:val="18"/>
                <w:szCs w:val="18"/>
              </w:rPr>
            </w:pPr>
            <w:r>
              <w:rPr>
                <w:rFonts w:hint="eastAsia" w:ascii="宋体" w:hAnsi="宋体" w:cs="宋体"/>
                <w:sz w:val="18"/>
                <w:szCs w:val="18"/>
              </w:rPr>
              <w:t>—</w:t>
            </w:r>
          </w:p>
        </w:tc>
      </w:tr>
      <w:tr w14:paraId="2430FD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107" w:type="dxa"/>
            <w:vMerge w:val="continue"/>
            <w:vAlign w:val="center"/>
          </w:tcPr>
          <w:p w14:paraId="69C57EBC">
            <w:pPr>
              <w:autoSpaceDE w:val="0"/>
              <w:autoSpaceDN w:val="0"/>
              <w:jc w:val="left"/>
              <w:rPr>
                <w:rFonts w:ascii="宋体" w:hAnsi="宋体" w:cs="宋体"/>
                <w:sz w:val="18"/>
                <w:szCs w:val="18"/>
              </w:rPr>
            </w:pPr>
          </w:p>
        </w:tc>
        <w:tc>
          <w:tcPr>
            <w:tcW w:w="863" w:type="dxa"/>
            <w:vMerge w:val="continue"/>
            <w:tcBorders>
              <w:top w:val="single" w:color="auto" w:sz="4" w:space="0"/>
              <w:bottom w:val="single" w:color="auto" w:sz="4" w:space="0"/>
            </w:tcBorders>
            <w:vAlign w:val="center"/>
          </w:tcPr>
          <w:p w14:paraId="589BE96F">
            <w:pPr>
              <w:autoSpaceDE w:val="0"/>
              <w:autoSpaceDN w:val="0"/>
              <w:jc w:val="center"/>
              <w:rPr>
                <w:rFonts w:ascii="宋体" w:hAnsi="宋体" w:cs="宋体"/>
                <w:sz w:val="18"/>
                <w:szCs w:val="18"/>
              </w:rPr>
            </w:pPr>
          </w:p>
        </w:tc>
        <w:tc>
          <w:tcPr>
            <w:tcW w:w="1041" w:type="dxa"/>
            <w:tcBorders>
              <w:top w:val="single" w:color="auto" w:sz="4" w:space="0"/>
              <w:bottom w:val="single" w:color="auto" w:sz="4" w:space="0"/>
            </w:tcBorders>
            <w:vAlign w:val="center"/>
          </w:tcPr>
          <w:p w14:paraId="705719D1">
            <w:pPr>
              <w:autoSpaceDE w:val="0"/>
              <w:autoSpaceDN w:val="0"/>
              <w:jc w:val="center"/>
              <w:rPr>
                <w:rFonts w:hint="eastAsia" w:ascii="宋体" w:hAnsi="宋体" w:cs="宋体"/>
                <w:sz w:val="18"/>
                <w:szCs w:val="18"/>
              </w:rPr>
            </w:pPr>
            <w:r>
              <w:rPr>
                <w:rFonts w:hint="eastAsia" w:ascii="宋体" w:hAnsi="宋体" w:cs="宋体"/>
                <w:sz w:val="18"/>
                <w:szCs w:val="18"/>
              </w:rPr>
              <w:t>高频性能</w:t>
            </w:r>
          </w:p>
        </w:tc>
        <w:tc>
          <w:tcPr>
            <w:tcW w:w="5414" w:type="dxa"/>
            <w:tcBorders>
              <w:top w:val="single" w:color="auto" w:sz="4" w:space="0"/>
              <w:bottom w:val="single" w:color="auto" w:sz="4" w:space="0"/>
            </w:tcBorders>
          </w:tcPr>
          <w:p w14:paraId="5886669A">
            <w:pPr>
              <w:autoSpaceDE w:val="0"/>
              <w:autoSpaceDN w:val="0"/>
              <w:rPr>
                <w:rFonts w:hint="eastAsia" w:ascii="宋体" w:hAnsi="宋体" w:cs="宋体"/>
                <w:sz w:val="18"/>
                <w:szCs w:val="18"/>
              </w:rPr>
            </w:pPr>
            <w:r>
              <w:rPr>
                <w:rFonts w:hint="eastAsia" w:ascii="宋体" w:hAnsi="宋体" w:cs="宋体"/>
                <w:sz w:val="18"/>
                <w:szCs w:val="18"/>
              </w:rPr>
              <w:t>从电子迁移率、截止频率、噪声系数等方面评价</w:t>
            </w:r>
          </w:p>
        </w:tc>
        <w:tc>
          <w:tcPr>
            <w:tcW w:w="1145" w:type="dxa"/>
            <w:tcBorders>
              <w:top w:val="single" w:color="auto" w:sz="4" w:space="0"/>
              <w:bottom w:val="single" w:color="auto" w:sz="4" w:space="0"/>
            </w:tcBorders>
            <w:vAlign w:val="center"/>
          </w:tcPr>
          <w:p w14:paraId="371B0F91">
            <w:pPr>
              <w:autoSpaceDE w:val="0"/>
              <w:autoSpaceDN w:val="0"/>
              <w:rPr>
                <w:rFonts w:hint="eastAsia" w:ascii="宋体" w:hAnsi="宋体" w:cs="宋体"/>
                <w:sz w:val="18"/>
                <w:szCs w:val="18"/>
              </w:rPr>
            </w:pPr>
            <w:r>
              <w:rPr>
                <w:rFonts w:hint="eastAsia" w:ascii="宋体" w:hAnsi="宋体" w:cs="宋体"/>
                <w:sz w:val="18"/>
                <w:szCs w:val="18"/>
              </w:rPr>
              <w:t>—</w:t>
            </w:r>
          </w:p>
        </w:tc>
      </w:tr>
      <w:tr w14:paraId="7074E8E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3" w:hRule="atLeast"/>
          <w:jc w:val="center"/>
        </w:trPr>
        <w:tc>
          <w:tcPr>
            <w:tcW w:w="1107" w:type="dxa"/>
            <w:vMerge w:val="continue"/>
            <w:tcBorders>
              <w:bottom w:val="single" w:color="auto" w:sz="12" w:space="0"/>
            </w:tcBorders>
            <w:vAlign w:val="center"/>
          </w:tcPr>
          <w:p w14:paraId="07F9B76C">
            <w:pPr>
              <w:autoSpaceDE w:val="0"/>
              <w:autoSpaceDN w:val="0"/>
              <w:jc w:val="left"/>
              <w:rPr>
                <w:rFonts w:ascii="宋体" w:hAnsi="宋体" w:cs="宋体"/>
                <w:sz w:val="18"/>
                <w:szCs w:val="18"/>
              </w:rPr>
            </w:pPr>
          </w:p>
        </w:tc>
        <w:tc>
          <w:tcPr>
            <w:tcW w:w="863" w:type="dxa"/>
            <w:vMerge w:val="continue"/>
            <w:tcBorders>
              <w:top w:val="single" w:color="auto" w:sz="4" w:space="0"/>
              <w:bottom w:val="single" w:color="auto" w:sz="12" w:space="0"/>
            </w:tcBorders>
            <w:vAlign w:val="center"/>
          </w:tcPr>
          <w:p w14:paraId="11FE4CC8">
            <w:pPr>
              <w:autoSpaceDE w:val="0"/>
              <w:autoSpaceDN w:val="0"/>
              <w:jc w:val="center"/>
              <w:rPr>
                <w:rFonts w:ascii="宋体" w:hAnsi="宋体" w:cs="宋体"/>
                <w:sz w:val="18"/>
                <w:szCs w:val="18"/>
              </w:rPr>
            </w:pPr>
          </w:p>
        </w:tc>
        <w:tc>
          <w:tcPr>
            <w:tcW w:w="1041" w:type="dxa"/>
            <w:tcBorders>
              <w:top w:val="single" w:color="auto" w:sz="4" w:space="0"/>
              <w:bottom w:val="single" w:color="auto" w:sz="12" w:space="0"/>
            </w:tcBorders>
            <w:vAlign w:val="center"/>
          </w:tcPr>
          <w:p w14:paraId="63D43E04">
            <w:pPr>
              <w:autoSpaceDE w:val="0"/>
              <w:autoSpaceDN w:val="0"/>
              <w:jc w:val="center"/>
              <w:rPr>
                <w:rFonts w:hint="eastAsia" w:ascii="宋体" w:hAnsi="宋体" w:cs="宋体"/>
                <w:sz w:val="18"/>
                <w:szCs w:val="18"/>
              </w:rPr>
            </w:pPr>
            <w:r>
              <w:rPr>
                <w:rFonts w:hint="eastAsia" w:ascii="宋体" w:hAnsi="宋体" w:cs="宋体"/>
                <w:sz w:val="18"/>
                <w:szCs w:val="18"/>
              </w:rPr>
              <w:t>可靠性</w:t>
            </w:r>
          </w:p>
        </w:tc>
        <w:tc>
          <w:tcPr>
            <w:tcW w:w="5414" w:type="dxa"/>
            <w:tcBorders>
              <w:top w:val="single" w:color="auto" w:sz="4" w:space="0"/>
              <w:bottom w:val="single" w:color="auto" w:sz="12" w:space="0"/>
            </w:tcBorders>
          </w:tcPr>
          <w:p w14:paraId="605C037B">
            <w:pPr>
              <w:autoSpaceDE w:val="0"/>
              <w:autoSpaceDN w:val="0"/>
              <w:rPr>
                <w:rFonts w:hint="eastAsia" w:ascii="宋体" w:hAnsi="宋体" w:cs="宋体"/>
                <w:sz w:val="18"/>
                <w:szCs w:val="18"/>
              </w:rPr>
            </w:pPr>
            <w:r>
              <w:rPr>
                <w:rFonts w:hint="eastAsia" w:ascii="宋体" w:hAnsi="宋体" w:cs="宋体"/>
                <w:sz w:val="18"/>
                <w:szCs w:val="18"/>
              </w:rPr>
              <w:t>从平均故障间隔时间（MTBF）、失效率、抗辐射能力等等方面评价</w:t>
            </w:r>
          </w:p>
        </w:tc>
        <w:tc>
          <w:tcPr>
            <w:tcW w:w="1145" w:type="dxa"/>
            <w:tcBorders>
              <w:top w:val="single" w:color="auto" w:sz="4" w:space="0"/>
              <w:bottom w:val="single" w:color="auto" w:sz="12" w:space="0"/>
            </w:tcBorders>
            <w:vAlign w:val="center"/>
          </w:tcPr>
          <w:p w14:paraId="44FE7254">
            <w:pPr>
              <w:autoSpaceDE w:val="0"/>
              <w:autoSpaceDN w:val="0"/>
              <w:rPr>
                <w:rFonts w:hint="eastAsia" w:ascii="宋体" w:hAnsi="宋体" w:cs="宋体"/>
                <w:sz w:val="18"/>
                <w:szCs w:val="18"/>
              </w:rPr>
            </w:pPr>
            <w:r>
              <w:rPr>
                <w:rFonts w:hint="eastAsia" w:ascii="宋体" w:hAnsi="宋体" w:cs="宋体"/>
                <w:sz w:val="18"/>
                <w:szCs w:val="18"/>
              </w:rPr>
              <w:t>—</w:t>
            </w:r>
          </w:p>
        </w:tc>
      </w:tr>
    </w:tbl>
    <w:p w14:paraId="60D1F3FD">
      <w:pPr>
        <w:spacing w:before="156" w:beforeLines="50" w:after="156" w:afterLines="50"/>
        <w:rPr>
          <w:rFonts w:ascii="黑体" w:eastAsia="黑体"/>
          <w:kern w:val="0"/>
          <w:szCs w:val="21"/>
        </w:rPr>
      </w:pPr>
      <w:r>
        <w:rPr>
          <w:rFonts w:hint="eastAsia" w:ascii="黑体" w:eastAsia="黑体"/>
          <w:kern w:val="0"/>
          <w:szCs w:val="21"/>
        </w:rPr>
        <w:t>A.2  智能电网装备制造</w:t>
      </w:r>
    </w:p>
    <w:p w14:paraId="718A28A5">
      <w:pPr>
        <w:autoSpaceDE w:val="0"/>
        <w:autoSpaceDN w:val="0"/>
        <w:rPr>
          <w:szCs w:val="21"/>
        </w:rPr>
      </w:pPr>
      <w:r>
        <w:rPr>
          <w:rFonts w:hint="eastAsia" w:ascii="黑体" w:eastAsia="黑体"/>
          <w:kern w:val="0"/>
          <w:szCs w:val="21"/>
        </w:rPr>
        <w:t>A.2.1 智能变压器</w:t>
      </w:r>
    </w:p>
    <w:p w14:paraId="5C463CD3">
      <w:pPr>
        <w:autoSpaceDE w:val="0"/>
        <w:autoSpaceDN w:val="0"/>
        <w:ind w:firstLine="420" w:firstLineChars="200"/>
        <w:rPr>
          <w:szCs w:val="21"/>
        </w:rPr>
      </w:pPr>
      <w:r>
        <w:rPr>
          <w:rFonts w:hint="eastAsia"/>
          <w:szCs w:val="21"/>
        </w:rPr>
        <w:t>智能变压器</w:t>
      </w:r>
      <w:r>
        <w:rPr>
          <w:szCs w:val="21"/>
        </w:rPr>
        <w:t>具体</w:t>
      </w:r>
      <w:r>
        <w:rPr>
          <w:rFonts w:hint="eastAsia"/>
          <w:szCs w:val="21"/>
        </w:rPr>
        <w:t>评价内容及评价方法见</w:t>
      </w:r>
      <w:r>
        <w:rPr>
          <w:rFonts w:hint="eastAsia" w:ascii="宋体" w:hAnsi="宋体" w:cs="宋体"/>
          <w:szCs w:val="21"/>
        </w:rPr>
        <w:t>表</w:t>
      </w:r>
      <w:r>
        <w:rPr>
          <w:rFonts w:hint="eastAsia" w:ascii="宋体" w:hAnsi="宋体" w:cs="宋体"/>
          <w:kern w:val="0"/>
          <w:szCs w:val="21"/>
        </w:rPr>
        <w:t>A</w:t>
      </w:r>
      <w:r>
        <w:rPr>
          <w:rFonts w:hint="eastAsia" w:ascii="宋体" w:hAnsi="宋体" w:cs="宋体"/>
          <w:szCs w:val="21"/>
        </w:rPr>
        <w:t>.</w:t>
      </w:r>
      <w:r>
        <w:rPr>
          <w:rFonts w:ascii="宋体" w:hAnsi="宋体" w:cs="宋体"/>
          <w:szCs w:val="21"/>
        </w:rPr>
        <w:t>2</w:t>
      </w:r>
      <w:r>
        <w:rPr>
          <w:rFonts w:hint="eastAsia"/>
          <w:szCs w:val="21"/>
        </w:rPr>
        <w:t>。</w:t>
      </w:r>
    </w:p>
    <w:p w14:paraId="0D98404C">
      <w:pPr>
        <w:spacing w:before="156" w:beforeLines="50" w:after="156" w:afterLines="50"/>
        <w:jc w:val="center"/>
        <w:rPr>
          <w:szCs w:val="21"/>
        </w:rPr>
      </w:pPr>
      <w:r>
        <w:rPr>
          <w:rFonts w:hint="eastAsia" w:ascii="黑体" w:hAnsi="黑体" w:eastAsia="黑体" w:cs="黑体"/>
        </w:rPr>
        <w:t>表A.</w:t>
      </w:r>
      <w:r>
        <w:rPr>
          <w:rFonts w:ascii="黑体" w:hAnsi="黑体" w:eastAsia="黑体" w:cs="黑体"/>
        </w:rPr>
        <w:t>2</w:t>
      </w:r>
      <w:r>
        <w:rPr>
          <w:rFonts w:hint="eastAsia" w:ascii="黑体" w:hAnsi="黑体" w:eastAsia="黑体" w:cs="黑体"/>
        </w:rPr>
        <w:t xml:space="preserve">  智能变压器</w:t>
      </w:r>
      <w:r>
        <w:rPr>
          <w:rFonts w:hint="eastAsia" w:eastAsia="黑体"/>
        </w:rPr>
        <w:t>关键</w:t>
      </w:r>
      <w:r>
        <w:rPr>
          <w:rFonts w:eastAsia="黑体"/>
        </w:rPr>
        <w:t>技术先进性</w:t>
      </w:r>
      <w:r>
        <w:rPr>
          <w:rFonts w:hint="eastAsia" w:eastAsia="黑体"/>
        </w:rPr>
        <w:t>评价规则</w:t>
      </w:r>
    </w:p>
    <w:tbl>
      <w:tblPr>
        <w:tblStyle w:val="35"/>
        <w:tblW w:w="95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80"/>
        <w:gridCol w:w="1395"/>
        <w:gridCol w:w="1698"/>
        <w:gridCol w:w="4221"/>
        <w:gridCol w:w="1276"/>
      </w:tblGrid>
      <w:tr w14:paraId="48440FE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80" w:type="dxa"/>
            <w:tcBorders>
              <w:top w:val="single" w:color="auto" w:sz="12" w:space="0"/>
              <w:bottom w:val="single" w:color="auto" w:sz="12" w:space="0"/>
            </w:tcBorders>
          </w:tcPr>
          <w:p w14:paraId="24E76EB1">
            <w:pPr>
              <w:autoSpaceDE w:val="0"/>
              <w:autoSpaceDN w:val="0"/>
              <w:jc w:val="center"/>
              <w:rPr>
                <w:rFonts w:ascii="宋体" w:hAnsi="宋体" w:cs="宋体"/>
                <w:b/>
                <w:bCs/>
                <w:sz w:val="18"/>
                <w:szCs w:val="18"/>
              </w:rPr>
            </w:pPr>
            <w:r>
              <w:rPr>
                <w:rFonts w:hint="eastAsia" w:ascii="宋体" w:hAnsi="宋体" w:cs="宋体"/>
                <w:b/>
                <w:bCs/>
                <w:sz w:val="18"/>
                <w:szCs w:val="18"/>
              </w:rPr>
              <w:t>评价环节</w:t>
            </w:r>
          </w:p>
        </w:tc>
        <w:tc>
          <w:tcPr>
            <w:tcW w:w="1395" w:type="dxa"/>
            <w:tcBorders>
              <w:top w:val="single" w:color="auto" w:sz="12" w:space="0"/>
              <w:bottom w:val="single" w:color="auto" w:sz="12" w:space="0"/>
            </w:tcBorders>
          </w:tcPr>
          <w:p w14:paraId="5D8E2FED">
            <w:pPr>
              <w:autoSpaceDE w:val="0"/>
              <w:autoSpaceDN w:val="0"/>
              <w:jc w:val="center"/>
              <w:rPr>
                <w:rFonts w:ascii="宋体" w:hAnsi="宋体" w:cs="宋体"/>
                <w:b/>
                <w:bCs/>
                <w:sz w:val="18"/>
                <w:szCs w:val="18"/>
              </w:rPr>
            </w:pPr>
            <w:r>
              <w:rPr>
                <w:rFonts w:hint="eastAsia" w:ascii="宋体" w:hAnsi="宋体" w:cs="宋体"/>
                <w:b/>
                <w:bCs/>
                <w:sz w:val="18"/>
                <w:szCs w:val="18"/>
              </w:rPr>
              <w:t>评价对象</w:t>
            </w:r>
          </w:p>
        </w:tc>
        <w:tc>
          <w:tcPr>
            <w:tcW w:w="1698" w:type="dxa"/>
            <w:tcBorders>
              <w:top w:val="single" w:color="auto" w:sz="12" w:space="0"/>
              <w:bottom w:val="single" w:color="auto" w:sz="12" w:space="0"/>
            </w:tcBorders>
          </w:tcPr>
          <w:p w14:paraId="32D176B5">
            <w:pPr>
              <w:autoSpaceDE w:val="0"/>
              <w:autoSpaceDN w:val="0"/>
              <w:jc w:val="center"/>
              <w:rPr>
                <w:rFonts w:ascii="宋体" w:hAnsi="宋体" w:cs="宋体"/>
                <w:b/>
                <w:bCs/>
                <w:sz w:val="18"/>
                <w:szCs w:val="18"/>
              </w:rPr>
            </w:pPr>
            <w:r>
              <w:rPr>
                <w:rFonts w:hint="eastAsia" w:ascii="宋体" w:hAnsi="宋体" w:cs="宋体"/>
                <w:b/>
                <w:bCs/>
                <w:sz w:val="18"/>
                <w:szCs w:val="18"/>
              </w:rPr>
              <w:t>核心评价指标</w:t>
            </w:r>
          </w:p>
        </w:tc>
        <w:tc>
          <w:tcPr>
            <w:tcW w:w="4221" w:type="dxa"/>
            <w:tcBorders>
              <w:top w:val="single" w:color="auto" w:sz="12" w:space="0"/>
              <w:bottom w:val="single" w:color="auto" w:sz="12" w:space="0"/>
            </w:tcBorders>
          </w:tcPr>
          <w:p w14:paraId="28C3CEE7">
            <w:pPr>
              <w:autoSpaceDE w:val="0"/>
              <w:autoSpaceDN w:val="0"/>
              <w:jc w:val="center"/>
              <w:rPr>
                <w:rFonts w:ascii="宋体" w:hAnsi="宋体" w:cs="宋体"/>
                <w:b/>
                <w:bCs/>
                <w:sz w:val="18"/>
                <w:szCs w:val="18"/>
              </w:rPr>
            </w:pPr>
            <w:r>
              <w:rPr>
                <w:rFonts w:hint="eastAsia" w:ascii="宋体" w:hAnsi="宋体" w:cs="宋体"/>
                <w:b/>
                <w:bCs/>
                <w:sz w:val="18"/>
                <w:szCs w:val="18"/>
              </w:rPr>
              <w:t>评价维度</w:t>
            </w:r>
          </w:p>
        </w:tc>
        <w:tc>
          <w:tcPr>
            <w:tcW w:w="1276" w:type="dxa"/>
            <w:tcBorders>
              <w:top w:val="single" w:color="auto" w:sz="12" w:space="0"/>
              <w:bottom w:val="single" w:color="auto" w:sz="12" w:space="0"/>
            </w:tcBorders>
          </w:tcPr>
          <w:p w14:paraId="7AE542E4">
            <w:pPr>
              <w:autoSpaceDE w:val="0"/>
              <w:autoSpaceDN w:val="0"/>
              <w:jc w:val="center"/>
              <w:rPr>
                <w:rFonts w:ascii="宋体" w:hAnsi="宋体" w:cs="宋体"/>
                <w:b/>
                <w:bCs/>
                <w:sz w:val="18"/>
                <w:szCs w:val="18"/>
              </w:rPr>
            </w:pPr>
            <w:r>
              <w:rPr>
                <w:rFonts w:hint="eastAsia" w:ascii="宋体" w:hAnsi="宋体" w:cs="宋体"/>
                <w:b/>
                <w:bCs/>
                <w:sz w:val="18"/>
                <w:szCs w:val="18"/>
              </w:rPr>
              <w:t>评价依据</w:t>
            </w:r>
          </w:p>
        </w:tc>
      </w:tr>
      <w:tr w14:paraId="6943BD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80" w:type="dxa"/>
            <w:vMerge w:val="restart"/>
            <w:tcBorders>
              <w:top w:val="single" w:color="auto" w:sz="12" w:space="0"/>
            </w:tcBorders>
            <w:vAlign w:val="center"/>
          </w:tcPr>
          <w:p w14:paraId="7622DA1F">
            <w:pPr>
              <w:autoSpaceDE w:val="0"/>
              <w:autoSpaceDN w:val="0"/>
              <w:jc w:val="center"/>
              <w:rPr>
                <w:rFonts w:ascii="宋体" w:hAnsi="宋体" w:cs="宋体"/>
                <w:sz w:val="18"/>
                <w:szCs w:val="18"/>
              </w:rPr>
            </w:pPr>
            <w:r>
              <w:rPr>
                <w:rFonts w:hint="eastAsia" w:ascii="宋体" w:hAnsi="宋体" w:cs="宋体"/>
                <w:sz w:val="18"/>
                <w:szCs w:val="18"/>
              </w:rPr>
              <w:t>生产制造</w:t>
            </w:r>
          </w:p>
        </w:tc>
        <w:tc>
          <w:tcPr>
            <w:tcW w:w="1395" w:type="dxa"/>
            <w:vMerge w:val="restart"/>
            <w:tcBorders>
              <w:top w:val="single" w:color="auto" w:sz="12" w:space="0"/>
            </w:tcBorders>
            <w:vAlign w:val="center"/>
          </w:tcPr>
          <w:p w14:paraId="3216C2DC">
            <w:pPr>
              <w:autoSpaceDE w:val="0"/>
              <w:autoSpaceDN w:val="0"/>
              <w:jc w:val="center"/>
              <w:rPr>
                <w:rFonts w:ascii="宋体" w:hAnsi="宋体" w:cs="宋体"/>
                <w:sz w:val="18"/>
                <w:szCs w:val="18"/>
              </w:rPr>
            </w:pPr>
            <w:r>
              <w:rPr>
                <w:rFonts w:hint="eastAsia" w:ascii="宋体" w:hAnsi="宋体" w:cs="宋体"/>
                <w:sz w:val="18"/>
                <w:szCs w:val="18"/>
              </w:rPr>
              <w:t>智能变压器</w:t>
            </w:r>
          </w:p>
        </w:tc>
        <w:tc>
          <w:tcPr>
            <w:tcW w:w="1698" w:type="dxa"/>
            <w:tcBorders>
              <w:top w:val="single" w:color="auto" w:sz="12" w:space="0"/>
            </w:tcBorders>
            <w:vAlign w:val="center"/>
          </w:tcPr>
          <w:p w14:paraId="2E3E4578">
            <w:pPr>
              <w:autoSpaceDE w:val="0"/>
              <w:autoSpaceDN w:val="0"/>
              <w:jc w:val="center"/>
              <w:rPr>
                <w:rFonts w:ascii="宋体" w:hAnsi="宋体" w:cs="宋体"/>
                <w:sz w:val="18"/>
                <w:szCs w:val="18"/>
              </w:rPr>
            </w:pPr>
            <w:r>
              <w:rPr>
                <w:rFonts w:hint="eastAsia" w:ascii="宋体" w:hAnsi="宋体" w:cs="宋体"/>
                <w:sz w:val="18"/>
                <w:szCs w:val="18"/>
              </w:rPr>
              <w:t>能效</w:t>
            </w:r>
          </w:p>
        </w:tc>
        <w:tc>
          <w:tcPr>
            <w:tcW w:w="4221" w:type="dxa"/>
            <w:tcBorders>
              <w:top w:val="single" w:color="auto" w:sz="12" w:space="0"/>
            </w:tcBorders>
          </w:tcPr>
          <w:p w14:paraId="25FBD461">
            <w:pPr>
              <w:autoSpaceDE w:val="0"/>
              <w:autoSpaceDN w:val="0"/>
              <w:jc w:val="left"/>
              <w:rPr>
                <w:rFonts w:ascii="宋体" w:hAnsi="宋体" w:cs="宋体"/>
                <w:sz w:val="18"/>
                <w:szCs w:val="18"/>
              </w:rPr>
            </w:pPr>
            <w:r>
              <w:rPr>
                <w:rFonts w:hint="eastAsia" w:ascii="宋体" w:hAnsi="宋体" w:cs="宋体"/>
                <w:sz w:val="18"/>
                <w:szCs w:val="18"/>
              </w:rPr>
              <w:t>优于</w:t>
            </w:r>
            <w:r>
              <w:rPr>
                <w:rFonts w:ascii="宋体" w:hAnsi="宋体" w:cs="宋体"/>
                <w:sz w:val="18"/>
                <w:szCs w:val="18"/>
              </w:rPr>
              <w:t>GB 20052</w:t>
            </w:r>
            <w:r>
              <w:rPr>
                <w:rFonts w:hint="eastAsia" w:ascii="宋体" w:hAnsi="宋体" w:cs="宋体"/>
                <w:sz w:val="18"/>
                <w:szCs w:val="18"/>
              </w:rPr>
              <w:t xml:space="preserve"> 能效</w:t>
            </w:r>
            <w:r>
              <w:rPr>
                <w:rFonts w:ascii="宋体" w:hAnsi="宋体" w:cs="宋体"/>
                <w:sz w:val="18"/>
                <w:szCs w:val="18"/>
              </w:rPr>
              <w:t>2级/对应产品标准要求</w:t>
            </w:r>
          </w:p>
        </w:tc>
        <w:tc>
          <w:tcPr>
            <w:tcW w:w="1276" w:type="dxa"/>
            <w:tcBorders>
              <w:top w:val="single" w:color="auto" w:sz="12" w:space="0"/>
            </w:tcBorders>
          </w:tcPr>
          <w:p w14:paraId="490F412A">
            <w:pPr>
              <w:autoSpaceDE w:val="0"/>
              <w:autoSpaceDN w:val="0"/>
              <w:jc w:val="center"/>
              <w:rPr>
                <w:rFonts w:ascii="宋体" w:hAnsi="宋体" w:cs="宋体"/>
                <w:sz w:val="18"/>
                <w:szCs w:val="18"/>
              </w:rPr>
            </w:pPr>
            <w:r>
              <w:rPr>
                <w:rFonts w:hint="eastAsia" w:ascii="宋体" w:hAnsi="宋体" w:cs="宋体"/>
                <w:sz w:val="18"/>
                <w:szCs w:val="18"/>
              </w:rPr>
              <w:t>GB 20052</w:t>
            </w:r>
          </w:p>
        </w:tc>
      </w:tr>
      <w:tr w14:paraId="7A0702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80" w:type="dxa"/>
            <w:vMerge w:val="continue"/>
          </w:tcPr>
          <w:p w14:paraId="66C4F2E6">
            <w:pPr>
              <w:autoSpaceDE w:val="0"/>
              <w:autoSpaceDN w:val="0"/>
              <w:jc w:val="center"/>
              <w:rPr>
                <w:rFonts w:ascii="宋体" w:hAnsi="宋体" w:cs="宋体"/>
                <w:sz w:val="18"/>
                <w:szCs w:val="18"/>
              </w:rPr>
            </w:pPr>
          </w:p>
        </w:tc>
        <w:tc>
          <w:tcPr>
            <w:tcW w:w="1395" w:type="dxa"/>
            <w:vMerge w:val="continue"/>
          </w:tcPr>
          <w:p w14:paraId="2CA75864">
            <w:pPr>
              <w:autoSpaceDE w:val="0"/>
              <w:autoSpaceDN w:val="0"/>
              <w:jc w:val="center"/>
              <w:rPr>
                <w:rFonts w:ascii="宋体" w:hAnsi="宋体" w:cs="宋体"/>
                <w:sz w:val="18"/>
                <w:szCs w:val="18"/>
              </w:rPr>
            </w:pPr>
          </w:p>
        </w:tc>
        <w:tc>
          <w:tcPr>
            <w:tcW w:w="1698" w:type="dxa"/>
          </w:tcPr>
          <w:p w14:paraId="2AF6D151">
            <w:pPr>
              <w:autoSpaceDE w:val="0"/>
              <w:autoSpaceDN w:val="0"/>
              <w:jc w:val="center"/>
              <w:rPr>
                <w:rFonts w:ascii="宋体" w:hAnsi="宋体" w:cs="宋体"/>
                <w:sz w:val="18"/>
                <w:szCs w:val="18"/>
              </w:rPr>
            </w:pPr>
            <w:r>
              <w:rPr>
                <w:rFonts w:hint="eastAsia" w:ascii="宋体" w:hAnsi="宋体" w:cs="宋体"/>
                <w:sz w:val="18"/>
                <w:szCs w:val="18"/>
              </w:rPr>
              <w:t>声级水平</w:t>
            </w:r>
          </w:p>
        </w:tc>
        <w:tc>
          <w:tcPr>
            <w:tcW w:w="4221" w:type="dxa"/>
          </w:tcPr>
          <w:p w14:paraId="59C8D3DC">
            <w:pPr>
              <w:autoSpaceDE w:val="0"/>
              <w:autoSpaceDN w:val="0"/>
              <w:jc w:val="left"/>
              <w:rPr>
                <w:rFonts w:ascii="宋体" w:hAnsi="宋体" w:cs="宋体"/>
                <w:sz w:val="18"/>
                <w:szCs w:val="18"/>
              </w:rPr>
            </w:pPr>
            <w:r>
              <w:rPr>
                <w:rFonts w:hint="eastAsia" w:ascii="宋体" w:hAnsi="宋体" w:cs="宋体"/>
                <w:sz w:val="18"/>
                <w:szCs w:val="18"/>
              </w:rPr>
              <w:t>优于</w:t>
            </w:r>
            <w:r>
              <w:rPr>
                <w:rFonts w:ascii="宋体" w:hAnsi="宋体" w:cs="宋体"/>
                <w:sz w:val="18"/>
                <w:szCs w:val="18"/>
              </w:rPr>
              <w:t xml:space="preserve">JB/T 10088 </w:t>
            </w:r>
            <w:r>
              <w:rPr>
                <w:rFonts w:hint="eastAsia" w:ascii="宋体" w:hAnsi="宋体" w:cs="宋体"/>
                <w:sz w:val="18"/>
                <w:szCs w:val="18"/>
              </w:rPr>
              <w:t>及对应产品标准要求</w:t>
            </w:r>
          </w:p>
        </w:tc>
        <w:tc>
          <w:tcPr>
            <w:tcW w:w="1276" w:type="dxa"/>
          </w:tcPr>
          <w:p w14:paraId="08748B0C">
            <w:pPr>
              <w:autoSpaceDE w:val="0"/>
              <w:autoSpaceDN w:val="0"/>
              <w:jc w:val="center"/>
              <w:rPr>
                <w:rFonts w:ascii="宋体" w:hAnsi="宋体" w:cs="宋体"/>
                <w:sz w:val="18"/>
                <w:szCs w:val="18"/>
              </w:rPr>
            </w:pPr>
            <w:r>
              <w:rPr>
                <w:rFonts w:ascii="宋体" w:hAnsi="宋体" w:cs="宋体"/>
                <w:sz w:val="18"/>
                <w:szCs w:val="18"/>
              </w:rPr>
              <w:t>JB/T 10088</w:t>
            </w:r>
          </w:p>
        </w:tc>
      </w:tr>
      <w:tr w14:paraId="2E203B3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980" w:type="dxa"/>
            <w:vMerge w:val="continue"/>
            <w:tcBorders>
              <w:bottom w:val="single" w:color="auto" w:sz="12" w:space="0"/>
            </w:tcBorders>
          </w:tcPr>
          <w:p w14:paraId="7A09424C">
            <w:pPr>
              <w:autoSpaceDE w:val="0"/>
              <w:autoSpaceDN w:val="0"/>
              <w:jc w:val="center"/>
              <w:rPr>
                <w:rFonts w:ascii="宋体" w:hAnsi="宋体" w:cs="宋体"/>
                <w:sz w:val="18"/>
                <w:szCs w:val="18"/>
              </w:rPr>
            </w:pPr>
          </w:p>
        </w:tc>
        <w:tc>
          <w:tcPr>
            <w:tcW w:w="1395" w:type="dxa"/>
            <w:vMerge w:val="continue"/>
            <w:tcBorders>
              <w:bottom w:val="single" w:color="auto" w:sz="12" w:space="0"/>
            </w:tcBorders>
          </w:tcPr>
          <w:p w14:paraId="504160F5">
            <w:pPr>
              <w:autoSpaceDE w:val="0"/>
              <w:autoSpaceDN w:val="0"/>
              <w:jc w:val="center"/>
              <w:rPr>
                <w:rFonts w:ascii="宋体" w:hAnsi="宋体" w:cs="宋体"/>
                <w:sz w:val="18"/>
                <w:szCs w:val="18"/>
              </w:rPr>
            </w:pPr>
          </w:p>
        </w:tc>
        <w:tc>
          <w:tcPr>
            <w:tcW w:w="1698" w:type="dxa"/>
            <w:tcBorders>
              <w:bottom w:val="single" w:color="auto" w:sz="12" w:space="0"/>
            </w:tcBorders>
          </w:tcPr>
          <w:p w14:paraId="773180E0">
            <w:pPr>
              <w:autoSpaceDE w:val="0"/>
              <w:autoSpaceDN w:val="0"/>
              <w:jc w:val="center"/>
              <w:rPr>
                <w:rFonts w:ascii="宋体" w:hAnsi="宋体" w:cs="宋体"/>
                <w:sz w:val="18"/>
                <w:szCs w:val="18"/>
              </w:rPr>
            </w:pPr>
            <w:r>
              <w:rPr>
                <w:rFonts w:hint="eastAsia" w:ascii="宋体" w:hAnsi="宋体" w:cs="宋体"/>
                <w:sz w:val="18"/>
                <w:szCs w:val="18"/>
              </w:rPr>
              <w:t>智能化水平</w:t>
            </w:r>
          </w:p>
        </w:tc>
        <w:tc>
          <w:tcPr>
            <w:tcW w:w="4221" w:type="dxa"/>
            <w:tcBorders>
              <w:bottom w:val="single" w:color="auto" w:sz="12" w:space="0"/>
            </w:tcBorders>
          </w:tcPr>
          <w:p w14:paraId="412A0477">
            <w:pPr>
              <w:autoSpaceDE w:val="0"/>
              <w:autoSpaceDN w:val="0"/>
              <w:jc w:val="left"/>
              <w:rPr>
                <w:rFonts w:ascii="宋体" w:hAnsi="宋体" w:cs="宋体"/>
                <w:sz w:val="18"/>
                <w:szCs w:val="18"/>
              </w:rPr>
            </w:pPr>
            <w:r>
              <w:rPr>
                <w:rFonts w:hint="eastAsia" w:ascii="宋体" w:hAnsi="宋体" w:cs="宋体"/>
                <w:sz w:val="18"/>
                <w:szCs w:val="18"/>
              </w:rPr>
              <w:t>高于近三年的行业水平</w:t>
            </w:r>
          </w:p>
        </w:tc>
        <w:tc>
          <w:tcPr>
            <w:tcW w:w="1276" w:type="dxa"/>
            <w:tcBorders>
              <w:bottom w:val="single" w:color="auto" w:sz="12" w:space="0"/>
            </w:tcBorders>
          </w:tcPr>
          <w:p w14:paraId="03FA2313">
            <w:pPr>
              <w:autoSpaceDE w:val="0"/>
              <w:autoSpaceDN w:val="0"/>
              <w:jc w:val="center"/>
              <w:rPr>
                <w:rFonts w:ascii="宋体" w:hAnsi="宋体" w:cs="宋体"/>
                <w:sz w:val="18"/>
                <w:szCs w:val="18"/>
              </w:rPr>
            </w:pPr>
            <w:r>
              <w:rPr>
                <w:rFonts w:hint="eastAsia" w:ascii="宋体" w:hAnsi="宋体" w:cs="宋体"/>
                <w:sz w:val="18"/>
                <w:szCs w:val="18"/>
              </w:rPr>
              <w:t>—</w:t>
            </w:r>
          </w:p>
        </w:tc>
      </w:tr>
    </w:tbl>
    <w:p w14:paraId="258C6002">
      <w:pPr>
        <w:spacing w:before="156" w:beforeLines="50" w:after="156" w:afterLines="50"/>
        <w:rPr>
          <w:rFonts w:ascii="黑体" w:eastAsia="黑体"/>
          <w:kern w:val="0"/>
          <w:szCs w:val="21"/>
        </w:rPr>
      </w:pPr>
      <w:r>
        <w:rPr>
          <w:rFonts w:hint="eastAsia" w:ascii="黑体" w:eastAsia="黑体"/>
          <w:kern w:val="0"/>
          <w:szCs w:val="21"/>
        </w:rPr>
        <w:t>A.2.2  其他产品</w:t>
      </w:r>
    </w:p>
    <w:p w14:paraId="154BFAF4">
      <w:pPr>
        <w:autoSpaceDE w:val="0"/>
        <w:autoSpaceDN w:val="0"/>
        <w:ind w:firstLine="420" w:firstLineChars="200"/>
        <w:rPr>
          <w:szCs w:val="21"/>
        </w:rPr>
      </w:pPr>
      <w:r>
        <w:rPr>
          <w:rFonts w:hint="eastAsia"/>
          <w:szCs w:val="21"/>
        </w:rPr>
        <w:t>其他产品具体评价内容及评价方法见</w:t>
      </w:r>
      <w:r>
        <w:rPr>
          <w:rFonts w:hint="eastAsia" w:ascii="宋体" w:hAnsi="宋体" w:cs="宋体"/>
          <w:szCs w:val="21"/>
        </w:rPr>
        <w:t>表</w:t>
      </w:r>
      <w:r>
        <w:rPr>
          <w:rFonts w:hint="eastAsia" w:ascii="宋体" w:hAnsi="宋体" w:cs="宋体"/>
          <w:kern w:val="0"/>
          <w:szCs w:val="21"/>
        </w:rPr>
        <w:t>A</w:t>
      </w:r>
      <w:r>
        <w:rPr>
          <w:rFonts w:hint="eastAsia" w:ascii="宋体" w:hAnsi="宋体" w:cs="宋体"/>
          <w:szCs w:val="21"/>
        </w:rPr>
        <w:t>.</w:t>
      </w:r>
      <w:r>
        <w:rPr>
          <w:rFonts w:ascii="宋体" w:hAnsi="宋体" w:cs="宋体"/>
          <w:szCs w:val="21"/>
        </w:rPr>
        <w:t>3</w:t>
      </w:r>
      <w:r>
        <w:rPr>
          <w:rFonts w:hint="eastAsia"/>
          <w:szCs w:val="21"/>
        </w:rPr>
        <w:t>。</w:t>
      </w:r>
    </w:p>
    <w:p w14:paraId="1EE72E65">
      <w:pPr>
        <w:spacing w:before="156" w:beforeLines="50" w:after="156" w:afterLines="50"/>
        <w:jc w:val="center"/>
      </w:pPr>
      <w:r>
        <w:rPr>
          <w:rFonts w:hint="eastAsia" w:ascii="黑体" w:hAnsi="黑体" w:eastAsia="黑体" w:cs="黑体"/>
        </w:rPr>
        <w:t>表A.</w:t>
      </w:r>
      <w:r>
        <w:rPr>
          <w:rFonts w:ascii="黑体" w:hAnsi="黑体" w:eastAsia="黑体" w:cs="黑体"/>
        </w:rPr>
        <w:t>3</w:t>
      </w:r>
      <w:r>
        <w:rPr>
          <w:rFonts w:hint="eastAsia" w:ascii="黑体" w:hAnsi="黑体" w:eastAsia="黑体" w:cs="黑体"/>
        </w:rPr>
        <w:t xml:space="preserve">  </w:t>
      </w:r>
      <w:r>
        <w:rPr>
          <w:rFonts w:hint="eastAsia" w:ascii="黑体" w:eastAsia="黑体"/>
          <w:kern w:val="0"/>
          <w:szCs w:val="21"/>
        </w:rPr>
        <w:t>其他产品</w:t>
      </w:r>
      <w:r>
        <w:rPr>
          <w:rFonts w:hint="eastAsia" w:eastAsia="黑体"/>
        </w:rPr>
        <w:t>关键</w:t>
      </w:r>
      <w:r>
        <w:rPr>
          <w:rFonts w:eastAsia="黑体"/>
        </w:rPr>
        <w:t>技术先进性</w:t>
      </w:r>
      <w:r>
        <w:rPr>
          <w:rFonts w:hint="eastAsia" w:eastAsia="黑体"/>
        </w:rPr>
        <w:t>评价规则</w:t>
      </w:r>
    </w:p>
    <w:tbl>
      <w:tblPr>
        <w:tblStyle w:val="35"/>
        <w:tblW w:w="9570"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969"/>
        <w:gridCol w:w="1395"/>
        <w:gridCol w:w="1625"/>
        <w:gridCol w:w="4397"/>
        <w:gridCol w:w="1184"/>
      </w:tblGrid>
      <w:tr w14:paraId="1E35C33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83" w:hRule="atLeast"/>
          <w:jc w:val="center"/>
        </w:trPr>
        <w:tc>
          <w:tcPr>
            <w:tcW w:w="969" w:type="dxa"/>
            <w:tcBorders>
              <w:top w:val="single" w:color="auto" w:sz="12" w:space="0"/>
              <w:bottom w:val="single" w:color="auto" w:sz="12" w:space="0"/>
              <w:right w:val="single" w:color="auto" w:sz="4" w:space="0"/>
            </w:tcBorders>
          </w:tcPr>
          <w:p w14:paraId="25EBA4AC">
            <w:pPr>
              <w:autoSpaceDE w:val="0"/>
              <w:autoSpaceDN w:val="0"/>
              <w:jc w:val="center"/>
              <w:rPr>
                <w:rFonts w:ascii="宋体" w:hAnsi="宋体" w:cs="宋体"/>
                <w:b/>
                <w:bCs/>
                <w:sz w:val="18"/>
                <w:szCs w:val="18"/>
              </w:rPr>
            </w:pPr>
            <w:r>
              <w:rPr>
                <w:rFonts w:hint="eastAsia" w:ascii="宋体" w:hAnsi="宋体" w:cs="宋体"/>
                <w:b/>
                <w:bCs/>
                <w:sz w:val="18"/>
                <w:szCs w:val="18"/>
              </w:rPr>
              <w:t>评价环节</w:t>
            </w:r>
          </w:p>
        </w:tc>
        <w:tc>
          <w:tcPr>
            <w:tcW w:w="1395" w:type="dxa"/>
            <w:tcBorders>
              <w:top w:val="single" w:color="auto" w:sz="12" w:space="0"/>
              <w:left w:val="single" w:color="auto" w:sz="4" w:space="0"/>
              <w:bottom w:val="single" w:color="auto" w:sz="12" w:space="0"/>
              <w:right w:val="single" w:color="auto" w:sz="4" w:space="0"/>
            </w:tcBorders>
          </w:tcPr>
          <w:p w14:paraId="5C191501">
            <w:pPr>
              <w:autoSpaceDE w:val="0"/>
              <w:autoSpaceDN w:val="0"/>
              <w:jc w:val="center"/>
              <w:rPr>
                <w:rFonts w:ascii="宋体" w:hAnsi="宋体" w:cs="宋体"/>
                <w:b/>
                <w:bCs/>
                <w:sz w:val="18"/>
                <w:szCs w:val="18"/>
              </w:rPr>
            </w:pPr>
            <w:r>
              <w:rPr>
                <w:rFonts w:hint="eastAsia" w:ascii="宋体" w:hAnsi="宋体" w:cs="宋体"/>
                <w:b/>
                <w:bCs/>
                <w:sz w:val="18"/>
                <w:szCs w:val="18"/>
              </w:rPr>
              <w:t>评价对象</w:t>
            </w:r>
          </w:p>
        </w:tc>
        <w:tc>
          <w:tcPr>
            <w:tcW w:w="1625" w:type="dxa"/>
            <w:tcBorders>
              <w:top w:val="single" w:color="auto" w:sz="12" w:space="0"/>
              <w:left w:val="single" w:color="auto" w:sz="4" w:space="0"/>
              <w:bottom w:val="single" w:color="auto" w:sz="12" w:space="0"/>
              <w:right w:val="single" w:color="auto" w:sz="4" w:space="0"/>
            </w:tcBorders>
          </w:tcPr>
          <w:p w14:paraId="49479BE2">
            <w:pPr>
              <w:autoSpaceDE w:val="0"/>
              <w:autoSpaceDN w:val="0"/>
              <w:jc w:val="center"/>
              <w:rPr>
                <w:rFonts w:ascii="宋体" w:hAnsi="宋体" w:cs="宋体"/>
                <w:b/>
                <w:bCs/>
                <w:sz w:val="18"/>
                <w:szCs w:val="18"/>
              </w:rPr>
            </w:pPr>
            <w:r>
              <w:rPr>
                <w:rFonts w:hint="eastAsia" w:ascii="宋体" w:hAnsi="宋体" w:cs="宋体"/>
                <w:b/>
                <w:bCs/>
                <w:sz w:val="18"/>
                <w:szCs w:val="18"/>
              </w:rPr>
              <w:t>核心评价指标</w:t>
            </w:r>
          </w:p>
        </w:tc>
        <w:tc>
          <w:tcPr>
            <w:tcW w:w="4397" w:type="dxa"/>
            <w:tcBorders>
              <w:top w:val="single" w:color="auto" w:sz="12" w:space="0"/>
              <w:left w:val="single" w:color="auto" w:sz="4" w:space="0"/>
              <w:bottom w:val="single" w:color="auto" w:sz="12" w:space="0"/>
              <w:right w:val="single" w:color="auto" w:sz="4" w:space="0"/>
            </w:tcBorders>
          </w:tcPr>
          <w:p w14:paraId="5B3402BE">
            <w:pPr>
              <w:autoSpaceDE w:val="0"/>
              <w:autoSpaceDN w:val="0"/>
              <w:jc w:val="center"/>
              <w:rPr>
                <w:rFonts w:ascii="宋体" w:hAnsi="宋体" w:cs="宋体"/>
                <w:b/>
                <w:bCs/>
                <w:sz w:val="18"/>
                <w:szCs w:val="18"/>
              </w:rPr>
            </w:pPr>
            <w:r>
              <w:rPr>
                <w:rFonts w:hint="eastAsia" w:ascii="宋体" w:hAnsi="宋体" w:cs="宋体"/>
                <w:b/>
                <w:bCs/>
                <w:sz w:val="18"/>
                <w:szCs w:val="18"/>
              </w:rPr>
              <w:t>评价维度</w:t>
            </w:r>
          </w:p>
        </w:tc>
        <w:tc>
          <w:tcPr>
            <w:tcW w:w="1184" w:type="dxa"/>
            <w:tcBorders>
              <w:top w:val="single" w:color="auto" w:sz="12" w:space="0"/>
              <w:left w:val="single" w:color="auto" w:sz="4" w:space="0"/>
              <w:bottom w:val="single" w:color="auto" w:sz="12" w:space="0"/>
            </w:tcBorders>
          </w:tcPr>
          <w:p w14:paraId="755A2476">
            <w:pPr>
              <w:autoSpaceDE w:val="0"/>
              <w:autoSpaceDN w:val="0"/>
              <w:jc w:val="center"/>
              <w:rPr>
                <w:rFonts w:ascii="宋体" w:hAnsi="宋体" w:cs="宋体"/>
                <w:b/>
                <w:bCs/>
                <w:sz w:val="18"/>
                <w:szCs w:val="18"/>
              </w:rPr>
            </w:pPr>
            <w:r>
              <w:rPr>
                <w:rFonts w:hint="eastAsia" w:ascii="宋体" w:hAnsi="宋体" w:cs="宋体"/>
                <w:b/>
                <w:bCs/>
                <w:sz w:val="18"/>
                <w:szCs w:val="18"/>
              </w:rPr>
              <w:t>评价依据</w:t>
            </w:r>
          </w:p>
        </w:tc>
      </w:tr>
      <w:tr w14:paraId="3E8758A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29" w:hRule="atLeast"/>
          <w:jc w:val="center"/>
        </w:trPr>
        <w:tc>
          <w:tcPr>
            <w:tcW w:w="969" w:type="dxa"/>
            <w:tcBorders>
              <w:top w:val="single" w:color="auto" w:sz="12" w:space="0"/>
              <w:bottom w:val="single" w:color="auto" w:sz="4" w:space="0"/>
              <w:right w:val="single" w:color="auto" w:sz="4" w:space="0"/>
            </w:tcBorders>
            <w:vAlign w:val="center"/>
          </w:tcPr>
          <w:p w14:paraId="0F8F1B08">
            <w:pPr>
              <w:autoSpaceDE w:val="0"/>
              <w:autoSpaceDN w:val="0"/>
              <w:jc w:val="center"/>
              <w:rPr>
                <w:rFonts w:ascii="宋体" w:hAnsi="宋体" w:cs="宋体"/>
                <w:sz w:val="18"/>
                <w:szCs w:val="18"/>
              </w:rPr>
            </w:pPr>
            <w:r>
              <w:rPr>
                <w:rFonts w:hint="eastAsia" w:ascii="宋体" w:hAnsi="宋体" w:cs="宋体"/>
                <w:sz w:val="18"/>
                <w:szCs w:val="18"/>
              </w:rPr>
              <w:t>生产制造</w:t>
            </w:r>
          </w:p>
        </w:tc>
        <w:tc>
          <w:tcPr>
            <w:tcW w:w="1395" w:type="dxa"/>
            <w:tcBorders>
              <w:top w:val="single" w:color="auto" w:sz="12" w:space="0"/>
              <w:left w:val="single" w:color="auto" w:sz="4" w:space="0"/>
              <w:bottom w:val="single" w:color="auto" w:sz="4" w:space="0"/>
              <w:right w:val="single" w:color="auto" w:sz="4" w:space="0"/>
            </w:tcBorders>
            <w:vAlign w:val="center"/>
          </w:tcPr>
          <w:p w14:paraId="000CB3AA">
            <w:pPr>
              <w:autoSpaceDE w:val="0"/>
              <w:autoSpaceDN w:val="0"/>
              <w:jc w:val="center"/>
              <w:rPr>
                <w:rFonts w:ascii="宋体" w:hAnsi="宋体" w:cs="宋体"/>
                <w:sz w:val="18"/>
                <w:szCs w:val="18"/>
              </w:rPr>
            </w:pPr>
            <w:r>
              <w:rPr>
                <w:rFonts w:ascii="宋体" w:hAnsi="宋体" w:cs="宋体"/>
                <w:sz w:val="18"/>
                <w:szCs w:val="18"/>
              </w:rPr>
              <w:t>其他产品</w:t>
            </w:r>
          </w:p>
        </w:tc>
        <w:tc>
          <w:tcPr>
            <w:tcW w:w="1625" w:type="dxa"/>
            <w:tcBorders>
              <w:top w:val="single" w:color="auto" w:sz="12" w:space="0"/>
              <w:left w:val="single" w:color="auto" w:sz="4" w:space="0"/>
              <w:bottom w:val="single" w:color="auto" w:sz="4" w:space="0"/>
              <w:right w:val="single" w:color="auto" w:sz="4" w:space="0"/>
            </w:tcBorders>
            <w:vAlign w:val="center"/>
          </w:tcPr>
          <w:p w14:paraId="02552541">
            <w:pPr>
              <w:autoSpaceDE w:val="0"/>
              <w:autoSpaceDN w:val="0"/>
              <w:jc w:val="center"/>
              <w:rPr>
                <w:rFonts w:ascii="宋体" w:hAnsi="宋体" w:cs="宋体"/>
                <w:sz w:val="18"/>
                <w:szCs w:val="18"/>
              </w:rPr>
            </w:pPr>
            <w:r>
              <w:rPr>
                <w:rFonts w:hint="eastAsia" w:ascii="宋体" w:hAnsi="宋体" w:cs="宋体"/>
                <w:sz w:val="18"/>
                <w:szCs w:val="18"/>
              </w:rPr>
              <w:t>可靠性、稳定性等性能指标</w:t>
            </w:r>
          </w:p>
        </w:tc>
        <w:tc>
          <w:tcPr>
            <w:tcW w:w="4397" w:type="dxa"/>
            <w:tcBorders>
              <w:top w:val="single" w:color="auto" w:sz="12" w:space="0"/>
              <w:left w:val="single" w:color="auto" w:sz="4" w:space="0"/>
              <w:bottom w:val="single" w:color="auto" w:sz="4" w:space="0"/>
              <w:right w:val="single" w:color="auto" w:sz="4" w:space="0"/>
            </w:tcBorders>
            <w:vAlign w:val="center"/>
          </w:tcPr>
          <w:p w14:paraId="1782CD57">
            <w:pPr>
              <w:autoSpaceDE w:val="0"/>
              <w:autoSpaceDN w:val="0"/>
              <w:rPr>
                <w:rFonts w:ascii="宋体" w:hAnsi="宋体" w:cs="宋体"/>
                <w:sz w:val="18"/>
                <w:szCs w:val="18"/>
              </w:rPr>
            </w:pPr>
            <w:r>
              <w:rPr>
                <w:rFonts w:hint="eastAsia" w:ascii="宋体" w:hAnsi="宋体" w:cs="宋体"/>
                <w:sz w:val="18"/>
                <w:szCs w:val="18"/>
              </w:rPr>
              <w:t>企事业单位围绕设备的可靠性、稳定性、智能化及先进性等方面出具书面说明，应高于近三年的行业水平</w:t>
            </w:r>
          </w:p>
        </w:tc>
        <w:tc>
          <w:tcPr>
            <w:tcW w:w="1184" w:type="dxa"/>
            <w:tcBorders>
              <w:top w:val="single" w:color="auto" w:sz="12" w:space="0"/>
              <w:left w:val="single" w:color="auto" w:sz="4" w:space="0"/>
              <w:bottom w:val="single" w:color="auto" w:sz="4" w:space="0"/>
            </w:tcBorders>
            <w:vAlign w:val="center"/>
          </w:tcPr>
          <w:p w14:paraId="100C2F82">
            <w:pPr>
              <w:autoSpaceDE w:val="0"/>
              <w:autoSpaceDN w:val="0"/>
              <w:jc w:val="center"/>
              <w:rPr>
                <w:rFonts w:ascii="宋体" w:hAnsi="宋体" w:cs="宋体"/>
                <w:sz w:val="18"/>
                <w:szCs w:val="18"/>
              </w:rPr>
            </w:pPr>
            <w:r>
              <w:rPr>
                <w:rFonts w:hint="eastAsia" w:ascii="宋体" w:hAnsi="宋体" w:cs="宋体"/>
                <w:sz w:val="18"/>
                <w:szCs w:val="18"/>
              </w:rPr>
              <w:t>—</w:t>
            </w:r>
          </w:p>
        </w:tc>
      </w:tr>
      <w:tr w14:paraId="3E91343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62" w:hRule="atLeast"/>
          <w:jc w:val="center"/>
        </w:trPr>
        <w:tc>
          <w:tcPr>
            <w:tcW w:w="9570" w:type="dxa"/>
            <w:gridSpan w:val="5"/>
            <w:tcBorders>
              <w:top w:val="single" w:color="auto" w:sz="4" w:space="0"/>
              <w:bottom w:val="single" w:color="auto" w:sz="12" w:space="0"/>
            </w:tcBorders>
            <w:vAlign w:val="center"/>
          </w:tcPr>
          <w:p w14:paraId="6960B874">
            <w:pPr>
              <w:pStyle w:val="67"/>
            </w:pPr>
            <w:r>
              <w:rPr>
                <w:rFonts w:hint="eastAsia"/>
              </w:rPr>
              <w:t>其他产品主要包括先进电力电子装置制造、智能输配电及控制设备制造、智能电网与新能源相关的控制类产品制造、数字电网相关技术开发和产品制造等，具体产品见《深圳市绿色低碳产业指导目录》1.5.2所涉及产品。</w:t>
            </w:r>
          </w:p>
        </w:tc>
      </w:tr>
    </w:tbl>
    <w:p w14:paraId="638C5E3E">
      <w:pPr>
        <w:spacing w:before="156" w:beforeLines="50" w:after="156" w:afterLines="50"/>
        <w:rPr>
          <w:rFonts w:ascii="黑体" w:eastAsia="黑体"/>
          <w:kern w:val="0"/>
          <w:szCs w:val="21"/>
        </w:rPr>
      </w:pPr>
      <w:r>
        <w:rPr>
          <w:rFonts w:hint="eastAsia" w:ascii="黑体" w:eastAsia="黑体"/>
          <w:kern w:val="0"/>
          <w:szCs w:val="21"/>
        </w:rPr>
        <w:t>A.</w:t>
      </w:r>
      <w:r>
        <w:rPr>
          <w:rFonts w:ascii="黑体" w:eastAsia="黑体"/>
          <w:kern w:val="0"/>
          <w:szCs w:val="21"/>
        </w:rPr>
        <w:t>3</w:t>
      </w:r>
      <w:r>
        <w:rPr>
          <w:rFonts w:hint="eastAsia" w:ascii="黑体" w:eastAsia="黑体"/>
          <w:kern w:val="0"/>
          <w:szCs w:val="21"/>
        </w:rPr>
        <w:t xml:space="preserve"> 智能电网设施建设与运营</w:t>
      </w:r>
    </w:p>
    <w:p w14:paraId="1B0868F0">
      <w:pPr>
        <w:autoSpaceDE w:val="0"/>
        <w:autoSpaceDN w:val="0"/>
        <w:ind w:firstLine="420" w:firstLineChars="200"/>
        <w:rPr>
          <w:szCs w:val="21"/>
        </w:rPr>
      </w:pPr>
      <w:r>
        <w:rPr>
          <w:rFonts w:hint="eastAsia"/>
          <w:szCs w:val="21"/>
        </w:rPr>
        <w:t>智能电网设施建设与运营具体评价内容及评价</w:t>
      </w:r>
      <w:r>
        <w:rPr>
          <w:rFonts w:hint="eastAsia" w:asciiTheme="minorEastAsia" w:hAnsiTheme="minorEastAsia" w:eastAsiaTheme="minorEastAsia"/>
          <w:szCs w:val="21"/>
        </w:rPr>
        <w:t>方法见</w:t>
      </w:r>
      <w:r>
        <w:rPr>
          <w:rFonts w:hint="eastAsia" w:cs="宋体" w:asciiTheme="minorEastAsia" w:hAnsiTheme="minorEastAsia" w:eastAsiaTheme="minorEastAsia"/>
          <w:szCs w:val="21"/>
        </w:rPr>
        <w:t>表</w:t>
      </w:r>
      <w:r>
        <w:rPr>
          <w:rFonts w:cs="宋体" w:asciiTheme="minorEastAsia" w:hAnsiTheme="minorEastAsia" w:eastAsiaTheme="minorEastAsia"/>
          <w:kern w:val="0"/>
          <w:szCs w:val="21"/>
        </w:rPr>
        <w:t>A</w:t>
      </w:r>
      <w:r>
        <w:rPr>
          <w:rFonts w:asciiTheme="minorEastAsia" w:hAnsiTheme="minorEastAsia" w:eastAsiaTheme="minorEastAsia"/>
          <w:szCs w:val="21"/>
        </w:rPr>
        <w:t>.4</w:t>
      </w:r>
      <w:r>
        <w:rPr>
          <w:rFonts w:hint="eastAsia" w:ascii="宋体" w:hAnsi="宋体" w:cs="宋体"/>
          <w:szCs w:val="21"/>
        </w:rPr>
        <w:t>。</w:t>
      </w:r>
    </w:p>
    <w:p w14:paraId="2CAE6EB2">
      <w:pPr>
        <w:spacing w:before="156" w:beforeLines="50" w:after="156" w:afterLines="50"/>
        <w:jc w:val="center"/>
        <w:rPr>
          <w:szCs w:val="21"/>
        </w:rPr>
      </w:pPr>
      <w:r>
        <w:rPr>
          <w:rFonts w:hint="eastAsia" w:ascii="黑体" w:hAnsi="黑体" w:eastAsia="黑体" w:cs="黑体"/>
        </w:rPr>
        <w:t>表A.</w:t>
      </w:r>
      <w:r>
        <w:rPr>
          <w:rFonts w:ascii="黑体" w:hAnsi="黑体" w:eastAsia="黑体" w:cs="黑体"/>
        </w:rPr>
        <w:t>4</w:t>
      </w:r>
      <w:r>
        <w:rPr>
          <w:rFonts w:hint="eastAsia" w:ascii="黑体" w:hAnsi="黑体" w:eastAsia="黑体" w:cs="黑体"/>
        </w:rPr>
        <w:t xml:space="preserve">  </w:t>
      </w:r>
      <w:r>
        <w:rPr>
          <w:rFonts w:hint="eastAsia" w:ascii="黑体" w:eastAsia="黑体"/>
          <w:kern w:val="0"/>
          <w:szCs w:val="21"/>
        </w:rPr>
        <w:t>智能电网建设与运营</w:t>
      </w:r>
      <w:r>
        <w:rPr>
          <w:rFonts w:hint="eastAsia" w:eastAsia="黑体"/>
        </w:rPr>
        <w:t>关键</w:t>
      </w:r>
      <w:r>
        <w:rPr>
          <w:rFonts w:eastAsia="黑体"/>
        </w:rPr>
        <w:t>技术先进性</w:t>
      </w:r>
      <w:r>
        <w:rPr>
          <w:rFonts w:hint="eastAsia" w:eastAsia="黑体"/>
        </w:rPr>
        <w:t>评价规则</w:t>
      </w:r>
    </w:p>
    <w:tbl>
      <w:tblPr>
        <w:tblStyle w:val="35"/>
        <w:tblW w:w="95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10"/>
        <w:gridCol w:w="1257"/>
        <w:gridCol w:w="1404"/>
        <w:gridCol w:w="4944"/>
        <w:gridCol w:w="955"/>
      </w:tblGrid>
      <w:tr w14:paraId="550C92A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1010" w:type="dxa"/>
            <w:tcBorders>
              <w:top w:val="single" w:color="auto" w:sz="12" w:space="0"/>
              <w:bottom w:val="single" w:color="auto" w:sz="12" w:space="0"/>
            </w:tcBorders>
          </w:tcPr>
          <w:p w14:paraId="3AD95C49">
            <w:pPr>
              <w:autoSpaceDE w:val="0"/>
              <w:autoSpaceDN w:val="0"/>
              <w:jc w:val="center"/>
              <w:rPr>
                <w:rFonts w:ascii="宋体" w:hAnsi="宋体" w:cs="宋体"/>
                <w:b/>
                <w:bCs/>
                <w:sz w:val="18"/>
                <w:szCs w:val="18"/>
              </w:rPr>
            </w:pPr>
            <w:r>
              <w:rPr>
                <w:rFonts w:hint="eastAsia" w:ascii="宋体" w:hAnsi="宋体" w:cs="宋体"/>
                <w:b/>
                <w:bCs/>
                <w:sz w:val="18"/>
                <w:szCs w:val="18"/>
              </w:rPr>
              <w:t>评价环节</w:t>
            </w:r>
          </w:p>
        </w:tc>
        <w:tc>
          <w:tcPr>
            <w:tcW w:w="1257" w:type="dxa"/>
            <w:tcBorders>
              <w:top w:val="single" w:color="auto" w:sz="12" w:space="0"/>
              <w:bottom w:val="single" w:color="auto" w:sz="12" w:space="0"/>
            </w:tcBorders>
          </w:tcPr>
          <w:p w14:paraId="3FB62A25">
            <w:pPr>
              <w:autoSpaceDE w:val="0"/>
              <w:autoSpaceDN w:val="0"/>
              <w:jc w:val="center"/>
              <w:rPr>
                <w:rFonts w:ascii="宋体" w:hAnsi="宋体" w:cs="宋体"/>
                <w:b/>
                <w:bCs/>
                <w:sz w:val="18"/>
                <w:szCs w:val="18"/>
              </w:rPr>
            </w:pPr>
            <w:r>
              <w:rPr>
                <w:rFonts w:hint="eastAsia" w:ascii="宋体" w:hAnsi="宋体" w:cs="宋体"/>
                <w:b/>
                <w:bCs/>
                <w:sz w:val="18"/>
                <w:szCs w:val="18"/>
              </w:rPr>
              <w:t>评价对象</w:t>
            </w:r>
          </w:p>
        </w:tc>
        <w:tc>
          <w:tcPr>
            <w:tcW w:w="1404" w:type="dxa"/>
            <w:tcBorders>
              <w:top w:val="single" w:color="auto" w:sz="12" w:space="0"/>
              <w:bottom w:val="single" w:color="auto" w:sz="12" w:space="0"/>
            </w:tcBorders>
          </w:tcPr>
          <w:p w14:paraId="4A7BAE2C">
            <w:pPr>
              <w:autoSpaceDE w:val="0"/>
              <w:autoSpaceDN w:val="0"/>
              <w:jc w:val="center"/>
              <w:rPr>
                <w:rFonts w:ascii="宋体" w:hAnsi="宋体" w:cs="宋体"/>
                <w:b/>
                <w:bCs/>
                <w:sz w:val="18"/>
                <w:szCs w:val="18"/>
              </w:rPr>
            </w:pPr>
            <w:r>
              <w:rPr>
                <w:rFonts w:hint="eastAsia" w:ascii="宋体" w:hAnsi="宋体" w:cs="宋体"/>
                <w:b/>
                <w:bCs/>
                <w:sz w:val="18"/>
                <w:szCs w:val="18"/>
              </w:rPr>
              <w:t>核心评价指标</w:t>
            </w:r>
          </w:p>
        </w:tc>
        <w:tc>
          <w:tcPr>
            <w:tcW w:w="4944" w:type="dxa"/>
            <w:tcBorders>
              <w:top w:val="single" w:color="auto" w:sz="12" w:space="0"/>
              <w:bottom w:val="single" w:color="auto" w:sz="12" w:space="0"/>
            </w:tcBorders>
          </w:tcPr>
          <w:p w14:paraId="05D5BAEF">
            <w:pPr>
              <w:autoSpaceDE w:val="0"/>
              <w:autoSpaceDN w:val="0"/>
              <w:jc w:val="center"/>
              <w:rPr>
                <w:rFonts w:ascii="宋体" w:hAnsi="宋体" w:cs="宋体"/>
                <w:b/>
                <w:bCs/>
                <w:sz w:val="18"/>
                <w:szCs w:val="18"/>
              </w:rPr>
            </w:pPr>
            <w:r>
              <w:rPr>
                <w:rFonts w:hint="eastAsia" w:ascii="宋体" w:hAnsi="宋体" w:cs="宋体"/>
                <w:b/>
                <w:bCs/>
                <w:sz w:val="18"/>
                <w:szCs w:val="18"/>
              </w:rPr>
              <w:t>评价维度</w:t>
            </w:r>
          </w:p>
        </w:tc>
        <w:tc>
          <w:tcPr>
            <w:tcW w:w="955" w:type="dxa"/>
            <w:tcBorders>
              <w:top w:val="single" w:color="auto" w:sz="12" w:space="0"/>
              <w:bottom w:val="single" w:color="auto" w:sz="12" w:space="0"/>
            </w:tcBorders>
          </w:tcPr>
          <w:p w14:paraId="73711A58">
            <w:pPr>
              <w:autoSpaceDE w:val="0"/>
              <w:autoSpaceDN w:val="0"/>
              <w:jc w:val="center"/>
              <w:rPr>
                <w:rFonts w:ascii="宋体" w:hAnsi="宋体" w:cs="宋体"/>
                <w:b/>
                <w:bCs/>
                <w:sz w:val="18"/>
                <w:szCs w:val="18"/>
              </w:rPr>
            </w:pPr>
            <w:r>
              <w:rPr>
                <w:rFonts w:hint="eastAsia" w:ascii="宋体" w:hAnsi="宋体" w:cs="宋体"/>
                <w:b/>
                <w:bCs/>
                <w:sz w:val="18"/>
                <w:szCs w:val="18"/>
              </w:rPr>
              <w:t>评价依据</w:t>
            </w:r>
          </w:p>
        </w:tc>
      </w:tr>
      <w:tr w14:paraId="08E73E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06" w:hRule="atLeast"/>
          <w:jc w:val="center"/>
        </w:trPr>
        <w:tc>
          <w:tcPr>
            <w:tcW w:w="1010" w:type="dxa"/>
            <w:vMerge w:val="restart"/>
            <w:tcBorders>
              <w:top w:val="single" w:color="auto" w:sz="12" w:space="0"/>
            </w:tcBorders>
            <w:vAlign w:val="center"/>
          </w:tcPr>
          <w:p w14:paraId="5E633E6D">
            <w:pPr>
              <w:autoSpaceDE w:val="0"/>
              <w:autoSpaceDN w:val="0"/>
              <w:jc w:val="center"/>
              <w:rPr>
                <w:rFonts w:ascii="宋体" w:hAnsi="宋体" w:cs="宋体"/>
                <w:sz w:val="18"/>
                <w:szCs w:val="18"/>
              </w:rPr>
            </w:pPr>
            <w:r>
              <w:rPr>
                <w:rFonts w:hint="eastAsia" w:ascii="宋体" w:hAnsi="宋体" w:cs="宋体"/>
                <w:sz w:val="18"/>
                <w:szCs w:val="18"/>
              </w:rPr>
              <w:t>建设运营</w:t>
            </w:r>
          </w:p>
        </w:tc>
        <w:tc>
          <w:tcPr>
            <w:tcW w:w="1257" w:type="dxa"/>
            <w:tcBorders>
              <w:top w:val="single" w:color="auto" w:sz="12" w:space="0"/>
            </w:tcBorders>
            <w:vAlign w:val="center"/>
          </w:tcPr>
          <w:p w14:paraId="205EBE0E">
            <w:pPr>
              <w:autoSpaceDE w:val="0"/>
              <w:autoSpaceDN w:val="0"/>
              <w:jc w:val="left"/>
              <w:rPr>
                <w:rFonts w:ascii="宋体" w:hAnsi="宋体" w:cs="宋体"/>
                <w:sz w:val="18"/>
                <w:szCs w:val="18"/>
              </w:rPr>
            </w:pPr>
            <w:r>
              <w:rPr>
                <w:rFonts w:hint="eastAsia" w:ascii="宋体" w:hAnsi="宋体" w:cs="宋体"/>
                <w:sz w:val="18"/>
                <w:szCs w:val="18"/>
              </w:rPr>
              <w:t>增量配网建设与运营</w:t>
            </w:r>
          </w:p>
        </w:tc>
        <w:tc>
          <w:tcPr>
            <w:tcW w:w="1404" w:type="dxa"/>
            <w:tcBorders>
              <w:top w:val="single" w:color="auto" w:sz="12" w:space="0"/>
            </w:tcBorders>
            <w:vAlign w:val="center"/>
          </w:tcPr>
          <w:p w14:paraId="6DADEC7C">
            <w:pPr>
              <w:autoSpaceDE w:val="0"/>
              <w:autoSpaceDN w:val="0"/>
              <w:jc w:val="center"/>
              <w:rPr>
                <w:rFonts w:ascii="宋体" w:hAnsi="宋体" w:cs="宋体"/>
                <w:sz w:val="18"/>
                <w:szCs w:val="18"/>
              </w:rPr>
            </w:pPr>
            <w:r>
              <w:rPr>
                <w:rFonts w:hint="eastAsia" w:ascii="宋体" w:hAnsi="宋体" w:cs="宋体"/>
                <w:sz w:val="18"/>
                <w:szCs w:val="18"/>
              </w:rPr>
              <w:t>准入要求</w:t>
            </w:r>
          </w:p>
        </w:tc>
        <w:tc>
          <w:tcPr>
            <w:tcW w:w="4944" w:type="dxa"/>
            <w:tcBorders>
              <w:top w:val="single" w:color="auto" w:sz="12" w:space="0"/>
            </w:tcBorders>
          </w:tcPr>
          <w:p w14:paraId="4456433D">
            <w:pPr>
              <w:autoSpaceDE w:val="0"/>
              <w:autoSpaceDN w:val="0"/>
              <w:jc w:val="left"/>
              <w:rPr>
                <w:rFonts w:ascii="宋体" w:hAnsi="宋体" w:cs="宋体"/>
                <w:sz w:val="18"/>
                <w:szCs w:val="18"/>
              </w:rPr>
            </w:pPr>
            <w:r>
              <w:rPr>
                <w:rFonts w:hint="eastAsia" w:ascii="宋体" w:hAnsi="宋体" w:cs="宋体"/>
                <w:sz w:val="18"/>
                <w:szCs w:val="18"/>
              </w:rPr>
              <w:t>符合《手电公司准入与退出管理办法》和《有序放开配电网业务管理办法》、《增量配电业务配电区域划分实施办法（试行）》、《关于进一步增量配电业务改革的通知》</w:t>
            </w:r>
          </w:p>
        </w:tc>
        <w:tc>
          <w:tcPr>
            <w:tcW w:w="955" w:type="dxa"/>
            <w:tcBorders>
              <w:top w:val="single" w:color="auto" w:sz="12" w:space="0"/>
            </w:tcBorders>
            <w:vAlign w:val="center"/>
          </w:tcPr>
          <w:p w14:paraId="3C5E4E1B">
            <w:pPr>
              <w:autoSpaceDE w:val="0"/>
              <w:autoSpaceDN w:val="0"/>
              <w:jc w:val="center"/>
              <w:rPr>
                <w:rFonts w:ascii="宋体" w:hAnsi="宋体" w:cs="宋体"/>
                <w:sz w:val="18"/>
                <w:szCs w:val="18"/>
              </w:rPr>
            </w:pPr>
            <w:r>
              <w:rPr>
                <w:rFonts w:hint="eastAsia" w:ascii="宋体" w:hAnsi="宋体" w:cs="宋体"/>
                <w:sz w:val="18"/>
                <w:szCs w:val="18"/>
              </w:rPr>
              <w:t>—</w:t>
            </w:r>
          </w:p>
        </w:tc>
      </w:tr>
      <w:tr w14:paraId="704601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1" w:hRule="atLeast"/>
          <w:jc w:val="center"/>
        </w:trPr>
        <w:tc>
          <w:tcPr>
            <w:tcW w:w="1010" w:type="dxa"/>
            <w:vMerge w:val="continue"/>
            <w:vAlign w:val="center"/>
          </w:tcPr>
          <w:p w14:paraId="2A583BEF">
            <w:pPr>
              <w:autoSpaceDE w:val="0"/>
              <w:autoSpaceDN w:val="0"/>
              <w:jc w:val="center"/>
              <w:rPr>
                <w:rFonts w:ascii="宋体" w:hAnsi="宋体" w:cs="宋体"/>
                <w:sz w:val="18"/>
                <w:szCs w:val="18"/>
              </w:rPr>
            </w:pPr>
          </w:p>
        </w:tc>
        <w:tc>
          <w:tcPr>
            <w:tcW w:w="1257" w:type="dxa"/>
            <w:vMerge w:val="restart"/>
            <w:vAlign w:val="center"/>
          </w:tcPr>
          <w:p w14:paraId="160011F3">
            <w:pPr>
              <w:autoSpaceDE w:val="0"/>
              <w:autoSpaceDN w:val="0"/>
              <w:jc w:val="left"/>
              <w:rPr>
                <w:rFonts w:ascii="宋体" w:hAnsi="宋体" w:cs="宋体"/>
                <w:sz w:val="18"/>
                <w:szCs w:val="18"/>
              </w:rPr>
            </w:pPr>
            <w:r>
              <w:rPr>
                <w:rFonts w:hint="eastAsia" w:ascii="宋体" w:hAnsi="宋体" w:cs="宋体"/>
                <w:sz w:val="18"/>
                <w:szCs w:val="18"/>
              </w:rPr>
              <w:t>智能电网调度控制系统</w:t>
            </w:r>
          </w:p>
        </w:tc>
        <w:tc>
          <w:tcPr>
            <w:tcW w:w="1404" w:type="dxa"/>
            <w:vAlign w:val="center"/>
          </w:tcPr>
          <w:p w14:paraId="1BBD4DC1">
            <w:pPr>
              <w:autoSpaceDE w:val="0"/>
              <w:autoSpaceDN w:val="0"/>
              <w:jc w:val="center"/>
              <w:rPr>
                <w:rFonts w:ascii="宋体" w:hAnsi="宋体" w:cs="宋体"/>
                <w:sz w:val="18"/>
                <w:szCs w:val="18"/>
              </w:rPr>
            </w:pPr>
            <w:r>
              <w:rPr>
                <w:rFonts w:hint="eastAsia" w:ascii="宋体" w:hAnsi="宋体" w:cs="宋体"/>
                <w:sz w:val="18"/>
                <w:szCs w:val="18"/>
              </w:rPr>
              <w:t>容量</w:t>
            </w:r>
          </w:p>
        </w:tc>
        <w:tc>
          <w:tcPr>
            <w:tcW w:w="4944" w:type="dxa"/>
            <w:vAlign w:val="center"/>
          </w:tcPr>
          <w:p w14:paraId="485C9A9D">
            <w:pPr>
              <w:autoSpaceDE w:val="0"/>
              <w:autoSpaceDN w:val="0"/>
              <w:rPr>
                <w:rFonts w:ascii="宋体" w:hAnsi="宋体" w:cs="宋体"/>
                <w:sz w:val="18"/>
                <w:szCs w:val="18"/>
              </w:rPr>
            </w:pPr>
            <w:r>
              <w:rPr>
                <w:rFonts w:hint="eastAsia" w:ascii="宋体" w:hAnsi="宋体" w:cs="宋体"/>
                <w:sz w:val="18"/>
                <w:szCs w:val="18"/>
              </w:rPr>
              <w:t>系统监控规模及系统分析计算规模</w:t>
            </w:r>
          </w:p>
        </w:tc>
        <w:tc>
          <w:tcPr>
            <w:tcW w:w="955" w:type="dxa"/>
            <w:vAlign w:val="center"/>
          </w:tcPr>
          <w:p w14:paraId="23A4470A">
            <w:pPr>
              <w:autoSpaceDE w:val="0"/>
              <w:autoSpaceDN w:val="0"/>
              <w:jc w:val="center"/>
              <w:rPr>
                <w:rFonts w:ascii="宋体" w:hAnsi="宋体" w:cs="宋体"/>
                <w:sz w:val="18"/>
                <w:szCs w:val="18"/>
              </w:rPr>
            </w:pPr>
            <w:r>
              <w:rPr>
                <w:rFonts w:hint="eastAsia" w:ascii="宋体" w:hAnsi="宋体" w:cs="宋体"/>
                <w:sz w:val="18"/>
                <w:szCs w:val="18"/>
              </w:rPr>
              <w:t>G</w:t>
            </w:r>
            <w:r>
              <w:rPr>
                <w:rFonts w:ascii="宋体" w:hAnsi="宋体" w:cs="宋体"/>
                <w:sz w:val="18"/>
                <w:szCs w:val="18"/>
              </w:rPr>
              <w:t>B/T 33607</w:t>
            </w:r>
          </w:p>
        </w:tc>
      </w:tr>
      <w:tr w14:paraId="0E4A7C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1" w:hRule="atLeast"/>
          <w:jc w:val="center"/>
        </w:trPr>
        <w:tc>
          <w:tcPr>
            <w:tcW w:w="1010" w:type="dxa"/>
            <w:vMerge w:val="continue"/>
            <w:vAlign w:val="center"/>
          </w:tcPr>
          <w:p w14:paraId="48B3A406">
            <w:pPr>
              <w:autoSpaceDE w:val="0"/>
              <w:autoSpaceDN w:val="0"/>
              <w:jc w:val="center"/>
              <w:rPr>
                <w:rFonts w:ascii="宋体" w:hAnsi="宋体" w:cs="宋体"/>
                <w:sz w:val="18"/>
                <w:szCs w:val="18"/>
              </w:rPr>
            </w:pPr>
          </w:p>
        </w:tc>
        <w:tc>
          <w:tcPr>
            <w:tcW w:w="1257" w:type="dxa"/>
            <w:vMerge w:val="continue"/>
            <w:vAlign w:val="center"/>
          </w:tcPr>
          <w:p w14:paraId="2EA85A04">
            <w:pPr>
              <w:autoSpaceDE w:val="0"/>
              <w:autoSpaceDN w:val="0"/>
              <w:jc w:val="left"/>
              <w:rPr>
                <w:rFonts w:ascii="宋体" w:hAnsi="宋体" w:cs="宋体"/>
                <w:sz w:val="18"/>
                <w:szCs w:val="18"/>
              </w:rPr>
            </w:pPr>
          </w:p>
        </w:tc>
        <w:tc>
          <w:tcPr>
            <w:tcW w:w="1404" w:type="dxa"/>
            <w:vMerge w:val="restart"/>
            <w:vAlign w:val="center"/>
          </w:tcPr>
          <w:p w14:paraId="0B920B25">
            <w:pPr>
              <w:autoSpaceDE w:val="0"/>
              <w:autoSpaceDN w:val="0"/>
              <w:jc w:val="center"/>
              <w:rPr>
                <w:rFonts w:ascii="宋体" w:hAnsi="宋体" w:cs="宋体"/>
                <w:sz w:val="18"/>
                <w:szCs w:val="18"/>
              </w:rPr>
            </w:pPr>
            <w:r>
              <w:rPr>
                <w:rFonts w:hint="eastAsia" w:ascii="宋体" w:hAnsi="宋体" w:cs="宋体"/>
                <w:sz w:val="18"/>
                <w:szCs w:val="18"/>
              </w:rPr>
              <w:t>性能指标</w:t>
            </w:r>
          </w:p>
        </w:tc>
        <w:tc>
          <w:tcPr>
            <w:tcW w:w="4944" w:type="dxa"/>
          </w:tcPr>
          <w:p w14:paraId="7CC24D0D">
            <w:pPr>
              <w:autoSpaceDE w:val="0"/>
              <w:autoSpaceDN w:val="0"/>
              <w:jc w:val="left"/>
              <w:rPr>
                <w:rFonts w:ascii="宋体" w:hAnsi="宋体" w:cs="宋体"/>
                <w:sz w:val="18"/>
                <w:szCs w:val="18"/>
              </w:rPr>
            </w:pPr>
            <w:r>
              <w:rPr>
                <w:rFonts w:hint="eastAsia" w:ascii="宋体" w:hAnsi="宋体" w:cs="宋体"/>
                <w:sz w:val="18"/>
                <w:szCs w:val="18"/>
              </w:rPr>
              <w:t>实时监控与预警类应用：</w:t>
            </w:r>
          </w:p>
          <w:p w14:paraId="4512D7EB">
            <w:pPr>
              <w:autoSpaceDE w:val="0"/>
              <w:autoSpaceDN w:val="0"/>
              <w:jc w:val="left"/>
              <w:rPr>
                <w:rFonts w:ascii="宋体" w:hAnsi="宋体" w:cs="宋体"/>
                <w:sz w:val="18"/>
                <w:szCs w:val="18"/>
              </w:rPr>
            </w:pPr>
            <w:r>
              <w:rPr>
                <w:rFonts w:ascii="宋体" w:hAnsi="宋体" w:cs="宋体"/>
                <w:sz w:val="18"/>
                <w:szCs w:val="18"/>
              </w:rPr>
              <w:t>1</w:t>
            </w:r>
            <w:r>
              <w:rPr>
                <w:rFonts w:hint="eastAsia" w:ascii="宋体" w:hAnsi="宋体" w:cs="宋体"/>
                <w:sz w:val="18"/>
                <w:szCs w:val="18"/>
              </w:rPr>
              <w:t>）遥信变化传送时间小于或等于</w:t>
            </w:r>
            <w:r>
              <w:rPr>
                <w:rFonts w:ascii="宋体" w:hAnsi="宋体" w:cs="宋体"/>
                <w:sz w:val="18"/>
                <w:szCs w:val="18"/>
              </w:rPr>
              <w:t>2s</w:t>
            </w:r>
            <w:r>
              <w:rPr>
                <w:rFonts w:hint="eastAsia" w:ascii="宋体" w:hAnsi="宋体" w:cs="宋体"/>
                <w:sz w:val="18"/>
                <w:szCs w:val="18"/>
              </w:rPr>
              <w:t>；遥测变化传送时间小于或等于</w:t>
            </w:r>
            <w:r>
              <w:rPr>
                <w:rFonts w:ascii="宋体" w:hAnsi="宋体" w:cs="宋体"/>
                <w:sz w:val="18"/>
                <w:szCs w:val="18"/>
              </w:rPr>
              <w:t>3s</w:t>
            </w:r>
          </w:p>
          <w:p w14:paraId="7EF2374C">
            <w:pPr>
              <w:autoSpaceDE w:val="0"/>
              <w:autoSpaceDN w:val="0"/>
              <w:jc w:val="left"/>
              <w:rPr>
                <w:rFonts w:ascii="宋体" w:hAnsi="宋体" w:cs="宋体"/>
                <w:sz w:val="18"/>
                <w:szCs w:val="18"/>
              </w:rPr>
            </w:pPr>
            <w:r>
              <w:rPr>
                <w:rFonts w:ascii="宋体" w:hAnsi="宋体" w:cs="宋体"/>
                <w:sz w:val="18"/>
                <w:szCs w:val="18"/>
              </w:rPr>
              <w:t>2</w:t>
            </w:r>
            <w:r>
              <w:rPr>
                <w:rFonts w:hint="eastAsia" w:ascii="宋体" w:hAnsi="宋体" w:cs="宋体"/>
                <w:sz w:val="18"/>
                <w:szCs w:val="18"/>
              </w:rPr>
              <w:t>）事故自动推画面时间小于或等于</w:t>
            </w:r>
            <w:r>
              <w:rPr>
                <w:rFonts w:ascii="宋体" w:hAnsi="宋体" w:cs="宋体"/>
                <w:sz w:val="18"/>
                <w:szCs w:val="18"/>
              </w:rPr>
              <w:t>10s</w:t>
            </w:r>
          </w:p>
          <w:p w14:paraId="2D405226">
            <w:pPr>
              <w:autoSpaceDE w:val="0"/>
              <w:autoSpaceDN w:val="0"/>
              <w:jc w:val="left"/>
              <w:rPr>
                <w:rFonts w:ascii="宋体" w:hAnsi="宋体" w:cs="宋体"/>
                <w:sz w:val="18"/>
                <w:szCs w:val="18"/>
              </w:rPr>
            </w:pPr>
            <w:r>
              <w:rPr>
                <w:rFonts w:ascii="宋体" w:hAnsi="宋体" w:cs="宋体"/>
                <w:sz w:val="18"/>
                <w:szCs w:val="18"/>
              </w:rPr>
              <w:t>3</w:t>
            </w:r>
            <w:r>
              <w:rPr>
                <w:rFonts w:hint="eastAsia" w:ascii="宋体" w:hAnsi="宋体" w:cs="宋体"/>
                <w:sz w:val="18"/>
                <w:szCs w:val="18"/>
              </w:rPr>
              <w:t>）单次状态估计计算时间小于或等于</w:t>
            </w:r>
            <w:r>
              <w:rPr>
                <w:rFonts w:ascii="宋体" w:hAnsi="宋体" w:cs="宋体"/>
                <w:sz w:val="18"/>
                <w:szCs w:val="18"/>
              </w:rPr>
              <w:t>15s</w:t>
            </w:r>
          </w:p>
          <w:p w14:paraId="179C593E">
            <w:pPr>
              <w:autoSpaceDE w:val="0"/>
              <w:autoSpaceDN w:val="0"/>
              <w:jc w:val="left"/>
              <w:rPr>
                <w:rFonts w:ascii="宋体" w:hAnsi="宋体" w:cs="宋体"/>
                <w:sz w:val="18"/>
                <w:szCs w:val="18"/>
              </w:rPr>
            </w:pPr>
            <w:r>
              <w:rPr>
                <w:rFonts w:ascii="宋体" w:hAnsi="宋体" w:cs="宋体"/>
                <w:sz w:val="18"/>
                <w:szCs w:val="18"/>
              </w:rPr>
              <w:t>4</w:t>
            </w:r>
            <w:r>
              <w:rPr>
                <w:rFonts w:hint="eastAsia" w:ascii="宋体" w:hAnsi="宋体" w:cs="宋体"/>
                <w:sz w:val="18"/>
                <w:szCs w:val="18"/>
              </w:rPr>
              <w:t>）单次潮流计算时间小于或等于</w:t>
            </w:r>
            <w:r>
              <w:rPr>
                <w:rFonts w:ascii="宋体" w:hAnsi="宋体" w:cs="宋体"/>
                <w:sz w:val="18"/>
                <w:szCs w:val="18"/>
              </w:rPr>
              <w:t>10s</w:t>
            </w:r>
          </w:p>
          <w:p w14:paraId="64186667">
            <w:pPr>
              <w:autoSpaceDE w:val="0"/>
              <w:autoSpaceDN w:val="0"/>
              <w:jc w:val="left"/>
              <w:rPr>
                <w:rFonts w:ascii="宋体" w:hAnsi="宋体" w:cs="宋体"/>
                <w:sz w:val="18"/>
                <w:szCs w:val="18"/>
              </w:rPr>
            </w:pPr>
            <w:r>
              <w:rPr>
                <w:rFonts w:ascii="宋体" w:hAnsi="宋体" w:cs="宋体"/>
                <w:sz w:val="18"/>
                <w:szCs w:val="18"/>
              </w:rPr>
              <w:t>5</w:t>
            </w:r>
            <w:r>
              <w:rPr>
                <w:rFonts w:hint="eastAsia" w:ascii="宋体" w:hAnsi="宋体" w:cs="宋体"/>
                <w:sz w:val="18"/>
                <w:szCs w:val="18"/>
              </w:rPr>
              <w:t>）静态安全分析单个故障扫描平均处理时间小于或等于</w:t>
            </w:r>
            <w:r>
              <w:rPr>
                <w:rFonts w:ascii="宋体" w:hAnsi="宋体" w:cs="宋体"/>
                <w:sz w:val="18"/>
                <w:szCs w:val="18"/>
              </w:rPr>
              <w:t>0.1s</w:t>
            </w:r>
          </w:p>
          <w:p w14:paraId="171D772E">
            <w:pPr>
              <w:autoSpaceDE w:val="0"/>
              <w:autoSpaceDN w:val="0"/>
              <w:jc w:val="left"/>
              <w:rPr>
                <w:rFonts w:ascii="宋体" w:hAnsi="宋体" w:cs="宋体"/>
                <w:sz w:val="18"/>
                <w:szCs w:val="18"/>
              </w:rPr>
            </w:pPr>
            <w:r>
              <w:rPr>
                <w:rFonts w:ascii="宋体" w:hAnsi="宋体" w:cs="宋体"/>
                <w:sz w:val="18"/>
                <w:szCs w:val="18"/>
              </w:rPr>
              <w:t>6</w:t>
            </w:r>
            <w:r>
              <w:rPr>
                <w:rFonts w:hint="eastAsia" w:ascii="宋体" w:hAnsi="宋体" w:cs="宋体"/>
                <w:sz w:val="18"/>
                <w:szCs w:val="18"/>
              </w:rPr>
              <w:t>）短路电流计算单个故障扫描平均处理时间小于或等于</w:t>
            </w:r>
            <w:r>
              <w:rPr>
                <w:rFonts w:ascii="宋体" w:hAnsi="宋体" w:cs="宋体"/>
                <w:sz w:val="18"/>
                <w:szCs w:val="18"/>
              </w:rPr>
              <w:t>3s</w:t>
            </w:r>
          </w:p>
          <w:p w14:paraId="6071D98E">
            <w:pPr>
              <w:autoSpaceDE w:val="0"/>
              <w:autoSpaceDN w:val="0"/>
              <w:jc w:val="left"/>
              <w:rPr>
                <w:rFonts w:ascii="宋体" w:hAnsi="宋体" w:cs="宋体"/>
                <w:sz w:val="18"/>
                <w:szCs w:val="18"/>
              </w:rPr>
            </w:pPr>
            <w:r>
              <w:rPr>
                <w:rFonts w:ascii="宋体" w:hAnsi="宋体" w:cs="宋体"/>
                <w:sz w:val="18"/>
                <w:szCs w:val="18"/>
              </w:rPr>
              <w:t>7</w:t>
            </w:r>
            <w:r>
              <w:rPr>
                <w:rFonts w:hint="eastAsia" w:ascii="宋体" w:hAnsi="宋体" w:cs="宋体"/>
                <w:sz w:val="18"/>
                <w:szCs w:val="18"/>
              </w:rPr>
              <w:t>）电网扰动识别功能正确识别率大于或等于</w:t>
            </w:r>
            <w:r>
              <w:rPr>
                <w:rFonts w:ascii="宋体" w:hAnsi="宋体" w:cs="宋体"/>
                <w:sz w:val="18"/>
                <w:szCs w:val="18"/>
              </w:rPr>
              <w:t>95%</w:t>
            </w:r>
          </w:p>
          <w:p w14:paraId="0AB3FF1F">
            <w:pPr>
              <w:autoSpaceDE w:val="0"/>
              <w:autoSpaceDN w:val="0"/>
              <w:jc w:val="left"/>
              <w:rPr>
                <w:rFonts w:ascii="宋体" w:hAnsi="宋体" w:cs="宋体"/>
                <w:sz w:val="18"/>
                <w:szCs w:val="18"/>
              </w:rPr>
            </w:pPr>
            <w:r>
              <w:rPr>
                <w:rFonts w:ascii="宋体" w:hAnsi="宋体" w:cs="宋体"/>
                <w:sz w:val="18"/>
                <w:szCs w:val="18"/>
              </w:rPr>
              <w:t>8</w:t>
            </w:r>
            <w:r>
              <w:rPr>
                <w:rFonts w:hint="eastAsia" w:ascii="宋体" w:hAnsi="宋体" w:cs="宋体"/>
                <w:sz w:val="18"/>
                <w:szCs w:val="18"/>
              </w:rPr>
              <w:t>）在线安全稳定分析计算时间小于或等于15</w:t>
            </w:r>
            <w:r>
              <w:rPr>
                <w:rFonts w:ascii="宋体" w:hAnsi="宋体" w:cs="宋体"/>
                <w:sz w:val="18"/>
                <w:szCs w:val="18"/>
              </w:rPr>
              <w:t xml:space="preserve"> min</w:t>
            </w:r>
          </w:p>
        </w:tc>
        <w:tc>
          <w:tcPr>
            <w:tcW w:w="955" w:type="dxa"/>
            <w:vMerge w:val="restart"/>
            <w:vAlign w:val="center"/>
          </w:tcPr>
          <w:p w14:paraId="364EF645">
            <w:pPr>
              <w:autoSpaceDE w:val="0"/>
              <w:autoSpaceDN w:val="0"/>
              <w:jc w:val="center"/>
              <w:rPr>
                <w:rFonts w:ascii="宋体" w:hAnsi="宋体" w:cs="宋体"/>
                <w:sz w:val="18"/>
                <w:szCs w:val="18"/>
              </w:rPr>
            </w:pPr>
            <w:r>
              <w:rPr>
                <w:rFonts w:hint="eastAsia" w:ascii="宋体" w:hAnsi="宋体" w:cs="宋体"/>
                <w:sz w:val="18"/>
                <w:szCs w:val="18"/>
              </w:rPr>
              <w:t>G</w:t>
            </w:r>
            <w:r>
              <w:rPr>
                <w:rFonts w:ascii="宋体" w:hAnsi="宋体" w:cs="宋体"/>
                <w:sz w:val="18"/>
                <w:szCs w:val="18"/>
              </w:rPr>
              <w:t>B/T 33607</w:t>
            </w:r>
          </w:p>
        </w:tc>
      </w:tr>
      <w:tr w14:paraId="51028AE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66" w:hRule="atLeast"/>
          <w:jc w:val="center"/>
        </w:trPr>
        <w:tc>
          <w:tcPr>
            <w:tcW w:w="1010" w:type="dxa"/>
            <w:vMerge w:val="continue"/>
            <w:vAlign w:val="center"/>
          </w:tcPr>
          <w:p w14:paraId="5AA18B40">
            <w:pPr>
              <w:autoSpaceDE w:val="0"/>
              <w:autoSpaceDN w:val="0"/>
              <w:jc w:val="center"/>
              <w:rPr>
                <w:rFonts w:ascii="宋体" w:hAnsi="宋体" w:cs="宋体"/>
                <w:sz w:val="18"/>
                <w:szCs w:val="18"/>
              </w:rPr>
            </w:pPr>
          </w:p>
        </w:tc>
        <w:tc>
          <w:tcPr>
            <w:tcW w:w="1257" w:type="dxa"/>
            <w:vMerge w:val="continue"/>
            <w:vAlign w:val="center"/>
          </w:tcPr>
          <w:p w14:paraId="0267EF7E">
            <w:pPr>
              <w:autoSpaceDE w:val="0"/>
              <w:autoSpaceDN w:val="0"/>
              <w:jc w:val="left"/>
              <w:rPr>
                <w:rFonts w:ascii="宋体" w:hAnsi="宋体" w:cs="宋体"/>
                <w:sz w:val="18"/>
                <w:szCs w:val="18"/>
              </w:rPr>
            </w:pPr>
          </w:p>
        </w:tc>
        <w:tc>
          <w:tcPr>
            <w:tcW w:w="1404" w:type="dxa"/>
            <w:vMerge w:val="continue"/>
            <w:vAlign w:val="center"/>
          </w:tcPr>
          <w:p w14:paraId="685B750F">
            <w:pPr>
              <w:autoSpaceDE w:val="0"/>
              <w:autoSpaceDN w:val="0"/>
              <w:jc w:val="center"/>
              <w:rPr>
                <w:rFonts w:ascii="宋体" w:hAnsi="宋体" w:cs="宋体"/>
                <w:sz w:val="18"/>
                <w:szCs w:val="18"/>
              </w:rPr>
            </w:pPr>
          </w:p>
        </w:tc>
        <w:tc>
          <w:tcPr>
            <w:tcW w:w="4944" w:type="dxa"/>
          </w:tcPr>
          <w:p w14:paraId="17A6BAD0">
            <w:pPr>
              <w:autoSpaceDE w:val="0"/>
              <w:autoSpaceDN w:val="0"/>
              <w:jc w:val="left"/>
              <w:rPr>
                <w:rFonts w:ascii="宋体" w:hAnsi="宋体" w:cs="宋体"/>
                <w:sz w:val="18"/>
                <w:szCs w:val="18"/>
              </w:rPr>
            </w:pPr>
            <w:r>
              <w:rPr>
                <w:rFonts w:ascii="宋体" w:hAnsi="宋体" w:cs="宋体"/>
                <w:sz w:val="18"/>
                <w:szCs w:val="18"/>
              </w:rPr>
              <w:t>调度计划与安全校核类应用:</w:t>
            </w:r>
          </w:p>
          <w:p w14:paraId="7259796D">
            <w:pPr>
              <w:autoSpaceDE w:val="0"/>
              <w:autoSpaceDN w:val="0"/>
              <w:jc w:val="left"/>
              <w:rPr>
                <w:rFonts w:ascii="宋体" w:hAnsi="宋体" w:cs="宋体"/>
                <w:sz w:val="18"/>
                <w:szCs w:val="18"/>
              </w:rPr>
            </w:pPr>
            <w:r>
              <w:rPr>
                <w:rFonts w:ascii="宋体" w:hAnsi="宋体" w:cs="宋体"/>
                <w:sz w:val="18"/>
                <w:szCs w:val="18"/>
              </w:rPr>
              <w:t>1</w:t>
            </w:r>
            <w:r>
              <w:rPr>
                <w:rFonts w:hint="eastAsia" w:ascii="宋体" w:hAnsi="宋体" w:cs="宋体"/>
                <w:sz w:val="18"/>
                <w:szCs w:val="18"/>
              </w:rPr>
              <w:t>）日前和日内96个断面的发电计划编制时间如下：含机组组合用时小于或等于30</w:t>
            </w:r>
            <w:r>
              <w:rPr>
                <w:rFonts w:ascii="宋体" w:hAnsi="宋体" w:cs="宋体"/>
                <w:sz w:val="18"/>
                <w:szCs w:val="18"/>
              </w:rPr>
              <w:t xml:space="preserve"> </w:t>
            </w:r>
            <w:r>
              <w:rPr>
                <w:rFonts w:hint="eastAsia" w:ascii="宋体" w:hAnsi="宋体" w:cs="宋体"/>
                <w:sz w:val="18"/>
                <w:szCs w:val="18"/>
              </w:rPr>
              <w:t>min；不含机组组合用时小于或等于15 min</w:t>
            </w:r>
          </w:p>
          <w:p w14:paraId="6D944FD1">
            <w:pPr>
              <w:autoSpaceDE w:val="0"/>
              <w:autoSpaceDN w:val="0"/>
              <w:jc w:val="left"/>
              <w:rPr>
                <w:rFonts w:ascii="宋体" w:hAnsi="宋体" w:cs="宋体"/>
                <w:sz w:val="18"/>
                <w:szCs w:val="18"/>
              </w:rPr>
            </w:pPr>
            <w:r>
              <w:rPr>
                <w:rFonts w:ascii="宋体" w:hAnsi="宋体" w:cs="宋体"/>
                <w:sz w:val="18"/>
                <w:szCs w:val="18"/>
              </w:rPr>
              <w:t>2</w:t>
            </w:r>
            <w:r>
              <w:rPr>
                <w:rFonts w:hint="eastAsia" w:ascii="宋体" w:hAnsi="宋体" w:cs="宋体"/>
                <w:sz w:val="18"/>
                <w:szCs w:val="18"/>
              </w:rPr>
              <w:t>）实时发电计划编制计算时间小于或等于30s</w:t>
            </w:r>
          </w:p>
          <w:p w14:paraId="6DC703A1">
            <w:pPr>
              <w:autoSpaceDE w:val="0"/>
              <w:autoSpaceDN w:val="0"/>
              <w:jc w:val="left"/>
              <w:rPr>
                <w:rFonts w:ascii="宋体" w:hAnsi="宋体" w:cs="宋体"/>
                <w:sz w:val="18"/>
                <w:szCs w:val="18"/>
              </w:rPr>
            </w:pPr>
            <w:r>
              <w:rPr>
                <w:rFonts w:ascii="宋体" w:hAnsi="宋体" w:cs="宋体"/>
                <w:sz w:val="18"/>
                <w:szCs w:val="18"/>
              </w:rPr>
              <w:t>3</w:t>
            </w:r>
            <w:r>
              <w:rPr>
                <w:rFonts w:hint="eastAsia" w:ascii="宋体" w:hAnsi="宋体" w:cs="宋体"/>
                <w:sz w:val="18"/>
                <w:szCs w:val="18"/>
              </w:rPr>
              <w:t>）96个时段的静态安全校核计算时间应小于或等于15</w:t>
            </w:r>
            <w:r>
              <w:rPr>
                <w:rFonts w:ascii="宋体" w:hAnsi="宋体" w:cs="宋体"/>
                <w:sz w:val="18"/>
                <w:szCs w:val="18"/>
              </w:rPr>
              <w:t xml:space="preserve"> </w:t>
            </w:r>
            <w:r>
              <w:rPr>
                <w:rFonts w:hint="eastAsia" w:ascii="宋体" w:hAnsi="宋体" w:cs="宋体"/>
                <w:sz w:val="18"/>
                <w:szCs w:val="18"/>
              </w:rPr>
              <w:t>min；</w:t>
            </w:r>
          </w:p>
        </w:tc>
        <w:tc>
          <w:tcPr>
            <w:tcW w:w="955" w:type="dxa"/>
            <w:vMerge w:val="continue"/>
            <w:vAlign w:val="center"/>
          </w:tcPr>
          <w:p w14:paraId="06E31753">
            <w:pPr>
              <w:autoSpaceDE w:val="0"/>
              <w:autoSpaceDN w:val="0"/>
              <w:jc w:val="center"/>
              <w:rPr>
                <w:rFonts w:ascii="宋体" w:hAnsi="宋体" w:cs="宋体"/>
                <w:sz w:val="18"/>
                <w:szCs w:val="18"/>
              </w:rPr>
            </w:pPr>
          </w:p>
        </w:tc>
      </w:tr>
    </w:tbl>
    <w:p w14:paraId="65BDDDFF">
      <w:pPr>
        <w:spacing w:before="156" w:beforeLines="50" w:after="156" w:afterLines="50"/>
        <w:jc w:val="center"/>
        <w:rPr>
          <w:szCs w:val="21"/>
        </w:rPr>
      </w:pPr>
      <w:r>
        <w:rPr>
          <w:rFonts w:hint="eastAsia" w:ascii="黑体" w:hAnsi="黑体" w:eastAsia="黑体" w:cs="黑体"/>
        </w:rPr>
        <w:t>表A.</w:t>
      </w:r>
      <w:r>
        <w:rPr>
          <w:rFonts w:ascii="黑体" w:hAnsi="黑体" w:eastAsia="黑体" w:cs="黑体"/>
        </w:rPr>
        <w:t>4</w:t>
      </w:r>
      <w:r>
        <w:rPr>
          <w:rFonts w:hint="eastAsia" w:ascii="黑体" w:hAnsi="黑体" w:eastAsia="黑体" w:cs="黑体"/>
        </w:rPr>
        <w:t xml:space="preserve">  </w:t>
      </w:r>
      <w:r>
        <w:rPr>
          <w:rFonts w:hint="eastAsia" w:ascii="黑体" w:eastAsia="黑体"/>
          <w:kern w:val="0"/>
          <w:szCs w:val="21"/>
        </w:rPr>
        <w:t>智能电网建设与运营</w:t>
      </w:r>
      <w:r>
        <w:rPr>
          <w:rFonts w:hint="eastAsia" w:eastAsia="黑体"/>
        </w:rPr>
        <w:t>关键</w:t>
      </w:r>
      <w:r>
        <w:rPr>
          <w:rFonts w:eastAsia="黑体"/>
        </w:rPr>
        <w:t>技术先进性</w:t>
      </w:r>
      <w:r>
        <w:rPr>
          <w:rFonts w:hint="eastAsia" w:eastAsia="黑体"/>
        </w:rPr>
        <w:t>评价规则</w:t>
      </w:r>
      <w:r>
        <w:rPr>
          <w:rFonts w:hint="eastAsia"/>
          <w:szCs w:val="21"/>
        </w:rPr>
        <w:t>（续）</w:t>
      </w:r>
    </w:p>
    <w:tbl>
      <w:tblPr>
        <w:tblStyle w:val="35"/>
        <w:tblW w:w="95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10"/>
        <w:gridCol w:w="1257"/>
        <w:gridCol w:w="1302"/>
        <w:gridCol w:w="5046"/>
        <w:gridCol w:w="955"/>
      </w:tblGrid>
      <w:tr w14:paraId="72FFBF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3" w:hRule="atLeast"/>
          <w:jc w:val="center"/>
        </w:trPr>
        <w:tc>
          <w:tcPr>
            <w:tcW w:w="1010" w:type="dxa"/>
            <w:tcBorders>
              <w:bottom w:val="single" w:color="auto" w:sz="12" w:space="0"/>
            </w:tcBorders>
          </w:tcPr>
          <w:p w14:paraId="3FFA6FA8">
            <w:pPr>
              <w:autoSpaceDE w:val="0"/>
              <w:autoSpaceDN w:val="0"/>
              <w:jc w:val="center"/>
              <w:rPr>
                <w:rFonts w:ascii="宋体" w:hAnsi="宋体" w:cs="宋体"/>
                <w:b/>
                <w:bCs/>
                <w:sz w:val="18"/>
                <w:szCs w:val="18"/>
              </w:rPr>
            </w:pPr>
            <w:r>
              <w:rPr>
                <w:rFonts w:hint="eastAsia" w:ascii="宋体" w:hAnsi="宋体" w:cs="宋体"/>
                <w:b/>
                <w:bCs/>
                <w:sz w:val="18"/>
                <w:szCs w:val="18"/>
              </w:rPr>
              <w:t>评价环节</w:t>
            </w:r>
          </w:p>
        </w:tc>
        <w:tc>
          <w:tcPr>
            <w:tcW w:w="1257" w:type="dxa"/>
            <w:tcBorders>
              <w:bottom w:val="single" w:color="auto" w:sz="12" w:space="0"/>
            </w:tcBorders>
          </w:tcPr>
          <w:p w14:paraId="059A48B7">
            <w:pPr>
              <w:autoSpaceDE w:val="0"/>
              <w:autoSpaceDN w:val="0"/>
              <w:jc w:val="center"/>
              <w:rPr>
                <w:rFonts w:ascii="宋体" w:hAnsi="宋体" w:cs="宋体"/>
                <w:b/>
                <w:bCs/>
                <w:sz w:val="18"/>
                <w:szCs w:val="18"/>
              </w:rPr>
            </w:pPr>
            <w:r>
              <w:rPr>
                <w:rFonts w:hint="eastAsia" w:ascii="宋体" w:hAnsi="宋体" w:cs="宋体"/>
                <w:b/>
                <w:bCs/>
                <w:sz w:val="18"/>
                <w:szCs w:val="18"/>
              </w:rPr>
              <w:t>评价对象</w:t>
            </w:r>
          </w:p>
        </w:tc>
        <w:tc>
          <w:tcPr>
            <w:tcW w:w="1302" w:type="dxa"/>
            <w:tcBorders>
              <w:bottom w:val="single" w:color="auto" w:sz="12" w:space="0"/>
            </w:tcBorders>
          </w:tcPr>
          <w:p w14:paraId="0AE44F4E">
            <w:pPr>
              <w:autoSpaceDE w:val="0"/>
              <w:autoSpaceDN w:val="0"/>
              <w:jc w:val="center"/>
              <w:rPr>
                <w:rFonts w:ascii="宋体" w:hAnsi="宋体" w:cs="宋体"/>
                <w:b/>
                <w:bCs/>
                <w:sz w:val="18"/>
                <w:szCs w:val="18"/>
              </w:rPr>
            </w:pPr>
            <w:r>
              <w:rPr>
                <w:rFonts w:hint="eastAsia" w:ascii="宋体" w:hAnsi="宋体" w:cs="宋体"/>
                <w:b/>
                <w:bCs/>
                <w:sz w:val="18"/>
                <w:szCs w:val="18"/>
              </w:rPr>
              <w:t>核心评价指标</w:t>
            </w:r>
          </w:p>
        </w:tc>
        <w:tc>
          <w:tcPr>
            <w:tcW w:w="5046" w:type="dxa"/>
            <w:tcBorders>
              <w:bottom w:val="single" w:color="auto" w:sz="12" w:space="0"/>
            </w:tcBorders>
          </w:tcPr>
          <w:p w14:paraId="73C30700">
            <w:pPr>
              <w:autoSpaceDE w:val="0"/>
              <w:autoSpaceDN w:val="0"/>
              <w:jc w:val="center"/>
              <w:rPr>
                <w:rFonts w:ascii="宋体" w:hAnsi="宋体" w:cs="宋体"/>
                <w:b/>
                <w:bCs/>
                <w:sz w:val="18"/>
                <w:szCs w:val="18"/>
              </w:rPr>
            </w:pPr>
            <w:r>
              <w:rPr>
                <w:rFonts w:hint="eastAsia" w:ascii="宋体" w:hAnsi="宋体" w:cs="宋体"/>
                <w:b/>
                <w:bCs/>
                <w:sz w:val="18"/>
                <w:szCs w:val="18"/>
              </w:rPr>
              <w:t>评价维度</w:t>
            </w:r>
          </w:p>
        </w:tc>
        <w:tc>
          <w:tcPr>
            <w:tcW w:w="955" w:type="dxa"/>
            <w:tcBorders>
              <w:bottom w:val="single" w:color="auto" w:sz="12" w:space="0"/>
            </w:tcBorders>
          </w:tcPr>
          <w:p w14:paraId="1BF07686">
            <w:pPr>
              <w:autoSpaceDE w:val="0"/>
              <w:autoSpaceDN w:val="0"/>
              <w:jc w:val="center"/>
              <w:rPr>
                <w:rFonts w:ascii="宋体" w:hAnsi="宋体" w:cs="宋体"/>
                <w:b/>
                <w:bCs/>
                <w:sz w:val="18"/>
                <w:szCs w:val="18"/>
              </w:rPr>
            </w:pPr>
            <w:r>
              <w:rPr>
                <w:rFonts w:hint="eastAsia" w:ascii="宋体" w:hAnsi="宋体" w:cs="宋体"/>
                <w:b/>
                <w:bCs/>
                <w:sz w:val="18"/>
                <w:szCs w:val="18"/>
              </w:rPr>
              <w:t>评价依据</w:t>
            </w:r>
          </w:p>
        </w:tc>
      </w:tr>
      <w:tr w14:paraId="2CD50C8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010" w:type="dxa"/>
            <w:vMerge w:val="restart"/>
            <w:tcBorders>
              <w:top w:val="single" w:color="auto" w:sz="12" w:space="0"/>
            </w:tcBorders>
            <w:vAlign w:val="center"/>
          </w:tcPr>
          <w:p w14:paraId="585BF2C0">
            <w:pPr>
              <w:autoSpaceDE w:val="0"/>
              <w:autoSpaceDN w:val="0"/>
              <w:jc w:val="center"/>
              <w:rPr>
                <w:rFonts w:ascii="宋体" w:hAnsi="宋体" w:cs="宋体"/>
                <w:b/>
                <w:bCs/>
                <w:sz w:val="18"/>
                <w:szCs w:val="18"/>
              </w:rPr>
            </w:pPr>
            <w:r>
              <w:rPr>
                <w:rFonts w:hint="eastAsia" w:ascii="宋体" w:hAnsi="宋体" w:cs="宋体"/>
                <w:sz w:val="18"/>
                <w:szCs w:val="18"/>
              </w:rPr>
              <w:t>建设运营</w:t>
            </w:r>
          </w:p>
        </w:tc>
        <w:tc>
          <w:tcPr>
            <w:tcW w:w="1257" w:type="dxa"/>
            <w:vMerge w:val="restart"/>
            <w:tcBorders>
              <w:top w:val="single" w:color="auto" w:sz="12" w:space="0"/>
            </w:tcBorders>
            <w:vAlign w:val="center"/>
          </w:tcPr>
          <w:p w14:paraId="5A7C85B1">
            <w:pPr>
              <w:autoSpaceDE w:val="0"/>
              <w:autoSpaceDN w:val="0"/>
              <w:jc w:val="center"/>
              <w:rPr>
                <w:rFonts w:ascii="宋体" w:hAnsi="宋体" w:cs="宋体"/>
                <w:b/>
                <w:bCs/>
                <w:sz w:val="18"/>
                <w:szCs w:val="18"/>
              </w:rPr>
            </w:pPr>
            <w:r>
              <w:rPr>
                <w:rFonts w:hint="eastAsia" w:ascii="宋体" w:hAnsi="宋体" w:cs="宋体"/>
                <w:sz w:val="18"/>
                <w:szCs w:val="18"/>
              </w:rPr>
              <w:t>智能电网调度控制系统</w:t>
            </w:r>
          </w:p>
        </w:tc>
        <w:tc>
          <w:tcPr>
            <w:tcW w:w="1302" w:type="dxa"/>
            <w:vMerge w:val="restart"/>
            <w:tcBorders>
              <w:top w:val="single" w:color="auto" w:sz="12" w:space="0"/>
            </w:tcBorders>
            <w:vAlign w:val="center"/>
          </w:tcPr>
          <w:p w14:paraId="7621BE40">
            <w:pPr>
              <w:autoSpaceDE w:val="0"/>
              <w:autoSpaceDN w:val="0"/>
              <w:jc w:val="center"/>
              <w:rPr>
                <w:rFonts w:ascii="宋体" w:hAnsi="宋体" w:cs="宋体"/>
                <w:b/>
                <w:bCs/>
                <w:sz w:val="18"/>
                <w:szCs w:val="18"/>
              </w:rPr>
            </w:pPr>
            <w:r>
              <w:rPr>
                <w:rFonts w:hint="eastAsia" w:ascii="宋体" w:hAnsi="宋体" w:cs="宋体"/>
                <w:sz w:val="18"/>
                <w:szCs w:val="18"/>
              </w:rPr>
              <w:t>性能指标</w:t>
            </w:r>
          </w:p>
        </w:tc>
        <w:tc>
          <w:tcPr>
            <w:tcW w:w="5046" w:type="dxa"/>
            <w:tcBorders>
              <w:top w:val="single" w:color="auto" w:sz="12" w:space="0"/>
            </w:tcBorders>
          </w:tcPr>
          <w:p w14:paraId="078C8D1F">
            <w:pPr>
              <w:autoSpaceDE w:val="0"/>
              <w:autoSpaceDN w:val="0"/>
              <w:jc w:val="left"/>
              <w:rPr>
                <w:rFonts w:ascii="宋体" w:hAnsi="宋体" w:cs="宋体"/>
                <w:sz w:val="18"/>
                <w:szCs w:val="18"/>
              </w:rPr>
            </w:pPr>
            <w:r>
              <w:rPr>
                <w:rFonts w:hint="eastAsia" w:ascii="宋体" w:hAnsi="宋体" w:cs="宋体"/>
                <w:sz w:val="18"/>
                <w:szCs w:val="18"/>
              </w:rPr>
              <w:t>计算母线数在2000以内时，96个时段的静态安全校核计算时间应小于或等于5</w:t>
            </w:r>
            <w:r>
              <w:rPr>
                <w:rFonts w:ascii="宋体" w:hAnsi="宋体" w:cs="宋体"/>
                <w:sz w:val="18"/>
                <w:szCs w:val="18"/>
              </w:rPr>
              <w:t xml:space="preserve"> </w:t>
            </w:r>
            <w:r>
              <w:rPr>
                <w:rFonts w:hint="eastAsia" w:ascii="宋体" w:hAnsi="宋体" w:cs="宋体"/>
                <w:sz w:val="18"/>
                <w:szCs w:val="18"/>
              </w:rPr>
              <w:t>min</w:t>
            </w:r>
          </w:p>
          <w:p w14:paraId="360E9915">
            <w:pPr>
              <w:autoSpaceDE w:val="0"/>
              <w:autoSpaceDN w:val="0"/>
              <w:jc w:val="left"/>
              <w:rPr>
                <w:rFonts w:ascii="宋体" w:hAnsi="宋体" w:cs="宋体"/>
                <w:b/>
                <w:bCs/>
                <w:sz w:val="18"/>
                <w:szCs w:val="18"/>
              </w:rPr>
            </w:pPr>
            <w:r>
              <w:rPr>
                <w:rFonts w:ascii="宋体" w:hAnsi="宋体" w:cs="宋体"/>
                <w:sz w:val="18"/>
                <w:szCs w:val="18"/>
              </w:rPr>
              <w:t>4</w:t>
            </w:r>
            <w:r>
              <w:rPr>
                <w:rFonts w:hint="eastAsia" w:ascii="宋体" w:hAnsi="宋体" w:cs="宋体"/>
                <w:sz w:val="18"/>
                <w:szCs w:val="18"/>
              </w:rPr>
              <w:t>）96个时段的动态安全校核计算时间应小于或等于60</w:t>
            </w:r>
            <w:r>
              <w:rPr>
                <w:rFonts w:ascii="宋体" w:hAnsi="宋体" w:cs="宋体"/>
                <w:sz w:val="18"/>
                <w:szCs w:val="18"/>
              </w:rPr>
              <w:t xml:space="preserve"> </w:t>
            </w:r>
            <w:r>
              <w:rPr>
                <w:rFonts w:hint="eastAsia" w:ascii="宋体" w:hAnsi="宋体" w:cs="宋体"/>
                <w:sz w:val="18"/>
                <w:szCs w:val="18"/>
              </w:rPr>
              <w:t>min；计算母线数在2000以内时，96个时段的动态安全校核计算时间应小于或等于20</w:t>
            </w:r>
            <w:r>
              <w:rPr>
                <w:rFonts w:ascii="宋体" w:hAnsi="宋体" w:cs="宋体"/>
                <w:sz w:val="18"/>
                <w:szCs w:val="18"/>
              </w:rPr>
              <w:t xml:space="preserve"> </w:t>
            </w:r>
            <w:r>
              <w:rPr>
                <w:rFonts w:hint="eastAsia" w:ascii="宋体" w:hAnsi="宋体" w:cs="宋体"/>
                <w:sz w:val="18"/>
                <w:szCs w:val="18"/>
              </w:rPr>
              <w:t>min</w:t>
            </w:r>
          </w:p>
        </w:tc>
        <w:tc>
          <w:tcPr>
            <w:tcW w:w="955" w:type="dxa"/>
            <w:vMerge w:val="restart"/>
            <w:tcBorders>
              <w:top w:val="single" w:color="auto" w:sz="12" w:space="0"/>
            </w:tcBorders>
            <w:vAlign w:val="center"/>
          </w:tcPr>
          <w:p w14:paraId="691384A8">
            <w:pPr>
              <w:autoSpaceDE w:val="0"/>
              <w:autoSpaceDN w:val="0"/>
              <w:jc w:val="center"/>
              <w:rPr>
                <w:rFonts w:ascii="宋体" w:hAnsi="宋体" w:cs="宋体"/>
                <w:b/>
                <w:bCs/>
                <w:sz w:val="18"/>
                <w:szCs w:val="18"/>
              </w:rPr>
            </w:pPr>
            <w:r>
              <w:rPr>
                <w:rFonts w:hint="eastAsia" w:ascii="宋体" w:hAnsi="宋体" w:cs="宋体"/>
                <w:sz w:val="18"/>
                <w:szCs w:val="18"/>
              </w:rPr>
              <w:t>G</w:t>
            </w:r>
            <w:r>
              <w:rPr>
                <w:rFonts w:ascii="宋体" w:hAnsi="宋体" w:cs="宋体"/>
                <w:sz w:val="18"/>
                <w:szCs w:val="18"/>
              </w:rPr>
              <w:t>B/T 33607</w:t>
            </w:r>
          </w:p>
        </w:tc>
      </w:tr>
      <w:tr w14:paraId="01D38A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010" w:type="dxa"/>
            <w:vMerge w:val="continue"/>
          </w:tcPr>
          <w:p w14:paraId="044F702B">
            <w:pPr>
              <w:autoSpaceDE w:val="0"/>
              <w:autoSpaceDN w:val="0"/>
              <w:jc w:val="center"/>
              <w:rPr>
                <w:rFonts w:ascii="宋体" w:hAnsi="宋体" w:cs="宋体"/>
                <w:b/>
                <w:bCs/>
                <w:sz w:val="18"/>
                <w:szCs w:val="18"/>
              </w:rPr>
            </w:pPr>
          </w:p>
        </w:tc>
        <w:tc>
          <w:tcPr>
            <w:tcW w:w="1257" w:type="dxa"/>
            <w:vMerge w:val="continue"/>
          </w:tcPr>
          <w:p w14:paraId="768EC728">
            <w:pPr>
              <w:autoSpaceDE w:val="0"/>
              <w:autoSpaceDN w:val="0"/>
              <w:jc w:val="center"/>
              <w:rPr>
                <w:rFonts w:ascii="宋体" w:hAnsi="宋体" w:cs="宋体"/>
                <w:b/>
                <w:bCs/>
                <w:sz w:val="18"/>
                <w:szCs w:val="18"/>
              </w:rPr>
            </w:pPr>
          </w:p>
        </w:tc>
        <w:tc>
          <w:tcPr>
            <w:tcW w:w="1302" w:type="dxa"/>
            <w:vMerge w:val="continue"/>
          </w:tcPr>
          <w:p w14:paraId="5E7B49CF">
            <w:pPr>
              <w:autoSpaceDE w:val="0"/>
              <w:autoSpaceDN w:val="0"/>
              <w:jc w:val="center"/>
              <w:rPr>
                <w:rFonts w:ascii="宋体" w:hAnsi="宋体" w:cs="宋体"/>
                <w:b/>
                <w:bCs/>
                <w:sz w:val="18"/>
                <w:szCs w:val="18"/>
              </w:rPr>
            </w:pPr>
          </w:p>
        </w:tc>
        <w:tc>
          <w:tcPr>
            <w:tcW w:w="5046" w:type="dxa"/>
          </w:tcPr>
          <w:p w14:paraId="3ACB62D7">
            <w:pPr>
              <w:autoSpaceDE w:val="0"/>
              <w:autoSpaceDN w:val="0"/>
              <w:jc w:val="left"/>
              <w:rPr>
                <w:rFonts w:ascii="宋体" w:hAnsi="宋体" w:cs="宋体"/>
                <w:sz w:val="18"/>
                <w:szCs w:val="18"/>
              </w:rPr>
            </w:pPr>
            <w:r>
              <w:rPr>
                <w:rFonts w:hint="eastAsia" w:ascii="宋体" w:hAnsi="宋体" w:cs="宋体"/>
                <w:sz w:val="18"/>
                <w:szCs w:val="18"/>
              </w:rPr>
              <w:t>调度管理类应用：</w:t>
            </w:r>
          </w:p>
          <w:p w14:paraId="279BA760">
            <w:pPr>
              <w:autoSpaceDE w:val="0"/>
              <w:autoSpaceDN w:val="0"/>
              <w:jc w:val="left"/>
              <w:rPr>
                <w:rFonts w:cs="宋体"/>
                <w:sz w:val="18"/>
                <w:szCs w:val="18"/>
              </w:rPr>
            </w:pPr>
            <w:r>
              <w:rPr>
                <w:rFonts w:ascii="宋体" w:hAnsi="宋体" w:cs="宋体"/>
                <w:sz w:val="18"/>
                <w:szCs w:val="18"/>
              </w:rPr>
              <w:t>1</w:t>
            </w:r>
            <w:r>
              <w:rPr>
                <w:rFonts w:hint="eastAsia" w:ascii="宋体" w:hAnsi="宋体" w:cs="宋体"/>
                <w:sz w:val="18"/>
                <w:szCs w:val="18"/>
              </w:rPr>
              <w:t>）</w:t>
            </w:r>
            <w:r>
              <w:rPr>
                <w:rFonts w:hint="eastAsia" w:cs="宋体"/>
                <w:sz w:val="18"/>
                <w:szCs w:val="18"/>
              </w:rPr>
              <w:t>单个应用服务器支持 50~100的并发用户</w:t>
            </w:r>
          </w:p>
          <w:p w14:paraId="1970DC7A">
            <w:pPr>
              <w:autoSpaceDE w:val="0"/>
              <w:autoSpaceDN w:val="0"/>
              <w:jc w:val="left"/>
              <w:rPr>
                <w:rFonts w:ascii="宋体" w:hAnsi="宋体" w:cs="宋体"/>
                <w:b/>
                <w:bCs/>
                <w:sz w:val="18"/>
                <w:szCs w:val="18"/>
              </w:rPr>
            </w:pPr>
            <w:r>
              <w:rPr>
                <w:rFonts w:ascii="宋体" w:hAnsi="宋体" w:cs="宋体"/>
                <w:sz w:val="18"/>
                <w:szCs w:val="18"/>
              </w:rPr>
              <w:t>2</w:t>
            </w:r>
            <w:r>
              <w:rPr>
                <w:rFonts w:hint="eastAsia" w:ascii="宋体" w:hAnsi="宋体" w:cs="宋体"/>
                <w:sz w:val="18"/>
                <w:szCs w:val="18"/>
              </w:rPr>
              <w:t>）</w:t>
            </w:r>
            <w:r>
              <w:rPr>
                <w:rFonts w:hint="eastAsia" w:cs="宋体"/>
                <w:sz w:val="18"/>
                <w:szCs w:val="18"/>
              </w:rPr>
              <w:t>客户端支持同时打开10个以上的业务处理界面</w:t>
            </w:r>
          </w:p>
        </w:tc>
        <w:tc>
          <w:tcPr>
            <w:tcW w:w="955" w:type="dxa"/>
            <w:vMerge w:val="continue"/>
          </w:tcPr>
          <w:p w14:paraId="19C6FC8E">
            <w:pPr>
              <w:autoSpaceDE w:val="0"/>
              <w:autoSpaceDN w:val="0"/>
              <w:jc w:val="center"/>
              <w:rPr>
                <w:rFonts w:ascii="宋体" w:hAnsi="宋体" w:cs="宋体"/>
                <w:b/>
                <w:bCs/>
                <w:sz w:val="18"/>
                <w:szCs w:val="18"/>
              </w:rPr>
            </w:pPr>
          </w:p>
        </w:tc>
      </w:tr>
      <w:tr w14:paraId="0589D9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010" w:type="dxa"/>
            <w:vMerge w:val="continue"/>
          </w:tcPr>
          <w:p w14:paraId="2B86BBC3">
            <w:pPr>
              <w:autoSpaceDE w:val="0"/>
              <w:autoSpaceDN w:val="0"/>
              <w:jc w:val="center"/>
              <w:rPr>
                <w:rFonts w:ascii="宋体" w:hAnsi="宋体" w:cs="宋体"/>
                <w:b/>
                <w:bCs/>
                <w:sz w:val="18"/>
                <w:szCs w:val="18"/>
              </w:rPr>
            </w:pPr>
          </w:p>
        </w:tc>
        <w:tc>
          <w:tcPr>
            <w:tcW w:w="1257" w:type="dxa"/>
            <w:vMerge w:val="continue"/>
          </w:tcPr>
          <w:p w14:paraId="6ADDEAC0">
            <w:pPr>
              <w:autoSpaceDE w:val="0"/>
              <w:autoSpaceDN w:val="0"/>
              <w:jc w:val="center"/>
              <w:rPr>
                <w:rFonts w:ascii="宋体" w:hAnsi="宋体" w:cs="宋体"/>
                <w:b/>
                <w:bCs/>
                <w:sz w:val="18"/>
                <w:szCs w:val="18"/>
              </w:rPr>
            </w:pPr>
          </w:p>
        </w:tc>
        <w:tc>
          <w:tcPr>
            <w:tcW w:w="1302" w:type="dxa"/>
            <w:vMerge w:val="restart"/>
            <w:vAlign w:val="center"/>
          </w:tcPr>
          <w:p w14:paraId="5E83C075">
            <w:pPr>
              <w:autoSpaceDE w:val="0"/>
              <w:autoSpaceDN w:val="0"/>
              <w:jc w:val="center"/>
              <w:rPr>
                <w:rFonts w:ascii="宋体" w:hAnsi="宋体" w:cs="宋体"/>
                <w:b/>
                <w:bCs/>
                <w:sz w:val="18"/>
                <w:szCs w:val="18"/>
              </w:rPr>
            </w:pPr>
            <w:r>
              <w:rPr>
                <w:rFonts w:hint="eastAsia" w:ascii="宋体" w:hAnsi="宋体" w:cs="宋体"/>
                <w:sz w:val="18"/>
                <w:szCs w:val="18"/>
              </w:rPr>
              <w:t>功能可用率</w:t>
            </w:r>
          </w:p>
        </w:tc>
        <w:tc>
          <w:tcPr>
            <w:tcW w:w="5046" w:type="dxa"/>
          </w:tcPr>
          <w:p w14:paraId="7F7B3A51">
            <w:pPr>
              <w:autoSpaceDE w:val="0"/>
              <w:autoSpaceDN w:val="0"/>
              <w:jc w:val="left"/>
              <w:rPr>
                <w:rFonts w:ascii="宋体" w:hAnsi="宋体" w:cs="宋体"/>
                <w:b/>
                <w:bCs/>
                <w:sz w:val="18"/>
                <w:szCs w:val="18"/>
              </w:rPr>
            </w:pPr>
            <w:r>
              <w:rPr>
                <w:rFonts w:hint="eastAsia" w:ascii="宋体" w:hAnsi="宋体" w:cs="宋体"/>
                <w:sz w:val="18"/>
                <w:szCs w:val="18"/>
              </w:rPr>
              <w:t>实时监控与预警类应用全年可用率大于或等于99.9%</w:t>
            </w:r>
          </w:p>
        </w:tc>
        <w:tc>
          <w:tcPr>
            <w:tcW w:w="955" w:type="dxa"/>
            <w:vMerge w:val="continue"/>
          </w:tcPr>
          <w:p w14:paraId="35793242">
            <w:pPr>
              <w:autoSpaceDE w:val="0"/>
              <w:autoSpaceDN w:val="0"/>
              <w:jc w:val="center"/>
              <w:rPr>
                <w:rFonts w:ascii="宋体" w:hAnsi="宋体" w:cs="宋体"/>
                <w:b/>
                <w:bCs/>
                <w:sz w:val="18"/>
                <w:szCs w:val="18"/>
              </w:rPr>
            </w:pPr>
          </w:p>
        </w:tc>
      </w:tr>
      <w:tr w14:paraId="02565D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010" w:type="dxa"/>
            <w:vMerge w:val="continue"/>
          </w:tcPr>
          <w:p w14:paraId="145BA7F3">
            <w:pPr>
              <w:autoSpaceDE w:val="0"/>
              <w:autoSpaceDN w:val="0"/>
              <w:jc w:val="center"/>
              <w:rPr>
                <w:rFonts w:ascii="宋体" w:hAnsi="宋体" w:cs="宋体"/>
                <w:b/>
                <w:bCs/>
                <w:sz w:val="18"/>
                <w:szCs w:val="18"/>
              </w:rPr>
            </w:pPr>
          </w:p>
        </w:tc>
        <w:tc>
          <w:tcPr>
            <w:tcW w:w="1257" w:type="dxa"/>
            <w:vMerge w:val="continue"/>
          </w:tcPr>
          <w:p w14:paraId="1B46CA67">
            <w:pPr>
              <w:autoSpaceDE w:val="0"/>
              <w:autoSpaceDN w:val="0"/>
              <w:jc w:val="center"/>
              <w:rPr>
                <w:rFonts w:ascii="宋体" w:hAnsi="宋体" w:cs="宋体"/>
                <w:b/>
                <w:bCs/>
                <w:sz w:val="18"/>
                <w:szCs w:val="18"/>
              </w:rPr>
            </w:pPr>
          </w:p>
        </w:tc>
        <w:tc>
          <w:tcPr>
            <w:tcW w:w="1302" w:type="dxa"/>
            <w:vMerge w:val="continue"/>
          </w:tcPr>
          <w:p w14:paraId="05CFA2F2">
            <w:pPr>
              <w:autoSpaceDE w:val="0"/>
              <w:autoSpaceDN w:val="0"/>
              <w:jc w:val="center"/>
              <w:rPr>
                <w:rFonts w:ascii="宋体" w:hAnsi="宋体" w:cs="宋体"/>
                <w:b/>
                <w:bCs/>
                <w:sz w:val="18"/>
                <w:szCs w:val="18"/>
              </w:rPr>
            </w:pPr>
          </w:p>
        </w:tc>
        <w:tc>
          <w:tcPr>
            <w:tcW w:w="5046" w:type="dxa"/>
          </w:tcPr>
          <w:p w14:paraId="09AAC302">
            <w:pPr>
              <w:autoSpaceDE w:val="0"/>
              <w:autoSpaceDN w:val="0"/>
              <w:jc w:val="left"/>
              <w:rPr>
                <w:rFonts w:ascii="宋体" w:hAnsi="宋体" w:cs="宋体"/>
                <w:sz w:val="18"/>
                <w:szCs w:val="18"/>
              </w:rPr>
            </w:pPr>
            <w:r>
              <w:rPr>
                <w:rFonts w:hint="eastAsia" w:ascii="宋体" w:hAnsi="宋体" w:cs="宋体"/>
                <w:sz w:val="18"/>
                <w:szCs w:val="18"/>
              </w:rPr>
              <w:t>调度管理类应用全年可用率应大于或等于99.5%</w:t>
            </w:r>
          </w:p>
        </w:tc>
        <w:tc>
          <w:tcPr>
            <w:tcW w:w="955" w:type="dxa"/>
            <w:vMerge w:val="continue"/>
          </w:tcPr>
          <w:p w14:paraId="7707D3D4">
            <w:pPr>
              <w:autoSpaceDE w:val="0"/>
              <w:autoSpaceDN w:val="0"/>
              <w:jc w:val="center"/>
              <w:rPr>
                <w:rFonts w:ascii="宋体" w:hAnsi="宋体" w:cs="宋体"/>
                <w:b/>
                <w:bCs/>
                <w:sz w:val="18"/>
                <w:szCs w:val="18"/>
              </w:rPr>
            </w:pPr>
          </w:p>
        </w:tc>
      </w:tr>
      <w:tr w14:paraId="0226EC4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1010" w:type="dxa"/>
            <w:vMerge w:val="continue"/>
          </w:tcPr>
          <w:p w14:paraId="46494BB2">
            <w:pPr>
              <w:autoSpaceDE w:val="0"/>
              <w:autoSpaceDN w:val="0"/>
              <w:jc w:val="center"/>
              <w:rPr>
                <w:rFonts w:ascii="宋体" w:hAnsi="宋体" w:cs="宋体"/>
                <w:b/>
                <w:bCs/>
                <w:sz w:val="18"/>
                <w:szCs w:val="18"/>
              </w:rPr>
            </w:pPr>
          </w:p>
        </w:tc>
        <w:tc>
          <w:tcPr>
            <w:tcW w:w="1257" w:type="dxa"/>
            <w:vMerge w:val="continue"/>
          </w:tcPr>
          <w:p w14:paraId="04E9D65E">
            <w:pPr>
              <w:autoSpaceDE w:val="0"/>
              <w:autoSpaceDN w:val="0"/>
              <w:jc w:val="center"/>
              <w:rPr>
                <w:rFonts w:ascii="宋体" w:hAnsi="宋体" w:cs="宋体"/>
                <w:b/>
                <w:bCs/>
                <w:sz w:val="18"/>
                <w:szCs w:val="18"/>
              </w:rPr>
            </w:pPr>
          </w:p>
        </w:tc>
        <w:tc>
          <w:tcPr>
            <w:tcW w:w="1302" w:type="dxa"/>
            <w:vMerge w:val="continue"/>
          </w:tcPr>
          <w:p w14:paraId="19D19171">
            <w:pPr>
              <w:autoSpaceDE w:val="0"/>
              <w:autoSpaceDN w:val="0"/>
              <w:jc w:val="center"/>
              <w:rPr>
                <w:rFonts w:ascii="宋体" w:hAnsi="宋体" w:cs="宋体"/>
                <w:b/>
                <w:bCs/>
                <w:sz w:val="18"/>
                <w:szCs w:val="18"/>
              </w:rPr>
            </w:pPr>
          </w:p>
        </w:tc>
        <w:tc>
          <w:tcPr>
            <w:tcW w:w="5046" w:type="dxa"/>
          </w:tcPr>
          <w:p w14:paraId="17C565DC">
            <w:pPr>
              <w:autoSpaceDE w:val="0"/>
              <w:autoSpaceDN w:val="0"/>
              <w:jc w:val="left"/>
              <w:rPr>
                <w:rFonts w:ascii="宋体" w:hAnsi="宋体" w:cs="宋体"/>
                <w:sz w:val="18"/>
                <w:szCs w:val="18"/>
              </w:rPr>
            </w:pPr>
            <w:r>
              <w:rPr>
                <w:rFonts w:hint="eastAsia" w:ascii="宋体" w:hAnsi="宋体" w:cs="宋体"/>
                <w:sz w:val="18"/>
                <w:szCs w:val="18"/>
              </w:rPr>
              <w:t>电网运行驾驶舱类应用全年可用率大于或等于99.9%</w:t>
            </w:r>
          </w:p>
        </w:tc>
        <w:tc>
          <w:tcPr>
            <w:tcW w:w="955" w:type="dxa"/>
            <w:vMerge w:val="continue"/>
          </w:tcPr>
          <w:p w14:paraId="0AE1592E">
            <w:pPr>
              <w:autoSpaceDE w:val="0"/>
              <w:autoSpaceDN w:val="0"/>
              <w:jc w:val="center"/>
              <w:rPr>
                <w:rFonts w:ascii="宋体" w:hAnsi="宋体" w:cs="宋体"/>
                <w:b/>
                <w:bCs/>
                <w:sz w:val="18"/>
                <w:szCs w:val="18"/>
              </w:rPr>
            </w:pPr>
          </w:p>
        </w:tc>
      </w:tr>
    </w:tbl>
    <w:p w14:paraId="2A439DAA">
      <w:pPr>
        <w:spacing w:before="156" w:beforeLines="50" w:after="156" w:afterLines="50"/>
        <w:rPr>
          <w:rFonts w:ascii="黑体" w:eastAsia="黑体"/>
          <w:kern w:val="0"/>
          <w:szCs w:val="21"/>
        </w:rPr>
      </w:pPr>
      <w:r>
        <w:rPr>
          <w:rFonts w:hint="eastAsia" w:ascii="黑体" w:eastAsia="黑体"/>
          <w:kern w:val="0"/>
          <w:szCs w:val="21"/>
        </w:rPr>
        <w:t>A.</w:t>
      </w:r>
      <w:r>
        <w:rPr>
          <w:rFonts w:ascii="黑体" w:eastAsia="黑体"/>
          <w:kern w:val="0"/>
          <w:szCs w:val="21"/>
        </w:rPr>
        <w:t>4</w:t>
      </w:r>
      <w:r>
        <w:rPr>
          <w:rFonts w:hint="eastAsia" w:ascii="黑体" w:eastAsia="黑体"/>
          <w:kern w:val="0"/>
          <w:szCs w:val="21"/>
        </w:rPr>
        <w:t xml:space="preserve">  新型电力负荷管理系统建设和运营</w:t>
      </w:r>
    </w:p>
    <w:p w14:paraId="7F0440DF">
      <w:pPr>
        <w:ind w:firstLine="420" w:firstLineChars="200"/>
      </w:pPr>
      <w:r>
        <w:rPr>
          <w:rFonts w:hint="eastAsia"/>
        </w:rPr>
        <w:t>智能电网设施建设与运营具体评价内容及评价方法见</w:t>
      </w:r>
      <w:r>
        <w:rPr>
          <w:rFonts w:hint="eastAsia" w:ascii="宋体" w:hAnsi="宋体" w:cs="宋体"/>
        </w:rPr>
        <w:t>表</w:t>
      </w:r>
      <w:r>
        <w:rPr>
          <w:rFonts w:hint="eastAsia" w:ascii="宋体" w:hAnsi="宋体" w:cs="宋体"/>
          <w:kern w:val="0"/>
        </w:rPr>
        <w:t>A</w:t>
      </w:r>
      <w:r>
        <w:rPr>
          <w:rFonts w:hint="eastAsia" w:ascii="宋体" w:hAnsi="宋体" w:cs="宋体"/>
        </w:rPr>
        <w:t>.</w:t>
      </w:r>
      <w:r>
        <w:rPr>
          <w:rFonts w:ascii="宋体" w:hAnsi="宋体" w:cs="宋体"/>
        </w:rPr>
        <w:t>5</w:t>
      </w:r>
      <w:r>
        <w:rPr>
          <w:rFonts w:hint="eastAsia" w:ascii="宋体" w:hAnsi="宋体" w:cs="宋体"/>
        </w:rPr>
        <w:t>。</w:t>
      </w:r>
    </w:p>
    <w:p w14:paraId="6139B21B">
      <w:pPr>
        <w:spacing w:before="156" w:beforeLines="50" w:after="156" w:afterLines="50"/>
        <w:jc w:val="center"/>
        <w:rPr>
          <w:rFonts w:ascii="黑体" w:hAnsi="黑体" w:eastAsia="黑体" w:cs="黑体"/>
        </w:rPr>
      </w:pPr>
      <w:r>
        <w:rPr>
          <w:rFonts w:hint="eastAsia" w:ascii="黑体" w:hAnsi="黑体" w:eastAsia="黑体" w:cs="黑体"/>
        </w:rPr>
        <w:t>表A.</w:t>
      </w:r>
      <w:r>
        <w:rPr>
          <w:rFonts w:ascii="黑体" w:hAnsi="黑体" w:eastAsia="黑体" w:cs="黑体"/>
        </w:rPr>
        <w:t>5</w:t>
      </w:r>
      <w:r>
        <w:rPr>
          <w:rFonts w:hint="eastAsia" w:ascii="黑体" w:hAnsi="黑体" w:eastAsia="黑体" w:cs="黑体"/>
        </w:rPr>
        <w:t xml:space="preserve">  智能电网建设与运营关键技术先进性评价规则</w:t>
      </w:r>
    </w:p>
    <w:tbl>
      <w:tblPr>
        <w:tblStyle w:val="35"/>
        <w:tblW w:w="95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10"/>
        <w:gridCol w:w="1102"/>
        <w:gridCol w:w="1559"/>
        <w:gridCol w:w="4944"/>
        <w:gridCol w:w="955"/>
      </w:tblGrid>
      <w:tr w14:paraId="579862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010" w:type="dxa"/>
            <w:tcBorders>
              <w:top w:val="single" w:color="auto" w:sz="12" w:space="0"/>
              <w:bottom w:val="single" w:color="auto" w:sz="12" w:space="0"/>
            </w:tcBorders>
          </w:tcPr>
          <w:p w14:paraId="7D72A2D3">
            <w:pPr>
              <w:autoSpaceDE w:val="0"/>
              <w:autoSpaceDN w:val="0"/>
              <w:jc w:val="center"/>
              <w:rPr>
                <w:rFonts w:ascii="宋体" w:hAnsi="宋体" w:cs="宋体"/>
                <w:b/>
                <w:bCs/>
                <w:sz w:val="18"/>
                <w:szCs w:val="18"/>
              </w:rPr>
            </w:pPr>
            <w:r>
              <w:rPr>
                <w:rFonts w:hint="eastAsia" w:ascii="宋体" w:hAnsi="宋体" w:cs="宋体"/>
                <w:b/>
                <w:bCs/>
                <w:sz w:val="18"/>
                <w:szCs w:val="18"/>
              </w:rPr>
              <w:t>评价环节</w:t>
            </w:r>
          </w:p>
        </w:tc>
        <w:tc>
          <w:tcPr>
            <w:tcW w:w="1102" w:type="dxa"/>
            <w:tcBorders>
              <w:top w:val="single" w:color="auto" w:sz="12" w:space="0"/>
              <w:bottom w:val="single" w:color="auto" w:sz="12" w:space="0"/>
            </w:tcBorders>
          </w:tcPr>
          <w:p w14:paraId="31DD83DF">
            <w:pPr>
              <w:autoSpaceDE w:val="0"/>
              <w:autoSpaceDN w:val="0"/>
              <w:jc w:val="center"/>
              <w:rPr>
                <w:rFonts w:ascii="宋体" w:hAnsi="宋体" w:cs="宋体"/>
                <w:b/>
                <w:bCs/>
                <w:sz w:val="18"/>
                <w:szCs w:val="18"/>
              </w:rPr>
            </w:pPr>
            <w:r>
              <w:rPr>
                <w:rFonts w:hint="eastAsia" w:ascii="宋体" w:hAnsi="宋体" w:cs="宋体"/>
                <w:b/>
                <w:bCs/>
                <w:sz w:val="18"/>
                <w:szCs w:val="18"/>
              </w:rPr>
              <w:t>评价对象</w:t>
            </w:r>
          </w:p>
        </w:tc>
        <w:tc>
          <w:tcPr>
            <w:tcW w:w="1559" w:type="dxa"/>
            <w:tcBorders>
              <w:top w:val="single" w:color="auto" w:sz="12" w:space="0"/>
              <w:bottom w:val="single" w:color="auto" w:sz="12" w:space="0"/>
            </w:tcBorders>
          </w:tcPr>
          <w:p w14:paraId="1A18C85F">
            <w:pPr>
              <w:autoSpaceDE w:val="0"/>
              <w:autoSpaceDN w:val="0"/>
              <w:jc w:val="center"/>
              <w:rPr>
                <w:rFonts w:ascii="宋体" w:hAnsi="宋体" w:cs="宋体"/>
                <w:b/>
                <w:bCs/>
                <w:sz w:val="18"/>
                <w:szCs w:val="18"/>
              </w:rPr>
            </w:pPr>
            <w:r>
              <w:rPr>
                <w:rFonts w:hint="eastAsia" w:ascii="宋体" w:hAnsi="宋体" w:cs="宋体"/>
                <w:b/>
                <w:bCs/>
                <w:sz w:val="18"/>
                <w:szCs w:val="18"/>
              </w:rPr>
              <w:t>核心评价指标</w:t>
            </w:r>
          </w:p>
        </w:tc>
        <w:tc>
          <w:tcPr>
            <w:tcW w:w="4944" w:type="dxa"/>
            <w:tcBorders>
              <w:top w:val="single" w:color="auto" w:sz="12" w:space="0"/>
              <w:bottom w:val="single" w:color="auto" w:sz="12" w:space="0"/>
            </w:tcBorders>
          </w:tcPr>
          <w:p w14:paraId="43CBAD7E">
            <w:pPr>
              <w:autoSpaceDE w:val="0"/>
              <w:autoSpaceDN w:val="0"/>
              <w:jc w:val="center"/>
              <w:rPr>
                <w:rFonts w:ascii="宋体" w:hAnsi="宋体" w:cs="宋体"/>
                <w:b/>
                <w:bCs/>
                <w:sz w:val="18"/>
                <w:szCs w:val="18"/>
              </w:rPr>
            </w:pPr>
            <w:r>
              <w:rPr>
                <w:rFonts w:hint="eastAsia" w:ascii="宋体" w:hAnsi="宋体" w:cs="宋体"/>
                <w:b/>
                <w:bCs/>
                <w:sz w:val="18"/>
                <w:szCs w:val="18"/>
              </w:rPr>
              <w:t>评价维度</w:t>
            </w:r>
          </w:p>
        </w:tc>
        <w:tc>
          <w:tcPr>
            <w:tcW w:w="955" w:type="dxa"/>
            <w:tcBorders>
              <w:top w:val="single" w:color="auto" w:sz="12" w:space="0"/>
              <w:bottom w:val="single" w:color="auto" w:sz="12" w:space="0"/>
            </w:tcBorders>
          </w:tcPr>
          <w:p w14:paraId="77CB9176">
            <w:pPr>
              <w:autoSpaceDE w:val="0"/>
              <w:autoSpaceDN w:val="0"/>
              <w:jc w:val="center"/>
              <w:rPr>
                <w:rFonts w:ascii="宋体" w:hAnsi="宋体" w:cs="宋体"/>
                <w:b/>
                <w:bCs/>
                <w:sz w:val="18"/>
                <w:szCs w:val="18"/>
              </w:rPr>
            </w:pPr>
            <w:r>
              <w:rPr>
                <w:rFonts w:hint="eastAsia" w:ascii="宋体" w:hAnsi="宋体" w:cs="宋体"/>
                <w:b/>
                <w:bCs/>
                <w:sz w:val="18"/>
                <w:szCs w:val="18"/>
              </w:rPr>
              <w:t>评价依据</w:t>
            </w:r>
          </w:p>
        </w:tc>
      </w:tr>
      <w:tr w14:paraId="236D728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10" w:type="dxa"/>
            <w:vMerge w:val="restart"/>
            <w:tcBorders>
              <w:top w:val="single" w:color="auto" w:sz="12" w:space="0"/>
            </w:tcBorders>
            <w:vAlign w:val="center"/>
          </w:tcPr>
          <w:p w14:paraId="0BF9C5BD">
            <w:pPr>
              <w:autoSpaceDE w:val="0"/>
              <w:autoSpaceDN w:val="0"/>
              <w:jc w:val="center"/>
              <w:rPr>
                <w:rFonts w:ascii="宋体" w:hAnsi="宋体" w:cs="宋体"/>
                <w:sz w:val="18"/>
                <w:szCs w:val="18"/>
              </w:rPr>
            </w:pPr>
            <w:r>
              <w:rPr>
                <w:rFonts w:hint="eastAsia" w:ascii="宋体" w:hAnsi="宋体" w:cs="宋体"/>
                <w:sz w:val="18"/>
                <w:szCs w:val="18"/>
              </w:rPr>
              <w:t>建设运营</w:t>
            </w:r>
          </w:p>
        </w:tc>
        <w:tc>
          <w:tcPr>
            <w:tcW w:w="1102" w:type="dxa"/>
            <w:vMerge w:val="restart"/>
            <w:tcBorders>
              <w:top w:val="single" w:color="auto" w:sz="12" w:space="0"/>
            </w:tcBorders>
            <w:vAlign w:val="center"/>
          </w:tcPr>
          <w:p w14:paraId="0823A227">
            <w:pPr>
              <w:autoSpaceDE w:val="0"/>
              <w:autoSpaceDN w:val="0"/>
              <w:jc w:val="left"/>
              <w:rPr>
                <w:rFonts w:ascii="宋体" w:hAnsi="宋体" w:cs="宋体"/>
                <w:sz w:val="18"/>
                <w:szCs w:val="18"/>
              </w:rPr>
            </w:pPr>
            <w:r>
              <w:rPr>
                <w:rFonts w:hint="eastAsia" w:ascii="宋体" w:hAnsi="宋体" w:cs="宋体"/>
                <w:sz w:val="18"/>
                <w:szCs w:val="18"/>
              </w:rPr>
              <w:t>电力负荷调控响应系统建设和运营</w:t>
            </w:r>
          </w:p>
        </w:tc>
        <w:tc>
          <w:tcPr>
            <w:tcW w:w="1559" w:type="dxa"/>
            <w:tcBorders>
              <w:top w:val="single" w:color="auto" w:sz="12" w:space="0"/>
            </w:tcBorders>
            <w:vAlign w:val="center"/>
          </w:tcPr>
          <w:p w14:paraId="5A107860">
            <w:pPr>
              <w:autoSpaceDE w:val="0"/>
              <w:autoSpaceDN w:val="0"/>
              <w:jc w:val="center"/>
              <w:rPr>
                <w:rFonts w:ascii="宋体" w:hAnsi="宋体" w:cs="宋体"/>
                <w:sz w:val="18"/>
                <w:szCs w:val="18"/>
              </w:rPr>
            </w:pPr>
            <w:r>
              <w:rPr>
                <w:rFonts w:hint="eastAsia" w:ascii="宋体" w:hAnsi="宋体" w:cs="宋体"/>
                <w:sz w:val="18"/>
                <w:szCs w:val="18"/>
              </w:rPr>
              <w:t>能效</w:t>
            </w:r>
          </w:p>
        </w:tc>
        <w:tc>
          <w:tcPr>
            <w:tcW w:w="4944" w:type="dxa"/>
            <w:tcBorders>
              <w:top w:val="single" w:color="auto" w:sz="12" w:space="0"/>
            </w:tcBorders>
          </w:tcPr>
          <w:p w14:paraId="44E6DC48">
            <w:pPr>
              <w:autoSpaceDE w:val="0"/>
              <w:autoSpaceDN w:val="0"/>
              <w:jc w:val="left"/>
              <w:rPr>
                <w:rFonts w:ascii="宋体" w:hAnsi="宋体" w:cs="宋体"/>
                <w:sz w:val="18"/>
                <w:szCs w:val="18"/>
              </w:rPr>
            </w:pPr>
            <w:r>
              <w:rPr>
                <w:rFonts w:hint="eastAsia" w:ascii="宋体" w:hAnsi="宋体" w:cs="宋体"/>
                <w:sz w:val="18"/>
                <w:szCs w:val="18"/>
              </w:rPr>
              <w:t>从能源利用效率，损耗等方面开展评价，应高于近三年的行业水平</w:t>
            </w:r>
          </w:p>
        </w:tc>
        <w:tc>
          <w:tcPr>
            <w:tcW w:w="955" w:type="dxa"/>
            <w:tcBorders>
              <w:top w:val="single" w:color="auto" w:sz="12" w:space="0"/>
            </w:tcBorders>
            <w:vAlign w:val="center"/>
          </w:tcPr>
          <w:p w14:paraId="679D9517">
            <w:pPr>
              <w:autoSpaceDE w:val="0"/>
              <w:autoSpaceDN w:val="0"/>
              <w:jc w:val="center"/>
              <w:rPr>
                <w:rFonts w:ascii="宋体" w:hAnsi="宋体" w:cs="宋体"/>
                <w:sz w:val="18"/>
                <w:szCs w:val="18"/>
              </w:rPr>
            </w:pPr>
            <w:r>
              <w:rPr>
                <w:rFonts w:hint="eastAsia" w:ascii="宋体" w:hAnsi="宋体" w:cs="宋体"/>
                <w:sz w:val="18"/>
                <w:szCs w:val="18"/>
              </w:rPr>
              <w:t>—</w:t>
            </w:r>
          </w:p>
        </w:tc>
      </w:tr>
      <w:tr w14:paraId="2E3D06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10" w:type="dxa"/>
            <w:vMerge w:val="continue"/>
            <w:vAlign w:val="center"/>
          </w:tcPr>
          <w:p w14:paraId="38CEFFA8">
            <w:pPr>
              <w:autoSpaceDE w:val="0"/>
              <w:autoSpaceDN w:val="0"/>
              <w:jc w:val="center"/>
              <w:rPr>
                <w:rFonts w:ascii="宋体" w:hAnsi="宋体" w:cs="宋体"/>
                <w:sz w:val="18"/>
                <w:szCs w:val="18"/>
              </w:rPr>
            </w:pPr>
          </w:p>
        </w:tc>
        <w:tc>
          <w:tcPr>
            <w:tcW w:w="1102" w:type="dxa"/>
            <w:vMerge w:val="continue"/>
            <w:vAlign w:val="center"/>
          </w:tcPr>
          <w:p w14:paraId="7832915E">
            <w:pPr>
              <w:autoSpaceDE w:val="0"/>
              <w:autoSpaceDN w:val="0"/>
              <w:jc w:val="left"/>
              <w:rPr>
                <w:rFonts w:ascii="宋体" w:hAnsi="宋体" w:cs="宋体"/>
                <w:sz w:val="18"/>
                <w:szCs w:val="18"/>
              </w:rPr>
            </w:pPr>
          </w:p>
        </w:tc>
        <w:tc>
          <w:tcPr>
            <w:tcW w:w="1559" w:type="dxa"/>
            <w:vAlign w:val="center"/>
          </w:tcPr>
          <w:p w14:paraId="46FFABF9">
            <w:pPr>
              <w:autoSpaceDE w:val="0"/>
              <w:autoSpaceDN w:val="0"/>
              <w:jc w:val="center"/>
              <w:rPr>
                <w:rFonts w:ascii="宋体" w:hAnsi="宋体" w:cs="宋体"/>
                <w:sz w:val="18"/>
                <w:szCs w:val="18"/>
              </w:rPr>
            </w:pPr>
            <w:r>
              <w:rPr>
                <w:rFonts w:hint="eastAsia" w:ascii="宋体" w:hAnsi="宋体" w:cs="宋体"/>
                <w:sz w:val="18"/>
                <w:szCs w:val="18"/>
              </w:rPr>
              <w:t>负荷</w:t>
            </w:r>
          </w:p>
        </w:tc>
        <w:tc>
          <w:tcPr>
            <w:tcW w:w="4944" w:type="dxa"/>
          </w:tcPr>
          <w:p w14:paraId="59754DCA">
            <w:pPr>
              <w:autoSpaceDE w:val="0"/>
              <w:autoSpaceDN w:val="0"/>
              <w:jc w:val="left"/>
              <w:rPr>
                <w:rFonts w:ascii="宋体" w:hAnsi="宋体" w:cs="宋体"/>
                <w:sz w:val="18"/>
                <w:szCs w:val="18"/>
              </w:rPr>
            </w:pPr>
            <w:r>
              <w:rPr>
                <w:rFonts w:hint="eastAsia" w:ascii="宋体" w:hAnsi="宋体" w:cs="宋体"/>
                <w:sz w:val="18"/>
                <w:szCs w:val="18"/>
              </w:rPr>
              <w:t>从削峰填谷、调峰调频等方面开展评价，应高于近三年的行业水平</w:t>
            </w:r>
          </w:p>
        </w:tc>
        <w:tc>
          <w:tcPr>
            <w:tcW w:w="955" w:type="dxa"/>
            <w:vAlign w:val="center"/>
          </w:tcPr>
          <w:p w14:paraId="04363287">
            <w:pPr>
              <w:autoSpaceDE w:val="0"/>
              <w:autoSpaceDN w:val="0"/>
              <w:jc w:val="center"/>
              <w:rPr>
                <w:rFonts w:ascii="宋体" w:hAnsi="宋体" w:cs="宋体"/>
                <w:sz w:val="18"/>
                <w:szCs w:val="18"/>
              </w:rPr>
            </w:pPr>
            <w:r>
              <w:rPr>
                <w:rFonts w:hint="eastAsia" w:ascii="宋体" w:hAnsi="宋体" w:cs="宋体"/>
                <w:sz w:val="18"/>
                <w:szCs w:val="18"/>
              </w:rPr>
              <w:t>—</w:t>
            </w:r>
          </w:p>
        </w:tc>
      </w:tr>
      <w:tr w14:paraId="0F2429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10" w:type="dxa"/>
            <w:vMerge w:val="continue"/>
            <w:vAlign w:val="center"/>
          </w:tcPr>
          <w:p w14:paraId="7641D63F">
            <w:pPr>
              <w:autoSpaceDE w:val="0"/>
              <w:autoSpaceDN w:val="0"/>
              <w:jc w:val="center"/>
              <w:rPr>
                <w:rFonts w:ascii="宋体" w:hAnsi="宋体" w:cs="宋体"/>
                <w:sz w:val="18"/>
                <w:szCs w:val="18"/>
              </w:rPr>
            </w:pPr>
          </w:p>
        </w:tc>
        <w:tc>
          <w:tcPr>
            <w:tcW w:w="1102" w:type="dxa"/>
            <w:vMerge w:val="continue"/>
            <w:vAlign w:val="center"/>
          </w:tcPr>
          <w:p w14:paraId="56C533E2">
            <w:pPr>
              <w:autoSpaceDE w:val="0"/>
              <w:autoSpaceDN w:val="0"/>
              <w:jc w:val="left"/>
              <w:rPr>
                <w:rFonts w:ascii="宋体" w:hAnsi="宋体" w:cs="宋体"/>
                <w:sz w:val="18"/>
                <w:szCs w:val="18"/>
              </w:rPr>
            </w:pPr>
          </w:p>
        </w:tc>
        <w:tc>
          <w:tcPr>
            <w:tcW w:w="1559" w:type="dxa"/>
            <w:vAlign w:val="center"/>
          </w:tcPr>
          <w:p w14:paraId="66644ED3">
            <w:pPr>
              <w:autoSpaceDE w:val="0"/>
              <w:autoSpaceDN w:val="0"/>
              <w:jc w:val="center"/>
              <w:rPr>
                <w:rFonts w:ascii="宋体" w:hAnsi="宋体" w:cs="宋体"/>
                <w:sz w:val="18"/>
                <w:szCs w:val="18"/>
              </w:rPr>
            </w:pPr>
            <w:r>
              <w:rPr>
                <w:rFonts w:hint="eastAsia" w:ascii="宋体" w:hAnsi="宋体" w:cs="宋体"/>
                <w:sz w:val="18"/>
                <w:szCs w:val="18"/>
              </w:rPr>
              <w:t>安全和稳定性</w:t>
            </w:r>
          </w:p>
        </w:tc>
        <w:tc>
          <w:tcPr>
            <w:tcW w:w="4944" w:type="dxa"/>
          </w:tcPr>
          <w:p w14:paraId="3130D9CF">
            <w:pPr>
              <w:autoSpaceDE w:val="0"/>
              <w:autoSpaceDN w:val="0"/>
              <w:jc w:val="left"/>
              <w:rPr>
                <w:rFonts w:ascii="宋体" w:hAnsi="宋体" w:cs="宋体"/>
                <w:sz w:val="18"/>
                <w:szCs w:val="18"/>
              </w:rPr>
            </w:pPr>
            <w:r>
              <w:rPr>
                <w:rFonts w:hint="eastAsia" w:ascii="宋体" w:hAnsi="宋体" w:cs="宋体"/>
                <w:sz w:val="18"/>
                <w:szCs w:val="18"/>
              </w:rPr>
              <w:t>从抗干扰能力、鲁棒性、应急响应能力、电压稳定性、频率稳定性和功率平衡等方面开展评价，应高于近三年的行业水平</w:t>
            </w:r>
          </w:p>
        </w:tc>
        <w:tc>
          <w:tcPr>
            <w:tcW w:w="955" w:type="dxa"/>
            <w:vAlign w:val="center"/>
          </w:tcPr>
          <w:p w14:paraId="3A2095EB">
            <w:pPr>
              <w:autoSpaceDE w:val="0"/>
              <w:autoSpaceDN w:val="0"/>
              <w:jc w:val="center"/>
              <w:rPr>
                <w:rFonts w:ascii="宋体" w:hAnsi="宋体" w:cs="宋体"/>
                <w:sz w:val="18"/>
                <w:szCs w:val="18"/>
              </w:rPr>
            </w:pPr>
            <w:r>
              <w:rPr>
                <w:rFonts w:hint="eastAsia" w:ascii="宋体" w:hAnsi="宋体" w:cs="宋体"/>
                <w:sz w:val="18"/>
                <w:szCs w:val="18"/>
              </w:rPr>
              <w:t>—</w:t>
            </w:r>
          </w:p>
        </w:tc>
      </w:tr>
      <w:tr w14:paraId="3A8FB3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10" w:type="dxa"/>
            <w:vMerge w:val="continue"/>
            <w:vAlign w:val="center"/>
          </w:tcPr>
          <w:p w14:paraId="795102AD">
            <w:pPr>
              <w:autoSpaceDE w:val="0"/>
              <w:autoSpaceDN w:val="0"/>
              <w:jc w:val="center"/>
              <w:rPr>
                <w:rFonts w:ascii="宋体" w:hAnsi="宋体" w:cs="宋体"/>
                <w:sz w:val="18"/>
                <w:szCs w:val="18"/>
              </w:rPr>
            </w:pPr>
          </w:p>
        </w:tc>
        <w:tc>
          <w:tcPr>
            <w:tcW w:w="1102" w:type="dxa"/>
            <w:vMerge w:val="restart"/>
            <w:vAlign w:val="center"/>
          </w:tcPr>
          <w:p w14:paraId="33E09E49">
            <w:pPr>
              <w:autoSpaceDE w:val="0"/>
              <w:autoSpaceDN w:val="0"/>
              <w:jc w:val="left"/>
              <w:rPr>
                <w:rFonts w:ascii="宋体" w:hAnsi="宋体" w:cs="宋体"/>
                <w:sz w:val="18"/>
                <w:szCs w:val="18"/>
              </w:rPr>
            </w:pPr>
            <w:r>
              <w:rPr>
                <w:rFonts w:hint="eastAsia" w:ascii="宋体" w:hAnsi="宋体" w:cs="宋体"/>
                <w:sz w:val="18"/>
                <w:szCs w:val="18"/>
              </w:rPr>
              <w:t>电力负荷管理系统主站</w:t>
            </w:r>
          </w:p>
        </w:tc>
        <w:tc>
          <w:tcPr>
            <w:tcW w:w="1559" w:type="dxa"/>
            <w:vAlign w:val="center"/>
          </w:tcPr>
          <w:p w14:paraId="4B251EAD">
            <w:pPr>
              <w:autoSpaceDE w:val="0"/>
              <w:autoSpaceDN w:val="0"/>
              <w:jc w:val="center"/>
              <w:rPr>
                <w:rFonts w:ascii="宋体" w:hAnsi="宋体" w:cs="宋体"/>
                <w:sz w:val="18"/>
                <w:szCs w:val="18"/>
              </w:rPr>
            </w:pPr>
            <w:r>
              <w:rPr>
                <w:rFonts w:hint="eastAsia" w:ascii="宋体" w:hAnsi="宋体" w:cs="宋体"/>
                <w:sz w:val="18"/>
                <w:szCs w:val="18"/>
              </w:rPr>
              <w:t>可靠性</w:t>
            </w:r>
          </w:p>
        </w:tc>
        <w:tc>
          <w:tcPr>
            <w:tcW w:w="4944" w:type="dxa"/>
          </w:tcPr>
          <w:p w14:paraId="6A16A99D">
            <w:pPr>
              <w:autoSpaceDE w:val="0"/>
              <w:autoSpaceDN w:val="0"/>
              <w:jc w:val="left"/>
              <w:rPr>
                <w:rFonts w:ascii="宋体" w:hAnsi="宋体" w:cs="宋体"/>
                <w:sz w:val="18"/>
                <w:szCs w:val="18"/>
              </w:rPr>
            </w:pPr>
            <w:r>
              <w:rPr>
                <w:rFonts w:hint="eastAsia" w:ascii="宋体" w:hAnsi="宋体" w:cs="宋体"/>
                <w:sz w:val="18"/>
                <w:szCs w:val="18"/>
              </w:rPr>
              <w:t>1）遥控成功率不小于99.9%</w:t>
            </w:r>
          </w:p>
          <w:p w14:paraId="0275D2EA">
            <w:pPr>
              <w:autoSpaceDE w:val="0"/>
              <w:autoSpaceDN w:val="0"/>
              <w:jc w:val="left"/>
              <w:rPr>
                <w:rFonts w:ascii="宋体" w:hAnsi="宋体" w:cs="宋体"/>
                <w:sz w:val="18"/>
                <w:szCs w:val="18"/>
              </w:rPr>
            </w:pPr>
            <w:r>
              <w:rPr>
                <w:rFonts w:hint="eastAsia" w:ascii="宋体" w:hAnsi="宋体" w:cs="宋体"/>
                <w:sz w:val="18"/>
                <w:szCs w:val="18"/>
              </w:rPr>
              <w:t>2）主站年可用率不小于99.9%</w:t>
            </w:r>
          </w:p>
          <w:p w14:paraId="7D291D8A">
            <w:pPr>
              <w:autoSpaceDE w:val="0"/>
              <w:autoSpaceDN w:val="0"/>
              <w:jc w:val="left"/>
              <w:rPr>
                <w:rFonts w:ascii="宋体" w:hAnsi="宋体" w:cs="宋体"/>
                <w:sz w:val="18"/>
                <w:szCs w:val="18"/>
              </w:rPr>
            </w:pPr>
            <w:r>
              <w:rPr>
                <w:rFonts w:ascii="宋体" w:hAnsi="宋体" w:cs="宋体"/>
                <w:sz w:val="18"/>
                <w:szCs w:val="18"/>
              </w:rPr>
              <w:t>3</w:t>
            </w:r>
            <w:r>
              <w:rPr>
                <w:rFonts w:hint="eastAsia" w:ascii="宋体" w:hAnsi="宋体" w:cs="宋体"/>
                <w:sz w:val="18"/>
                <w:szCs w:val="18"/>
              </w:rPr>
              <w:t>）系统各分路监测准确率不小于99%</w:t>
            </w:r>
          </w:p>
        </w:tc>
        <w:tc>
          <w:tcPr>
            <w:tcW w:w="955" w:type="dxa"/>
            <w:vMerge w:val="restart"/>
            <w:vAlign w:val="center"/>
          </w:tcPr>
          <w:p w14:paraId="2D5F42BA">
            <w:pPr>
              <w:autoSpaceDE w:val="0"/>
              <w:autoSpaceDN w:val="0"/>
              <w:jc w:val="center"/>
              <w:rPr>
                <w:rFonts w:ascii="宋体" w:hAnsi="宋体" w:cs="宋体"/>
                <w:sz w:val="18"/>
                <w:szCs w:val="18"/>
              </w:rPr>
            </w:pPr>
            <w:r>
              <w:rPr>
                <w:rFonts w:hint="eastAsia" w:ascii="宋体" w:hAnsi="宋体" w:cs="宋体"/>
                <w:sz w:val="18"/>
                <w:szCs w:val="18"/>
              </w:rPr>
              <w:t>G</w:t>
            </w:r>
            <w:r>
              <w:rPr>
                <w:rFonts w:ascii="宋体" w:hAnsi="宋体" w:cs="宋体"/>
                <w:sz w:val="18"/>
                <w:szCs w:val="18"/>
              </w:rPr>
              <w:t>B/T 15148</w:t>
            </w:r>
          </w:p>
        </w:tc>
      </w:tr>
      <w:tr w14:paraId="05097D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10" w:hRule="atLeast"/>
          <w:jc w:val="center"/>
        </w:trPr>
        <w:tc>
          <w:tcPr>
            <w:tcW w:w="1010" w:type="dxa"/>
            <w:vMerge w:val="continue"/>
            <w:vAlign w:val="center"/>
          </w:tcPr>
          <w:p w14:paraId="35DCD513">
            <w:pPr>
              <w:autoSpaceDE w:val="0"/>
              <w:autoSpaceDN w:val="0"/>
              <w:jc w:val="center"/>
              <w:rPr>
                <w:rFonts w:ascii="宋体" w:hAnsi="宋体" w:cs="宋体"/>
                <w:sz w:val="18"/>
                <w:szCs w:val="18"/>
              </w:rPr>
            </w:pPr>
          </w:p>
        </w:tc>
        <w:tc>
          <w:tcPr>
            <w:tcW w:w="1102" w:type="dxa"/>
            <w:vMerge w:val="continue"/>
            <w:vAlign w:val="center"/>
          </w:tcPr>
          <w:p w14:paraId="73E71B88">
            <w:pPr>
              <w:autoSpaceDE w:val="0"/>
              <w:autoSpaceDN w:val="0"/>
              <w:jc w:val="left"/>
              <w:rPr>
                <w:rFonts w:ascii="宋体" w:hAnsi="宋体" w:cs="宋体"/>
                <w:sz w:val="18"/>
                <w:szCs w:val="18"/>
              </w:rPr>
            </w:pPr>
          </w:p>
        </w:tc>
        <w:tc>
          <w:tcPr>
            <w:tcW w:w="1559" w:type="dxa"/>
            <w:vAlign w:val="center"/>
          </w:tcPr>
          <w:p w14:paraId="04182440">
            <w:pPr>
              <w:autoSpaceDE w:val="0"/>
              <w:autoSpaceDN w:val="0"/>
              <w:jc w:val="center"/>
              <w:rPr>
                <w:rFonts w:ascii="宋体" w:hAnsi="宋体" w:cs="宋体"/>
                <w:sz w:val="18"/>
                <w:szCs w:val="18"/>
              </w:rPr>
            </w:pPr>
            <w:r>
              <w:rPr>
                <w:rFonts w:hint="eastAsia" w:ascii="宋体" w:hAnsi="宋体" w:cs="宋体"/>
                <w:sz w:val="18"/>
                <w:szCs w:val="18"/>
              </w:rPr>
              <w:t>实时性</w:t>
            </w:r>
          </w:p>
        </w:tc>
        <w:tc>
          <w:tcPr>
            <w:tcW w:w="4944" w:type="dxa"/>
          </w:tcPr>
          <w:p w14:paraId="2D3357D5">
            <w:pPr>
              <w:autoSpaceDE w:val="0"/>
              <w:autoSpaceDN w:val="0"/>
              <w:jc w:val="left"/>
              <w:rPr>
                <w:rFonts w:ascii="宋体" w:hAnsi="宋体" w:cs="宋体"/>
                <w:sz w:val="18"/>
                <w:szCs w:val="18"/>
              </w:rPr>
            </w:pPr>
            <w:r>
              <w:rPr>
                <w:rFonts w:hint="eastAsia" w:ascii="宋体" w:hAnsi="宋体" w:cs="宋体"/>
                <w:sz w:val="18"/>
                <w:szCs w:val="18"/>
              </w:rPr>
              <w:t>1）负荷管理装置遥信变化发生并上传至主站采集前置服务器的时间不大于3s</w:t>
            </w:r>
          </w:p>
          <w:p w14:paraId="25BD6324">
            <w:pPr>
              <w:autoSpaceDE w:val="0"/>
              <w:autoSpaceDN w:val="0"/>
              <w:jc w:val="left"/>
              <w:rPr>
                <w:rFonts w:ascii="宋体" w:hAnsi="宋体" w:cs="宋体"/>
                <w:sz w:val="18"/>
                <w:szCs w:val="18"/>
              </w:rPr>
            </w:pPr>
            <w:r>
              <w:rPr>
                <w:rFonts w:ascii="宋体" w:hAnsi="宋体" w:cs="宋体"/>
                <w:sz w:val="18"/>
                <w:szCs w:val="18"/>
              </w:rPr>
              <w:t>2</w:t>
            </w:r>
            <w:r>
              <w:rPr>
                <w:rFonts w:hint="eastAsia" w:ascii="宋体" w:hAnsi="宋体" w:cs="宋体"/>
                <w:sz w:val="18"/>
                <w:szCs w:val="18"/>
              </w:rPr>
              <w:t>）负荷管理装置遥测变化发生并上传至主站采集前置服务器的时间不大于3s</w:t>
            </w:r>
          </w:p>
          <w:p w14:paraId="6D9130F8">
            <w:pPr>
              <w:autoSpaceDE w:val="0"/>
              <w:autoSpaceDN w:val="0"/>
              <w:jc w:val="left"/>
              <w:rPr>
                <w:rFonts w:ascii="宋体" w:hAnsi="宋体" w:cs="宋体"/>
                <w:sz w:val="18"/>
                <w:szCs w:val="18"/>
              </w:rPr>
            </w:pPr>
            <w:r>
              <w:rPr>
                <w:rFonts w:ascii="宋体" w:hAnsi="宋体" w:cs="宋体"/>
                <w:sz w:val="18"/>
                <w:szCs w:val="18"/>
              </w:rPr>
              <w:t>3</w:t>
            </w:r>
            <w:r>
              <w:rPr>
                <w:rFonts w:hint="eastAsia" w:ascii="宋体" w:hAnsi="宋体" w:cs="宋体"/>
                <w:sz w:val="18"/>
                <w:szCs w:val="18"/>
              </w:rPr>
              <w:t>）主站巡检负荷管理装置重要信息(重要状态信息、总加功率和电能量)的时间不大于5min</w:t>
            </w:r>
          </w:p>
          <w:p w14:paraId="76109293">
            <w:pPr>
              <w:autoSpaceDE w:val="0"/>
              <w:autoSpaceDN w:val="0"/>
              <w:jc w:val="left"/>
              <w:rPr>
                <w:rFonts w:ascii="宋体" w:hAnsi="宋体" w:cs="宋体"/>
                <w:sz w:val="18"/>
                <w:szCs w:val="18"/>
              </w:rPr>
            </w:pPr>
            <w:r>
              <w:rPr>
                <w:rFonts w:ascii="宋体" w:hAnsi="宋体" w:cs="宋体"/>
                <w:sz w:val="18"/>
                <w:szCs w:val="18"/>
              </w:rPr>
              <w:t>4</w:t>
            </w:r>
            <w:r>
              <w:rPr>
                <w:rFonts w:hint="eastAsia" w:ascii="宋体" w:hAnsi="宋体" w:cs="宋体"/>
                <w:sz w:val="18"/>
                <w:szCs w:val="18"/>
              </w:rPr>
              <w:t>）主站远程控制操作发起至负荷管理装置收到控制指令并控制分路负荷响应的时间不大于</w:t>
            </w:r>
            <w:r>
              <w:rPr>
                <w:rFonts w:ascii="宋体" w:hAnsi="宋体" w:cs="宋体"/>
                <w:sz w:val="18"/>
                <w:szCs w:val="18"/>
              </w:rPr>
              <w:t>20s</w:t>
            </w:r>
          </w:p>
          <w:p w14:paraId="74D41499">
            <w:pPr>
              <w:autoSpaceDE w:val="0"/>
              <w:autoSpaceDN w:val="0"/>
              <w:jc w:val="left"/>
              <w:rPr>
                <w:rFonts w:ascii="宋体" w:hAnsi="宋体" w:cs="宋体"/>
                <w:sz w:val="18"/>
                <w:szCs w:val="18"/>
              </w:rPr>
            </w:pPr>
            <w:r>
              <w:rPr>
                <w:rFonts w:ascii="宋体" w:hAnsi="宋体" w:cs="宋体"/>
                <w:sz w:val="18"/>
                <w:szCs w:val="18"/>
              </w:rPr>
              <w:t>5</w:t>
            </w:r>
            <w:r>
              <w:rPr>
                <w:rFonts w:hint="eastAsia" w:ascii="宋体" w:hAnsi="宋体" w:cs="宋体"/>
                <w:sz w:val="18"/>
                <w:szCs w:val="18"/>
              </w:rPr>
              <w:t>）主站限值控制操作发起至负荷管理装置收到控制指令并控制分路负荷响应的时间不大于</w:t>
            </w:r>
            <w:r>
              <w:rPr>
                <w:rFonts w:ascii="宋体" w:hAnsi="宋体" w:cs="宋体"/>
                <w:sz w:val="18"/>
                <w:szCs w:val="18"/>
              </w:rPr>
              <w:t>30s</w:t>
            </w:r>
          </w:p>
          <w:p w14:paraId="072733E3">
            <w:pPr>
              <w:autoSpaceDE w:val="0"/>
              <w:autoSpaceDN w:val="0"/>
              <w:jc w:val="left"/>
              <w:rPr>
                <w:rFonts w:ascii="宋体" w:hAnsi="宋体" w:cs="宋体"/>
                <w:sz w:val="18"/>
                <w:szCs w:val="18"/>
              </w:rPr>
            </w:pPr>
            <w:r>
              <w:rPr>
                <w:rFonts w:ascii="宋体" w:hAnsi="宋体" w:cs="宋体"/>
                <w:sz w:val="18"/>
                <w:szCs w:val="18"/>
              </w:rPr>
              <w:t>6</w:t>
            </w:r>
            <w:r>
              <w:rPr>
                <w:rFonts w:hint="eastAsia" w:ascii="宋体" w:hAnsi="宋体" w:cs="宋体"/>
                <w:sz w:val="18"/>
                <w:szCs w:val="18"/>
              </w:rPr>
              <w:t>）实时画面调用响应时间不大于3s,其余画面不大于5s</w:t>
            </w:r>
          </w:p>
        </w:tc>
        <w:tc>
          <w:tcPr>
            <w:tcW w:w="955" w:type="dxa"/>
            <w:vMerge w:val="continue"/>
            <w:vAlign w:val="center"/>
          </w:tcPr>
          <w:p w14:paraId="05FE3A26">
            <w:pPr>
              <w:autoSpaceDE w:val="0"/>
              <w:autoSpaceDN w:val="0"/>
              <w:jc w:val="center"/>
              <w:rPr>
                <w:rFonts w:ascii="宋体" w:hAnsi="宋体" w:cs="宋体"/>
                <w:sz w:val="18"/>
                <w:szCs w:val="18"/>
              </w:rPr>
            </w:pPr>
          </w:p>
        </w:tc>
      </w:tr>
    </w:tbl>
    <w:p w14:paraId="6EDFB154">
      <w:pPr>
        <w:spacing w:before="156" w:beforeLines="50" w:after="156" w:afterLines="50"/>
        <w:jc w:val="center"/>
        <w:rPr>
          <w:rFonts w:ascii="黑体" w:hAnsi="黑体" w:eastAsia="黑体" w:cs="黑体"/>
        </w:rPr>
      </w:pPr>
      <w:r>
        <w:rPr>
          <w:rFonts w:hint="eastAsia" w:ascii="黑体" w:hAnsi="黑体" w:eastAsia="黑体" w:cs="黑体"/>
        </w:rPr>
        <w:t>表A.</w:t>
      </w:r>
      <w:r>
        <w:rPr>
          <w:rFonts w:ascii="黑体" w:hAnsi="黑体" w:eastAsia="黑体" w:cs="黑体"/>
        </w:rPr>
        <w:t>5</w:t>
      </w:r>
      <w:r>
        <w:rPr>
          <w:rFonts w:hint="eastAsia" w:ascii="黑体" w:hAnsi="黑体" w:eastAsia="黑体" w:cs="黑体"/>
        </w:rPr>
        <w:t xml:space="preserve">  智能电网建设与运营关键技术先进性评价规则</w:t>
      </w:r>
      <w:bookmarkStart w:id="222" w:name="_GoBack"/>
      <w:r>
        <w:rPr>
          <w:rFonts w:hint="eastAsia" w:ascii="宋体" w:hAnsi="宋体" w:eastAsia="宋体" w:cs="宋体"/>
        </w:rPr>
        <w:t>（续）</w:t>
      </w:r>
      <w:bookmarkEnd w:id="222"/>
    </w:p>
    <w:tbl>
      <w:tblPr>
        <w:tblStyle w:val="35"/>
        <w:tblW w:w="95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10"/>
        <w:gridCol w:w="1102"/>
        <w:gridCol w:w="1417"/>
        <w:gridCol w:w="5086"/>
        <w:gridCol w:w="955"/>
      </w:tblGrid>
      <w:tr w14:paraId="0EF7B5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10" w:type="dxa"/>
          </w:tcPr>
          <w:p w14:paraId="16A2D0D7">
            <w:pPr>
              <w:autoSpaceDE w:val="0"/>
              <w:autoSpaceDN w:val="0"/>
              <w:jc w:val="center"/>
              <w:rPr>
                <w:rFonts w:ascii="宋体" w:hAnsi="宋体" w:cs="宋体"/>
                <w:b/>
                <w:bCs/>
                <w:sz w:val="18"/>
                <w:szCs w:val="18"/>
              </w:rPr>
            </w:pPr>
            <w:r>
              <w:rPr>
                <w:rFonts w:hint="eastAsia" w:ascii="宋体" w:hAnsi="宋体" w:cs="宋体"/>
                <w:b/>
                <w:bCs/>
                <w:sz w:val="18"/>
                <w:szCs w:val="18"/>
              </w:rPr>
              <w:t>评价环节</w:t>
            </w:r>
          </w:p>
        </w:tc>
        <w:tc>
          <w:tcPr>
            <w:tcW w:w="1102" w:type="dxa"/>
          </w:tcPr>
          <w:p w14:paraId="7F327C2D">
            <w:pPr>
              <w:autoSpaceDE w:val="0"/>
              <w:autoSpaceDN w:val="0"/>
              <w:jc w:val="center"/>
              <w:rPr>
                <w:rFonts w:ascii="宋体" w:hAnsi="宋体" w:cs="宋体"/>
                <w:b/>
                <w:bCs/>
                <w:sz w:val="18"/>
                <w:szCs w:val="18"/>
              </w:rPr>
            </w:pPr>
            <w:r>
              <w:rPr>
                <w:rFonts w:hint="eastAsia" w:ascii="宋体" w:hAnsi="宋体" w:cs="宋体"/>
                <w:b/>
                <w:bCs/>
                <w:sz w:val="18"/>
                <w:szCs w:val="18"/>
              </w:rPr>
              <w:t>评价对象</w:t>
            </w:r>
          </w:p>
        </w:tc>
        <w:tc>
          <w:tcPr>
            <w:tcW w:w="1417" w:type="dxa"/>
          </w:tcPr>
          <w:p w14:paraId="4ED2D3C4">
            <w:pPr>
              <w:autoSpaceDE w:val="0"/>
              <w:autoSpaceDN w:val="0"/>
              <w:jc w:val="center"/>
              <w:rPr>
                <w:rFonts w:ascii="宋体" w:hAnsi="宋体" w:cs="宋体"/>
                <w:b/>
                <w:bCs/>
                <w:sz w:val="18"/>
                <w:szCs w:val="18"/>
              </w:rPr>
            </w:pPr>
            <w:r>
              <w:rPr>
                <w:rFonts w:hint="eastAsia" w:ascii="宋体" w:hAnsi="宋体" w:cs="宋体"/>
                <w:b/>
                <w:bCs/>
                <w:sz w:val="18"/>
                <w:szCs w:val="18"/>
              </w:rPr>
              <w:t>核心评价指标</w:t>
            </w:r>
          </w:p>
        </w:tc>
        <w:tc>
          <w:tcPr>
            <w:tcW w:w="5086" w:type="dxa"/>
          </w:tcPr>
          <w:p w14:paraId="0912E524">
            <w:pPr>
              <w:autoSpaceDE w:val="0"/>
              <w:autoSpaceDN w:val="0"/>
              <w:jc w:val="center"/>
              <w:rPr>
                <w:rFonts w:ascii="宋体" w:hAnsi="宋体" w:cs="宋体"/>
                <w:b/>
                <w:bCs/>
                <w:sz w:val="18"/>
                <w:szCs w:val="18"/>
              </w:rPr>
            </w:pPr>
            <w:r>
              <w:rPr>
                <w:rFonts w:hint="eastAsia" w:ascii="宋体" w:hAnsi="宋体" w:cs="宋体"/>
                <w:b/>
                <w:bCs/>
                <w:sz w:val="18"/>
                <w:szCs w:val="18"/>
              </w:rPr>
              <w:t>评价维度</w:t>
            </w:r>
          </w:p>
        </w:tc>
        <w:tc>
          <w:tcPr>
            <w:tcW w:w="955" w:type="dxa"/>
          </w:tcPr>
          <w:p w14:paraId="34ED4EE0">
            <w:pPr>
              <w:autoSpaceDE w:val="0"/>
              <w:autoSpaceDN w:val="0"/>
              <w:jc w:val="center"/>
              <w:rPr>
                <w:rFonts w:ascii="宋体" w:hAnsi="宋体" w:cs="宋体"/>
                <w:b/>
                <w:bCs/>
                <w:sz w:val="18"/>
                <w:szCs w:val="18"/>
              </w:rPr>
            </w:pPr>
            <w:r>
              <w:rPr>
                <w:rFonts w:hint="eastAsia" w:ascii="宋体" w:hAnsi="宋体" w:cs="宋体"/>
                <w:b/>
                <w:bCs/>
                <w:sz w:val="18"/>
                <w:szCs w:val="18"/>
              </w:rPr>
              <w:t>评价依据</w:t>
            </w:r>
          </w:p>
        </w:tc>
      </w:tr>
      <w:tr w14:paraId="68569C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10" w:type="dxa"/>
            <w:vMerge w:val="restart"/>
            <w:vAlign w:val="center"/>
          </w:tcPr>
          <w:p w14:paraId="4FEA819A">
            <w:pPr>
              <w:autoSpaceDE w:val="0"/>
              <w:autoSpaceDN w:val="0"/>
              <w:jc w:val="center"/>
              <w:rPr>
                <w:rFonts w:ascii="宋体" w:hAnsi="宋体" w:cs="宋体"/>
                <w:b/>
                <w:bCs/>
                <w:sz w:val="18"/>
                <w:szCs w:val="18"/>
              </w:rPr>
            </w:pPr>
            <w:r>
              <w:rPr>
                <w:rFonts w:hint="eastAsia" w:ascii="宋体" w:hAnsi="宋体" w:cs="宋体"/>
                <w:sz w:val="18"/>
                <w:szCs w:val="18"/>
              </w:rPr>
              <w:t>建设运营</w:t>
            </w:r>
          </w:p>
        </w:tc>
        <w:tc>
          <w:tcPr>
            <w:tcW w:w="1102" w:type="dxa"/>
            <w:vMerge w:val="restart"/>
          </w:tcPr>
          <w:p w14:paraId="727AD9C4">
            <w:pPr>
              <w:autoSpaceDE w:val="0"/>
              <w:autoSpaceDN w:val="0"/>
              <w:jc w:val="center"/>
              <w:rPr>
                <w:rFonts w:ascii="宋体" w:hAnsi="宋体" w:cs="宋体"/>
                <w:b/>
                <w:bCs/>
                <w:sz w:val="18"/>
                <w:szCs w:val="18"/>
              </w:rPr>
            </w:pPr>
            <w:r>
              <w:rPr>
                <w:rFonts w:hint="eastAsia" w:ascii="宋体" w:hAnsi="宋体" w:cs="宋体"/>
                <w:sz w:val="18"/>
                <w:szCs w:val="18"/>
              </w:rPr>
              <w:t>电力负荷管理系统主站</w:t>
            </w:r>
          </w:p>
        </w:tc>
        <w:tc>
          <w:tcPr>
            <w:tcW w:w="1417" w:type="dxa"/>
          </w:tcPr>
          <w:p w14:paraId="6E0138D3">
            <w:pPr>
              <w:autoSpaceDE w:val="0"/>
              <w:autoSpaceDN w:val="0"/>
              <w:jc w:val="center"/>
              <w:rPr>
                <w:rFonts w:ascii="宋体" w:hAnsi="宋体" w:cs="宋体"/>
                <w:b/>
                <w:bCs/>
                <w:sz w:val="18"/>
                <w:szCs w:val="18"/>
              </w:rPr>
            </w:pPr>
            <w:r>
              <w:rPr>
                <w:rFonts w:hint="eastAsia" w:ascii="宋体" w:hAnsi="宋体" w:cs="宋体"/>
                <w:sz w:val="18"/>
                <w:szCs w:val="18"/>
              </w:rPr>
              <w:t>容量和处理能力</w:t>
            </w:r>
          </w:p>
        </w:tc>
        <w:tc>
          <w:tcPr>
            <w:tcW w:w="5086" w:type="dxa"/>
          </w:tcPr>
          <w:p w14:paraId="3FEDE3F9">
            <w:pPr>
              <w:autoSpaceDE w:val="0"/>
              <w:autoSpaceDN w:val="0"/>
              <w:jc w:val="left"/>
              <w:rPr>
                <w:rFonts w:ascii="宋体" w:hAnsi="宋体" w:cs="宋体"/>
                <w:sz w:val="18"/>
                <w:szCs w:val="18"/>
              </w:rPr>
            </w:pPr>
            <w:r>
              <w:rPr>
                <w:rFonts w:hint="eastAsia" w:ascii="宋体" w:hAnsi="宋体" w:cs="宋体"/>
                <w:sz w:val="18"/>
                <w:szCs w:val="18"/>
              </w:rPr>
              <w:t>1）数据存储应具备动态扩容能力,存储时效不小于5年</w:t>
            </w:r>
          </w:p>
          <w:p w14:paraId="244FA1E6">
            <w:pPr>
              <w:autoSpaceDE w:val="0"/>
              <w:autoSpaceDN w:val="0"/>
              <w:jc w:val="center"/>
              <w:rPr>
                <w:rFonts w:ascii="宋体" w:hAnsi="宋体" w:cs="宋体"/>
                <w:b/>
                <w:bCs/>
                <w:sz w:val="18"/>
                <w:szCs w:val="18"/>
              </w:rPr>
            </w:pPr>
            <w:r>
              <w:rPr>
                <w:rFonts w:ascii="宋体" w:hAnsi="宋体" w:cs="宋体"/>
                <w:sz w:val="18"/>
                <w:szCs w:val="18"/>
              </w:rPr>
              <w:t>2</w:t>
            </w:r>
            <w:r>
              <w:rPr>
                <w:rFonts w:hint="eastAsia" w:ascii="宋体" w:hAnsi="宋体" w:cs="宋体"/>
                <w:sz w:val="18"/>
                <w:szCs w:val="18"/>
              </w:rPr>
              <w:t>）系统主服务器平均负载率(15min)不大于40%</w:t>
            </w:r>
          </w:p>
        </w:tc>
        <w:tc>
          <w:tcPr>
            <w:tcW w:w="955" w:type="dxa"/>
            <w:vMerge w:val="restart"/>
            <w:vAlign w:val="center"/>
          </w:tcPr>
          <w:p w14:paraId="1E02B140">
            <w:pPr>
              <w:autoSpaceDE w:val="0"/>
              <w:autoSpaceDN w:val="0"/>
              <w:jc w:val="center"/>
              <w:rPr>
                <w:rFonts w:ascii="宋体" w:hAnsi="宋体" w:cs="宋体"/>
                <w:b/>
                <w:bCs/>
                <w:sz w:val="18"/>
                <w:szCs w:val="18"/>
              </w:rPr>
            </w:pPr>
            <w:r>
              <w:rPr>
                <w:rFonts w:hint="eastAsia" w:ascii="宋体" w:hAnsi="宋体" w:cs="宋体"/>
                <w:sz w:val="18"/>
                <w:szCs w:val="18"/>
              </w:rPr>
              <w:t>G</w:t>
            </w:r>
            <w:r>
              <w:rPr>
                <w:rFonts w:ascii="宋体" w:hAnsi="宋体" w:cs="宋体"/>
                <w:sz w:val="18"/>
                <w:szCs w:val="18"/>
              </w:rPr>
              <w:t>B/T 15148</w:t>
            </w:r>
          </w:p>
        </w:tc>
      </w:tr>
      <w:tr w14:paraId="29803A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10" w:type="dxa"/>
            <w:vMerge w:val="continue"/>
            <w:vAlign w:val="center"/>
          </w:tcPr>
          <w:p w14:paraId="5DC543B5">
            <w:pPr>
              <w:autoSpaceDE w:val="0"/>
              <w:autoSpaceDN w:val="0"/>
              <w:jc w:val="center"/>
              <w:rPr>
                <w:rFonts w:ascii="宋体" w:hAnsi="宋体" w:cs="宋体"/>
                <w:sz w:val="18"/>
                <w:szCs w:val="18"/>
              </w:rPr>
            </w:pPr>
          </w:p>
        </w:tc>
        <w:tc>
          <w:tcPr>
            <w:tcW w:w="1102" w:type="dxa"/>
            <w:vMerge w:val="continue"/>
            <w:vAlign w:val="center"/>
          </w:tcPr>
          <w:p w14:paraId="73C34CB2">
            <w:pPr>
              <w:autoSpaceDE w:val="0"/>
              <w:autoSpaceDN w:val="0"/>
              <w:jc w:val="left"/>
              <w:rPr>
                <w:rFonts w:ascii="宋体" w:hAnsi="宋体" w:cs="宋体"/>
                <w:sz w:val="18"/>
                <w:szCs w:val="18"/>
              </w:rPr>
            </w:pPr>
          </w:p>
        </w:tc>
        <w:tc>
          <w:tcPr>
            <w:tcW w:w="1417" w:type="dxa"/>
            <w:vAlign w:val="center"/>
          </w:tcPr>
          <w:p w14:paraId="26622F9E">
            <w:pPr>
              <w:autoSpaceDE w:val="0"/>
              <w:autoSpaceDN w:val="0"/>
              <w:jc w:val="center"/>
              <w:rPr>
                <w:rFonts w:ascii="宋体" w:hAnsi="宋体" w:cs="宋体"/>
                <w:sz w:val="18"/>
                <w:szCs w:val="18"/>
              </w:rPr>
            </w:pPr>
            <w:r>
              <w:rPr>
                <w:rFonts w:hint="eastAsia" w:ascii="宋体" w:hAnsi="宋体" w:cs="宋体"/>
                <w:sz w:val="18"/>
                <w:szCs w:val="18"/>
              </w:rPr>
              <w:t>通信通道</w:t>
            </w:r>
          </w:p>
        </w:tc>
        <w:tc>
          <w:tcPr>
            <w:tcW w:w="5086" w:type="dxa"/>
          </w:tcPr>
          <w:p w14:paraId="1FC98A0E">
            <w:pPr>
              <w:autoSpaceDE w:val="0"/>
              <w:autoSpaceDN w:val="0"/>
              <w:jc w:val="left"/>
              <w:rPr>
                <w:rFonts w:ascii="宋体" w:hAnsi="宋体" w:cs="宋体"/>
                <w:sz w:val="18"/>
                <w:szCs w:val="18"/>
              </w:rPr>
            </w:pPr>
            <w:r>
              <w:rPr>
                <w:rFonts w:hint="eastAsia" w:ascii="宋体" w:hAnsi="宋体" w:cs="宋体"/>
                <w:sz w:val="18"/>
                <w:szCs w:val="18"/>
              </w:rPr>
              <w:t>1）通信成功率(系统巡测成功率)不小于99.9%</w:t>
            </w:r>
          </w:p>
          <w:p w14:paraId="11C203C5">
            <w:pPr>
              <w:autoSpaceDE w:val="0"/>
              <w:autoSpaceDN w:val="0"/>
              <w:jc w:val="left"/>
              <w:rPr>
                <w:rFonts w:ascii="宋体" w:hAnsi="宋体" w:cs="宋体"/>
                <w:sz w:val="18"/>
                <w:szCs w:val="18"/>
              </w:rPr>
            </w:pPr>
            <w:r>
              <w:rPr>
                <w:rFonts w:ascii="宋体" w:hAnsi="宋体" w:cs="宋体"/>
                <w:sz w:val="18"/>
                <w:szCs w:val="18"/>
              </w:rPr>
              <w:t>2</w:t>
            </w:r>
            <w:r>
              <w:rPr>
                <w:rFonts w:hint="eastAsia" w:ascii="宋体" w:hAnsi="宋体" w:cs="宋体"/>
                <w:sz w:val="18"/>
                <w:szCs w:val="18"/>
              </w:rPr>
              <w:t>）具有控制功能的负荷管理装置的通信在线率不小于99.9%</w:t>
            </w:r>
          </w:p>
        </w:tc>
        <w:tc>
          <w:tcPr>
            <w:tcW w:w="955" w:type="dxa"/>
            <w:vMerge w:val="continue"/>
            <w:vAlign w:val="center"/>
          </w:tcPr>
          <w:p w14:paraId="5B175762">
            <w:pPr>
              <w:autoSpaceDE w:val="0"/>
              <w:autoSpaceDN w:val="0"/>
              <w:jc w:val="center"/>
              <w:rPr>
                <w:rFonts w:ascii="宋体" w:hAnsi="宋体" w:cs="宋体"/>
                <w:sz w:val="18"/>
                <w:szCs w:val="18"/>
              </w:rPr>
            </w:pPr>
          </w:p>
        </w:tc>
      </w:tr>
      <w:tr w14:paraId="090D55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10" w:type="dxa"/>
            <w:vMerge w:val="continue"/>
            <w:vAlign w:val="center"/>
          </w:tcPr>
          <w:p w14:paraId="37640DCC">
            <w:pPr>
              <w:autoSpaceDE w:val="0"/>
              <w:autoSpaceDN w:val="0"/>
              <w:jc w:val="center"/>
              <w:rPr>
                <w:rFonts w:ascii="宋体" w:hAnsi="宋体" w:cs="宋体"/>
                <w:sz w:val="18"/>
                <w:szCs w:val="18"/>
              </w:rPr>
            </w:pPr>
          </w:p>
        </w:tc>
        <w:tc>
          <w:tcPr>
            <w:tcW w:w="1102" w:type="dxa"/>
            <w:vMerge w:val="restart"/>
            <w:vAlign w:val="center"/>
          </w:tcPr>
          <w:p w14:paraId="147217B0">
            <w:pPr>
              <w:autoSpaceDE w:val="0"/>
              <w:autoSpaceDN w:val="0"/>
              <w:jc w:val="left"/>
              <w:rPr>
                <w:rFonts w:ascii="宋体" w:hAnsi="宋体" w:cs="宋体"/>
                <w:sz w:val="18"/>
                <w:szCs w:val="18"/>
              </w:rPr>
            </w:pPr>
            <w:r>
              <w:rPr>
                <w:rFonts w:hint="eastAsia" w:ascii="宋体" w:hAnsi="宋体" w:cs="宋体"/>
                <w:sz w:val="18"/>
                <w:szCs w:val="18"/>
              </w:rPr>
              <w:t>电力负荷管理系统数据传输通道</w:t>
            </w:r>
          </w:p>
        </w:tc>
        <w:tc>
          <w:tcPr>
            <w:tcW w:w="1417" w:type="dxa"/>
            <w:vAlign w:val="center"/>
          </w:tcPr>
          <w:p w14:paraId="780386D6">
            <w:pPr>
              <w:autoSpaceDE w:val="0"/>
              <w:autoSpaceDN w:val="0"/>
              <w:jc w:val="center"/>
              <w:rPr>
                <w:rFonts w:ascii="宋体" w:hAnsi="宋体" w:cs="宋体"/>
                <w:sz w:val="18"/>
                <w:szCs w:val="18"/>
              </w:rPr>
            </w:pPr>
            <w:r>
              <w:rPr>
                <w:rFonts w:hint="eastAsia" w:ascii="宋体" w:hAnsi="宋体" w:cs="宋体"/>
                <w:sz w:val="18"/>
                <w:szCs w:val="18"/>
              </w:rPr>
              <w:t>传输速率</w:t>
            </w:r>
          </w:p>
        </w:tc>
        <w:tc>
          <w:tcPr>
            <w:tcW w:w="5086" w:type="dxa"/>
          </w:tcPr>
          <w:p w14:paraId="3A58C005">
            <w:pPr>
              <w:autoSpaceDE w:val="0"/>
              <w:autoSpaceDN w:val="0"/>
              <w:jc w:val="left"/>
              <w:rPr>
                <w:rFonts w:ascii="宋体" w:hAnsi="宋体" w:cs="宋体"/>
                <w:sz w:val="18"/>
                <w:szCs w:val="18"/>
              </w:rPr>
            </w:pPr>
            <w:r>
              <w:rPr>
                <w:rFonts w:hint="eastAsia" w:ascii="宋体" w:hAnsi="宋体" w:cs="宋体"/>
                <w:sz w:val="18"/>
                <w:szCs w:val="18"/>
              </w:rPr>
              <w:t>应满足负荷管理装置与主站通信速率大于50kbps,与本地设备通信速率大于2400bps</w:t>
            </w:r>
          </w:p>
        </w:tc>
        <w:tc>
          <w:tcPr>
            <w:tcW w:w="955" w:type="dxa"/>
            <w:vMerge w:val="continue"/>
            <w:vAlign w:val="center"/>
          </w:tcPr>
          <w:p w14:paraId="79CB5874">
            <w:pPr>
              <w:autoSpaceDE w:val="0"/>
              <w:autoSpaceDN w:val="0"/>
              <w:jc w:val="center"/>
              <w:rPr>
                <w:rFonts w:ascii="宋体" w:hAnsi="宋体" w:cs="宋体"/>
                <w:sz w:val="18"/>
                <w:szCs w:val="18"/>
              </w:rPr>
            </w:pPr>
          </w:p>
        </w:tc>
      </w:tr>
      <w:tr w14:paraId="3C3F6D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10" w:type="dxa"/>
            <w:vMerge w:val="continue"/>
            <w:vAlign w:val="center"/>
          </w:tcPr>
          <w:p w14:paraId="5FA05BAD">
            <w:pPr>
              <w:autoSpaceDE w:val="0"/>
              <w:autoSpaceDN w:val="0"/>
              <w:jc w:val="center"/>
              <w:rPr>
                <w:rFonts w:ascii="宋体" w:hAnsi="宋体" w:cs="宋体"/>
                <w:sz w:val="18"/>
                <w:szCs w:val="18"/>
              </w:rPr>
            </w:pPr>
          </w:p>
        </w:tc>
        <w:tc>
          <w:tcPr>
            <w:tcW w:w="1102" w:type="dxa"/>
            <w:vMerge w:val="continue"/>
            <w:vAlign w:val="center"/>
          </w:tcPr>
          <w:p w14:paraId="25E9F861">
            <w:pPr>
              <w:autoSpaceDE w:val="0"/>
              <w:autoSpaceDN w:val="0"/>
              <w:jc w:val="left"/>
              <w:rPr>
                <w:rFonts w:ascii="宋体" w:hAnsi="宋体" w:cs="宋体"/>
                <w:sz w:val="18"/>
                <w:szCs w:val="18"/>
              </w:rPr>
            </w:pPr>
          </w:p>
        </w:tc>
        <w:tc>
          <w:tcPr>
            <w:tcW w:w="1417" w:type="dxa"/>
            <w:vAlign w:val="center"/>
          </w:tcPr>
          <w:p w14:paraId="1BEA76BC">
            <w:pPr>
              <w:autoSpaceDE w:val="0"/>
              <w:autoSpaceDN w:val="0"/>
              <w:jc w:val="center"/>
              <w:rPr>
                <w:rFonts w:ascii="宋体" w:hAnsi="宋体" w:cs="宋体"/>
                <w:sz w:val="18"/>
                <w:szCs w:val="18"/>
              </w:rPr>
            </w:pPr>
            <w:r>
              <w:rPr>
                <w:rFonts w:hint="eastAsia" w:ascii="宋体" w:hAnsi="宋体" w:cs="宋体"/>
                <w:sz w:val="18"/>
                <w:szCs w:val="18"/>
              </w:rPr>
              <w:t>传输误码率</w:t>
            </w:r>
          </w:p>
        </w:tc>
        <w:tc>
          <w:tcPr>
            <w:tcW w:w="5086" w:type="dxa"/>
          </w:tcPr>
          <w:p w14:paraId="0CD9C771">
            <w:pPr>
              <w:autoSpaceDE w:val="0"/>
              <w:autoSpaceDN w:val="0"/>
              <w:jc w:val="left"/>
              <w:rPr>
                <w:rFonts w:ascii="宋体" w:hAnsi="宋体" w:cs="宋体"/>
                <w:sz w:val="18"/>
                <w:szCs w:val="18"/>
              </w:rPr>
            </w:pPr>
            <w:r>
              <w:rPr>
                <w:rFonts w:hint="eastAsia" w:ascii="宋体" w:hAnsi="宋体" w:cs="宋体"/>
                <w:sz w:val="18"/>
                <w:szCs w:val="18"/>
              </w:rPr>
              <w:t>1）无线专网信道数据传输误码率不大于10</w:t>
            </w:r>
            <w:r>
              <w:rPr>
                <w:rFonts w:ascii="宋体" w:hAnsi="宋体" w:cs="宋体"/>
                <w:sz w:val="18"/>
                <w:szCs w:val="18"/>
                <w:vertAlign w:val="superscript"/>
              </w:rPr>
              <w:t>-5</w:t>
            </w:r>
          </w:p>
          <w:p w14:paraId="19C4F5EC">
            <w:pPr>
              <w:autoSpaceDE w:val="0"/>
              <w:autoSpaceDN w:val="0"/>
              <w:jc w:val="left"/>
              <w:rPr>
                <w:rFonts w:ascii="宋体" w:hAnsi="宋体" w:cs="宋体"/>
                <w:sz w:val="18"/>
                <w:szCs w:val="18"/>
              </w:rPr>
            </w:pPr>
            <w:r>
              <w:rPr>
                <w:rFonts w:ascii="宋体" w:hAnsi="宋体" w:cs="宋体"/>
                <w:sz w:val="18"/>
                <w:szCs w:val="18"/>
              </w:rPr>
              <w:t>2</w:t>
            </w:r>
            <w:r>
              <w:rPr>
                <w:rFonts w:hint="eastAsia" w:ascii="宋体" w:hAnsi="宋体" w:cs="宋体"/>
                <w:sz w:val="18"/>
                <w:szCs w:val="18"/>
              </w:rPr>
              <w:t>）有线专网信道数据传输误码率不大于10</w:t>
            </w:r>
            <w:r>
              <w:rPr>
                <w:rFonts w:ascii="宋体" w:hAnsi="宋体" w:cs="宋体"/>
                <w:sz w:val="18"/>
                <w:szCs w:val="18"/>
                <w:vertAlign w:val="superscript"/>
              </w:rPr>
              <w:t>-9</w:t>
            </w:r>
          </w:p>
          <w:p w14:paraId="341B173B">
            <w:pPr>
              <w:autoSpaceDE w:val="0"/>
              <w:autoSpaceDN w:val="0"/>
              <w:jc w:val="left"/>
              <w:rPr>
                <w:rFonts w:ascii="宋体" w:hAnsi="宋体" w:cs="宋体"/>
                <w:sz w:val="18"/>
                <w:szCs w:val="18"/>
              </w:rPr>
            </w:pPr>
            <w:r>
              <w:rPr>
                <w:rFonts w:ascii="宋体" w:hAnsi="宋体" w:cs="宋体"/>
                <w:sz w:val="18"/>
                <w:szCs w:val="18"/>
              </w:rPr>
              <w:t>3</w:t>
            </w:r>
            <w:r>
              <w:rPr>
                <w:rFonts w:hint="eastAsia" w:ascii="宋体" w:hAnsi="宋体" w:cs="宋体"/>
                <w:sz w:val="18"/>
                <w:szCs w:val="18"/>
              </w:rPr>
              <w:t>）无线虚拟专网信道数据传输误码率不大于10</w:t>
            </w:r>
            <w:r>
              <w:rPr>
                <w:rFonts w:ascii="宋体" w:hAnsi="宋体" w:cs="宋体"/>
                <w:sz w:val="18"/>
                <w:szCs w:val="18"/>
                <w:vertAlign w:val="superscript"/>
              </w:rPr>
              <w:t>-5</w:t>
            </w:r>
          </w:p>
        </w:tc>
        <w:tc>
          <w:tcPr>
            <w:tcW w:w="955" w:type="dxa"/>
            <w:vMerge w:val="continue"/>
            <w:vAlign w:val="center"/>
          </w:tcPr>
          <w:p w14:paraId="0E570AA1">
            <w:pPr>
              <w:autoSpaceDE w:val="0"/>
              <w:autoSpaceDN w:val="0"/>
              <w:jc w:val="center"/>
              <w:rPr>
                <w:rFonts w:ascii="宋体" w:hAnsi="宋体" w:cs="宋体"/>
                <w:sz w:val="18"/>
                <w:szCs w:val="18"/>
              </w:rPr>
            </w:pPr>
          </w:p>
        </w:tc>
      </w:tr>
      <w:tr w14:paraId="0B81AC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10" w:type="dxa"/>
            <w:vMerge w:val="continue"/>
            <w:vAlign w:val="center"/>
          </w:tcPr>
          <w:p w14:paraId="6869C43D">
            <w:pPr>
              <w:autoSpaceDE w:val="0"/>
              <w:autoSpaceDN w:val="0"/>
              <w:jc w:val="center"/>
              <w:rPr>
                <w:rFonts w:ascii="宋体" w:hAnsi="宋体" w:cs="宋体"/>
                <w:sz w:val="18"/>
                <w:szCs w:val="18"/>
              </w:rPr>
            </w:pPr>
          </w:p>
        </w:tc>
        <w:tc>
          <w:tcPr>
            <w:tcW w:w="1102" w:type="dxa"/>
            <w:vMerge w:val="continue"/>
            <w:vAlign w:val="center"/>
          </w:tcPr>
          <w:p w14:paraId="3C9A4482">
            <w:pPr>
              <w:autoSpaceDE w:val="0"/>
              <w:autoSpaceDN w:val="0"/>
              <w:jc w:val="left"/>
              <w:rPr>
                <w:rFonts w:ascii="宋体" w:hAnsi="宋体" w:cs="宋体"/>
                <w:sz w:val="18"/>
                <w:szCs w:val="18"/>
              </w:rPr>
            </w:pPr>
          </w:p>
        </w:tc>
        <w:tc>
          <w:tcPr>
            <w:tcW w:w="1417" w:type="dxa"/>
            <w:vAlign w:val="center"/>
          </w:tcPr>
          <w:p w14:paraId="0542FBBB">
            <w:pPr>
              <w:autoSpaceDE w:val="0"/>
              <w:autoSpaceDN w:val="0"/>
              <w:jc w:val="center"/>
              <w:rPr>
                <w:rFonts w:ascii="宋体" w:hAnsi="宋体" w:cs="宋体"/>
                <w:sz w:val="18"/>
                <w:szCs w:val="18"/>
              </w:rPr>
            </w:pPr>
            <w:r>
              <w:rPr>
                <w:rFonts w:hint="eastAsia" w:ascii="宋体" w:hAnsi="宋体" w:cs="宋体"/>
                <w:sz w:val="18"/>
                <w:szCs w:val="18"/>
              </w:rPr>
              <w:t>数据传输规约</w:t>
            </w:r>
          </w:p>
        </w:tc>
        <w:tc>
          <w:tcPr>
            <w:tcW w:w="5086" w:type="dxa"/>
          </w:tcPr>
          <w:p w14:paraId="75BFF9DD">
            <w:pPr>
              <w:autoSpaceDE w:val="0"/>
              <w:autoSpaceDN w:val="0"/>
              <w:jc w:val="left"/>
              <w:rPr>
                <w:rFonts w:ascii="宋体" w:hAnsi="宋体" w:cs="宋体"/>
                <w:sz w:val="18"/>
                <w:szCs w:val="18"/>
              </w:rPr>
            </w:pPr>
            <w:r>
              <w:rPr>
                <w:rFonts w:hint="eastAsia" w:ascii="宋体" w:hAnsi="宋体" w:cs="宋体"/>
                <w:sz w:val="18"/>
                <w:szCs w:val="18"/>
              </w:rPr>
              <w:t>1）负荷管理装置上行数据传输规约宜符合DL/T634.5101或DL/T634.5104或DL/T698.45或DL/T1867的规定</w:t>
            </w:r>
          </w:p>
          <w:p w14:paraId="60E197AF">
            <w:pPr>
              <w:autoSpaceDE w:val="0"/>
              <w:autoSpaceDN w:val="0"/>
              <w:jc w:val="left"/>
              <w:rPr>
                <w:rFonts w:ascii="宋体" w:hAnsi="宋体" w:cs="宋体"/>
                <w:sz w:val="18"/>
                <w:szCs w:val="18"/>
              </w:rPr>
            </w:pPr>
            <w:r>
              <w:rPr>
                <w:rFonts w:ascii="宋体" w:hAnsi="宋体" w:cs="宋体"/>
                <w:sz w:val="18"/>
                <w:szCs w:val="18"/>
              </w:rPr>
              <w:t>2</w:t>
            </w:r>
            <w:r>
              <w:rPr>
                <w:rFonts w:hint="eastAsia" w:ascii="宋体" w:hAnsi="宋体" w:cs="宋体"/>
                <w:sz w:val="18"/>
                <w:szCs w:val="18"/>
              </w:rPr>
              <w:t>）负荷管理装置下行数据传输规约宜符合DL/T634.5104或DL/T645或D/T698.45的规定</w:t>
            </w:r>
          </w:p>
        </w:tc>
        <w:tc>
          <w:tcPr>
            <w:tcW w:w="955" w:type="dxa"/>
            <w:vMerge w:val="continue"/>
            <w:vAlign w:val="center"/>
          </w:tcPr>
          <w:p w14:paraId="4984ECEA">
            <w:pPr>
              <w:autoSpaceDE w:val="0"/>
              <w:autoSpaceDN w:val="0"/>
              <w:jc w:val="center"/>
              <w:rPr>
                <w:rFonts w:ascii="宋体" w:hAnsi="宋体" w:cs="宋体"/>
                <w:sz w:val="18"/>
                <w:szCs w:val="18"/>
              </w:rPr>
            </w:pPr>
          </w:p>
        </w:tc>
      </w:tr>
      <w:tr w14:paraId="256631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10" w:type="dxa"/>
            <w:vMerge w:val="continue"/>
            <w:vAlign w:val="center"/>
          </w:tcPr>
          <w:p w14:paraId="08CDBA4A">
            <w:pPr>
              <w:autoSpaceDE w:val="0"/>
              <w:autoSpaceDN w:val="0"/>
              <w:jc w:val="center"/>
              <w:rPr>
                <w:rFonts w:ascii="宋体" w:hAnsi="宋体" w:cs="宋体"/>
                <w:sz w:val="18"/>
                <w:szCs w:val="18"/>
              </w:rPr>
            </w:pPr>
          </w:p>
        </w:tc>
        <w:tc>
          <w:tcPr>
            <w:tcW w:w="1102" w:type="dxa"/>
            <w:vMerge w:val="restart"/>
            <w:vAlign w:val="center"/>
          </w:tcPr>
          <w:p w14:paraId="57706F9D">
            <w:pPr>
              <w:autoSpaceDE w:val="0"/>
              <w:autoSpaceDN w:val="0"/>
              <w:jc w:val="left"/>
              <w:rPr>
                <w:rFonts w:ascii="宋体" w:hAnsi="宋体" w:cs="宋体"/>
                <w:sz w:val="18"/>
                <w:szCs w:val="18"/>
              </w:rPr>
            </w:pPr>
            <w:r>
              <w:rPr>
                <w:rFonts w:hint="eastAsia" w:ascii="宋体" w:hAnsi="宋体" w:cs="宋体"/>
                <w:sz w:val="18"/>
                <w:szCs w:val="18"/>
              </w:rPr>
              <w:t>电力负荷管理系统负荷管理装置</w:t>
            </w:r>
          </w:p>
        </w:tc>
        <w:tc>
          <w:tcPr>
            <w:tcW w:w="1417" w:type="dxa"/>
            <w:vAlign w:val="center"/>
          </w:tcPr>
          <w:p w14:paraId="0F76C5DC">
            <w:pPr>
              <w:autoSpaceDE w:val="0"/>
              <w:autoSpaceDN w:val="0"/>
              <w:jc w:val="center"/>
              <w:rPr>
                <w:rFonts w:ascii="宋体" w:hAnsi="宋体" w:cs="宋体"/>
                <w:sz w:val="18"/>
                <w:szCs w:val="18"/>
              </w:rPr>
            </w:pPr>
            <w:r>
              <w:rPr>
                <w:rFonts w:hint="eastAsia" w:ascii="宋体" w:hAnsi="宋体" w:cs="宋体"/>
                <w:sz w:val="18"/>
                <w:szCs w:val="18"/>
              </w:rPr>
              <w:t>储存及计算能力</w:t>
            </w:r>
          </w:p>
        </w:tc>
        <w:tc>
          <w:tcPr>
            <w:tcW w:w="5086" w:type="dxa"/>
          </w:tcPr>
          <w:p w14:paraId="5A914B02">
            <w:pPr>
              <w:autoSpaceDE w:val="0"/>
              <w:autoSpaceDN w:val="0"/>
              <w:jc w:val="left"/>
              <w:rPr>
                <w:rFonts w:ascii="宋体" w:hAnsi="宋体" w:cs="宋体"/>
                <w:sz w:val="18"/>
                <w:szCs w:val="18"/>
              </w:rPr>
            </w:pPr>
            <w:r>
              <w:rPr>
                <w:rFonts w:ascii="宋体" w:hAnsi="宋体" w:cs="宋体"/>
                <w:sz w:val="18"/>
                <w:szCs w:val="18"/>
              </w:rPr>
              <w:t>1</w:t>
            </w:r>
            <w:r>
              <w:rPr>
                <w:rFonts w:hint="eastAsia" w:ascii="宋体" w:hAnsi="宋体" w:cs="宋体"/>
                <w:sz w:val="18"/>
                <w:szCs w:val="18"/>
              </w:rPr>
              <w:t>）CPU主频不应低于1GHz,内存不应低于1GByte,数据存储器不应低于8GByte</w:t>
            </w:r>
          </w:p>
          <w:p w14:paraId="12F76D83">
            <w:pPr>
              <w:autoSpaceDE w:val="0"/>
              <w:autoSpaceDN w:val="0"/>
              <w:jc w:val="left"/>
              <w:rPr>
                <w:rFonts w:ascii="宋体" w:hAnsi="宋体" w:cs="宋体"/>
                <w:sz w:val="18"/>
                <w:szCs w:val="18"/>
              </w:rPr>
            </w:pPr>
            <w:r>
              <w:rPr>
                <w:rFonts w:ascii="宋体" w:hAnsi="宋体" w:cs="宋体"/>
                <w:sz w:val="18"/>
                <w:szCs w:val="18"/>
              </w:rPr>
              <w:t>2</w:t>
            </w:r>
            <w:r>
              <w:rPr>
                <w:rFonts w:hint="eastAsia" w:ascii="宋体" w:hAnsi="宋体" w:cs="宋体"/>
                <w:sz w:val="18"/>
                <w:szCs w:val="18"/>
              </w:rPr>
              <w:t>）CPU可集成NPU,算力不低于2Tops@int8</w:t>
            </w:r>
          </w:p>
        </w:tc>
        <w:tc>
          <w:tcPr>
            <w:tcW w:w="955" w:type="dxa"/>
            <w:vMerge w:val="continue"/>
            <w:vAlign w:val="center"/>
          </w:tcPr>
          <w:p w14:paraId="3930EFA4">
            <w:pPr>
              <w:autoSpaceDE w:val="0"/>
              <w:autoSpaceDN w:val="0"/>
              <w:jc w:val="center"/>
              <w:rPr>
                <w:rFonts w:ascii="宋体" w:hAnsi="宋体" w:cs="宋体"/>
                <w:sz w:val="18"/>
                <w:szCs w:val="18"/>
              </w:rPr>
            </w:pPr>
          </w:p>
        </w:tc>
      </w:tr>
      <w:tr w14:paraId="6F7D18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10" w:type="dxa"/>
            <w:vMerge w:val="continue"/>
            <w:vAlign w:val="center"/>
          </w:tcPr>
          <w:p w14:paraId="5C77B4ED">
            <w:pPr>
              <w:autoSpaceDE w:val="0"/>
              <w:autoSpaceDN w:val="0"/>
              <w:jc w:val="center"/>
              <w:rPr>
                <w:rFonts w:ascii="宋体" w:hAnsi="宋体" w:cs="宋体"/>
                <w:sz w:val="18"/>
                <w:szCs w:val="18"/>
              </w:rPr>
            </w:pPr>
          </w:p>
        </w:tc>
        <w:tc>
          <w:tcPr>
            <w:tcW w:w="1102" w:type="dxa"/>
            <w:vMerge w:val="continue"/>
            <w:vAlign w:val="center"/>
          </w:tcPr>
          <w:p w14:paraId="7764BE30">
            <w:pPr>
              <w:autoSpaceDE w:val="0"/>
              <w:autoSpaceDN w:val="0"/>
              <w:jc w:val="left"/>
              <w:rPr>
                <w:rFonts w:ascii="宋体" w:hAnsi="宋体" w:cs="宋体"/>
                <w:sz w:val="18"/>
                <w:szCs w:val="18"/>
              </w:rPr>
            </w:pPr>
          </w:p>
        </w:tc>
        <w:tc>
          <w:tcPr>
            <w:tcW w:w="1417" w:type="dxa"/>
            <w:vAlign w:val="center"/>
          </w:tcPr>
          <w:p w14:paraId="6EE12C53">
            <w:pPr>
              <w:autoSpaceDE w:val="0"/>
              <w:autoSpaceDN w:val="0"/>
              <w:jc w:val="center"/>
              <w:rPr>
                <w:rFonts w:ascii="宋体" w:hAnsi="宋体" w:cs="宋体"/>
                <w:sz w:val="18"/>
                <w:szCs w:val="18"/>
              </w:rPr>
            </w:pPr>
            <w:r>
              <w:rPr>
                <w:rFonts w:hint="eastAsia" w:ascii="宋体" w:hAnsi="宋体" w:cs="宋体"/>
                <w:sz w:val="18"/>
                <w:szCs w:val="18"/>
              </w:rPr>
              <w:t>可靠性</w:t>
            </w:r>
          </w:p>
        </w:tc>
        <w:tc>
          <w:tcPr>
            <w:tcW w:w="5086" w:type="dxa"/>
          </w:tcPr>
          <w:p w14:paraId="4F6E53C7">
            <w:pPr>
              <w:autoSpaceDE w:val="0"/>
              <w:autoSpaceDN w:val="0"/>
              <w:jc w:val="left"/>
              <w:rPr>
                <w:rFonts w:ascii="宋体" w:hAnsi="宋体" w:cs="宋体"/>
                <w:sz w:val="18"/>
                <w:szCs w:val="18"/>
              </w:rPr>
            </w:pPr>
            <w:r>
              <w:rPr>
                <w:rFonts w:hint="eastAsia" w:ascii="宋体" w:hAnsi="宋体" w:cs="宋体"/>
                <w:sz w:val="18"/>
                <w:szCs w:val="18"/>
              </w:rPr>
              <w:t>1）平均无故障工作时间(MTBF)不小于2x10'h</w:t>
            </w:r>
          </w:p>
          <w:p w14:paraId="5690DB39">
            <w:pPr>
              <w:autoSpaceDE w:val="0"/>
              <w:autoSpaceDN w:val="0"/>
              <w:jc w:val="left"/>
              <w:rPr>
                <w:rFonts w:ascii="宋体" w:hAnsi="宋体" w:cs="宋体"/>
                <w:sz w:val="18"/>
                <w:szCs w:val="18"/>
              </w:rPr>
            </w:pPr>
            <w:r>
              <w:rPr>
                <w:rFonts w:ascii="宋体" w:hAnsi="宋体" w:cs="宋体"/>
                <w:sz w:val="18"/>
                <w:szCs w:val="18"/>
              </w:rPr>
              <w:t>2</w:t>
            </w:r>
            <w:r>
              <w:rPr>
                <w:rFonts w:hint="eastAsia" w:ascii="宋体" w:hAnsi="宋体" w:cs="宋体"/>
                <w:sz w:val="18"/>
                <w:szCs w:val="18"/>
              </w:rPr>
              <w:t>）内置后备电源,支持断电后连续工作的时间不小于1min</w:t>
            </w:r>
          </w:p>
        </w:tc>
        <w:tc>
          <w:tcPr>
            <w:tcW w:w="955" w:type="dxa"/>
            <w:vMerge w:val="continue"/>
            <w:vAlign w:val="center"/>
          </w:tcPr>
          <w:p w14:paraId="0E37030F">
            <w:pPr>
              <w:autoSpaceDE w:val="0"/>
              <w:autoSpaceDN w:val="0"/>
              <w:jc w:val="center"/>
              <w:rPr>
                <w:rFonts w:ascii="宋体" w:hAnsi="宋体" w:cs="宋体"/>
                <w:sz w:val="18"/>
                <w:szCs w:val="18"/>
              </w:rPr>
            </w:pPr>
          </w:p>
        </w:tc>
      </w:tr>
      <w:tr w14:paraId="43EC4D6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1010" w:type="dxa"/>
            <w:vMerge w:val="continue"/>
            <w:vAlign w:val="center"/>
          </w:tcPr>
          <w:p w14:paraId="2D2BC12A">
            <w:pPr>
              <w:autoSpaceDE w:val="0"/>
              <w:autoSpaceDN w:val="0"/>
              <w:jc w:val="center"/>
              <w:rPr>
                <w:rFonts w:ascii="宋体" w:hAnsi="宋体" w:cs="宋体"/>
                <w:sz w:val="18"/>
                <w:szCs w:val="18"/>
              </w:rPr>
            </w:pPr>
          </w:p>
        </w:tc>
        <w:tc>
          <w:tcPr>
            <w:tcW w:w="1102" w:type="dxa"/>
            <w:vMerge w:val="continue"/>
            <w:vAlign w:val="center"/>
          </w:tcPr>
          <w:p w14:paraId="029E3750">
            <w:pPr>
              <w:autoSpaceDE w:val="0"/>
              <w:autoSpaceDN w:val="0"/>
              <w:jc w:val="left"/>
              <w:rPr>
                <w:rFonts w:ascii="宋体" w:hAnsi="宋体" w:cs="宋体"/>
                <w:sz w:val="18"/>
                <w:szCs w:val="18"/>
              </w:rPr>
            </w:pPr>
          </w:p>
        </w:tc>
        <w:tc>
          <w:tcPr>
            <w:tcW w:w="1417" w:type="dxa"/>
            <w:vAlign w:val="center"/>
          </w:tcPr>
          <w:p w14:paraId="0ABC9D61">
            <w:pPr>
              <w:autoSpaceDE w:val="0"/>
              <w:autoSpaceDN w:val="0"/>
              <w:jc w:val="center"/>
              <w:rPr>
                <w:rFonts w:ascii="宋体" w:hAnsi="宋体" w:cs="宋体"/>
                <w:sz w:val="18"/>
                <w:szCs w:val="18"/>
              </w:rPr>
            </w:pPr>
            <w:r>
              <w:rPr>
                <w:rFonts w:hint="eastAsia" w:ascii="宋体" w:hAnsi="宋体" w:cs="宋体"/>
                <w:sz w:val="18"/>
                <w:szCs w:val="18"/>
              </w:rPr>
              <w:t>数据和时钟保持</w:t>
            </w:r>
          </w:p>
        </w:tc>
        <w:tc>
          <w:tcPr>
            <w:tcW w:w="5086" w:type="dxa"/>
          </w:tcPr>
          <w:p w14:paraId="00EE5741">
            <w:pPr>
              <w:autoSpaceDE w:val="0"/>
              <w:autoSpaceDN w:val="0"/>
              <w:jc w:val="left"/>
              <w:rPr>
                <w:rFonts w:ascii="宋体" w:hAnsi="宋体" w:cs="宋体"/>
                <w:sz w:val="18"/>
                <w:szCs w:val="18"/>
              </w:rPr>
            </w:pPr>
            <w:r>
              <w:rPr>
                <w:rFonts w:hint="eastAsia" w:ascii="宋体" w:hAnsi="宋体" w:cs="宋体"/>
                <w:sz w:val="18"/>
                <w:szCs w:val="18"/>
              </w:rPr>
              <w:t>1）支持主站、无线专网或卫星时钟同步功能</w:t>
            </w:r>
          </w:p>
          <w:p w14:paraId="529607E2">
            <w:pPr>
              <w:autoSpaceDE w:val="0"/>
              <w:autoSpaceDN w:val="0"/>
              <w:jc w:val="left"/>
              <w:rPr>
                <w:rFonts w:ascii="宋体" w:hAnsi="宋体" w:cs="宋体"/>
                <w:sz w:val="18"/>
                <w:szCs w:val="18"/>
              </w:rPr>
            </w:pPr>
            <w:r>
              <w:rPr>
                <w:rFonts w:hint="eastAsia" w:ascii="宋体" w:hAnsi="宋体" w:cs="宋体"/>
                <w:sz w:val="18"/>
                <w:szCs w:val="18"/>
              </w:rPr>
              <w:t>2）具备接收主站的时钟召测和对时命令功能,对时误差不超过5s</w:t>
            </w:r>
          </w:p>
          <w:p w14:paraId="60B94B49">
            <w:pPr>
              <w:autoSpaceDE w:val="0"/>
              <w:autoSpaceDN w:val="0"/>
              <w:jc w:val="left"/>
              <w:rPr>
                <w:rFonts w:ascii="宋体" w:hAnsi="宋体" w:cs="宋体"/>
                <w:sz w:val="18"/>
                <w:szCs w:val="18"/>
              </w:rPr>
            </w:pPr>
            <w:r>
              <w:rPr>
                <w:rFonts w:hint="eastAsia" w:ascii="宋体" w:hAnsi="宋体" w:cs="宋体"/>
                <w:sz w:val="18"/>
                <w:szCs w:val="18"/>
              </w:rPr>
              <w:t>3）时钟日计时误差绝对值不大于0.5s/d</w:t>
            </w:r>
          </w:p>
          <w:p w14:paraId="3F8A1A4B">
            <w:pPr>
              <w:autoSpaceDE w:val="0"/>
              <w:autoSpaceDN w:val="0"/>
              <w:jc w:val="left"/>
              <w:rPr>
                <w:rFonts w:ascii="宋体" w:hAnsi="宋体" w:cs="宋体"/>
                <w:sz w:val="18"/>
                <w:szCs w:val="18"/>
              </w:rPr>
            </w:pPr>
            <w:r>
              <w:rPr>
                <w:rFonts w:hint="eastAsia" w:ascii="宋体" w:hAnsi="宋体" w:cs="宋体"/>
                <w:sz w:val="18"/>
                <w:szCs w:val="18"/>
              </w:rPr>
              <w:t>4）供电电源中断后,时钟保持正常运行</w:t>
            </w:r>
          </w:p>
        </w:tc>
        <w:tc>
          <w:tcPr>
            <w:tcW w:w="955" w:type="dxa"/>
            <w:vMerge w:val="continue"/>
            <w:vAlign w:val="center"/>
          </w:tcPr>
          <w:p w14:paraId="301F82DE">
            <w:pPr>
              <w:autoSpaceDE w:val="0"/>
              <w:autoSpaceDN w:val="0"/>
              <w:jc w:val="center"/>
              <w:rPr>
                <w:rFonts w:ascii="宋体" w:hAnsi="宋体" w:cs="宋体"/>
                <w:sz w:val="18"/>
                <w:szCs w:val="18"/>
              </w:rPr>
            </w:pPr>
          </w:p>
        </w:tc>
      </w:tr>
    </w:tbl>
    <w:p w14:paraId="5B621839">
      <w:r>
        <w:br w:type="page"/>
      </w:r>
    </w:p>
    <w:p w14:paraId="5D481833">
      <w:pPr>
        <w:pStyle w:val="87"/>
        <w:spacing w:before="0" w:after="0"/>
        <w:rPr>
          <w:rFonts w:ascii="Times New Roman"/>
        </w:rPr>
      </w:pPr>
      <w:bookmarkStart w:id="200" w:name="_Toc195040400"/>
      <w:bookmarkEnd w:id="200"/>
    </w:p>
    <w:p w14:paraId="31D54009">
      <w:pPr>
        <w:jc w:val="center"/>
        <w:rPr>
          <w:rFonts w:eastAsia="黑体"/>
        </w:rPr>
      </w:pPr>
      <w:r>
        <w:rPr>
          <w:rFonts w:hint="eastAsia" w:eastAsia="黑体"/>
          <w:kern w:val="0"/>
          <w:szCs w:val="20"/>
        </w:rPr>
        <w:t>（资料性）</w:t>
      </w:r>
    </w:p>
    <w:p w14:paraId="5D065523">
      <w:pPr>
        <w:jc w:val="center"/>
        <w:rPr>
          <w:rFonts w:eastAsia="黑体"/>
        </w:rPr>
      </w:pPr>
      <w:bookmarkStart w:id="201" w:name="_Toc15300"/>
      <w:bookmarkEnd w:id="201"/>
      <w:bookmarkStart w:id="202" w:name="_Hlk195040491"/>
      <w:bookmarkStart w:id="203" w:name="_Toc31506"/>
      <w:r>
        <w:rPr>
          <w:rFonts w:hint="eastAsia" w:eastAsia="黑体"/>
          <w:kern w:val="0"/>
          <w:szCs w:val="20"/>
        </w:rPr>
        <w:t>智能电网建设运营产业环境效益指标及测算方法示例</w:t>
      </w:r>
    </w:p>
    <w:bookmarkEnd w:id="202"/>
    <w:p w14:paraId="56FCFE93">
      <w:pPr>
        <w:pStyle w:val="25"/>
      </w:pPr>
    </w:p>
    <w:p w14:paraId="42BF2598">
      <w:pPr>
        <w:pStyle w:val="59"/>
        <w:numPr>
          <w:ilvl w:val="255"/>
          <w:numId w:val="0"/>
        </w:numPr>
        <w:tabs>
          <w:tab w:val="center" w:pos="4201"/>
          <w:tab w:val="right" w:leader="dot" w:pos="9298"/>
        </w:tabs>
        <w:spacing w:before="156" w:after="156"/>
        <w:outlineLvl w:val="9"/>
        <w:rPr>
          <w:rFonts w:hAnsi="宋体" w:cs="宋体"/>
        </w:rPr>
      </w:pPr>
      <w:r>
        <w:rPr>
          <w:rFonts w:hint="eastAsia" w:hAnsi="宋体" w:cs="宋体"/>
        </w:rPr>
        <w:t>B.1  替代化石能源量</w:t>
      </w:r>
    </w:p>
    <w:p w14:paraId="3A120A0B">
      <w:pPr>
        <w:pStyle w:val="25"/>
        <w:rPr>
          <w:rFonts w:hAnsi="宋体" w:cs="宋体"/>
        </w:rPr>
      </w:pPr>
      <w:r>
        <w:rPr>
          <w:rFonts w:hint="eastAsia" w:hAnsi="宋体" w:cs="宋体"/>
        </w:rPr>
        <w:t>指提供的绿色业务领域相关产品或服务，在采购方应用过程中，间接减少的化石能源消耗量。计算公式见公式（B.1）。</w:t>
      </w:r>
    </w:p>
    <w:p w14:paraId="611808F5">
      <w:pPr>
        <w:pStyle w:val="130"/>
        <w:tabs>
          <w:tab w:val="center" w:leader="middleDot" w:pos="5680"/>
          <w:tab w:val="clear" w:pos="4201"/>
        </w:tabs>
        <w:autoSpaceDE/>
        <w:autoSpaceDN/>
        <w:jc w:val="right"/>
        <w:rPr>
          <w:rFonts w:hAnsi="宋体" w:cs="宋体"/>
          <w:iCs/>
        </w:rPr>
      </w:pPr>
      <m:oMath>
        <m:sSub>
          <m:sSubPr>
            <m:ctrlPr>
              <w:rPr>
                <w:rFonts w:hint="eastAsia" w:ascii="Cambria Math" w:hAnsi="Cambria Math" w:cs="宋体"/>
                <w:i/>
              </w:rPr>
            </m:ctrlPr>
          </m:sSubPr>
          <m:e>
            <m:r>
              <m:rPr/>
              <w:rPr>
                <w:rFonts w:ascii="Cambria Math" w:hAnsi="Cambria Math" w:cs="宋体"/>
              </w:rPr>
              <m:t>M</m:t>
            </m:r>
            <m:ctrlPr>
              <w:rPr>
                <w:rFonts w:hint="eastAsia" w:ascii="Cambria Math" w:hAnsi="Cambria Math" w:cs="宋体"/>
                <w:i/>
              </w:rPr>
            </m:ctrlPr>
          </m:e>
          <m:sub>
            <m:r>
              <m:rPr/>
              <w:rPr>
                <w:rFonts w:ascii="Cambria Math" w:hAnsi="Cambria Math" w:cs="宋体"/>
              </w:rPr>
              <m:t>energy</m:t>
            </m:r>
            <m:ctrlPr>
              <w:rPr>
                <w:rFonts w:hint="eastAsia" w:ascii="Cambria Math" w:hAnsi="Cambria Math" w:cs="宋体"/>
                <w:i/>
              </w:rPr>
            </m:ctrlPr>
          </m:sub>
        </m:sSub>
        <m:r>
          <m:rPr/>
          <w:rPr>
            <w:rFonts w:hint="eastAsia" w:ascii="Cambria Math" w:hAnsi="Cambria Math" w:cs="宋体"/>
          </w:rPr>
          <m:t>=</m:t>
        </m:r>
        <m:sSub>
          <m:sSubPr>
            <m:ctrlPr>
              <w:rPr>
                <w:rFonts w:hint="eastAsia" w:ascii="Cambria Math" w:hAnsi="Cambria Math" w:cs="宋体"/>
                <w:i/>
              </w:rPr>
            </m:ctrlPr>
          </m:sSubPr>
          <m:e>
            <m:r>
              <m:rPr/>
              <w:rPr>
                <w:rFonts w:ascii="Cambria Math" w:hAnsi="Cambria Math" w:cs="宋体"/>
              </w:rPr>
              <m:t>E</m:t>
            </m:r>
            <m:ctrlPr>
              <w:rPr>
                <w:rFonts w:hint="eastAsia" w:ascii="Cambria Math" w:hAnsi="Cambria Math" w:cs="宋体"/>
                <w:i/>
              </w:rPr>
            </m:ctrlPr>
          </m:e>
          <m:sub>
            <m:r>
              <m:rPr/>
              <w:rPr>
                <w:rFonts w:ascii="Cambria Math" w:hAnsi="Cambria Math" w:cs="宋体"/>
              </w:rPr>
              <m:t>p</m:t>
            </m:r>
            <m:ctrlPr>
              <w:rPr>
                <w:rFonts w:hint="eastAsia" w:ascii="Cambria Math" w:hAnsi="Cambria Math" w:cs="宋体"/>
                <w:i/>
              </w:rPr>
            </m:ctrlPr>
          </m:sub>
        </m:sSub>
        <m:r>
          <m:rPr/>
          <w:rPr>
            <w:rFonts w:ascii="Cambria Math" w:hAnsi="Cambria Math" w:cs="宋体"/>
          </w:rPr>
          <m:t>×</m:t>
        </m:r>
        <m:sSub>
          <m:sSubPr>
            <m:ctrlPr>
              <w:rPr>
                <w:rFonts w:ascii="Cambria Math" w:hAnsi="Cambria Math" w:cs="宋体"/>
                <w:i/>
              </w:rPr>
            </m:ctrlPr>
          </m:sSubPr>
          <m:e>
            <m:r>
              <m:rPr/>
              <w:rPr>
                <w:rFonts w:ascii="Cambria Math" w:hAnsi="Cambria Math" w:cs="宋体"/>
              </w:rPr>
              <m:t>b</m:t>
            </m:r>
            <m:ctrlPr>
              <w:rPr>
                <w:rFonts w:ascii="Cambria Math" w:hAnsi="Cambria Math" w:cs="宋体"/>
                <w:i/>
              </w:rPr>
            </m:ctrlPr>
          </m:e>
          <m:sub>
            <m:r>
              <m:rPr/>
              <w:rPr>
                <w:rFonts w:ascii="Cambria Math" w:hAnsi="Cambria Math" w:cs="宋体"/>
              </w:rPr>
              <m:t>ag</m:t>
            </m:r>
            <m:ctrlPr>
              <w:rPr>
                <w:rFonts w:ascii="Cambria Math" w:hAnsi="Cambria Math" w:cs="宋体"/>
                <w:i/>
              </w:rPr>
            </m:ctrlPr>
          </m:sub>
        </m:sSub>
        <m:r>
          <m:rPr/>
          <w:rPr>
            <w:rFonts w:ascii="Cambria Math" w:hAnsi="Cambria Math" w:cs="宋体"/>
          </w:rPr>
          <m:t>×10</m:t>
        </m:r>
        <m:r>
          <m:rPr/>
          <w:rPr>
            <w:rFonts w:hint="eastAsia" w:ascii="Cambria Math" w:hAnsi="Cambria Math" w:cs="宋体"/>
          </w:rPr>
          <m:t>+</m:t>
        </m:r>
        <m:sSub>
          <m:sSubPr>
            <m:ctrlPr>
              <w:rPr>
                <w:rFonts w:hint="eastAsia" w:ascii="Cambria Math" w:hAnsi="Cambria Math" w:cs="宋体"/>
                <w:i/>
              </w:rPr>
            </m:ctrlPr>
          </m:sSubPr>
          <m:e>
            <m:r>
              <m:rPr/>
              <w:rPr>
                <w:rFonts w:ascii="Cambria Math" w:hAnsi="Cambria Math" w:cs="宋体"/>
              </w:rPr>
              <m:t>Q</m:t>
            </m:r>
            <m:ctrlPr>
              <w:rPr>
                <w:rFonts w:hint="eastAsia" w:ascii="Cambria Math" w:hAnsi="Cambria Math" w:cs="宋体"/>
                <w:i/>
              </w:rPr>
            </m:ctrlPr>
          </m:e>
          <m:sub>
            <m:r>
              <m:rPr/>
              <w:rPr>
                <w:rFonts w:ascii="Cambria Math" w:hAnsi="Cambria Math" w:cs="宋体"/>
              </w:rPr>
              <m:t>ℎ</m:t>
            </m:r>
            <m:ctrlPr>
              <w:rPr>
                <w:rFonts w:hint="eastAsia" w:ascii="Cambria Math" w:hAnsi="Cambria Math" w:cs="宋体"/>
                <w:i/>
              </w:rPr>
            </m:ctrlPr>
          </m:sub>
        </m:sSub>
        <m:r>
          <m:rPr/>
          <w:rPr>
            <w:rFonts w:ascii="Cambria Math" w:hAnsi="Cambria Math" w:cs="宋体"/>
          </w:rPr>
          <m:t>×</m:t>
        </m:r>
        <m:sSub>
          <m:sSubPr>
            <m:ctrlPr>
              <w:rPr>
                <w:rFonts w:ascii="Cambria Math" w:hAnsi="Cambria Math" w:cs="宋体"/>
                <w:i/>
              </w:rPr>
            </m:ctrlPr>
          </m:sSubPr>
          <m:e>
            <m:r>
              <m:rPr/>
              <w:rPr>
                <w:rFonts w:ascii="Cambria Math" w:hAnsi="Cambria Math" w:cs="宋体"/>
              </w:rPr>
              <m:t>b</m:t>
            </m:r>
            <m:ctrlPr>
              <w:rPr>
                <w:rFonts w:ascii="Cambria Math" w:hAnsi="Cambria Math" w:cs="宋体"/>
                <w:i/>
              </w:rPr>
            </m:ctrlPr>
          </m:e>
          <m:sub>
            <m:r>
              <m:rPr/>
              <w:rPr>
                <w:rFonts w:ascii="Cambria Math" w:hAnsi="Cambria Math" w:cs="宋体"/>
              </w:rPr>
              <m:t>ar</m:t>
            </m:r>
            <m:ctrlPr>
              <w:rPr>
                <w:rFonts w:ascii="Cambria Math" w:hAnsi="Cambria Math" w:cs="宋体"/>
                <w:i/>
              </w:rPr>
            </m:ctrlPr>
          </m:sub>
        </m:sSub>
        <m:r>
          <m:rPr/>
          <w:rPr>
            <w:rFonts w:ascii="Cambria Math" w:hAnsi="Cambria Math" w:cs="宋体"/>
          </w:rPr>
          <m:t>×</m:t>
        </m:r>
        <m:sSup>
          <m:sSupPr>
            <m:ctrlPr>
              <w:rPr>
                <w:rFonts w:ascii="Cambria Math" w:hAnsi="Cambria Math" w:cs="宋体"/>
                <w:i/>
              </w:rPr>
            </m:ctrlPr>
          </m:sSupPr>
          <m:e>
            <m:r>
              <m:rPr/>
              <w:rPr>
                <w:rFonts w:ascii="Cambria Math" w:hAnsi="Cambria Math" w:cs="宋体"/>
              </w:rPr>
              <m:t>10</m:t>
            </m:r>
            <m:ctrlPr>
              <w:rPr>
                <w:rFonts w:ascii="Cambria Math" w:hAnsi="Cambria Math" w:cs="宋体"/>
                <w:i/>
              </w:rPr>
            </m:ctrlPr>
          </m:e>
          <m:sup>
            <m:r>
              <m:rPr/>
              <w:rPr>
                <w:rFonts w:ascii="Cambria Math" w:hAnsi="Cambria Math" w:cs="宋体"/>
              </w:rPr>
              <m:t>3</m:t>
            </m:r>
            <m:ctrlPr>
              <w:rPr>
                <w:rFonts w:ascii="Cambria Math" w:hAnsi="Cambria Math" w:cs="宋体"/>
                <w:i/>
              </w:rPr>
            </m:ctrlPr>
          </m:sup>
        </m:sSup>
      </m:oMath>
      <w:r>
        <w:rPr>
          <w:rFonts w:hint="eastAsia" w:hAnsi="Cambria Math" w:cs="宋体"/>
          <w:iCs/>
        </w:rPr>
        <w:tab/>
      </w:r>
      <w:r>
        <w:rPr>
          <w:rFonts w:hint="eastAsia" w:hAnsi="Cambria Math" w:cs="宋体"/>
        </w:rPr>
        <w:t>（B.1）</w:t>
      </w:r>
    </w:p>
    <w:p w14:paraId="721C8B59">
      <w:pPr>
        <w:pStyle w:val="130"/>
        <w:ind w:firstLine="420" w:firstLineChars="200"/>
        <w:rPr>
          <w:rFonts w:hAnsi="宋体" w:cs="宋体"/>
        </w:rPr>
      </w:pPr>
      <w:r>
        <w:rPr>
          <w:rFonts w:hint="eastAsia" w:hAnsi="宋体" w:cs="宋体"/>
        </w:rPr>
        <w:t>式中：</w:t>
      </w:r>
    </w:p>
    <w:p w14:paraId="4C1AC832">
      <w:pPr>
        <w:pStyle w:val="130"/>
        <w:ind w:firstLine="420" w:firstLineChars="200"/>
        <w:rPr>
          <w:rFonts w:hAnsi="宋体" w:cs="宋体"/>
        </w:rPr>
      </w:pPr>
      <m:oMath>
        <m:sSub>
          <m:sSubPr>
            <m:ctrlPr>
              <w:rPr>
                <w:rFonts w:hint="eastAsia" w:ascii="Cambria Math" w:hAnsi="Cambria Math" w:cs="宋体"/>
                <w:i/>
              </w:rPr>
            </m:ctrlPr>
          </m:sSubPr>
          <m:e>
            <m:r>
              <m:rPr/>
              <w:rPr>
                <w:rFonts w:ascii="Cambria Math" w:hAnsi="Cambria Math" w:cs="宋体"/>
              </w:rPr>
              <m:t>M</m:t>
            </m:r>
            <m:ctrlPr>
              <w:rPr>
                <w:rFonts w:hint="eastAsia" w:ascii="Cambria Math" w:hAnsi="Cambria Math" w:cs="宋体"/>
                <w:i/>
              </w:rPr>
            </m:ctrlPr>
          </m:e>
          <m:sub>
            <m:r>
              <m:rPr/>
              <w:rPr>
                <w:rFonts w:ascii="Cambria Math" w:hAnsi="Cambria Math" w:cs="宋体"/>
              </w:rPr>
              <m:t>energy</m:t>
            </m:r>
            <m:ctrlPr>
              <w:rPr>
                <w:rFonts w:hint="eastAsia" w:ascii="Cambria Math" w:hAnsi="Cambria Math" w:cs="宋体"/>
                <w:i/>
              </w:rPr>
            </m:ctrlPr>
          </m:sub>
        </m:sSub>
      </m:oMath>
      <w:r>
        <w:rPr>
          <w:rFonts w:hint="eastAsia" w:hAnsi="宋体" w:cs="宋体"/>
        </w:rPr>
        <w:t>——替代化石能源量，单位为吨标煤/年；</w:t>
      </w:r>
    </w:p>
    <w:p w14:paraId="3A7F1189">
      <w:pPr>
        <w:pStyle w:val="130"/>
        <w:ind w:firstLine="420" w:firstLineChars="200"/>
        <w:rPr>
          <w:rFonts w:hAnsi="宋体" w:cs="宋体"/>
        </w:rPr>
      </w:pPr>
      <m:oMath>
        <m:sSub>
          <m:sSubPr>
            <m:ctrlPr>
              <w:rPr>
                <w:rFonts w:hint="eastAsia" w:ascii="Cambria Math" w:hAnsi="Cambria Math" w:cs="宋体"/>
                <w:i/>
              </w:rPr>
            </m:ctrlPr>
          </m:sSubPr>
          <m:e>
            <m:r>
              <m:rPr/>
              <w:rPr>
                <w:rFonts w:hint="eastAsia" w:ascii="Cambria Math" w:hAnsi="Cambria Math" w:cs="宋体"/>
              </w:rPr>
              <m:t>E</m:t>
            </m:r>
            <m:ctrlPr>
              <w:rPr>
                <w:rFonts w:hint="eastAsia" w:ascii="Cambria Math" w:hAnsi="Cambria Math" w:cs="宋体"/>
                <w:i/>
              </w:rPr>
            </m:ctrlPr>
          </m:e>
          <m:sub>
            <m:r>
              <m:rPr/>
              <w:rPr>
                <w:rFonts w:hint="eastAsia" w:ascii="Cambria Math" w:hAnsi="Cambria Math" w:cs="宋体"/>
              </w:rPr>
              <m:t>p</m:t>
            </m:r>
            <m:ctrlPr>
              <w:rPr>
                <w:rFonts w:hint="eastAsia" w:ascii="Cambria Math" w:hAnsi="Cambria Math" w:cs="宋体"/>
                <w:i/>
              </w:rPr>
            </m:ctrlPr>
          </m:sub>
        </m:sSub>
      </m:oMath>
      <w:r>
        <w:rPr>
          <w:rFonts w:hint="eastAsia" w:ascii="Cambria Math" w:hAnsi="Cambria Math" w:cs="宋体"/>
        </w:rPr>
        <w:t xml:space="preserve">   </w:t>
      </w:r>
      <w:r>
        <w:rPr>
          <w:rFonts w:hint="eastAsia" w:ascii="Cambria Math" w:hAnsi="Cambria Math" w:cs="宋体"/>
          <w:spacing w:val="17"/>
        </w:rPr>
        <w:t xml:space="preserve"> </w:t>
      </w:r>
      <w:r>
        <w:rPr>
          <w:rFonts w:hint="eastAsia" w:hAnsi="宋体" w:cs="宋体"/>
        </w:rPr>
        <w:t>——采用清洁能源、建筑可再生能源应用等手段的年供电量，单位为万千瓦时/年；</w:t>
      </w:r>
    </w:p>
    <w:p w14:paraId="37D099C6">
      <w:pPr>
        <w:pStyle w:val="25"/>
        <w:autoSpaceDE/>
        <w:autoSpaceDN/>
        <w:ind w:left="1533" w:leftChars="200" w:hanging="1113" w:hangingChars="530"/>
        <w:rPr>
          <w:rFonts w:hAnsi="Cambria Math" w:cs="宋体"/>
        </w:rPr>
      </w:pPr>
      <m:oMath>
        <m:sSub>
          <m:sSubPr>
            <m:ctrlPr>
              <w:rPr>
                <w:rFonts w:hint="eastAsia" w:ascii="Cambria Math" w:hAnsi="Cambria Math" w:cs="宋体"/>
                <w:i/>
                <w:iCs/>
              </w:rPr>
            </m:ctrlPr>
          </m:sSubPr>
          <m:e>
            <m:r>
              <m:rPr/>
              <w:rPr>
                <w:rFonts w:ascii="Cambria Math" w:hAnsi="Cambria Math" w:cs="宋体"/>
              </w:rPr>
              <m:t>b</m:t>
            </m:r>
            <m:ctrlPr>
              <w:rPr>
                <w:rFonts w:hint="eastAsia" w:ascii="Cambria Math" w:hAnsi="Cambria Math" w:cs="宋体"/>
                <w:i/>
                <w:iCs/>
              </w:rPr>
            </m:ctrlPr>
          </m:e>
          <m:sub>
            <m:r>
              <m:rPr/>
              <w:rPr>
                <w:rFonts w:ascii="Cambria Math" w:hAnsi="Cambria Math" w:cs="宋体"/>
              </w:rPr>
              <m:t>ag</m:t>
            </m:r>
            <m:ctrlPr>
              <w:rPr>
                <w:rFonts w:hint="eastAsia" w:ascii="Cambria Math" w:hAnsi="Cambria Math" w:cs="宋体"/>
                <w:i/>
                <w:iCs/>
              </w:rPr>
            </m:ctrlPr>
          </m:sub>
        </m:sSub>
      </m:oMath>
      <w:r>
        <w:rPr>
          <w:rFonts w:hint="eastAsia" w:ascii="Cambria Math" w:hAnsi="Cambria Math" w:cs="宋体"/>
        </w:rPr>
        <w:t xml:space="preserve"> </w:t>
      </w:r>
      <w:r>
        <w:rPr>
          <w:rFonts w:hint="eastAsia" w:ascii="Cambria Math" w:hAnsi="Cambria Math" w:cs="宋体"/>
          <w:spacing w:val="20"/>
        </w:rPr>
        <w:t xml:space="preserve">  </w:t>
      </w:r>
      <w:r>
        <w:rPr>
          <w:rFonts w:hint="eastAsia" w:hAnsi="Cambria Math" w:cs="宋体"/>
        </w:rPr>
        <w:t>——清洁能源、建筑可再生能源应用年度全国火电平均供电煤耗，单位为千克标准煤/千瓦时，该数值取环境效益测算年度的上一年度全国平均火电供电煤耗度数据；</w:t>
      </w:r>
    </w:p>
    <w:p w14:paraId="58A81513">
      <w:pPr>
        <w:pStyle w:val="25"/>
        <w:autoSpaceDE/>
        <w:autoSpaceDN/>
        <w:ind w:left="1533" w:leftChars="200" w:hanging="1113" w:hangingChars="530"/>
        <w:rPr>
          <w:rFonts w:hAnsi="宋体" w:cs="宋体"/>
        </w:rPr>
      </w:pPr>
      <m:oMath>
        <m:sSub>
          <m:sSubPr>
            <m:ctrlPr>
              <w:rPr>
                <w:rFonts w:hint="eastAsia" w:ascii="Cambria Math" w:hAnsi="Cambria Math" w:cs="宋体"/>
                <w:i/>
              </w:rPr>
            </m:ctrlPr>
          </m:sSubPr>
          <m:e>
            <m:r>
              <m:rPr/>
              <w:rPr>
                <w:rFonts w:ascii="Cambria Math" w:hAnsi="Cambria Math" w:cs="宋体"/>
              </w:rPr>
              <m:t>Q</m:t>
            </m:r>
            <m:ctrlPr>
              <w:rPr>
                <w:rFonts w:hint="eastAsia" w:ascii="Cambria Math" w:hAnsi="Cambria Math" w:cs="宋体"/>
                <w:i/>
              </w:rPr>
            </m:ctrlPr>
          </m:e>
          <m:sub>
            <m:r>
              <m:rPr/>
              <w:rPr>
                <w:rFonts w:ascii="Cambria Math" w:hAnsi="Cambria Math" w:cs="宋体"/>
              </w:rPr>
              <m:t>ℎ</m:t>
            </m:r>
            <m:ctrlPr>
              <w:rPr>
                <w:rFonts w:hint="eastAsia" w:ascii="Cambria Math" w:hAnsi="Cambria Math" w:cs="宋体"/>
                <w:i/>
              </w:rPr>
            </m:ctrlPr>
          </m:sub>
        </m:sSub>
      </m:oMath>
      <w:r>
        <w:rPr>
          <w:rFonts w:hint="eastAsia" w:ascii="Cambria Math" w:hAnsi="Cambria Math" w:cs="宋体"/>
          <w:iCs/>
        </w:rPr>
        <w:t xml:space="preserve"> </w:t>
      </w:r>
      <w:r>
        <w:rPr>
          <w:rFonts w:hint="eastAsia" w:ascii="Cambria Math" w:hAnsi="Cambria Math" w:cs="宋体"/>
        </w:rPr>
        <w:t xml:space="preserve"> </w:t>
      </w:r>
      <w:r>
        <w:rPr>
          <w:rFonts w:hint="eastAsia" w:ascii="Cambria Math" w:hAnsi="Cambria Math" w:cs="宋体"/>
          <w:spacing w:val="11"/>
        </w:rPr>
        <w:t xml:space="preserve">  </w:t>
      </w:r>
      <w:r>
        <w:rPr>
          <w:rFonts w:hint="eastAsia" w:hAnsi="宋体" w:cs="宋体"/>
        </w:rPr>
        <w:t>——采用清洁能源、建筑可再生能源应用等手段的年供热量，单位为百万吉焦/年；</w:t>
      </w:r>
      <w:r>
        <w:rPr>
          <w:rFonts w:hint="eastAsia" w:hAnsi="宋体" w:cs="宋体"/>
          <w:szCs w:val="24"/>
        </w:rPr>
        <w:t>若只发电不供热，则</w:t>
      </w:r>
      <m:oMath>
        <m:sSub>
          <m:sSubPr>
            <m:ctrlPr>
              <w:rPr>
                <w:rFonts w:hint="eastAsia" w:ascii="Cambria Math" w:hAnsi="Cambria Math" w:cs="宋体"/>
              </w:rPr>
            </m:ctrlPr>
          </m:sSubPr>
          <m:e>
            <m:r>
              <m:rPr>
                <m:sty m:val="p"/>
              </m:rPr>
              <w:rPr>
                <w:rFonts w:hint="eastAsia" w:ascii="Cambria Math" w:hAnsi="Cambria Math" w:cs="宋体"/>
              </w:rPr>
              <m:t>Q</m:t>
            </m:r>
            <m:ctrlPr>
              <w:rPr>
                <w:rFonts w:hint="eastAsia" w:ascii="Cambria Math" w:hAnsi="Cambria Math" w:cs="宋体"/>
              </w:rPr>
            </m:ctrlPr>
          </m:e>
          <m:sub>
            <m:r>
              <m:rPr>
                <m:sty m:val="p"/>
              </m:rPr>
              <w:rPr>
                <w:rFonts w:ascii="Cambria Math" w:hAnsi="Cambria Math" w:cs="宋体"/>
              </w:rPr>
              <m:t>h</m:t>
            </m:r>
            <m:ctrlPr>
              <w:rPr>
                <w:rFonts w:hint="eastAsia" w:ascii="Cambria Math" w:hAnsi="Cambria Math" w:cs="宋体"/>
              </w:rPr>
            </m:ctrlPr>
          </m:sub>
        </m:sSub>
      </m:oMath>
      <w:r>
        <w:rPr>
          <w:rFonts w:hint="eastAsia" w:hAnsi="宋体" w:cs="宋体"/>
          <w:szCs w:val="24"/>
        </w:rPr>
        <w:t>值为零。</w:t>
      </w:r>
    </w:p>
    <w:p w14:paraId="433D5311">
      <w:pPr>
        <w:pStyle w:val="25"/>
        <w:rPr>
          <w:rFonts w:hAnsi="宋体" w:cs="宋体"/>
        </w:rPr>
      </w:pPr>
      <m:oMath>
        <m:sSub>
          <m:sSubPr>
            <m:ctrlPr>
              <w:rPr>
                <w:rFonts w:hint="eastAsia" w:ascii="Cambria Math" w:hAnsi="Cambria Math" w:cs="宋体"/>
                <w:i/>
                <w:iCs/>
              </w:rPr>
            </m:ctrlPr>
          </m:sSubPr>
          <m:e>
            <m:r>
              <m:rPr/>
              <w:rPr>
                <w:rFonts w:ascii="Cambria Math" w:hAnsi="Cambria Math" w:cs="宋体"/>
              </w:rPr>
              <m:t>b</m:t>
            </m:r>
            <m:ctrlPr>
              <w:rPr>
                <w:rFonts w:hint="eastAsia" w:ascii="Cambria Math" w:hAnsi="Cambria Math" w:cs="宋体"/>
                <w:i/>
                <w:iCs/>
              </w:rPr>
            </m:ctrlPr>
          </m:e>
          <m:sub>
            <m:r>
              <m:rPr/>
              <w:rPr>
                <w:rFonts w:ascii="Cambria Math" w:hAnsi="Cambria Math" w:cs="宋体"/>
              </w:rPr>
              <m:t>ar</m:t>
            </m:r>
            <m:ctrlPr>
              <w:rPr>
                <w:rFonts w:hint="eastAsia" w:ascii="Cambria Math" w:hAnsi="Cambria Math" w:cs="宋体"/>
                <w:i/>
                <w:iCs/>
              </w:rPr>
            </m:ctrlPr>
          </m:sub>
        </m:sSub>
      </m:oMath>
      <w:r>
        <w:rPr>
          <w:rFonts w:hint="eastAsia" w:ascii="Cambria Math" w:hAnsi="Cambria Math" w:cs="宋体"/>
        </w:rPr>
        <w:t xml:space="preserve">    </w:t>
      </w:r>
      <w:r>
        <w:rPr>
          <w:rFonts w:hint="eastAsia" w:hAnsi="宋体" w:cs="宋体"/>
        </w:rPr>
        <w:t>——锅炉房集中供热平均供热煤耗，单位为千克标煤/吉焦，缺省值取40千克标煤/吉焦</w:t>
      </w:r>
      <w:r>
        <w:rPr>
          <w:rFonts w:hAnsi="宋体" w:cs="宋体"/>
        </w:rPr>
        <w:t>。</w:t>
      </w:r>
    </w:p>
    <w:p w14:paraId="22A892DC">
      <w:pPr>
        <w:pStyle w:val="59"/>
        <w:numPr>
          <w:ilvl w:val="255"/>
          <w:numId w:val="0"/>
        </w:numPr>
        <w:tabs>
          <w:tab w:val="center" w:pos="4201"/>
          <w:tab w:val="right" w:leader="dot" w:pos="9298"/>
        </w:tabs>
        <w:spacing w:before="156" w:after="156"/>
        <w:outlineLvl w:val="9"/>
        <w:rPr>
          <w:rFonts w:hAnsi="宋体" w:cs="宋体"/>
        </w:rPr>
      </w:pPr>
      <w:r>
        <w:rPr>
          <w:rFonts w:hint="eastAsia" w:hAnsi="宋体" w:cs="宋体"/>
        </w:rPr>
        <w:t>B.2  碳减排量</w:t>
      </w:r>
    </w:p>
    <w:p w14:paraId="3816DA0A">
      <w:pPr>
        <w:pStyle w:val="25"/>
        <w:rPr>
          <w:rFonts w:hAnsi="宋体" w:cs="宋体"/>
        </w:rPr>
      </w:pPr>
      <w:r>
        <w:rPr>
          <w:rFonts w:hint="eastAsia" w:hAnsi="宋体" w:cs="宋体"/>
        </w:rPr>
        <w:t>指提供的绿色业务领域相关产品或服务，在采购方应用过程中，因替代化石能源消耗产生的温室气体减排量，折算产生的二氧化碳当量排放减少量。其中，对于装备制造领域，碳减排量为典型使用场景下所产生的碳减排量。计算公式见公式（B.2）。</w:t>
      </w:r>
    </w:p>
    <w:p w14:paraId="5FB77C7C">
      <w:pPr>
        <w:pStyle w:val="130"/>
        <w:tabs>
          <w:tab w:val="center" w:leader="middleDot" w:pos="5680"/>
          <w:tab w:val="clear" w:pos="4201"/>
        </w:tabs>
        <w:autoSpaceDE/>
        <w:autoSpaceDN/>
        <w:jc w:val="right"/>
        <w:rPr>
          <w:rFonts w:hAnsi="宋体" w:cs="宋体"/>
        </w:rPr>
      </w:pPr>
      <m:oMath>
        <m:sSub>
          <m:sSubPr>
            <m:ctrlPr>
              <w:rPr>
                <w:rFonts w:ascii="Cambria Math" w:hAnsi="Cambria Math" w:cs="宋体"/>
                <w:i/>
                <w:iCs/>
              </w:rPr>
            </m:ctrlPr>
          </m:sSubPr>
          <m:e>
            <m:r>
              <m:rPr/>
              <w:rPr>
                <w:rFonts w:ascii="Cambria Math" w:hAnsi="Cambria Math" w:cs="宋体"/>
              </w:rPr>
              <m:t>Q</m:t>
            </m:r>
            <m:ctrlPr>
              <w:rPr>
                <w:rFonts w:ascii="Cambria Math" w:hAnsi="Cambria Math" w:cs="宋体"/>
                <w:i/>
                <w:iCs/>
              </w:rPr>
            </m:ctrlPr>
          </m:e>
          <m:sub>
            <m:sSub>
              <m:sSubPr>
                <m:ctrlPr>
                  <w:rPr>
                    <w:rFonts w:ascii="Cambria Math" w:hAnsi="Cambria Math" w:cs="宋体"/>
                    <w:i/>
                    <w:iCs/>
                  </w:rPr>
                </m:ctrlPr>
              </m:sSubPr>
              <m:e>
                <m:r>
                  <m:rPr/>
                  <w:rPr>
                    <w:rFonts w:ascii="Cambria Math" w:hAnsi="Cambria Math" w:cs="宋体"/>
                  </w:rPr>
                  <m:t>CO</m:t>
                </m:r>
                <m:ctrlPr>
                  <w:rPr>
                    <w:rFonts w:ascii="Cambria Math" w:hAnsi="Cambria Math" w:cs="宋体"/>
                    <w:i/>
                    <w:iCs/>
                  </w:rPr>
                </m:ctrlPr>
              </m:e>
              <m:sub>
                <m:r>
                  <m:rPr/>
                  <w:rPr>
                    <w:rFonts w:ascii="Cambria Math" w:hAnsi="Cambria Math" w:cs="宋体"/>
                  </w:rPr>
                  <m:t>2</m:t>
                </m:r>
                <m:ctrlPr>
                  <w:rPr>
                    <w:rFonts w:ascii="Cambria Math" w:hAnsi="Cambria Math" w:cs="宋体"/>
                    <w:i/>
                    <w:iCs/>
                  </w:rPr>
                </m:ctrlPr>
              </m:sub>
            </m:sSub>
            <m:r>
              <m:rPr/>
              <w:rPr>
                <w:rFonts w:ascii="Cambria Math" w:hAnsi="Cambria Math" w:cs="宋体"/>
              </w:rPr>
              <m:t>e</m:t>
            </m:r>
            <m:ctrlPr>
              <w:rPr>
                <w:rFonts w:ascii="Cambria Math" w:hAnsi="Cambria Math" w:cs="宋体"/>
                <w:i/>
                <w:iCs/>
              </w:rPr>
            </m:ctrlPr>
          </m:sub>
        </m:sSub>
        <m:r>
          <m:rPr/>
          <w:rPr>
            <w:rFonts w:ascii="Cambria Math" w:hAnsi="Cambria Math" w:cs="宋体"/>
          </w:rPr>
          <m:t>=</m:t>
        </m:r>
        <m:sSub>
          <m:sSubPr>
            <m:ctrlPr>
              <w:rPr>
                <w:rFonts w:ascii="Cambria Math" w:hAnsi="Cambria Math" w:cs="宋体"/>
                <w:i/>
                <w:iCs/>
              </w:rPr>
            </m:ctrlPr>
          </m:sSubPr>
          <m:e>
            <m:r>
              <m:rPr/>
              <w:rPr>
                <w:rFonts w:ascii="Cambria Math" w:hAnsi="Cambria Math" w:cs="宋体"/>
              </w:rPr>
              <m:t>W</m:t>
            </m:r>
            <m:ctrlPr>
              <w:rPr>
                <w:rFonts w:ascii="Cambria Math" w:hAnsi="Cambria Math" w:cs="宋体"/>
                <w:i/>
                <w:iCs/>
              </w:rPr>
            </m:ctrlPr>
          </m:e>
          <m:sub>
            <m:r>
              <m:rPr/>
              <w:rPr>
                <w:rFonts w:ascii="Cambria Math" w:hAnsi="Cambria Math" w:cs="宋体"/>
              </w:rPr>
              <m:t>g</m:t>
            </m:r>
            <m:ctrlPr>
              <w:rPr>
                <w:rFonts w:ascii="Cambria Math" w:hAnsi="Cambria Math" w:cs="宋体"/>
                <w:i/>
                <w:iCs/>
              </w:rPr>
            </m:ctrlPr>
          </m:sub>
        </m:sSub>
        <m:r>
          <m:rPr/>
          <w:rPr>
            <w:rFonts w:ascii="Cambria Math" w:hAnsi="Cambria Math" w:cs="宋体"/>
          </w:rPr>
          <m:t>×</m:t>
        </m:r>
        <m:sSub>
          <m:sSubPr>
            <m:ctrlPr>
              <w:rPr>
                <w:rFonts w:ascii="Cambria Math" w:hAnsi="Cambria Math" w:cs="宋体"/>
                <w:i/>
                <w:iCs/>
              </w:rPr>
            </m:ctrlPr>
          </m:sSubPr>
          <m:e>
            <m:r>
              <m:rPr/>
              <w:rPr>
                <w:rFonts w:ascii="Cambria Math" w:hAnsi="Cambria Math" w:cs="宋体"/>
              </w:rPr>
              <m:t>α</m:t>
            </m:r>
            <m:ctrlPr>
              <w:rPr>
                <w:rFonts w:ascii="Cambria Math" w:hAnsi="Cambria Math" w:cs="宋体"/>
                <w:i/>
                <w:iCs/>
              </w:rPr>
            </m:ctrlPr>
          </m:e>
          <m:sub>
            <m:r>
              <m:rPr/>
              <w:rPr>
                <w:rFonts w:ascii="Cambria Math" w:hAnsi="Cambria Math" w:cs="宋体"/>
              </w:rPr>
              <m:t>j</m:t>
            </m:r>
            <m:ctrlPr>
              <w:rPr>
                <w:rFonts w:ascii="Cambria Math" w:hAnsi="Cambria Math" w:cs="宋体"/>
                <w:i/>
                <w:iCs/>
              </w:rPr>
            </m:ctrlPr>
          </m:sub>
        </m:sSub>
        <m:r>
          <m:rPr/>
          <w:rPr>
            <w:rFonts w:ascii="Cambria Math" w:hAnsi="Cambria Math" w:cs="宋体"/>
          </w:rPr>
          <m:t>+</m:t>
        </m:r>
        <m:sSub>
          <m:sSubPr>
            <m:ctrlPr>
              <w:rPr>
                <w:rFonts w:ascii="Cambria Math" w:hAnsi="Cambria Math" w:cs="宋体"/>
                <w:i/>
                <w:iCs/>
              </w:rPr>
            </m:ctrlPr>
          </m:sSubPr>
          <m:e>
            <m:r>
              <m:rPr/>
              <w:rPr>
                <w:rFonts w:ascii="Cambria Math" w:hAnsi="Cambria Math" w:cs="宋体"/>
              </w:rPr>
              <m:t>Q</m:t>
            </m:r>
            <m:ctrlPr>
              <w:rPr>
                <w:rFonts w:ascii="Cambria Math" w:hAnsi="Cambria Math" w:cs="宋体"/>
                <w:i/>
                <w:iCs/>
              </w:rPr>
            </m:ctrlPr>
          </m:e>
          <m:sub>
            <m:r>
              <m:rPr/>
              <w:rPr>
                <w:rFonts w:ascii="Cambria Math" w:hAnsi="Cambria Math" w:cs="宋体"/>
              </w:rPr>
              <m:t>g</m:t>
            </m:r>
            <m:ctrlPr>
              <w:rPr>
                <w:rFonts w:ascii="Cambria Math" w:hAnsi="Cambria Math" w:cs="宋体"/>
                <w:i/>
                <w:iCs/>
              </w:rPr>
            </m:ctrlPr>
          </m:sub>
        </m:sSub>
        <m:r>
          <m:rPr/>
          <w:rPr>
            <w:rFonts w:ascii="Cambria Math" w:hAnsi="Cambria Math" w:cs="宋体"/>
          </w:rPr>
          <m:t>×</m:t>
        </m:r>
        <m:sSub>
          <m:sSubPr>
            <m:ctrlPr>
              <w:rPr>
                <w:rFonts w:ascii="Cambria Math" w:hAnsi="Cambria Math" w:cs="宋体"/>
                <w:i/>
                <w:iCs/>
              </w:rPr>
            </m:ctrlPr>
          </m:sSubPr>
          <m:e>
            <m:r>
              <m:rPr/>
              <w:rPr>
                <w:rFonts w:ascii="Cambria Math" w:hAnsi="Cambria Math" w:cs="宋体"/>
              </w:rPr>
              <m:t>b</m:t>
            </m:r>
            <m:ctrlPr>
              <w:rPr>
                <w:rFonts w:ascii="Cambria Math" w:hAnsi="Cambria Math" w:cs="宋体"/>
                <w:i/>
                <w:iCs/>
              </w:rPr>
            </m:ctrlPr>
          </m:e>
          <m:sub>
            <m:r>
              <m:rPr/>
              <w:rPr>
                <w:rFonts w:ascii="Cambria Math" w:hAnsi="Cambria Math" w:cs="宋体"/>
              </w:rPr>
              <m:t>g</m:t>
            </m:r>
            <m:ctrlPr>
              <w:rPr>
                <w:rFonts w:ascii="Cambria Math" w:hAnsi="Cambria Math" w:cs="宋体"/>
                <w:i/>
                <w:iCs/>
              </w:rPr>
            </m:ctrlPr>
          </m:sub>
        </m:sSub>
        <m:r>
          <m:rPr/>
          <w:rPr>
            <w:rFonts w:ascii="Cambria Math" w:hAnsi="Cambria Math" w:cs="宋体"/>
          </w:rPr>
          <m:t>×</m:t>
        </m:r>
        <m:sSup>
          <m:sSupPr>
            <m:ctrlPr>
              <w:rPr>
                <w:rFonts w:ascii="Cambria Math" w:hAnsi="Cambria Math" w:cs="宋体"/>
                <w:i/>
                <w:iCs/>
              </w:rPr>
            </m:ctrlPr>
          </m:sSupPr>
          <m:e>
            <m:r>
              <m:rPr/>
              <w:rPr>
                <w:rFonts w:ascii="Cambria Math" w:hAnsi="Cambria Math" w:cs="宋体"/>
              </w:rPr>
              <m:t>10</m:t>
            </m:r>
            <m:ctrlPr>
              <w:rPr>
                <w:rFonts w:ascii="Cambria Math" w:hAnsi="Cambria Math" w:cs="宋体"/>
                <w:i/>
                <w:iCs/>
              </w:rPr>
            </m:ctrlPr>
          </m:e>
          <m:sup>
            <m:r>
              <m:rPr/>
              <w:rPr>
                <w:rFonts w:ascii="Cambria Math" w:hAnsi="Cambria Math" w:cs="宋体"/>
              </w:rPr>
              <m:t>3</m:t>
            </m:r>
            <m:ctrlPr>
              <w:rPr>
                <w:rFonts w:ascii="Cambria Math" w:hAnsi="Cambria Math" w:cs="宋体"/>
                <w:i/>
                <w:iCs/>
              </w:rPr>
            </m:ctrlPr>
          </m:sup>
        </m:sSup>
        <m:r>
          <m:rPr/>
          <w:rPr>
            <w:rFonts w:ascii="Cambria Math" w:hAnsi="Cambria Math" w:cs="宋体"/>
          </w:rPr>
          <m:t>×</m:t>
        </m:r>
        <m:r>
          <m:rPr/>
          <w:rPr>
            <w:rFonts w:hint="eastAsia" w:ascii="Cambria Math" w:hAnsi="Cambria Math" w:cs="宋体"/>
          </w:rPr>
          <m:t>2.21</m:t>
        </m:r>
      </m:oMath>
      <w:r>
        <w:rPr>
          <w:rFonts w:hint="eastAsia" w:hAnsi="Cambria Math" w:cs="宋体"/>
          <w:iCs/>
        </w:rPr>
        <w:tab/>
      </w:r>
      <w:r>
        <w:rPr>
          <w:rFonts w:hint="eastAsia" w:hAnsi="Cambria Math" w:cs="宋体"/>
        </w:rPr>
        <w:t>（B.2）</w:t>
      </w:r>
    </w:p>
    <w:p w14:paraId="1D2F8C7F">
      <w:pPr>
        <w:pStyle w:val="130"/>
        <w:ind w:firstLine="420" w:firstLineChars="200"/>
        <w:rPr>
          <w:rFonts w:hAnsi="宋体" w:cs="宋体"/>
        </w:rPr>
      </w:pPr>
      <w:r>
        <w:rPr>
          <w:rFonts w:hint="eastAsia" w:hAnsi="宋体" w:cs="宋体"/>
        </w:rPr>
        <w:t>式中：</w:t>
      </w:r>
    </w:p>
    <w:p w14:paraId="442DA9BF">
      <w:pPr>
        <w:pStyle w:val="130"/>
        <w:ind w:firstLine="328" w:firstLineChars="200"/>
        <w:rPr>
          <w:rFonts w:hAnsi="宋体" w:cs="宋体"/>
          <w:szCs w:val="22"/>
        </w:rPr>
      </w:pPr>
      <m:oMath>
        <m:sSub>
          <m:sSubPr>
            <m:ctrlPr>
              <w:rPr>
                <w:rFonts w:hint="eastAsia" w:ascii="Cambria Math" w:hAnsi="Cambria Math" w:cs="宋体"/>
                <w:i/>
                <w:iCs/>
                <w:spacing w:val="-23"/>
              </w:rPr>
            </m:ctrlPr>
          </m:sSubPr>
          <m:e>
            <m:r>
              <m:rPr/>
              <w:rPr>
                <w:rFonts w:ascii="Cambria Math" w:hAnsi="Cambria Math" w:cs="宋体"/>
                <w:spacing w:val="-23"/>
              </w:rPr>
              <m:t>Q</m:t>
            </m:r>
            <m:ctrlPr>
              <w:rPr>
                <w:rFonts w:hint="eastAsia" w:ascii="Cambria Math" w:hAnsi="Cambria Math" w:cs="宋体"/>
                <w:i/>
                <w:iCs/>
                <w:spacing w:val="-23"/>
              </w:rPr>
            </m:ctrlPr>
          </m:e>
          <m:sub>
            <m:sSub>
              <m:sSubPr>
                <m:ctrlPr>
                  <w:rPr>
                    <w:rFonts w:hint="eastAsia" w:ascii="Cambria Math" w:hAnsi="Cambria Math" w:cs="宋体"/>
                    <w:i/>
                    <w:iCs/>
                    <w:spacing w:val="-23"/>
                  </w:rPr>
                </m:ctrlPr>
              </m:sSubPr>
              <m:e>
                <m:r>
                  <m:rPr/>
                  <w:rPr>
                    <w:rFonts w:ascii="Cambria Math" w:hAnsi="Cambria Math" w:cs="宋体"/>
                    <w:spacing w:val="-23"/>
                  </w:rPr>
                  <m:t>CO</m:t>
                </m:r>
                <m:ctrlPr>
                  <w:rPr>
                    <w:rFonts w:hint="eastAsia" w:ascii="Cambria Math" w:hAnsi="Cambria Math" w:cs="宋体"/>
                    <w:i/>
                    <w:iCs/>
                    <w:spacing w:val="-23"/>
                  </w:rPr>
                </m:ctrlPr>
              </m:e>
              <m:sub>
                <m:r>
                  <m:rPr/>
                  <w:rPr>
                    <w:rFonts w:hint="eastAsia" w:ascii="Cambria Math" w:hAnsi="Cambria Math" w:cs="宋体"/>
                    <w:spacing w:val="-23"/>
                  </w:rPr>
                  <m:t>2</m:t>
                </m:r>
                <m:ctrlPr>
                  <w:rPr>
                    <w:rFonts w:hint="eastAsia" w:ascii="Cambria Math" w:hAnsi="Cambria Math" w:cs="宋体"/>
                    <w:i/>
                    <w:iCs/>
                    <w:spacing w:val="-23"/>
                  </w:rPr>
                </m:ctrlPr>
              </m:sub>
            </m:sSub>
            <m:r>
              <m:rPr/>
              <w:rPr>
                <w:rFonts w:ascii="Cambria Math" w:hAnsi="Cambria Math" w:cs="宋体"/>
                <w:spacing w:val="-23"/>
              </w:rPr>
              <m:t>e</m:t>
            </m:r>
            <m:ctrlPr>
              <w:rPr>
                <w:rFonts w:hint="eastAsia" w:ascii="Cambria Math" w:hAnsi="Cambria Math" w:cs="宋体"/>
                <w:i/>
                <w:iCs/>
                <w:spacing w:val="-23"/>
              </w:rPr>
            </m:ctrlPr>
          </m:sub>
        </m:sSub>
      </m:oMath>
      <w:r>
        <w:rPr>
          <w:rFonts w:hint="eastAsia" w:ascii="Cambria Math" w:hAnsi="Cambria Math" w:cs="宋体"/>
          <w:spacing w:val="-11"/>
        </w:rPr>
        <w:t xml:space="preserve"> </w:t>
      </w:r>
      <w:r>
        <w:rPr>
          <w:rFonts w:hint="eastAsia" w:hAnsi="宋体" w:cs="宋体"/>
        </w:rPr>
        <w:t>——</w:t>
      </w:r>
      <w:r>
        <w:rPr>
          <w:rFonts w:hint="eastAsia" w:hAnsi="宋体" w:cs="宋体"/>
          <w:szCs w:val="22"/>
        </w:rPr>
        <w:t>碳减排总量，</w:t>
      </w:r>
      <w:r>
        <w:rPr>
          <w:rFonts w:hint="eastAsia" w:hAnsi="宋体" w:cs="宋体"/>
        </w:rPr>
        <w:t>单位：</w:t>
      </w:r>
      <w:r>
        <w:rPr>
          <w:rFonts w:hint="eastAsia" w:hAnsi="宋体" w:cs="宋体"/>
          <w:szCs w:val="22"/>
        </w:rPr>
        <w:t>为吨标煤/年；</w:t>
      </w:r>
    </w:p>
    <w:p w14:paraId="26D5D469">
      <w:pPr>
        <w:pStyle w:val="130"/>
        <w:autoSpaceDE/>
        <w:autoSpaceDN/>
        <w:ind w:firstLine="462" w:firstLineChars="220"/>
        <w:jc w:val="left"/>
        <w:rPr>
          <w:rFonts w:hAnsi="宋体" w:cs="宋体"/>
          <w:szCs w:val="22"/>
        </w:rPr>
      </w:pPr>
      <m:oMath>
        <m:sSub>
          <m:sSubPr>
            <m:ctrlPr>
              <w:rPr>
                <w:rFonts w:ascii="Cambria Math" w:hAnsi="Cambria Math" w:cs="宋体"/>
                <w:i/>
                <w:iCs/>
              </w:rPr>
            </m:ctrlPr>
          </m:sSubPr>
          <m:e>
            <m:r>
              <m:rPr/>
              <w:rPr>
                <w:rFonts w:ascii="Cambria Math" w:hAnsi="Cambria Math" w:cs="宋体"/>
              </w:rPr>
              <m:t>W</m:t>
            </m:r>
            <m:ctrlPr>
              <w:rPr>
                <w:rFonts w:ascii="Cambria Math" w:hAnsi="Cambria Math" w:cs="宋体"/>
                <w:i/>
                <w:iCs/>
              </w:rPr>
            </m:ctrlPr>
          </m:e>
          <m:sub>
            <m:r>
              <m:rPr/>
              <w:rPr>
                <w:rFonts w:ascii="Cambria Math" w:hAnsi="Cambria Math" w:cs="宋体"/>
              </w:rPr>
              <m:t>g</m:t>
            </m:r>
            <m:ctrlPr>
              <w:rPr>
                <w:rFonts w:ascii="Cambria Math" w:hAnsi="Cambria Math" w:cs="宋体"/>
                <w:i/>
                <w:iCs/>
              </w:rPr>
            </m:ctrlPr>
          </m:sub>
        </m:sSub>
      </m:oMath>
      <w:r>
        <w:rPr>
          <w:rFonts w:hint="eastAsia" w:ascii="Cambria Math" w:hAnsi="Cambria Math" w:cs="宋体"/>
          <w:szCs w:val="22"/>
          <w:vertAlign w:val="subscript"/>
        </w:rPr>
        <w:t xml:space="preserve"> </w:t>
      </w:r>
      <w:r>
        <w:rPr>
          <w:rFonts w:ascii="Cambria Math" w:hAnsi="Cambria Math" w:cs="宋体"/>
          <w:szCs w:val="22"/>
          <w:vertAlign w:val="subscript"/>
        </w:rPr>
        <w:t xml:space="preserve">   </w:t>
      </w:r>
      <w:r>
        <w:rPr>
          <w:rFonts w:hint="eastAsia" w:hAnsi="宋体" w:cs="宋体"/>
          <w:szCs w:val="22"/>
        </w:rPr>
        <w:t>——提供服务的年供电量或提供产品后年供电增加量，</w:t>
      </w:r>
      <w:r>
        <w:rPr>
          <w:rFonts w:hint="eastAsia" w:hAnsi="宋体" w:cs="宋体"/>
        </w:rPr>
        <w:t>单位：</w:t>
      </w:r>
      <w:r>
        <w:rPr>
          <w:rFonts w:hint="eastAsia" w:hAnsi="宋体" w:cs="宋体"/>
          <w:szCs w:val="22"/>
        </w:rPr>
        <w:t>为兆瓦时；</w:t>
      </w:r>
    </w:p>
    <w:p w14:paraId="79EEAE64">
      <w:pPr>
        <w:pStyle w:val="130"/>
        <w:autoSpaceDE/>
        <w:autoSpaceDN/>
        <w:ind w:firstLine="462" w:firstLineChars="220"/>
        <w:rPr>
          <w:rFonts w:hAnsi="宋体" w:cs="宋体"/>
          <w:szCs w:val="22"/>
        </w:rPr>
      </w:pPr>
      <m:oMath>
        <m:sSub>
          <m:sSubPr>
            <m:ctrlPr>
              <w:rPr>
                <w:rFonts w:ascii="Cambria Math" w:hAnsi="Cambria Math" w:cs="宋体"/>
                <w:i/>
                <w:iCs/>
              </w:rPr>
            </m:ctrlPr>
          </m:sSubPr>
          <m:e>
            <m:r>
              <m:rPr/>
              <w:rPr>
                <w:rFonts w:ascii="Cambria Math" w:hAnsi="Cambria Math" w:cs="宋体"/>
              </w:rPr>
              <m:t>α</m:t>
            </m:r>
            <m:ctrlPr>
              <w:rPr>
                <w:rFonts w:ascii="Cambria Math" w:hAnsi="Cambria Math" w:cs="宋体"/>
                <w:i/>
                <w:iCs/>
              </w:rPr>
            </m:ctrlPr>
          </m:e>
          <m:sub>
            <m:r>
              <m:rPr/>
              <w:rPr>
                <w:rFonts w:ascii="Cambria Math" w:hAnsi="Cambria Math" w:cs="宋体"/>
              </w:rPr>
              <m:t>j</m:t>
            </m:r>
            <m:ctrlPr>
              <w:rPr>
                <w:rFonts w:ascii="Cambria Math" w:hAnsi="Cambria Math" w:cs="宋体"/>
                <w:i/>
                <w:iCs/>
              </w:rPr>
            </m:ctrlPr>
          </m:sub>
        </m:sSub>
      </m:oMath>
      <w:r>
        <w:rPr>
          <w:rFonts w:hint="eastAsia" w:ascii="Cambria Math" w:hAnsi="Cambria Math" w:cs="宋体"/>
          <w:spacing w:val="-23"/>
          <w:szCs w:val="22"/>
        </w:rPr>
        <w:t xml:space="preserve">   </w:t>
      </w:r>
      <w:r>
        <w:rPr>
          <w:rFonts w:ascii="Cambria Math" w:hAnsi="Cambria Math" w:cs="宋体"/>
          <w:spacing w:val="-23"/>
          <w:szCs w:val="22"/>
        </w:rPr>
        <w:t xml:space="preserve">   </w:t>
      </w:r>
      <w:r>
        <w:rPr>
          <w:rFonts w:hint="eastAsia" w:hAnsi="宋体" w:cs="宋体"/>
          <w:szCs w:val="22"/>
        </w:rPr>
        <w:t>——可再生能源发电所在地区区域电网的二氧化碳基准线排放因子。</w:t>
      </w:r>
      <w:r>
        <w:rPr>
          <w:rFonts w:hint="eastAsia" w:hAnsi="宋体" w:cs="宋体"/>
        </w:rPr>
        <w:t>单位：</w:t>
      </w:r>
      <w:r>
        <w:rPr>
          <w:rFonts w:hint="eastAsia" w:hAnsi="宋体" w:cs="宋体"/>
          <w:szCs w:val="22"/>
        </w:rPr>
        <w:t>吨二氧化碳/兆</w:t>
      </w:r>
    </w:p>
    <w:p w14:paraId="5051F8D6">
      <w:pPr>
        <w:pStyle w:val="130"/>
        <w:autoSpaceDE/>
        <w:autoSpaceDN/>
        <w:ind w:firstLine="1428" w:firstLineChars="680"/>
        <w:rPr>
          <w:rFonts w:hAnsi="宋体" w:cs="宋体"/>
          <w:szCs w:val="22"/>
        </w:rPr>
      </w:pPr>
      <w:r>
        <w:rPr>
          <w:rFonts w:hint="eastAsia" w:hAnsi="宋体" w:cs="宋体"/>
          <w:szCs w:val="22"/>
        </w:rPr>
        <w:t>瓦时；根据UNFCCC《电力系统排放因子计算工具(5.0版)》，对于光伏</w:t>
      </w:r>
      <m:oMath>
        <m:sSub>
          <m:sSubPr>
            <m:ctrlPr>
              <w:rPr>
                <w:rFonts w:ascii="Cambria Math" w:hAnsi="Cambria Math" w:cs="宋体"/>
                <w:i/>
                <w:iCs/>
              </w:rPr>
            </m:ctrlPr>
          </m:sSubPr>
          <m:e>
            <m:r>
              <m:rPr/>
              <w:rPr>
                <w:rFonts w:ascii="Cambria Math" w:hAnsi="Cambria Math" w:cs="宋体"/>
              </w:rPr>
              <m:t>α</m:t>
            </m:r>
            <m:ctrlPr>
              <w:rPr>
                <w:rFonts w:ascii="Cambria Math" w:hAnsi="Cambria Math" w:cs="宋体"/>
                <w:i/>
                <w:iCs/>
              </w:rPr>
            </m:ctrlPr>
          </m:e>
          <m:sub>
            <m:r>
              <m:rPr/>
              <w:rPr>
                <w:rFonts w:ascii="Cambria Math" w:hAnsi="Cambria Math" w:cs="宋体"/>
              </w:rPr>
              <m:t>j</m:t>
            </m:r>
            <m:ctrlPr>
              <w:rPr>
                <w:rFonts w:ascii="Cambria Math" w:hAnsi="Cambria Math" w:cs="宋体"/>
                <w:i/>
                <w:iCs/>
              </w:rPr>
            </m:ctrlPr>
          </m:sub>
        </m:sSub>
      </m:oMath>
      <w:r>
        <w:rPr>
          <w:rFonts w:hint="eastAsia" w:hAnsi="宋体" w:cs="宋体"/>
          <w:szCs w:val="22"/>
        </w:rPr>
        <w:t>=75%×</w:t>
      </w:r>
    </w:p>
    <w:p w14:paraId="4A4C93FE">
      <w:pPr>
        <w:pStyle w:val="130"/>
        <w:autoSpaceDE/>
        <w:autoSpaceDN/>
        <w:ind w:firstLine="1428" w:firstLineChars="680"/>
        <w:rPr>
          <w:rFonts w:hAnsi="宋体" w:cs="宋体"/>
          <w:szCs w:val="22"/>
        </w:rPr>
      </w:pPr>
      <w:r>
        <w:rPr>
          <w:rFonts w:hint="eastAsia" w:hAnsi="宋体" w:cs="宋体"/>
          <w:szCs w:val="22"/>
        </w:rPr>
        <w:t>EFgrid,OM,y+25%×EFgrid,BM,y;区域可再生能源发电参照最新版《中国区域电网基准</w:t>
      </w:r>
    </w:p>
    <w:p w14:paraId="744299AE">
      <w:pPr>
        <w:pStyle w:val="130"/>
        <w:autoSpaceDE/>
        <w:autoSpaceDN/>
        <w:ind w:firstLine="1428" w:firstLineChars="680"/>
        <w:rPr>
          <w:rFonts w:hAnsi="宋体" w:cs="宋体"/>
          <w:szCs w:val="22"/>
        </w:rPr>
      </w:pPr>
      <w:r>
        <w:rPr>
          <w:rFonts w:hint="eastAsia" w:hAnsi="宋体" w:cs="宋体"/>
          <w:szCs w:val="22"/>
        </w:rPr>
        <w:t>线排放因子》；</w:t>
      </w:r>
    </w:p>
    <w:p w14:paraId="3A0EAABD">
      <w:pPr>
        <w:pStyle w:val="130"/>
        <w:ind w:firstLine="413" w:firstLineChars="220"/>
        <w:rPr>
          <w:rFonts w:hAnsi="宋体" w:cs="宋体"/>
          <w:szCs w:val="22"/>
        </w:rPr>
      </w:pPr>
      <m:oMath>
        <m:sSub>
          <m:sSubPr>
            <m:ctrlPr>
              <w:rPr>
                <w:rFonts w:hint="eastAsia" w:ascii="Cambria Math" w:hAnsi="Cambria Math" w:cs="宋体"/>
                <w:spacing w:val="-11"/>
                <w:szCs w:val="22"/>
              </w:rPr>
            </m:ctrlPr>
          </m:sSubPr>
          <m:e>
            <m:r>
              <m:rPr>
                <m:sty m:val="p"/>
              </m:rPr>
              <w:rPr>
                <w:rFonts w:hint="eastAsia" w:ascii="Cambria Math" w:hAnsi="Cambria Math" w:cs="宋体"/>
                <w:spacing w:val="-11"/>
                <w:szCs w:val="22"/>
              </w:rPr>
              <m:t>Q</m:t>
            </m:r>
            <m:ctrlPr>
              <w:rPr>
                <w:rFonts w:hint="eastAsia" w:ascii="Cambria Math" w:hAnsi="Cambria Math" w:cs="宋体"/>
                <w:spacing w:val="-11"/>
                <w:szCs w:val="22"/>
              </w:rPr>
            </m:ctrlPr>
          </m:e>
          <m:sub>
            <m:r>
              <m:rPr>
                <m:sty m:val="p"/>
              </m:rPr>
              <w:rPr>
                <w:rFonts w:hint="eastAsia" w:ascii="Cambria Math" w:hAnsi="Cambria Math" w:cs="宋体"/>
                <w:spacing w:val="-11"/>
                <w:szCs w:val="22"/>
              </w:rPr>
              <m:t>g</m:t>
            </m:r>
            <m:ctrlPr>
              <w:rPr>
                <w:rFonts w:hint="eastAsia" w:ascii="Cambria Math" w:hAnsi="Cambria Math" w:cs="宋体"/>
                <w:spacing w:val="-11"/>
                <w:szCs w:val="22"/>
              </w:rPr>
            </m:ctrlPr>
          </m:sub>
        </m:sSub>
      </m:oMath>
      <w:r>
        <w:rPr>
          <w:rFonts w:hint="eastAsia" w:ascii="Cambria Math" w:hAnsi="Cambria Math" w:cs="宋体"/>
          <w:spacing w:val="-11"/>
          <w:szCs w:val="22"/>
        </w:rPr>
        <w:t xml:space="preserve"> </w:t>
      </w:r>
      <w:r>
        <w:rPr>
          <w:rFonts w:hint="eastAsia" w:ascii="Cambria Math" w:hAnsi="Cambria Math" w:cs="宋体"/>
          <w:spacing w:val="-23"/>
          <w:szCs w:val="22"/>
        </w:rPr>
        <w:t xml:space="preserve">  </w:t>
      </w:r>
      <w:r>
        <w:rPr>
          <w:rFonts w:ascii="Cambria Math" w:hAnsi="Cambria Math" w:cs="宋体"/>
          <w:spacing w:val="-23"/>
          <w:szCs w:val="22"/>
        </w:rPr>
        <w:t xml:space="preserve"> </w:t>
      </w:r>
      <w:r>
        <w:rPr>
          <w:rFonts w:hint="eastAsia" w:hAnsi="宋体" w:cs="宋体"/>
          <w:szCs w:val="22"/>
        </w:rPr>
        <w:t>——项目年供热量，</w:t>
      </w:r>
      <w:r>
        <w:rPr>
          <w:rFonts w:hint="eastAsia" w:hAnsi="宋体" w:cs="宋体"/>
        </w:rPr>
        <w:t>单位：</w:t>
      </w:r>
      <w:r>
        <w:rPr>
          <w:rFonts w:hint="eastAsia" w:hAnsi="宋体" w:cs="宋体"/>
          <w:szCs w:val="22"/>
        </w:rPr>
        <w:t>百万吉焦；若只发电不供热，则Qg值为零；</w:t>
      </w:r>
    </w:p>
    <w:p w14:paraId="5FB8D852">
      <w:pPr>
        <w:pStyle w:val="130"/>
        <w:ind w:firstLine="413" w:firstLineChars="220"/>
        <w:rPr>
          <w:rFonts w:hAnsi="宋体" w:cs="宋体"/>
        </w:rPr>
      </w:pPr>
      <m:oMath>
        <m:sSub>
          <m:sSubPr>
            <m:ctrlPr>
              <w:rPr>
                <w:rFonts w:hint="eastAsia" w:ascii="Cambria Math" w:hAnsi="Cambria Math" w:cs="宋体"/>
                <w:spacing w:val="-11"/>
                <w:szCs w:val="22"/>
              </w:rPr>
            </m:ctrlPr>
          </m:sSubPr>
          <m:e>
            <m:r>
              <m:rPr>
                <m:sty m:val="p"/>
              </m:rPr>
              <w:rPr>
                <w:rFonts w:hint="eastAsia" w:ascii="Cambria Math" w:hAnsi="Cambria Math" w:cs="宋体"/>
                <w:spacing w:val="-11"/>
                <w:szCs w:val="22"/>
              </w:rPr>
              <m:t>b</m:t>
            </m:r>
            <m:ctrlPr>
              <w:rPr>
                <w:rFonts w:hint="eastAsia" w:ascii="Cambria Math" w:hAnsi="Cambria Math" w:cs="宋体"/>
                <w:spacing w:val="-11"/>
                <w:szCs w:val="22"/>
              </w:rPr>
            </m:ctrlPr>
          </m:e>
          <m:sub>
            <m:r>
              <m:rPr>
                <m:sty m:val="p"/>
              </m:rPr>
              <w:rPr>
                <w:rFonts w:hint="eastAsia" w:ascii="Cambria Math" w:hAnsi="Cambria Math" w:cs="宋体"/>
                <w:spacing w:val="-11"/>
                <w:szCs w:val="22"/>
              </w:rPr>
              <m:t>g</m:t>
            </m:r>
            <m:ctrlPr>
              <w:rPr>
                <w:rFonts w:hint="eastAsia" w:ascii="Cambria Math" w:hAnsi="Cambria Math" w:cs="宋体"/>
                <w:spacing w:val="-11"/>
                <w:szCs w:val="22"/>
              </w:rPr>
            </m:ctrlPr>
          </m:sub>
        </m:sSub>
      </m:oMath>
      <w:r>
        <w:rPr>
          <w:rFonts w:hint="eastAsia" w:hAnsi="宋体" w:cs="宋体"/>
          <w:szCs w:val="22"/>
        </w:rPr>
        <w:t xml:space="preserve"> </w:t>
      </w:r>
      <w:r>
        <w:rPr>
          <w:rFonts w:hint="eastAsia" w:hAnsi="宋体" w:cs="宋体"/>
          <w:spacing w:val="11"/>
          <w:szCs w:val="22"/>
        </w:rPr>
        <w:t xml:space="preserve"> </w:t>
      </w:r>
      <w:r>
        <w:rPr>
          <w:rFonts w:hint="eastAsia" w:hAnsi="宋体" w:cs="宋体"/>
          <w:szCs w:val="22"/>
        </w:rPr>
        <w:t>——全国集中供热锅炉房平均供热煤耗，</w:t>
      </w:r>
      <w:r>
        <w:rPr>
          <w:rFonts w:hint="eastAsia" w:hAnsi="宋体" w:cs="宋体"/>
        </w:rPr>
        <w:t>单位：</w:t>
      </w:r>
      <w:r>
        <w:rPr>
          <w:rFonts w:hint="eastAsia" w:hAnsi="宋体" w:cs="宋体"/>
          <w:szCs w:val="22"/>
        </w:rPr>
        <w:t>千克标煤/吉焦。缺省值</w:t>
      </w:r>
      <w:r>
        <w:rPr>
          <w:rFonts w:hint="eastAsia" w:hAnsi="宋体" w:cs="宋体"/>
          <w:szCs w:val="24"/>
        </w:rPr>
        <w:t>取40千克标煤/吉焦。</w:t>
      </w:r>
    </w:p>
    <w:p w14:paraId="514F9C74">
      <w:pPr>
        <w:pStyle w:val="59"/>
        <w:numPr>
          <w:ilvl w:val="255"/>
          <w:numId w:val="0"/>
        </w:numPr>
        <w:tabs>
          <w:tab w:val="center" w:pos="4201"/>
          <w:tab w:val="right" w:leader="dot" w:pos="9298"/>
        </w:tabs>
        <w:spacing w:before="156" w:after="156"/>
        <w:outlineLvl w:val="9"/>
        <w:rPr>
          <w:rFonts w:hAnsi="宋体" w:cs="宋体"/>
        </w:rPr>
      </w:pPr>
      <w:r>
        <w:rPr>
          <w:rFonts w:hint="eastAsia" w:hAnsi="宋体" w:cs="宋体"/>
        </w:rPr>
        <w:t>B.3  二氧化硫削减量</w:t>
      </w:r>
    </w:p>
    <w:p w14:paraId="7631DFBC">
      <w:pPr>
        <w:pStyle w:val="130"/>
        <w:autoSpaceDE/>
        <w:autoSpaceDN/>
        <w:ind w:firstLine="420" w:firstLineChars="200"/>
        <w:jc w:val="left"/>
        <w:rPr>
          <w:rFonts w:hAnsi="Cambria Math"/>
        </w:rPr>
      </w:pPr>
      <w:r>
        <w:rPr>
          <w:rFonts w:hint="eastAsia" w:hAnsi="宋体" w:cs="宋体"/>
        </w:rPr>
        <w:t>指提供的绿色业务领域相关产品或服务，在采购方应用过程中，因替代化石能源消耗，折算产生的二氧化硫减少量。计算公式见公式（B.3）。</w:t>
      </w:r>
    </w:p>
    <w:p w14:paraId="72612814">
      <w:pPr>
        <w:pStyle w:val="130"/>
        <w:tabs>
          <w:tab w:val="center" w:leader="middleDot" w:pos="5680"/>
          <w:tab w:val="clear" w:pos="4201"/>
        </w:tabs>
        <w:autoSpaceDE/>
        <w:autoSpaceDN/>
        <w:jc w:val="right"/>
        <w:rPr>
          <w:rFonts w:ascii="Times New Roman"/>
          <w:b/>
          <w:bCs/>
          <w:iCs/>
        </w:rPr>
      </w:pPr>
      <m:oMath>
        <m:sSub>
          <m:sSubPr>
            <m:ctrlPr>
              <w:rPr>
                <w:rFonts w:ascii="Cambria Math" w:hAnsi="Cambria Math"/>
                <w:i/>
              </w:rPr>
            </m:ctrlPr>
          </m:sSubPr>
          <m:e>
            <m:r>
              <m:rPr/>
              <w:rPr>
                <w:rFonts w:ascii="Cambria Math" w:hAnsi="Cambria Math"/>
              </w:rPr>
              <m:t>M</m:t>
            </m:r>
            <m:ctrlPr>
              <w:rPr>
                <w:rFonts w:ascii="Cambria Math" w:hAnsi="Cambria Math"/>
                <w:i/>
              </w:rPr>
            </m:ctrlPr>
          </m:e>
          <m:sub>
            <m:sSub>
              <m:sSubPr>
                <m:ctrlPr>
                  <w:rPr>
                    <w:rFonts w:ascii="Cambria Math" w:hAnsi="Cambria Math"/>
                    <w:i/>
                  </w:rPr>
                </m:ctrlPr>
              </m:sSubPr>
              <m:e>
                <m:r>
                  <m:rPr/>
                  <w:rPr>
                    <w:rFonts w:ascii="Cambria Math" w:hAnsi="Cambria Math"/>
                  </w:rPr>
                  <m:t>SO</m:t>
                </m:r>
                <m:ctrlPr>
                  <w:rPr>
                    <w:rFonts w:ascii="Cambria Math" w:hAnsi="Cambria Math"/>
                    <w:i/>
                  </w:rPr>
                </m:ctrlPr>
              </m:e>
              <m:sub>
                <m:r>
                  <m:rPr/>
                  <w:rPr>
                    <w:rFonts w:ascii="Cambria Math" w:hAnsi="Cambria Math"/>
                  </w:rPr>
                  <m:t>2</m:t>
                </m:r>
                <m:ctrlPr>
                  <w:rPr>
                    <w:rFonts w:ascii="Cambria Math" w:hAnsi="Cambria Math"/>
                    <w:i/>
                  </w:rPr>
                </m:ctrlPr>
              </m:sub>
            </m:sSub>
            <m:ctrlPr>
              <w:rPr>
                <w:rFonts w:ascii="Cambria Math" w:hAnsi="Cambria Math"/>
                <w:i/>
              </w:rPr>
            </m:ctrlPr>
          </m:sub>
        </m:sSub>
        <m:r>
          <m:rPr/>
          <w:rPr>
            <w:rFonts w:ascii="Cambria Math" w:hAnsi="Cambria Math"/>
          </w:rPr>
          <m:t>=</m:t>
        </m:r>
        <m:f>
          <m:fPr>
            <m:ctrlPr>
              <w:rPr>
                <w:rFonts w:ascii="Cambria Math" w:hAnsi="Cambria Math"/>
                <w:i/>
              </w:rPr>
            </m:ctrlPr>
          </m:fPr>
          <m:num>
            <m:sSub>
              <m:sSubPr>
                <m:ctrlPr>
                  <w:rPr>
                    <w:rFonts w:ascii="Cambria Math" w:hAnsi="Cambria Math"/>
                    <w:i/>
                  </w:rPr>
                </m:ctrlPr>
              </m:sSubPr>
              <m:e>
                <m:r>
                  <m:rPr/>
                  <w:rPr>
                    <w:rFonts w:ascii="Cambria Math" w:hAnsi="Cambria Math"/>
                  </w:rPr>
                  <m:t>W</m:t>
                </m:r>
                <m:ctrlPr>
                  <w:rPr>
                    <w:rFonts w:ascii="Cambria Math" w:hAnsi="Cambria Math"/>
                    <w:i/>
                  </w:rPr>
                </m:ctrlPr>
              </m:e>
              <m:sub>
                <m:r>
                  <m:rPr/>
                  <w:rPr>
                    <w:rFonts w:ascii="Cambria Math" w:hAnsi="Cambria Math"/>
                  </w:rPr>
                  <m:t>g</m:t>
                </m:r>
                <m:ctrlPr>
                  <w:rPr>
                    <w:rFonts w:ascii="Cambria Math" w:hAnsi="Cambria Math"/>
                    <w:i/>
                  </w:rPr>
                </m:ctrlPr>
              </m:sub>
            </m:sSub>
            <m:ctrlPr>
              <w:rPr>
                <w:rFonts w:ascii="Cambria Math" w:hAnsi="Cambria Math"/>
                <w:i/>
              </w:rPr>
            </m:ctrlPr>
          </m:num>
          <m:den>
            <m:sSub>
              <m:sSubPr>
                <m:ctrlPr>
                  <w:rPr>
                    <w:rFonts w:ascii="Cambria Math" w:hAnsi="Cambria Math"/>
                    <w:i/>
                  </w:rPr>
                </m:ctrlPr>
              </m:sSubPr>
              <m:e>
                <m:r>
                  <m:rPr/>
                  <w:rPr>
                    <w:rFonts w:ascii="Cambria Math" w:hAnsi="Cambria Math"/>
                  </w:rPr>
                  <m:t>β</m:t>
                </m:r>
                <m:ctrlPr>
                  <w:rPr>
                    <w:rFonts w:ascii="Cambria Math" w:hAnsi="Cambria Math"/>
                    <w:i/>
                  </w:rPr>
                </m:ctrlPr>
              </m:e>
              <m:sub>
                <m:r>
                  <m:rPr/>
                  <w:rPr>
                    <w:rFonts w:ascii="Cambria Math" w:hAnsi="Cambria Math"/>
                  </w:rPr>
                  <m:t>k</m:t>
                </m:r>
                <m:ctrlPr>
                  <w:rPr>
                    <w:rFonts w:ascii="Cambria Math" w:hAnsi="Cambria Math"/>
                    <w:i/>
                  </w:rPr>
                </m:ctrlPr>
              </m:sub>
            </m:sSub>
            <m:ctrlPr>
              <w:rPr>
                <w:rFonts w:ascii="Cambria Math" w:hAnsi="Cambria Math"/>
                <w:i/>
              </w:rPr>
            </m:ctrlPr>
          </m:den>
        </m:f>
        <m:r>
          <m:rPr/>
          <w:rPr>
            <w:rFonts w:ascii="Cambria Math" w:hAnsi="Cambria Math"/>
          </w:rPr>
          <m:t>×</m:t>
        </m:r>
        <m:sSub>
          <m:sSubPr>
            <m:ctrlPr>
              <w:rPr>
                <w:rFonts w:ascii="Cambria Math" w:hAnsi="Cambria Math"/>
                <w:i/>
              </w:rPr>
            </m:ctrlPr>
          </m:sSubPr>
          <m:e>
            <m:r>
              <m:rPr/>
              <w:rPr>
                <w:rFonts w:ascii="Cambria Math" w:hAnsi="Cambria Math"/>
              </w:rPr>
              <m:t>β</m:t>
            </m:r>
            <m:ctrlPr>
              <w:rPr>
                <w:rFonts w:ascii="Cambria Math" w:hAnsi="Cambria Math"/>
                <w:i/>
              </w:rPr>
            </m:ctrlPr>
          </m:e>
          <m:sub>
            <m:r>
              <m:rPr/>
              <w:rPr>
                <w:rFonts w:ascii="Cambria Math" w:hAnsi="Cambria Math"/>
              </w:rPr>
              <m:t>i</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ascii="Cambria Math" w:hAnsi="Cambria Math"/>
              </w:rPr>
              <m:t>ω</m:t>
            </m:r>
            <m:ctrlPr>
              <w:rPr>
                <w:rFonts w:ascii="Cambria Math" w:hAnsi="Cambria Math"/>
                <w:i/>
              </w:rPr>
            </m:ctrlPr>
          </m:e>
          <m:sub>
            <m:r>
              <m:rPr/>
              <w:rPr>
                <w:rFonts w:ascii="Cambria Math" w:hAnsi="Cambria Math"/>
              </w:rPr>
              <m:t>i</m:t>
            </m:r>
            <m:ctrlPr>
              <w:rPr>
                <w:rFonts w:ascii="Cambria Math" w:hAnsi="Cambria Math"/>
                <w:i/>
              </w:rPr>
            </m:ctrlPr>
          </m:sub>
        </m:sSub>
        <m:r>
          <m:rPr/>
          <w:rPr>
            <w:rFonts w:ascii="Cambria Math" w:hAnsi="Cambria Math"/>
          </w:rPr>
          <m:t>×</m:t>
        </m:r>
        <m:sSub>
          <m:sSubPr>
            <m:ctrlPr>
              <w:rPr>
                <w:rFonts w:ascii="Cambria Math" w:hAnsi="Cambria Math"/>
                <w:i/>
              </w:rPr>
            </m:ctrlPr>
          </m:sSubPr>
          <m:e>
            <m:r>
              <m:rPr/>
              <w:rPr>
                <w:rFonts w:ascii="Cambria Math" w:hAnsi="Cambria Math"/>
              </w:rPr>
              <m:t>α</m:t>
            </m:r>
            <m:ctrlPr>
              <w:rPr>
                <w:rFonts w:ascii="Cambria Math" w:hAnsi="Cambria Math"/>
                <w:i/>
              </w:rPr>
            </m:ctrlPr>
          </m:e>
          <m:sub>
            <m:r>
              <m:rPr/>
              <w:rPr>
                <w:rFonts w:ascii="Cambria Math" w:hAnsi="Cambria Math"/>
              </w:rPr>
              <m:t>i</m:t>
            </m:r>
            <m:ctrlPr>
              <w:rPr>
                <w:rFonts w:ascii="Cambria Math" w:hAnsi="Cambria Math"/>
                <w:i/>
              </w:rPr>
            </m:ctrlPr>
          </m:sub>
        </m:sSub>
        <m:r>
          <m:rPr/>
          <w:rPr>
            <w:rFonts w:ascii="Cambria Math" w:hAnsi="Cambria Math"/>
          </w:rPr>
          <m:t>×10</m:t>
        </m:r>
      </m:oMath>
      <w:r>
        <w:rPr>
          <w:rFonts w:hint="eastAsia" w:hAnsi="Cambria Math" w:cs="宋体"/>
          <w:iCs/>
        </w:rPr>
        <w:tab/>
      </w:r>
      <w:r>
        <w:rPr>
          <w:rFonts w:hint="eastAsia" w:hAnsi="Cambria Math" w:cs="宋体"/>
        </w:rPr>
        <w:t>（B.3）</w:t>
      </w:r>
    </w:p>
    <w:p w14:paraId="144B7FFA">
      <w:pPr>
        <w:pStyle w:val="130"/>
        <w:ind w:firstLine="420" w:firstLineChars="200"/>
        <w:rPr>
          <w:rFonts w:hAnsi="宋体" w:cs="宋体"/>
        </w:rPr>
      </w:pPr>
      <w:r>
        <w:rPr>
          <w:rFonts w:hint="eastAsia" w:hAnsi="宋体" w:cs="宋体"/>
        </w:rPr>
        <w:t>式中：</w:t>
      </w:r>
    </w:p>
    <w:p w14:paraId="2F796546">
      <w:pPr>
        <w:pStyle w:val="130"/>
        <w:ind w:firstLine="420" w:firstLineChars="200"/>
        <w:rPr>
          <w:rFonts w:hAnsi="宋体" w:cs="宋体"/>
        </w:rPr>
      </w:pPr>
      <m:oMath>
        <m:sSub>
          <m:sSubPr>
            <m:ctrlPr>
              <w:rPr>
                <w:rFonts w:hint="eastAsia" w:ascii="Cambria Math" w:hAnsi="Cambria Math" w:cs="宋体"/>
                <w:i/>
              </w:rPr>
            </m:ctrlPr>
          </m:sSubPr>
          <m:e>
            <m:r>
              <m:rPr/>
              <w:rPr>
                <w:rFonts w:ascii="Cambria Math" w:hAnsi="Cambria Math" w:cs="宋体"/>
              </w:rPr>
              <m:t>M</m:t>
            </m:r>
            <m:ctrlPr>
              <w:rPr>
                <w:rFonts w:hint="eastAsia" w:ascii="Cambria Math" w:hAnsi="Cambria Math" w:cs="宋体"/>
                <w:i/>
              </w:rPr>
            </m:ctrlPr>
          </m:e>
          <m:sub>
            <m:sSub>
              <m:sSubPr>
                <m:ctrlPr>
                  <w:rPr>
                    <w:rFonts w:hint="eastAsia" w:ascii="Cambria Math" w:hAnsi="Cambria Math" w:cs="宋体"/>
                    <w:i/>
                  </w:rPr>
                </m:ctrlPr>
              </m:sSubPr>
              <m:e>
                <m:r>
                  <m:rPr/>
                  <w:rPr>
                    <w:rFonts w:ascii="Cambria Math" w:hAnsi="Cambria Math" w:cs="宋体"/>
                  </w:rPr>
                  <m:t>SO</m:t>
                </m:r>
                <m:ctrlPr>
                  <w:rPr>
                    <w:rFonts w:hint="eastAsia" w:ascii="Cambria Math" w:hAnsi="Cambria Math" w:cs="宋体"/>
                    <w:i/>
                  </w:rPr>
                </m:ctrlPr>
              </m:e>
              <m:sub>
                <m:r>
                  <m:rPr/>
                  <w:rPr>
                    <w:rFonts w:hint="eastAsia" w:ascii="Cambria Math" w:hAnsi="Cambria Math" w:cs="宋体"/>
                  </w:rPr>
                  <m:t>2</m:t>
                </m:r>
                <m:ctrlPr>
                  <w:rPr>
                    <w:rFonts w:hint="eastAsia" w:ascii="Cambria Math" w:hAnsi="Cambria Math" w:cs="宋体"/>
                    <w:i/>
                  </w:rPr>
                </m:ctrlPr>
              </m:sub>
            </m:sSub>
            <m:ctrlPr>
              <w:rPr>
                <w:rFonts w:hint="eastAsia" w:ascii="Cambria Math" w:hAnsi="Cambria Math" w:cs="宋体"/>
                <w:i/>
              </w:rPr>
            </m:ctrlPr>
          </m:sub>
        </m:sSub>
      </m:oMath>
      <w:r>
        <w:rPr>
          <w:rFonts w:hint="eastAsia" w:hAnsi="宋体" w:cs="宋体"/>
        </w:rPr>
        <w:t>——二氧化硫削减总量，单位：为吨/年；</w:t>
      </w:r>
    </w:p>
    <w:p w14:paraId="5F2F04E5">
      <w:pPr>
        <w:pStyle w:val="130"/>
        <w:ind w:firstLine="376" w:firstLineChars="200"/>
        <w:rPr>
          <w:rFonts w:hAnsi="宋体" w:cs="宋体"/>
        </w:rPr>
      </w:pPr>
      <m:oMath>
        <m:sSub>
          <m:sSubPr>
            <m:ctrlPr>
              <w:rPr>
                <w:rFonts w:hint="eastAsia" w:ascii="Cambria Math" w:hAnsi="Cambria Math" w:cs="宋体"/>
                <w:i/>
                <w:spacing w:val="-11"/>
              </w:rPr>
            </m:ctrlPr>
          </m:sSubPr>
          <m:e>
            <m:r>
              <m:rPr/>
              <w:rPr>
                <w:rFonts w:ascii="Cambria Math" w:hAnsi="Cambria Math" w:cs="宋体"/>
                <w:spacing w:val="-11"/>
              </w:rPr>
              <m:t>W</m:t>
            </m:r>
            <m:ctrlPr>
              <w:rPr>
                <w:rFonts w:hint="eastAsia" w:ascii="Cambria Math" w:hAnsi="Cambria Math" w:cs="宋体"/>
                <w:i/>
                <w:spacing w:val="-11"/>
              </w:rPr>
            </m:ctrlPr>
          </m:e>
          <m:sub>
            <m:r>
              <m:rPr/>
              <w:rPr>
                <w:rFonts w:ascii="Cambria Math" w:hAnsi="Cambria Math" w:cs="宋体"/>
                <w:spacing w:val="-11"/>
              </w:rPr>
              <m:t>g</m:t>
            </m:r>
            <m:ctrlPr>
              <w:rPr>
                <w:rFonts w:hint="eastAsia" w:ascii="Cambria Math" w:hAnsi="Cambria Math" w:cs="宋体"/>
                <w:i/>
                <w:spacing w:val="-11"/>
              </w:rPr>
            </m:ctrlPr>
          </m:sub>
        </m:sSub>
      </m:oMath>
      <w:r>
        <w:rPr>
          <w:rFonts w:hint="eastAsia" w:ascii="Cambria Math" w:hAnsi="Cambria Math" w:cs="宋体"/>
        </w:rPr>
        <w:t xml:space="preserve">  </w:t>
      </w:r>
      <w:r>
        <w:rPr>
          <w:rFonts w:hint="eastAsia" w:hAnsi="宋体" w:cs="宋体"/>
        </w:rPr>
        <w:t>——</w:t>
      </w:r>
      <w:r>
        <w:rPr>
          <w:rFonts w:hint="eastAsia" w:hAnsi="宋体" w:cs="宋体"/>
          <w:szCs w:val="24"/>
        </w:rPr>
        <w:t>提供服务的年供电量或提供产品后年供电增加量</w:t>
      </w:r>
      <w:r>
        <w:rPr>
          <w:rFonts w:hint="eastAsia" w:hAnsi="宋体" w:cs="宋体"/>
        </w:rPr>
        <w:t>，单位：万千瓦时；</w:t>
      </w:r>
    </w:p>
    <w:p w14:paraId="29DBB68F">
      <w:pPr>
        <w:pStyle w:val="130"/>
        <w:autoSpaceDE/>
        <w:autoSpaceDN/>
        <w:ind w:left="1299" w:leftChars="200" w:hanging="879" w:hangingChars="419"/>
        <w:rPr>
          <w:rFonts w:hAnsi="Cambria Math" w:cs="宋体"/>
        </w:rPr>
      </w:pPr>
      <m:oMath>
        <m:sSub>
          <m:sSubPr>
            <m:ctrlPr>
              <w:rPr>
                <w:rFonts w:ascii="Cambria Math" w:hAnsi="Cambria Math" w:cs="宋体"/>
                <w:i/>
              </w:rPr>
            </m:ctrlPr>
          </m:sSubPr>
          <m:e>
            <m:r>
              <m:rPr/>
              <w:rPr>
                <w:rFonts w:ascii="Cambria Math" w:hAnsi="Cambria Math" w:cs="宋体"/>
              </w:rPr>
              <m:t>β</m:t>
            </m:r>
            <m:ctrlPr>
              <w:rPr>
                <w:rFonts w:ascii="Cambria Math" w:hAnsi="Cambria Math" w:cs="宋体"/>
                <w:i/>
              </w:rPr>
            </m:ctrlPr>
          </m:e>
          <m:sub>
            <m:r>
              <m:rPr/>
              <w:rPr>
                <w:rFonts w:ascii="Cambria Math" w:hAnsi="Cambria Math" w:cs="宋体"/>
              </w:rPr>
              <m:t>k</m:t>
            </m:r>
            <m:ctrlPr>
              <w:rPr>
                <w:rFonts w:ascii="Cambria Math" w:hAnsi="Cambria Math" w:cs="宋体"/>
                <w:i/>
              </w:rPr>
            </m:ctrlPr>
          </m:sub>
        </m:sSub>
      </m:oMath>
      <w:r>
        <w:rPr>
          <w:rFonts w:hint="eastAsia" w:ascii="Cambria Math" w:hAnsi="Cambria Math" w:cs="宋体"/>
        </w:rPr>
        <w:t xml:space="preserve"> </w:t>
      </w:r>
      <w:r>
        <w:rPr>
          <w:rFonts w:hint="eastAsia" w:ascii="Cambria Math" w:hAnsi="Cambria Math" w:cs="宋体"/>
          <w:spacing w:val="11"/>
        </w:rPr>
        <w:t xml:space="preserve"> </w:t>
      </w:r>
      <w:r>
        <w:rPr>
          <w:rFonts w:hint="eastAsia" w:hAnsi="Cambria Math" w:cs="宋体"/>
        </w:rPr>
        <w:t>——清洁能源、建筑可再生能源应用年度全国平均火电供电煤耗，</w:t>
      </w:r>
      <w:r>
        <w:rPr>
          <w:rFonts w:hint="eastAsia" w:hAnsi="宋体" w:cs="宋体"/>
        </w:rPr>
        <w:t>单位：</w:t>
      </w:r>
      <w:r>
        <w:rPr>
          <w:rFonts w:hint="eastAsia" w:hAnsi="Cambria Math" w:cs="宋体"/>
        </w:rPr>
        <w:t>千克/千瓦时；该数值取环境效益测算年度的上一年度全国平均火电供电煤耗度数据；</w:t>
      </w:r>
    </w:p>
    <w:p w14:paraId="6CF75EF8">
      <w:pPr>
        <w:pStyle w:val="130"/>
        <w:ind w:firstLine="420" w:firstLineChars="200"/>
        <w:rPr>
          <w:rFonts w:hAnsi="Cambria Math" w:cs="宋体"/>
        </w:rPr>
      </w:pPr>
      <m:oMath>
        <m:sSub>
          <m:sSubPr>
            <m:ctrlPr>
              <w:rPr>
                <w:rFonts w:hint="eastAsia" w:ascii="Cambria Math" w:hAnsi="Cambria Math" w:cs="宋体"/>
                <w:i/>
                <w:iCs/>
              </w:rPr>
            </m:ctrlPr>
          </m:sSubPr>
          <m:e>
            <m:r>
              <m:rPr/>
              <w:rPr>
                <w:rFonts w:ascii="Cambria Math" w:hAnsi="Cambria Math" w:cs="宋体"/>
              </w:rPr>
              <m:t>β</m:t>
            </m:r>
            <m:ctrlPr>
              <w:rPr>
                <w:rFonts w:hint="eastAsia" w:ascii="Cambria Math" w:hAnsi="Cambria Math" w:cs="宋体"/>
                <w:i/>
                <w:iCs/>
              </w:rPr>
            </m:ctrlPr>
          </m:e>
          <m:sub>
            <m:r>
              <m:rPr/>
              <w:rPr>
                <w:rFonts w:ascii="Cambria Math" w:hAnsi="Cambria Math" w:cs="宋体"/>
              </w:rPr>
              <m:t>i</m:t>
            </m:r>
            <m:ctrlPr>
              <w:rPr>
                <w:rFonts w:hint="eastAsia" w:ascii="Cambria Math" w:hAnsi="Cambria Math" w:cs="宋体"/>
                <w:i/>
                <w:iCs/>
              </w:rPr>
            </m:ctrlPr>
          </m:sub>
        </m:sSub>
      </m:oMath>
      <w:r>
        <w:rPr>
          <w:rFonts w:hint="eastAsia" w:hAnsi="Cambria Math" w:cs="宋体"/>
          <w:iCs/>
        </w:rPr>
        <w:t xml:space="preserve">  </w:t>
      </w:r>
      <w:r>
        <w:rPr>
          <w:rFonts w:hint="eastAsia" w:hAnsi="Cambria Math" w:cs="宋体"/>
          <w:iCs/>
          <w:spacing w:val="-20"/>
        </w:rPr>
        <w:t xml:space="preserve"> </w:t>
      </w:r>
      <w:r>
        <w:rPr>
          <w:rFonts w:hint="eastAsia" w:hAnsi="Cambria Math" w:cs="宋体"/>
        </w:rPr>
        <w:t>——原煤折标准煤系数，</w:t>
      </w:r>
      <w:r>
        <w:rPr>
          <w:rFonts w:hint="eastAsia" w:hAnsi="宋体" w:cs="宋体"/>
        </w:rPr>
        <w:t>单位：</w:t>
      </w:r>
      <w:r>
        <w:rPr>
          <w:rFonts w:hint="eastAsia" w:hAnsi="Cambria Math" w:cs="宋体"/>
        </w:rPr>
        <w:t>千克标煤/千克，缺省值取0.7143千克标煤/千克；</w:t>
      </w:r>
    </w:p>
    <w:p w14:paraId="690333D2">
      <w:pPr>
        <w:pStyle w:val="130"/>
        <w:ind w:firstLine="420" w:firstLineChars="200"/>
        <w:rPr>
          <w:rFonts w:hAnsi="Cambria Math" w:cs="宋体"/>
        </w:rPr>
      </w:pPr>
      <m:oMath>
        <m:sSub>
          <m:sSubPr>
            <m:ctrlPr>
              <w:rPr>
                <w:rFonts w:ascii="Cambria Math" w:hAnsi="Cambria Math" w:cs="宋体"/>
                <w:i/>
              </w:rPr>
            </m:ctrlPr>
          </m:sSubPr>
          <m:e>
            <m:r>
              <m:rPr/>
              <w:rPr>
                <w:rFonts w:ascii="Cambria Math" w:hAnsi="Cambria Math" w:cs="Cambria Math"/>
              </w:rPr>
              <m:t>ω</m:t>
            </m:r>
            <m:ctrlPr>
              <w:rPr>
                <w:rFonts w:ascii="Cambria Math" w:hAnsi="Cambria Math" w:cs="宋体"/>
                <w:i/>
              </w:rPr>
            </m:ctrlPr>
          </m:e>
          <m:sub>
            <m:r>
              <m:rPr/>
              <w:rPr>
                <w:rFonts w:ascii="Cambria Math" w:hAnsi="Cambria Math" w:cs="宋体"/>
              </w:rPr>
              <m:t>i</m:t>
            </m:r>
            <m:ctrlPr>
              <w:rPr>
                <w:rFonts w:ascii="Cambria Math" w:hAnsi="Cambria Math" w:cs="宋体"/>
                <w:i/>
              </w:rPr>
            </m:ctrlPr>
          </m:sub>
        </m:sSub>
      </m:oMath>
      <w:r>
        <w:rPr>
          <w:rFonts w:hint="eastAsia" w:hAnsi="Cambria Math" w:cs="宋体"/>
        </w:rPr>
        <w:t xml:space="preserve"> </w:t>
      </w:r>
      <w:r>
        <w:rPr>
          <w:rFonts w:hint="eastAsia" w:hAnsi="Cambria Math" w:cs="宋体"/>
          <w:spacing w:val="-17"/>
        </w:rPr>
        <w:t xml:space="preserve">  </w:t>
      </w:r>
      <w:r>
        <w:rPr>
          <w:rFonts w:hint="eastAsia" w:hAnsi="Cambria Math" w:cs="宋体"/>
        </w:rPr>
        <w:t>——所在地煤炭平均硫分，</w:t>
      </w:r>
      <w:r>
        <w:rPr>
          <w:rFonts w:hint="eastAsia" w:hAnsi="宋体" w:cs="宋体"/>
        </w:rPr>
        <w:t>单位：</w:t>
      </w:r>
      <w:r>
        <w:rPr>
          <w:rFonts w:hint="eastAsia" w:hAnsi="Cambria Math" w:cs="宋体"/>
        </w:rPr>
        <w:t>%；缺省值取1.2%；</w:t>
      </w:r>
    </w:p>
    <w:p w14:paraId="3AE7F680">
      <w:pPr>
        <w:pStyle w:val="130"/>
        <w:ind w:firstLine="420" w:firstLineChars="200"/>
      </w:pPr>
      <m:oMath>
        <m:sSub>
          <m:sSubPr>
            <m:ctrlPr>
              <w:rPr>
                <w:rFonts w:ascii="Cambria Math" w:hAnsi="Cambria Math" w:cs="宋体"/>
                <w:i/>
              </w:rPr>
            </m:ctrlPr>
          </m:sSubPr>
          <m:e>
            <m:r>
              <m:rPr/>
              <w:rPr>
                <w:rFonts w:ascii="Cambria Math" w:hAnsi="Cambria Math" w:cs="宋体"/>
              </w:rPr>
              <m:t>α</m:t>
            </m:r>
            <m:ctrlPr>
              <w:rPr>
                <w:rFonts w:ascii="Cambria Math" w:hAnsi="Cambria Math" w:cs="宋体"/>
                <w:i/>
              </w:rPr>
            </m:ctrlPr>
          </m:e>
          <m:sub>
            <m:r>
              <m:rPr/>
              <w:rPr>
                <w:rFonts w:ascii="Cambria Math" w:hAnsi="Cambria Math" w:cs="宋体"/>
              </w:rPr>
              <m:t>i</m:t>
            </m:r>
            <m:ctrlPr>
              <w:rPr>
                <w:rFonts w:ascii="Cambria Math" w:hAnsi="Cambria Math" w:cs="宋体"/>
                <w:i/>
              </w:rPr>
            </m:ctrlPr>
          </m:sub>
        </m:sSub>
      </m:oMath>
      <w:r>
        <w:rPr>
          <w:rFonts w:hint="eastAsia" w:hAnsi="Cambria Math" w:cs="宋体"/>
        </w:rPr>
        <w:t xml:space="preserve">  ——全国火电机组（燃煤）普查平均二氧化硫释放系数（产污系数），缺省值取1.7。</w:t>
      </w:r>
    </w:p>
    <w:p w14:paraId="6FE865F6">
      <w:pPr>
        <w:pStyle w:val="59"/>
        <w:numPr>
          <w:ilvl w:val="255"/>
          <w:numId w:val="0"/>
        </w:numPr>
        <w:tabs>
          <w:tab w:val="center" w:pos="4201"/>
          <w:tab w:val="right" w:leader="dot" w:pos="9298"/>
        </w:tabs>
        <w:spacing w:before="156" w:after="156"/>
        <w:outlineLvl w:val="9"/>
        <w:rPr>
          <w:rFonts w:hAnsi="宋体" w:cs="宋体"/>
        </w:rPr>
      </w:pPr>
      <w:r>
        <w:rPr>
          <w:rFonts w:hint="eastAsia" w:hAnsi="宋体" w:cs="宋体"/>
        </w:rPr>
        <w:t>B.4  氮氧化物削减量</w:t>
      </w:r>
    </w:p>
    <w:p w14:paraId="419C89ED">
      <w:pPr>
        <w:pStyle w:val="25"/>
        <w:rPr>
          <w:rFonts w:hAnsi="宋体" w:cs="宋体"/>
        </w:rPr>
      </w:pPr>
      <w:r>
        <w:rPr>
          <w:rFonts w:hint="eastAsia" w:hAnsi="宋体" w:cs="宋体"/>
        </w:rPr>
        <w:t>指提供的绿色业务领域相关产品或服务，在采购方应用过程中，因替代化石能源消耗，折算产生的氮氧化物减少量。计算公式见公式（B.4）。</w:t>
      </w:r>
    </w:p>
    <w:p w14:paraId="2D6410CE">
      <w:pPr>
        <w:pStyle w:val="130"/>
        <w:tabs>
          <w:tab w:val="center" w:leader="middleDot" w:pos="5680"/>
          <w:tab w:val="clear" w:pos="4201"/>
        </w:tabs>
        <w:autoSpaceDE/>
        <w:autoSpaceDN/>
        <w:jc w:val="right"/>
        <w:rPr>
          <w:rFonts w:hAnsi="宋体" w:cs="宋体"/>
        </w:rPr>
      </w:pPr>
      <m:oMath>
        <m:sSub>
          <m:sSubPr>
            <m:ctrlPr>
              <w:rPr>
                <w:rFonts w:hint="eastAsia" w:ascii="Cambria Math" w:hAnsi="Cambria Math" w:cs="宋体"/>
                <w:i/>
              </w:rPr>
            </m:ctrlPr>
          </m:sSubPr>
          <m:e>
            <m:r>
              <m:rPr/>
              <w:rPr>
                <w:rFonts w:ascii="Cambria Math" w:hAnsi="Cambria Math" w:cs="宋体"/>
              </w:rPr>
              <m:t>M</m:t>
            </m:r>
            <m:ctrlPr>
              <w:rPr>
                <w:rFonts w:hint="eastAsia" w:ascii="Cambria Math" w:hAnsi="Cambria Math" w:cs="宋体"/>
                <w:i/>
              </w:rPr>
            </m:ctrlPr>
          </m:e>
          <m:sub>
            <m:sSub>
              <m:sSubPr>
                <m:ctrlPr>
                  <w:rPr>
                    <w:rFonts w:hint="eastAsia" w:ascii="Cambria Math" w:hAnsi="Cambria Math" w:cs="宋体"/>
                    <w:i/>
                  </w:rPr>
                </m:ctrlPr>
              </m:sSubPr>
              <m:e>
                <m:r>
                  <m:rPr/>
                  <w:rPr>
                    <w:rFonts w:ascii="Cambria Math" w:hAnsi="Cambria Math" w:cs="宋体"/>
                  </w:rPr>
                  <m:t>NO</m:t>
                </m:r>
                <m:ctrlPr>
                  <w:rPr>
                    <w:rFonts w:hint="eastAsia" w:ascii="Cambria Math" w:hAnsi="Cambria Math" w:cs="宋体"/>
                    <w:i/>
                  </w:rPr>
                </m:ctrlPr>
              </m:e>
              <m:sub>
                <m:r>
                  <m:rPr/>
                  <w:rPr>
                    <w:rFonts w:ascii="Cambria Math" w:hAnsi="Cambria Math" w:cs="宋体"/>
                  </w:rPr>
                  <m:t>x</m:t>
                </m:r>
                <m:ctrlPr>
                  <w:rPr>
                    <w:rFonts w:hint="eastAsia" w:ascii="Cambria Math" w:hAnsi="Cambria Math" w:cs="宋体"/>
                    <w:i/>
                  </w:rPr>
                </m:ctrlPr>
              </m:sub>
            </m:sSub>
            <m:ctrlPr>
              <w:rPr>
                <w:rFonts w:hint="eastAsia" w:ascii="Cambria Math" w:hAnsi="Cambria Math" w:cs="宋体"/>
                <w:i/>
              </w:rPr>
            </m:ctrlPr>
          </m:sub>
        </m:sSub>
        <m:r>
          <m:rPr/>
          <w:rPr>
            <w:rFonts w:hint="eastAsia" w:ascii="Cambria Math" w:hAnsi="Cambria Math" w:cs="宋体"/>
          </w:rPr>
          <m:t>=</m:t>
        </m:r>
        <m:f>
          <m:fPr>
            <m:ctrlPr>
              <w:rPr>
                <w:rFonts w:ascii="Cambria Math" w:hAnsi="Cambria Math"/>
                <w:i/>
              </w:rPr>
            </m:ctrlPr>
          </m:fPr>
          <m:num>
            <m:sSub>
              <m:sSubPr>
                <m:ctrlPr>
                  <w:rPr>
                    <w:rFonts w:ascii="Cambria Math" w:hAnsi="Cambria Math"/>
                    <w:i/>
                  </w:rPr>
                </m:ctrlPr>
              </m:sSubPr>
              <m:e>
                <m:r>
                  <m:rPr/>
                  <w:rPr>
                    <w:rFonts w:ascii="Cambria Math" w:hAnsi="Cambria Math"/>
                  </w:rPr>
                  <m:t>W</m:t>
                </m:r>
                <m:ctrlPr>
                  <w:rPr>
                    <w:rFonts w:ascii="Cambria Math" w:hAnsi="Cambria Math"/>
                    <w:i/>
                  </w:rPr>
                </m:ctrlPr>
              </m:e>
              <m:sub>
                <m:r>
                  <m:rPr/>
                  <w:rPr>
                    <w:rFonts w:ascii="Cambria Math" w:hAnsi="Cambria Math"/>
                  </w:rPr>
                  <m:t>g</m:t>
                </m:r>
                <m:ctrlPr>
                  <w:rPr>
                    <w:rFonts w:ascii="Cambria Math" w:hAnsi="Cambria Math"/>
                    <w:i/>
                  </w:rPr>
                </m:ctrlPr>
              </m:sub>
            </m:sSub>
            <m:ctrlPr>
              <w:rPr>
                <w:rFonts w:ascii="Cambria Math" w:hAnsi="Cambria Math"/>
                <w:i/>
              </w:rPr>
            </m:ctrlPr>
          </m:num>
          <m:den>
            <m:sSub>
              <m:sSubPr>
                <m:ctrlPr>
                  <w:rPr>
                    <w:rFonts w:ascii="Cambria Math" w:hAnsi="Cambria Math"/>
                    <w:i/>
                  </w:rPr>
                </m:ctrlPr>
              </m:sSubPr>
              <m:e>
                <m:r>
                  <m:rPr/>
                  <w:rPr>
                    <w:rFonts w:ascii="Cambria Math" w:hAnsi="Cambria Math"/>
                  </w:rPr>
                  <m:t>β</m:t>
                </m:r>
                <m:ctrlPr>
                  <w:rPr>
                    <w:rFonts w:ascii="Cambria Math" w:hAnsi="Cambria Math"/>
                    <w:i/>
                  </w:rPr>
                </m:ctrlPr>
              </m:e>
              <m:sub>
                <m:r>
                  <m:rPr/>
                  <w:rPr>
                    <w:rFonts w:ascii="Cambria Math" w:hAnsi="Cambria Math"/>
                  </w:rPr>
                  <m:t>k</m:t>
                </m:r>
                <m:ctrlPr>
                  <w:rPr>
                    <w:rFonts w:ascii="Cambria Math" w:hAnsi="Cambria Math"/>
                    <w:i/>
                  </w:rPr>
                </m:ctrlPr>
              </m:sub>
            </m:sSub>
            <m:ctrlPr>
              <w:rPr>
                <w:rFonts w:ascii="Cambria Math" w:hAnsi="Cambria Math"/>
                <w:i/>
              </w:rPr>
            </m:ctrlPr>
          </m:den>
        </m:f>
        <m:r>
          <m:rPr/>
          <w:rPr>
            <w:rFonts w:ascii="Cambria Math" w:hAnsi="Cambria Math"/>
          </w:rPr>
          <m:t>×</m:t>
        </m:r>
        <m:sSub>
          <m:sSubPr>
            <m:ctrlPr>
              <w:rPr>
                <w:rFonts w:ascii="Cambria Math" w:hAnsi="Cambria Math"/>
                <w:i/>
              </w:rPr>
            </m:ctrlPr>
          </m:sSubPr>
          <m:e>
            <m:r>
              <m:rPr/>
              <w:rPr>
                <w:rFonts w:ascii="Cambria Math" w:hAnsi="Cambria Math"/>
              </w:rPr>
              <m:t>β</m:t>
            </m:r>
            <m:ctrlPr>
              <w:rPr>
                <w:rFonts w:ascii="Cambria Math" w:hAnsi="Cambria Math"/>
                <w:i/>
              </w:rPr>
            </m:ctrlPr>
          </m:e>
          <m:sub>
            <m:r>
              <m:rPr/>
              <w:rPr>
                <w:rFonts w:ascii="Cambria Math" w:hAnsi="Cambria Math"/>
              </w:rPr>
              <m:t>i</m:t>
            </m:r>
            <m:ctrlPr>
              <w:rPr>
                <w:rFonts w:ascii="Cambria Math" w:hAnsi="Cambria Math"/>
                <w:i/>
              </w:rPr>
            </m:ctrlPr>
          </m:sub>
        </m:sSub>
        <m:r>
          <m:rPr/>
          <w:rPr>
            <w:rFonts w:ascii="Cambria Math" w:hAnsi="Cambria Math"/>
          </w:rPr>
          <m:t>×k×</m:t>
        </m:r>
        <m:sSup>
          <m:sSupPr>
            <m:ctrlPr>
              <w:rPr>
                <w:rFonts w:ascii="Cambria Math" w:hAnsi="Cambria Math"/>
                <w:i/>
              </w:rPr>
            </m:ctrlPr>
          </m:sSupPr>
          <m:e>
            <m:r>
              <m:rPr/>
              <w:rPr>
                <w:rFonts w:ascii="Cambria Math" w:hAnsi="Cambria Math"/>
              </w:rPr>
              <m:t>10</m:t>
            </m:r>
            <m:ctrlPr>
              <w:rPr>
                <w:rFonts w:ascii="Cambria Math" w:hAnsi="Cambria Math"/>
                <w:i/>
              </w:rPr>
            </m:ctrlPr>
          </m:e>
          <m:sup>
            <m:r>
              <m:rPr/>
              <w:rPr>
                <w:rFonts w:ascii="Cambria Math" w:hAnsi="Cambria Math"/>
              </w:rPr>
              <m:t>−2</m:t>
            </m:r>
            <m:ctrlPr>
              <w:rPr>
                <w:rFonts w:ascii="Cambria Math" w:hAnsi="Cambria Math"/>
                <w:i/>
              </w:rPr>
            </m:ctrlPr>
          </m:sup>
        </m:sSup>
      </m:oMath>
      <w:r>
        <w:rPr>
          <w:rFonts w:hint="eastAsia" w:hAnsi="Cambria Math" w:cs="宋体"/>
          <w:iCs/>
        </w:rPr>
        <w:tab/>
      </w:r>
      <w:r>
        <w:rPr>
          <w:rFonts w:hint="eastAsia" w:hAnsi="Cambria Math" w:cs="宋体"/>
        </w:rPr>
        <w:t>（B.4）</w:t>
      </w:r>
    </w:p>
    <w:p w14:paraId="72E58227">
      <w:pPr>
        <w:pStyle w:val="130"/>
        <w:ind w:firstLine="420" w:firstLineChars="200"/>
        <w:rPr>
          <w:rFonts w:hAnsi="宋体" w:cs="宋体"/>
        </w:rPr>
      </w:pPr>
      <w:r>
        <w:rPr>
          <w:rFonts w:hint="eastAsia" w:hAnsi="宋体" w:cs="宋体"/>
        </w:rPr>
        <w:t>式中：</w:t>
      </w:r>
    </w:p>
    <w:p w14:paraId="69BF11C5">
      <w:pPr>
        <w:pStyle w:val="130"/>
        <w:ind w:firstLine="420" w:firstLineChars="200"/>
        <w:rPr>
          <w:rFonts w:ascii="仿宋_GB2312" w:hAnsi="宋体" w:eastAsia="仿宋_GB2312"/>
          <w:szCs w:val="21"/>
        </w:rPr>
      </w:pPr>
      <m:oMath>
        <m:sSub>
          <m:sSubPr>
            <m:ctrlPr>
              <w:rPr>
                <w:rFonts w:hint="eastAsia" w:ascii="Cambria Math" w:hAnsi="Cambria Math" w:cs="宋体"/>
                <w:i/>
              </w:rPr>
            </m:ctrlPr>
          </m:sSubPr>
          <m:e>
            <m:r>
              <m:rPr/>
              <w:rPr>
                <w:rFonts w:ascii="Cambria Math" w:hAnsi="Cambria Math" w:cs="宋体"/>
              </w:rPr>
              <m:t>M</m:t>
            </m:r>
            <m:ctrlPr>
              <w:rPr>
                <w:rFonts w:hint="eastAsia" w:ascii="Cambria Math" w:hAnsi="Cambria Math" w:cs="宋体"/>
                <w:i/>
              </w:rPr>
            </m:ctrlPr>
          </m:e>
          <m:sub>
            <m:sSub>
              <m:sSubPr>
                <m:ctrlPr>
                  <w:rPr>
                    <w:rFonts w:hint="eastAsia" w:ascii="Cambria Math" w:hAnsi="Cambria Math" w:cs="宋体"/>
                    <w:i/>
                  </w:rPr>
                </m:ctrlPr>
              </m:sSubPr>
              <m:e>
                <m:r>
                  <m:rPr/>
                  <w:rPr>
                    <w:rFonts w:ascii="Cambria Math" w:hAnsi="Cambria Math" w:cs="宋体"/>
                  </w:rPr>
                  <m:t>NO</m:t>
                </m:r>
                <m:ctrlPr>
                  <w:rPr>
                    <w:rFonts w:hint="eastAsia" w:ascii="Cambria Math" w:hAnsi="Cambria Math" w:cs="宋体"/>
                    <w:i/>
                  </w:rPr>
                </m:ctrlPr>
              </m:e>
              <m:sub>
                <m:r>
                  <m:rPr/>
                  <w:rPr>
                    <w:rFonts w:ascii="Cambria Math" w:hAnsi="Cambria Math" w:cs="宋体"/>
                  </w:rPr>
                  <m:t>x</m:t>
                </m:r>
                <m:ctrlPr>
                  <w:rPr>
                    <w:rFonts w:hint="eastAsia" w:ascii="Cambria Math" w:hAnsi="Cambria Math" w:cs="宋体"/>
                    <w:i/>
                  </w:rPr>
                </m:ctrlPr>
              </m:sub>
            </m:sSub>
            <m:ctrlPr>
              <w:rPr>
                <w:rFonts w:hint="eastAsia" w:ascii="Cambria Math" w:hAnsi="Cambria Math" w:cs="宋体"/>
                <w:i/>
              </w:rPr>
            </m:ctrlPr>
          </m:sub>
        </m:sSub>
      </m:oMath>
      <w:r>
        <w:rPr>
          <w:rFonts w:hint="eastAsia" w:hAnsi="宋体" w:cs="宋体"/>
        </w:rPr>
        <w:t>——氮氧化物削减总量，单位为吨/年；</w:t>
      </w:r>
    </w:p>
    <w:p w14:paraId="6219994B">
      <w:pPr>
        <w:ind w:firstLine="422" w:firstLineChars="201"/>
        <w:rPr>
          <w:rFonts w:ascii="宋体" w:hAnsi="宋体" w:cs="宋体"/>
        </w:rPr>
      </w:pPr>
      <m:oMath>
        <m:sSub>
          <m:sSubPr>
            <m:ctrlPr>
              <w:rPr>
                <w:rFonts w:ascii="Cambria Math" w:hAnsi="Cambria Math"/>
                <w:i/>
              </w:rPr>
            </m:ctrlPr>
          </m:sSubPr>
          <m:e>
            <m:r>
              <m:rPr/>
              <w:rPr>
                <w:rFonts w:ascii="Cambria Math" w:hAnsi="Cambria Math"/>
              </w:rPr>
              <m:t>W</m:t>
            </m:r>
            <m:ctrlPr>
              <w:rPr>
                <w:rFonts w:ascii="Cambria Math" w:hAnsi="Cambria Math"/>
                <w:i/>
              </w:rPr>
            </m:ctrlPr>
          </m:e>
          <m:sub>
            <m:r>
              <m:rPr/>
              <w:rPr>
                <w:rFonts w:ascii="Cambria Math" w:hAnsi="Cambria Math"/>
              </w:rPr>
              <m:t>g</m:t>
            </m:r>
            <m:ctrlPr>
              <w:rPr>
                <w:rFonts w:ascii="Cambria Math" w:hAnsi="Cambria Math"/>
                <w:i/>
              </w:rPr>
            </m:ctrlPr>
          </m:sub>
        </m:sSub>
      </m:oMath>
      <w:r>
        <w:rPr>
          <w:rFonts w:hint="eastAsia" w:ascii="Cambria Math" w:hAnsi="Cambria Math"/>
        </w:rPr>
        <w:t xml:space="preserve"> </w:t>
      </w:r>
      <w:r>
        <w:rPr>
          <w:rFonts w:hint="eastAsia" w:ascii="Cambria Math" w:hAnsi="Cambria Math"/>
          <w:spacing w:val="-20"/>
        </w:rPr>
        <w:t xml:space="preserve"> </w:t>
      </w:r>
      <w:r>
        <w:rPr>
          <w:rFonts w:hint="eastAsia" w:hAnsi="Cambria Math" w:cs="宋体"/>
        </w:rPr>
        <w:t>——</w:t>
      </w:r>
      <w:r>
        <w:rPr>
          <w:rFonts w:hint="eastAsia" w:ascii="宋体" w:hAnsi="宋体" w:cs="宋体"/>
        </w:rPr>
        <w:t>提供服务的年供电量或提供产品后年供电增加量，单位为万千瓦时；</w:t>
      </w:r>
    </w:p>
    <w:p w14:paraId="0B1AAD36">
      <w:pPr>
        <w:ind w:firstLine="422" w:firstLineChars="201"/>
        <w:rPr>
          <w:rFonts w:ascii="宋体" w:hAnsi="宋体" w:cs="宋体"/>
        </w:rPr>
      </w:pPr>
      <m:oMath>
        <m:sSub>
          <m:sSubPr>
            <m:ctrlPr>
              <w:rPr>
                <w:rFonts w:ascii="Cambria Math" w:hAnsi="Cambria Math"/>
                <w:i/>
              </w:rPr>
            </m:ctrlPr>
          </m:sSubPr>
          <m:e>
            <m:r>
              <m:rPr/>
              <w:rPr>
                <w:rFonts w:ascii="Cambria Math" w:hAnsi="Cambria Math"/>
              </w:rPr>
              <m:t>β</m:t>
            </m:r>
            <m:ctrlPr>
              <w:rPr>
                <w:rFonts w:ascii="Cambria Math" w:hAnsi="Cambria Math"/>
                <w:i/>
              </w:rPr>
            </m:ctrlPr>
          </m:e>
          <m:sub>
            <m:r>
              <m:rPr/>
              <w:rPr>
                <w:rFonts w:ascii="Cambria Math" w:hAnsi="Cambria Math"/>
              </w:rPr>
              <m:t>i</m:t>
            </m:r>
            <m:ctrlPr>
              <w:rPr>
                <w:rFonts w:ascii="Cambria Math" w:hAnsi="Cambria Math"/>
                <w:i/>
              </w:rPr>
            </m:ctrlPr>
          </m:sub>
        </m:sSub>
      </m:oMath>
      <w:r>
        <w:rPr>
          <w:rFonts w:hint="eastAsia" w:ascii="Cambria Math" w:hAnsi="Cambria Math"/>
        </w:rPr>
        <w:t xml:space="preserve">  </w:t>
      </w:r>
      <w:r>
        <w:rPr>
          <w:rFonts w:hint="eastAsia" w:ascii="Cambria Math" w:hAnsi="Cambria Math"/>
          <w:spacing w:val="-20"/>
        </w:rPr>
        <w:t xml:space="preserve"> </w:t>
      </w:r>
      <w:r>
        <w:rPr>
          <w:rFonts w:hint="eastAsia" w:hAnsi="Cambria Math" w:cs="宋体"/>
        </w:rPr>
        <w:t>——清洁能源、建筑可再生能源应用</w:t>
      </w:r>
      <w:r>
        <w:rPr>
          <w:rFonts w:hint="eastAsia" w:ascii="宋体" w:hAnsi="宋体" w:cs="宋体"/>
        </w:rPr>
        <w:t>年度全国火电平均供电煤耗，单位为千克标准煤/千瓦时；</w:t>
      </w:r>
    </w:p>
    <w:p w14:paraId="1973B7BA">
      <w:pPr>
        <w:ind w:firstLine="422" w:firstLineChars="201"/>
        <w:rPr>
          <w:rFonts w:ascii="宋体" w:hAnsi="宋体" w:cs="宋体"/>
        </w:rPr>
      </w:pPr>
      <m:oMath>
        <m:sSub>
          <m:sSubPr>
            <m:ctrlPr>
              <w:rPr>
                <w:rFonts w:ascii="Cambria Math" w:hAnsi="Cambria Math"/>
                <w:i/>
              </w:rPr>
            </m:ctrlPr>
          </m:sSubPr>
          <m:e>
            <m:r>
              <m:rPr/>
              <w:rPr>
                <w:rFonts w:ascii="Cambria Math" w:hAnsi="Cambria Math"/>
              </w:rPr>
              <m:t>β</m:t>
            </m:r>
            <m:ctrlPr>
              <w:rPr>
                <w:rFonts w:ascii="Cambria Math" w:hAnsi="Cambria Math"/>
                <w:i/>
              </w:rPr>
            </m:ctrlPr>
          </m:e>
          <m:sub>
            <m:r>
              <m:rPr/>
              <w:rPr>
                <w:rFonts w:ascii="Cambria Math" w:hAnsi="Cambria Math"/>
              </w:rPr>
              <m:t>i</m:t>
            </m:r>
            <m:ctrlPr>
              <w:rPr>
                <w:rFonts w:ascii="Cambria Math" w:hAnsi="Cambria Math"/>
                <w:i/>
              </w:rPr>
            </m:ctrlPr>
          </m:sub>
        </m:sSub>
      </m:oMath>
      <w:r>
        <w:rPr>
          <w:rFonts w:hint="eastAsia" w:ascii="Cambria Math" w:hAnsi="Cambria Math"/>
        </w:rPr>
        <w:t xml:space="preserve">  </w:t>
      </w:r>
      <w:r>
        <w:rPr>
          <w:rFonts w:hint="eastAsia" w:ascii="Cambria Math" w:hAnsi="Cambria Math"/>
          <w:spacing w:val="-20"/>
        </w:rPr>
        <w:t xml:space="preserve"> </w:t>
      </w:r>
      <w:r>
        <w:rPr>
          <w:rFonts w:hint="eastAsia" w:hAnsi="Cambria Math" w:cs="宋体"/>
        </w:rPr>
        <w:t>——</w:t>
      </w:r>
      <w:r>
        <w:rPr>
          <w:rFonts w:hint="eastAsia" w:ascii="宋体" w:hAnsi="宋体" w:cs="宋体"/>
        </w:rPr>
        <w:t>原煤折标准煤系数，单位为千克标煤/千克，缺省值取0.7143千克标煤/千克</w:t>
      </w:r>
    </w:p>
    <w:p w14:paraId="075C1C83">
      <w:pPr>
        <w:pStyle w:val="130"/>
        <w:numPr>
          <w:ilvl w:val="255"/>
          <w:numId w:val="0"/>
        </w:numPr>
        <w:autoSpaceDE/>
        <w:autoSpaceDN/>
        <w:ind w:left="1323" w:leftChars="200" w:hanging="903" w:hangingChars="430"/>
        <w:rPr>
          <w:rFonts w:ascii="Times New Roman"/>
        </w:rPr>
      </w:pPr>
      <m:oMath>
        <m:r>
          <m:rPr/>
          <w:rPr>
            <w:rFonts w:ascii="Cambria Math" w:hAnsi="Cambria Math"/>
          </w:rPr>
          <m:t>K</m:t>
        </m:r>
      </m:oMath>
      <w:r>
        <w:rPr>
          <w:rFonts w:hint="eastAsia" w:ascii="Cambria Math" w:hAnsi="Cambria Math"/>
        </w:rPr>
        <w:t xml:space="preserve">  </w:t>
      </w:r>
      <w:r>
        <w:rPr>
          <w:rFonts w:hint="eastAsia" w:ascii="Cambria Math" w:hAnsi="Cambria Math"/>
          <w:spacing w:val="6"/>
        </w:rPr>
        <w:t xml:space="preserve"> </w:t>
      </w:r>
      <w:r>
        <w:rPr>
          <w:rFonts w:hint="eastAsia" w:hAnsi="Cambria Math" w:cs="宋体"/>
        </w:rPr>
        <w:t>——</w:t>
      </w:r>
      <w:r>
        <w:rPr>
          <w:rFonts w:hint="eastAsia" w:hAnsi="宋体" w:cs="宋体"/>
          <w:szCs w:val="24"/>
        </w:rPr>
        <w:t>燃煤火力发电机组的氮氧化物产污系数，单位为千克/吨（按照新建燃煤低氮燃烧机组取值，缺省值为3.30千克/吨）。</w:t>
      </w:r>
    </w:p>
    <w:p w14:paraId="73BE7B12">
      <w:pPr>
        <w:numPr>
          <w:ilvl w:val="255"/>
          <w:numId w:val="0"/>
        </w:numPr>
      </w:pPr>
    </w:p>
    <w:p w14:paraId="6D844531">
      <w:pPr>
        <w:numPr>
          <w:ilvl w:val="255"/>
          <w:numId w:val="0"/>
        </w:numPr>
      </w:pPr>
      <w:r>
        <w:br w:type="page"/>
      </w:r>
    </w:p>
    <w:p w14:paraId="065F591F">
      <w:pPr>
        <w:pStyle w:val="87"/>
        <w:spacing w:after="0"/>
      </w:pPr>
      <w:bookmarkStart w:id="204" w:name="_Toc195040401"/>
      <w:bookmarkEnd w:id="204"/>
      <w:bookmarkStart w:id="205" w:name="_Toc184886958"/>
      <w:bookmarkEnd w:id="205"/>
    </w:p>
    <w:bookmarkEnd w:id="197"/>
    <w:bookmarkEnd w:id="203"/>
    <w:p w14:paraId="12EAB888">
      <w:pPr>
        <w:jc w:val="center"/>
      </w:pPr>
      <w:r>
        <w:rPr>
          <w:rFonts w:hint="eastAsia" w:eastAsia="黑体"/>
          <w:kern w:val="0"/>
          <w:szCs w:val="20"/>
        </w:rPr>
        <w:t>（资料性）</w:t>
      </w:r>
      <w:r>
        <w:rPr>
          <w:rFonts w:eastAsia="黑体"/>
          <w:kern w:val="0"/>
          <w:szCs w:val="20"/>
        </w:rPr>
        <w:br w:type="textWrapping"/>
      </w:r>
      <w:bookmarkStart w:id="206" w:name="_Hlk195040507"/>
      <w:r>
        <w:rPr>
          <w:rFonts w:hint="eastAsia" w:eastAsia="黑体"/>
          <w:kern w:val="0"/>
          <w:szCs w:val="20"/>
        </w:rPr>
        <w:t>智能电网建设运营领域绿色低碳产业企业认定评价报告模板</w:t>
      </w:r>
      <w:bookmarkEnd w:id="206"/>
    </w:p>
    <w:p w14:paraId="51B5EAB5">
      <w:pPr>
        <w:numPr>
          <w:ilvl w:val="1"/>
          <w:numId w:val="0"/>
        </w:numPr>
        <w:spacing w:before="156" w:beforeLines="50" w:after="156" w:afterLines="50"/>
      </w:pPr>
      <w:r>
        <w:rPr>
          <w:rFonts w:hint="eastAsia" w:ascii="黑体" w:hAnsi="黑体" w:eastAsia="黑体" w:cs="黑体"/>
          <w:szCs w:val="21"/>
        </w:rPr>
        <w:t>C.1  封面</w:t>
      </w:r>
    </w:p>
    <w:p w14:paraId="4AFA0F86">
      <w:pPr>
        <w:pStyle w:val="25"/>
        <w:rPr>
          <w:rFonts w:hAnsi="宋体" w:cs="宋体"/>
          <w:szCs w:val="24"/>
        </w:rPr>
      </w:pPr>
      <w:r>
        <w:rPr>
          <w:rFonts w:hint="eastAsia" w:ascii="Times New Roman"/>
        </w:rPr>
        <w:t>智能电网建设运营领域</w:t>
      </w:r>
      <w:r>
        <w:rPr>
          <w:rFonts w:hint="eastAsia" w:ascii="Times New Roman"/>
          <w:szCs w:val="24"/>
        </w:rPr>
        <w:t>绿色低碳产业企业认定评价报告封面</w:t>
      </w:r>
      <w:r>
        <w:rPr>
          <w:rFonts w:hint="eastAsia" w:hAnsi="宋体" w:cs="宋体"/>
          <w:szCs w:val="24"/>
        </w:rPr>
        <w:t>要求见表C.1。</w:t>
      </w:r>
    </w:p>
    <w:p w14:paraId="7632657D">
      <w:pPr>
        <w:pStyle w:val="90"/>
        <w:numPr>
          <w:ilvl w:val="1"/>
          <w:numId w:val="0"/>
        </w:numPr>
        <w:tabs>
          <w:tab w:val="clear" w:pos="0"/>
        </w:tabs>
        <w:spacing w:before="156" w:after="156"/>
        <w:rPr>
          <w:rFonts w:hAnsi="黑体"/>
        </w:rPr>
      </w:pPr>
      <w:r>
        <w:rPr>
          <w:rFonts w:hint="eastAsia" w:hAnsi="黑体"/>
        </w:rPr>
        <w:t>表</w:t>
      </w:r>
      <w:r>
        <w:rPr>
          <w:rFonts w:hint="eastAsia" w:hAnsi="黑体" w:cs="黑体"/>
        </w:rPr>
        <w:t>C</w:t>
      </w:r>
      <w:r>
        <w:rPr>
          <w:rFonts w:hint="eastAsia" w:hAnsi="黑体"/>
        </w:rPr>
        <w:t xml:space="preserve">.1  </w:t>
      </w:r>
      <w:r>
        <w:rPr>
          <w:rFonts w:hint="eastAsia" w:ascii="Times New Roman"/>
        </w:rPr>
        <w:t>智能电网建设运营</w:t>
      </w:r>
      <w:r>
        <w:rPr>
          <w:rFonts w:hint="eastAsia" w:hAnsi="黑体"/>
        </w:rPr>
        <w:t>领域绿色低碳产业企业认定评价报告封面</w:t>
      </w:r>
    </w:p>
    <w:p w14:paraId="066C5623">
      <w:pPr>
        <w:pStyle w:val="25"/>
        <w:ind w:firstLine="0" w:firstLineChars="0"/>
        <w:jc w:val="center"/>
        <w:rPr>
          <w:rFonts w:hAnsi="黑体"/>
        </w:rPr>
      </w:pPr>
      <w:r>
        <w:rPr>
          <w:rFonts w:ascii="Times New Roman"/>
          <w:szCs w:val="24"/>
        </w:rPr>
        <mc:AlternateContent>
          <mc:Choice Requires="wps">
            <w:drawing>
              <wp:inline distT="45720" distB="45720" distL="114300" distR="114300">
                <wp:extent cx="4999990" cy="3601720"/>
                <wp:effectExtent l="9525" t="9525" r="19685" b="27305"/>
                <wp:docPr id="14" name="文本框 14"/>
                <wp:cNvGraphicFramePr/>
                <a:graphic xmlns:a="http://schemas.openxmlformats.org/drawingml/2006/main">
                  <a:graphicData uri="http://schemas.microsoft.com/office/word/2010/wordprocessingShape">
                    <wps:wsp>
                      <wps:cNvSpPr txBox="1"/>
                      <wps:spPr>
                        <a:xfrm>
                          <a:off x="0" y="0"/>
                          <a:ext cx="4999990" cy="3601720"/>
                        </a:xfrm>
                        <a:prstGeom prst="rect">
                          <a:avLst/>
                        </a:prstGeom>
                        <a:noFill/>
                        <a:ln w="19050" cap="flat" cmpd="sng">
                          <a:solidFill>
                            <a:srgbClr val="000000"/>
                          </a:solidFill>
                          <a:prstDash val="solid"/>
                          <a:miter/>
                          <a:headEnd type="none" w="med" len="med"/>
                          <a:tailEnd type="none" w="med" len="med"/>
                        </a:ln>
                      </wps:spPr>
                      <wps:txbx>
                        <w:txbxContent>
                          <w:p w14:paraId="70BF219C">
                            <w:pPr>
                              <w:pStyle w:val="25"/>
                              <w:spacing w:line="360" w:lineRule="auto"/>
                              <w:ind w:firstLine="422"/>
                              <w:jc w:val="center"/>
                              <w:rPr>
                                <w:b/>
                                <w:szCs w:val="24"/>
                              </w:rPr>
                            </w:pPr>
                          </w:p>
                          <w:p w14:paraId="6F794EA9">
                            <w:pPr>
                              <w:pStyle w:val="25"/>
                              <w:spacing w:line="360" w:lineRule="auto"/>
                              <w:ind w:firstLine="0" w:firstLineChars="0"/>
                              <w:jc w:val="center"/>
                              <w:rPr>
                                <w:b/>
                                <w:szCs w:val="24"/>
                              </w:rPr>
                            </w:pPr>
                          </w:p>
                          <w:p w14:paraId="1BCBA64D">
                            <w:pPr>
                              <w:pStyle w:val="25"/>
                              <w:spacing w:line="360" w:lineRule="auto"/>
                              <w:ind w:firstLine="0" w:firstLineChars="0"/>
                              <w:jc w:val="center"/>
                              <w:rPr>
                                <w:b/>
                                <w:szCs w:val="24"/>
                              </w:rPr>
                            </w:pPr>
                            <w:r>
                              <w:rPr>
                                <w:rFonts w:hint="eastAsia"/>
                                <w:b/>
                                <w:szCs w:val="24"/>
                              </w:rPr>
                              <w:t>XXX公司</w:t>
                            </w:r>
                          </w:p>
                          <w:p w14:paraId="6EB7AA04">
                            <w:pPr>
                              <w:pStyle w:val="25"/>
                              <w:adjustRightInd w:val="0"/>
                              <w:spacing w:line="360" w:lineRule="auto"/>
                              <w:ind w:firstLine="0" w:firstLineChars="0"/>
                              <w:jc w:val="center"/>
                              <w:rPr>
                                <w:b/>
                                <w:szCs w:val="24"/>
                              </w:rPr>
                            </w:pPr>
                            <w:r>
                              <w:rPr>
                                <w:rFonts w:hint="eastAsia"/>
                                <w:b/>
                                <w:szCs w:val="24"/>
                              </w:rPr>
                              <w:t>智能电网建设运营领域绿色低碳产业企业认定评价报告</w:t>
                            </w:r>
                          </w:p>
                          <w:p w14:paraId="170257B0">
                            <w:pPr>
                              <w:pStyle w:val="25"/>
                              <w:adjustRightInd w:val="0"/>
                              <w:spacing w:line="360" w:lineRule="auto"/>
                              <w:ind w:firstLine="0" w:firstLineChars="0"/>
                              <w:jc w:val="center"/>
                              <w:rPr>
                                <w:b/>
                                <w:szCs w:val="24"/>
                              </w:rPr>
                            </w:pPr>
                          </w:p>
                          <w:p w14:paraId="4FEAB4B5">
                            <w:pPr>
                              <w:pStyle w:val="25"/>
                              <w:adjustRightInd w:val="0"/>
                              <w:spacing w:line="360" w:lineRule="auto"/>
                              <w:ind w:firstLine="0" w:firstLineChars="0"/>
                              <w:jc w:val="left"/>
                              <w:rPr>
                                <w:b/>
                                <w:szCs w:val="24"/>
                              </w:rPr>
                            </w:pPr>
                          </w:p>
                          <w:p w14:paraId="7A235F50">
                            <w:pPr>
                              <w:pStyle w:val="25"/>
                              <w:adjustRightInd w:val="0"/>
                              <w:spacing w:line="360" w:lineRule="auto"/>
                              <w:ind w:firstLine="1687" w:firstLineChars="800"/>
                              <w:jc w:val="left"/>
                              <w:rPr>
                                <w:b/>
                                <w:szCs w:val="24"/>
                              </w:rPr>
                            </w:pPr>
                            <w:r>
                              <w:rPr>
                                <w:rFonts w:hint="eastAsia"/>
                                <w:b/>
                                <w:szCs w:val="24"/>
                              </w:rPr>
                              <w:t>申报单位：</w:t>
                            </w:r>
                            <w:r>
                              <w:rPr>
                                <w:rFonts w:hint="eastAsia"/>
                                <w:b/>
                                <w:szCs w:val="24"/>
                                <w:u w:val="single"/>
                              </w:rPr>
                              <w:t xml:space="preserve">               （盖章）  </w:t>
                            </w:r>
                            <w:r>
                              <w:rPr>
                                <w:rFonts w:hint="eastAsia"/>
                                <w:b/>
                                <w:szCs w:val="24"/>
                              </w:rPr>
                              <w:t xml:space="preserve">         </w:t>
                            </w:r>
                          </w:p>
                          <w:p w14:paraId="3A0C7EEB">
                            <w:pPr>
                              <w:pStyle w:val="25"/>
                              <w:adjustRightInd w:val="0"/>
                              <w:spacing w:line="360" w:lineRule="auto"/>
                              <w:ind w:firstLine="1687" w:firstLineChars="800"/>
                              <w:jc w:val="left"/>
                              <w:rPr>
                                <w:b/>
                                <w:szCs w:val="24"/>
                                <w:u w:val="single"/>
                              </w:rPr>
                            </w:pPr>
                            <w:r>
                              <w:rPr>
                                <w:rFonts w:hint="eastAsia"/>
                                <w:b/>
                                <w:szCs w:val="24"/>
                              </w:rPr>
                              <w:t>编写人：</w:t>
                            </w:r>
                            <w:r>
                              <w:rPr>
                                <w:rFonts w:hint="eastAsia"/>
                                <w:b/>
                                <w:szCs w:val="24"/>
                                <w:u w:val="single"/>
                              </w:rPr>
                              <w:t xml:space="preserve">                           </w:t>
                            </w:r>
                          </w:p>
                          <w:p w14:paraId="0C6DC4C8">
                            <w:pPr>
                              <w:pStyle w:val="25"/>
                              <w:adjustRightInd w:val="0"/>
                              <w:spacing w:line="360" w:lineRule="auto"/>
                              <w:ind w:firstLine="1687" w:firstLineChars="800"/>
                              <w:jc w:val="left"/>
                              <w:rPr>
                                <w:b/>
                                <w:szCs w:val="24"/>
                                <w:u w:val="single"/>
                              </w:rPr>
                            </w:pPr>
                            <w:r>
                              <w:rPr>
                                <w:rFonts w:hint="eastAsia"/>
                                <w:b/>
                                <w:szCs w:val="24"/>
                              </w:rPr>
                              <w:t>责任人：</w:t>
                            </w:r>
                            <w:r>
                              <w:rPr>
                                <w:rFonts w:hint="eastAsia"/>
                                <w:b/>
                                <w:szCs w:val="24"/>
                                <w:u w:val="single"/>
                              </w:rPr>
                              <w:t xml:space="preserve">                           </w:t>
                            </w:r>
                          </w:p>
                          <w:p w14:paraId="6A22E41A">
                            <w:pPr>
                              <w:pStyle w:val="25"/>
                              <w:adjustRightInd w:val="0"/>
                              <w:spacing w:line="360" w:lineRule="auto"/>
                              <w:ind w:firstLine="1687" w:firstLineChars="800"/>
                              <w:jc w:val="left"/>
                              <w:rPr>
                                <w:szCs w:val="24"/>
                              </w:rPr>
                            </w:pPr>
                            <w:r>
                              <w:rPr>
                                <w:rFonts w:hint="eastAsia"/>
                                <w:b/>
                                <w:szCs w:val="24"/>
                              </w:rPr>
                              <w:t>报告日期：</w:t>
                            </w:r>
                            <w:r>
                              <w:rPr>
                                <w:rFonts w:hint="eastAsia"/>
                                <w:b/>
                                <w:szCs w:val="24"/>
                                <w:u w:val="single"/>
                              </w:rPr>
                              <w:t xml:space="preserve">         </w:t>
                            </w:r>
                            <w:r>
                              <w:rPr>
                                <w:rFonts w:hint="eastAsia"/>
                                <w:szCs w:val="24"/>
                                <w:u w:val="single"/>
                              </w:rPr>
                              <w:t xml:space="preserve">                </w:t>
                            </w:r>
                            <w:r>
                              <w:rPr>
                                <w:rFonts w:hint="eastAsia"/>
                                <w:szCs w:val="24"/>
                              </w:rPr>
                              <w:t xml:space="preserve">           </w:t>
                            </w:r>
                          </w:p>
                        </w:txbxContent>
                      </wps:txbx>
                      <wps:bodyPr vert="horz" wrap="square" anchor="t" anchorCtr="0" upright="1"/>
                    </wps:wsp>
                  </a:graphicData>
                </a:graphic>
              </wp:inline>
            </w:drawing>
          </mc:Choice>
          <mc:Fallback>
            <w:pict>
              <v:shape id="_x0000_s1026" o:spid="_x0000_s1026" o:spt="202" type="#_x0000_t202" style="height:283.6pt;width:393.7pt;" filled="f" stroked="t" coordsize="21600,21600" o:gfxdata="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ZEex&#10;l9cAAAAFAQAADwAAAAAAAAABACAAAAAiAAAAZHJzL2Rvd25yZXYueG1sUEsBAhQAFAAAAAgAh07i&#10;QHnh1nMjAgAARAQAAA4AAAAAAAAAAQAgAAAAJgEAAGRycy9lMm9Eb2MueG1sUEsFBgAAAAAGAAYA&#10;WQEAALsFAAAAAA==&#10;">
                <v:fill on="f" focussize="0,0"/>
                <v:stroke weight="1.5pt" color="#000000" joinstyle="miter"/>
                <v:imagedata o:title=""/>
                <o:lock v:ext="edit" aspectratio="f"/>
                <v:textbox>
                  <w:txbxContent>
                    <w:p w14:paraId="70BF219C">
                      <w:pPr>
                        <w:pStyle w:val="25"/>
                        <w:spacing w:line="360" w:lineRule="auto"/>
                        <w:ind w:firstLine="422"/>
                        <w:jc w:val="center"/>
                        <w:rPr>
                          <w:b/>
                          <w:szCs w:val="24"/>
                        </w:rPr>
                      </w:pPr>
                    </w:p>
                    <w:p w14:paraId="6F794EA9">
                      <w:pPr>
                        <w:pStyle w:val="25"/>
                        <w:spacing w:line="360" w:lineRule="auto"/>
                        <w:ind w:firstLine="0" w:firstLineChars="0"/>
                        <w:jc w:val="center"/>
                        <w:rPr>
                          <w:b/>
                          <w:szCs w:val="24"/>
                        </w:rPr>
                      </w:pPr>
                    </w:p>
                    <w:p w14:paraId="1BCBA64D">
                      <w:pPr>
                        <w:pStyle w:val="25"/>
                        <w:spacing w:line="360" w:lineRule="auto"/>
                        <w:ind w:firstLine="0" w:firstLineChars="0"/>
                        <w:jc w:val="center"/>
                        <w:rPr>
                          <w:b/>
                          <w:szCs w:val="24"/>
                        </w:rPr>
                      </w:pPr>
                      <w:r>
                        <w:rPr>
                          <w:rFonts w:hint="eastAsia"/>
                          <w:b/>
                          <w:szCs w:val="24"/>
                        </w:rPr>
                        <w:t>XXX公司</w:t>
                      </w:r>
                    </w:p>
                    <w:p w14:paraId="6EB7AA04">
                      <w:pPr>
                        <w:pStyle w:val="25"/>
                        <w:adjustRightInd w:val="0"/>
                        <w:spacing w:line="360" w:lineRule="auto"/>
                        <w:ind w:firstLine="0" w:firstLineChars="0"/>
                        <w:jc w:val="center"/>
                        <w:rPr>
                          <w:b/>
                          <w:szCs w:val="24"/>
                        </w:rPr>
                      </w:pPr>
                      <w:r>
                        <w:rPr>
                          <w:rFonts w:hint="eastAsia"/>
                          <w:b/>
                          <w:szCs w:val="24"/>
                        </w:rPr>
                        <w:t>智能电网建设运营领域绿色低碳产业企业认定评价报告</w:t>
                      </w:r>
                    </w:p>
                    <w:p w14:paraId="170257B0">
                      <w:pPr>
                        <w:pStyle w:val="25"/>
                        <w:adjustRightInd w:val="0"/>
                        <w:spacing w:line="360" w:lineRule="auto"/>
                        <w:ind w:firstLine="0" w:firstLineChars="0"/>
                        <w:jc w:val="center"/>
                        <w:rPr>
                          <w:b/>
                          <w:szCs w:val="24"/>
                        </w:rPr>
                      </w:pPr>
                    </w:p>
                    <w:p w14:paraId="4FEAB4B5">
                      <w:pPr>
                        <w:pStyle w:val="25"/>
                        <w:adjustRightInd w:val="0"/>
                        <w:spacing w:line="360" w:lineRule="auto"/>
                        <w:ind w:firstLine="0" w:firstLineChars="0"/>
                        <w:jc w:val="left"/>
                        <w:rPr>
                          <w:b/>
                          <w:szCs w:val="24"/>
                        </w:rPr>
                      </w:pPr>
                    </w:p>
                    <w:p w14:paraId="7A235F50">
                      <w:pPr>
                        <w:pStyle w:val="25"/>
                        <w:adjustRightInd w:val="0"/>
                        <w:spacing w:line="360" w:lineRule="auto"/>
                        <w:ind w:firstLine="1687" w:firstLineChars="800"/>
                        <w:jc w:val="left"/>
                        <w:rPr>
                          <w:b/>
                          <w:szCs w:val="24"/>
                        </w:rPr>
                      </w:pPr>
                      <w:r>
                        <w:rPr>
                          <w:rFonts w:hint="eastAsia"/>
                          <w:b/>
                          <w:szCs w:val="24"/>
                        </w:rPr>
                        <w:t>申报单位：</w:t>
                      </w:r>
                      <w:r>
                        <w:rPr>
                          <w:rFonts w:hint="eastAsia"/>
                          <w:b/>
                          <w:szCs w:val="24"/>
                          <w:u w:val="single"/>
                        </w:rPr>
                        <w:t xml:space="preserve">               （盖章）  </w:t>
                      </w:r>
                      <w:r>
                        <w:rPr>
                          <w:rFonts w:hint="eastAsia"/>
                          <w:b/>
                          <w:szCs w:val="24"/>
                        </w:rPr>
                        <w:t xml:space="preserve">         </w:t>
                      </w:r>
                    </w:p>
                    <w:p w14:paraId="3A0C7EEB">
                      <w:pPr>
                        <w:pStyle w:val="25"/>
                        <w:adjustRightInd w:val="0"/>
                        <w:spacing w:line="360" w:lineRule="auto"/>
                        <w:ind w:firstLine="1687" w:firstLineChars="800"/>
                        <w:jc w:val="left"/>
                        <w:rPr>
                          <w:b/>
                          <w:szCs w:val="24"/>
                          <w:u w:val="single"/>
                        </w:rPr>
                      </w:pPr>
                      <w:r>
                        <w:rPr>
                          <w:rFonts w:hint="eastAsia"/>
                          <w:b/>
                          <w:szCs w:val="24"/>
                        </w:rPr>
                        <w:t>编写人：</w:t>
                      </w:r>
                      <w:r>
                        <w:rPr>
                          <w:rFonts w:hint="eastAsia"/>
                          <w:b/>
                          <w:szCs w:val="24"/>
                          <w:u w:val="single"/>
                        </w:rPr>
                        <w:t xml:space="preserve">                           </w:t>
                      </w:r>
                    </w:p>
                    <w:p w14:paraId="0C6DC4C8">
                      <w:pPr>
                        <w:pStyle w:val="25"/>
                        <w:adjustRightInd w:val="0"/>
                        <w:spacing w:line="360" w:lineRule="auto"/>
                        <w:ind w:firstLine="1687" w:firstLineChars="800"/>
                        <w:jc w:val="left"/>
                        <w:rPr>
                          <w:b/>
                          <w:szCs w:val="24"/>
                          <w:u w:val="single"/>
                        </w:rPr>
                      </w:pPr>
                      <w:r>
                        <w:rPr>
                          <w:rFonts w:hint="eastAsia"/>
                          <w:b/>
                          <w:szCs w:val="24"/>
                        </w:rPr>
                        <w:t>责任人：</w:t>
                      </w:r>
                      <w:r>
                        <w:rPr>
                          <w:rFonts w:hint="eastAsia"/>
                          <w:b/>
                          <w:szCs w:val="24"/>
                          <w:u w:val="single"/>
                        </w:rPr>
                        <w:t xml:space="preserve">                           </w:t>
                      </w:r>
                    </w:p>
                    <w:p w14:paraId="6A22E41A">
                      <w:pPr>
                        <w:pStyle w:val="25"/>
                        <w:adjustRightInd w:val="0"/>
                        <w:spacing w:line="360" w:lineRule="auto"/>
                        <w:ind w:firstLine="1687" w:firstLineChars="800"/>
                        <w:jc w:val="left"/>
                        <w:rPr>
                          <w:szCs w:val="24"/>
                        </w:rPr>
                      </w:pPr>
                      <w:r>
                        <w:rPr>
                          <w:rFonts w:hint="eastAsia"/>
                          <w:b/>
                          <w:szCs w:val="24"/>
                        </w:rPr>
                        <w:t>报告日期：</w:t>
                      </w:r>
                      <w:r>
                        <w:rPr>
                          <w:rFonts w:hint="eastAsia"/>
                          <w:b/>
                          <w:szCs w:val="24"/>
                          <w:u w:val="single"/>
                        </w:rPr>
                        <w:t xml:space="preserve">         </w:t>
                      </w:r>
                      <w:r>
                        <w:rPr>
                          <w:rFonts w:hint="eastAsia"/>
                          <w:szCs w:val="24"/>
                          <w:u w:val="single"/>
                        </w:rPr>
                        <w:t xml:space="preserve">                </w:t>
                      </w:r>
                      <w:r>
                        <w:rPr>
                          <w:rFonts w:hint="eastAsia"/>
                          <w:szCs w:val="24"/>
                        </w:rPr>
                        <w:t xml:space="preserve">           </w:t>
                      </w:r>
                    </w:p>
                  </w:txbxContent>
                </v:textbox>
                <w10:wrap type="none"/>
                <w10:anchorlock/>
              </v:shape>
            </w:pict>
          </mc:Fallback>
        </mc:AlternateContent>
      </w:r>
    </w:p>
    <w:p w14:paraId="05313B95">
      <w:pPr>
        <w:pStyle w:val="90"/>
        <w:numPr>
          <w:ilvl w:val="1"/>
          <w:numId w:val="0"/>
        </w:numPr>
        <w:spacing w:before="156" w:after="156"/>
        <w:jc w:val="both"/>
        <w:rPr>
          <w:rFonts w:ascii="Times New Roman" w:eastAsia="Times New Roman"/>
        </w:rPr>
      </w:pPr>
      <w:r>
        <w:rPr>
          <w:rFonts w:hint="eastAsia" w:hAnsi="黑体" w:cs="黑体"/>
        </w:rPr>
        <w:t>C.2  基本信息</w:t>
      </w:r>
    </w:p>
    <w:p w14:paraId="4CC785D1">
      <w:pPr>
        <w:pStyle w:val="25"/>
        <w:rPr>
          <w:rFonts w:hAnsi="宋体"/>
          <w:szCs w:val="24"/>
        </w:rPr>
      </w:pPr>
      <w:r>
        <w:rPr>
          <w:rFonts w:hint="eastAsia" w:hAnsi="宋体"/>
          <w:szCs w:val="24"/>
        </w:rPr>
        <w:t>基本信息的填报要求见表C.2。</w:t>
      </w:r>
    </w:p>
    <w:p w14:paraId="1D656FBB">
      <w:pPr>
        <w:pStyle w:val="90"/>
        <w:numPr>
          <w:ilvl w:val="1"/>
          <w:numId w:val="0"/>
        </w:numPr>
        <w:tabs>
          <w:tab w:val="clear" w:pos="0"/>
        </w:tabs>
        <w:spacing w:before="156" w:after="156"/>
        <w:rPr>
          <w:rFonts w:hAnsi="黑体"/>
        </w:rPr>
      </w:pPr>
      <w:r>
        <w:rPr>
          <w:rFonts w:hint="eastAsia" w:hAnsi="黑体"/>
        </w:rPr>
        <w:t>表</w:t>
      </w:r>
      <w:r>
        <w:rPr>
          <w:rFonts w:hint="eastAsia" w:hAnsi="黑体" w:cs="黑体"/>
        </w:rPr>
        <w:t>C</w:t>
      </w:r>
      <w:r>
        <w:rPr>
          <w:rFonts w:hint="eastAsia" w:hAnsi="黑体"/>
        </w:rPr>
        <w:t>.2  基本信息</w:t>
      </w:r>
    </w:p>
    <w:tbl>
      <w:tblPr>
        <w:tblStyle w:val="35"/>
        <w:tblW w:w="9559"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1959"/>
        <w:gridCol w:w="3845"/>
        <w:gridCol w:w="1549"/>
        <w:gridCol w:w="2206"/>
      </w:tblGrid>
      <w:tr w14:paraId="7A4F482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959" w:type="dxa"/>
            <w:tcBorders>
              <w:tl2br w:val="nil"/>
              <w:tr2bl w:val="nil"/>
            </w:tcBorders>
            <w:vAlign w:val="center"/>
          </w:tcPr>
          <w:p w14:paraId="577C1360">
            <w:pPr>
              <w:widowControl/>
              <w:jc w:val="center"/>
              <w:rPr>
                <w:color w:val="000000"/>
                <w:kern w:val="0"/>
                <w:sz w:val="18"/>
                <w:szCs w:val="18"/>
              </w:rPr>
            </w:pPr>
            <w:r>
              <w:rPr>
                <w:rFonts w:hint="eastAsia"/>
                <w:color w:val="000000"/>
                <w:kern w:val="0"/>
                <w:sz w:val="18"/>
                <w:szCs w:val="18"/>
              </w:rPr>
              <w:t>企事业单位名称</w:t>
            </w:r>
          </w:p>
        </w:tc>
        <w:tc>
          <w:tcPr>
            <w:tcW w:w="7600" w:type="dxa"/>
            <w:gridSpan w:val="3"/>
            <w:tcBorders>
              <w:tl2br w:val="nil"/>
              <w:tr2bl w:val="nil"/>
            </w:tcBorders>
            <w:vAlign w:val="center"/>
          </w:tcPr>
          <w:p w14:paraId="4E003DCA">
            <w:pPr>
              <w:widowControl/>
              <w:rPr>
                <w:color w:val="000000"/>
                <w:kern w:val="0"/>
                <w:sz w:val="18"/>
                <w:szCs w:val="18"/>
              </w:rPr>
            </w:pPr>
          </w:p>
        </w:tc>
      </w:tr>
      <w:tr w14:paraId="59D7BC6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959" w:type="dxa"/>
            <w:tcBorders>
              <w:tl2br w:val="nil"/>
              <w:tr2bl w:val="nil"/>
            </w:tcBorders>
            <w:vAlign w:val="center"/>
          </w:tcPr>
          <w:p w14:paraId="4E8FA482">
            <w:pPr>
              <w:widowControl/>
              <w:jc w:val="center"/>
              <w:rPr>
                <w:color w:val="000000"/>
                <w:kern w:val="0"/>
                <w:sz w:val="18"/>
                <w:szCs w:val="18"/>
              </w:rPr>
            </w:pPr>
            <w:r>
              <w:rPr>
                <w:rFonts w:hint="eastAsia"/>
                <w:color w:val="000000"/>
                <w:kern w:val="0"/>
                <w:sz w:val="18"/>
                <w:szCs w:val="18"/>
              </w:rPr>
              <w:t>单位性质</w:t>
            </w:r>
          </w:p>
        </w:tc>
        <w:tc>
          <w:tcPr>
            <w:tcW w:w="7600" w:type="dxa"/>
            <w:gridSpan w:val="3"/>
            <w:tcBorders>
              <w:tl2br w:val="nil"/>
              <w:tr2bl w:val="nil"/>
            </w:tcBorders>
            <w:vAlign w:val="center"/>
          </w:tcPr>
          <w:p w14:paraId="77A6ECCF">
            <w:pPr>
              <w:widowControl/>
              <w:rPr>
                <w:color w:val="000000"/>
                <w:kern w:val="0"/>
                <w:sz w:val="18"/>
                <w:szCs w:val="18"/>
              </w:rPr>
            </w:pPr>
            <w:r>
              <w:rPr>
                <w:rFonts w:hint="eastAsia"/>
                <w:color w:val="000000"/>
                <w:kern w:val="0"/>
                <w:sz w:val="18"/>
                <w:szCs w:val="18"/>
              </w:rPr>
              <w:t>内资（□国有□集体□民营）□中外合资□港澳台□外商独资</w:t>
            </w:r>
          </w:p>
        </w:tc>
      </w:tr>
      <w:tr w14:paraId="05687D0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959" w:type="dxa"/>
            <w:tcBorders>
              <w:tl2br w:val="nil"/>
              <w:tr2bl w:val="nil"/>
            </w:tcBorders>
            <w:vAlign w:val="center"/>
          </w:tcPr>
          <w:p w14:paraId="4462C6C1">
            <w:pPr>
              <w:widowControl/>
              <w:jc w:val="center"/>
              <w:rPr>
                <w:color w:val="000000"/>
                <w:kern w:val="0"/>
                <w:sz w:val="18"/>
                <w:szCs w:val="18"/>
              </w:rPr>
            </w:pPr>
            <w:r>
              <w:rPr>
                <w:rFonts w:hint="eastAsia"/>
                <w:color w:val="000000"/>
                <w:kern w:val="0"/>
                <w:sz w:val="18"/>
                <w:szCs w:val="18"/>
              </w:rPr>
              <w:t>通讯地址</w:t>
            </w:r>
          </w:p>
        </w:tc>
        <w:tc>
          <w:tcPr>
            <w:tcW w:w="7600" w:type="dxa"/>
            <w:gridSpan w:val="3"/>
            <w:tcBorders>
              <w:tl2br w:val="nil"/>
              <w:tr2bl w:val="nil"/>
            </w:tcBorders>
            <w:vAlign w:val="center"/>
          </w:tcPr>
          <w:p w14:paraId="1C6FBB13">
            <w:pPr>
              <w:widowControl/>
              <w:rPr>
                <w:color w:val="000000"/>
                <w:kern w:val="0"/>
                <w:sz w:val="18"/>
                <w:szCs w:val="18"/>
              </w:rPr>
            </w:pPr>
          </w:p>
        </w:tc>
      </w:tr>
      <w:tr w14:paraId="1073681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959" w:type="dxa"/>
            <w:tcBorders>
              <w:tl2br w:val="nil"/>
              <w:tr2bl w:val="nil"/>
            </w:tcBorders>
            <w:vAlign w:val="center"/>
          </w:tcPr>
          <w:p w14:paraId="14914711">
            <w:pPr>
              <w:widowControl/>
              <w:jc w:val="center"/>
              <w:rPr>
                <w:color w:val="000000"/>
                <w:kern w:val="0"/>
                <w:sz w:val="18"/>
                <w:szCs w:val="18"/>
              </w:rPr>
            </w:pPr>
            <w:r>
              <w:rPr>
                <w:rFonts w:hint="eastAsia"/>
                <w:color w:val="000000"/>
                <w:kern w:val="0"/>
                <w:sz w:val="18"/>
                <w:szCs w:val="18"/>
              </w:rPr>
              <w:t>统一社会</w:t>
            </w:r>
          </w:p>
          <w:p w14:paraId="246022A1">
            <w:pPr>
              <w:widowControl/>
              <w:jc w:val="center"/>
              <w:rPr>
                <w:color w:val="000000"/>
                <w:kern w:val="0"/>
                <w:sz w:val="18"/>
                <w:szCs w:val="18"/>
              </w:rPr>
            </w:pPr>
            <w:r>
              <w:rPr>
                <w:rFonts w:hint="eastAsia"/>
                <w:color w:val="000000"/>
                <w:kern w:val="0"/>
                <w:sz w:val="18"/>
                <w:szCs w:val="18"/>
              </w:rPr>
              <w:t>信用代码</w:t>
            </w:r>
          </w:p>
        </w:tc>
        <w:tc>
          <w:tcPr>
            <w:tcW w:w="3845" w:type="dxa"/>
            <w:tcBorders>
              <w:tl2br w:val="nil"/>
              <w:tr2bl w:val="nil"/>
            </w:tcBorders>
            <w:vAlign w:val="center"/>
          </w:tcPr>
          <w:p w14:paraId="171D50F5">
            <w:pPr>
              <w:widowControl/>
              <w:jc w:val="center"/>
              <w:rPr>
                <w:color w:val="000000"/>
                <w:kern w:val="0"/>
                <w:sz w:val="18"/>
                <w:szCs w:val="18"/>
              </w:rPr>
            </w:pPr>
          </w:p>
        </w:tc>
        <w:tc>
          <w:tcPr>
            <w:tcW w:w="1549" w:type="dxa"/>
            <w:tcBorders>
              <w:tl2br w:val="nil"/>
              <w:tr2bl w:val="nil"/>
            </w:tcBorders>
            <w:vAlign w:val="center"/>
          </w:tcPr>
          <w:p w14:paraId="5AB79201">
            <w:pPr>
              <w:widowControl/>
              <w:jc w:val="center"/>
              <w:rPr>
                <w:color w:val="000000"/>
                <w:kern w:val="0"/>
                <w:sz w:val="18"/>
                <w:szCs w:val="18"/>
              </w:rPr>
            </w:pPr>
            <w:r>
              <w:rPr>
                <w:rFonts w:hint="eastAsia"/>
                <w:color w:val="000000"/>
                <w:kern w:val="0"/>
                <w:sz w:val="18"/>
                <w:szCs w:val="18"/>
              </w:rPr>
              <w:t>法定代表人</w:t>
            </w:r>
          </w:p>
        </w:tc>
        <w:tc>
          <w:tcPr>
            <w:tcW w:w="2206" w:type="dxa"/>
            <w:tcBorders>
              <w:tl2br w:val="nil"/>
              <w:tr2bl w:val="nil"/>
            </w:tcBorders>
            <w:vAlign w:val="center"/>
          </w:tcPr>
          <w:p w14:paraId="4F6929BF">
            <w:pPr>
              <w:widowControl/>
              <w:jc w:val="center"/>
              <w:rPr>
                <w:color w:val="000000"/>
                <w:kern w:val="0"/>
                <w:sz w:val="18"/>
                <w:szCs w:val="18"/>
              </w:rPr>
            </w:pPr>
          </w:p>
        </w:tc>
      </w:tr>
      <w:tr w14:paraId="6B83485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959" w:type="dxa"/>
            <w:tcBorders>
              <w:tl2br w:val="nil"/>
              <w:tr2bl w:val="nil"/>
            </w:tcBorders>
            <w:vAlign w:val="center"/>
          </w:tcPr>
          <w:p w14:paraId="366E17AC">
            <w:pPr>
              <w:widowControl/>
              <w:jc w:val="center"/>
              <w:rPr>
                <w:color w:val="000000"/>
                <w:kern w:val="0"/>
                <w:sz w:val="18"/>
                <w:szCs w:val="18"/>
              </w:rPr>
            </w:pPr>
            <w:r>
              <w:rPr>
                <w:rFonts w:hint="eastAsia"/>
                <w:color w:val="000000"/>
                <w:kern w:val="0"/>
                <w:sz w:val="18"/>
                <w:szCs w:val="18"/>
              </w:rPr>
              <w:t>成立日期</w:t>
            </w:r>
          </w:p>
        </w:tc>
        <w:tc>
          <w:tcPr>
            <w:tcW w:w="3845" w:type="dxa"/>
            <w:tcBorders>
              <w:tl2br w:val="nil"/>
              <w:tr2bl w:val="nil"/>
            </w:tcBorders>
            <w:vAlign w:val="center"/>
          </w:tcPr>
          <w:p w14:paraId="388EF3FB">
            <w:pPr>
              <w:jc w:val="left"/>
              <w:rPr>
                <w:sz w:val="18"/>
                <w:szCs w:val="18"/>
              </w:rPr>
            </w:pPr>
          </w:p>
        </w:tc>
        <w:tc>
          <w:tcPr>
            <w:tcW w:w="1549" w:type="dxa"/>
            <w:tcBorders>
              <w:tl2br w:val="nil"/>
              <w:tr2bl w:val="nil"/>
            </w:tcBorders>
            <w:vAlign w:val="center"/>
          </w:tcPr>
          <w:p w14:paraId="5F32BD7F">
            <w:pPr>
              <w:widowControl/>
              <w:jc w:val="center"/>
              <w:rPr>
                <w:color w:val="000000"/>
                <w:kern w:val="0"/>
                <w:sz w:val="18"/>
                <w:szCs w:val="18"/>
              </w:rPr>
            </w:pPr>
            <w:r>
              <w:rPr>
                <w:rFonts w:hint="eastAsia"/>
                <w:color w:val="000000"/>
                <w:kern w:val="0"/>
                <w:sz w:val="18"/>
                <w:szCs w:val="18"/>
              </w:rPr>
              <w:t>注册资本</w:t>
            </w:r>
          </w:p>
        </w:tc>
        <w:tc>
          <w:tcPr>
            <w:tcW w:w="2206" w:type="dxa"/>
            <w:tcBorders>
              <w:tl2br w:val="nil"/>
              <w:tr2bl w:val="nil"/>
            </w:tcBorders>
            <w:vAlign w:val="center"/>
          </w:tcPr>
          <w:p w14:paraId="389C9EC2">
            <w:pPr>
              <w:widowControl/>
              <w:rPr>
                <w:color w:val="000000"/>
                <w:kern w:val="0"/>
                <w:sz w:val="18"/>
                <w:szCs w:val="18"/>
              </w:rPr>
            </w:pPr>
          </w:p>
        </w:tc>
      </w:tr>
      <w:tr w14:paraId="688FF81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9559" w:type="dxa"/>
            <w:gridSpan w:val="4"/>
            <w:tcBorders>
              <w:bottom w:val="single" w:color="000000" w:sz="12" w:space="0"/>
            </w:tcBorders>
            <w:vAlign w:val="center"/>
          </w:tcPr>
          <w:p w14:paraId="267B704D">
            <w:pPr>
              <w:widowControl/>
              <w:jc w:val="center"/>
              <w:rPr>
                <w:color w:val="000000"/>
                <w:kern w:val="0"/>
                <w:sz w:val="18"/>
                <w:szCs w:val="18"/>
              </w:rPr>
            </w:pPr>
            <w:r>
              <w:rPr>
                <w:rFonts w:ascii="黑体" w:hAnsi="黑体" w:eastAsia="黑体" w:cs="黑体"/>
                <w:color w:val="000000"/>
                <w:kern w:val="0"/>
                <w:sz w:val="18"/>
                <w:szCs w:val="18"/>
              </w:rPr>
              <w:t>表</w:t>
            </w:r>
            <w:r>
              <w:rPr>
                <w:rFonts w:hint="eastAsia" w:ascii="黑体" w:hAnsi="黑体" w:eastAsia="黑体" w:cs="黑体"/>
                <w:sz w:val="18"/>
                <w:szCs w:val="18"/>
              </w:rPr>
              <w:t>C</w:t>
            </w:r>
            <w:r>
              <w:rPr>
                <w:rFonts w:hint="eastAsia" w:ascii="黑体" w:hAnsi="黑体" w:eastAsia="黑体" w:cs="黑体"/>
                <w:color w:val="000000"/>
                <w:kern w:val="0"/>
                <w:sz w:val="18"/>
                <w:szCs w:val="18"/>
              </w:rPr>
              <w:t>.2</w:t>
            </w:r>
            <w:r>
              <w:rPr>
                <w:rFonts w:hint="eastAsia" w:ascii="宋体" w:hAnsi="宋体" w:cs="宋体"/>
                <w:color w:val="000000"/>
                <w:kern w:val="0"/>
                <w:sz w:val="18"/>
                <w:szCs w:val="18"/>
              </w:rPr>
              <w:t>（第2页/共2页）</w:t>
            </w:r>
          </w:p>
        </w:tc>
      </w:tr>
      <w:tr w14:paraId="0B24C31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959" w:type="dxa"/>
            <w:tcBorders>
              <w:top w:val="single" w:color="000000" w:sz="12" w:space="0"/>
              <w:tl2br w:val="nil"/>
              <w:tr2bl w:val="nil"/>
            </w:tcBorders>
            <w:vAlign w:val="center"/>
          </w:tcPr>
          <w:p w14:paraId="762D5415">
            <w:pPr>
              <w:widowControl/>
              <w:jc w:val="center"/>
              <w:rPr>
                <w:color w:val="000000"/>
                <w:kern w:val="0"/>
                <w:sz w:val="18"/>
                <w:szCs w:val="18"/>
              </w:rPr>
            </w:pPr>
            <w:r>
              <w:rPr>
                <w:rFonts w:hint="eastAsia"/>
                <w:color w:val="000000"/>
                <w:kern w:val="0"/>
                <w:sz w:val="18"/>
                <w:szCs w:val="18"/>
              </w:rPr>
              <w:t>联系人</w:t>
            </w:r>
          </w:p>
        </w:tc>
        <w:tc>
          <w:tcPr>
            <w:tcW w:w="3845" w:type="dxa"/>
            <w:tcBorders>
              <w:top w:val="single" w:color="000000" w:sz="12" w:space="0"/>
              <w:tl2br w:val="nil"/>
              <w:tr2bl w:val="nil"/>
            </w:tcBorders>
            <w:vAlign w:val="center"/>
          </w:tcPr>
          <w:p w14:paraId="43FF9FA4">
            <w:pPr>
              <w:widowControl/>
              <w:jc w:val="left"/>
              <w:rPr>
                <w:color w:val="000000"/>
                <w:kern w:val="0"/>
                <w:sz w:val="18"/>
                <w:szCs w:val="18"/>
              </w:rPr>
            </w:pPr>
          </w:p>
        </w:tc>
        <w:tc>
          <w:tcPr>
            <w:tcW w:w="1549" w:type="dxa"/>
            <w:tcBorders>
              <w:top w:val="single" w:color="000000" w:sz="12" w:space="0"/>
              <w:tl2br w:val="nil"/>
              <w:tr2bl w:val="nil"/>
            </w:tcBorders>
            <w:vAlign w:val="center"/>
          </w:tcPr>
          <w:p w14:paraId="409C33B7">
            <w:pPr>
              <w:widowControl/>
              <w:jc w:val="center"/>
              <w:rPr>
                <w:color w:val="000000"/>
                <w:kern w:val="0"/>
                <w:sz w:val="18"/>
                <w:szCs w:val="18"/>
              </w:rPr>
            </w:pPr>
            <w:r>
              <w:rPr>
                <w:rFonts w:hint="eastAsia"/>
                <w:color w:val="000000"/>
                <w:kern w:val="0"/>
                <w:sz w:val="18"/>
                <w:szCs w:val="18"/>
              </w:rPr>
              <w:t>联系电话</w:t>
            </w:r>
          </w:p>
        </w:tc>
        <w:tc>
          <w:tcPr>
            <w:tcW w:w="2206" w:type="dxa"/>
            <w:tcBorders>
              <w:top w:val="single" w:color="000000" w:sz="12" w:space="0"/>
              <w:tl2br w:val="nil"/>
              <w:tr2bl w:val="nil"/>
            </w:tcBorders>
            <w:vAlign w:val="center"/>
          </w:tcPr>
          <w:p w14:paraId="4378C4DA">
            <w:pPr>
              <w:widowControl/>
              <w:rPr>
                <w:color w:val="000000"/>
                <w:kern w:val="0"/>
                <w:sz w:val="18"/>
                <w:szCs w:val="18"/>
              </w:rPr>
            </w:pPr>
          </w:p>
        </w:tc>
      </w:tr>
      <w:tr w14:paraId="66D0DBF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959" w:type="dxa"/>
            <w:tcBorders>
              <w:tl2br w:val="nil"/>
              <w:tr2bl w:val="nil"/>
            </w:tcBorders>
            <w:vAlign w:val="center"/>
          </w:tcPr>
          <w:p w14:paraId="1C5C8E9D">
            <w:pPr>
              <w:widowControl/>
              <w:jc w:val="center"/>
              <w:rPr>
                <w:color w:val="000000"/>
                <w:kern w:val="0"/>
                <w:sz w:val="18"/>
                <w:szCs w:val="18"/>
              </w:rPr>
            </w:pPr>
            <w:r>
              <w:rPr>
                <w:rFonts w:hint="eastAsia"/>
                <w:color w:val="000000"/>
                <w:kern w:val="0"/>
                <w:sz w:val="18"/>
                <w:szCs w:val="18"/>
              </w:rPr>
              <w:t>所属行业及代码</w:t>
            </w:r>
            <w:r>
              <w:rPr>
                <w:rFonts w:hint="eastAsia" w:ascii="宋体" w:hAnsi="宋体" w:cs="宋体"/>
                <w:color w:val="000000"/>
                <w:kern w:val="0"/>
                <w:sz w:val="18"/>
                <w:szCs w:val="18"/>
                <w:vertAlign w:val="superscript"/>
              </w:rPr>
              <w:t>a</w:t>
            </w:r>
          </w:p>
        </w:tc>
        <w:tc>
          <w:tcPr>
            <w:tcW w:w="7600" w:type="dxa"/>
            <w:gridSpan w:val="3"/>
            <w:tcBorders>
              <w:tl2br w:val="nil"/>
              <w:tr2bl w:val="nil"/>
            </w:tcBorders>
            <w:vAlign w:val="center"/>
          </w:tcPr>
          <w:p w14:paraId="25D7E74B">
            <w:pPr>
              <w:widowControl/>
              <w:rPr>
                <w:color w:val="000000"/>
                <w:kern w:val="0"/>
                <w:sz w:val="18"/>
                <w:szCs w:val="18"/>
              </w:rPr>
            </w:pPr>
          </w:p>
        </w:tc>
      </w:tr>
      <w:tr w14:paraId="32A880D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2674" w:hRule="atLeast"/>
          <w:jc w:val="center"/>
        </w:trPr>
        <w:tc>
          <w:tcPr>
            <w:tcW w:w="9559" w:type="dxa"/>
            <w:gridSpan w:val="4"/>
            <w:tcBorders>
              <w:bottom w:val="single" w:color="000000" w:sz="12" w:space="0"/>
              <w:tl2br w:val="nil"/>
              <w:tr2bl w:val="nil"/>
            </w:tcBorders>
            <w:vAlign w:val="center"/>
          </w:tcPr>
          <w:p w14:paraId="7592B97D">
            <w:pPr>
              <w:widowControl/>
              <w:rPr>
                <w:b/>
                <w:kern w:val="0"/>
                <w:sz w:val="18"/>
                <w:szCs w:val="18"/>
              </w:rPr>
            </w:pPr>
            <w:r>
              <w:rPr>
                <w:rFonts w:hint="eastAsia"/>
                <w:b/>
                <w:kern w:val="0"/>
                <w:sz w:val="18"/>
                <w:szCs w:val="18"/>
              </w:rPr>
              <w:t>材料真实性承诺：</w:t>
            </w:r>
          </w:p>
          <w:p w14:paraId="18E2E3CD">
            <w:pPr>
              <w:widowControl/>
              <w:ind w:firstLine="372" w:firstLineChars="207"/>
              <w:rPr>
                <w:kern w:val="0"/>
                <w:sz w:val="18"/>
                <w:szCs w:val="18"/>
              </w:rPr>
            </w:pPr>
          </w:p>
          <w:p w14:paraId="5349FED2">
            <w:pPr>
              <w:widowControl/>
              <w:ind w:firstLine="372" w:firstLineChars="207"/>
              <w:rPr>
                <w:kern w:val="0"/>
                <w:sz w:val="18"/>
                <w:szCs w:val="18"/>
              </w:rPr>
            </w:pPr>
          </w:p>
          <w:p w14:paraId="58C1A5D7">
            <w:pPr>
              <w:widowControl/>
              <w:ind w:firstLine="372" w:firstLineChars="207"/>
              <w:rPr>
                <w:kern w:val="0"/>
                <w:sz w:val="18"/>
                <w:szCs w:val="18"/>
              </w:rPr>
            </w:pPr>
          </w:p>
          <w:p w14:paraId="180403FF">
            <w:pPr>
              <w:pStyle w:val="11"/>
            </w:pPr>
          </w:p>
          <w:p w14:paraId="6D1A0DC6">
            <w:pPr>
              <w:widowControl/>
              <w:ind w:firstLine="372" w:firstLineChars="207"/>
              <w:rPr>
                <w:kern w:val="0"/>
                <w:sz w:val="18"/>
                <w:szCs w:val="18"/>
              </w:rPr>
            </w:pPr>
            <w:r>
              <w:rPr>
                <w:rFonts w:hint="eastAsia"/>
                <w:kern w:val="0"/>
                <w:sz w:val="18"/>
                <w:szCs w:val="18"/>
              </w:rPr>
              <w:t>我单位郑重承诺：本次申报绿色低碳产业企业认定所提交的相关数据和信息均真实、有效，愿接受并积极配合主管部门的跟踪抽查。如有违反，愿承担由此产生的相应责任。</w:t>
            </w:r>
          </w:p>
          <w:p w14:paraId="1B8F515A">
            <w:pPr>
              <w:widowControl/>
              <w:ind w:firstLine="372" w:firstLineChars="207"/>
              <w:rPr>
                <w:kern w:val="0"/>
                <w:sz w:val="18"/>
                <w:szCs w:val="18"/>
              </w:rPr>
            </w:pPr>
          </w:p>
          <w:p w14:paraId="6430BD3D">
            <w:pPr>
              <w:widowControl/>
              <w:ind w:firstLine="372" w:firstLineChars="207"/>
              <w:rPr>
                <w:kern w:val="0"/>
                <w:sz w:val="18"/>
                <w:szCs w:val="18"/>
              </w:rPr>
            </w:pPr>
          </w:p>
          <w:p w14:paraId="3CD8BB4E">
            <w:pPr>
              <w:widowControl/>
              <w:ind w:firstLine="372" w:firstLineChars="207"/>
              <w:rPr>
                <w:kern w:val="0"/>
                <w:sz w:val="18"/>
                <w:szCs w:val="18"/>
              </w:rPr>
            </w:pPr>
          </w:p>
          <w:p w14:paraId="6196799F">
            <w:pPr>
              <w:widowControl/>
              <w:wordWrap w:val="0"/>
              <w:jc w:val="center"/>
              <w:rPr>
                <w:b/>
                <w:kern w:val="0"/>
                <w:sz w:val="18"/>
                <w:szCs w:val="18"/>
              </w:rPr>
            </w:pPr>
            <w:r>
              <w:rPr>
                <w:rFonts w:hint="eastAsia"/>
                <w:b/>
                <w:kern w:val="0"/>
                <w:sz w:val="18"/>
                <w:szCs w:val="18"/>
              </w:rPr>
              <w:t xml:space="preserve">                                                法人或单位负责人签字：          </w:t>
            </w:r>
          </w:p>
          <w:p w14:paraId="64C4C43E">
            <w:pPr>
              <w:widowControl/>
              <w:rPr>
                <w:b/>
                <w:kern w:val="0"/>
                <w:sz w:val="18"/>
                <w:szCs w:val="18"/>
              </w:rPr>
            </w:pPr>
            <w:r>
              <w:rPr>
                <w:rFonts w:hint="eastAsia"/>
                <w:b/>
                <w:kern w:val="0"/>
                <w:sz w:val="18"/>
                <w:szCs w:val="18"/>
              </w:rPr>
              <w:t xml:space="preserve">                                                                    （公章）</w:t>
            </w:r>
          </w:p>
          <w:p w14:paraId="6BA9658C">
            <w:pPr>
              <w:widowControl/>
              <w:wordWrap w:val="0"/>
              <w:jc w:val="center"/>
              <w:rPr>
                <w:b/>
                <w:kern w:val="0"/>
                <w:sz w:val="18"/>
                <w:szCs w:val="18"/>
              </w:rPr>
            </w:pPr>
            <w:r>
              <w:rPr>
                <w:rFonts w:hint="eastAsia"/>
                <w:b/>
                <w:kern w:val="0"/>
                <w:sz w:val="18"/>
                <w:szCs w:val="18"/>
              </w:rPr>
              <w:t xml:space="preserve">                           日期：     </w:t>
            </w:r>
          </w:p>
          <w:p w14:paraId="5CA9A2B2">
            <w:pPr>
              <w:widowControl/>
              <w:wordWrap w:val="0"/>
              <w:jc w:val="center"/>
              <w:rPr>
                <w:b/>
                <w:kern w:val="0"/>
                <w:sz w:val="18"/>
                <w:szCs w:val="18"/>
              </w:rPr>
            </w:pPr>
          </w:p>
          <w:p w14:paraId="3AE08107">
            <w:pPr>
              <w:widowControl/>
              <w:wordWrap w:val="0"/>
              <w:jc w:val="center"/>
              <w:rPr>
                <w:b/>
                <w:kern w:val="0"/>
                <w:sz w:val="18"/>
                <w:szCs w:val="18"/>
              </w:rPr>
            </w:pPr>
            <w:r>
              <w:rPr>
                <w:rFonts w:hint="eastAsia"/>
                <w:b/>
                <w:kern w:val="0"/>
                <w:sz w:val="18"/>
                <w:szCs w:val="18"/>
              </w:rPr>
              <w:t xml:space="preserve">      </w:t>
            </w:r>
          </w:p>
          <w:p w14:paraId="72D363CC">
            <w:pPr>
              <w:pStyle w:val="2"/>
              <w:rPr>
                <w:rFonts w:hint="default"/>
              </w:rPr>
            </w:pPr>
          </w:p>
        </w:tc>
      </w:tr>
      <w:tr w14:paraId="5F296EC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90" w:hRule="atLeast"/>
          <w:jc w:val="center"/>
        </w:trPr>
        <w:tc>
          <w:tcPr>
            <w:tcW w:w="9559" w:type="dxa"/>
            <w:gridSpan w:val="4"/>
            <w:tcBorders>
              <w:top w:val="single" w:color="000000" w:sz="12" w:space="0"/>
            </w:tcBorders>
            <w:vAlign w:val="center"/>
          </w:tcPr>
          <w:p w14:paraId="0563C280">
            <w:pPr>
              <w:widowControl/>
              <w:wordWrap w:val="0"/>
              <w:ind w:firstLine="360" w:firstLineChars="200"/>
              <w:jc w:val="left"/>
              <w:rPr>
                <w:b/>
                <w:kern w:val="0"/>
                <w:sz w:val="18"/>
                <w:szCs w:val="18"/>
              </w:rPr>
            </w:pPr>
            <w:r>
              <w:rPr>
                <w:rFonts w:hint="eastAsia" w:ascii="宋体" w:hAnsi="宋体" w:cs="宋体"/>
                <w:bCs/>
                <w:kern w:val="0"/>
                <w:sz w:val="18"/>
                <w:szCs w:val="18"/>
                <w:vertAlign w:val="superscript"/>
              </w:rPr>
              <w:t>a</w:t>
            </w:r>
            <w:r>
              <w:rPr>
                <w:rFonts w:hint="eastAsia" w:ascii="宋体" w:hAnsi="宋体" w:cs="宋体"/>
                <w:bCs/>
                <w:kern w:val="0"/>
                <w:sz w:val="18"/>
                <w:szCs w:val="18"/>
              </w:rPr>
              <w:t xml:space="preserve">  行业类别参照相关政府职能部门发布的绿色低碳产业相关指导目录的第三级分类进行填报。</w:t>
            </w:r>
          </w:p>
        </w:tc>
      </w:tr>
    </w:tbl>
    <w:p w14:paraId="538BD708">
      <w:pPr>
        <w:pStyle w:val="90"/>
        <w:numPr>
          <w:ilvl w:val="1"/>
          <w:numId w:val="0"/>
        </w:numPr>
        <w:spacing w:before="156" w:after="156"/>
        <w:jc w:val="both"/>
        <w:rPr>
          <w:rFonts w:hAnsi="黑体" w:cs="黑体"/>
        </w:rPr>
      </w:pPr>
      <w:r>
        <w:rPr>
          <w:rFonts w:hint="eastAsia" w:hAnsi="黑体" w:cs="黑体"/>
        </w:rPr>
        <w:t>C.3  基本情况概述</w:t>
      </w:r>
    </w:p>
    <w:p w14:paraId="36C528B8">
      <w:pPr>
        <w:pStyle w:val="25"/>
        <w:rPr>
          <w:rFonts w:ascii="Times New Roman" w:eastAsia="Times New Roman"/>
          <w:szCs w:val="24"/>
        </w:rPr>
      </w:pPr>
      <w:r>
        <w:rPr>
          <w:rFonts w:hint="eastAsia" w:ascii="Times New Roman"/>
          <w:szCs w:val="24"/>
        </w:rPr>
        <w:t>概述企事业单位的经营范围、申请认定评价的绿色业务经营情况、在绿色发展方面开展的重点工作及取得的成效等。</w:t>
      </w:r>
    </w:p>
    <w:p w14:paraId="44B7FA61">
      <w:pPr>
        <w:pStyle w:val="90"/>
        <w:numPr>
          <w:ilvl w:val="1"/>
          <w:numId w:val="0"/>
        </w:numPr>
        <w:spacing w:before="156" w:after="156"/>
        <w:jc w:val="both"/>
        <w:rPr>
          <w:rFonts w:hAnsi="黑体" w:cs="黑体"/>
        </w:rPr>
      </w:pPr>
      <w:r>
        <w:rPr>
          <w:rFonts w:hint="eastAsia" w:hAnsi="黑体" w:cs="黑体"/>
        </w:rPr>
        <w:t>C.4  评价工作概述</w:t>
      </w:r>
    </w:p>
    <w:p w14:paraId="610D256A">
      <w:pPr>
        <w:pStyle w:val="25"/>
        <w:rPr>
          <w:rFonts w:ascii="Times New Roman" w:eastAsia="Times New Roman"/>
          <w:szCs w:val="24"/>
        </w:rPr>
      </w:pPr>
      <w:r>
        <w:rPr>
          <w:rFonts w:hint="eastAsia" w:ascii="Times New Roman"/>
          <w:szCs w:val="24"/>
        </w:rPr>
        <w:t xml:space="preserve">概述绿色低碳产业企业认定申报工作具体开展情况，包括但不限于工作组设立情况、收集资料类型、报告编制情况等。 </w:t>
      </w:r>
    </w:p>
    <w:p w14:paraId="50614CF7">
      <w:pPr>
        <w:pStyle w:val="90"/>
        <w:numPr>
          <w:ilvl w:val="1"/>
          <w:numId w:val="0"/>
        </w:numPr>
        <w:spacing w:before="156" w:after="156"/>
        <w:jc w:val="both"/>
        <w:rPr>
          <w:rFonts w:ascii="Times New Roman" w:eastAsia="Times New Roman"/>
        </w:rPr>
      </w:pPr>
      <w:r>
        <w:rPr>
          <w:rFonts w:hint="eastAsia" w:hAnsi="黑体" w:cs="黑体"/>
        </w:rPr>
        <w:t>C.5  绿色低碳产业企业认定情况</w:t>
      </w:r>
    </w:p>
    <w:p w14:paraId="3FD28A6E">
      <w:pPr>
        <w:pStyle w:val="90"/>
        <w:numPr>
          <w:ilvl w:val="1"/>
          <w:numId w:val="0"/>
        </w:numPr>
        <w:spacing w:before="156" w:after="156"/>
        <w:jc w:val="both"/>
        <w:rPr>
          <w:rFonts w:hAnsi="黑体" w:cs="黑体"/>
        </w:rPr>
      </w:pPr>
      <w:r>
        <w:rPr>
          <w:rFonts w:hint="eastAsia" w:hAnsi="黑体" w:cs="黑体"/>
        </w:rPr>
        <w:t>C.5.1  符合性评价</w:t>
      </w:r>
    </w:p>
    <w:p w14:paraId="0B156A9E">
      <w:pPr>
        <w:pStyle w:val="25"/>
        <w:rPr>
          <w:rFonts w:hAnsi="宋体" w:cs="宋体"/>
          <w:szCs w:val="24"/>
        </w:rPr>
      </w:pPr>
      <w:r>
        <w:rPr>
          <w:rFonts w:hint="eastAsia" w:hAnsi="宋体" w:cs="宋体"/>
          <w:szCs w:val="24"/>
        </w:rPr>
        <w:t>对以下内容进行具体描述：</w:t>
      </w:r>
    </w:p>
    <w:p w14:paraId="4FA7DBE8">
      <w:pPr>
        <w:pStyle w:val="25"/>
        <w:ind w:left="840" w:leftChars="200" w:hanging="420" w:hangingChars="200"/>
        <w:rPr>
          <w:rFonts w:hAnsi="宋体" w:cs="宋体"/>
          <w:szCs w:val="24"/>
        </w:rPr>
      </w:pPr>
      <w:r>
        <w:rPr>
          <w:rFonts w:hint="eastAsia" w:hAnsi="宋体" w:cs="宋体"/>
          <w:szCs w:val="24"/>
        </w:rPr>
        <w:t>——目录符合：申报认定评价的绿色业务属于智能电网建设运营领域，且其智能电网建设运营领域绿色业务占比达到50%及以上，或绿色业务规模达到1亿元；或在当地具备一定市场规模、经相关政府职能部门认可的相关行业</w:t>
      </w:r>
      <w:r>
        <w:rPr>
          <w:rFonts w:hint="eastAsia" w:ascii="Times New Roman"/>
        </w:rPr>
        <w:t>。</w:t>
      </w:r>
    </w:p>
    <w:p w14:paraId="75AC2912">
      <w:pPr>
        <w:pStyle w:val="25"/>
        <w:ind w:left="840" w:leftChars="200" w:hanging="420" w:hangingChars="200"/>
        <w:rPr>
          <w:rFonts w:hAnsi="宋体" w:cs="宋体"/>
          <w:szCs w:val="24"/>
        </w:rPr>
      </w:pPr>
      <w:r>
        <w:rPr>
          <w:rFonts w:hint="eastAsia" w:hAnsi="宋体" w:cs="宋体"/>
          <w:szCs w:val="24"/>
        </w:rPr>
        <w:t>——技术符合：提供的产品或服务应符合国家、广东省及深圳市相关主管部门发布文件列明的有关设计、能效、性能、安全、贮存、回收、标识、验收、管理和运维等技术要求。</w:t>
      </w:r>
    </w:p>
    <w:p w14:paraId="68B096EA">
      <w:pPr>
        <w:pStyle w:val="90"/>
        <w:numPr>
          <w:ilvl w:val="1"/>
          <w:numId w:val="0"/>
        </w:numPr>
        <w:spacing w:before="156" w:after="156"/>
        <w:jc w:val="both"/>
        <w:rPr>
          <w:rFonts w:hAnsi="黑体" w:cs="黑体"/>
        </w:rPr>
      </w:pPr>
      <w:r>
        <w:rPr>
          <w:rFonts w:hint="eastAsia" w:hAnsi="黑体" w:cs="黑体"/>
        </w:rPr>
        <w:t>C.5.2  综合评价</w:t>
      </w:r>
    </w:p>
    <w:p w14:paraId="599A871E">
      <w:pPr>
        <w:pStyle w:val="90"/>
        <w:numPr>
          <w:ilvl w:val="1"/>
          <w:numId w:val="0"/>
        </w:numPr>
        <w:spacing w:before="156" w:after="156"/>
        <w:jc w:val="both"/>
        <w:rPr>
          <w:rFonts w:ascii="Times New Roman" w:eastAsia="Times New Roman"/>
        </w:rPr>
      </w:pPr>
      <w:r>
        <w:rPr>
          <w:rFonts w:hint="eastAsia" w:hAnsi="黑体" w:cs="黑体"/>
        </w:rPr>
        <w:t>C.5.2.1  技术表现</w:t>
      </w:r>
    </w:p>
    <w:p w14:paraId="183E6A42">
      <w:pPr>
        <w:pStyle w:val="25"/>
        <w:rPr>
          <w:rFonts w:hAnsi="宋体" w:cs="宋体"/>
        </w:rPr>
      </w:pPr>
      <w:r>
        <w:rPr>
          <w:rFonts w:hint="eastAsia" w:hAnsi="宋体" w:cs="宋体"/>
        </w:rPr>
        <w:t>对以下内容进行具体描述：</w:t>
      </w:r>
    </w:p>
    <w:p w14:paraId="2D7F3015">
      <w:pPr>
        <w:autoSpaceDE w:val="0"/>
        <w:autoSpaceDN w:val="0"/>
        <w:ind w:left="840" w:leftChars="200" w:hanging="420" w:hangingChars="200"/>
        <w:rPr>
          <w:rFonts w:ascii="宋体" w:hAnsi="宋体" w:cs="宋体"/>
        </w:rPr>
      </w:pPr>
      <w:r>
        <w:rPr>
          <w:rFonts w:hint="eastAsia" w:ascii="宋体" w:hAnsi="宋体" w:cs="宋体"/>
        </w:rPr>
        <w:t>——先进性：主要描述有效知识产权、制修订标准、关键技术先进性等情况；</w:t>
      </w:r>
    </w:p>
    <w:p w14:paraId="036461C3">
      <w:pPr>
        <w:pStyle w:val="25"/>
        <w:ind w:left="840" w:leftChars="200" w:hanging="420" w:hangingChars="200"/>
        <w:rPr>
          <w:rFonts w:ascii="Times New Roman" w:eastAsia="Times New Roman"/>
          <w:szCs w:val="24"/>
        </w:rPr>
      </w:pPr>
      <w:r>
        <w:rPr>
          <w:rFonts w:hint="eastAsia" w:hAnsi="宋体" w:cs="宋体"/>
        </w:rPr>
        <w:t>——环境效益：主要描述在</w:t>
      </w:r>
      <w:r>
        <w:rPr>
          <w:rFonts w:ascii="Times New Roman"/>
        </w:rPr>
        <w:t>资源节约、环境友好、生态良好</w:t>
      </w:r>
      <w:r>
        <w:rPr>
          <w:rFonts w:hint="eastAsia" w:hAnsi="宋体" w:cs="宋体"/>
        </w:rPr>
        <w:t>等方面实际产生的环境效益贡献量和涉及的环境效益种类数量。从降碳效益、减污效益进行评估，按照本文件规定的环境效益指标进行量化评估。</w:t>
      </w:r>
    </w:p>
    <w:p w14:paraId="3D0717EF">
      <w:pPr>
        <w:pStyle w:val="90"/>
        <w:numPr>
          <w:ilvl w:val="1"/>
          <w:numId w:val="0"/>
        </w:numPr>
        <w:spacing w:before="156" w:after="156"/>
        <w:jc w:val="both"/>
        <w:rPr>
          <w:rFonts w:hAnsi="黑体" w:cs="黑体"/>
        </w:rPr>
      </w:pPr>
      <w:r>
        <w:rPr>
          <w:rFonts w:hint="eastAsia" w:hAnsi="黑体" w:cs="黑体"/>
        </w:rPr>
        <w:t>C.5.2.2  业务表现</w:t>
      </w:r>
    </w:p>
    <w:p w14:paraId="542DF81A">
      <w:pPr>
        <w:autoSpaceDE w:val="0"/>
        <w:autoSpaceDN w:val="0"/>
        <w:ind w:firstLine="420" w:firstLineChars="200"/>
        <w:rPr>
          <w:rFonts w:ascii="宋体" w:hAnsi="宋体" w:cs="宋体"/>
        </w:rPr>
      </w:pPr>
      <w:r>
        <w:rPr>
          <w:rFonts w:hint="eastAsia" w:ascii="宋体" w:hAnsi="宋体" w:cs="宋体"/>
        </w:rPr>
        <w:t>对以下内容进行具体描述：</w:t>
      </w:r>
    </w:p>
    <w:p w14:paraId="0293D3D7">
      <w:pPr>
        <w:autoSpaceDE w:val="0"/>
        <w:autoSpaceDN w:val="0"/>
        <w:ind w:left="840" w:leftChars="200" w:hanging="420" w:hangingChars="200"/>
        <w:rPr>
          <w:rFonts w:ascii="宋体" w:hAnsi="宋体" w:cs="宋体"/>
        </w:rPr>
      </w:pPr>
      <w:r>
        <w:rPr>
          <w:rFonts w:hint="eastAsia" w:ascii="宋体" w:hAnsi="宋体" w:cs="宋体"/>
        </w:rPr>
        <w:t>——发展能力：主要描述团队技术实力、研发投入、运营效益水平等情况；</w:t>
      </w:r>
    </w:p>
    <w:p w14:paraId="7C32A323">
      <w:pPr>
        <w:pStyle w:val="25"/>
        <w:ind w:left="840" w:leftChars="200" w:hanging="420" w:hangingChars="200"/>
        <w:rPr>
          <w:rFonts w:ascii="Times New Roman" w:eastAsia="Times New Roman"/>
          <w:szCs w:val="24"/>
        </w:rPr>
      </w:pPr>
      <w:r>
        <w:rPr>
          <w:rFonts w:hint="eastAsia" w:hAnsi="宋体" w:cs="宋体"/>
        </w:rPr>
        <w:t>——市场影响：主要描述市场占有率、稳定提供相关产品或服务的年限、引领绿色低碳产业技术创新或市场发展的情况，以及获得的国家级、省部级、市级或区级奖项、资质、荣誉、认定及证书的情况。</w:t>
      </w:r>
    </w:p>
    <w:p w14:paraId="3DA97339">
      <w:pPr>
        <w:pStyle w:val="90"/>
        <w:numPr>
          <w:ilvl w:val="1"/>
          <w:numId w:val="0"/>
        </w:numPr>
        <w:spacing w:before="156" w:after="156"/>
        <w:jc w:val="both"/>
        <w:rPr>
          <w:rFonts w:ascii="Times New Roman" w:eastAsia="Times New Roman"/>
        </w:rPr>
      </w:pPr>
      <w:r>
        <w:rPr>
          <w:rFonts w:hint="eastAsia" w:hAnsi="黑体" w:cs="黑体"/>
        </w:rPr>
        <w:t>C.5.2.3  环境表现</w:t>
      </w:r>
    </w:p>
    <w:p w14:paraId="28B625B4">
      <w:pPr>
        <w:autoSpaceDE w:val="0"/>
        <w:autoSpaceDN w:val="0"/>
        <w:ind w:firstLine="420" w:firstLineChars="200"/>
        <w:rPr>
          <w:rFonts w:ascii="宋体" w:hAnsi="宋体" w:cs="宋体"/>
        </w:rPr>
      </w:pPr>
      <w:r>
        <w:rPr>
          <w:rFonts w:hint="eastAsia" w:ascii="宋体" w:hAnsi="宋体" w:cs="宋体"/>
        </w:rPr>
        <w:t>对以下内容进行具体描述：</w:t>
      </w:r>
    </w:p>
    <w:p w14:paraId="6ED1359E">
      <w:pPr>
        <w:autoSpaceDE w:val="0"/>
        <w:autoSpaceDN w:val="0"/>
        <w:ind w:left="850" w:leftChars="204" w:hanging="422" w:hangingChars="201"/>
        <w:rPr>
          <w:rFonts w:ascii="宋体" w:hAnsi="宋体" w:cs="宋体"/>
        </w:rPr>
      </w:pPr>
      <w:r>
        <w:rPr>
          <w:rFonts w:hint="eastAsia" w:ascii="宋体" w:hAnsi="宋体" w:cs="宋体"/>
        </w:rPr>
        <w:t>——温室气体排放水平：主要描述温室气体排放及下降情况；</w:t>
      </w:r>
    </w:p>
    <w:p w14:paraId="6B02D652">
      <w:pPr>
        <w:autoSpaceDE w:val="0"/>
        <w:autoSpaceDN w:val="0"/>
        <w:ind w:firstLine="420" w:firstLineChars="200"/>
        <w:rPr>
          <w:rFonts w:ascii="宋体" w:hAnsi="宋体" w:cs="宋体"/>
        </w:rPr>
      </w:pPr>
      <w:r>
        <w:rPr>
          <w:rFonts w:hint="eastAsia" w:ascii="宋体" w:hAnsi="宋体" w:cs="宋体"/>
        </w:rPr>
        <w:t>——设备材料：主要描述采购的设备和原材料与优先推荐目录的匹配情况；</w:t>
      </w:r>
    </w:p>
    <w:p w14:paraId="66E50597">
      <w:pPr>
        <w:autoSpaceDE w:val="0"/>
        <w:autoSpaceDN w:val="0"/>
        <w:ind w:firstLine="420" w:firstLineChars="200"/>
        <w:rPr>
          <w:rFonts w:ascii="宋体" w:hAnsi="宋体" w:cs="宋体"/>
        </w:rPr>
      </w:pPr>
      <w:r>
        <w:rPr>
          <w:rFonts w:hint="eastAsia" w:ascii="宋体" w:hAnsi="宋体" w:cs="宋体"/>
        </w:rPr>
        <w:t>——能源资源利用：主要描述能耗等情况；</w:t>
      </w:r>
    </w:p>
    <w:p w14:paraId="7B147128">
      <w:pPr>
        <w:pStyle w:val="25"/>
        <w:rPr>
          <w:rFonts w:ascii="Times New Roman"/>
          <w:szCs w:val="24"/>
        </w:rPr>
      </w:pPr>
      <w:r>
        <w:rPr>
          <w:rFonts w:hint="eastAsia" w:hAnsi="宋体" w:cs="宋体"/>
        </w:rPr>
        <w:t>——污染物排放水平：主要描述污染物排放及达标情况。</w:t>
      </w:r>
    </w:p>
    <w:p w14:paraId="5A45FCAC">
      <w:pPr>
        <w:pStyle w:val="90"/>
        <w:numPr>
          <w:ilvl w:val="1"/>
          <w:numId w:val="0"/>
        </w:numPr>
        <w:spacing w:before="156" w:after="156"/>
        <w:jc w:val="both"/>
        <w:rPr>
          <w:rFonts w:ascii="Times New Roman" w:eastAsia="Times New Roman"/>
        </w:rPr>
      </w:pPr>
      <w:r>
        <w:rPr>
          <w:rFonts w:hint="eastAsia" w:hAnsi="黑体" w:cs="黑体"/>
        </w:rPr>
        <w:t>C.5.2.4  社会表现</w:t>
      </w:r>
    </w:p>
    <w:p w14:paraId="49FB371D">
      <w:pPr>
        <w:autoSpaceDE w:val="0"/>
        <w:autoSpaceDN w:val="0"/>
        <w:ind w:firstLine="420" w:firstLineChars="200"/>
        <w:rPr>
          <w:rFonts w:ascii="宋体" w:hAnsi="宋体" w:cs="宋体"/>
        </w:rPr>
      </w:pPr>
      <w:r>
        <w:rPr>
          <w:rFonts w:hint="eastAsia" w:ascii="宋体" w:hAnsi="宋体" w:cs="宋体"/>
        </w:rPr>
        <w:t>对以下内容进行具体描述：</w:t>
      </w:r>
    </w:p>
    <w:p w14:paraId="457E2B34">
      <w:pPr>
        <w:autoSpaceDE w:val="0"/>
        <w:autoSpaceDN w:val="0"/>
        <w:ind w:left="840" w:leftChars="200" w:hanging="420" w:hangingChars="200"/>
        <w:rPr>
          <w:rFonts w:ascii="宋体" w:hAnsi="宋体" w:cs="宋体"/>
        </w:rPr>
      </w:pPr>
      <w:r>
        <w:rPr>
          <w:rFonts w:hint="eastAsia" w:ascii="宋体" w:hAnsi="宋体" w:cs="宋体"/>
        </w:rPr>
        <w:t>——内部行动：主要描述绿色行动、信息披露、低碳培训等情况；</w:t>
      </w:r>
    </w:p>
    <w:p w14:paraId="144C314D">
      <w:pPr>
        <w:pStyle w:val="25"/>
        <w:rPr>
          <w:rFonts w:ascii="Times New Roman" w:eastAsia="Times New Roman"/>
          <w:szCs w:val="24"/>
        </w:rPr>
      </w:pPr>
      <w:r>
        <w:rPr>
          <w:rFonts w:hint="eastAsia" w:hAnsi="宋体" w:cs="宋体"/>
        </w:rPr>
        <w:t>——社会责任：主要描述履行公共关系和社会公益责任、实施供应链绿色化管理等情况。</w:t>
      </w:r>
    </w:p>
    <w:p w14:paraId="4A0C0E6B">
      <w:pPr>
        <w:pStyle w:val="90"/>
        <w:numPr>
          <w:ilvl w:val="1"/>
          <w:numId w:val="0"/>
        </w:numPr>
        <w:spacing w:before="156" w:after="156"/>
        <w:jc w:val="both"/>
        <w:rPr>
          <w:rFonts w:hAnsi="黑体" w:cs="黑体"/>
        </w:rPr>
      </w:pPr>
      <w:r>
        <w:rPr>
          <w:rFonts w:hint="eastAsia" w:hAnsi="黑体" w:cs="黑体"/>
        </w:rPr>
        <w:t>C.6  评价表</w:t>
      </w:r>
    </w:p>
    <w:p w14:paraId="4B920898">
      <w:pPr>
        <w:pStyle w:val="25"/>
        <w:rPr>
          <w:rFonts w:asciiTheme="minorEastAsia" w:hAnsiTheme="minorEastAsia" w:eastAsiaTheme="minorEastAsia"/>
          <w:szCs w:val="24"/>
        </w:rPr>
      </w:pPr>
      <w:r>
        <w:rPr>
          <w:rFonts w:hint="eastAsia" w:asciiTheme="minorEastAsia" w:hAnsiTheme="minorEastAsia" w:eastAsiaTheme="minorEastAsia"/>
          <w:szCs w:val="24"/>
        </w:rPr>
        <w:t>绿色低碳产业企业认定评价见表C.3～表C.5。</w:t>
      </w:r>
    </w:p>
    <w:p w14:paraId="3C60945F">
      <w:pPr>
        <w:pStyle w:val="90"/>
        <w:numPr>
          <w:ilvl w:val="1"/>
          <w:numId w:val="0"/>
        </w:numPr>
        <w:spacing w:before="156" w:after="156"/>
        <w:rPr>
          <w:rFonts w:ascii="Times New Roman"/>
        </w:rPr>
      </w:pPr>
      <w:r>
        <w:rPr>
          <w:rFonts w:hint="eastAsia" w:hAnsi="黑体" w:cs="黑体"/>
        </w:rPr>
        <w:t>表C.3  符合性评价</w:t>
      </w:r>
    </w:p>
    <w:tbl>
      <w:tblPr>
        <w:tblStyle w:val="35"/>
        <w:tblW w:w="9713"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80"/>
        <w:gridCol w:w="1034"/>
        <w:gridCol w:w="4450"/>
        <w:gridCol w:w="1809"/>
        <w:gridCol w:w="1540"/>
      </w:tblGrid>
      <w:tr w14:paraId="42A4F2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80" w:type="dxa"/>
            <w:tcBorders>
              <w:bottom w:val="single" w:color="auto" w:sz="12" w:space="0"/>
            </w:tcBorders>
            <w:vAlign w:val="center"/>
          </w:tcPr>
          <w:p w14:paraId="6028E297">
            <w:pPr>
              <w:jc w:val="center"/>
              <w:rPr>
                <w:b/>
                <w:sz w:val="18"/>
                <w:szCs w:val="18"/>
              </w:rPr>
            </w:pPr>
            <w:r>
              <w:rPr>
                <w:rFonts w:hint="eastAsia"/>
                <w:b/>
                <w:sz w:val="18"/>
                <w:szCs w:val="18"/>
              </w:rPr>
              <w:t>序号</w:t>
            </w:r>
          </w:p>
        </w:tc>
        <w:tc>
          <w:tcPr>
            <w:tcW w:w="1034" w:type="dxa"/>
            <w:tcBorders>
              <w:bottom w:val="single" w:color="auto" w:sz="12" w:space="0"/>
            </w:tcBorders>
            <w:vAlign w:val="center"/>
          </w:tcPr>
          <w:p w14:paraId="1B89B225">
            <w:pPr>
              <w:jc w:val="center"/>
              <w:rPr>
                <w:b/>
                <w:sz w:val="18"/>
                <w:szCs w:val="18"/>
              </w:rPr>
            </w:pPr>
            <w:r>
              <w:rPr>
                <w:rFonts w:hint="eastAsia"/>
                <w:b/>
                <w:sz w:val="18"/>
                <w:szCs w:val="18"/>
              </w:rPr>
              <w:t>指标</w:t>
            </w:r>
          </w:p>
        </w:tc>
        <w:tc>
          <w:tcPr>
            <w:tcW w:w="4450" w:type="dxa"/>
            <w:tcBorders>
              <w:bottom w:val="single" w:color="auto" w:sz="12" w:space="0"/>
            </w:tcBorders>
            <w:vAlign w:val="center"/>
          </w:tcPr>
          <w:p w14:paraId="0C83EF84">
            <w:pPr>
              <w:jc w:val="center"/>
              <w:rPr>
                <w:b/>
                <w:sz w:val="18"/>
                <w:szCs w:val="18"/>
              </w:rPr>
            </w:pPr>
            <w:r>
              <w:rPr>
                <w:rFonts w:hint="eastAsia"/>
                <w:b/>
                <w:sz w:val="18"/>
                <w:szCs w:val="18"/>
              </w:rPr>
              <w:t>符合性评价内容</w:t>
            </w:r>
          </w:p>
        </w:tc>
        <w:tc>
          <w:tcPr>
            <w:tcW w:w="1809" w:type="dxa"/>
            <w:tcBorders>
              <w:bottom w:val="single" w:color="auto" w:sz="12" w:space="0"/>
            </w:tcBorders>
            <w:vAlign w:val="center"/>
          </w:tcPr>
          <w:p w14:paraId="3C8845AA">
            <w:pPr>
              <w:jc w:val="center"/>
              <w:rPr>
                <w:b/>
                <w:sz w:val="18"/>
                <w:szCs w:val="18"/>
              </w:rPr>
            </w:pPr>
            <w:r>
              <w:rPr>
                <w:rFonts w:hint="eastAsia"/>
                <w:b/>
                <w:sz w:val="18"/>
                <w:szCs w:val="18"/>
              </w:rPr>
              <w:t>评价结果（是/否）</w:t>
            </w:r>
          </w:p>
        </w:tc>
        <w:tc>
          <w:tcPr>
            <w:tcW w:w="1540" w:type="dxa"/>
            <w:tcBorders>
              <w:bottom w:val="single" w:color="auto" w:sz="12" w:space="0"/>
            </w:tcBorders>
            <w:vAlign w:val="center"/>
          </w:tcPr>
          <w:p w14:paraId="52E552C3">
            <w:pPr>
              <w:jc w:val="center"/>
              <w:rPr>
                <w:b/>
                <w:sz w:val="18"/>
                <w:szCs w:val="18"/>
              </w:rPr>
            </w:pPr>
            <w:r>
              <w:rPr>
                <w:rFonts w:hint="eastAsia"/>
                <w:b/>
                <w:sz w:val="18"/>
                <w:szCs w:val="18"/>
              </w:rPr>
              <w:t>佐证材料备注</w:t>
            </w:r>
            <w:r>
              <w:rPr>
                <w:rFonts w:hint="eastAsia" w:ascii="宋体" w:hAnsi="宋体" w:cs="宋体"/>
                <w:bCs/>
                <w:sz w:val="18"/>
                <w:szCs w:val="18"/>
                <w:vertAlign w:val="superscript"/>
              </w:rPr>
              <w:t>a</w:t>
            </w:r>
          </w:p>
        </w:tc>
      </w:tr>
      <w:tr w14:paraId="75B9E15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80" w:type="dxa"/>
            <w:tcBorders>
              <w:top w:val="single" w:color="auto" w:sz="12" w:space="0"/>
              <w:tl2br w:val="nil"/>
              <w:tr2bl w:val="nil"/>
            </w:tcBorders>
            <w:vAlign w:val="center"/>
          </w:tcPr>
          <w:p w14:paraId="4CE60C06">
            <w:pPr>
              <w:widowControl/>
              <w:jc w:val="center"/>
              <w:rPr>
                <w:rFonts w:asciiTheme="minorEastAsia" w:hAnsiTheme="minorEastAsia" w:eastAsiaTheme="minorEastAsia"/>
                <w:color w:val="000000"/>
                <w:kern w:val="0"/>
                <w:sz w:val="18"/>
                <w:szCs w:val="18"/>
              </w:rPr>
            </w:pPr>
            <w:r>
              <w:rPr>
                <w:rFonts w:hint="eastAsia" w:asciiTheme="minorEastAsia" w:hAnsiTheme="minorEastAsia" w:eastAsiaTheme="minorEastAsia"/>
                <w:color w:val="000000"/>
                <w:kern w:val="0"/>
                <w:sz w:val="18"/>
                <w:szCs w:val="18"/>
              </w:rPr>
              <w:t>1</w:t>
            </w:r>
          </w:p>
        </w:tc>
        <w:tc>
          <w:tcPr>
            <w:tcW w:w="1034" w:type="dxa"/>
            <w:tcBorders>
              <w:top w:val="single" w:color="auto" w:sz="12" w:space="0"/>
              <w:tl2br w:val="nil"/>
              <w:tr2bl w:val="nil"/>
            </w:tcBorders>
            <w:vAlign w:val="center"/>
          </w:tcPr>
          <w:p w14:paraId="30682A55">
            <w:pPr>
              <w:widowControl/>
              <w:jc w:val="center"/>
              <w:rPr>
                <w:color w:val="000000"/>
                <w:kern w:val="0"/>
                <w:sz w:val="18"/>
                <w:szCs w:val="18"/>
                <w:highlight w:val="yellow"/>
              </w:rPr>
            </w:pPr>
            <w:r>
              <w:rPr>
                <w:rFonts w:hint="eastAsia"/>
                <w:color w:val="000000"/>
                <w:kern w:val="0"/>
                <w:sz w:val="18"/>
                <w:szCs w:val="18"/>
              </w:rPr>
              <w:t>目录符合</w:t>
            </w:r>
          </w:p>
        </w:tc>
        <w:tc>
          <w:tcPr>
            <w:tcW w:w="4450" w:type="dxa"/>
            <w:tcBorders>
              <w:top w:val="single" w:color="auto" w:sz="12" w:space="0"/>
              <w:tl2br w:val="nil"/>
              <w:tr2bl w:val="nil"/>
            </w:tcBorders>
            <w:vAlign w:val="center"/>
          </w:tcPr>
          <w:p w14:paraId="272CC4CA">
            <w:pPr>
              <w:widowControl/>
              <w:tabs>
                <w:tab w:val="center" w:pos="4201"/>
                <w:tab w:val="right" w:leader="dot" w:pos="9298"/>
              </w:tabs>
              <w:autoSpaceDE w:val="0"/>
              <w:autoSpaceDN w:val="0"/>
              <w:rPr>
                <w:rFonts w:ascii="宋体" w:hAnsi="宋体" w:cs="宋体"/>
                <w:kern w:val="0"/>
                <w:sz w:val="18"/>
                <w:szCs w:val="18"/>
                <w:highlight w:val="yellow"/>
              </w:rPr>
            </w:pPr>
            <w:r>
              <w:rPr>
                <w:rFonts w:hint="eastAsia" w:ascii="宋体" w:hAnsi="宋体" w:cs="宋体"/>
                <w:sz w:val="18"/>
                <w:szCs w:val="18"/>
              </w:rPr>
              <w:t>申报认定评价的绿色业务属于智能电网建设运营领域，且其智能电网建设运营领域绿色业务占比达到50%及以上，或绿色业务规模达到1亿元；或在当地具备一定市场规模、经相关政府职能部门认可的相关行业。</w:t>
            </w:r>
          </w:p>
        </w:tc>
        <w:tc>
          <w:tcPr>
            <w:tcW w:w="1809" w:type="dxa"/>
            <w:tcBorders>
              <w:top w:val="single" w:color="auto" w:sz="12" w:space="0"/>
              <w:tl2br w:val="nil"/>
              <w:tr2bl w:val="nil"/>
            </w:tcBorders>
            <w:vAlign w:val="center"/>
          </w:tcPr>
          <w:p w14:paraId="7B863EEA">
            <w:pPr>
              <w:jc w:val="center"/>
              <w:rPr>
                <w:rFonts w:ascii="宋体" w:hAnsi="宋体" w:cs="宋体"/>
                <w:sz w:val="18"/>
                <w:szCs w:val="18"/>
              </w:rPr>
            </w:pPr>
          </w:p>
        </w:tc>
        <w:tc>
          <w:tcPr>
            <w:tcW w:w="1540" w:type="dxa"/>
            <w:tcBorders>
              <w:top w:val="single" w:color="auto" w:sz="12" w:space="0"/>
              <w:tl2br w:val="nil"/>
              <w:tr2bl w:val="nil"/>
            </w:tcBorders>
            <w:vAlign w:val="center"/>
          </w:tcPr>
          <w:p w14:paraId="6828866D">
            <w:pPr>
              <w:jc w:val="center"/>
              <w:rPr>
                <w:rFonts w:ascii="宋体" w:hAnsi="宋体" w:cs="宋体"/>
                <w:sz w:val="18"/>
                <w:szCs w:val="18"/>
              </w:rPr>
            </w:pPr>
          </w:p>
        </w:tc>
      </w:tr>
      <w:tr w14:paraId="0AD9AF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880" w:type="dxa"/>
            <w:tcBorders>
              <w:bottom w:val="single" w:color="auto" w:sz="12" w:space="0"/>
              <w:tl2br w:val="nil"/>
              <w:tr2bl w:val="nil"/>
            </w:tcBorders>
            <w:vAlign w:val="center"/>
          </w:tcPr>
          <w:p w14:paraId="77065CA2">
            <w:pPr>
              <w:widowControl/>
              <w:jc w:val="center"/>
              <w:rPr>
                <w:rFonts w:asciiTheme="minorEastAsia" w:hAnsiTheme="minorEastAsia" w:eastAsiaTheme="minorEastAsia"/>
                <w:color w:val="000000"/>
                <w:kern w:val="0"/>
                <w:sz w:val="18"/>
                <w:szCs w:val="18"/>
              </w:rPr>
            </w:pPr>
            <w:r>
              <w:rPr>
                <w:rFonts w:hint="eastAsia" w:asciiTheme="minorEastAsia" w:hAnsiTheme="minorEastAsia" w:eastAsiaTheme="minorEastAsia"/>
                <w:color w:val="000000"/>
                <w:kern w:val="0"/>
                <w:sz w:val="18"/>
                <w:szCs w:val="18"/>
              </w:rPr>
              <w:t>2</w:t>
            </w:r>
          </w:p>
        </w:tc>
        <w:tc>
          <w:tcPr>
            <w:tcW w:w="1034" w:type="dxa"/>
            <w:tcBorders>
              <w:bottom w:val="single" w:color="auto" w:sz="12" w:space="0"/>
              <w:tl2br w:val="nil"/>
              <w:tr2bl w:val="nil"/>
            </w:tcBorders>
            <w:vAlign w:val="center"/>
          </w:tcPr>
          <w:p w14:paraId="4A1C9C46">
            <w:pPr>
              <w:widowControl/>
              <w:jc w:val="center"/>
              <w:rPr>
                <w:color w:val="000000"/>
                <w:kern w:val="0"/>
                <w:sz w:val="18"/>
                <w:szCs w:val="18"/>
              </w:rPr>
            </w:pPr>
            <w:r>
              <w:rPr>
                <w:rFonts w:hint="eastAsia"/>
                <w:kern w:val="0"/>
                <w:sz w:val="18"/>
                <w:szCs w:val="18"/>
              </w:rPr>
              <w:t>技术符合</w:t>
            </w:r>
          </w:p>
        </w:tc>
        <w:tc>
          <w:tcPr>
            <w:tcW w:w="4450" w:type="dxa"/>
            <w:tcBorders>
              <w:bottom w:val="single" w:color="auto" w:sz="12" w:space="0"/>
              <w:tl2br w:val="nil"/>
              <w:tr2bl w:val="nil"/>
            </w:tcBorders>
            <w:vAlign w:val="center"/>
          </w:tcPr>
          <w:p w14:paraId="46A41926">
            <w:pPr>
              <w:widowControl/>
              <w:tabs>
                <w:tab w:val="center" w:pos="4201"/>
                <w:tab w:val="right" w:leader="dot" w:pos="9298"/>
              </w:tabs>
              <w:autoSpaceDE w:val="0"/>
              <w:autoSpaceDN w:val="0"/>
              <w:rPr>
                <w:rFonts w:ascii="宋体" w:hAnsi="宋体" w:cs="宋体"/>
                <w:kern w:val="0"/>
                <w:sz w:val="18"/>
                <w:szCs w:val="18"/>
              </w:rPr>
            </w:pPr>
            <w:r>
              <w:rPr>
                <w:rFonts w:hint="eastAsia" w:ascii="宋体"/>
                <w:sz w:val="18"/>
                <w:szCs w:val="18"/>
              </w:rPr>
              <w:t>提供的产品或服务应符合国家、广东省及深圳市相关主管部门发布文件列明的有关设计、能效、性能、安全、贮存、回收、标识、验收、管理和运维等技术要求</w:t>
            </w:r>
          </w:p>
        </w:tc>
        <w:tc>
          <w:tcPr>
            <w:tcW w:w="1809" w:type="dxa"/>
            <w:tcBorders>
              <w:bottom w:val="single" w:color="auto" w:sz="12" w:space="0"/>
              <w:tl2br w:val="nil"/>
              <w:tr2bl w:val="nil"/>
            </w:tcBorders>
            <w:vAlign w:val="center"/>
          </w:tcPr>
          <w:p w14:paraId="206599FA">
            <w:pPr>
              <w:jc w:val="center"/>
              <w:rPr>
                <w:rFonts w:ascii="宋体" w:hAnsi="宋体" w:cs="宋体"/>
                <w:sz w:val="18"/>
                <w:szCs w:val="18"/>
              </w:rPr>
            </w:pPr>
          </w:p>
        </w:tc>
        <w:tc>
          <w:tcPr>
            <w:tcW w:w="1540" w:type="dxa"/>
            <w:tcBorders>
              <w:bottom w:val="single" w:color="auto" w:sz="12" w:space="0"/>
              <w:tl2br w:val="nil"/>
              <w:tr2bl w:val="nil"/>
            </w:tcBorders>
            <w:vAlign w:val="center"/>
          </w:tcPr>
          <w:p w14:paraId="74D0D71F">
            <w:pPr>
              <w:jc w:val="center"/>
              <w:rPr>
                <w:rFonts w:ascii="宋体" w:hAnsi="宋体" w:cs="宋体"/>
                <w:sz w:val="18"/>
                <w:szCs w:val="18"/>
              </w:rPr>
            </w:pPr>
          </w:p>
        </w:tc>
      </w:tr>
      <w:tr w14:paraId="0823F89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713" w:type="dxa"/>
            <w:gridSpan w:val="5"/>
            <w:tcBorders>
              <w:top w:val="single" w:color="auto" w:sz="12" w:space="0"/>
            </w:tcBorders>
            <w:vAlign w:val="center"/>
          </w:tcPr>
          <w:p w14:paraId="5C2164C6">
            <w:pPr>
              <w:ind w:firstLine="360" w:firstLineChars="200"/>
              <w:jc w:val="left"/>
              <w:rPr>
                <w:rFonts w:ascii="宋体" w:hAnsi="宋体" w:cs="宋体"/>
                <w:sz w:val="18"/>
                <w:szCs w:val="18"/>
              </w:rPr>
            </w:pPr>
            <w:r>
              <w:rPr>
                <w:rStyle w:val="155"/>
                <w:rFonts w:hint="eastAsia" w:asciiTheme="minorEastAsia" w:hAnsiTheme="minorEastAsia" w:eastAsiaTheme="minorEastAsia" w:cstheme="minorEastAsia"/>
                <w:sz w:val="18"/>
                <w:szCs w:val="18"/>
                <w:vertAlign w:val="superscript"/>
              </w:rPr>
              <w:t>a</w:t>
            </w:r>
            <w:r>
              <w:rPr>
                <w:rFonts w:hint="eastAsia" w:cs="宋体" w:asciiTheme="minorEastAsia" w:hAnsiTheme="minorEastAsia" w:eastAsiaTheme="minorEastAsia"/>
                <w:sz w:val="18"/>
                <w:szCs w:val="18"/>
              </w:rPr>
              <w:t xml:space="preserve"> 给出材料对应的具体页码，例如，见第4页。</w:t>
            </w:r>
          </w:p>
        </w:tc>
      </w:tr>
    </w:tbl>
    <w:p w14:paraId="403077B6">
      <w:pPr>
        <w:pStyle w:val="90"/>
        <w:numPr>
          <w:ilvl w:val="1"/>
          <w:numId w:val="0"/>
        </w:numPr>
        <w:tabs>
          <w:tab w:val="clear" w:pos="0"/>
        </w:tabs>
        <w:spacing w:before="156" w:after="156"/>
        <w:rPr>
          <w:rFonts w:hAnsi="黑体"/>
        </w:rPr>
      </w:pPr>
      <w:r>
        <w:rPr>
          <w:rFonts w:hint="eastAsia" w:hAnsi="黑体" w:cs="黑体"/>
        </w:rPr>
        <w:t>C</w:t>
      </w:r>
      <w:r>
        <w:rPr>
          <w:rFonts w:hint="eastAsia" w:hAnsi="黑体"/>
        </w:rPr>
        <w:t>.4  综合评价</w:t>
      </w:r>
    </w:p>
    <w:tbl>
      <w:tblPr>
        <w:tblStyle w:val="36"/>
        <w:tblpPr w:leftFromText="180" w:rightFromText="180" w:vertAnchor="text" w:tblpXSpec="center" w:tblpY="1"/>
        <w:tblOverlap w:val="never"/>
        <w:tblW w:w="9570"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2111"/>
        <w:gridCol w:w="2148"/>
        <w:gridCol w:w="1460"/>
        <w:gridCol w:w="1300"/>
        <w:gridCol w:w="1038"/>
      </w:tblGrid>
      <w:tr w14:paraId="433777E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13" w:type="dxa"/>
            <w:tcBorders>
              <w:top w:val="single" w:color="auto" w:sz="12" w:space="0"/>
              <w:tl2br w:val="nil"/>
              <w:tr2bl w:val="nil"/>
            </w:tcBorders>
            <w:vAlign w:val="center"/>
          </w:tcPr>
          <w:p w14:paraId="7A81BEEA">
            <w:pPr>
              <w:autoSpaceDE w:val="0"/>
              <w:autoSpaceDN w:val="0"/>
              <w:jc w:val="center"/>
              <w:rPr>
                <w:rFonts w:ascii="宋体" w:hAnsi="宋体" w:cs="宋体"/>
                <w:sz w:val="18"/>
                <w:szCs w:val="18"/>
              </w:rPr>
            </w:pPr>
            <w:r>
              <w:rPr>
                <w:rFonts w:ascii="宋体"/>
                <w:b/>
                <w:sz w:val="18"/>
                <w:szCs w:val="18"/>
              </w:rPr>
              <w:t>一级指标</w:t>
            </w:r>
          </w:p>
        </w:tc>
        <w:tc>
          <w:tcPr>
            <w:tcW w:w="2111" w:type="dxa"/>
            <w:tcBorders>
              <w:top w:val="single" w:color="auto" w:sz="12" w:space="0"/>
              <w:tl2br w:val="nil"/>
              <w:tr2bl w:val="nil"/>
            </w:tcBorders>
            <w:vAlign w:val="center"/>
          </w:tcPr>
          <w:p w14:paraId="5E860394">
            <w:pPr>
              <w:autoSpaceDE w:val="0"/>
              <w:autoSpaceDN w:val="0"/>
              <w:jc w:val="center"/>
              <w:rPr>
                <w:rFonts w:ascii="宋体" w:hAnsi="宋体" w:cs="宋体"/>
                <w:sz w:val="18"/>
                <w:szCs w:val="18"/>
              </w:rPr>
            </w:pPr>
            <w:r>
              <w:rPr>
                <w:rFonts w:ascii="宋体"/>
                <w:b/>
                <w:sz w:val="18"/>
                <w:szCs w:val="18"/>
              </w:rPr>
              <w:t>二级指标</w:t>
            </w:r>
          </w:p>
        </w:tc>
        <w:tc>
          <w:tcPr>
            <w:tcW w:w="2148" w:type="dxa"/>
            <w:tcBorders>
              <w:top w:val="single" w:color="auto" w:sz="12" w:space="0"/>
              <w:bottom w:val="single" w:color="auto" w:sz="12" w:space="0"/>
              <w:tl2br w:val="nil"/>
              <w:tr2bl w:val="nil"/>
            </w:tcBorders>
            <w:vAlign w:val="center"/>
          </w:tcPr>
          <w:p w14:paraId="5644263F">
            <w:pPr>
              <w:autoSpaceDE w:val="0"/>
              <w:autoSpaceDN w:val="0"/>
              <w:jc w:val="center"/>
              <w:rPr>
                <w:rFonts w:ascii="宋体"/>
                <w:sz w:val="18"/>
                <w:szCs w:val="18"/>
              </w:rPr>
            </w:pPr>
            <w:r>
              <w:rPr>
                <w:rFonts w:ascii="宋体"/>
                <w:b/>
                <w:sz w:val="18"/>
                <w:szCs w:val="18"/>
              </w:rPr>
              <w:t>三级指标</w:t>
            </w:r>
          </w:p>
        </w:tc>
        <w:tc>
          <w:tcPr>
            <w:tcW w:w="1460" w:type="dxa"/>
            <w:tcBorders>
              <w:top w:val="single" w:color="auto" w:sz="12" w:space="0"/>
              <w:bottom w:val="single" w:color="auto" w:sz="12" w:space="0"/>
              <w:tl2br w:val="nil"/>
              <w:tr2bl w:val="nil"/>
            </w:tcBorders>
            <w:vAlign w:val="center"/>
          </w:tcPr>
          <w:p w14:paraId="0F7C24CB">
            <w:pPr>
              <w:widowControl/>
              <w:jc w:val="center"/>
              <w:textAlignment w:val="center"/>
              <w:rPr>
                <w:rFonts w:ascii="宋体" w:hAnsi="宋体" w:cs="宋体"/>
                <w:kern w:val="0"/>
                <w:sz w:val="18"/>
                <w:szCs w:val="18"/>
                <w:lang w:bidi="ar"/>
              </w:rPr>
            </w:pPr>
            <w:r>
              <w:rPr>
                <w:rFonts w:ascii="宋体"/>
                <w:b/>
                <w:sz w:val="18"/>
                <w:szCs w:val="18"/>
              </w:rPr>
              <w:t>分值</w:t>
            </w:r>
            <w:r>
              <w:rPr>
                <w:rFonts w:hint="eastAsia" w:ascii="宋体"/>
                <w:b/>
                <w:sz w:val="18"/>
                <w:szCs w:val="18"/>
              </w:rPr>
              <w:t>（分）</w:t>
            </w:r>
          </w:p>
        </w:tc>
        <w:tc>
          <w:tcPr>
            <w:tcW w:w="1300" w:type="dxa"/>
            <w:tcBorders>
              <w:top w:val="single" w:color="auto" w:sz="12" w:space="0"/>
              <w:bottom w:val="single" w:color="auto" w:sz="12" w:space="0"/>
              <w:tl2br w:val="nil"/>
              <w:tr2bl w:val="nil"/>
            </w:tcBorders>
            <w:vAlign w:val="center"/>
          </w:tcPr>
          <w:p w14:paraId="289C346C">
            <w:pPr>
              <w:widowControl/>
              <w:jc w:val="center"/>
              <w:textAlignment w:val="center"/>
              <w:rPr>
                <w:rFonts w:ascii="宋体" w:hAnsi="宋体" w:cs="宋体"/>
                <w:kern w:val="0"/>
                <w:sz w:val="18"/>
                <w:szCs w:val="18"/>
                <w:lang w:bidi="ar"/>
              </w:rPr>
            </w:pPr>
            <w:r>
              <w:rPr>
                <w:rFonts w:hint="eastAsia" w:ascii="宋体"/>
                <w:b/>
                <w:kern w:val="0"/>
                <w:sz w:val="18"/>
                <w:szCs w:val="18"/>
              </w:rPr>
              <w:t>自评得分</w:t>
            </w:r>
            <w:r>
              <w:rPr>
                <w:rFonts w:hint="eastAsia" w:ascii="宋体"/>
                <w:b/>
                <w:sz w:val="18"/>
                <w:szCs w:val="18"/>
              </w:rPr>
              <w:t>（分）</w:t>
            </w:r>
          </w:p>
        </w:tc>
        <w:tc>
          <w:tcPr>
            <w:tcW w:w="1038" w:type="dxa"/>
            <w:tcBorders>
              <w:top w:val="single" w:color="auto" w:sz="12" w:space="0"/>
              <w:bottom w:val="single" w:color="auto" w:sz="12" w:space="0"/>
              <w:tl2br w:val="nil"/>
              <w:tr2bl w:val="nil"/>
            </w:tcBorders>
            <w:vAlign w:val="center"/>
          </w:tcPr>
          <w:p w14:paraId="0B93E150">
            <w:pPr>
              <w:autoSpaceDE w:val="0"/>
              <w:autoSpaceDN w:val="0"/>
              <w:jc w:val="center"/>
              <w:rPr>
                <w:rFonts w:ascii="宋体" w:hAnsi="宋体" w:cs="宋体"/>
                <w:kern w:val="0"/>
                <w:sz w:val="18"/>
                <w:szCs w:val="18"/>
              </w:rPr>
            </w:pPr>
            <w:r>
              <w:rPr>
                <w:rFonts w:hint="eastAsia" w:ascii="宋体"/>
                <w:b/>
                <w:kern w:val="0"/>
                <w:sz w:val="18"/>
                <w:szCs w:val="18"/>
              </w:rPr>
              <w:t>佐证材料备注</w:t>
            </w:r>
            <w:r>
              <w:rPr>
                <w:rFonts w:hint="eastAsia" w:ascii="宋体" w:hAnsi="宋体" w:cs="宋体"/>
                <w:bCs/>
                <w:kern w:val="0"/>
                <w:sz w:val="18"/>
                <w:szCs w:val="18"/>
                <w:vertAlign w:val="superscript"/>
              </w:rPr>
              <w:t>a</w:t>
            </w:r>
          </w:p>
        </w:tc>
      </w:tr>
      <w:tr w14:paraId="5F79DE2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13" w:type="dxa"/>
            <w:vMerge w:val="restart"/>
            <w:tcBorders>
              <w:top w:val="single" w:color="auto" w:sz="12" w:space="0"/>
              <w:tl2br w:val="nil"/>
              <w:tr2bl w:val="nil"/>
            </w:tcBorders>
            <w:vAlign w:val="center"/>
          </w:tcPr>
          <w:p w14:paraId="0260C386">
            <w:pPr>
              <w:autoSpaceDE w:val="0"/>
              <w:autoSpaceDN w:val="0"/>
              <w:jc w:val="center"/>
              <w:rPr>
                <w:rFonts w:ascii="宋体" w:hAnsi="宋体" w:cs="宋体"/>
                <w:sz w:val="18"/>
                <w:szCs w:val="18"/>
              </w:rPr>
            </w:pPr>
            <w:r>
              <w:rPr>
                <w:rFonts w:hint="eastAsia" w:ascii="宋体" w:hAnsi="宋体" w:cs="宋体"/>
                <w:sz w:val="18"/>
                <w:szCs w:val="18"/>
              </w:rPr>
              <w:t>技术表现</w:t>
            </w:r>
          </w:p>
        </w:tc>
        <w:tc>
          <w:tcPr>
            <w:tcW w:w="2111" w:type="dxa"/>
            <w:vMerge w:val="restart"/>
            <w:tcBorders>
              <w:top w:val="single" w:color="auto" w:sz="12" w:space="0"/>
              <w:tl2br w:val="nil"/>
              <w:tr2bl w:val="nil"/>
            </w:tcBorders>
            <w:vAlign w:val="center"/>
          </w:tcPr>
          <w:p w14:paraId="5539A0E1">
            <w:pPr>
              <w:autoSpaceDE w:val="0"/>
              <w:autoSpaceDN w:val="0"/>
              <w:jc w:val="center"/>
              <w:rPr>
                <w:rFonts w:ascii="宋体" w:hAnsi="宋体" w:cs="宋体"/>
                <w:sz w:val="18"/>
                <w:szCs w:val="18"/>
              </w:rPr>
            </w:pPr>
            <w:r>
              <w:rPr>
                <w:rFonts w:hint="eastAsia" w:ascii="宋体" w:hAnsi="宋体" w:cs="宋体"/>
                <w:sz w:val="18"/>
                <w:szCs w:val="18"/>
              </w:rPr>
              <w:t>先进性</w:t>
            </w:r>
          </w:p>
        </w:tc>
        <w:tc>
          <w:tcPr>
            <w:tcW w:w="2148" w:type="dxa"/>
            <w:tcBorders>
              <w:top w:val="single" w:color="auto" w:sz="12" w:space="0"/>
              <w:bottom w:val="single" w:color="auto" w:sz="4" w:space="0"/>
              <w:tl2br w:val="nil"/>
              <w:tr2bl w:val="nil"/>
            </w:tcBorders>
            <w:vAlign w:val="center"/>
          </w:tcPr>
          <w:p w14:paraId="1EDDB03C">
            <w:pPr>
              <w:autoSpaceDE w:val="0"/>
              <w:autoSpaceDN w:val="0"/>
              <w:jc w:val="center"/>
              <w:rPr>
                <w:rFonts w:ascii="宋体"/>
                <w:sz w:val="18"/>
                <w:szCs w:val="18"/>
              </w:rPr>
            </w:pPr>
            <w:r>
              <w:rPr>
                <w:rFonts w:hint="eastAsia" w:ascii="宋体" w:hAnsi="宋体" w:cs="宋体"/>
                <w:sz w:val="18"/>
                <w:szCs w:val="18"/>
              </w:rPr>
              <w:t>有效知识产权</w:t>
            </w:r>
          </w:p>
        </w:tc>
        <w:tc>
          <w:tcPr>
            <w:tcW w:w="1460" w:type="dxa"/>
            <w:tcBorders>
              <w:top w:val="single" w:color="auto" w:sz="12" w:space="0"/>
              <w:bottom w:val="single" w:color="auto" w:sz="4" w:space="0"/>
              <w:tl2br w:val="nil"/>
              <w:tr2bl w:val="nil"/>
            </w:tcBorders>
            <w:vAlign w:val="center"/>
          </w:tcPr>
          <w:p w14:paraId="39BEA5C5">
            <w:pPr>
              <w:widowControl/>
              <w:jc w:val="center"/>
              <w:textAlignment w:val="center"/>
              <w:rPr>
                <w:rFonts w:ascii="宋体" w:hAnsi="宋体" w:cs="宋体"/>
                <w:kern w:val="0"/>
                <w:sz w:val="18"/>
                <w:szCs w:val="18"/>
                <w:lang w:bidi="ar"/>
              </w:rPr>
            </w:pPr>
            <w:r>
              <w:rPr>
                <w:rFonts w:ascii="宋体" w:hAnsi="宋体" w:cs="宋体"/>
                <w:kern w:val="0"/>
                <w:sz w:val="18"/>
                <w:szCs w:val="18"/>
                <w:lang w:bidi="ar"/>
              </w:rPr>
              <w:t>5</w:t>
            </w:r>
          </w:p>
        </w:tc>
        <w:tc>
          <w:tcPr>
            <w:tcW w:w="1300" w:type="dxa"/>
            <w:tcBorders>
              <w:top w:val="single" w:color="auto" w:sz="12" w:space="0"/>
              <w:bottom w:val="single" w:color="auto" w:sz="4" w:space="0"/>
              <w:tl2br w:val="nil"/>
              <w:tr2bl w:val="nil"/>
            </w:tcBorders>
            <w:vAlign w:val="center"/>
          </w:tcPr>
          <w:p w14:paraId="61EA4457">
            <w:pPr>
              <w:widowControl/>
              <w:jc w:val="center"/>
              <w:textAlignment w:val="center"/>
              <w:rPr>
                <w:rFonts w:ascii="宋体" w:hAnsi="宋体" w:cs="宋体"/>
                <w:kern w:val="0"/>
                <w:sz w:val="18"/>
                <w:szCs w:val="18"/>
                <w:lang w:bidi="ar"/>
              </w:rPr>
            </w:pPr>
          </w:p>
        </w:tc>
        <w:tc>
          <w:tcPr>
            <w:tcW w:w="1038" w:type="dxa"/>
            <w:tcBorders>
              <w:top w:val="single" w:color="auto" w:sz="12" w:space="0"/>
              <w:bottom w:val="single" w:color="auto" w:sz="4" w:space="0"/>
              <w:tl2br w:val="nil"/>
              <w:tr2bl w:val="nil"/>
            </w:tcBorders>
            <w:vAlign w:val="center"/>
          </w:tcPr>
          <w:p w14:paraId="734CAC46">
            <w:pPr>
              <w:autoSpaceDE w:val="0"/>
              <w:autoSpaceDN w:val="0"/>
              <w:jc w:val="center"/>
              <w:rPr>
                <w:rFonts w:ascii="宋体" w:hAnsi="宋体" w:cs="宋体"/>
                <w:kern w:val="0"/>
                <w:sz w:val="18"/>
                <w:szCs w:val="18"/>
              </w:rPr>
            </w:pPr>
          </w:p>
        </w:tc>
      </w:tr>
      <w:tr w14:paraId="11056F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13" w:type="dxa"/>
            <w:vMerge w:val="continue"/>
            <w:tcBorders>
              <w:tl2br w:val="nil"/>
              <w:tr2bl w:val="nil"/>
            </w:tcBorders>
            <w:vAlign w:val="center"/>
          </w:tcPr>
          <w:p w14:paraId="5D8E67FC">
            <w:pPr>
              <w:autoSpaceDE w:val="0"/>
              <w:autoSpaceDN w:val="0"/>
              <w:jc w:val="center"/>
              <w:rPr>
                <w:rFonts w:ascii="宋体" w:hAnsi="宋体" w:cs="宋体"/>
                <w:sz w:val="18"/>
                <w:szCs w:val="18"/>
              </w:rPr>
            </w:pPr>
          </w:p>
        </w:tc>
        <w:tc>
          <w:tcPr>
            <w:tcW w:w="2111" w:type="dxa"/>
            <w:vMerge w:val="continue"/>
            <w:tcBorders>
              <w:tl2br w:val="nil"/>
              <w:tr2bl w:val="nil"/>
            </w:tcBorders>
            <w:vAlign w:val="center"/>
          </w:tcPr>
          <w:p w14:paraId="3B3810B4">
            <w:pPr>
              <w:autoSpaceDE w:val="0"/>
              <w:autoSpaceDN w:val="0"/>
              <w:jc w:val="center"/>
              <w:rPr>
                <w:rFonts w:ascii="宋体" w:hAnsi="宋体" w:cs="宋体"/>
                <w:sz w:val="18"/>
                <w:szCs w:val="18"/>
              </w:rPr>
            </w:pPr>
          </w:p>
        </w:tc>
        <w:tc>
          <w:tcPr>
            <w:tcW w:w="2148" w:type="dxa"/>
            <w:tcBorders>
              <w:top w:val="single" w:color="auto" w:sz="4" w:space="0"/>
              <w:bottom w:val="single" w:color="auto" w:sz="4" w:space="0"/>
              <w:tl2br w:val="nil"/>
              <w:tr2bl w:val="nil"/>
            </w:tcBorders>
            <w:vAlign w:val="center"/>
          </w:tcPr>
          <w:p w14:paraId="70E5A147">
            <w:pPr>
              <w:autoSpaceDE w:val="0"/>
              <w:autoSpaceDN w:val="0"/>
              <w:jc w:val="center"/>
              <w:rPr>
                <w:rFonts w:ascii="宋体"/>
                <w:sz w:val="18"/>
                <w:szCs w:val="18"/>
              </w:rPr>
            </w:pPr>
            <w:r>
              <w:rPr>
                <w:rFonts w:hint="eastAsia" w:ascii="宋体" w:hAnsi="宋体" w:cs="宋体"/>
                <w:sz w:val="18"/>
                <w:szCs w:val="18"/>
              </w:rPr>
              <w:t>制修订标准</w:t>
            </w:r>
          </w:p>
        </w:tc>
        <w:tc>
          <w:tcPr>
            <w:tcW w:w="1460" w:type="dxa"/>
            <w:tcBorders>
              <w:top w:val="single" w:color="auto" w:sz="4" w:space="0"/>
              <w:bottom w:val="single" w:color="auto" w:sz="4" w:space="0"/>
              <w:tl2br w:val="nil"/>
              <w:tr2bl w:val="nil"/>
            </w:tcBorders>
            <w:vAlign w:val="center"/>
          </w:tcPr>
          <w:p w14:paraId="34692378">
            <w:pPr>
              <w:widowControl/>
              <w:jc w:val="center"/>
              <w:textAlignment w:val="center"/>
              <w:rPr>
                <w:rFonts w:ascii="宋体" w:hAnsi="宋体" w:cs="宋体"/>
                <w:kern w:val="0"/>
                <w:sz w:val="18"/>
                <w:szCs w:val="18"/>
                <w:lang w:bidi="ar"/>
              </w:rPr>
            </w:pPr>
            <w:r>
              <w:rPr>
                <w:rFonts w:ascii="宋体" w:hAnsi="宋体" w:cs="宋体"/>
                <w:kern w:val="0"/>
                <w:sz w:val="18"/>
                <w:szCs w:val="18"/>
                <w:lang w:bidi="ar"/>
              </w:rPr>
              <w:t>5</w:t>
            </w:r>
          </w:p>
        </w:tc>
        <w:tc>
          <w:tcPr>
            <w:tcW w:w="1300" w:type="dxa"/>
            <w:tcBorders>
              <w:top w:val="single" w:color="auto" w:sz="4" w:space="0"/>
              <w:bottom w:val="single" w:color="auto" w:sz="4" w:space="0"/>
              <w:tl2br w:val="nil"/>
              <w:tr2bl w:val="nil"/>
            </w:tcBorders>
            <w:vAlign w:val="center"/>
          </w:tcPr>
          <w:p w14:paraId="4082840B">
            <w:pPr>
              <w:widowControl/>
              <w:jc w:val="center"/>
              <w:textAlignment w:val="center"/>
              <w:rPr>
                <w:rFonts w:ascii="宋体" w:hAnsi="宋体" w:cs="宋体"/>
                <w:kern w:val="0"/>
                <w:sz w:val="18"/>
                <w:szCs w:val="18"/>
                <w:lang w:bidi="ar"/>
              </w:rPr>
            </w:pPr>
          </w:p>
        </w:tc>
        <w:tc>
          <w:tcPr>
            <w:tcW w:w="1038" w:type="dxa"/>
            <w:tcBorders>
              <w:top w:val="single" w:color="auto" w:sz="4" w:space="0"/>
              <w:bottom w:val="single" w:color="auto" w:sz="4" w:space="0"/>
              <w:tl2br w:val="nil"/>
              <w:tr2bl w:val="nil"/>
            </w:tcBorders>
            <w:vAlign w:val="center"/>
          </w:tcPr>
          <w:p w14:paraId="6A105E7A">
            <w:pPr>
              <w:autoSpaceDE w:val="0"/>
              <w:autoSpaceDN w:val="0"/>
              <w:jc w:val="center"/>
              <w:rPr>
                <w:rFonts w:ascii="宋体" w:hAnsi="宋体" w:cs="宋体"/>
                <w:kern w:val="0"/>
                <w:sz w:val="18"/>
                <w:szCs w:val="18"/>
              </w:rPr>
            </w:pPr>
          </w:p>
        </w:tc>
      </w:tr>
      <w:tr w14:paraId="2687730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13" w:type="dxa"/>
            <w:vMerge w:val="continue"/>
            <w:tcBorders>
              <w:tl2br w:val="nil"/>
              <w:tr2bl w:val="nil"/>
            </w:tcBorders>
            <w:vAlign w:val="center"/>
          </w:tcPr>
          <w:p w14:paraId="6755AA8B">
            <w:pPr>
              <w:autoSpaceDE w:val="0"/>
              <w:autoSpaceDN w:val="0"/>
              <w:jc w:val="center"/>
              <w:rPr>
                <w:rFonts w:ascii="宋体" w:hAnsi="宋体" w:cs="宋体"/>
                <w:sz w:val="18"/>
                <w:szCs w:val="18"/>
              </w:rPr>
            </w:pPr>
          </w:p>
        </w:tc>
        <w:tc>
          <w:tcPr>
            <w:tcW w:w="2111" w:type="dxa"/>
            <w:vMerge w:val="continue"/>
            <w:tcBorders>
              <w:tl2br w:val="nil"/>
              <w:tr2bl w:val="nil"/>
            </w:tcBorders>
            <w:vAlign w:val="center"/>
          </w:tcPr>
          <w:p w14:paraId="5C7C89A9">
            <w:pPr>
              <w:autoSpaceDE w:val="0"/>
              <w:autoSpaceDN w:val="0"/>
              <w:jc w:val="center"/>
              <w:rPr>
                <w:rFonts w:ascii="宋体" w:hAnsi="宋体" w:cs="宋体"/>
                <w:sz w:val="18"/>
                <w:szCs w:val="18"/>
              </w:rPr>
            </w:pPr>
          </w:p>
        </w:tc>
        <w:tc>
          <w:tcPr>
            <w:tcW w:w="2148" w:type="dxa"/>
            <w:tcBorders>
              <w:top w:val="single" w:color="auto" w:sz="4" w:space="0"/>
              <w:bottom w:val="single" w:color="auto" w:sz="4" w:space="0"/>
              <w:tl2br w:val="nil"/>
              <w:tr2bl w:val="nil"/>
            </w:tcBorders>
            <w:vAlign w:val="center"/>
          </w:tcPr>
          <w:p w14:paraId="30B9F934">
            <w:pPr>
              <w:autoSpaceDE w:val="0"/>
              <w:autoSpaceDN w:val="0"/>
              <w:jc w:val="center"/>
              <w:rPr>
                <w:rFonts w:ascii="宋体"/>
                <w:sz w:val="18"/>
                <w:szCs w:val="18"/>
              </w:rPr>
            </w:pPr>
            <w:r>
              <w:rPr>
                <w:rFonts w:hint="eastAsia" w:ascii="宋体"/>
                <w:sz w:val="18"/>
                <w:szCs w:val="18"/>
              </w:rPr>
              <w:t>关键技术先进性</w:t>
            </w:r>
          </w:p>
        </w:tc>
        <w:tc>
          <w:tcPr>
            <w:tcW w:w="1460" w:type="dxa"/>
            <w:tcBorders>
              <w:top w:val="single" w:color="auto" w:sz="4" w:space="0"/>
              <w:bottom w:val="single" w:color="auto" w:sz="4" w:space="0"/>
              <w:tl2br w:val="nil"/>
              <w:tr2bl w:val="nil"/>
            </w:tcBorders>
            <w:vAlign w:val="center"/>
          </w:tcPr>
          <w:p w14:paraId="699A0D70">
            <w:pPr>
              <w:widowControl/>
              <w:jc w:val="center"/>
              <w:textAlignment w:val="center"/>
              <w:rPr>
                <w:rFonts w:ascii="宋体" w:hAnsi="宋体" w:cs="宋体"/>
                <w:kern w:val="0"/>
                <w:sz w:val="18"/>
                <w:szCs w:val="18"/>
                <w:lang w:bidi="ar"/>
              </w:rPr>
            </w:pPr>
            <w:r>
              <w:rPr>
                <w:rFonts w:ascii="宋体" w:hAnsi="宋体" w:cs="宋体"/>
                <w:kern w:val="0"/>
                <w:sz w:val="18"/>
                <w:szCs w:val="18"/>
                <w:lang w:bidi="ar"/>
              </w:rPr>
              <w:t>15</w:t>
            </w:r>
          </w:p>
        </w:tc>
        <w:tc>
          <w:tcPr>
            <w:tcW w:w="1300" w:type="dxa"/>
            <w:tcBorders>
              <w:top w:val="single" w:color="auto" w:sz="4" w:space="0"/>
              <w:bottom w:val="single" w:color="auto" w:sz="4" w:space="0"/>
              <w:tl2br w:val="nil"/>
              <w:tr2bl w:val="nil"/>
            </w:tcBorders>
            <w:vAlign w:val="center"/>
          </w:tcPr>
          <w:p w14:paraId="560281D0">
            <w:pPr>
              <w:widowControl/>
              <w:jc w:val="center"/>
              <w:textAlignment w:val="center"/>
              <w:rPr>
                <w:rFonts w:ascii="宋体" w:hAnsi="宋体" w:cs="宋体"/>
                <w:kern w:val="0"/>
                <w:sz w:val="18"/>
                <w:szCs w:val="18"/>
                <w:lang w:bidi="ar"/>
              </w:rPr>
            </w:pPr>
          </w:p>
        </w:tc>
        <w:tc>
          <w:tcPr>
            <w:tcW w:w="1038" w:type="dxa"/>
            <w:tcBorders>
              <w:top w:val="single" w:color="auto" w:sz="4" w:space="0"/>
              <w:bottom w:val="single" w:color="auto" w:sz="4" w:space="0"/>
              <w:tl2br w:val="nil"/>
              <w:tr2bl w:val="nil"/>
            </w:tcBorders>
            <w:vAlign w:val="center"/>
          </w:tcPr>
          <w:p w14:paraId="393AF9A1">
            <w:pPr>
              <w:autoSpaceDE w:val="0"/>
              <w:autoSpaceDN w:val="0"/>
              <w:jc w:val="center"/>
              <w:rPr>
                <w:rFonts w:ascii="宋体" w:hAnsi="宋体" w:cs="宋体"/>
                <w:kern w:val="0"/>
                <w:sz w:val="18"/>
                <w:szCs w:val="18"/>
              </w:rPr>
            </w:pPr>
          </w:p>
        </w:tc>
      </w:tr>
      <w:tr w14:paraId="4F1DEF0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1513" w:type="dxa"/>
            <w:vMerge w:val="continue"/>
            <w:tcBorders>
              <w:tl2br w:val="nil"/>
              <w:tr2bl w:val="nil"/>
            </w:tcBorders>
            <w:vAlign w:val="center"/>
          </w:tcPr>
          <w:p w14:paraId="355394DA">
            <w:pPr>
              <w:autoSpaceDE w:val="0"/>
              <w:autoSpaceDN w:val="0"/>
              <w:jc w:val="center"/>
              <w:rPr>
                <w:rFonts w:ascii="宋体" w:hAnsi="宋体" w:cs="宋体"/>
                <w:sz w:val="18"/>
                <w:szCs w:val="18"/>
              </w:rPr>
            </w:pPr>
          </w:p>
        </w:tc>
        <w:tc>
          <w:tcPr>
            <w:tcW w:w="4259" w:type="dxa"/>
            <w:gridSpan w:val="2"/>
            <w:tcBorders>
              <w:tl2br w:val="nil"/>
              <w:tr2bl w:val="nil"/>
            </w:tcBorders>
            <w:vAlign w:val="center"/>
          </w:tcPr>
          <w:p w14:paraId="62823E78">
            <w:pPr>
              <w:autoSpaceDE w:val="0"/>
              <w:autoSpaceDN w:val="0"/>
              <w:jc w:val="center"/>
              <w:rPr>
                <w:rFonts w:ascii="宋体" w:hAnsi="宋体" w:cs="宋体"/>
                <w:sz w:val="18"/>
                <w:szCs w:val="18"/>
              </w:rPr>
            </w:pPr>
            <w:r>
              <w:rPr>
                <w:rFonts w:hint="eastAsia" w:ascii="宋体" w:hAnsi="宋体" w:cs="宋体"/>
                <w:sz w:val="18"/>
                <w:szCs w:val="18"/>
              </w:rPr>
              <w:t>环境效益</w:t>
            </w:r>
          </w:p>
        </w:tc>
        <w:tc>
          <w:tcPr>
            <w:tcW w:w="1460" w:type="dxa"/>
            <w:tcBorders>
              <w:tl2br w:val="nil"/>
              <w:tr2bl w:val="nil"/>
            </w:tcBorders>
            <w:vAlign w:val="center"/>
          </w:tcPr>
          <w:p w14:paraId="39A3622D">
            <w:pPr>
              <w:widowControl/>
              <w:jc w:val="center"/>
              <w:textAlignment w:val="center"/>
              <w:rPr>
                <w:rFonts w:ascii="宋体" w:hAnsi="宋体" w:cs="宋体"/>
                <w:sz w:val="18"/>
                <w:szCs w:val="18"/>
              </w:rPr>
            </w:pPr>
            <w:r>
              <w:rPr>
                <w:rFonts w:ascii="宋体" w:hAnsi="宋体" w:cs="宋体"/>
                <w:kern w:val="0"/>
                <w:sz w:val="18"/>
                <w:szCs w:val="18"/>
                <w:lang w:bidi="ar"/>
              </w:rPr>
              <w:t>16</w:t>
            </w:r>
          </w:p>
        </w:tc>
        <w:tc>
          <w:tcPr>
            <w:tcW w:w="1300" w:type="dxa"/>
            <w:tcBorders>
              <w:tl2br w:val="nil"/>
              <w:tr2bl w:val="nil"/>
            </w:tcBorders>
            <w:vAlign w:val="center"/>
          </w:tcPr>
          <w:p w14:paraId="4BFA375B">
            <w:pPr>
              <w:widowControl/>
              <w:jc w:val="center"/>
              <w:textAlignment w:val="center"/>
              <w:rPr>
                <w:rFonts w:ascii="宋体" w:hAnsi="宋体" w:cs="宋体"/>
                <w:kern w:val="0"/>
                <w:sz w:val="18"/>
                <w:szCs w:val="18"/>
                <w:lang w:bidi="ar"/>
              </w:rPr>
            </w:pPr>
          </w:p>
        </w:tc>
        <w:tc>
          <w:tcPr>
            <w:tcW w:w="1038" w:type="dxa"/>
            <w:tcBorders>
              <w:tl2br w:val="nil"/>
              <w:tr2bl w:val="nil"/>
            </w:tcBorders>
            <w:vAlign w:val="center"/>
          </w:tcPr>
          <w:p w14:paraId="592A842F">
            <w:pPr>
              <w:autoSpaceDE w:val="0"/>
              <w:autoSpaceDN w:val="0"/>
              <w:jc w:val="center"/>
              <w:rPr>
                <w:rFonts w:ascii="宋体" w:hAnsi="宋体" w:cs="宋体"/>
                <w:kern w:val="0"/>
                <w:sz w:val="18"/>
                <w:szCs w:val="18"/>
              </w:rPr>
            </w:pPr>
          </w:p>
        </w:tc>
      </w:tr>
      <w:tr w14:paraId="7EAFC31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13" w:type="dxa"/>
            <w:vMerge w:val="restart"/>
            <w:tcBorders>
              <w:tl2br w:val="nil"/>
              <w:tr2bl w:val="nil"/>
            </w:tcBorders>
            <w:vAlign w:val="center"/>
          </w:tcPr>
          <w:p w14:paraId="4A675487">
            <w:pPr>
              <w:autoSpaceDE w:val="0"/>
              <w:autoSpaceDN w:val="0"/>
              <w:jc w:val="center"/>
              <w:rPr>
                <w:rFonts w:ascii="宋体" w:hAnsi="宋体" w:cs="宋体"/>
                <w:sz w:val="18"/>
                <w:szCs w:val="18"/>
              </w:rPr>
            </w:pPr>
            <w:r>
              <w:rPr>
                <w:rFonts w:hint="eastAsia" w:ascii="宋体" w:hAnsi="宋体" w:cs="宋体"/>
                <w:sz w:val="18"/>
                <w:szCs w:val="18"/>
              </w:rPr>
              <w:t>业务表现</w:t>
            </w:r>
          </w:p>
        </w:tc>
        <w:tc>
          <w:tcPr>
            <w:tcW w:w="2111" w:type="dxa"/>
            <w:vMerge w:val="restart"/>
            <w:tcBorders>
              <w:tl2br w:val="nil"/>
              <w:tr2bl w:val="nil"/>
            </w:tcBorders>
            <w:vAlign w:val="center"/>
          </w:tcPr>
          <w:p w14:paraId="7922A458">
            <w:pPr>
              <w:autoSpaceDE w:val="0"/>
              <w:autoSpaceDN w:val="0"/>
              <w:jc w:val="center"/>
              <w:rPr>
                <w:rFonts w:ascii="宋体" w:hAnsi="宋体" w:cs="宋体"/>
                <w:sz w:val="18"/>
                <w:szCs w:val="18"/>
              </w:rPr>
            </w:pPr>
            <w:r>
              <w:rPr>
                <w:rFonts w:hint="eastAsia" w:ascii="宋体" w:hAnsi="宋体" w:cs="宋体"/>
                <w:sz w:val="18"/>
                <w:szCs w:val="18"/>
              </w:rPr>
              <w:t>发展能力</w:t>
            </w:r>
          </w:p>
        </w:tc>
        <w:tc>
          <w:tcPr>
            <w:tcW w:w="2148" w:type="dxa"/>
            <w:tcBorders>
              <w:tl2br w:val="nil"/>
              <w:tr2bl w:val="nil"/>
            </w:tcBorders>
            <w:vAlign w:val="center"/>
          </w:tcPr>
          <w:p w14:paraId="4107B3FD">
            <w:pPr>
              <w:autoSpaceDE w:val="0"/>
              <w:autoSpaceDN w:val="0"/>
              <w:jc w:val="center"/>
              <w:rPr>
                <w:rFonts w:ascii="宋体" w:hAnsi="宋体" w:cs="宋体"/>
                <w:sz w:val="18"/>
                <w:szCs w:val="18"/>
              </w:rPr>
            </w:pPr>
            <w:r>
              <w:rPr>
                <w:rFonts w:hint="eastAsia" w:ascii="宋体" w:hAnsi="宋体" w:cs="宋体"/>
                <w:sz w:val="18"/>
                <w:szCs w:val="18"/>
              </w:rPr>
              <w:t>团队技术实力</w:t>
            </w:r>
          </w:p>
        </w:tc>
        <w:tc>
          <w:tcPr>
            <w:tcW w:w="1460" w:type="dxa"/>
            <w:tcBorders>
              <w:tl2br w:val="nil"/>
              <w:tr2bl w:val="nil"/>
            </w:tcBorders>
            <w:vAlign w:val="center"/>
          </w:tcPr>
          <w:p w14:paraId="5F90B9AA">
            <w:pPr>
              <w:widowControl/>
              <w:jc w:val="center"/>
              <w:textAlignment w:val="center"/>
              <w:rPr>
                <w:rFonts w:ascii="宋体" w:hAnsi="宋体" w:cs="宋体"/>
                <w:sz w:val="18"/>
                <w:szCs w:val="18"/>
              </w:rPr>
            </w:pPr>
            <w:r>
              <w:rPr>
                <w:rFonts w:ascii="宋体" w:hAnsi="宋体" w:cs="宋体"/>
                <w:sz w:val="18"/>
                <w:szCs w:val="18"/>
              </w:rPr>
              <w:t>6</w:t>
            </w:r>
          </w:p>
        </w:tc>
        <w:tc>
          <w:tcPr>
            <w:tcW w:w="1300" w:type="dxa"/>
            <w:tcBorders>
              <w:tl2br w:val="nil"/>
              <w:tr2bl w:val="nil"/>
            </w:tcBorders>
            <w:vAlign w:val="center"/>
          </w:tcPr>
          <w:p w14:paraId="4E2F96E8">
            <w:pPr>
              <w:widowControl/>
              <w:jc w:val="center"/>
              <w:textAlignment w:val="center"/>
              <w:rPr>
                <w:rFonts w:ascii="宋体" w:hAnsi="宋体" w:cs="宋体"/>
                <w:kern w:val="0"/>
                <w:sz w:val="18"/>
                <w:szCs w:val="18"/>
                <w:lang w:bidi="ar"/>
              </w:rPr>
            </w:pPr>
          </w:p>
        </w:tc>
        <w:tc>
          <w:tcPr>
            <w:tcW w:w="1038" w:type="dxa"/>
            <w:tcBorders>
              <w:tl2br w:val="nil"/>
              <w:tr2bl w:val="nil"/>
            </w:tcBorders>
            <w:vAlign w:val="center"/>
          </w:tcPr>
          <w:p w14:paraId="12BD2E8E">
            <w:pPr>
              <w:autoSpaceDE w:val="0"/>
              <w:autoSpaceDN w:val="0"/>
              <w:jc w:val="center"/>
              <w:rPr>
                <w:rFonts w:ascii="宋体"/>
                <w:sz w:val="18"/>
                <w:szCs w:val="18"/>
              </w:rPr>
            </w:pPr>
          </w:p>
        </w:tc>
      </w:tr>
      <w:tr w14:paraId="0025B11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1513" w:type="dxa"/>
            <w:vMerge w:val="continue"/>
            <w:tcBorders>
              <w:tl2br w:val="nil"/>
              <w:tr2bl w:val="nil"/>
            </w:tcBorders>
            <w:vAlign w:val="center"/>
          </w:tcPr>
          <w:p w14:paraId="37DD4551">
            <w:pPr>
              <w:autoSpaceDE w:val="0"/>
              <w:autoSpaceDN w:val="0"/>
              <w:jc w:val="center"/>
              <w:rPr>
                <w:rFonts w:ascii="宋体" w:hAnsi="宋体" w:cs="宋体"/>
                <w:sz w:val="18"/>
                <w:szCs w:val="18"/>
              </w:rPr>
            </w:pPr>
          </w:p>
        </w:tc>
        <w:tc>
          <w:tcPr>
            <w:tcW w:w="2111" w:type="dxa"/>
            <w:vMerge w:val="continue"/>
            <w:tcBorders>
              <w:tl2br w:val="nil"/>
              <w:tr2bl w:val="nil"/>
            </w:tcBorders>
            <w:vAlign w:val="center"/>
          </w:tcPr>
          <w:p w14:paraId="3EB91229">
            <w:pPr>
              <w:autoSpaceDE w:val="0"/>
              <w:autoSpaceDN w:val="0"/>
              <w:jc w:val="center"/>
              <w:rPr>
                <w:rFonts w:ascii="宋体" w:hAnsi="宋体" w:cs="宋体"/>
                <w:sz w:val="18"/>
                <w:szCs w:val="18"/>
              </w:rPr>
            </w:pPr>
          </w:p>
        </w:tc>
        <w:tc>
          <w:tcPr>
            <w:tcW w:w="2148" w:type="dxa"/>
            <w:tcBorders>
              <w:tl2br w:val="nil"/>
              <w:tr2bl w:val="nil"/>
            </w:tcBorders>
            <w:vAlign w:val="center"/>
          </w:tcPr>
          <w:p w14:paraId="5CFA91A6">
            <w:pPr>
              <w:autoSpaceDE w:val="0"/>
              <w:autoSpaceDN w:val="0"/>
              <w:jc w:val="center"/>
              <w:rPr>
                <w:rFonts w:ascii="宋体" w:hAnsi="宋体" w:cs="宋体"/>
                <w:sz w:val="18"/>
                <w:szCs w:val="18"/>
              </w:rPr>
            </w:pPr>
            <w:r>
              <w:rPr>
                <w:rFonts w:hint="eastAsia" w:ascii="宋体" w:hAnsi="宋体" w:cs="宋体"/>
                <w:sz w:val="18"/>
                <w:szCs w:val="18"/>
              </w:rPr>
              <w:t>研发投入</w:t>
            </w:r>
          </w:p>
        </w:tc>
        <w:tc>
          <w:tcPr>
            <w:tcW w:w="1460" w:type="dxa"/>
            <w:tcBorders>
              <w:tl2br w:val="nil"/>
              <w:tr2bl w:val="nil"/>
            </w:tcBorders>
            <w:vAlign w:val="center"/>
          </w:tcPr>
          <w:p w14:paraId="13B27695">
            <w:pPr>
              <w:widowControl/>
              <w:jc w:val="center"/>
              <w:textAlignment w:val="center"/>
              <w:rPr>
                <w:rFonts w:ascii="宋体" w:hAnsi="宋体" w:cs="宋体"/>
                <w:sz w:val="18"/>
                <w:szCs w:val="18"/>
              </w:rPr>
            </w:pPr>
            <w:r>
              <w:rPr>
                <w:rFonts w:ascii="宋体" w:hAnsi="宋体" w:cs="宋体"/>
                <w:kern w:val="0"/>
                <w:sz w:val="18"/>
                <w:szCs w:val="18"/>
                <w:lang w:bidi="ar"/>
              </w:rPr>
              <w:t>7</w:t>
            </w:r>
          </w:p>
        </w:tc>
        <w:tc>
          <w:tcPr>
            <w:tcW w:w="1300" w:type="dxa"/>
            <w:tcBorders>
              <w:tl2br w:val="nil"/>
              <w:tr2bl w:val="nil"/>
            </w:tcBorders>
            <w:vAlign w:val="center"/>
          </w:tcPr>
          <w:p w14:paraId="407BED79">
            <w:pPr>
              <w:widowControl/>
              <w:jc w:val="center"/>
              <w:textAlignment w:val="center"/>
              <w:rPr>
                <w:rFonts w:ascii="宋体" w:hAnsi="宋体" w:cs="宋体"/>
                <w:kern w:val="0"/>
                <w:sz w:val="18"/>
                <w:szCs w:val="18"/>
                <w:lang w:bidi="ar"/>
              </w:rPr>
            </w:pPr>
          </w:p>
        </w:tc>
        <w:tc>
          <w:tcPr>
            <w:tcW w:w="1038" w:type="dxa"/>
            <w:tcBorders>
              <w:tl2br w:val="nil"/>
              <w:tr2bl w:val="nil"/>
            </w:tcBorders>
            <w:vAlign w:val="center"/>
          </w:tcPr>
          <w:p w14:paraId="6D520F66">
            <w:pPr>
              <w:autoSpaceDE w:val="0"/>
              <w:autoSpaceDN w:val="0"/>
              <w:jc w:val="center"/>
              <w:rPr>
                <w:rFonts w:ascii="宋体"/>
                <w:sz w:val="18"/>
                <w:szCs w:val="18"/>
              </w:rPr>
            </w:pPr>
          </w:p>
        </w:tc>
      </w:tr>
      <w:tr w14:paraId="73CF3E4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13" w:type="dxa"/>
            <w:vMerge w:val="continue"/>
            <w:tcBorders>
              <w:tl2br w:val="nil"/>
              <w:tr2bl w:val="nil"/>
            </w:tcBorders>
            <w:vAlign w:val="center"/>
          </w:tcPr>
          <w:p w14:paraId="4107B511">
            <w:pPr>
              <w:autoSpaceDE w:val="0"/>
              <w:autoSpaceDN w:val="0"/>
              <w:jc w:val="center"/>
              <w:rPr>
                <w:rFonts w:ascii="宋体" w:hAnsi="宋体" w:cs="宋体"/>
                <w:sz w:val="18"/>
                <w:szCs w:val="18"/>
              </w:rPr>
            </w:pPr>
          </w:p>
        </w:tc>
        <w:tc>
          <w:tcPr>
            <w:tcW w:w="2111" w:type="dxa"/>
            <w:vMerge w:val="continue"/>
            <w:tcBorders>
              <w:tl2br w:val="nil"/>
              <w:tr2bl w:val="nil"/>
            </w:tcBorders>
            <w:vAlign w:val="center"/>
          </w:tcPr>
          <w:p w14:paraId="5FBA34BA">
            <w:pPr>
              <w:autoSpaceDE w:val="0"/>
              <w:autoSpaceDN w:val="0"/>
              <w:jc w:val="center"/>
              <w:rPr>
                <w:rFonts w:ascii="宋体" w:hAnsi="宋体" w:cs="宋体"/>
                <w:sz w:val="18"/>
                <w:szCs w:val="18"/>
              </w:rPr>
            </w:pPr>
          </w:p>
        </w:tc>
        <w:tc>
          <w:tcPr>
            <w:tcW w:w="2148" w:type="dxa"/>
            <w:tcBorders>
              <w:tl2br w:val="nil"/>
              <w:tr2bl w:val="nil"/>
            </w:tcBorders>
            <w:vAlign w:val="center"/>
          </w:tcPr>
          <w:p w14:paraId="0585ACD9">
            <w:pPr>
              <w:autoSpaceDE w:val="0"/>
              <w:autoSpaceDN w:val="0"/>
              <w:jc w:val="center"/>
              <w:rPr>
                <w:rFonts w:ascii="宋体" w:hAnsi="宋体" w:cs="宋体"/>
                <w:sz w:val="18"/>
                <w:szCs w:val="18"/>
              </w:rPr>
            </w:pPr>
            <w:r>
              <w:rPr>
                <w:rFonts w:hint="eastAsia" w:ascii="宋体" w:hAnsi="宋体" w:cs="宋体"/>
                <w:sz w:val="18"/>
                <w:szCs w:val="18"/>
              </w:rPr>
              <w:t>运营效益水平</w:t>
            </w:r>
          </w:p>
        </w:tc>
        <w:tc>
          <w:tcPr>
            <w:tcW w:w="1460" w:type="dxa"/>
            <w:tcBorders>
              <w:tl2br w:val="nil"/>
              <w:tr2bl w:val="nil"/>
            </w:tcBorders>
            <w:vAlign w:val="center"/>
          </w:tcPr>
          <w:p w14:paraId="7444BC2C">
            <w:pPr>
              <w:widowControl/>
              <w:jc w:val="center"/>
              <w:textAlignment w:val="center"/>
              <w:rPr>
                <w:rFonts w:ascii="宋体" w:hAnsi="宋体" w:cs="宋体"/>
                <w:sz w:val="18"/>
                <w:szCs w:val="18"/>
              </w:rPr>
            </w:pPr>
            <w:r>
              <w:rPr>
                <w:rFonts w:ascii="宋体" w:hAnsi="宋体" w:cs="宋体"/>
                <w:kern w:val="0"/>
                <w:sz w:val="18"/>
                <w:szCs w:val="18"/>
                <w:lang w:bidi="ar"/>
              </w:rPr>
              <w:t>3</w:t>
            </w:r>
          </w:p>
        </w:tc>
        <w:tc>
          <w:tcPr>
            <w:tcW w:w="1300" w:type="dxa"/>
            <w:tcBorders>
              <w:tl2br w:val="nil"/>
              <w:tr2bl w:val="nil"/>
            </w:tcBorders>
            <w:vAlign w:val="center"/>
          </w:tcPr>
          <w:p w14:paraId="0BF3DECC">
            <w:pPr>
              <w:widowControl/>
              <w:jc w:val="center"/>
              <w:textAlignment w:val="center"/>
              <w:rPr>
                <w:rFonts w:ascii="宋体" w:hAnsi="宋体" w:cs="宋体"/>
                <w:kern w:val="0"/>
                <w:sz w:val="18"/>
                <w:szCs w:val="18"/>
                <w:lang w:bidi="ar"/>
              </w:rPr>
            </w:pPr>
          </w:p>
        </w:tc>
        <w:tc>
          <w:tcPr>
            <w:tcW w:w="1038" w:type="dxa"/>
            <w:tcBorders>
              <w:tl2br w:val="nil"/>
              <w:tr2bl w:val="nil"/>
            </w:tcBorders>
            <w:vAlign w:val="center"/>
          </w:tcPr>
          <w:p w14:paraId="25B6E07F">
            <w:pPr>
              <w:autoSpaceDE w:val="0"/>
              <w:autoSpaceDN w:val="0"/>
              <w:jc w:val="center"/>
              <w:rPr>
                <w:rFonts w:ascii="宋体"/>
                <w:sz w:val="18"/>
                <w:szCs w:val="18"/>
              </w:rPr>
            </w:pPr>
          </w:p>
        </w:tc>
      </w:tr>
      <w:tr w14:paraId="4753BDF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13" w:type="dxa"/>
            <w:vMerge w:val="continue"/>
            <w:tcBorders>
              <w:tl2br w:val="nil"/>
              <w:tr2bl w:val="nil"/>
            </w:tcBorders>
            <w:vAlign w:val="center"/>
          </w:tcPr>
          <w:p w14:paraId="70960BD4">
            <w:pPr>
              <w:autoSpaceDE w:val="0"/>
              <w:autoSpaceDN w:val="0"/>
              <w:jc w:val="center"/>
              <w:rPr>
                <w:rFonts w:ascii="宋体" w:hAnsi="宋体" w:cs="宋体"/>
                <w:sz w:val="18"/>
                <w:szCs w:val="18"/>
              </w:rPr>
            </w:pPr>
          </w:p>
        </w:tc>
        <w:tc>
          <w:tcPr>
            <w:tcW w:w="2111" w:type="dxa"/>
            <w:vMerge w:val="restart"/>
            <w:tcBorders>
              <w:tl2br w:val="nil"/>
              <w:tr2bl w:val="nil"/>
            </w:tcBorders>
            <w:vAlign w:val="center"/>
          </w:tcPr>
          <w:p w14:paraId="4750A798">
            <w:pPr>
              <w:autoSpaceDE w:val="0"/>
              <w:autoSpaceDN w:val="0"/>
              <w:jc w:val="center"/>
              <w:rPr>
                <w:rFonts w:ascii="宋体" w:hAnsi="宋体" w:cs="宋体"/>
                <w:sz w:val="18"/>
                <w:szCs w:val="18"/>
              </w:rPr>
            </w:pPr>
            <w:r>
              <w:rPr>
                <w:rFonts w:hint="eastAsia" w:ascii="宋体" w:hAnsi="宋体" w:cs="宋体"/>
                <w:sz w:val="18"/>
                <w:szCs w:val="18"/>
              </w:rPr>
              <w:t>市场影响</w:t>
            </w:r>
          </w:p>
        </w:tc>
        <w:tc>
          <w:tcPr>
            <w:tcW w:w="2148" w:type="dxa"/>
            <w:tcBorders>
              <w:tl2br w:val="nil"/>
              <w:tr2bl w:val="nil"/>
            </w:tcBorders>
            <w:vAlign w:val="center"/>
          </w:tcPr>
          <w:p w14:paraId="7C3A5B7D">
            <w:pPr>
              <w:autoSpaceDE w:val="0"/>
              <w:autoSpaceDN w:val="0"/>
              <w:jc w:val="center"/>
              <w:rPr>
                <w:rFonts w:ascii="宋体" w:hAnsi="宋体" w:cs="宋体"/>
                <w:sz w:val="18"/>
                <w:szCs w:val="18"/>
              </w:rPr>
            </w:pPr>
            <w:r>
              <w:rPr>
                <w:rFonts w:hint="eastAsia" w:ascii="宋体" w:hAnsi="宋体" w:cs="宋体"/>
                <w:sz w:val="18"/>
                <w:szCs w:val="18"/>
              </w:rPr>
              <w:t>市场竞争力</w:t>
            </w:r>
          </w:p>
        </w:tc>
        <w:tc>
          <w:tcPr>
            <w:tcW w:w="1460" w:type="dxa"/>
            <w:tcBorders>
              <w:tl2br w:val="nil"/>
              <w:tr2bl w:val="nil"/>
            </w:tcBorders>
            <w:vAlign w:val="center"/>
          </w:tcPr>
          <w:p w14:paraId="65D4D27A">
            <w:pPr>
              <w:widowControl/>
              <w:jc w:val="center"/>
              <w:textAlignment w:val="center"/>
              <w:rPr>
                <w:rFonts w:ascii="宋体" w:hAnsi="宋体" w:cs="宋体"/>
                <w:sz w:val="18"/>
                <w:szCs w:val="18"/>
              </w:rPr>
            </w:pPr>
            <w:r>
              <w:rPr>
                <w:rFonts w:ascii="宋体" w:hAnsi="宋体" w:cs="宋体"/>
                <w:sz w:val="18"/>
                <w:szCs w:val="18"/>
              </w:rPr>
              <w:t>9</w:t>
            </w:r>
          </w:p>
        </w:tc>
        <w:tc>
          <w:tcPr>
            <w:tcW w:w="1300" w:type="dxa"/>
            <w:tcBorders>
              <w:tl2br w:val="nil"/>
              <w:tr2bl w:val="nil"/>
            </w:tcBorders>
            <w:vAlign w:val="center"/>
          </w:tcPr>
          <w:p w14:paraId="309B8D21">
            <w:pPr>
              <w:widowControl/>
              <w:jc w:val="center"/>
              <w:textAlignment w:val="center"/>
              <w:rPr>
                <w:rFonts w:ascii="宋体" w:hAnsi="宋体" w:cs="宋体"/>
                <w:kern w:val="0"/>
                <w:sz w:val="18"/>
                <w:szCs w:val="18"/>
                <w:lang w:bidi="ar"/>
              </w:rPr>
            </w:pPr>
          </w:p>
        </w:tc>
        <w:tc>
          <w:tcPr>
            <w:tcW w:w="1038" w:type="dxa"/>
            <w:tcBorders>
              <w:tl2br w:val="nil"/>
              <w:tr2bl w:val="nil"/>
            </w:tcBorders>
            <w:vAlign w:val="center"/>
          </w:tcPr>
          <w:p w14:paraId="5A81F9A9">
            <w:pPr>
              <w:autoSpaceDE w:val="0"/>
              <w:autoSpaceDN w:val="0"/>
              <w:jc w:val="center"/>
              <w:rPr>
                <w:rFonts w:ascii="宋体"/>
                <w:sz w:val="18"/>
                <w:szCs w:val="18"/>
              </w:rPr>
            </w:pPr>
          </w:p>
        </w:tc>
      </w:tr>
      <w:tr w14:paraId="4025C53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13" w:type="dxa"/>
            <w:vMerge w:val="continue"/>
            <w:tcBorders>
              <w:tl2br w:val="nil"/>
              <w:tr2bl w:val="nil"/>
            </w:tcBorders>
            <w:vAlign w:val="center"/>
          </w:tcPr>
          <w:p w14:paraId="72AB399E">
            <w:pPr>
              <w:autoSpaceDE w:val="0"/>
              <w:autoSpaceDN w:val="0"/>
              <w:jc w:val="center"/>
              <w:rPr>
                <w:rFonts w:ascii="宋体" w:hAnsi="宋体" w:cs="宋体"/>
                <w:sz w:val="18"/>
                <w:szCs w:val="18"/>
              </w:rPr>
            </w:pPr>
          </w:p>
        </w:tc>
        <w:tc>
          <w:tcPr>
            <w:tcW w:w="2111" w:type="dxa"/>
            <w:vMerge w:val="continue"/>
            <w:tcBorders>
              <w:tl2br w:val="nil"/>
              <w:tr2bl w:val="nil"/>
            </w:tcBorders>
            <w:vAlign w:val="center"/>
          </w:tcPr>
          <w:p w14:paraId="2DCE4588">
            <w:pPr>
              <w:autoSpaceDE w:val="0"/>
              <w:autoSpaceDN w:val="0"/>
              <w:jc w:val="center"/>
              <w:rPr>
                <w:rFonts w:ascii="宋体" w:hAnsi="宋体" w:cs="宋体"/>
                <w:sz w:val="18"/>
                <w:szCs w:val="18"/>
              </w:rPr>
            </w:pPr>
          </w:p>
        </w:tc>
        <w:tc>
          <w:tcPr>
            <w:tcW w:w="2148" w:type="dxa"/>
            <w:tcBorders>
              <w:tl2br w:val="nil"/>
              <w:tr2bl w:val="nil"/>
            </w:tcBorders>
            <w:vAlign w:val="center"/>
          </w:tcPr>
          <w:p w14:paraId="5D4E31DE">
            <w:pPr>
              <w:autoSpaceDE w:val="0"/>
              <w:autoSpaceDN w:val="0"/>
              <w:jc w:val="center"/>
              <w:rPr>
                <w:rFonts w:ascii="宋体" w:hAnsi="宋体" w:cs="宋体"/>
                <w:sz w:val="18"/>
                <w:szCs w:val="18"/>
              </w:rPr>
            </w:pPr>
            <w:r>
              <w:rPr>
                <w:rFonts w:hint="eastAsia" w:ascii="宋体" w:hAnsi="宋体" w:cs="宋体"/>
                <w:sz w:val="18"/>
                <w:szCs w:val="18"/>
              </w:rPr>
              <w:t>产业影响力</w:t>
            </w:r>
          </w:p>
        </w:tc>
        <w:tc>
          <w:tcPr>
            <w:tcW w:w="1460" w:type="dxa"/>
            <w:tcBorders>
              <w:tl2br w:val="nil"/>
              <w:tr2bl w:val="nil"/>
            </w:tcBorders>
            <w:vAlign w:val="center"/>
          </w:tcPr>
          <w:p w14:paraId="1BDC0C15">
            <w:pPr>
              <w:widowControl/>
              <w:jc w:val="center"/>
              <w:textAlignment w:val="center"/>
              <w:rPr>
                <w:rFonts w:ascii="宋体" w:hAnsi="宋体" w:cs="宋体"/>
                <w:sz w:val="18"/>
                <w:szCs w:val="18"/>
              </w:rPr>
            </w:pPr>
            <w:r>
              <w:rPr>
                <w:rFonts w:ascii="宋体" w:hAnsi="宋体" w:cs="宋体"/>
                <w:kern w:val="0"/>
                <w:sz w:val="18"/>
                <w:szCs w:val="18"/>
                <w:lang w:bidi="ar"/>
              </w:rPr>
              <w:t>6</w:t>
            </w:r>
          </w:p>
        </w:tc>
        <w:tc>
          <w:tcPr>
            <w:tcW w:w="1300" w:type="dxa"/>
            <w:tcBorders>
              <w:tl2br w:val="nil"/>
              <w:tr2bl w:val="nil"/>
            </w:tcBorders>
            <w:vAlign w:val="center"/>
          </w:tcPr>
          <w:p w14:paraId="63C853D3">
            <w:pPr>
              <w:widowControl/>
              <w:jc w:val="center"/>
              <w:textAlignment w:val="center"/>
              <w:rPr>
                <w:rFonts w:ascii="宋体" w:hAnsi="宋体" w:cs="宋体"/>
                <w:kern w:val="0"/>
                <w:sz w:val="18"/>
                <w:szCs w:val="18"/>
                <w:lang w:bidi="ar"/>
              </w:rPr>
            </w:pPr>
          </w:p>
        </w:tc>
        <w:tc>
          <w:tcPr>
            <w:tcW w:w="1038" w:type="dxa"/>
            <w:tcBorders>
              <w:tl2br w:val="nil"/>
              <w:tr2bl w:val="nil"/>
            </w:tcBorders>
            <w:vAlign w:val="center"/>
          </w:tcPr>
          <w:p w14:paraId="1744A976">
            <w:pPr>
              <w:autoSpaceDE w:val="0"/>
              <w:autoSpaceDN w:val="0"/>
              <w:jc w:val="center"/>
              <w:rPr>
                <w:rFonts w:ascii="宋体"/>
                <w:sz w:val="18"/>
                <w:szCs w:val="18"/>
              </w:rPr>
            </w:pPr>
          </w:p>
        </w:tc>
      </w:tr>
      <w:tr w14:paraId="53D6C5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13" w:type="dxa"/>
            <w:vMerge w:val="continue"/>
            <w:tcBorders>
              <w:tl2br w:val="nil"/>
              <w:tr2bl w:val="nil"/>
            </w:tcBorders>
            <w:vAlign w:val="center"/>
          </w:tcPr>
          <w:p w14:paraId="040CD044">
            <w:pPr>
              <w:autoSpaceDE w:val="0"/>
              <w:autoSpaceDN w:val="0"/>
              <w:jc w:val="center"/>
              <w:rPr>
                <w:rFonts w:ascii="宋体" w:hAnsi="宋体" w:cs="宋体"/>
                <w:sz w:val="18"/>
                <w:szCs w:val="18"/>
              </w:rPr>
            </w:pPr>
          </w:p>
        </w:tc>
        <w:tc>
          <w:tcPr>
            <w:tcW w:w="2111" w:type="dxa"/>
            <w:vMerge w:val="continue"/>
            <w:tcBorders>
              <w:tl2br w:val="nil"/>
              <w:tr2bl w:val="nil"/>
            </w:tcBorders>
            <w:vAlign w:val="center"/>
          </w:tcPr>
          <w:p w14:paraId="7A9E7407">
            <w:pPr>
              <w:autoSpaceDE w:val="0"/>
              <w:autoSpaceDN w:val="0"/>
              <w:jc w:val="center"/>
              <w:rPr>
                <w:rFonts w:ascii="宋体" w:hAnsi="宋体" w:cs="宋体"/>
                <w:sz w:val="18"/>
                <w:szCs w:val="18"/>
              </w:rPr>
            </w:pPr>
          </w:p>
        </w:tc>
        <w:tc>
          <w:tcPr>
            <w:tcW w:w="2148" w:type="dxa"/>
            <w:tcBorders>
              <w:tl2br w:val="nil"/>
              <w:tr2bl w:val="nil"/>
            </w:tcBorders>
            <w:vAlign w:val="center"/>
          </w:tcPr>
          <w:p w14:paraId="2BD61AA5">
            <w:pPr>
              <w:autoSpaceDE w:val="0"/>
              <w:autoSpaceDN w:val="0"/>
              <w:jc w:val="center"/>
              <w:rPr>
                <w:rFonts w:ascii="宋体" w:hAnsi="宋体" w:cs="宋体"/>
                <w:sz w:val="18"/>
                <w:szCs w:val="18"/>
              </w:rPr>
            </w:pPr>
            <w:r>
              <w:rPr>
                <w:rFonts w:hint="eastAsia" w:ascii="宋体" w:hAnsi="宋体" w:cs="宋体"/>
                <w:sz w:val="18"/>
                <w:szCs w:val="18"/>
              </w:rPr>
              <w:t>行业资质荣誉</w:t>
            </w:r>
          </w:p>
        </w:tc>
        <w:tc>
          <w:tcPr>
            <w:tcW w:w="1460" w:type="dxa"/>
            <w:tcBorders>
              <w:tl2br w:val="nil"/>
              <w:tr2bl w:val="nil"/>
            </w:tcBorders>
            <w:vAlign w:val="center"/>
          </w:tcPr>
          <w:p w14:paraId="4FC8E736">
            <w:pPr>
              <w:widowControl/>
              <w:jc w:val="center"/>
              <w:textAlignment w:val="center"/>
              <w:rPr>
                <w:rFonts w:ascii="宋体" w:hAnsi="宋体" w:cs="宋体"/>
                <w:sz w:val="18"/>
                <w:szCs w:val="18"/>
              </w:rPr>
            </w:pPr>
            <w:r>
              <w:rPr>
                <w:rFonts w:ascii="宋体" w:hAnsi="宋体" w:cs="宋体"/>
                <w:kern w:val="0"/>
                <w:sz w:val="18"/>
                <w:szCs w:val="18"/>
                <w:lang w:bidi="ar"/>
              </w:rPr>
              <w:t>4</w:t>
            </w:r>
          </w:p>
        </w:tc>
        <w:tc>
          <w:tcPr>
            <w:tcW w:w="1300" w:type="dxa"/>
            <w:tcBorders>
              <w:tl2br w:val="nil"/>
              <w:tr2bl w:val="nil"/>
            </w:tcBorders>
            <w:vAlign w:val="center"/>
          </w:tcPr>
          <w:p w14:paraId="695AD017">
            <w:pPr>
              <w:widowControl/>
              <w:jc w:val="center"/>
              <w:textAlignment w:val="center"/>
              <w:rPr>
                <w:rFonts w:ascii="宋体" w:hAnsi="宋体" w:cs="宋体"/>
                <w:kern w:val="0"/>
                <w:sz w:val="18"/>
                <w:szCs w:val="18"/>
                <w:lang w:bidi="ar"/>
              </w:rPr>
            </w:pPr>
          </w:p>
        </w:tc>
        <w:tc>
          <w:tcPr>
            <w:tcW w:w="1038" w:type="dxa"/>
            <w:tcBorders>
              <w:tl2br w:val="nil"/>
              <w:tr2bl w:val="nil"/>
            </w:tcBorders>
            <w:vAlign w:val="center"/>
          </w:tcPr>
          <w:p w14:paraId="5BEDFB83">
            <w:pPr>
              <w:autoSpaceDE w:val="0"/>
              <w:autoSpaceDN w:val="0"/>
              <w:jc w:val="center"/>
              <w:rPr>
                <w:rFonts w:ascii="宋体"/>
                <w:sz w:val="18"/>
                <w:szCs w:val="18"/>
              </w:rPr>
            </w:pPr>
          </w:p>
        </w:tc>
      </w:tr>
      <w:tr w14:paraId="7C97BC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13" w:type="dxa"/>
            <w:vMerge w:val="restart"/>
            <w:tcBorders>
              <w:tl2br w:val="nil"/>
              <w:tr2bl w:val="nil"/>
            </w:tcBorders>
            <w:vAlign w:val="center"/>
          </w:tcPr>
          <w:p w14:paraId="716E406D">
            <w:pPr>
              <w:autoSpaceDE w:val="0"/>
              <w:autoSpaceDN w:val="0"/>
              <w:jc w:val="center"/>
              <w:rPr>
                <w:rFonts w:ascii="宋体" w:hAnsi="宋体" w:cs="宋体"/>
                <w:sz w:val="18"/>
                <w:szCs w:val="18"/>
              </w:rPr>
            </w:pPr>
            <w:r>
              <w:rPr>
                <w:rFonts w:hint="eastAsia" w:ascii="宋体" w:hAnsi="宋体" w:cs="宋体"/>
                <w:sz w:val="18"/>
                <w:szCs w:val="18"/>
              </w:rPr>
              <w:t>环境表现</w:t>
            </w:r>
          </w:p>
        </w:tc>
        <w:tc>
          <w:tcPr>
            <w:tcW w:w="4259" w:type="dxa"/>
            <w:gridSpan w:val="2"/>
            <w:tcBorders>
              <w:tl2br w:val="nil"/>
              <w:tr2bl w:val="nil"/>
            </w:tcBorders>
            <w:vAlign w:val="center"/>
          </w:tcPr>
          <w:p w14:paraId="2DAA8D56">
            <w:pPr>
              <w:autoSpaceDE w:val="0"/>
              <w:autoSpaceDN w:val="0"/>
              <w:jc w:val="center"/>
              <w:rPr>
                <w:rFonts w:ascii="宋体" w:hAnsi="宋体" w:cs="宋体"/>
                <w:sz w:val="18"/>
                <w:szCs w:val="18"/>
              </w:rPr>
            </w:pPr>
            <w:r>
              <w:rPr>
                <w:rFonts w:hint="eastAsia" w:ascii="宋体" w:hAnsi="宋体" w:cs="宋体"/>
                <w:sz w:val="18"/>
                <w:szCs w:val="18"/>
              </w:rPr>
              <w:t>温室气体排放水平</w:t>
            </w:r>
          </w:p>
        </w:tc>
        <w:tc>
          <w:tcPr>
            <w:tcW w:w="1460" w:type="dxa"/>
            <w:tcBorders>
              <w:tl2br w:val="nil"/>
              <w:tr2bl w:val="nil"/>
            </w:tcBorders>
            <w:vAlign w:val="center"/>
          </w:tcPr>
          <w:p w14:paraId="02FCD9EA">
            <w:pPr>
              <w:widowControl/>
              <w:jc w:val="center"/>
              <w:textAlignment w:val="center"/>
              <w:rPr>
                <w:rFonts w:ascii="宋体" w:hAnsi="宋体" w:cs="宋体"/>
                <w:kern w:val="0"/>
                <w:sz w:val="18"/>
                <w:szCs w:val="18"/>
                <w:lang w:bidi="ar"/>
              </w:rPr>
            </w:pPr>
            <w:r>
              <w:rPr>
                <w:rFonts w:ascii="宋体" w:hAnsi="宋体" w:cs="宋体"/>
                <w:kern w:val="0"/>
                <w:sz w:val="18"/>
                <w:szCs w:val="18"/>
                <w:lang w:bidi="ar"/>
              </w:rPr>
              <w:t>6</w:t>
            </w:r>
          </w:p>
        </w:tc>
        <w:tc>
          <w:tcPr>
            <w:tcW w:w="1300" w:type="dxa"/>
            <w:tcBorders>
              <w:tl2br w:val="nil"/>
              <w:tr2bl w:val="nil"/>
            </w:tcBorders>
            <w:vAlign w:val="center"/>
          </w:tcPr>
          <w:p w14:paraId="394085EE">
            <w:pPr>
              <w:widowControl/>
              <w:jc w:val="center"/>
              <w:textAlignment w:val="center"/>
              <w:rPr>
                <w:rFonts w:ascii="宋体" w:hAnsi="宋体" w:cs="宋体"/>
                <w:kern w:val="0"/>
                <w:sz w:val="18"/>
                <w:szCs w:val="18"/>
                <w:lang w:bidi="ar"/>
              </w:rPr>
            </w:pPr>
          </w:p>
        </w:tc>
        <w:tc>
          <w:tcPr>
            <w:tcW w:w="1038" w:type="dxa"/>
            <w:tcBorders>
              <w:tl2br w:val="nil"/>
              <w:tr2bl w:val="nil"/>
            </w:tcBorders>
            <w:vAlign w:val="center"/>
          </w:tcPr>
          <w:p w14:paraId="7B5EBD79">
            <w:pPr>
              <w:autoSpaceDE w:val="0"/>
              <w:autoSpaceDN w:val="0"/>
              <w:jc w:val="center"/>
              <w:rPr>
                <w:rFonts w:ascii="宋体"/>
                <w:sz w:val="18"/>
                <w:szCs w:val="18"/>
              </w:rPr>
            </w:pPr>
          </w:p>
        </w:tc>
      </w:tr>
      <w:tr w14:paraId="637B2B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13" w:type="dxa"/>
            <w:vMerge w:val="continue"/>
            <w:tcBorders>
              <w:tl2br w:val="nil"/>
              <w:tr2bl w:val="nil"/>
            </w:tcBorders>
            <w:vAlign w:val="center"/>
          </w:tcPr>
          <w:p w14:paraId="6431CE78">
            <w:pPr>
              <w:autoSpaceDE w:val="0"/>
              <w:autoSpaceDN w:val="0"/>
              <w:jc w:val="center"/>
              <w:rPr>
                <w:rFonts w:ascii="宋体" w:hAnsi="宋体" w:cs="宋体"/>
                <w:sz w:val="18"/>
                <w:szCs w:val="18"/>
              </w:rPr>
            </w:pPr>
          </w:p>
        </w:tc>
        <w:tc>
          <w:tcPr>
            <w:tcW w:w="4259" w:type="dxa"/>
            <w:gridSpan w:val="2"/>
            <w:tcBorders>
              <w:tl2br w:val="nil"/>
              <w:tr2bl w:val="nil"/>
            </w:tcBorders>
            <w:vAlign w:val="center"/>
          </w:tcPr>
          <w:p w14:paraId="65CACA00">
            <w:pPr>
              <w:autoSpaceDE w:val="0"/>
              <w:autoSpaceDN w:val="0"/>
              <w:jc w:val="center"/>
              <w:rPr>
                <w:rFonts w:ascii="宋体" w:hAnsi="宋体" w:cs="宋体"/>
                <w:sz w:val="18"/>
                <w:szCs w:val="18"/>
              </w:rPr>
            </w:pPr>
            <w:r>
              <w:rPr>
                <w:rFonts w:hint="eastAsia" w:ascii="宋体" w:hAnsi="宋体" w:cs="宋体"/>
                <w:sz w:val="18"/>
                <w:szCs w:val="18"/>
              </w:rPr>
              <w:t>工艺设备材料</w:t>
            </w:r>
          </w:p>
        </w:tc>
        <w:tc>
          <w:tcPr>
            <w:tcW w:w="1460" w:type="dxa"/>
            <w:tcBorders>
              <w:tl2br w:val="nil"/>
              <w:tr2bl w:val="nil"/>
            </w:tcBorders>
            <w:vAlign w:val="center"/>
          </w:tcPr>
          <w:p w14:paraId="2FB45E3C">
            <w:pPr>
              <w:widowControl/>
              <w:jc w:val="center"/>
              <w:textAlignment w:val="center"/>
              <w:rPr>
                <w:rFonts w:ascii="宋体" w:hAnsi="宋体" w:cs="宋体"/>
                <w:sz w:val="18"/>
                <w:szCs w:val="18"/>
              </w:rPr>
            </w:pPr>
            <w:r>
              <w:rPr>
                <w:rFonts w:ascii="宋体" w:hAnsi="宋体" w:cs="宋体"/>
                <w:kern w:val="0"/>
                <w:sz w:val="18"/>
                <w:szCs w:val="18"/>
                <w:lang w:bidi="ar"/>
              </w:rPr>
              <w:t>4</w:t>
            </w:r>
          </w:p>
        </w:tc>
        <w:tc>
          <w:tcPr>
            <w:tcW w:w="1300" w:type="dxa"/>
            <w:tcBorders>
              <w:tl2br w:val="nil"/>
              <w:tr2bl w:val="nil"/>
            </w:tcBorders>
            <w:vAlign w:val="center"/>
          </w:tcPr>
          <w:p w14:paraId="358FDD6B">
            <w:pPr>
              <w:widowControl/>
              <w:jc w:val="center"/>
              <w:textAlignment w:val="center"/>
              <w:rPr>
                <w:rFonts w:ascii="宋体" w:hAnsi="宋体" w:cs="宋体"/>
                <w:kern w:val="0"/>
                <w:sz w:val="18"/>
                <w:szCs w:val="18"/>
                <w:lang w:bidi="ar"/>
              </w:rPr>
            </w:pPr>
          </w:p>
        </w:tc>
        <w:tc>
          <w:tcPr>
            <w:tcW w:w="1038" w:type="dxa"/>
            <w:tcBorders>
              <w:tl2br w:val="nil"/>
              <w:tr2bl w:val="nil"/>
            </w:tcBorders>
            <w:vAlign w:val="center"/>
          </w:tcPr>
          <w:p w14:paraId="6B2E1F7F">
            <w:pPr>
              <w:autoSpaceDE w:val="0"/>
              <w:autoSpaceDN w:val="0"/>
              <w:jc w:val="center"/>
              <w:rPr>
                <w:rFonts w:ascii="宋体"/>
                <w:sz w:val="18"/>
                <w:szCs w:val="18"/>
              </w:rPr>
            </w:pPr>
          </w:p>
        </w:tc>
      </w:tr>
      <w:tr w14:paraId="50E87F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4" w:hRule="atLeast"/>
        </w:trPr>
        <w:tc>
          <w:tcPr>
            <w:tcW w:w="1513" w:type="dxa"/>
            <w:vMerge w:val="continue"/>
            <w:tcBorders>
              <w:tl2br w:val="nil"/>
              <w:tr2bl w:val="nil"/>
            </w:tcBorders>
            <w:vAlign w:val="center"/>
          </w:tcPr>
          <w:p w14:paraId="074ED0AC">
            <w:pPr>
              <w:autoSpaceDE w:val="0"/>
              <w:autoSpaceDN w:val="0"/>
              <w:jc w:val="center"/>
              <w:rPr>
                <w:rFonts w:ascii="宋体" w:hAnsi="宋体" w:cs="宋体"/>
                <w:sz w:val="18"/>
                <w:szCs w:val="18"/>
              </w:rPr>
            </w:pPr>
          </w:p>
        </w:tc>
        <w:tc>
          <w:tcPr>
            <w:tcW w:w="4259" w:type="dxa"/>
            <w:gridSpan w:val="2"/>
            <w:tcBorders>
              <w:tl2br w:val="nil"/>
              <w:tr2bl w:val="nil"/>
            </w:tcBorders>
            <w:vAlign w:val="center"/>
          </w:tcPr>
          <w:p w14:paraId="75A814F9">
            <w:pPr>
              <w:autoSpaceDE w:val="0"/>
              <w:autoSpaceDN w:val="0"/>
              <w:jc w:val="center"/>
              <w:rPr>
                <w:rFonts w:ascii="宋体" w:hAnsi="宋体" w:cs="宋体"/>
                <w:sz w:val="18"/>
                <w:szCs w:val="18"/>
              </w:rPr>
            </w:pPr>
            <w:r>
              <w:rPr>
                <w:rFonts w:hint="eastAsia" w:ascii="宋体" w:hAnsi="宋体" w:cs="宋体"/>
                <w:sz w:val="18"/>
                <w:szCs w:val="18"/>
              </w:rPr>
              <w:t>能源资源利用</w:t>
            </w:r>
          </w:p>
        </w:tc>
        <w:tc>
          <w:tcPr>
            <w:tcW w:w="1460" w:type="dxa"/>
            <w:tcBorders>
              <w:tl2br w:val="nil"/>
              <w:tr2bl w:val="nil"/>
            </w:tcBorders>
            <w:vAlign w:val="center"/>
          </w:tcPr>
          <w:p w14:paraId="4C398107">
            <w:pPr>
              <w:widowControl/>
              <w:jc w:val="center"/>
              <w:textAlignment w:val="center"/>
              <w:rPr>
                <w:rFonts w:ascii="宋体" w:hAnsi="宋体" w:cs="宋体"/>
                <w:sz w:val="18"/>
                <w:szCs w:val="18"/>
              </w:rPr>
            </w:pPr>
            <w:r>
              <w:rPr>
                <w:rFonts w:ascii="宋体" w:hAnsi="宋体" w:cs="宋体"/>
                <w:kern w:val="0"/>
                <w:sz w:val="18"/>
                <w:szCs w:val="18"/>
                <w:lang w:bidi="ar"/>
              </w:rPr>
              <w:t>4</w:t>
            </w:r>
          </w:p>
        </w:tc>
        <w:tc>
          <w:tcPr>
            <w:tcW w:w="1300" w:type="dxa"/>
            <w:tcBorders>
              <w:tl2br w:val="nil"/>
              <w:tr2bl w:val="nil"/>
            </w:tcBorders>
            <w:vAlign w:val="center"/>
          </w:tcPr>
          <w:p w14:paraId="5517CB06">
            <w:pPr>
              <w:widowControl/>
              <w:jc w:val="center"/>
              <w:textAlignment w:val="center"/>
              <w:rPr>
                <w:rFonts w:ascii="宋体" w:hAnsi="宋体" w:cs="宋体"/>
                <w:kern w:val="0"/>
                <w:sz w:val="18"/>
                <w:szCs w:val="18"/>
                <w:lang w:bidi="ar"/>
              </w:rPr>
            </w:pPr>
          </w:p>
        </w:tc>
        <w:tc>
          <w:tcPr>
            <w:tcW w:w="1038" w:type="dxa"/>
            <w:tcBorders>
              <w:tl2br w:val="nil"/>
              <w:tr2bl w:val="nil"/>
            </w:tcBorders>
            <w:vAlign w:val="center"/>
          </w:tcPr>
          <w:p w14:paraId="0CD48B16">
            <w:pPr>
              <w:autoSpaceDE w:val="0"/>
              <w:autoSpaceDN w:val="0"/>
              <w:jc w:val="center"/>
              <w:rPr>
                <w:rFonts w:ascii="宋体"/>
                <w:sz w:val="18"/>
                <w:szCs w:val="18"/>
              </w:rPr>
            </w:pPr>
          </w:p>
        </w:tc>
      </w:tr>
      <w:tr w14:paraId="3D5DE0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13" w:type="dxa"/>
            <w:vMerge w:val="continue"/>
            <w:tcBorders>
              <w:tl2br w:val="nil"/>
              <w:tr2bl w:val="nil"/>
            </w:tcBorders>
            <w:vAlign w:val="center"/>
          </w:tcPr>
          <w:p w14:paraId="02769133">
            <w:pPr>
              <w:autoSpaceDE w:val="0"/>
              <w:autoSpaceDN w:val="0"/>
              <w:jc w:val="center"/>
              <w:rPr>
                <w:rFonts w:ascii="宋体" w:hAnsi="宋体" w:cs="宋体"/>
                <w:sz w:val="18"/>
                <w:szCs w:val="18"/>
              </w:rPr>
            </w:pPr>
          </w:p>
        </w:tc>
        <w:tc>
          <w:tcPr>
            <w:tcW w:w="4259" w:type="dxa"/>
            <w:gridSpan w:val="2"/>
            <w:tcBorders>
              <w:tl2br w:val="nil"/>
              <w:tr2bl w:val="nil"/>
            </w:tcBorders>
            <w:vAlign w:val="center"/>
          </w:tcPr>
          <w:p w14:paraId="19AD0F59">
            <w:pPr>
              <w:autoSpaceDE w:val="0"/>
              <w:autoSpaceDN w:val="0"/>
              <w:jc w:val="center"/>
              <w:rPr>
                <w:rFonts w:ascii="宋体" w:hAnsi="宋体" w:cs="宋体"/>
                <w:sz w:val="18"/>
                <w:szCs w:val="18"/>
              </w:rPr>
            </w:pPr>
            <w:r>
              <w:rPr>
                <w:rFonts w:hint="eastAsia" w:ascii="宋体" w:hAnsi="宋体" w:cs="宋体"/>
                <w:sz w:val="18"/>
                <w:szCs w:val="18"/>
              </w:rPr>
              <w:t>污染物排放水平</w:t>
            </w:r>
          </w:p>
        </w:tc>
        <w:tc>
          <w:tcPr>
            <w:tcW w:w="1460" w:type="dxa"/>
            <w:tcBorders>
              <w:tl2br w:val="nil"/>
              <w:tr2bl w:val="nil"/>
            </w:tcBorders>
            <w:vAlign w:val="center"/>
          </w:tcPr>
          <w:p w14:paraId="1F327731">
            <w:pPr>
              <w:widowControl/>
              <w:jc w:val="center"/>
              <w:textAlignment w:val="center"/>
              <w:rPr>
                <w:rFonts w:ascii="宋体" w:hAnsi="宋体" w:cs="宋体"/>
                <w:sz w:val="18"/>
                <w:szCs w:val="18"/>
              </w:rPr>
            </w:pPr>
            <w:r>
              <w:rPr>
                <w:rFonts w:ascii="宋体" w:hAnsi="宋体" w:cs="宋体"/>
                <w:kern w:val="0"/>
                <w:sz w:val="18"/>
                <w:szCs w:val="18"/>
                <w:lang w:bidi="ar"/>
              </w:rPr>
              <w:t>4</w:t>
            </w:r>
          </w:p>
        </w:tc>
        <w:tc>
          <w:tcPr>
            <w:tcW w:w="1300" w:type="dxa"/>
            <w:tcBorders>
              <w:tl2br w:val="nil"/>
              <w:tr2bl w:val="nil"/>
            </w:tcBorders>
            <w:vAlign w:val="center"/>
          </w:tcPr>
          <w:p w14:paraId="6E136392">
            <w:pPr>
              <w:widowControl/>
              <w:jc w:val="center"/>
              <w:textAlignment w:val="center"/>
              <w:rPr>
                <w:rFonts w:ascii="宋体" w:hAnsi="宋体" w:cs="宋体"/>
                <w:kern w:val="0"/>
                <w:sz w:val="18"/>
                <w:szCs w:val="18"/>
                <w:lang w:bidi="ar"/>
              </w:rPr>
            </w:pPr>
          </w:p>
        </w:tc>
        <w:tc>
          <w:tcPr>
            <w:tcW w:w="1038" w:type="dxa"/>
            <w:tcBorders>
              <w:tl2br w:val="nil"/>
              <w:tr2bl w:val="nil"/>
            </w:tcBorders>
            <w:vAlign w:val="center"/>
          </w:tcPr>
          <w:p w14:paraId="78DFD0E5">
            <w:pPr>
              <w:autoSpaceDE w:val="0"/>
              <w:autoSpaceDN w:val="0"/>
              <w:jc w:val="center"/>
              <w:rPr>
                <w:rFonts w:ascii="宋体"/>
                <w:sz w:val="18"/>
                <w:szCs w:val="18"/>
              </w:rPr>
            </w:pPr>
          </w:p>
        </w:tc>
      </w:tr>
      <w:tr w14:paraId="6C82DD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1513" w:type="dxa"/>
            <w:vMerge w:val="restart"/>
            <w:tcBorders>
              <w:tl2br w:val="nil"/>
              <w:tr2bl w:val="nil"/>
            </w:tcBorders>
            <w:vAlign w:val="center"/>
          </w:tcPr>
          <w:p w14:paraId="558B7237">
            <w:pPr>
              <w:autoSpaceDE w:val="0"/>
              <w:autoSpaceDN w:val="0"/>
              <w:jc w:val="center"/>
              <w:rPr>
                <w:rFonts w:ascii="宋体" w:hAnsi="宋体" w:cs="宋体"/>
                <w:sz w:val="18"/>
                <w:szCs w:val="18"/>
              </w:rPr>
            </w:pPr>
            <w:r>
              <w:rPr>
                <w:rFonts w:hint="eastAsia" w:ascii="宋体" w:hAnsi="宋体" w:cs="宋体"/>
                <w:sz w:val="18"/>
                <w:szCs w:val="18"/>
              </w:rPr>
              <w:t>社会表现</w:t>
            </w:r>
          </w:p>
        </w:tc>
        <w:tc>
          <w:tcPr>
            <w:tcW w:w="4259" w:type="dxa"/>
            <w:gridSpan w:val="2"/>
            <w:tcBorders>
              <w:tl2br w:val="nil"/>
              <w:tr2bl w:val="nil"/>
            </w:tcBorders>
            <w:vAlign w:val="center"/>
          </w:tcPr>
          <w:p w14:paraId="61A97AB3">
            <w:pPr>
              <w:autoSpaceDE w:val="0"/>
              <w:autoSpaceDN w:val="0"/>
              <w:jc w:val="center"/>
              <w:rPr>
                <w:rFonts w:ascii="宋体" w:hAnsi="宋体" w:cs="宋体"/>
                <w:sz w:val="18"/>
                <w:szCs w:val="18"/>
              </w:rPr>
            </w:pPr>
            <w:r>
              <w:rPr>
                <w:rFonts w:hint="eastAsia" w:ascii="宋体" w:hAnsi="宋体" w:cs="宋体"/>
                <w:sz w:val="18"/>
                <w:szCs w:val="18"/>
              </w:rPr>
              <w:t>内部行动</w:t>
            </w:r>
          </w:p>
        </w:tc>
        <w:tc>
          <w:tcPr>
            <w:tcW w:w="1460" w:type="dxa"/>
            <w:tcBorders>
              <w:tl2br w:val="nil"/>
              <w:tr2bl w:val="nil"/>
            </w:tcBorders>
            <w:vAlign w:val="center"/>
          </w:tcPr>
          <w:p w14:paraId="3DD5133F">
            <w:pPr>
              <w:widowControl/>
              <w:jc w:val="center"/>
              <w:textAlignment w:val="center"/>
              <w:rPr>
                <w:rFonts w:ascii="宋体" w:hAnsi="宋体" w:cs="宋体"/>
                <w:sz w:val="18"/>
                <w:szCs w:val="18"/>
              </w:rPr>
            </w:pPr>
            <w:r>
              <w:rPr>
                <w:rFonts w:ascii="宋体" w:hAnsi="宋体" w:cs="宋体"/>
                <w:kern w:val="0"/>
                <w:sz w:val="18"/>
                <w:szCs w:val="18"/>
                <w:lang w:bidi="ar"/>
              </w:rPr>
              <w:t>3</w:t>
            </w:r>
          </w:p>
        </w:tc>
        <w:tc>
          <w:tcPr>
            <w:tcW w:w="1300" w:type="dxa"/>
            <w:tcBorders>
              <w:tl2br w:val="nil"/>
              <w:tr2bl w:val="nil"/>
            </w:tcBorders>
            <w:vAlign w:val="center"/>
          </w:tcPr>
          <w:p w14:paraId="32503925">
            <w:pPr>
              <w:widowControl/>
              <w:jc w:val="center"/>
              <w:textAlignment w:val="center"/>
              <w:rPr>
                <w:rFonts w:ascii="宋体" w:hAnsi="宋体" w:cs="宋体"/>
                <w:kern w:val="0"/>
                <w:sz w:val="18"/>
                <w:szCs w:val="18"/>
                <w:lang w:bidi="ar"/>
              </w:rPr>
            </w:pPr>
          </w:p>
        </w:tc>
        <w:tc>
          <w:tcPr>
            <w:tcW w:w="1038" w:type="dxa"/>
            <w:tcBorders>
              <w:tl2br w:val="nil"/>
              <w:tr2bl w:val="nil"/>
            </w:tcBorders>
            <w:vAlign w:val="center"/>
          </w:tcPr>
          <w:p w14:paraId="4AAD1170">
            <w:pPr>
              <w:autoSpaceDE w:val="0"/>
              <w:autoSpaceDN w:val="0"/>
              <w:jc w:val="center"/>
              <w:rPr>
                <w:rFonts w:ascii="宋体"/>
                <w:sz w:val="18"/>
                <w:szCs w:val="18"/>
              </w:rPr>
            </w:pPr>
          </w:p>
        </w:tc>
      </w:tr>
      <w:tr w14:paraId="01F2FF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1513" w:type="dxa"/>
            <w:vMerge w:val="continue"/>
            <w:tcBorders>
              <w:tl2br w:val="nil"/>
              <w:tr2bl w:val="nil"/>
            </w:tcBorders>
            <w:vAlign w:val="center"/>
          </w:tcPr>
          <w:p w14:paraId="7368884E">
            <w:pPr>
              <w:autoSpaceDE w:val="0"/>
              <w:autoSpaceDN w:val="0"/>
              <w:jc w:val="center"/>
              <w:rPr>
                <w:rFonts w:ascii="宋体" w:hAnsi="宋体" w:cs="宋体"/>
                <w:sz w:val="18"/>
                <w:szCs w:val="18"/>
              </w:rPr>
            </w:pPr>
          </w:p>
        </w:tc>
        <w:tc>
          <w:tcPr>
            <w:tcW w:w="4259" w:type="dxa"/>
            <w:gridSpan w:val="2"/>
            <w:tcBorders>
              <w:tl2br w:val="nil"/>
              <w:tr2bl w:val="nil"/>
            </w:tcBorders>
            <w:vAlign w:val="center"/>
          </w:tcPr>
          <w:p w14:paraId="0C420729">
            <w:pPr>
              <w:autoSpaceDE w:val="0"/>
              <w:autoSpaceDN w:val="0"/>
              <w:jc w:val="center"/>
              <w:rPr>
                <w:rFonts w:ascii="宋体" w:hAnsi="宋体" w:cs="宋体"/>
                <w:sz w:val="18"/>
                <w:szCs w:val="18"/>
              </w:rPr>
            </w:pPr>
            <w:r>
              <w:rPr>
                <w:rFonts w:hint="eastAsia" w:ascii="宋体" w:hAnsi="宋体" w:cs="宋体"/>
                <w:sz w:val="18"/>
                <w:szCs w:val="18"/>
              </w:rPr>
              <w:t>社会责任</w:t>
            </w:r>
          </w:p>
        </w:tc>
        <w:tc>
          <w:tcPr>
            <w:tcW w:w="1460" w:type="dxa"/>
            <w:tcBorders>
              <w:tl2br w:val="nil"/>
              <w:tr2bl w:val="nil"/>
            </w:tcBorders>
            <w:vAlign w:val="center"/>
          </w:tcPr>
          <w:p w14:paraId="5C1955E2">
            <w:pPr>
              <w:widowControl/>
              <w:jc w:val="center"/>
              <w:textAlignment w:val="center"/>
              <w:rPr>
                <w:rFonts w:ascii="宋体" w:hAnsi="宋体" w:cs="宋体"/>
                <w:sz w:val="18"/>
                <w:szCs w:val="18"/>
              </w:rPr>
            </w:pPr>
            <w:r>
              <w:rPr>
                <w:rFonts w:ascii="宋体" w:hAnsi="宋体" w:cs="宋体"/>
                <w:kern w:val="0"/>
                <w:sz w:val="18"/>
                <w:szCs w:val="18"/>
                <w:lang w:bidi="ar"/>
              </w:rPr>
              <w:t>3</w:t>
            </w:r>
          </w:p>
        </w:tc>
        <w:tc>
          <w:tcPr>
            <w:tcW w:w="1300" w:type="dxa"/>
            <w:tcBorders>
              <w:tl2br w:val="nil"/>
              <w:tr2bl w:val="nil"/>
            </w:tcBorders>
            <w:vAlign w:val="center"/>
          </w:tcPr>
          <w:p w14:paraId="53009C76">
            <w:pPr>
              <w:widowControl/>
              <w:jc w:val="center"/>
              <w:textAlignment w:val="center"/>
              <w:rPr>
                <w:rFonts w:ascii="宋体" w:hAnsi="宋体" w:cs="宋体"/>
                <w:kern w:val="0"/>
                <w:sz w:val="18"/>
                <w:szCs w:val="18"/>
                <w:lang w:bidi="ar"/>
              </w:rPr>
            </w:pPr>
          </w:p>
        </w:tc>
        <w:tc>
          <w:tcPr>
            <w:tcW w:w="1038" w:type="dxa"/>
            <w:tcBorders>
              <w:tl2br w:val="nil"/>
              <w:tr2bl w:val="nil"/>
            </w:tcBorders>
            <w:vAlign w:val="center"/>
          </w:tcPr>
          <w:p w14:paraId="597F4125">
            <w:pPr>
              <w:autoSpaceDE w:val="0"/>
              <w:autoSpaceDN w:val="0"/>
              <w:jc w:val="center"/>
              <w:rPr>
                <w:rFonts w:ascii="宋体"/>
                <w:sz w:val="18"/>
                <w:szCs w:val="18"/>
              </w:rPr>
            </w:pPr>
          </w:p>
        </w:tc>
      </w:tr>
      <w:tr w14:paraId="7000D3F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5772" w:type="dxa"/>
            <w:gridSpan w:val="3"/>
            <w:tcBorders>
              <w:bottom w:val="single" w:color="auto" w:sz="12" w:space="0"/>
              <w:tl2br w:val="nil"/>
              <w:tr2bl w:val="nil"/>
            </w:tcBorders>
            <w:vAlign w:val="center"/>
          </w:tcPr>
          <w:p w14:paraId="625239D6">
            <w:pPr>
              <w:autoSpaceDE w:val="0"/>
              <w:autoSpaceDN w:val="0"/>
              <w:jc w:val="center"/>
              <w:rPr>
                <w:rFonts w:ascii="宋体" w:hAnsi="宋体" w:cs="宋体"/>
                <w:sz w:val="18"/>
                <w:szCs w:val="18"/>
              </w:rPr>
            </w:pPr>
            <w:r>
              <w:rPr>
                <w:rFonts w:hint="eastAsia" w:ascii="宋体"/>
                <w:b/>
                <w:kern w:val="0"/>
                <w:sz w:val="18"/>
                <w:szCs w:val="18"/>
              </w:rPr>
              <w:t>总得分</w:t>
            </w:r>
          </w:p>
        </w:tc>
        <w:tc>
          <w:tcPr>
            <w:tcW w:w="1460" w:type="dxa"/>
            <w:tcBorders>
              <w:bottom w:val="single" w:color="auto" w:sz="12" w:space="0"/>
              <w:tl2br w:val="nil"/>
              <w:tr2bl w:val="nil"/>
            </w:tcBorders>
            <w:vAlign w:val="center"/>
          </w:tcPr>
          <w:p w14:paraId="0781ACCD">
            <w:pPr>
              <w:widowControl/>
              <w:jc w:val="center"/>
              <w:textAlignment w:val="center"/>
              <w:rPr>
                <w:rFonts w:ascii="宋体" w:hAnsi="宋体" w:cs="宋体"/>
                <w:kern w:val="0"/>
                <w:sz w:val="18"/>
                <w:szCs w:val="18"/>
                <w:lang w:bidi="ar"/>
              </w:rPr>
            </w:pPr>
          </w:p>
        </w:tc>
        <w:tc>
          <w:tcPr>
            <w:tcW w:w="1300" w:type="dxa"/>
            <w:tcBorders>
              <w:bottom w:val="single" w:color="auto" w:sz="12" w:space="0"/>
              <w:tl2br w:val="nil"/>
              <w:tr2bl w:val="nil"/>
            </w:tcBorders>
            <w:vAlign w:val="center"/>
          </w:tcPr>
          <w:p w14:paraId="14CEE7BA">
            <w:pPr>
              <w:widowControl/>
              <w:jc w:val="center"/>
              <w:textAlignment w:val="center"/>
              <w:rPr>
                <w:rFonts w:ascii="宋体" w:hAnsi="宋体" w:cs="宋体"/>
                <w:kern w:val="0"/>
                <w:sz w:val="18"/>
                <w:szCs w:val="18"/>
                <w:lang w:bidi="ar"/>
              </w:rPr>
            </w:pPr>
          </w:p>
        </w:tc>
        <w:tc>
          <w:tcPr>
            <w:tcW w:w="1038" w:type="dxa"/>
            <w:tcBorders>
              <w:bottom w:val="single" w:color="auto" w:sz="12" w:space="0"/>
              <w:tl2br w:val="nil"/>
              <w:tr2bl w:val="nil"/>
            </w:tcBorders>
            <w:vAlign w:val="center"/>
          </w:tcPr>
          <w:p w14:paraId="609C8756">
            <w:pPr>
              <w:autoSpaceDE w:val="0"/>
              <w:autoSpaceDN w:val="0"/>
              <w:jc w:val="center"/>
              <w:rPr>
                <w:rFonts w:ascii="宋体"/>
                <w:sz w:val="18"/>
                <w:szCs w:val="18"/>
              </w:rPr>
            </w:pPr>
          </w:p>
        </w:tc>
      </w:tr>
      <w:tr w14:paraId="088FEB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9570" w:type="dxa"/>
            <w:gridSpan w:val="6"/>
            <w:tcBorders>
              <w:top w:val="single" w:color="auto" w:sz="12" w:space="0"/>
            </w:tcBorders>
            <w:vAlign w:val="center"/>
          </w:tcPr>
          <w:p w14:paraId="6AD1AABC">
            <w:pPr>
              <w:autoSpaceDE w:val="0"/>
              <w:autoSpaceDN w:val="0"/>
              <w:ind w:firstLine="360" w:firstLineChars="200"/>
              <w:jc w:val="left"/>
              <w:rPr>
                <w:rFonts w:ascii="宋体"/>
                <w:sz w:val="18"/>
                <w:szCs w:val="18"/>
              </w:rPr>
            </w:pPr>
            <w:r>
              <w:rPr>
                <w:rStyle w:val="155"/>
                <w:rFonts w:hint="eastAsia" w:asciiTheme="minorEastAsia" w:hAnsiTheme="minorEastAsia" w:eastAsiaTheme="minorEastAsia" w:cstheme="minorEastAsia"/>
                <w:sz w:val="18"/>
                <w:szCs w:val="18"/>
                <w:vertAlign w:val="superscript"/>
              </w:rPr>
              <w:t>a</w:t>
            </w:r>
            <w:r>
              <w:rPr>
                <w:rFonts w:hint="eastAsia" w:cs="宋体" w:asciiTheme="minorEastAsia" w:hAnsiTheme="minorEastAsia" w:eastAsiaTheme="minorEastAsia"/>
                <w:sz w:val="18"/>
                <w:szCs w:val="18"/>
              </w:rPr>
              <w:t xml:space="preserve"> 给出材料对应的具体页码，例如，见第4页。</w:t>
            </w:r>
          </w:p>
        </w:tc>
      </w:tr>
    </w:tbl>
    <w:p w14:paraId="14393C33">
      <w:pPr>
        <w:numPr>
          <w:ilvl w:val="1"/>
          <w:numId w:val="0"/>
        </w:numPr>
        <w:spacing w:before="312" w:beforeLines="100" w:after="156" w:afterLines="50"/>
        <w:jc w:val="center"/>
        <w:rPr>
          <w:rFonts w:ascii="黑体" w:hAnsi="黑体" w:eastAsia="黑体"/>
          <w:szCs w:val="21"/>
        </w:rPr>
      </w:pPr>
      <w:r>
        <w:rPr>
          <w:rFonts w:hint="eastAsia" w:ascii="黑体" w:hAnsi="黑体" w:eastAsia="黑体" w:cs="黑体"/>
          <w:szCs w:val="21"/>
        </w:rPr>
        <w:t>表C.5</w:t>
      </w:r>
      <w:r>
        <w:rPr>
          <w:rFonts w:hint="eastAsia" w:ascii="黑体" w:hAnsi="黑体" w:eastAsia="黑体"/>
          <w:szCs w:val="21"/>
        </w:rPr>
        <w:t xml:space="preserve">  关键技术先进性指标评分</w:t>
      </w:r>
    </w:p>
    <w:tbl>
      <w:tblPr>
        <w:tblStyle w:val="35"/>
        <w:tblW w:w="9559"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1051"/>
        <w:gridCol w:w="998"/>
        <w:gridCol w:w="1019"/>
        <w:gridCol w:w="1380"/>
        <w:gridCol w:w="1030"/>
        <w:gridCol w:w="1654"/>
        <w:gridCol w:w="1290"/>
        <w:gridCol w:w="1137"/>
      </w:tblGrid>
      <w:tr w14:paraId="2EC62BA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90" w:hRule="atLeast"/>
          <w:tblHeader/>
          <w:jc w:val="center"/>
        </w:trPr>
        <w:tc>
          <w:tcPr>
            <w:tcW w:w="1051" w:type="dxa"/>
            <w:tcBorders>
              <w:bottom w:val="single" w:color="000000" w:sz="12" w:space="0"/>
            </w:tcBorders>
            <w:vAlign w:val="center"/>
          </w:tcPr>
          <w:p w14:paraId="72C72845">
            <w:pPr>
              <w:widowControl/>
              <w:tabs>
                <w:tab w:val="center" w:pos="4201"/>
                <w:tab w:val="right" w:leader="dot" w:pos="9298"/>
              </w:tabs>
              <w:autoSpaceDE w:val="0"/>
              <w:autoSpaceDN w:val="0"/>
              <w:jc w:val="center"/>
              <w:rPr>
                <w:rFonts w:ascii="宋体" w:hAnsi="宋体" w:cs="宋体"/>
                <w:b/>
                <w:kern w:val="0"/>
                <w:sz w:val="18"/>
                <w:szCs w:val="18"/>
              </w:rPr>
            </w:pPr>
            <w:r>
              <w:rPr>
                <w:rFonts w:hint="eastAsia" w:ascii="宋体" w:hAnsi="宋体" w:cs="宋体"/>
                <w:b/>
                <w:kern w:val="0"/>
                <w:sz w:val="18"/>
                <w:szCs w:val="18"/>
              </w:rPr>
              <w:t>所属行业</w:t>
            </w:r>
            <w:r>
              <w:rPr>
                <w:rFonts w:hint="eastAsia" w:ascii="宋体" w:hAnsi="宋体" w:cs="宋体"/>
                <w:bCs/>
                <w:kern w:val="0"/>
                <w:sz w:val="18"/>
                <w:szCs w:val="18"/>
                <w:vertAlign w:val="superscript"/>
              </w:rPr>
              <w:t>a</w:t>
            </w:r>
          </w:p>
        </w:tc>
        <w:tc>
          <w:tcPr>
            <w:tcW w:w="998" w:type="dxa"/>
            <w:tcBorders>
              <w:bottom w:val="single" w:color="000000" w:sz="12" w:space="0"/>
            </w:tcBorders>
            <w:vAlign w:val="center"/>
          </w:tcPr>
          <w:p w14:paraId="5D60E4A9">
            <w:pPr>
              <w:widowControl/>
              <w:tabs>
                <w:tab w:val="center" w:pos="4201"/>
                <w:tab w:val="right" w:leader="dot" w:pos="9298"/>
              </w:tabs>
              <w:autoSpaceDE w:val="0"/>
              <w:autoSpaceDN w:val="0"/>
              <w:jc w:val="center"/>
              <w:rPr>
                <w:rFonts w:ascii="宋体" w:hAnsi="宋体" w:cs="宋体"/>
                <w:b/>
                <w:kern w:val="0"/>
                <w:sz w:val="18"/>
                <w:szCs w:val="18"/>
              </w:rPr>
            </w:pPr>
            <w:r>
              <w:rPr>
                <w:rFonts w:hint="eastAsia" w:ascii="宋体" w:hAnsi="宋体" w:cs="宋体"/>
                <w:b/>
                <w:kern w:val="0"/>
                <w:sz w:val="18"/>
                <w:szCs w:val="18"/>
              </w:rPr>
              <w:t>评价环节</w:t>
            </w:r>
            <w:r>
              <w:rPr>
                <w:rFonts w:hint="eastAsia" w:ascii="宋体" w:hAnsi="宋体" w:cs="宋体"/>
                <w:bCs/>
                <w:kern w:val="0"/>
                <w:sz w:val="18"/>
                <w:szCs w:val="18"/>
                <w:vertAlign w:val="superscript"/>
              </w:rPr>
              <w:t>b</w:t>
            </w:r>
          </w:p>
        </w:tc>
        <w:tc>
          <w:tcPr>
            <w:tcW w:w="1019" w:type="dxa"/>
            <w:tcBorders>
              <w:bottom w:val="single" w:color="000000" w:sz="12" w:space="0"/>
            </w:tcBorders>
            <w:vAlign w:val="center"/>
          </w:tcPr>
          <w:p w14:paraId="69312280">
            <w:pPr>
              <w:widowControl/>
              <w:tabs>
                <w:tab w:val="center" w:pos="4201"/>
                <w:tab w:val="right" w:leader="dot" w:pos="9298"/>
              </w:tabs>
              <w:autoSpaceDE w:val="0"/>
              <w:autoSpaceDN w:val="0"/>
              <w:jc w:val="center"/>
              <w:rPr>
                <w:rFonts w:ascii="宋体" w:hAnsi="宋体" w:cs="宋体"/>
                <w:b/>
                <w:kern w:val="0"/>
                <w:sz w:val="18"/>
                <w:szCs w:val="18"/>
              </w:rPr>
            </w:pPr>
            <w:r>
              <w:rPr>
                <w:rFonts w:hint="eastAsia" w:ascii="宋体" w:hAnsi="宋体" w:cs="宋体"/>
                <w:b/>
                <w:kern w:val="0"/>
                <w:sz w:val="18"/>
                <w:szCs w:val="18"/>
              </w:rPr>
              <w:t>评价对象</w:t>
            </w:r>
            <w:r>
              <w:rPr>
                <w:rFonts w:hint="eastAsia" w:ascii="宋体" w:hAnsi="宋体" w:cs="宋体"/>
                <w:bCs/>
                <w:kern w:val="0"/>
                <w:sz w:val="18"/>
                <w:szCs w:val="18"/>
                <w:vertAlign w:val="superscript"/>
              </w:rPr>
              <w:t>c</w:t>
            </w:r>
          </w:p>
        </w:tc>
        <w:tc>
          <w:tcPr>
            <w:tcW w:w="1380" w:type="dxa"/>
            <w:tcBorders>
              <w:bottom w:val="single" w:color="000000" w:sz="12" w:space="0"/>
            </w:tcBorders>
            <w:vAlign w:val="center"/>
          </w:tcPr>
          <w:p w14:paraId="1D05730D">
            <w:pPr>
              <w:widowControl/>
              <w:tabs>
                <w:tab w:val="center" w:pos="4201"/>
                <w:tab w:val="right" w:leader="dot" w:pos="9298"/>
              </w:tabs>
              <w:autoSpaceDE w:val="0"/>
              <w:autoSpaceDN w:val="0"/>
              <w:jc w:val="center"/>
              <w:rPr>
                <w:rFonts w:ascii="宋体" w:hAnsi="宋体" w:cs="宋体"/>
                <w:b/>
                <w:kern w:val="0"/>
                <w:sz w:val="18"/>
                <w:szCs w:val="18"/>
              </w:rPr>
            </w:pPr>
            <w:r>
              <w:rPr>
                <w:rFonts w:hint="eastAsia" w:ascii="宋体" w:hAnsi="宋体" w:cs="宋体"/>
                <w:b/>
                <w:kern w:val="0"/>
                <w:sz w:val="18"/>
                <w:szCs w:val="18"/>
              </w:rPr>
              <w:t>核心评价指标</w:t>
            </w:r>
            <w:r>
              <w:rPr>
                <w:rFonts w:hint="eastAsia" w:ascii="宋体" w:hAnsi="宋体" w:cs="宋体"/>
                <w:bCs/>
                <w:kern w:val="0"/>
                <w:sz w:val="18"/>
                <w:szCs w:val="18"/>
                <w:vertAlign w:val="superscript"/>
              </w:rPr>
              <w:t>c</w:t>
            </w:r>
          </w:p>
        </w:tc>
        <w:tc>
          <w:tcPr>
            <w:tcW w:w="1030" w:type="dxa"/>
            <w:tcBorders>
              <w:bottom w:val="single" w:color="000000" w:sz="12" w:space="0"/>
            </w:tcBorders>
            <w:vAlign w:val="center"/>
          </w:tcPr>
          <w:p w14:paraId="751B786F">
            <w:pPr>
              <w:widowControl/>
              <w:tabs>
                <w:tab w:val="center" w:pos="4201"/>
                <w:tab w:val="right" w:leader="dot" w:pos="9298"/>
              </w:tabs>
              <w:autoSpaceDE w:val="0"/>
              <w:autoSpaceDN w:val="0"/>
              <w:jc w:val="center"/>
              <w:rPr>
                <w:rFonts w:ascii="宋体" w:hAnsi="宋体" w:cs="宋体"/>
                <w:b/>
                <w:kern w:val="0"/>
                <w:sz w:val="18"/>
                <w:szCs w:val="18"/>
              </w:rPr>
            </w:pPr>
            <w:r>
              <w:rPr>
                <w:rFonts w:hint="eastAsia" w:ascii="宋体" w:hAnsi="宋体" w:cs="宋体"/>
                <w:b/>
                <w:kern w:val="0"/>
                <w:sz w:val="18"/>
                <w:szCs w:val="18"/>
              </w:rPr>
              <w:t>参考标准</w:t>
            </w:r>
            <w:r>
              <w:rPr>
                <w:rFonts w:hint="eastAsia" w:ascii="宋体" w:hAnsi="宋体" w:cs="宋体"/>
                <w:bCs/>
                <w:kern w:val="0"/>
                <w:sz w:val="18"/>
                <w:szCs w:val="18"/>
                <w:vertAlign w:val="superscript"/>
              </w:rPr>
              <w:t>d</w:t>
            </w:r>
          </w:p>
        </w:tc>
        <w:tc>
          <w:tcPr>
            <w:tcW w:w="1654" w:type="dxa"/>
            <w:tcBorders>
              <w:bottom w:val="single" w:color="000000" w:sz="12" w:space="0"/>
            </w:tcBorders>
            <w:vAlign w:val="center"/>
          </w:tcPr>
          <w:p w14:paraId="39E83BCD">
            <w:pPr>
              <w:widowControl/>
              <w:tabs>
                <w:tab w:val="center" w:pos="4201"/>
                <w:tab w:val="right" w:leader="dot" w:pos="9298"/>
              </w:tabs>
              <w:autoSpaceDE w:val="0"/>
              <w:autoSpaceDN w:val="0"/>
              <w:jc w:val="center"/>
              <w:rPr>
                <w:rFonts w:ascii="宋体" w:hAnsi="宋体" w:cs="宋体"/>
                <w:b/>
                <w:kern w:val="0"/>
                <w:sz w:val="18"/>
                <w:szCs w:val="18"/>
              </w:rPr>
            </w:pPr>
            <w:r>
              <w:rPr>
                <w:rFonts w:hint="eastAsia" w:ascii="宋体" w:hAnsi="宋体" w:cs="宋体"/>
                <w:b/>
                <w:kern w:val="0"/>
                <w:sz w:val="18"/>
                <w:szCs w:val="18"/>
              </w:rPr>
              <w:t>标准参考值/要求</w:t>
            </w:r>
            <w:r>
              <w:rPr>
                <w:rFonts w:hint="eastAsia" w:ascii="宋体" w:hAnsi="宋体" w:cs="宋体"/>
                <w:bCs/>
                <w:kern w:val="0"/>
                <w:sz w:val="18"/>
                <w:szCs w:val="18"/>
                <w:vertAlign w:val="superscript"/>
              </w:rPr>
              <w:t>e</w:t>
            </w:r>
          </w:p>
        </w:tc>
        <w:tc>
          <w:tcPr>
            <w:tcW w:w="1290" w:type="dxa"/>
            <w:tcBorders>
              <w:bottom w:val="single" w:color="000000" w:sz="12" w:space="0"/>
            </w:tcBorders>
            <w:vAlign w:val="center"/>
          </w:tcPr>
          <w:p w14:paraId="1D4AFC85">
            <w:pPr>
              <w:widowControl/>
              <w:tabs>
                <w:tab w:val="center" w:pos="4201"/>
                <w:tab w:val="right" w:leader="dot" w:pos="9298"/>
              </w:tabs>
              <w:autoSpaceDE w:val="0"/>
              <w:autoSpaceDN w:val="0"/>
              <w:jc w:val="center"/>
              <w:rPr>
                <w:rFonts w:ascii="宋体" w:hAnsi="宋体" w:cs="宋体"/>
                <w:b/>
                <w:kern w:val="0"/>
                <w:sz w:val="18"/>
                <w:szCs w:val="18"/>
              </w:rPr>
            </w:pPr>
            <w:r>
              <w:rPr>
                <w:rFonts w:hint="eastAsia" w:ascii="宋体" w:hAnsi="宋体" w:cs="宋体"/>
                <w:b/>
                <w:kern w:val="0"/>
                <w:sz w:val="18"/>
                <w:szCs w:val="18"/>
              </w:rPr>
              <w:t>自评值/要求</w:t>
            </w:r>
            <w:r>
              <w:rPr>
                <w:rFonts w:hint="eastAsia" w:ascii="宋体" w:hAnsi="宋体" w:cs="宋体"/>
                <w:bCs/>
                <w:kern w:val="0"/>
                <w:sz w:val="18"/>
                <w:szCs w:val="18"/>
                <w:vertAlign w:val="superscript"/>
              </w:rPr>
              <w:t>f</w:t>
            </w:r>
          </w:p>
        </w:tc>
        <w:tc>
          <w:tcPr>
            <w:tcW w:w="1137" w:type="dxa"/>
            <w:tcBorders>
              <w:bottom w:val="single" w:color="000000" w:sz="12" w:space="0"/>
            </w:tcBorders>
            <w:vAlign w:val="center"/>
          </w:tcPr>
          <w:p w14:paraId="60C63402">
            <w:pPr>
              <w:widowControl/>
              <w:tabs>
                <w:tab w:val="center" w:pos="4201"/>
                <w:tab w:val="right" w:leader="dot" w:pos="9298"/>
              </w:tabs>
              <w:autoSpaceDE w:val="0"/>
              <w:autoSpaceDN w:val="0"/>
              <w:jc w:val="center"/>
              <w:rPr>
                <w:rFonts w:ascii="宋体" w:hAnsi="宋体" w:cs="宋体"/>
                <w:b/>
                <w:kern w:val="0"/>
                <w:sz w:val="18"/>
                <w:szCs w:val="18"/>
              </w:rPr>
            </w:pPr>
            <w:r>
              <w:rPr>
                <w:rFonts w:hint="eastAsia" w:ascii="宋体" w:hAnsi="宋体" w:cs="宋体"/>
                <w:b/>
                <w:kern w:val="0"/>
                <w:sz w:val="18"/>
                <w:szCs w:val="18"/>
              </w:rPr>
              <w:t>佐证材料</w:t>
            </w:r>
            <w:r>
              <w:rPr>
                <w:rFonts w:hint="eastAsia" w:ascii="宋体" w:hAnsi="宋体" w:cs="宋体"/>
                <w:bCs/>
                <w:kern w:val="0"/>
                <w:sz w:val="18"/>
                <w:szCs w:val="18"/>
                <w:vertAlign w:val="superscript"/>
              </w:rPr>
              <w:t>g</w:t>
            </w:r>
          </w:p>
        </w:tc>
      </w:tr>
      <w:tr w14:paraId="2E919F9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051" w:type="dxa"/>
            <w:tcBorders>
              <w:top w:val="single" w:color="000000" w:sz="12" w:space="0"/>
              <w:bottom w:val="single" w:color="000000" w:sz="12" w:space="0"/>
              <w:tl2br w:val="nil"/>
              <w:tr2bl w:val="nil"/>
            </w:tcBorders>
            <w:vAlign w:val="center"/>
          </w:tcPr>
          <w:p w14:paraId="0386B531">
            <w:pPr>
              <w:widowControl/>
              <w:tabs>
                <w:tab w:val="center" w:pos="4201"/>
                <w:tab w:val="right" w:leader="dot" w:pos="9298"/>
              </w:tabs>
              <w:autoSpaceDE w:val="0"/>
              <w:autoSpaceDN w:val="0"/>
              <w:jc w:val="center"/>
              <w:rPr>
                <w:rFonts w:ascii="宋体" w:hAnsi="宋体" w:cs="宋体"/>
                <w:kern w:val="0"/>
                <w:sz w:val="18"/>
                <w:szCs w:val="18"/>
              </w:rPr>
            </w:pPr>
          </w:p>
        </w:tc>
        <w:tc>
          <w:tcPr>
            <w:tcW w:w="998" w:type="dxa"/>
            <w:tcBorders>
              <w:top w:val="single" w:color="000000" w:sz="12" w:space="0"/>
              <w:bottom w:val="single" w:color="000000" w:sz="12" w:space="0"/>
              <w:tl2br w:val="nil"/>
              <w:tr2bl w:val="nil"/>
            </w:tcBorders>
            <w:vAlign w:val="center"/>
          </w:tcPr>
          <w:p w14:paraId="61E1B965">
            <w:pPr>
              <w:widowControl/>
              <w:tabs>
                <w:tab w:val="center" w:pos="4201"/>
                <w:tab w:val="right" w:leader="dot" w:pos="9298"/>
              </w:tabs>
              <w:autoSpaceDE w:val="0"/>
              <w:autoSpaceDN w:val="0"/>
              <w:jc w:val="center"/>
              <w:rPr>
                <w:rFonts w:ascii="宋体" w:hAnsi="宋体" w:cs="宋体"/>
                <w:kern w:val="0"/>
                <w:sz w:val="18"/>
                <w:szCs w:val="18"/>
              </w:rPr>
            </w:pPr>
          </w:p>
        </w:tc>
        <w:tc>
          <w:tcPr>
            <w:tcW w:w="1019" w:type="dxa"/>
            <w:tcBorders>
              <w:top w:val="single" w:color="000000" w:sz="12" w:space="0"/>
              <w:bottom w:val="single" w:color="000000" w:sz="12" w:space="0"/>
              <w:tl2br w:val="nil"/>
              <w:tr2bl w:val="nil"/>
            </w:tcBorders>
            <w:vAlign w:val="center"/>
          </w:tcPr>
          <w:p w14:paraId="2B92320E">
            <w:pPr>
              <w:widowControl/>
              <w:tabs>
                <w:tab w:val="center" w:pos="4201"/>
                <w:tab w:val="right" w:leader="dot" w:pos="9298"/>
              </w:tabs>
              <w:autoSpaceDE w:val="0"/>
              <w:autoSpaceDN w:val="0"/>
              <w:jc w:val="center"/>
              <w:rPr>
                <w:rFonts w:ascii="宋体" w:hAnsi="宋体" w:cs="宋体"/>
                <w:kern w:val="0"/>
                <w:sz w:val="18"/>
                <w:szCs w:val="18"/>
              </w:rPr>
            </w:pPr>
          </w:p>
        </w:tc>
        <w:tc>
          <w:tcPr>
            <w:tcW w:w="1380" w:type="dxa"/>
            <w:tcBorders>
              <w:top w:val="single" w:color="000000" w:sz="12" w:space="0"/>
              <w:bottom w:val="single" w:color="000000" w:sz="12" w:space="0"/>
              <w:tl2br w:val="nil"/>
              <w:tr2bl w:val="nil"/>
            </w:tcBorders>
            <w:vAlign w:val="center"/>
          </w:tcPr>
          <w:p w14:paraId="22971F2D">
            <w:pPr>
              <w:pStyle w:val="25"/>
              <w:ind w:firstLine="0" w:firstLineChars="0"/>
              <w:jc w:val="center"/>
              <w:rPr>
                <w:rFonts w:hAnsi="宋体" w:cs="宋体"/>
                <w:sz w:val="18"/>
                <w:szCs w:val="18"/>
              </w:rPr>
            </w:pPr>
          </w:p>
        </w:tc>
        <w:tc>
          <w:tcPr>
            <w:tcW w:w="1030" w:type="dxa"/>
            <w:tcBorders>
              <w:top w:val="single" w:color="000000" w:sz="12" w:space="0"/>
              <w:bottom w:val="single" w:color="000000" w:sz="12" w:space="0"/>
              <w:tl2br w:val="nil"/>
              <w:tr2bl w:val="nil"/>
            </w:tcBorders>
            <w:vAlign w:val="center"/>
          </w:tcPr>
          <w:p w14:paraId="1A93BDE4">
            <w:pPr>
              <w:widowControl/>
              <w:jc w:val="center"/>
              <w:textAlignment w:val="center"/>
              <w:rPr>
                <w:rFonts w:ascii="宋体" w:hAnsi="宋体" w:cs="宋体"/>
                <w:kern w:val="0"/>
                <w:sz w:val="18"/>
                <w:szCs w:val="18"/>
              </w:rPr>
            </w:pPr>
          </w:p>
        </w:tc>
        <w:tc>
          <w:tcPr>
            <w:tcW w:w="1654" w:type="dxa"/>
            <w:tcBorders>
              <w:top w:val="single" w:color="000000" w:sz="12" w:space="0"/>
              <w:bottom w:val="single" w:color="000000" w:sz="12" w:space="0"/>
              <w:tl2br w:val="nil"/>
              <w:tr2bl w:val="nil"/>
            </w:tcBorders>
            <w:vAlign w:val="center"/>
          </w:tcPr>
          <w:p w14:paraId="30E8A4AD">
            <w:pPr>
              <w:widowControl/>
              <w:tabs>
                <w:tab w:val="center" w:pos="4201"/>
                <w:tab w:val="right" w:leader="dot" w:pos="9298"/>
              </w:tabs>
              <w:autoSpaceDE w:val="0"/>
              <w:autoSpaceDN w:val="0"/>
              <w:jc w:val="center"/>
              <w:rPr>
                <w:rFonts w:ascii="宋体" w:hAnsi="宋体" w:cs="宋体"/>
                <w:kern w:val="0"/>
                <w:sz w:val="18"/>
                <w:szCs w:val="18"/>
              </w:rPr>
            </w:pPr>
          </w:p>
        </w:tc>
        <w:tc>
          <w:tcPr>
            <w:tcW w:w="1290" w:type="dxa"/>
            <w:tcBorders>
              <w:top w:val="single" w:color="000000" w:sz="12" w:space="0"/>
              <w:bottom w:val="single" w:color="000000" w:sz="12" w:space="0"/>
              <w:tl2br w:val="nil"/>
              <w:tr2bl w:val="nil"/>
            </w:tcBorders>
            <w:vAlign w:val="center"/>
          </w:tcPr>
          <w:p w14:paraId="68025A4F">
            <w:pPr>
              <w:widowControl/>
              <w:tabs>
                <w:tab w:val="center" w:pos="4201"/>
                <w:tab w:val="right" w:leader="dot" w:pos="9298"/>
              </w:tabs>
              <w:autoSpaceDE w:val="0"/>
              <w:autoSpaceDN w:val="0"/>
              <w:jc w:val="center"/>
              <w:rPr>
                <w:rFonts w:ascii="宋体" w:hAnsi="宋体" w:cs="宋体"/>
                <w:kern w:val="0"/>
                <w:sz w:val="18"/>
                <w:szCs w:val="18"/>
              </w:rPr>
            </w:pPr>
          </w:p>
        </w:tc>
        <w:tc>
          <w:tcPr>
            <w:tcW w:w="1137" w:type="dxa"/>
            <w:tcBorders>
              <w:top w:val="single" w:color="000000" w:sz="12" w:space="0"/>
              <w:bottom w:val="single" w:color="000000" w:sz="12" w:space="0"/>
              <w:tl2br w:val="nil"/>
              <w:tr2bl w:val="nil"/>
            </w:tcBorders>
            <w:vAlign w:val="center"/>
          </w:tcPr>
          <w:p w14:paraId="3D4F8442">
            <w:pPr>
              <w:widowControl/>
              <w:tabs>
                <w:tab w:val="center" w:pos="4201"/>
                <w:tab w:val="right" w:leader="dot" w:pos="9298"/>
              </w:tabs>
              <w:autoSpaceDE w:val="0"/>
              <w:autoSpaceDN w:val="0"/>
              <w:jc w:val="center"/>
              <w:rPr>
                <w:rFonts w:ascii="宋体" w:hAnsi="宋体" w:cs="宋体"/>
                <w:kern w:val="0"/>
                <w:sz w:val="18"/>
                <w:szCs w:val="18"/>
              </w:rPr>
            </w:pPr>
          </w:p>
        </w:tc>
      </w:tr>
      <w:tr w14:paraId="262ECFF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776" w:hRule="atLeast"/>
          <w:jc w:val="center"/>
        </w:trPr>
        <w:tc>
          <w:tcPr>
            <w:tcW w:w="9559" w:type="dxa"/>
            <w:gridSpan w:val="8"/>
            <w:tcBorders>
              <w:top w:val="single" w:color="000000" w:sz="12" w:space="0"/>
            </w:tcBorders>
            <w:vAlign w:val="center"/>
          </w:tcPr>
          <w:p w14:paraId="23A4F007">
            <w:pPr>
              <w:widowControl/>
              <w:tabs>
                <w:tab w:val="center" w:pos="4201"/>
                <w:tab w:val="right" w:leader="dot" w:pos="9298"/>
              </w:tabs>
              <w:autoSpaceDE w:val="0"/>
              <w:autoSpaceDN w:val="0"/>
              <w:ind w:firstLine="360" w:firstLineChars="200"/>
              <w:jc w:val="left"/>
              <w:rPr>
                <w:rFonts w:ascii="宋体" w:hAnsi="宋体" w:cs="宋体"/>
                <w:kern w:val="0"/>
                <w:sz w:val="18"/>
                <w:szCs w:val="18"/>
              </w:rPr>
            </w:pPr>
            <w:r>
              <w:rPr>
                <w:rFonts w:hint="eastAsia" w:ascii="宋体" w:hAnsi="宋体" w:cs="宋体"/>
                <w:kern w:val="0"/>
                <w:sz w:val="18"/>
                <w:szCs w:val="18"/>
                <w:vertAlign w:val="superscript"/>
              </w:rPr>
              <w:t>a</w:t>
            </w:r>
            <w:r>
              <w:rPr>
                <w:rFonts w:hint="eastAsia" w:ascii="宋体" w:hAnsi="宋体" w:cs="宋体"/>
                <w:kern w:val="0"/>
                <w:sz w:val="18"/>
                <w:szCs w:val="18"/>
              </w:rPr>
              <w:t xml:space="preserve">  所属行业根据绿色低碳产业指导目录中分类填写。</w:t>
            </w:r>
          </w:p>
          <w:p w14:paraId="0998F38B">
            <w:pPr>
              <w:widowControl/>
              <w:tabs>
                <w:tab w:val="center" w:pos="4201"/>
                <w:tab w:val="right" w:leader="dot" w:pos="9298"/>
              </w:tabs>
              <w:autoSpaceDE w:val="0"/>
              <w:autoSpaceDN w:val="0"/>
              <w:ind w:firstLine="360" w:firstLineChars="200"/>
              <w:jc w:val="left"/>
              <w:rPr>
                <w:rFonts w:ascii="宋体" w:hAnsi="宋体" w:cs="宋体"/>
                <w:kern w:val="0"/>
                <w:sz w:val="18"/>
                <w:szCs w:val="18"/>
              </w:rPr>
            </w:pPr>
            <w:r>
              <w:rPr>
                <w:rFonts w:hint="eastAsia" w:ascii="宋体" w:hAnsi="宋体" w:cs="宋体"/>
                <w:kern w:val="0"/>
                <w:sz w:val="18"/>
                <w:szCs w:val="18"/>
                <w:vertAlign w:val="superscript"/>
              </w:rPr>
              <w:t>b</w:t>
            </w:r>
            <w:r>
              <w:rPr>
                <w:rFonts w:hint="eastAsia" w:ascii="宋体" w:hAnsi="宋体" w:cs="宋体"/>
                <w:kern w:val="0"/>
                <w:sz w:val="18"/>
                <w:szCs w:val="18"/>
              </w:rPr>
              <w:t xml:space="preserve">  评价环节按生产制造、建设运营选择填写。</w:t>
            </w:r>
          </w:p>
          <w:p w14:paraId="4BC3DB69">
            <w:pPr>
              <w:widowControl/>
              <w:tabs>
                <w:tab w:val="center" w:pos="4201"/>
                <w:tab w:val="right" w:leader="dot" w:pos="9298"/>
              </w:tabs>
              <w:autoSpaceDE w:val="0"/>
              <w:autoSpaceDN w:val="0"/>
              <w:ind w:firstLine="360" w:firstLineChars="200"/>
              <w:jc w:val="left"/>
              <w:rPr>
                <w:rFonts w:ascii="宋体" w:hAnsi="宋体" w:cs="宋体"/>
                <w:kern w:val="0"/>
                <w:sz w:val="18"/>
                <w:szCs w:val="18"/>
              </w:rPr>
            </w:pPr>
            <w:r>
              <w:rPr>
                <w:rFonts w:hint="eastAsia" w:ascii="宋体" w:hAnsi="宋体" w:cs="宋体"/>
                <w:kern w:val="0"/>
                <w:sz w:val="18"/>
                <w:szCs w:val="18"/>
                <w:vertAlign w:val="superscript"/>
              </w:rPr>
              <w:t>c</w:t>
            </w:r>
            <w:r>
              <w:rPr>
                <w:rFonts w:hint="eastAsia" w:ascii="宋体" w:hAnsi="宋体" w:cs="宋体"/>
                <w:kern w:val="0"/>
                <w:sz w:val="18"/>
                <w:szCs w:val="18"/>
              </w:rPr>
              <w:t xml:space="preserve">  评价对象、核心评价指标均参照“关键技术先进性”中内容填写。</w:t>
            </w:r>
          </w:p>
          <w:p w14:paraId="33C522A9">
            <w:pPr>
              <w:widowControl/>
              <w:tabs>
                <w:tab w:val="center" w:pos="4201"/>
                <w:tab w:val="right" w:leader="dot" w:pos="9298"/>
              </w:tabs>
              <w:autoSpaceDE w:val="0"/>
              <w:autoSpaceDN w:val="0"/>
              <w:ind w:firstLine="360" w:firstLineChars="200"/>
              <w:jc w:val="left"/>
              <w:rPr>
                <w:rFonts w:ascii="宋体" w:hAnsi="宋体" w:cs="宋体"/>
                <w:kern w:val="0"/>
                <w:sz w:val="18"/>
                <w:szCs w:val="18"/>
              </w:rPr>
            </w:pPr>
            <w:r>
              <w:rPr>
                <w:rFonts w:hint="eastAsia" w:ascii="宋体" w:hAnsi="宋体" w:cs="宋体"/>
                <w:kern w:val="0"/>
                <w:sz w:val="18"/>
                <w:szCs w:val="18"/>
                <w:vertAlign w:val="superscript"/>
              </w:rPr>
              <w:t>d</w:t>
            </w:r>
            <w:r>
              <w:rPr>
                <w:rFonts w:hint="eastAsia" w:ascii="宋体" w:hAnsi="宋体" w:cs="宋体"/>
                <w:kern w:val="0"/>
                <w:sz w:val="18"/>
                <w:szCs w:val="18"/>
              </w:rPr>
              <w:t xml:space="preserve">  参照“关键技术先进性”中内容填写，给出核心评价指标参考的标准名称及标准号。</w:t>
            </w:r>
          </w:p>
          <w:p w14:paraId="2CCF8D3B">
            <w:pPr>
              <w:widowControl/>
              <w:tabs>
                <w:tab w:val="center" w:pos="4201"/>
                <w:tab w:val="right" w:leader="dot" w:pos="9298"/>
              </w:tabs>
              <w:autoSpaceDE w:val="0"/>
              <w:autoSpaceDN w:val="0"/>
              <w:ind w:firstLine="360" w:firstLineChars="200"/>
              <w:jc w:val="left"/>
              <w:rPr>
                <w:rFonts w:ascii="宋体" w:hAnsi="宋体" w:cs="宋体"/>
                <w:kern w:val="0"/>
                <w:sz w:val="18"/>
                <w:szCs w:val="18"/>
              </w:rPr>
            </w:pPr>
            <w:r>
              <w:rPr>
                <w:rFonts w:hint="eastAsia" w:ascii="宋体" w:hAnsi="宋体" w:cs="宋体"/>
                <w:kern w:val="0"/>
                <w:sz w:val="18"/>
                <w:szCs w:val="18"/>
                <w:vertAlign w:val="superscript"/>
              </w:rPr>
              <w:t>e</w:t>
            </w:r>
            <w:r>
              <w:rPr>
                <w:rFonts w:hint="eastAsia" w:ascii="宋体" w:hAnsi="宋体" w:cs="宋体"/>
                <w:kern w:val="0"/>
                <w:sz w:val="18"/>
                <w:szCs w:val="18"/>
              </w:rPr>
              <w:t xml:space="preserve">  给出参考标准中具体的参考值或要求。</w:t>
            </w:r>
          </w:p>
          <w:p w14:paraId="3169D020">
            <w:pPr>
              <w:widowControl/>
              <w:tabs>
                <w:tab w:val="center" w:pos="4201"/>
                <w:tab w:val="right" w:leader="dot" w:pos="9298"/>
              </w:tabs>
              <w:autoSpaceDE w:val="0"/>
              <w:autoSpaceDN w:val="0"/>
              <w:ind w:firstLine="360" w:firstLineChars="200"/>
              <w:jc w:val="left"/>
              <w:rPr>
                <w:rFonts w:ascii="宋体" w:hAnsi="宋体" w:cs="宋体"/>
                <w:kern w:val="0"/>
                <w:sz w:val="18"/>
                <w:szCs w:val="18"/>
              </w:rPr>
            </w:pPr>
            <w:r>
              <w:rPr>
                <w:rFonts w:hint="eastAsia" w:ascii="宋体" w:hAnsi="宋体" w:cs="宋体"/>
                <w:kern w:val="0"/>
                <w:sz w:val="18"/>
                <w:szCs w:val="18"/>
                <w:vertAlign w:val="superscript"/>
              </w:rPr>
              <w:t>f</w:t>
            </w:r>
            <w:r>
              <w:rPr>
                <w:rFonts w:hint="eastAsia" w:ascii="宋体" w:hAnsi="宋体" w:cs="宋体"/>
                <w:kern w:val="0"/>
                <w:sz w:val="18"/>
                <w:szCs w:val="18"/>
              </w:rPr>
              <w:t xml:space="preserve">  对照标准参考值或要求，给出申报单位自评值或响应要求的情况。</w:t>
            </w:r>
          </w:p>
          <w:p w14:paraId="43621E3D">
            <w:pPr>
              <w:widowControl/>
              <w:tabs>
                <w:tab w:val="center" w:pos="4201"/>
                <w:tab w:val="right" w:leader="dot" w:pos="9298"/>
              </w:tabs>
              <w:autoSpaceDE w:val="0"/>
              <w:autoSpaceDN w:val="0"/>
              <w:ind w:firstLine="360" w:firstLineChars="200"/>
              <w:jc w:val="left"/>
            </w:pPr>
            <w:r>
              <w:rPr>
                <w:rFonts w:hint="eastAsia" w:ascii="宋体" w:hAnsi="宋体" w:cs="宋体"/>
                <w:kern w:val="0"/>
                <w:sz w:val="18"/>
                <w:szCs w:val="18"/>
                <w:vertAlign w:val="superscript"/>
              </w:rPr>
              <w:t>g</w:t>
            </w:r>
            <w:r>
              <w:rPr>
                <w:rFonts w:hint="eastAsia" w:ascii="宋体" w:hAnsi="宋体" w:cs="宋体"/>
                <w:kern w:val="0"/>
                <w:sz w:val="18"/>
                <w:szCs w:val="18"/>
              </w:rPr>
              <w:t xml:space="preserve">  给出材料对应的具体页码，例如，见第4页。</w:t>
            </w:r>
          </w:p>
        </w:tc>
      </w:tr>
    </w:tbl>
    <w:p w14:paraId="6CEE2833">
      <w:pPr>
        <w:pStyle w:val="90"/>
        <w:numPr>
          <w:ilvl w:val="1"/>
          <w:numId w:val="0"/>
        </w:numPr>
        <w:spacing w:before="156" w:after="156"/>
        <w:jc w:val="both"/>
        <w:rPr>
          <w:rFonts w:hAnsi="黑体" w:cs="黑体"/>
        </w:rPr>
      </w:pPr>
      <w:r>
        <w:rPr>
          <w:rFonts w:hint="eastAsia" w:hAnsi="黑体" w:cs="黑体"/>
        </w:rPr>
        <w:t>C.7  附录</w:t>
      </w:r>
    </w:p>
    <w:p w14:paraId="07892012">
      <w:pPr>
        <w:pStyle w:val="25"/>
        <w:rPr>
          <w:szCs w:val="24"/>
        </w:rPr>
      </w:pPr>
      <w:r>
        <w:rPr>
          <w:rFonts w:hint="eastAsia"/>
          <w:szCs w:val="24"/>
        </w:rPr>
        <w:t>列明上述章节所述情况及评分表涉及的佐证材料。</w:t>
      </w:r>
    </w:p>
    <w:p w14:paraId="32A0099D">
      <w:r>
        <w:rPr>
          <w:rFonts w:hint="eastAsia"/>
        </w:rPr>
        <w:br w:type="page"/>
      </w:r>
    </w:p>
    <w:p w14:paraId="409D92EB">
      <w:pPr>
        <w:pStyle w:val="87"/>
        <w:rPr>
          <w:rFonts w:ascii="Times New Roman" w:eastAsia="Times New Roman"/>
        </w:rPr>
      </w:pPr>
      <w:bookmarkStart w:id="207" w:name="_Toc19849"/>
      <w:bookmarkStart w:id="208" w:name="_Toc8101"/>
      <w:bookmarkStart w:id="209" w:name="_Toc25108"/>
      <w:bookmarkStart w:id="210" w:name="_Toc22428"/>
      <w:r>
        <w:rPr>
          <w:rFonts w:hint="eastAsia" w:ascii="Times New Roman" w:eastAsia="Times New Roman"/>
        </w:rPr>
        <w:br w:type="textWrapping"/>
      </w:r>
      <w:bookmarkStart w:id="211" w:name="_Toc195040402"/>
      <w:r>
        <w:rPr>
          <w:rFonts w:hint="eastAsia" w:ascii="Times New Roman"/>
        </w:rPr>
        <w:t>（资料性）</w:t>
      </w:r>
      <w:r>
        <w:rPr>
          <w:rFonts w:hint="eastAsia" w:ascii="Times New Roman" w:eastAsia="Times New Roman"/>
        </w:rPr>
        <w:br w:type="textWrapping"/>
      </w:r>
      <w:r>
        <w:rPr>
          <w:rFonts w:hint="eastAsia" w:ascii="Times New Roman"/>
        </w:rPr>
        <w:t>智能电网建设运营领域绿色低碳产业项目认定评价报告模板</w:t>
      </w:r>
      <w:bookmarkEnd w:id="207"/>
      <w:bookmarkEnd w:id="208"/>
      <w:bookmarkEnd w:id="209"/>
      <w:bookmarkEnd w:id="210"/>
      <w:bookmarkEnd w:id="211"/>
    </w:p>
    <w:p w14:paraId="781A14C3">
      <w:pPr>
        <w:numPr>
          <w:ilvl w:val="1"/>
          <w:numId w:val="0"/>
        </w:numPr>
        <w:spacing w:before="156" w:beforeLines="50" w:after="156" w:afterLines="50"/>
        <w:rPr>
          <w:szCs w:val="21"/>
        </w:rPr>
      </w:pPr>
      <w:r>
        <w:rPr>
          <w:rFonts w:hint="eastAsia" w:ascii="黑体" w:hAnsi="黑体" w:eastAsia="黑体" w:cs="黑体"/>
          <w:szCs w:val="21"/>
        </w:rPr>
        <w:t>D.1  封面</w:t>
      </w:r>
    </w:p>
    <w:p w14:paraId="1B9B836A">
      <w:pPr>
        <w:pStyle w:val="25"/>
        <w:rPr>
          <w:rFonts w:ascii="Times New Roman"/>
          <w:szCs w:val="24"/>
        </w:rPr>
      </w:pPr>
      <w:r>
        <w:rPr>
          <w:rFonts w:hint="eastAsia" w:ascii="Times New Roman"/>
        </w:rPr>
        <w:t>智能电网建设运营</w:t>
      </w:r>
      <w:r>
        <w:rPr>
          <w:rFonts w:hint="eastAsia" w:ascii="Times New Roman"/>
          <w:szCs w:val="24"/>
        </w:rPr>
        <w:t>绿色低碳产业项目认定评价报告</w:t>
      </w:r>
      <w:r>
        <w:rPr>
          <w:rFonts w:hint="eastAsia" w:hAnsi="宋体" w:cs="宋体"/>
          <w:szCs w:val="24"/>
        </w:rPr>
        <w:t>封面要求见表D.1</w:t>
      </w:r>
      <w:r>
        <w:rPr>
          <w:rFonts w:hint="eastAsia" w:ascii="Times New Roman"/>
          <w:szCs w:val="24"/>
        </w:rPr>
        <w:t>。</w:t>
      </w:r>
    </w:p>
    <w:p w14:paraId="380D35AD">
      <w:pPr>
        <w:numPr>
          <w:ilvl w:val="1"/>
          <w:numId w:val="0"/>
        </w:numPr>
        <w:spacing w:before="156" w:beforeLines="50" w:after="156" w:afterLines="50"/>
        <w:jc w:val="center"/>
        <w:rPr>
          <w:rFonts w:ascii="黑体" w:hAnsi="黑体" w:eastAsia="黑体"/>
          <w:szCs w:val="21"/>
        </w:rPr>
      </w:pPr>
      <w:r>
        <w:rPr>
          <w:rFonts w:hint="eastAsia" w:ascii="黑体" w:hAnsi="黑体" w:eastAsia="黑体"/>
          <w:szCs w:val="21"/>
        </w:rPr>
        <w:t>表D.1  智能电网建设运营领域绿色低碳产业项目认定评价报告封面</w:t>
      </w:r>
    </w:p>
    <w:p w14:paraId="6DD10237">
      <w:pPr>
        <w:pStyle w:val="25"/>
        <w:ind w:firstLine="0" w:firstLineChars="0"/>
        <w:jc w:val="center"/>
        <w:rPr>
          <w:rFonts w:hAnsi="黑体"/>
        </w:rPr>
      </w:pPr>
      <w:r>
        <w:rPr>
          <w:rFonts w:ascii="Times New Roman"/>
          <w:szCs w:val="24"/>
        </w:rPr>
        <mc:AlternateContent>
          <mc:Choice Requires="wps">
            <w:drawing>
              <wp:inline distT="45720" distB="45720" distL="114300" distR="114300">
                <wp:extent cx="4999990" cy="3554095"/>
                <wp:effectExtent l="9525" t="9525" r="19685" b="17780"/>
                <wp:docPr id="16" name="文本框 16"/>
                <wp:cNvGraphicFramePr/>
                <a:graphic xmlns:a="http://schemas.openxmlformats.org/drawingml/2006/main">
                  <a:graphicData uri="http://schemas.microsoft.com/office/word/2010/wordprocessingShape">
                    <wps:wsp>
                      <wps:cNvSpPr txBox="1"/>
                      <wps:spPr>
                        <a:xfrm>
                          <a:off x="0" y="0"/>
                          <a:ext cx="4999990" cy="3554095"/>
                        </a:xfrm>
                        <a:prstGeom prst="rect">
                          <a:avLst/>
                        </a:prstGeom>
                        <a:noFill/>
                        <a:ln w="19050" cap="flat" cmpd="sng">
                          <a:solidFill>
                            <a:srgbClr val="000000"/>
                          </a:solidFill>
                          <a:prstDash val="solid"/>
                          <a:miter/>
                          <a:headEnd type="none" w="med" len="med"/>
                          <a:tailEnd type="none" w="med" len="med"/>
                        </a:ln>
                      </wps:spPr>
                      <wps:txbx>
                        <w:txbxContent>
                          <w:p w14:paraId="22A18DC7">
                            <w:pPr>
                              <w:pStyle w:val="25"/>
                              <w:spacing w:line="360" w:lineRule="auto"/>
                              <w:ind w:firstLine="422"/>
                              <w:jc w:val="center"/>
                              <w:rPr>
                                <w:b/>
                                <w:szCs w:val="24"/>
                              </w:rPr>
                            </w:pPr>
                          </w:p>
                          <w:p w14:paraId="2AC8C703">
                            <w:pPr>
                              <w:pStyle w:val="25"/>
                              <w:spacing w:line="360" w:lineRule="auto"/>
                              <w:ind w:firstLine="0" w:firstLineChars="0"/>
                              <w:jc w:val="center"/>
                              <w:rPr>
                                <w:b/>
                                <w:szCs w:val="24"/>
                              </w:rPr>
                            </w:pPr>
                          </w:p>
                          <w:p w14:paraId="73878F02">
                            <w:pPr>
                              <w:pStyle w:val="25"/>
                              <w:spacing w:line="360" w:lineRule="auto"/>
                              <w:ind w:firstLine="0" w:firstLineChars="0"/>
                              <w:jc w:val="center"/>
                              <w:rPr>
                                <w:b/>
                                <w:szCs w:val="24"/>
                              </w:rPr>
                            </w:pPr>
                            <w:r>
                              <w:rPr>
                                <w:rFonts w:hint="eastAsia"/>
                                <w:b/>
                                <w:szCs w:val="24"/>
                              </w:rPr>
                              <w:t>XXX公司</w:t>
                            </w:r>
                          </w:p>
                          <w:p w14:paraId="32864686">
                            <w:pPr>
                              <w:pStyle w:val="25"/>
                              <w:adjustRightInd w:val="0"/>
                              <w:spacing w:line="360" w:lineRule="auto"/>
                              <w:ind w:firstLine="0" w:firstLineChars="0"/>
                              <w:jc w:val="center"/>
                              <w:rPr>
                                <w:b/>
                                <w:szCs w:val="24"/>
                              </w:rPr>
                            </w:pPr>
                            <w:r>
                              <w:rPr>
                                <w:rFonts w:hint="eastAsia"/>
                                <w:b/>
                                <w:szCs w:val="24"/>
                              </w:rPr>
                              <w:t>智能电网建设运营领域绿色低碳产业项目认定评价报告</w:t>
                            </w:r>
                          </w:p>
                          <w:p w14:paraId="644C53D3">
                            <w:pPr>
                              <w:pStyle w:val="25"/>
                              <w:adjustRightInd w:val="0"/>
                              <w:spacing w:line="360" w:lineRule="auto"/>
                              <w:ind w:firstLine="0" w:firstLineChars="0"/>
                              <w:jc w:val="center"/>
                              <w:rPr>
                                <w:b/>
                                <w:szCs w:val="24"/>
                              </w:rPr>
                            </w:pPr>
                          </w:p>
                          <w:p w14:paraId="5F38BAFD">
                            <w:pPr>
                              <w:pStyle w:val="25"/>
                              <w:adjustRightInd w:val="0"/>
                              <w:spacing w:line="360" w:lineRule="auto"/>
                              <w:ind w:firstLine="0" w:firstLineChars="0"/>
                              <w:jc w:val="left"/>
                              <w:rPr>
                                <w:b/>
                                <w:szCs w:val="24"/>
                              </w:rPr>
                            </w:pPr>
                          </w:p>
                          <w:p w14:paraId="1E6A66FC">
                            <w:pPr>
                              <w:pStyle w:val="25"/>
                              <w:adjustRightInd w:val="0"/>
                              <w:spacing w:line="360" w:lineRule="auto"/>
                              <w:ind w:firstLine="1687" w:firstLineChars="800"/>
                              <w:jc w:val="left"/>
                              <w:rPr>
                                <w:b/>
                                <w:szCs w:val="24"/>
                              </w:rPr>
                            </w:pPr>
                            <w:r>
                              <w:rPr>
                                <w:rFonts w:hint="eastAsia"/>
                                <w:b/>
                                <w:szCs w:val="24"/>
                              </w:rPr>
                              <w:t>申报单位：</w:t>
                            </w:r>
                            <w:r>
                              <w:rPr>
                                <w:rFonts w:hint="eastAsia"/>
                                <w:b/>
                                <w:szCs w:val="24"/>
                                <w:u w:val="single"/>
                              </w:rPr>
                              <w:t xml:space="preserve">               （盖章）  </w:t>
                            </w:r>
                            <w:r>
                              <w:rPr>
                                <w:rFonts w:hint="eastAsia"/>
                                <w:b/>
                                <w:szCs w:val="24"/>
                              </w:rPr>
                              <w:t xml:space="preserve">         </w:t>
                            </w:r>
                          </w:p>
                          <w:p w14:paraId="72FD9AAD">
                            <w:pPr>
                              <w:pStyle w:val="25"/>
                              <w:adjustRightInd w:val="0"/>
                              <w:spacing w:line="360" w:lineRule="auto"/>
                              <w:ind w:firstLine="1687" w:firstLineChars="800"/>
                              <w:jc w:val="left"/>
                              <w:rPr>
                                <w:b/>
                                <w:szCs w:val="24"/>
                                <w:u w:val="single"/>
                              </w:rPr>
                            </w:pPr>
                            <w:r>
                              <w:rPr>
                                <w:rFonts w:hint="eastAsia"/>
                                <w:b/>
                                <w:szCs w:val="24"/>
                              </w:rPr>
                              <w:t>编写人：</w:t>
                            </w:r>
                            <w:r>
                              <w:rPr>
                                <w:rFonts w:hint="eastAsia"/>
                                <w:b/>
                                <w:szCs w:val="24"/>
                                <w:u w:val="single"/>
                              </w:rPr>
                              <w:t xml:space="preserve">                           </w:t>
                            </w:r>
                          </w:p>
                          <w:p w14:paraId="0623C37B">
                            <w:pPr>
                              <w:pStyle w:val="25"/>
                              <w:adjustRightInd w:val="0"/>
                              <w:spacing w:line="360" w:lineRule="auto"/>
                              <w:ind w:firstLine="1687" w:firstLineChars="800"/>
                              <w:jc w:val="left"/>
                              <w:rPr>
                                <w:b/>
                                <w:szCs w:val="24"/>
                                <w:u w:val="single"/>
                              </w:rPr>
                            </w:pPr>
                            <w:r>
                              <w:rPr>
                                <w:rFonts w:hint="eastAsia"/>
                                <w:b/>
                                <w:szCs w:val="24"/>
                              </w:rPr>
                              <w:t>责任人：</w:t>
                            </w:r>
                            <w:r>
                              <w:rPr>
                                <w:rFonts w:hint="eastAsia"/>
                                <w:b/>
                                <w:szCs w:val="24"/>
                                <w:u w:val="single"/>
                              </w:rPr>
                              <w:t xml:space="preserve">                           </w:t>
                            </w:r>
                          </w:p>
                          <w:p w14:paraId="250EF710">
                            <w:pPr>
                              <w:pStyle w:val="25"/>
                              <w:adjustRightInd w:val="0"/>
                              <w:spacing w:line="360" w:lineRule="auto"/>
                              <w:ind w:firstLine="1687" w:firstLineChars="800"/>
                              <w:jc w:val="left"/>
                              <w:rPr>
                                <w:szCs w:val="24"/>
                              </w:rPr>
                            </w:pPr>
                            <w:r>
                              <w:rPr>
                                <w:rFonts w:hint="eastAsia"/>
                                <w:b/>
                                <w:szCs w:val="24"/>
                              </w:rPr>
                              <w:t>报告日期：</w:t>
                            </w:r>
                            <w:r>
                              <w:rPr>
                                <w:rFonts w:hint="eastAsia"/>
                                <w:b/>
                                <w:szCs w:val="24"/>
                                <w:u w:val="single"/>
                              </w:rPr>
                              <w:t xml:space="preserve">         </w:t>
                            </w:r>
                            <w:r>
                              <w:rPr>
                                <w:rFonts w:hint="eastAsia"/>
                                <w:szCs w:val="24"/>
                                <w:u w:val="single"/>
                              </w:rPr>
                              <w:t xml:space="preserve">                </w:t>
                            </w:r>
                            <w:r>
                              <w:rPr>
                                <w:rFonts w:hint="eastAsia"/>
                                <w:szCs w:val="24"/>
                              </w:rPr>
                              <w:t xml:space="preserve">           </w:t>
                            </w:r>
                          </w:p>
                        </w:txbxContent>
                      </wps:txbx>
                      <wps:bodyPr vert="horz" wrap="square" anchor="t" anchorCtr="0" upright="1"/>
                    </wps:wsp>
                  </a:graphicData>
                </a:graphic>
              </wp:inline>
            </w:drawing>
          </mc:Choice>
          <mc:Fallback>
            <w:pict>
              <v:shape id="_x0000_s1026" o:spid="_x0000_s1026" o:spt="202" type="#_x0000_t202" style="height:279.85pt;width:393.7pt;" filled="f" stroked="t" coordsize="21600,21600" o:gfxdata="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BaA93L&#10;1wAAAAUBAAAPAAAAAAAAAAEAIAAAACIAAABkcnMvZG93bnJldi54bWxQSwECFAAUAAAACACHTuJA&#10;4eTnviICAABEBAAADgAAAAAAAAABACAAAAAmAQAAZHJzL2Uyb0RvYy54bWxQSwUGAAAAAAYABgBZ&#10;AQAAugUAAAAA&#10;">
                <v:fill on="f" focussize="0,0"/>
                <v:stroke weight="1.5pt" color="#000000" joinstyle="miter"/>
                <v:imagedata o:title=""/>
                <o:lock v:ext="edit" aspectratio="f"/>
                <v:textbox>
                  <w:txbxContent>
                    <w:p w14:paraId="22A18DC7">
                      <w:pPr>
                        <w:pStyle w:val="25"/>
                        <w:spacing w:line="360" w:lineRule="auto"/>
                        <w:ind w:firstLine="422"/>
                        <w:jc w:val="center"/>
                        <w:rPr>
                          <w:b/>
                          <w:szCs w:val="24"/>
                        </w:rPr>
                      </w:pPr>
                    </w:p>
                    <w:p w14:paraId="2AC8C703">
                      <w:pPr>
                        <w:pStyle w:val="25"/>
                        <w:spacing w:line="360" w:lineRule="auto"/>
                        <w:ind w:firstLine="0" w:firstLineChars="0"/>
                        <w:jc w:val="center"/>
                        <w:rPr>
                          <w:b/>
                          <w:szCs w:val="24"/>
                        </w:rPr>
                      </w:pPr>
                    </w:p>
                    <w:p w14:paraId="73878F02">
                      <w:pPr>
                        <w:pStyle w:val="25"/>
                        <w:spacing w:line="360" w:lineRule="auto"/>
                        <w:ind w:firstLine="0" w:firstLineChars="0"/>
                        <w:jc w:val="center"/>
                        <w:rPr>
                          <w:b/>
                          <w:szCs w:val="24"/>
                        </w:rPr>
                      </w:pPr>
                      <w:r>
                        <w:rPr>
                          <w:rFonts w:hint="eastAsia"/>
                          <w:b/>
                          <w:szCs w:val="24"/>
                        </w:rPr>
                        <w:t>XXX公司</w:t>
                      </w:r>
                    </w:p>
                    <w:p w14:paraId="32864686">
                      <w:pPr>
                        <w:pStyle w:val="25"/>
                        <w:adjustRightInd w:val="0"/>
                        <w:spacing w:line="360" w:lineRule="auto"/>
                        <w:ind w:firstLine="0" w:firstLineChars="0"/>
                        <w:jc w:val="center"/>
                        <w:rPr>
                          <w:b/>
                          <w:szCs w:val="24"/>
                        </w:rPr>
                      </w:pPr>
                      <w:r>
                        <w:rPr>
                          <w:rFonts w:hint="eastAsia"/>
                          <w:b/>
                          <w:szCs w:val="24"/>
                        </w:rPr>
                        <w:t>智能电网建设运营领域绿色低碳产业项目认定评价报告</w:t>
                      </w:r>
                    </w:p>
                    <w:p w14:paraId="644C53D3">
                      <w:pPr>
                        <w:pStyle w:val="25"/>
                        <w:adjustRightInd w:val="0"/>
                        <w:spacing w:line="360" w:lineRule="auto"/>
                        <w:ind w:firstLine="0" w:firstLineChars="0"/>
                        <w:jc w:val="center"/>
                        <w:rPr>
                          <w:b/>
                          <w:szCs w:val="24"/>
                        </w:rPr>
                      </w:pPr>
                    </w:p>
                    <w:p w14:paraId="5F38BAFD">
                      <w:pPr>
                        <w:pStyle w:val="25"/>
                        <w:adjustRightInd w:val="0"/>
                        <w:spacing w:line="360" w:lineRule="auto"/>
                        <w:ind w:firstLine="0" w:firstLineChars="0"/>
                        <w:jc w:val="left"/>
                        <w:rPr>
                          <w:b/>
                          <w:szCs w:val="24"/>
                        </w:rPr>
                      </w:pPr>
                    </w:p>
                    <w:p w14:paraId="1E6A66FC">
                      <w:pPr>
                        <w:pStyle w:val="25"/>
                        <w:adjustRightInd w:val="0"/>
                        <w:spacing w:line="360" w:lineRule="auto"/>
                        <w:ind w:firstLine="1687" w:firstLineChars="800"/>
                        <w:jc w:val="left"/>
                        <w:rPr>
                          <w:b/>
                          <w:szCs w:val="24"/>
                        </w:rPr>
                      </w:pPr>
                      <w:r>
                        <w:rPr>
                          <w:rFonts w:hint="eastAsia"/>
                          <w:b/>
                          <w:szCs w:val="24"/>
                        </w:rPr>
                        <w:t>申报单位：</w:t>
                      </w:r>
                      <w:r>
                        <w:rPr>
                          <w:rFonts w:hint="eastAsia"/>
                          <w:b/>
                          <w:szCs w:val="24"/>
                          <w:u w:val="single"/>
                        </w:rPr>
                        <w:t xml:space="preserve">               （盖章）  </w:t>
                      </w:r>
                      <w:r>
                        <w:rPr>
                          <w:rFonts w:hint="eastAsia"/>
                          <w:b/>
                          <w:szCs w:val="24"/>
                        </w:rPr>
                        <w:t xml:space="preserve">         </w:t>
                      </w:r>
                    </w:p>
                    <w:p w14:paraId="72FD9AAD">
                      <w:pPr>
                        <w:pStyle w:val="25"/>
                        <w:adjustRightInd w:val="0"/>
                        <w:spacing w:line="360" w:lineRule="auto"/>
                        <w:ind w:firstLine="1687" w:firstLineChars="800"/>
                        <w:jc w:val="left"/>
                        <w:rPr>
                          <w:b/>
                          <w:szCs w:val="24"/>
                          <w:u w:val="single"/>
                        </w:rPr>
                      </w:pPr>
                      <w:r>
                        <w:rPr>
                          <w:rFonts w:hint="eastAsia"/>
                          <w:b/>
                          <w:szCs w:val="24"/>
                        </w:rPr>
                        <w:t>编写人：</w:t>
                      </w:r>
                      <w:r>
                        <w:rPr>
                          <w:rFonts w:hint="eastAsia"/>
                          <w:b/>
                          <w:szCs w:val="24"/>
                          <w:u w:val="single"/>
                        </w:rPr>
                        <w:t xml:space="preserve">                           </w:t>
                      </w:r>
                    </w:p>
                    <w:p w14:paraId="0623C37B">
                      <w:pPr>
                        <w:pStyle w:val="25"/>
                        <w:adjustRightInd w:val="0"/>
                        <w:spacing w:line="360" w:lineRule="auto"/>
                        <w:ind w:firstLine="1687" w:firstLineChars="800"/>
                        <w:jc w:val="left"/>
                        <w:rPr>
                          <w:b/>
                          <w:szCs w:val="24"/>
                          <w:u w:val="single"/>
                        </w:rPr>
                      </w:pPr>
                      <w:r>
                        <w:rPr>
                          <w:rFonts w:hint="eastAsia"/>
                          <w:b/>
                          <w:szCs w:val="24"/>
                        </w:rPr>
                        <w:t>责任人：</w:t>
                      </w:r>
                      <w:r>
                        <w:rPr>
                          <w:rFonts w:hint="eastAsia"/>
                          <w:b/>
                          <w:szCs w:val="24"/>
                          <w:u w:val="single"/>
                        </w:rPr>
                        <w:t xml:space="preserve">                           </w:t>
                      </w:r>
                    </w:p>
                    <w:p w14:paraId="250EF710">
                      <w:pPr>
                        <w:pStyle w:val="25"/>
                        <w:adjustRightInd w:val="0"/>
                        <w:spacing w:line="360" w:lineRule="auto"/>
                        <w:ind w:firstLine="1687" w:firstLineChars="800"/>
                        <w:jc w:val="left"/>
                        <w:rPr>
                          <w:szCs w:val="24"/>
                        </w:rPr>
                      </w:pPr>
                      <w:r>
                        <w:rPr>
                          <w:rFonts w:hint="eastAsia"/>
                          <w:b/>
                          <w:szCs w:val="24"/>
                        </w:rPr>
                        <w:t>报告日期：</w:t>
                      </w:r>
                      <w:r>
                        <w:rPr>
                          <w:rFonts w:hint="eastAsia"/>
                          <w:b/>
                          <w:szCs w:val="24"/>
                          <w:u w:val="single"/>
                        </w:rPr>
                        <w:t xml:space="preserve">         </w:t>
                      </w:r>
                      <w:r>
                        <w:rPr>
                          <w:rFonts w:hint="eastAsia"/>
                          <w:szCs w:val="24"/>
                          <w:u w:val="single"/>
                        </w:rPr>
                        <w:t xml:space="preserve">                </w:t>
                      </w:r>
                      <w:r>
                        <w:rPr>
                          <w:rFonts w:hint="eastAsia"/>
                          <w:szCs w:val="24"/>
                        </w:rPr>
                        <w:t xml:space="preserve">           </w:t>
                      </w:r>
                    </w:p>
                  </w:txbxContent>
                </v:textbox>
                <w10:wrap type="none"/>
                <w10:anchorlock/>
              </v:shape>
            </w:pict>
          </mc:Fallback>
        </mc:AlternateContent>
      </w:r>
    </w:p>
    <w:p w14:paraId="064EE60E">
      <w:pPr>
        <w:numPr>
          <w:ilvl w:val="1"/>
          <w:numId w:val="0"/>
        </w:numPr>
        <w:spacing w:before="156" w:beforeLines="50" w:after="156" w:afterLines="50"/>
        <w:rPr>
          <w:szCs w:val="21"/>
        </w:rPr>
      </w:pPr>
      <w:r>
        <w:rPr>
          <w:rFonts w:hint="eastAsia" w:ascii="黑体" w:hAnsi="黑体" w:eastAsia="黑体" w:cs="黑体"/>
          <w:szCs w:val="21"/>
        </w:rPr>
        <w:t>D.2  基本信息</w:t>
      </w:r>
    </w:p>
    <w:p w14:paraId="1BDC541F">
      <w:pPr>
        <w:pStyle w:val="25"/>
        <w:rPr>
          <w:rFonts w:ascii="Times New Roman" w:eastAsia="Times New Roman"/>
          <w:szCs w:val="24"/>
        </w:rPr>
      </w:pPr>
      <w:r>
        <w:rPr>
          <w:rFonts w:hint="eastAsia" w:ascii="Times New Roman"/>
          <w:szCs w:val="24"/>
        </w:rPr>
        <w:t>项目基本信息的填报要求见</w:t>
      </w:r>
      <w:r>
        <w:rPr>
          <w:rFonts w:hint="eastAsia" w:hAnsi="宋体" w:cs="宋体"/>
          <w:szCs w:val="24"/>
        </w:rPr>
        <w:t>表D.2</w:t>
      </w:r>
      <w:r>
        <w:rPr>
          <w:rFonts w:hint="eastAsia" w:ascii="Times New Roman"/>
          <w:szCs w:val="24"/>
        </w:rPr>
        <w:t>。</w:t>
      </w:r>
    </w:p>
    <w:p w14:paraId="6E93E31B">
      <w:pPr>
        <w:numPr>
          <w:ilvl w:val="1"/>
          <w:numId w:val="0"/>
        </w:numPr>
        <w:spacing w:before="156" w:beforeLines="50" w:after="156" w:afterLines="50"/>
        <w:jc w:val="center"/>
        <w:rPr>
          <w:rFonts w:ascii="黑体" w:hAnsi="黑体" w:eastAsia="黑体" w:cs="黑体"/>
          <w:szCs w:val="21"/>
        </w:rPr>
      </w:pPr>
      <w:r>
        <w:rPr>
          <w:rFonts w:hint="eastAsia" w:ascii="黑体" w:hAnsi="黑体" w:eastAsia="黑体" w:cs="黑体"/>
          <w:szCs w:val="21"/>
        </w:rPr>
        <w:t>表D.2  基本信息</w:t>
      </w:r>
    </w:p>
    <w:tbl>
      <w:tblPr>
        <w:tblStyle w:val="35"/>
        <w:tblW w:w="9559"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1950"/>
        <w:gridCol w:w="3841"/>
        <w:gridCol w:w="1543"/>
        <w:gridCol w:w="2225"/>
      </w:tblGrid>
      <w:tr w14:paraId="67A4B46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624" w:hRule="atLeast"/>
          <w:jc w:val="center"/>
        </w:trPr>
        <w:tc>
          <w:tcPr>
            <w:tcW w:w="1950" w:type="dxa"/>
            <w:tcBorders>
              <w:tl2br w:val="nil"/>
              <w:tr2bl w:val="nil"/>
            </w:tcBorders>
            <w:vAlign w:val="center"/>
          </w:tcPr>
          <w:p w14:paraId="3A7C6557">
            <w:pPr>
              <w:widowControl/>
              <w:jc w:val="center"/>
              <w:rPr>
                <w:color w:val="000000"/>
                <w:kern w:val="0"/>
                <w:sz w:val="18"/>
                <w:szCs w:val="18"/>
              </w:rPr>
            </w:pPr>
            <w:r>
              <w:rPr>
                <w:rFonts w:hint="eastAsia"/>
                <w:color w:val="000000"/>
                <w:kern w:val="0"/>
                <w:sz w:val="18"/>
                <w:szCs w:val="18"/>
              </w:rPr>
              <w:t>企事业单位名称</w:t>
            </w:r>
          </w:p>
        </w:tc>
        <w:tc>
          <w:tcPr>
            <w:tcW w:w="7609" w:type="dxa"/>
            <w:gridSpan w:val="3"/>
            <w:tcBorders>
              <w:tl2br w:val="nil"/>
              <w:tr2bl w:val="nil"/>
            </w:tcBorders>
            <w:vAlign w:val="center"/>
          </w:tcPr>
          <w:p w14:paraId="51488F0D">
            <w:pPr>
              <w:widowControl/>
              <w:rPr>
                <w:color w:val="000000"/>
                <w:kern w:val="0"/>
                <w:sz w:val="18"/>
                <w:szCs w:val="18"/>
              </w:rPr>
            </w:pPr>
          </w:p>
        </w:tc>
      </w:tr>
      <w:tr w14:paraId="4A52CB3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624" w:hRule="atLeast"/>
          <w:jc w:val="center"/>
        </w:trPr>
        <w:tc>
          <w:tcPr>
            <w:tcW w:w="1950" w:type="dxa"/>
            <w:tcBorders>
              <w:tl2br w:val="nil"/>
              <w:tr2bl w:val="nil"/>
            </w:tcBorders>
            <w:vAlign w:val="center"/>
          </w:tcPr>
          <w:p w14:paraId="34A97C41">
            <w:pPr>
              <w:widowControl/>
              <w:jc w:val="center"/>
              <w:rPr>
                <w:color w:val="000000"/>
                <w:kern w:val="0"/>
                <w:sz w:val="18"/>
                <w:szCs w:val="18"/>
              </w:rPr>
            </w:pPr>
            <w:r>
              <w:rPr>
                <w:rFonts w:hint="eastAsia"/>
                <w:color w:val="000000"/>
                <w:kern w:val="0"/>
                <w:sz w:val="18"/>
                <w:szCs w:val="18"/>
              </w:rPr>
              <w:t>单位性质</w:t>
            </w:r>
          </w:p>
        </w:tc>
        <w:tc>
          <w:tcPr>
            <w:tcW w:w="7609" w:type="dxa"/>
            <w:gridSpan w:val="3"/>
            <w:tcBorders>
              <w:tl2br w:val="nil"/>
              <w:tr2bl w:val="nil"/>
            </w:tcBorders>
            <w:vAlign w:val="center"/>
          </w:tcPr>
          <w:p w14:paraId="6510A33A">
            <w:pPr>
              <w:widowControl/>
              <w:rPr>
                <w:color w:val="000000"/>
                <w:kern w:val="0"/>
                <w:sz w:val="18"/>
                <w:szCs w:val="18"/>
              </w:rPr>
            </w:pPr>
            <w:r>
              <w:rPr>
                <w:rFonts w:hint="eastAsia"/>
                <w:color w:val="000000"/>
                <w:kern w:val="0"/>
                <w:sz w:val="18"/>
                <w:szCs w:val="18"/>
              </w:rPr>
              <w:t>内资（□国有□集体□民营）□中外合资□港澳台□外商独资</w:t>
            </w:r>
          </w:p>
        </w:tc>
      </w:tr>
      <w:tr w14:paraId="494AE64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624" w:hRule="atLeast"/>
          <w:jc w:val="center"/>
        </w:trPr>
        <w:tc>
          <w:tcPr>
            <w:tcW w:w="1950" w:type="dxa"/>
            <w:tcBorders>
              <w:tl2br w:val="nil"/>
              <w:tr2bl w:val="nil"/>
            </w:tcBorders>
            <w:vAlign w:val="center"/>
          </w:tcPr>
          <w:p w14:paraId="654A4947">
            <w:pPr>
              <w:widowControl/>
              <w:jc w:val="center"/>
              <w:rPr>
                <w:color w:val="000000"/>
                <w:kern w:val="0"/>
                <w:sz w:val="18"/>
                <w:szCs w:val="18"/>
              </w:rPr>
            </w:pPr>
            <w:r>
              <w:rPr>
                <w:rFonts w:hint="eastAsia"/>
                <w:color w:val="000000"/>
                <w:kern w:val="0"/>
                <w:sz w:val="18"/>
                <w:szCs w:val="18"/>
              </w:rPr>
              <w:t>通讯地址</w:t>
            </w:r>
          </w:p>
        </w:tc>
        <w:tc>
          <w:tcPr>
            <w:tcW w:w="7609" w:type="dxa"/>
            <w:gridSpan w:val="3"/>
            <w:tcBorders>
              <w:tl2br w:val="nil"/>
              <w:tr2bl w:val="nil"/>
            </w:tcBorders>
            <w:vAlign w:val="center"/>
          </w:tcPr>
          <w:p w14:paraId="6DEA1C41">
            <w:pPr>
              <w:widowControl/>
              <w:rPr>
                <w:color w:val="000000"/>
                <w:kern w:val="0"/>
                <w:sz w:val="18"/>
                <w:szCs w:val="18"/>
              </w:rPr>
            </w:pPr>
          </w:p>
        </w:tc>
      </w:tr>
      <w:tr w14:paraId="0D29D04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624" w:hRule="atLeast"/>
          <w:jc w:val="center"/>
        </w:trPr>
        <w:tc>
          <w:tcPr>
            <w:tcW w:w="1950" w:type="dxa"/>
            <w:tcBorders>
              <w:tl2br w:val="nil"/>
              <w:tr2bl w:val="nil"/>
            </w:tcBorders>
            <w:vAlign w:val="center"/>
          </w:tcPr>
          <w:p w14:paraId="5971AEAD">
            <w:pPr>
              <w:widowControl/>
              <w:jc w:val="center"/>
              <w:rPr>
                <w:color w:val="000000"/>
                <w:kern w:val="0"/>
                <w:sz w:val="18"/>
                <w:szCs w:val="18"/>
              </w:rPr>
            </w:pPr>
            <w:r>
              <w:rPr>
                <w:rFonts w:hint="eastAsia"/>
                <w:color w:val="000000"/>
                <w:kern w:val="0"/>
                <w:sz w:val="18"/>
                <w:szCs w:val="18"/>
              </w:rPr>
              <w:t>统一社会</w:t>
            </w:r>
          </w:p>
          <w:p w14:paraId="7946FE1B">
            <w:pPr>
              <w:widowControl/>
              <w:jc w:val="center"/>
              <w:rPr>
                <w:color w:val="000000"/>
                <w:kern w:val="0"/>
                <w:sz w:val="18"/>
                <w:szCs w:val="18"/>
              </w:rPr>
            </w:pPr>
            <w:r>
              <w:rPr>
                <w:rFonts w:hint="eastAsia"/>
                <w:color w:val="000000"/>
                <w:kern w:val="0"/>
                <w:sz w:val="18"/>
                <w:szCs w:val="18"/>
              </w:rPr>
              <w:t>信用代码</w:t>
            </w:r>
          </w:p>
        </w:tc>
        <w:tc>
          <w:tcPr>
            <w:tcW w:w="3841" w:type="dxa"/>
            <w:tcBorders>
              <w:tl2br w:val="nil"/>
              <w:tr2bl w:val="nil"/>
            </w:tcBorders>
            <w:vAlign w:val="center"/>
          </w:tcPr>
          <w:p w14:paraId="338F5B27">
            <w:pPr>
              <w:widowControl/>
              <w:jc w:val="center"/>
              <w:rPr>
                <w:color w:val="000000"/>
                <w:kern w:val="0"/>
                <w:sz w:val="18"/>
                <w:szCs w:val="18"/>
              </w:rPr>
            </w:pPr>
          </w:p>
        </w:tc>
        <w:tc>
          <w:tcPr>
            <w:tcW w:w="1543" w:type="dxa"/>
            <w:tcBorders>
              <w:tl2br w:val="nil"/>
              <w:tr2bl w:val="nil"/>
            </w:tcBorders>
            <w:vAlign w:val="center"/>
          </w:tcPr>
          <w:p w14:paraId="1DA8BF10">
            <w:pPr>
              <w:widowControl/>
              <w:jc w:val="center"/>
              <w:rPr>
                <w:color w:val="000000"/>
                <w:kern w:val="0"/>
                <w:sz w:val="18"/>
                <w:szCs w:val="18"/>
              </w:rPr>
            </w:pPr>
            <w:r>
              <w:rPr>
                <w:rFonts w:hint="eastAsia"/>
                <w:color w:val="000000"/>
                <w:kern w:val="0"/>
                <w:sz w:val="18"/>
                <w:szCs w:val="18"/>
              </w:rPr>
              <w:t>法定代表人</w:t>
            </w:r>
          </w:p>
        </w:tc>
        <w:tc>
          <w:tcPr>
            <w:tcW w:w="2225" w:type="dxa"/>
            <w:tcBorders>
              <w:tl2br w:val="nil"/>
              <w:tr2bl w:val="nil"/>
            </w:tcBorders>
            <w:vAlign w:val="center"/>
          </w:tcPr>
          <w:p w14:paraId="6DB67EC2">
            <w:pPr>
              <w:widowControl/>
              <w:jc w:val="center"/>
              <w:rPr>
                <w:color w:val="000000"/>
                <w:kern w:val="0"/>
                <w:sz w:val="18"/>
                <w:szCs w:val="18"/>
              </w:rPr>
            </w:pPr>
          </w:p>
        </w:tc>
      </w:tr>
      <w:tr w14:paraId="1660E7F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624" w:hRule="atLeast"/>
          <w:jc w:val="center"/>
        </w:trPr>
        <w:tc>
          <w:tcPr>
            <w:tcW w:w="1950" w:type="dxa"/>
            <w:tcBorders>
              <w:bottom w:val="single" w:color="000000" w:sz="12" w:space="0"/>
              <w:tl2br w:val="nil"/>
              <w:tr2bl w:val="nil"/>
            </w:tcBorders>
            <w:vAlign w:val="center"/>
          </w:tcPr>
          <w:p w14:paraId="18286B72">
            <w:pPr>
              <w:widowControl/>
              <w:jc w:val="center"/>
              <w:rPr>
                <w:color w:val="000000"/>
                <w:kern w:val="0"/>
                <w:sz w:val="18"/>
                <w:szCs w:val="18"/>
              </w:rPr>
            </w:pPr>
            <w:r>
              <w:rPr>
                <w:rFonts w:hint="eastAsia"/>
                <w:color w:val="000000"/>
                <w:kern w:val="0"/>
                <w:sz w:val="18"/>
                <w:szCs w:val="18"/>
              </w:rPr>
              <w:t>成立日期</w:t>
            </w:r>
          </w:p>
        </w:tc>
        <w:tc>
          <w:tcPr>
            <w:tcW w:w="3841" w:type="dxa"/>
            <w:tcBorders>
              <w:bottom w:val="single" w:color="000000" w:sz="12" w:space="0"/>
              <w:tl2br w:val="nil"/>
              <w:tr2bl w:val="nil"/>
            </w:tcBorders>
            <w:vAlign w:val="center"/>
          </w:tcPr>
          <w:p w14:paraId="61AEAF9B">
            <w:pPr>
              <w:jc w:val="left"/>
              <w:rPr>
                <w:sz w:val="18"/>
                <w:szCs w:val="18"/>
              </w:rPr>
            </w:pPr>
          </w:p>
        </w:tc>
        <w:tc>
          <w:tcPr>
            <w:tcW w:w="1543" w:type="dxa"/>
            <w:tcBorders>
              <w:bottom w:val="single" w:color="000000" w:sz="12" w:space="0"/>
              <w:tl2br w:val="nil"/>
              <w:tr2bl w:val="nil"/>
            </w:tcBorders>
            <w:vAlign w:val="center"/>
          </w:tcPr>
          <w:p w14:paraId="0593BA2F">
            <w:pPr>
              <w:widowControl/>
              <w:jc w:val="center"/>
              <w:rPr>
                <w:color w:val="000000"/>
                <w:kern w:val="0"/>
                <w:sz w:val="18"/>
                <w:szCs w:val="18"/>
              </w:rPr>
            </w:pPr>
            <w:r>
              <w:rPr>
                <w:rFonts w:hint="eastAsia"/>
                <w:color w:val="000000"/>
                <w:kern w:val="0"/>
                <w:sz w:val="18"/>
                <w:szCs w:val="18"/>
              </w:rPr>
              <w:t>注册资本</w:t>
            </w:r>
          </w:p>
        </w:tc>
        <w:tc>
          <w:tcPr>
            <w:tcW w:w="2225" w:type="dxa"/>
            <w:tcBorders>
              <w:bottom w:val="single" w:color="000000" w:sz="12" w:space="0"/>
              <w:tl2br w:val="nil"/>
              <w:tr2bl w:val="nil"/>
            </w:tcBorders>
            <w:vAlign w:val="center"/>
          </w:tcPr>
          <w:p w14:paraId="0F5A4DA2">
            <w:pPr>
              <w:widowControl/>
              <w:rPr>
                <w:color w:val="000000"/>
                <w:kern w:val="0"/>
                <w:sz w:val="18"/>
                <w:szCs w:val="18"/>
              </w:rPr>
            </w:pPr>
          </w:p>
        </w:tc>
      </w:tr>
      <w:tr w14:paraId="3175BE7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624" w:hRule="atLeast"/>
          <w:jc w:val="center"/>
        </w:trPr>
        <w:tc>
          <w:tcPr>
            <w:tcW w:w="9559" w:type="dxa"/>
            <w:gridSpan w:val="4"/>
            <w:tcBorders>
              <w:top w:val="single" w:color="000000" w:sz="12" w:space="0"/>
              <w:bottom w:val="single" w:color="000000" w:sz="12" w:space="0"/>
            </w:tcBorders>
            <w:vAlign w:val="center"/>
          </w:tcPr>
          <w:p w14:paraId="1EAEC2D9">
            <w:pPr>
              <w:widowControl/>
              <w:jc w:val="center"/>
              <w:rPr>
                <w:color w:val="000000"/>
                <w:kern w:val="0"/>
                <w:sz w:val="18"/>
                <w:szCs w:val="18"/>
              </w:rPr>
            </w:pPr>
            <w:r>
              <w:rPr>
                <w:rFonts w:hint="eastAsia" w:ascii="黑体" w:hAnsi="黑体" w:eastAsia="黑体" w:cs="黑体"/>
                <w:color w:val="000000"/>
                <w:kern w:val="0"/>
                <w:szCs w:val="21"/>
              </w:rPr>
              <w:t>表</w:t>
            </w:r>
            <w:r>
              <w:rPr>
                <w:rFonts w:hint="eastAsia" w:ascii="黑体" w:hAnsi="黑体" w:eastAsia="黑体" w:cs="黑体"/>
                <w:szCs w:val="21"/>
              </w:rPr>
              <w:t>D</w:t>
            </w:r>
            <w:r>
              <w:rPr>
                <w:rFonts w:hint="eastAsia" w:ascii="黑体" w:hAnsi="黑体" w:eastAsia="黑体" w:cs="黑体"/>
                <w:color w:val="000000"/>
                <w:kern w:val="0"/>
                <w:szCs w:val="21"/>
              </w:rPr>
              <w:t>.2</w:t>
            </w:r>
            <w:r>
              <w:rPr>
                <w:rFonts w:hint="eastAsia" w:asciiTheme="minorEastAsia" w:hAnsiTheme="minorEastAsia" w:eastAsiaTheme="minorEastAsia" w:cstheme="minorEastAsia"/>
                <w:color w:val="000000"/>
                <w:kern w:val="0"/>
                <w:szCs w:val="21"/>
              </w:rPr>
              <w:t>（第2页/共2页）</w:t>
            </w:r>
          </w:p>
        </w:tc>
      </w:tr>
      <w:tr w14:paraId="27B222B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950" w:type="dxa"/>
            <w:tcBorders>
              <w:top w:val="single" w:color="000000" w:sz="12" w:space="0"/>
              <w:tl2br w:val="nil"/>
              <w:tr2bl w:val="nil"/>
            </w:tcBorders>
            <w:vAlign w:val="center"/>
          </w:tcPr>
          <w:p w14:paraId="0D17FD6C">
            <w:pPr>
              <w:widowControl/>
              <w:jc w:val="center"/>
              <w:rPr>
                <w:color w:val="000000"/>
                <w:kern w:val="0"/>
                <w:sz w:val="18"/>
                <w:szCs w:val="18"/>
              </w:rPr>
            </w:pPr>
            <w:r>
              <w:rPr>
                <w:rFonts w:hint="eastAsia"/>
                <w:color w:val="000000"/>
                <w:kern w:val="0"/>
                <w:sz w:val="18"/>
                <w:szCs w:val="18"/>
              </w:rPr>
              <w:t>联系人</w:t>
            </w:r>
          </w:p>
        </w:tc>
        <w:tc>
          <w:tcPr>
            <w:tcW w:w="3841" w:type="dxa"/>
            <w:tcBorders>
              <w:top w:val="single" w:color="000000" w:sz="12" w:space="0"/>
              <w:tl2br w:val="nil"/>
              <w:tr2bl w:val="nil"/>
            </w:tcBorders>
            <w:vAlign w:val="center"/>
          </w:tcPr>
          <w:p w14:paraId="6C61E230">
            <w:pPr>
              <w:widowControl/>
              <w:jc w:val="left"/>
              <w:rPr>
                <w:color w:val="000000"/>
                <w:kern w:val="0"/>
                <w:sz w:val="18"/>
                <w:szCs w:val="18"/>
              </w:rPr>
            </w:pPr>
          </w:p>
        </w:tc>
        <w:tc>
          <w:tcPr>
            <w:tcW w:w="1543" w:type="dxa"/>
            <w:tcBorders>
              <w:top w:val="single" w:color="000000" w:sz="12" w:space="0"/>
              <w:tl2br w:val="nil"/>
              <w:tr2bl w:val="nil"/>
            </w:tcBorders>
            <w:vAlign w:val="center"/>
          </w:tcPr>
          <w:p w14:paraId="022F2FFF">
            <w:pPr>
              <w:widowControl/>
              <w:jc w:val="center"/>
              <w:rPr>
                <w:color w:val="000000"/>
                <w:kern w:val="0"/>
                <w:sz w:val="18"/>
                <w:szCs w:val="18"/>
              </w:rPr>
            </w:pPr>
            <w:r>
              <w:rPr>
                <w:rFonts w:hint="eastAsia"/>
                <w:color w:val="000000"/>
                <w:kern w:val="0"/>
                <w:sz w:val="18"/>
                <w:szCs w:val="18"/>
              </w:rPr>
              <w:t>联系电话</w:t>
            </w:r>
          </w:p>
        </w:tc>
        <w:tc>
          <w:tcPr>
            <w:tcW w:w="2225" w:type="dxa"/>
            <w:tcBorders>
              <w:top w:val="single" w:color="000000" w:sz="12" w:space="0"/>
              <w:tl2br w:val="nil"/>
              <w:tr2bl w:val="nil"/>
            </w:tcBorders>
            <w:vAlign w:val="center"/>
          </w:tcPr>
          <w:p w14:paraId="6750F41E">
            <w:pPr>
              <w:widowControl/>
              <w:rPr>
                <w:color w:val="000000"/>
                <w:kern w:val="0"/>
                <w:sz w:val="18"/>
                <w:szCs w:val="18"/>
              </w:rPr>
            </w:pPr>
          </w:p>
        </w:tc>
      </w:tr>
      <w:tr w14:paraId="1C75A69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950" w:type="dxa"/>
            <w:tcBorders>
              <w:tl2br w:val="nil"/>
              <w:tr2bl w:val="nil"/>
            </w:tcBorders>
            <w:vAlign w:val="center"/>
          </w:tcPr>
          <w:p w14:paraId="77EB25C4">
            <w:pPr>
              <w:widowControl/>
              <w:jc w:val="center"/>
              <w:rPr>
                <w:color w:val="000000"/>
                <w:kern w:val="0"/>
                <w:sz w:val="18"/>
                <w:szCs w:val="18"/>
              </w:rPr>
            </w:pPr>
            <w:r>
              <w:rPr>
                <w:rFonts w:hint="eastAsia"/>
                <w:color w:val="000000"/>
                <w:kern w:val="0"/>
                <w:sz w:val="18"/>
                <w:szCs w:val="18"/>
              </w:rPr>
              <w:t>项目名称</w:t>
            </w:r>
          </w:p>
        </w:tc>
        <w:tc>
          <w:tcPr>
            <w:tcW w:w="7609" w:type="dxa"/>
            <w:gridSpan w:val="3"/>
            <w:tcBorders>
              <w:tl2br w:val="nil"/>
              <w:tr2bl w:val="nil"/>
            </w:tcBorders>
            <w:vAlign w:val="center"/>
          </w:tcPr>
          <w:p w14:paraId="1314B522">
            <w:pPr>
              <w:widowControl/>
              <w:rPr>
                <w:color w:val="000000"/>
                <w:kern w:val="0"/>
                <w:sz w:val="18"/>
                <w:szCs w:val="18"/>
              </w:rPr>
            </w:pPr>
          </w:p>
        </w:tc>
      </w:tr>
      <w:tr w14:paraId="2BC6617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950" w:type="dxa"/>
            <w:tcBorders>
              <w:tl2br w:val="nil"/>
              <w:tr2bl w:val="nil"/>
            </w:tcBorders>
            <w:vAlign w:val="center"/>
          </w:tcPr>
          <w:p w14:paraId="68854632">
            <w:pPr>
              <w:widowControl/>
              <w:jc w:val="center"/>
              <w:rPr>
                <w:color w:val="000000"/>
                <w:kern w:val="0"/>
                <w:sz w:val="18"/>
                <w:szCs w:val="18"/>
              </w:rPr>
            </w:pPr>
            <w:r>
              <w:rPr>
                <w:rFonts w:hint="eastAsia"/>
                <w:color w:val="000000"/>
                <w:kern w:val="0"/>
                <w:sz w:val="18"/>
                <w:szCs w:val="18"/>
              </w:rPr>
              <w:t>所属行业及代码</w:t>
            </w:r>
            <w:r>
              <w:rPr>
                <w:rFonts w:hint="eastAsia" w:ascii="宋体" w:hAnsi="宋体" w:cs="宋体"/>
                <w:color w:val="000000"/>
                <w:kern w:val="0"/>
                <w:sz w:val="18"/>
                <w:szCs w:val="18"/>
                <w:vertAlign w:val="superscript"/>
              </w:rPr>
              <w:t>a</w:t>
            </w:r>
          </w:p>
        </w:tc>
        <w:tc>
          <w:tcPr>
            <w:tcW w:w="7609" w:type="dxa"/>
            <w:gridSpan w:val="3"/>
            <w:tcBorders>
              <w:tl2br w:val="nil"/>
              <w:tr2bl w:val="nil"/>
            </w:tcBorders>
            <w:vAlign w:val="center"/>
          </w:tcPr>
          <w:p w14:paraId="5BE2EDB7">
            <w:pPr>
              <w:widowControl/>
              <w:rPr>
                <w:color w:val="000000"/>
                <w:kern w:val="0"/>
                <w:sz w:val="18"/>
                <w:szCs w:val="18"/>
              </w:rPr>
            </w:pPr>
          </w:p>
        </w:tc>
      </w:tr>
      <w:tr w14:paraId="1614481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3775" w:hRule="atLeast"/>
          <w:jc w:val="center"/>
        </w:trPr>
        <w:tc>
          <w:tcPr>
            <w:tcW w:w="9559" w:type="dxa"/>
            <w:gridSpan w:val="4"/>
            <w:tcBorders>
              <w:bottom w:val="single" w:color="000000" w:sz="12" w:space="0"/>
              <w:tl2br w:val="nil"/>
              <w:tr2bl w:val="nil"/>
            </w:tcBorders>
            <w:vAlign w:val="center"/>
          </w:tcPr>
          <w:p w14:paraId="7496FAB5">
            <w:pPr>
              <w:widowControl/>
              <w:rPr>
                <w:b/>
                <w:kern w:val="0"/>
                <w:sz w:val="18"/>
                <w:szCs w:val="18"/>
              </w:rPr>
            </w:pPr>
            <w:r>
              <w:rPr>
                <w:rFonts w:hint="eastAsia"/>
                <w:b/>
                <w:kern w:val="0"/>
                <w:sz w:val="18"/>
                <w:szCs w:val="18"/>
              </w:rPr>
              <w:t>材料真实性承诺：</w:t>
            </w:r>
          </w:p>
          <w:p w14:paraId="5F1CED16">
            <w:pPr>
              <w:widowControl/>
              <w:rPr>
                <w:kern w:val="0"/>
                <w:sz w:val="18"/>
                <w:szCs w:val="18"/>
              </w:rPr>
            </w:pPr>
          </w:p>
          <w:p w14:paraId="73C03E3B">
            <w:pPr>
              <w:pStyle w:val="11"/>
            </w:pPr>
          </w:p>
          <w:p w14:paraId="31204416">
            <w:pPr>
              <w:widowControl/>
              <w:ind w:firstLine="372" w:firstLineChars="207"/>
              <w:rPr>
                <w:kern w:val="0"/>
                <w:sz w:val="18"/>
                <w:szCs w:val="18"/>
              </w:rPr>
            </w:pPr>
            <w:r>
              <w:rPr>
                <w:rFonts w:hint="eastAsia"/>
                <w:kern w:val="0"/>
                <w:sz w:val="18"/>
                <w:szCs w:val="18"/>
              </w:rPr>
              <w:t>我单位郑重承诺：本次申报绿色低碳产业项目认定所提交的相关数据和信息均真实、有效，愿接受并积极配合主管部门的跟踪抽查。如有违反，愿承担由此产生的相应责任。</w:t>
            </w:r>
          </w:p>
          <w:p w14:paraId="3DE0D423">
            <w:pPr>
              <w:widowControl/>
              <w:ind w:firstLine="372" w:firstLineChars="207"/>
              <w:rPr>
                <w:kern w:val="0"/>
                <w:sz w:val="18"/>
                <w:szCs w:val="18"/>
              </w:rPr>
            </w:pPr>
          </w:p>
          <w:p w14:paraId="75371BE0">
            <w:pPr>
              <w:widowControl/>
              <w:ind w:firstLine="372" w:firstLineChars="207"/>
              <w:rPr>
                <w:kern w:val="0"/>
                <w:sz w:val="18"/>
                <w:szCs w:val="18"/>
              </w:rPr>
            </w:pPr>
          </w:p>
          <w:p w14:paraId="5E35666C">
            <w:pPr>
              <w:widowControl/>
              <w:ind w:firstLine="372" w:firstLineChars="207"/>
              <w:rPr>
                <w:kern w:val="0"/>
                <w:sz w:val="18"/>
                <w:szCs w:val="18"/>
              </w:rPr>
            </w:pPr>
          </w:p>
          <w:p w14:paraId="41A7156D">
            <w:pPr>
              <w:widowControl/>
              <w:wordWrap w:val="0"/>
              <w:jc w:val="center"/>
              <w:rPr>
                <w:b/>
                <w:kern w:val="0"/>
                <w:sz w:val="18"/>
                <w:szCs w:val="18"/>
              </w:rPr>
            </w:pPr>
            <w:r>
              <w:rPr>
                <w:rFonts w:hint="eastAsia"/>
                <w:b/>
                <w:kern w:val="0"/>
                <w:sz w:val="18"/>
                <w:szCs w:val="18"/>
              </w:rPr>
              <w:t xml:space="preserve">                                          法人或单位负责人签字：          </w:t>
            </w:r>
          </w:p>
          <w:p w14:paraId="41EDC86B">
            <w:pPr>
              <w:widowControl/>
              <w:rPr>
                <w:b/>
                <w:kern w:val="0"/>
                <w:sz w:val="18"/>
                <w:szCs w:val="18"/>
              </w:rPr>
            </w:pPr>
            <w:r>
              <w:rPr>
                <w:rFonts w:hint="eastAsia"/>
                <w:b/>
                <w:kern w:val="0"/>
                <w:sz w:val="18"/>
                <w:szCs w:val="18"/>
              </w:rPr>
              <w:t xml:space="preserve">                                                                 （公章）</w:t>
            </w:r>
          </w:p>
          <w:p w14:paraId="5A2E9832">
            <w:pPr>
              <w:widowControl/>
              <w:wordWrap w:val="0"/>
              <w:jc w:val="center"/>
            </w:pPr>
            <w:r>
              <w:rPr>
                <w:rFonts w:hint="eastAsia"/>
                <w:b/>
                <w:kern w:val="0"/>
                <w:sz w:val="18"/>
                <w:szCs w:val="18"/>
              </w:rPr>
              <w:t xml:space="preserve">                           日期：           </w:t>
            </w:r>
          </w:p>
          <w:p w14:paraId="4891A283">
            <w:pPr>
              <w:pStyle w:val="11"/>
            </w:pPr>
          </w:p>
        </w:tc>
      </w:tr>
      <w:tr w14:paraId="64FA35B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90" w:hRule="atLeast"/>
          <w:jc w:val="center"/>
        </w:trPr>
        <w:tc>
          <w:tcPr>
            <w:tcW w:w="9559" w:type="dxa"/>
            <w:gridSpan w:val="4"/>
            <w:tcBorders>
              <w:top w:val="single" w:color="000000" w:sz="12" w:space="0"/>
            </w:tcBorders>
            <w:vAlign w:val="center"/>
          </w:tcPr>
          <w:p w14:paraId="231E85A8">
            <w:pPr>
              <w:widowControl/>
              <w:wordWrap w:val="0"/>
              <w:ind w:firstLine="360" w:firstLineChars="200"/>
              <w:jc w:val="left"/>
              <w:rPr>
                <w:b/>
                <w:kern w:val="0"/>
                <w:sz w:val="18"/>
                <w:szCs w:val="18"/>
              </w:rPr>
            </w:pPr>
            <w:r>
              <w:rPr>
                <w:rFonts w:hint="eastAsia" w:ascii="宋体" w:hAnsi="宋体" w:cs="宋体"/>
                <w:bCs/>
                <w:kern w:val="0"/>
                <w:sz w:val="18"/>
                <w:szCs w:val="18"/>
                <w:vertAlign w:val="superscript"/>
              </w:rPr>
              <w:t>a</w:t>
            </w:r>
            <w:r>
              <w:rPr>
                <w:rFonts w:hint="eastAsia" w:ascii="宋体" w:hAnsi="宋体" w:cs="宋体"/>
                <w:bCs/>
                <w:kern w:val="0"/>
                <w:sz w:val="18"/>
                <w:szCs w:val="18"/>
              </w:rPr>
              <w:t xml:space="preserve">  行业类别参照相关政府职能部门发布的绿色低碳产业相关指导目录的第三级分类进行填报。</w:t>
            </w:r>
          </w:p>
        </w:tc>
      </w:tr>
    </w:tbl>
    <w:p w14:paraId="6DEB12A7">
      <w:pPr>
        <w:numPr>
          <w:ilvl w:val="1"/>
          <w:numId w:val="0"/>
        </w:numPr>
        <w:spacing w:before="156" w:beforeLines="50" w:after="156" w:afterLines="50"/>
        <w:rPr>
          <w:rFonts w:ascii="黑体" w:hAnsi="黑体" w:eastAsia="黑体" w:cs="黑体"/>
          <w:szCs w:val="21"/>
        </w:rPr>
      </w:pPr>
      <w:r>
        <w:rPr>
          <w:rFonts w:hint="eastAsia" w:ascii="黑体" w:hAnsi="黑体" w:eastAsia="黑体" w:cs="黑体"/>
          <w:szCs w:val="21"/>
        </w:rPr>
        <w:t>D.3  基本情况概述</w:t>
      </w:r>
    </w:p>
    <w:p w14:paraId="6E378FD2">
      <w:pPr>
        <w:pStyle w:val="25"/>
        <w:rPr>
          <w:rFonts w:ascii="Times New Roman"/>
          <w:szCs w:val="24"/>
        </w:rPr>
      </w:pPr>
      <w:r>
        <w:rPr>
          <w:rFonts w:hint="eastAsia" w:ascii="Times New Roman"/>
          <w:szCs w:val="24"/>
        </w:rPr>
        <w:t>概述企事业单位经营范围、智能电网建设运营领域相关项目、项目建设运营状况、环境影响评价、社会影响评价以及固定资产投资节能审查相关情况等。</w:t>
      </w:r>
    </w:p>
    <w:p w14:paraId="64954E91">
      <w:pPr>
        <w:numPr>
          <w:ilvl w:val="1"/>
          <w:numId w:val="0"/>
        </w:numPr>
        <w:spacing w:before="156" w:beforeLines="50" w:after="156" w:afterLines="50"/>
        <w:rPr>
          <w:rFonts w:ascii="黑体" w:hAnsi="黑体" w:eastAsia="黑体" w:cs="黑体"/>
          <w:szCs w:val="21"/>
        </w:rPr>
      </w:pPr>
      <w:r>
        <w:rPr>
          <w:rFonts w:hint="eastAsia" w:ascii="黑体" w:hAnsi="黑体" w:eastAsia="黑体" w:cs="黑体"/>
          <w:szCs w:val="21"/>
        </w:rPr>
        <w:t>D.4  评价工作概述</w:t>
      </w:r>
    </w:p>
    <w:p w14:paraId="4EF40470">
      <w:pPr>
        <w:pStyle w:val="25"/>
        <w:rPr>
          <w:rFonts w:ascii="Times New Roman"/>
          <w:szCs w:val="24"/>
        </w:rPr>
      </w:pPr>
      <w:r>
        <w:rPr>
          <w:rFonts w:hint="eastAsia" w:ascii="Times New Roman"/>
          <w:szCs w:val="24"/>
        </w:rPr>
        <w:t>概述绿色低碳产业项目认定申报工作具体开展情况，包括但不限于工作组设立情况、收集资料类型、报告编制情况等。</w:t>
      </w:r>
    </w:p>
    <w:p w14:paraId="025B2EE2">
      <w:pPr>
        <w:numPr>
          <w:ilvl w:val="1"/>
          <w:numId w:val="0"/>
        </w:numPr>
        <w:spacing w:before="156" w:beforeLines="50" w:after="156" w:afterLines="50"/>
        <w:rPr>
          <w:szCs w:val="21"/>
        </w:rPr>
      </w:pPr>
      <w:r>
        <w:rPr>
          <w:rFonts w:hint="eastAsia" w:ascii="黑体" w:hAnsi="黑体" w:eastAsia="黑体" w:cs="黑体"/>
          <w:szCs w:val="21"/>
        </w:rPr>
        <w:t>D.5  绿色低碳产业项目认定情况</w:t>
      </w:r>
    </w:p>
    <w:p w14:paraId="7F2240AE">
      <w:pPr>
        <w:numPr>
          <w:ilvl w:val="1"/>
          <w:numId w:val="0"/>
        </w:numPr>
        <w:spacing w:before="156" w:beforeLines="50" w:after="156" w:afterLines="50"/>
        <w:rPr>
          <w:rFonts w:ascii="黑体" w:hAnsi="黑体" w:eastAsia="黑体" w:cs="黑体"/>
          <w:szCs w:val="21"/>
        </w:rPr>
      </w:pPr>
      <w:r>
        <w:rPr>
          <w:rFonts w:hint="eastAsia" w:ascii="黑体" w:hAnsi="黑体" w:eastAsia="黑体" w:cs="黑体"/>
          <w:szCs w:val="21"/>
        </w:rPr>
        <w:t>D.5.1  符合性评价</w:t>
      </w:r>
    </w:p>
    <w:p w14:paraId="60185656">
      <w:pPr>
        <w:autoSpaceDE w:val="0"/>
        <w:autoSpaceDN w:val="0"/>
        <w:ind w:firstLine="420" w:firstLineChars="200"/>
        <w:rPr>
          <w:rFonts w:ascii="宋体" w:hAnsi="宋体" w:cs="宋体"/>
        </w:rPr>
      </w:pPr>
      <w:r>
        <w:rPr>
          <w:rFonts w:hint="eastAsia" w:ascii="宋体" w:hAnsi="宋体" w:cs="宋体"/>
        </w:rPr>
        <w:t>对以下内容进行具体描述：</w:t>
      </w:r>
    </w:p>
    <w:p w14:paraId="20B50D37">
      <w:pPr>
        <w:autoSpaceDE w:val="0"/>
        <w:autoSpaceDN w:val="0"/>
        <w:ind w:left="840" w:leftChars="200" w:hanging="420" w:hangingChars="200"/>
        <w:rPr>
          <w:rFonts w:ascii="宋体" w:hAnsi="宋体" w:cs="宋体"/>
        </w:rPr>
      </w:pPr>
      <w:r>
        <w:rPr>
          <w:rFonts w:hint="eastAsia" w:ascii="宋体" w:hAnsi="宋体" w:cs="宋体"/>
        </w:rPr>
        <w:t>——目录符合：申请认定评价的项目属于智能电网建设运营利用产业，或在当地具备一定市场规模，经相关政府职能部门认可的其他相关行业，且符合安全、环保、质量相关法规政策、强制性标准等要求。</w:t>
      </w:r>
    </w:p>
    <w:p w14:paraId="5CC8C701">
      <w:pPr>
        <w:pStyle w:val="25"/>
        <w:ind w:left="840" w:leftChars="200" w:hanging="420" w:hangingChars="200"/>
        <w:rPr>
          <w:rFonts w:hAnsi="宋体" w:cs="宋体"/>
          <w:szCs w:val="24"/>
        </w:rPr>
      </w:pPr>
      <w:r>
        <w:rPr>
          <w:rFonts w:hint="eastAsia" w:hAnsi="宋体" w:cs="宋体"/>
        </w:rPr>
        <w:t>——技术</w:t>
      </w:r>
      <w:r>
        <w:rPr>
          <w:rFonts w:hint="eastAsia" w:hAnsi="宋体" w:cs="宋体"/>
          <w:kern w:val="2"/>
          <w:szCs w:val="24"/>
        </w:rPr>
        <w:t>符合：提供的产品或服务应符合国家及各省市相关主管部门发布文件列明的有关设计、能效、性能、安全、贮存、回收、标识、验收、管理和运维等技术要求。</w:t>
      </w:r>
    </w:p>
    <w:p w14:paraId="1D874AE8">
      <w:pPr>
        <w:numPr>
          <w:ilvl w:val="1"/>
          <w:numId w:val="0"/>
        </w:numPr>
        <w:spacing w:before="156" w:beforeLines="50" w:after="156" w:afterLines="50"/>
        <w:rPr>
          <w:szCs w:val="21"/>
        </w:rPr>
      </w:pPr>
      <w:r>
        <w:rPr>
          <w:rFonts w:hint="eastAsia" w:ascii="黑体" w:hAnsi="黑体" w:eastAsia="黑体" w:cs="黑体"/>
          <w:szCs w:val="21"/>
        </w:rPr>
        <w:t>D.5.2  综合评价</w:t>
      </w:r>
    </w:p>
    <w:p w14:paraId="6A515C14">
      <w:pPr>
        <w:numPr>
          <w:ilvl w:val="1"/>
          <w:numId w:val="0"/>
        </w:numPr>
        <w:spacing w:before="156" w:beforeLines="50" w:after="156" w:afterLines="50"/>
        <w:rPr>
          <w:rFonts w:ascii="黑体" w:hAnsi="黑体" w:eastAsia="黑体" w:cs="黑体"/>
          <w:szCs w:val="21"/>
        </w:rPr>
      </w:pPr>
      <w:r>
        <w:rPr>
          <w:rFonts w:hint="eastAsia" w:ascii="黑体" w:hAnsi="黑体" w:eastAsia="黑体" w:cs="黑体"/>
          <w:szCs w:val="21"/>
        </w:rPr>
        <w:t>D.5.2.1  技术表现</w:t>
      </w:r>
    </w:p>
    <w:p w14:paraId="4E465524">
      <w:pPr>
        <w:autoSpaceDE w:val="0"/>
        <w:autoSpaceDN w:val="0"/>
        <w:ind w:firstLine="420" w:firstLineChars="200"/>
        <w:rPr>
          <w:rFonts w:ascii="宋体" w:hAnsi="宋体" w:cs="宋体"/>
        </w:rPr>
      </w:pPr>
      <w:r>
        <w:rPr>
          <w:rFonts w:hint="eastAsia" w:ascii="宋体" w:hAnsi="宋体" w:cs="宋体"/>
        </w:rPr>
        <w:t>对以下内容进行具体描述：</w:t>
      </w:r>
    </w:p>
    <w:p w14:paraId="7B3D12CD">
      <w:pPr>
        <w:autoSpaceDE w:val="0"/>
        <w:autoSpaceDN w:val="0"/>
        <w:ind w:left="840" w:leftChars="200" w:hanging="420" w:hangingChars="200"/>
        <w:rPr>
          <w:rFonts w:ascii="宋体" w:hAnsi="宋体" w:cs="宋体"/>
        </w:rPr>
      </w:pPr>
      <w:r>
        <w:rPr>
          <w:rFonts w:hint="eastAsia" w:ascii="宋体" w:hAnsi="宋体" w:cs="宋体"/>
        </w:rPr>
        <w:t>——有效知识产权：主要描述项目直接应用的、与智能电网建设运营领域相关的有效知识产权数量的情况；</w:t>
      </w:r>
    </w:p>
    <w:p w14:paraId="710742AC">
      <w:pPr>
        <w:autoSpaceDE w:val="0"/>
        <w:autoSpaceDN w:val="0"/>
        <w:ind w:left="840" w:leftChars="200" w:hanging="420" w:hangingChars="200"/>
        <w:rPr>
          <w:rFonts w:ascii="宋体" w:hAnsi="宋体" w:cs="宋体"/>
        </w:rPr>
      </w:pPr>
      <w:r>
        <w:rPr>
          <w:rFonts w:hint="eastAsia" w:ascii="宋体" w:hAnsi="宋体" w:cs="宋体"/>
        </w:rPr>
        <w:t>——关键技术先进性：主要描述</w:t>
      </w:r>
      <w:r>
        <w:rPr>
          <w:rFonts w:hint="eastAsia"/>
        </w:rPr>
        <w:t>项目应用的关键技术在行业内或地区内能达到的领先水平情况</w:t>
      </w:r>
      <w:r>
        <w:rPr>
          <w:rFonts w:hint="eastAsia" w:ascii="宋体" w:hAnsi="宋体" w:cs="宋体"/>
        </w:rPr>
        <w:t>；</w:t>
      </w:r>
    </w:p>
    <w:p w14:paraId="3E95B898">
      <w:pPr>
        <w:pStyle w:val="25"/>
        <w:ind w:left="840" w:leftChars="200" w:hanging="420" w:hangingChars="200"/>
        <w:rPr>
          <w:rFonts w:hAnsi="宋体" w:cs="宋体"/>
          <w:szCs w:val="24"/>
        </w:rPr>
      </w:pPr>
      <w:r>
        <w:rPr>
          <w:rFonts w:hint="eastAsia" w:hAnsi="宋体" w:cs="宋体"/>
        </w:rPr>
        <w:t>——环境效益：主要描述在资源节约、环境友好、生态良好等方面实际产生的环境效益贡献量和涉及的环境效益种类数量。从降碳效益、减污效益进行评估，按照本文件5.2.1.2规定的环境效益指标进行量化评估。</w:t>
      </w:r>
    </w:p>
    <w:p w14:paraId="10D77FA8">
      <w:pPr>
        <w:numPr>
          <w:ilvl w:val="1"/>
          <w:numId w:val="0"/>
        </w:numPr>
        <w:spacing w:before="156" w:beforeLines="50" w:after="156" w:afterLines="50"/>
        <w:rPr>
          <w:rFonts w:ascii="黑体" w:hAnsi="黑体" w:eastAsia="黑体" w:cs="黑体"/>
          <w:szCs w:val="21"/>
        </w:rPr>
      </w:pPr>
      <w:r>
        <w:rPr>
          <w:rFonts w:hint="eastAsia" w:ascii="黑体" w:hAnsi="黑体" w:eastAsia="黑体" w:cs="黑体"/>
          <w:szCs w:val="21"/>
        </w:rPr>
        <w:t>D.5.2.2  环境表现</w:t>
      </w:r>
    </w:p>
    <w:p w14:paraId="3648FABE">
      <w:pPr>
        <w:autoSpaceDE w:val="0"/>
        <w:autoSpaceDN w:val="0"/>
        <w:ind w:firstLine="420" w:firstLineChars="200"/>
        <w:rPr>
          <w:rFonts w:ascii="宋体" w:hAnsi="宋体" w:cs="宋体"/>
        </w:rPr>
      </w:pPr>
      <w:r>
        <w:rPr>
          <w:rFonts w:hint="eastAsia" w:ascii="宋体" w:hAnsi="宋体" w:cs="宋体"/>
        </w:rPr>
        <w:t>对以下内容进行具体描述：</w:t>
      </w:r>
    </w:p>
    <w:p w14:paraId="28C81308">
      <w:pPr>
        <w:autoSpaceDE w:val="0"/>
        <w:autoSpaceDN w:val="0"/>
        <w:ind w:left="850" w:leftChars="204" w:hanging="422" w:hangingChars="201"/>
        <w:rPr>
          <w:rFonts w:ascii="宋体" w:hAnsi="宋体" w:cs="宋体"/>
        </w:rPr>
      </w:pPr>
      <w:r>
        <w:rPr>
          <w:rFonts w:hint="eastAsia" w:ascii="宋体" w:hAnsi="宋体" w:cs="宋体"/>
        </w:rPr>
        <w:t>——绿色低碳运营：主要描述项目单位总投资综合能耗、单位总投资用水量、单位总投资用地面积、单位总投资碳排放量、可再生能源占比等方面的情况；</w:t>
      </w:r>
    </w:p>
    <w:p w14:paraId="1E8EE2BD">
      <w:pPr>
        <w:autoSpaceDE w:val="0"/>
        <w:autoSpaceDN w:val="0"/>
        <w:ind w:left="850" w:leftChars="204" w:hanging="422" w:hangingChars="201"/>
      </w:pPr>
      <w:r>
        <w:rPr>
          <w:rFonts w:hint="eastAsia" w:ascii="宋体" w:hAnsi="宋体" w:cs="宋体"/>
        </w:rPr>
        <w:t>——设备材料：主要描述项目采用的设备、材料的绿色化水平的情况；</w:t>
      </w:r>
    </w:p>
    <w:p w14:paraId="6A9D356A">
      <w:pPr>
        <w:pStyle w:val="25"/>
        <w:rPr>
          <w:rFonts w:hAnsi="宋体" w:cs="宋体"/>
          <w:szCs w:val="24"/>
        </w:rPr>
      </w:pPr>
      <w:r>
        <w:rPr>
          <w:rFonts w:hint="eastAsia" w:hAnsi="宋体" w:cs="宋体"/>
        </w:rPr>
        <w:t>——污染物排放水平：主要描述项目自身生产运营过程向环境排放污染物的情况。</w:t>
      </w:r>
    </w:p>
    <w:p w14:paraId="2C170BA9">
      <w:pPr>
        <w:numPr>
          <w:ilvl w:val="1"/>
          <w:numId w:val="0"/>
        </w:numPr>
        <w:spacing w:before="156" w:beforeLines="50" w:after="156" w:afterLines="50"/>
        <w:rPr>
          <w:szCs w:val="21"/>
        </w:rPr>
      </w:pPr>
      <w:r>
        <w:rPr>
          <w:rFonts w:hint="eastAsia" w:ascii="黑体" w:hAnsi="黑体" w:eastAsia="黑体" w:cs="黑体"/>
          <w:szCs w:val="21"/>
        </w:rPr>
        <w:t>D.6  评价表</w:t>
      </w:r>
    </w:p>
    <w:p w14:paraId="0B27184E">
      <w:pPr>
        <w:pStyle w:val="25"/>
        <w:rPr>
          <w:rFonts w:hAnsi="宋体" w:cs="宋体"/>
          <w:szCs w:val="24"/>
        </w:rPr>
      </w:pPr>
      <w:r>
        <w:rPr>
          <w:rFonts w:hint="eastAsia" w:ascii="Times New Roman"/>
          <w:szCs w:val="24"/>
        </w:rPr>
        <w:t>绿色低碳产业项目认定评</w:t>
      </w:r>
      <w:r>
        <w:rPr>
          <w:rFonts w:hint="eastAsia" w:hAnsi="宋体" w:cs="宋体"/>
          <w:szCs w:val="24"/>
        </w:rPr>
        <w:t>价见表D.3和表D.4</w:t>
      </w:r>
      <w:r>
        <w:rPr>
          <w:rFonts w:hint="eastAsia" w:ascii="Times New Roman"/>
          <w:szCs w:val="24"/>
        </w:rPr>
        <w:t>。</w:t>
      </w:r>
    </w:p>
    <w:p w14:paraId="75DC2DDE">
      <w:pPr>
        <w:numPr>
          <w:ilvl w:val="1"/>
          <w:numId w:val="0"/>
        </w:numPr>
        <w:spacing w:before="156" w:beforeLines="50" w:after="156" w:afterLines="50"/>
        <w:jc w:val="center"/>
        <w:rPr>
          <w:szCs w:val="21"/>
        </w:rPr>
      </w:pPr>
      <w:r>
        <w:rPr>
          <w:rFonts w:hint="eastAsia" w:ascii="黑体" w:hAnsi="黑体" w:eastAsia="黑体" w:cs="黑体"/>
          <w:szCs w:val="21"/>
        </w:rPr>
        <w:t>表D.3  符合性评价</w:t>
      </w:r>
    </w:p>
    <w:tbl>
      <w:tblPr>
        <w:tblStyle w:val="35"/>
        <w:tblW w:w="955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79"/>
        <w:gridCol w:w="1027"/>
        <w:gridCol w:w="4758"/>
        <w:gridCol w:w="1650"/>
        <w:gridCol w:w="1545"/>
      </w:tblGrid>
      <w:tr w14:paraId="1EDC48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79" w:type="dxa"/>
            <w:tcBorders>
              <w:bottom w:val="single" w:color="auto" w:sz="12" w:space="0"/>
            </w:tcBorders>
            <w:vAlign w:val="center"/>
          </w:tcPr>
          <w:p w14:paraId="1AD88D12">
            <w:pPr>
              <w:jc w:val="center"/>
              <w:rPr>
                <w:rFonts w:ascii="宋体" w:hAnsi="宋体"/>
                <w:b/>
                <w:sz w:val="18"/>
                <w:szCs w:val="18"/>
              </w:rPr>
            </w:pPr>
            <w:r>
              <w:rPr>
                <w:rFonts w:hint="eastAsia" w:ascii="宋体" w:hAnsi="宋体"/>
                <w:b/>
                <w:sz w:val="18"/>
                <w:szCs w:val="18"/>
              </w:rPr>
              <w:t>序号</w:t>
            </w:r>
          </w:p>
        </w:tc>
        <w:tc>
          <w:tcPr>
            <w:tcW w:w="1027" w:type="dxa"/>
            <w:tcBorders>
              <w:bottom w:val="single" w:color="auto" w:sz="12" w:space="0"/>
            </w:tcBorders>
            <w:vAlign w:val="center"/>
          </w:tcPr>
          <w:p w14:paraId="00A8A2EA">
            <w:pPr>
              <w:jc w:val="center"/>
              <w:rPr>
                <w:rFonts w:ascii="宋体" w:hAnsi="宋体"/>
                <w:b/>
                <w:sz w:val="18"/>
                <w:szCs w:val="18"/>
              </w:rPr>
            </w:pPr>
            <w:r>
              <w:rPr>
                <w:rFonts w:hint="eastAsia" w:ascii="宋体" w:hAnsi="宋体"/>
                <w:b/>
                <w:sz w:val="18"/>
                <w:szCs w:val="18"/>
              </w:rPr>
              <w:t>指标</w:t>
            </w:r>
          </w:p>
        </w:tc>
        <w:tc>
          <w:tcPr>
            <w:tcW w:w="4758" w:type="dxa"/>
            <w:tcBorders>
              <w:bottom w:val="single" w:color="auto" w:sz="12" w:space="0"/>
            </w:tcBorders>
            <w:vAlign w:val="center"/>
          </w:tcPr>
          <w:p w14:paraId="607EA766">
            <w:pPr>
              <w:jc w:val="center"/>
              <w:rPr>
                <w:rFonts w:ascii="宋体" w:hAnsi="宋体"/>
                <w:b/>
                <w:sz w:val="18"/>
                <w:szCs w:val="18"/>
              </w:rPr>
            </w:pPr>
            <w:r>
              <w:rPr>
                <w:rFonts w:hint="eastAsia" w:ascii="宋体" w:hAnsi="宋体"/>
                <w:b/>
                <w:sz w:val="18"/>
                <w:szCs w:val="18"/>
              </w:rPr>
              <w:t>符合性评价内容</w:t>
            </w:r>
          </w:p>
        </w:tc>
        <w:tc>
          <w:tcPr>
            <w:tcW w:w="1650" w:type="dxa"/>
            <w:tcBorders>
              <w:bottom w:val="single" w:color="auto" w:sz="12" w:space="0"/>
            </w:tcBorders>
            <w:vAlign w:val="center"/>
          </w:tcPr>
          <w:p w14:paraId="75E8DD54">
            <w:pPr>
              <w:jc w:val="center"/>
              <w:rPr>
                <w:rFonts w:ascii="宋体" w:hAnsi="宋体"/>
                <w:b/>
                <w:sz w:val="18"/>
                <w:szCs w:val="18"/>
              </w:rPr>
            </w:pPr>
            <w:r>
              <w:rPr>
                <w:rFonts w:hint="eastAsia" w:ascii="宋体" w:hAnsi="宋体" w:cs="宋体"/>
                <w:b/>
                <w:sz w:val="18"/>
                <w:szCs w:val="18"/>
              </w:rPr>
              <w:t>评价结果（是/否）</w:t>
            </w:r>
          </w:p>
        </w:tc>
        <w:tc>
          <w:tcPr>
            <w:tcW w:w="1545" w:type="dxa"/>
            <w:tcBorders>
              <w:bottom w:val="single" w:color="auto" w:sz="12" w:space="0"/>
            </w:tcBorders>
            <w:vAlign w:val="center"/>
          </w:tcPr>
          <w:p w14:paraId="017FCCB1">
            <w:pPr>
              <w:jc w:val="center"/>
              <w:rPr>
                <w:rFonts w:ascii="宋体" w:hAnsi="宋体"/>
                <w:b/>
                <w:sz w:val="18"/>
                <w:szCs w:val="18"/>
              </w:rPr>
            </w:pPr>
            <w:r>
              <w:rPr>
                <w:rFonts w:hint="eastAsia" w:ascii="宋体" w:hAnsi="宋体"/>
                <w:b/>
                <w:sz w:val="18"/>
                <w:szCs w:val="18"/>
              </w:rPr>
              <w:t>佐证材料备注</w:t>
            </w:r>
            <w:r>
              <w:rPr>
                <w:rFonts w:hint="eastAsia" w:ascii="宋体" w:hAnsi="宋体"/>
                <w:bCs/>
                <w:sz w:val="18"/>
                <w:szCs w:val="18"/>
                <w:vertAlign w:val="superscript"/>
              </w:rPr>
              <w:t>a</w:t>
            </w:r>
          </w:p>
        </w:tc>
      </w:tr>
      <w:tr w14:paraId="7592D54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17" w:hRule="atLeast"/>
          <w:jc w:val="center"/>
        </w:trPr>
        <w:tc>
          <w:tcPr>
            <w:tcW w:w="579" w:type="dxa"/>
            <w:tcBorders>
              <w:top w:val="single" w:color="auto" w:sz="12" w:space="0"/>
              <w:tl2br w:val="nil"/>
              <w:tr2bl w:val="nil"/>
            </w:tcBorders>
            <w:vAlign w:val="center"/>
          </w:tcPr>
          <w:p w14:paraId="03D3DBFD">
            <w:pPr>
              <w:widowControl/>
              <w:jc w:val="center"/>
              <w:rPr>
                <w:rFonts w:ascii="宋体" w:hAnsi="宋体"/>
                <w:color w:val="000000"/>
                <w:kern w:val="0"/>
                <w:sz w:val="18"/>
                <w:szCs w:val="18"/>
              </w:rPr>
            </w:pPr>
            <w:r>
              <w:rPr>
                <w:rFonts w:hint="eastAsia" w:ascii="宋体" w:hAnsi="宋体"/>
                <w:color w:val="000000"/>
                <w:kern w:val="0"/>
                <w:sz w:val="18"/>
                <w:szCs w:val="18"/>
              </w:rPr>
              <w:t>1</w:t>
            </w:r>
          </w:p>
        </w:tc>
        <w:tc>
          <w:tcPr>
            <w:tcW w:w="1027" w:type="dxa"/>
            <w:tcBorders>
              <w:top w:val="single" w:color="auto" w:sz="12" w:space="0"/>
              <w:tl2br w:val="nil"/>
              <w:tr2bl w:val="nil"/>
            </w:tcBorders>
            <w:vAlign w:val="center"/>
          </w:tcPr>
          <w:p w14:paraId="71AB3C15">
            <w:pPr>
              <w:widowControl/>
              <w:jc w:val="center"/>
              <w:rPr>
                <w:rFonts w:ascii="宋体" w:hAnsi="宋体"/>
                <w:color w:val="000000"/>
                <w:kern w:val="0"/>
                <w:sz w:val="18"/>
                <w:szCs w:val="18"/>
              </w:rPr>
            </w:pPr>
            <w:r>
              <w:rPr>
                <w:rFonts w:hint="eastAsia" w:ascii="宋体" w:hAnsi="宋体"/>
                <w:color w:val="000000"/>
                <w:kern w:val="0"/>
                <w:sz w:val="18"/>
                <w:szCs w:val="18"/>
              </w:rPr>
              <w:t>目录符合</w:t>
            </w:r>
          </w:p>
        </w:tc>
        <w:tc>
          <w:tcPr>
            <w:tcW w:w="4758" w:type="dxa"/>
            <w:tcBorders>
              <w:top w:val="single" w:color="auto" w:sz="12" w:space="0"/>
              <w:tl2br w:val="nil"/>
              <w:tr2bl w:val="nil"/>
            </w:tcBorders>
            <w:vAlign w:val="center"/>
          </w:tcPr>
          <w:p w14:paraId="512CD88B">
            <w:pPr>
              <w:widowControl/>
              <w:rPr>
                <w:rFonts w:ascii="宋体" w:hAnsi="宋体"/>
                <w:color w:val="000000"/>
                <w:kern w:val="0"/>
                <w:sz w:val="18"/>
                <w:szCs w:val="18"/>
              </w:rPr>
            </w:pPr>
            <w:r>
              <w:rPr>
                <w:rFonts w:hint="eastAsia" w:ascii="宋体" w:hAnsi="宋体"/>
                <w:color w:val="000000"/>
                <w:kern w:val="0"/>
                <w:sz w:val="18"/>
                <w:szCs w:val="18"/>
              </w:rPr>
              <w:t>申请认定评价的项目属于智能电网建设运营利用产业，或在当地具备一定市场规模，经相关政府职能部门认可的其他相关行业，且符合安全、环保、质量相关法规政策、强制性标准等要求</w:t>
            </w:r>
          </w:p>
        </w:tc>
        <w:tc>
          <w:tcPr>
            <w:tcW w:w="1650" w:type="dxa"/>
            <w:tcBorders>
              <w:top w:val="single" w:color="auto" w:sz="12" w:space="0"/>
              <w:tl2br w:val="nil"/>
              <w:tr2bl w:val="nil"/>
            </w:tcBorders>
            <w:vAlign w:val="center"/>
          </w:tcPr>
          <w:p w14:paraId="407C25BC">
            <w:pPr>
              <w:jc w:val="center"/>
              <w:rPr>
                <w:rFonts w:ascii="宋体" w:hAnsi="宋体"/>
                <w:sz w:val="18"/>
                <w:szCs w:val="18"/>
              </w:rPr>
            </w:pPr>
          </w:p>
        </w:tc>
        <w:tc>
          <w:tcPr>
            <w:tcW w:w="1545" w:type="dxa"/>
            <w:tcBorders>
              <w:top w:val="single" w:color="auto" w:sz="12" w:space="0"/>
              <w:tl2br w:val="nil"/>
              <w:tr2bl w:val="nil"/>
            </w:tcBorders>
            <w:vAlign w:val="center"/>
          </w:tcPr>
          <w:p w14:paraId="75C083F2">
            <w:pPr>
              <w:jc w:val="center"/>
              <w:rPr>
                <w:rFonts w:ascii="宋体" w:hAnsi="宋体" w:cs="宋体"/>
                <w:sz w:val="18"/>
                <w:szCs w:val="18"/>
              </w:rPr>
            </w:pPr>
          </w:p>
        </w:tc>
      </w:tr>
      <w:tr w14:paraId="067D5C6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579" w:type="dxa"/>
            <w:tcBorders>
              <w:bottom w:val="single" w:color="auto" w:sz="12" w:space="0"/>
              <w:tl2br w:val="nil"/>
              <w:tr2bl w:val="nil"/>
            </w:tcBorders>
            <w:vAlign w:val="center"/>
          </w:tcPr>
          <w:p w14:paraId="1D0CA9BC">
            <w:pPr>
              <w:widowControl/>
              <w:jc w:val="center"/>
              <w:rPr>
                <w:rFonts w:ascii="宋体" w:hAnsi="宋体"/>
                <w:color w:val="000000"/>
                <w:kern w:val="0"/>
                <w:sz w:val="18"/>
                <w:szCs w:val="18"/>
              </w:rPr>
            </w:pPr>
            <w:r>
              <w:rPr>
                <w:rFonts w:hint="eastAsia" w:ascii="宋体" w:hAnsi="宋体"/>
                <w:color w:val="000000"/>
                <w:kern w:val="0"/>
                <w:sz w:val="18"/>
                <w:szCs w:val="18"/>
              </w:rPr>
              <w:t>2</w:t>
            </w:r>
          </w:p>
        </w:tc>
        <w:tc>
          <w:tcPr>
            <w:tcW w:w="1027" w:type="dxa"/>
            <w:tcBorders>
              <w:bottom w:val="single" w:color="auto" w:sz="12" w:space="0"/>
              <w:tl2br w:val="nil"/>
              <w:tr2bl w:val="nil"/>
            </w:tcBorders>
            <w:vAlign w:val="center"/>
          </w:tcPr>
          <w:p w14:paraId="09D859E8">
            <w:pPr>
              <w:widowControl/>
              <w:jc w:val="center"/>
              <w:rPr>
                <w:rFonts w:ascii="宋体" w:hAnsi="宋体"/>
                <w:color w:val="000000"/>
                <w:kern w:val="0"/>
                <w:sz w:val="18"/>
                <w:szCs w:val="18"/>
              </w:rPr>
            </w:pPr>
            <w:r>
              <w:rPr>
                <w:rFonts w:hint="eastAsia" w:ascii="宋体" w:hAnsi="宋体"/>
                <w:kern w:val="0"/>
                <w:sz w:val="18"/>
                <w:szCs w:val="18"/>
              </w:rPr>
              <w:t>技术符合</w:t>
            </w:r>
          </w:p>
        </w:tc>
        <w:tc>
          <w:tcPr>
            <w:tcW w:w="4758" w:type="dxa"/>
            <w:tcBorders>
              <w:bottom w:val="single" w:color="auto" w:sz="12" w:space="0"/>
              <w:tl2br w:val="nil"/>
              <w:tr2bl w:val="nil"/>
            </w:tcBorders>
            <w:vAlign w:val="center"/>
          </w:tcPr>
          <w:p w14:paraId="4BFDCD22">
            <w:pPr>
              <w:widowControl/>
              <w:rPr>
                <w:rFonts w:ascii="宋体" w:hAnsi="宋体"/>
                <w:color w:val="000000"/>
                <w:kern w:val="0"/>
                <w:sz w:val="18"/>
                <w:szCs w:val="18"/>
              </w:rPr>
            </w:pPr>
            <w:r>
              <w:rPr>
                <w:rFonts w:hint="eastAsia" w:ascii="宋体"/>
                <w:sz w:val="18"/>
                <w:szCs w:val="18"/>
              </w:rPr>
              <w:t>提供的产品或服务应符合国家及各省市相关主管部门发布文件列明的有关设计、能效、性能、安全、贮存、回收、标识、验收、管理和运维等技术要求</w:t>
            </w:r>
          </w:p>
        </w:tc>
        <w:tc>
          <w:tcPr>
            <w:tcW w:w="1650" w:type="dxa"/>
            <w:tcBorders>
              <w:bottom w:val="single" w:color="auto" w:sz="12" w:space="0"/>
              <w:tl2br w:val="nil"/>
              <w:tr2bl w:val="nil"/>
            </w:tcBorders>
            <w:vAlign w:val="center"/>
          </w:tcPr>
          <w:p w14:paraId="62B35F80">
            <w:pPr>
              <w:jc w:val="center"/>
              <w:rPr>
                <w:rFonts w:ascii="宋体" w:hAnsi="宋体"/>
                <w:sz w:val="18"/>
                <w:szCs w:val="18"/>
              </w:rPr>
            </w:pPr>
          </w:p>
        </w:tc>
        <w:tc>
          <w:tcPr>
            <w:tcW w:w="1545" w:type="dxa"/>
            <w:tcBorders>
              <w:bottom w:val="single" w:color="auto" w:sz="12" w:space="0"/>
              <w:tl2br w:val="nil"/>
              <w:tr2bl w:val="nil"/>
            </w:tcBorders>
            <w:vAlign w:val="center"/>
          </w:tcPr>
          <w:p w14:paraId="16639CA6">
            <w:pPr>
              <w:jc w:val="center"/>
              <w:rPr>
                <w:rFonts w:ascii="宋体" w:hAnsi="宋体" w:cs="宋体"/>
                <w:sz w:val="18"/>
                <w:szCs w:val="18"/>
              </w:rPr>
            </w:pPr>
          </w:p>
        </w:tc>
      </w:tr>
      <w:tr w14:paraId="718C4B2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9559" w:type="dxa"/>
            <w:gridSpan w:val="5"/>
            <w:tcBorders>
              <w:top w:val="single" w:color="auto" w:sz="12" w:space="0"/>
            </w:tcBorders>
            <w:vAlign w:val="center"/>
          </w:tcPr>
          <w:p w14:paraId="124EBBEE">
            <w:pPr>
              <w:ind w:firstLine="360" w:firstLineChars="200"/>
              <w:jc w:val="left"/>
              <w:rPr>
                <w:rFonts w:ascii="宋体" w:hAnsi="宋体" w:cs="宋体"/>
                <w:sz w:val="18"/>
                <w:szCs w:val="18"/>
              </w:rPr>
            </w:pPr>
            <w:r>
              <w:rPr>
                <w:rStyle w:val="155"/>
                <w:rFonts w:hint="eastAsia" w:ascii="宋体" w:hAnsi="宋体" w:cs="宋体"/>
                <w:sz w:val="18"/>
                <w:szCs w:val="18"/>
                <w:vertAlign w:val="superscript"/>
              </w:rPr>
              <w:t>a</w:t>
            </w:r>
            <w:r>
              <w:rPr>
                <w:rFonts w:hint="eastAsia" w:ascii="宋体" w:hAnsi="宋体" w:cs="宋体"/>
                <w:sz w:val="18"/>
                <w:szCs w:val="18"/>
              </w:rPr>
              <w:t xml:space="preserve"> </w:t>
            </w:r>
            <w:r>
              <w:rPr>
                <w:rFonts w:hint="eastAsia" w:cs="宋体" w:asciiTheme="minorEastAsia" w:hAnsiTheme="minorEastAsia" w:eastAsiaTheme="minorEastAsia"/>
                <w:sz w:val="18"/>
                <w:szCs w:val="18"/>
              </w:rPr>
              <w:t xml:space="preserve"> 给出材料对应的具体页码，例如，见第4页。</w:t>
            </w:r>
          </w:p>
        </w:tc>
      </w:tr>
    </w:tbl>
    <w:p w14:paraId="2E2B67F7">
      <w:pPr>
        <w:numPr>
          <w:ilvl w:val="1"/>
          <w:numId w:val="0"/>
        </w:numPr>
        <w:spacing w:before="156" w:beforeLines="50" w:after="156" w:afterLines="50"/>
        <w:jc w:val="center"/>
        <w:rPr>
          <w:rFonts w:ascii="黑体" w:hAnsi="黑体" w:eastAsia="黑体" w:cs="黑体"/>
          <w:szCs w:val="21"/>
        </w:rPr>
      </w:pPr>
      <w:r>
        <w:rPr>
          <w:rFonts w:hint="eastAsia" w:ascii="黑体" w:hAnsi="黑体" w:eastAsia="黑体" w:cs="黑体"/>
          <w:szCs w:val="21"/>
        </w:rPr>
        <w:t>表D.4  综合评价</w:t>
      </w:r>
    </w:p>
    <w:tbl>
      <w:tblPr>
        <w:tblStyle w:val="35"/>
        <w:tblpPr w:leftFromText="180" w:rightFromText="180" w:vertAnchor="text" w:tblpXSpec="center" w:tblpY="1"/>
        <w:tblOverlap w:val="never"/>
        <w:tblW w:w="9559"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87"/>
        <w:gridCol w:w="2506"/>
        <w:gridCol w:w="1208"/>
        <w:gridCol w:w="1732"/>
        <w:gridCol w:w="2626"/>
      </w:tblGrid>
      <w:tr w14:paraId="6584DC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4" w:hRule="atLeast"/>
          <w:tblHeader/>
        </w:trPr>
        <w:tc>
          <w:tcPr>
            <w:tcW w:w="1487" w:type="dxa"/>
            <w:tcBorders>
              <w:bottom w:val="single" w:color="auto" w:sz="12" w:space="0"/>
            </w:tcBorders>
            <w:vAlign w:val="center"/>
          </w:tcPr>
          <w:p w14:paraId="52403816">
            <w:pPr>
              <w:pStyle w:val="25"/>
              <w:snapToGrid w:val="0"/>
              <w:ind w:firstLine="0" w:firstLineChars="0"/>
              <w:jc w:val="center"/>
              <w:rPr>
                <w:rFonts w:ascii="Times New Roman" w:eastAsia="Times New Roman"/>
                <w:b/>
                <w:sz w:val="18"/>
                <w:szCs w:val="18"/>
              </w:rPr>
            </w:pPr>
            <w:r>
              <w:rPr>
                <w:rFonts w:hint="eastAsia" w:ascii="Times New Roman"/>
                <w:b/>
                <w:sz w:val="18"/>
                <w:szCs w:val="18"/>
              </w:rPr>
              <w:t>一级指标</w:t>
            </w:r>
          </w:p>
        </w:tc>
        <w:tc>
          <w:tcPr>
            <w:tcW w:w="2506" w:type="dxa"/>
            <w:tcBorders>
              <w:bottom w:val="single" w:color="auto" w:sz="12" w:space="0"/>
            </w:tcBorders>
            <w:vAlign w:val="center"/>
          </w:tcPr>
          <w:p w14:paraId="04B4772B">
            <w:pPr>
              <w:pStyle w:val="25"/>
              <w:snapToGrid w:val="0"/>
              <w:ind w:firstLine="0" w:firstLineChars="0"/>
              <w:jc w:val="center"/>
              <w:rPr>
                <w:rFonts w:ascii="Times New Roman" w:eastAsia="Times New Roman"/>
                <w:b/>
                <w:sz w:val="18"/>
                <w:szCs w:val="18"/>
              </w:rPr>
            </w:pPr>
            <w:r>
              <w:rPr>
                <w:rFonts w:hint="eastAsia" w:ascii="Times New Roman"/>
                <w:b/>
                <w:sz w:val="18"/>
                <w:szCs w:val="18"/>
              </w:rPr>
              <w:t>二级指标</w:t>
            </w:r>
          </w:p>
        </w:tc>
        <w:tc>
          <w:tcPr>
            <w:tcW w:w="1208" w:type="dxa"/>
            <w:tcBorders>
              <w:bottom w:val="single" w:color="auto" w:sz="12" w:space="0"/>
            </w:tcBorders>
            <w:vAlign w:val="center"/>
          </w:tcPr>
          <w:p w14:paraId="1A4C5190">
            <w:pPr>
              <w:pStyle w:val="25"/>
              <w:snapToGrid w:val="0"/>
              <w:ind w:firstLine="0" w:firstLineChars="0"/>
              <w:jc w:val="center"/>
              <w:rPr>
                <w:rFonts w:ascii="Times New Roman" w:eastAsia="Times New Roman"/>
                <w:b/>
                <w:sz w:val="18"/>
                <w:szCs w:val="18"/>
              </w:rPr>
            </w:pPr>
            <w:r>
              <w:rPr>
                <w:rFonts w:hint="eastAsia" w:ascii="Times New Roman"/>
                <w:b/>
                <w:sz w:val="18"/>
                <w:szCs w:val="18"/>
              </w:rPr>
              <w:t>分值（分）</w:t>
            </w:r>
          </w:p>
        </w:tc>
        <w:tc>
          <w:tcPr>
            <w:tcW w:w="1732" w:type="dxa"/>
            <w:tcBorders>
              <w:bottom w:val="single" w:color="auto" w:sz="12" w:space="0"/>
            </w:tcBorders>
            <w:vAlign w:val="center"/>
          </w:tcPr>
          <w:p w14:paraId="7CE1C9D7">
            <w:pPr>
              <w:pStyle w:val="25"/>
              <w:snapToGrid w:val="0"/>
              <w:ind w:firstLine="0" w:firstLineChars="0"/>
              <w:jc w:val="center"/>
              <w:rPr>
                <w:rFonts w:ascii="Times New Roman" w:eastAsia="Times New Roman"/>
                <w:b/>
                <w:sz w:val="18"/>
                <w:szCs w:val="18"/>
              </w:rPr>
            </w:pPr>
            <w:r>
              <w:rPr>
                <w:rFonts w:hint="eastAsia" w:ascii="Times New Roman"/>
                <w:b/>
                <w:sz w:val="18"/>
                <w:szCs w:val="18"/>
              </w:rPr>
              <w:t>评价得分（分）</w:t>
            </w:r>
          </w:p>
        </w:tc>
        <w:tc>
          <w:tcPr>
            <w:tcW w:w="2626" w:type="dxa"/>
            <w:tcBorders>
              <w:bottom w:val="single" w:color="auto" w:sz="12" w:space="0"/>
            </w:tcBorders>
            <w:vAlign w:val="center"/>
          </w:tcPr>
          <w:p w14:paraId="7D0936B6">
            <w:pPr>
              <w:pStyle w:val="25"/>
              <w:snapToGrid w:val="0"/>
              <w:ind w:firstLine="0" w:firstLineChars="0"/>
              <w:jc w:val="center"/>
              <w:rPr>
                <w:rFonts w:ascii="Times New Roman" w:eastAsia="Times New Roman"/>
                <w:b/>
                <w:sz w:val="18"/>
                <w:szCs w:val="18"/>
              </w:rPr>
            </w:pPr>
            <w:r>
              <w:rPr>
                <w:rFonts w:hint="eastAsia" w:ascii="Times New Roman"/>
                <w:b/>
                <w:sz w:val="18"/>
                <w:szCs w:val="18"/>
              </w:rPr>
              <w:t>佐证材料备注</w:t>
            </w:r>
            <w:r>
              <w:rPr>
                <w:rFonts w:hint="eastAsia" w:hAnsi="宋体"/>
                <w:bCs/>
                <w:sz w:val="18"/>
                <w:szCs w:val="18"/>
                <w:vertAlign w:val="superscript"/>
              </w:rPr>
              <w:t>a</w:t>
            </w:r>
          </w:p>
        </w:tc>
      </w:tr>
      <w:tr w14:paraId="3A3527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487" w:type="dxa"/>
            <w:vMerge w:val="restart"/>
            <w:tcBorders>
              <w:top w:val="single" w:color="auto" w:sz="12" w:space="0"/>
              <w:tl2br w:val="nil"/>
              <w:tr2bl w:val="nil"/>
            </w:tcBorders>
            <w:vAlign w:val="center"/>
          </w:tcPr>
          <w:p w14:paraId="35187C78">
            <w:pPr>
              <w:pStyle w:val="25"/>
              <w:snapToGrid w:val="0"/>
              <w:ind w:firstLine="0" w:firstLineChars="0"/>
              <w:jc w:val="center"/>
              <w:rPr>
                <w:rFonts w:hAnsi="宋体" w:cs="宋体"/>
                <w:sz w:val="18"/>
                <w:szCs w:val="18"/>
              </w:rPr>
            </w:pPr>
            <w:r>
              <w:rPr>
                <w:rFonts w:hint="eastAsia" w:hAnsi="宋体" w:cs="宋体"/>
                <w:sz w:val="18"/>
                <w:szCs w:val="18"/>
              </w:rPr>
              <w:t>技术表现</w:t>
            </w:r>
          </w:p>
        </w:tc>
        <w:tc>
          <w:tcPr>
            <w:tcW w:w="2506" w:type="dxa"/>
            <w:tcBorders>
              <w:top w:val="single" w:color="auto" w:sz="12" w:space="0"/>
              <w:tl2br w:val="nil"/>
              <w:tr2bl w:val="nil"/>
            </w:tcBorders>
            <w:vAlign w:val="center"/>
          </w:tcPr>
          <w:p w14:paraId="076BDE11">
            <w:pPr>
              <w:pStyle w:val="25"/>
              <w:snapToGrid w:val="0"/>
              <w:ind w:firstLine="0" w:firstLineChars="0"/>
              <w:jc w:val="center"/>
              <w:rPr>
                <w:rFonts w:hAnsi="宋体" w:cs="宋体"/>
                <w:sz w:val="18"/>
                <w:szCs w:val="18"/>
              </w:rPr>
            </w:pPr>
            <w:r>
              <w:rPr>
                <w:rFonts w:hint="eastAsia" w:hAnsi="宋体" w:cs="宋体"/>
                <w:sz w:val="18"/>
                <w:szCs w:val="18"/>
              </w:rPr>
              <w:t>有效知识产权</w:t>
            </w:r>
          </w:p>
        </w:tc>
        <w:tc>
          <w:tcPr>
            <w:tcW w:w="1208" w:type="dxa"/>
            <w:tcBorders>
              <w:top w:val="single" w:color="auto" w:sz="12" w:space="0"/>
              <w:tl2br w:val="nil"/>
              <w:tr2bl w:val="nil"/>
            </w:tcBorders>
            <w:vAlign w:val="center"/>
          </w:tcPr>
          <w:p w14:paraId="5032D6D1">
            <w:pPr>
              <w:pStyle w:val="25"/>
              <w:snapToGrid w:val="0"/>
              <w:ind w:firstLine="0" w:firstLineChars="0"/>
              <w:jc w:val="center"/>
              <w:rPr>
                <w:rFonts w:hAnsi="宋体" w:cs="宋体"/>
                <w:sz w:val="18"/>
                <w:szCs w:val="18"/>
              </w:rPr>
            </w:pPr>
            <w:r>
              <w:rPr>
                <w:rFonts w:hint="eastAsia" w:hAnsi="宋体" w:cs="宋体"/>
                <w:sz w:val="18"/>
                <w:szCs w:val="18"/>
              </w:rPr>
              <w:t>20</w:t>
            </w:r>
          </w:p>
        </w:tc>
        <w:tc>
          <w:tcPr>
            <w:tcW w:w="1732" w:type="dxa"/>
            <w:tcBorders>
              <w:top w:val="single" w:color="auto" w:sz="12" w:space="0"/>
              <w:tl2br w:val="nil"/>
              <w:tr2bl w:val="nil"/>
            </w:tcBorders>
            <w:vAlign w:val="center"/>
          </w:tcPr>
          <w:p w14:paraId="4967E2F2">
            <w:pPr>
              <w:pStyle w:val="25"/>
              <w:snapToGrid w:val="0"/>
              <w:ind w:firstLine="0" w:firstLineChars="0"/>
              <w:jc w:val="center"/>
              <w:rPr>
                <w:rFonts w:hAnsi="宋体" w:cs="宋体"/>
                <w:sz w:val="18"/>
                <w:szCs w:val="18"/>
              </w:rPr>
            </w:pPr>
          </w:p>
        </w:tc>
        <w:tc>
          <w:tcPr>
            <w:tcW w:w="2626" w:type="dxa"/>
            <w:tcBorders>
              <w:top w:val="single" w:color="auto" w:sz="12" w:space="0"/>
              <w:tl2br w:val="nil"/>
              <w:tr2bl w:val="nil"/>
            </w:tcBorders>
            <w:vAlign w:val="center"/>
          </w:tcPr>
          <w:p w14:paraId="317A41A5">
            <w:pPr>
              <w:pStyle w:val="25"/>
              <w:snapToGrid w:val="0"/>
              <w:ind w:firstLine="0" w:firstLineChars="0"/>
              <w:jc w:val="center"/>
              <w:rPr>
                <w:rFonts w:hAnsi="宋体" w:cs="宋体"/>
                <w:sz w:val="18"/>
                <w:szCs w:val="18"/>
              </w:rPr>
            </w:pPr>
          </w:p>
        </w:tc>
      </w:tr>
      <w:tr w14:paraId="0C06E2F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487" w:type="dxa"/>
            <w:vMerge w:val="continue"/>
            <w:tcBorders>
              <w:tl2br w:val="nil"/>
              <w:tr2bl w:val="nil"/>
            </w:tcBorders>
            <w:vAlign w:val="center"/>
          </w:tcPr>
          <w:p w14:paraId="244169FB">
            <w:pPr>
              <w:pStyle w:val="25"/>
              <w:snapToGrid w:val="0"/>
              <w:ind w:firstLine="0" w:firstLineChars="0"/>
              <w:jc w:val="center"/>
              <w:rPr>
                <w:rFonts w:hAnsi="宋体" w:cs="宋体"/>
                <w:sz w:val="18"/>
                <w:szCs w:val="18"/>
              </w:rPr>
            </w:pPr>
          </w:p>
        </w:tc>
        <w:tc>
          <w:tcPr>
            <w:tcW w:w="2506" w:type="dxa"/>
            <w:tcBorders>
              <w:tl2br w:val="nil"/>
              <w:tr2bl w:val="nil"/>
            </w:tcBorders>
            <w:vAlign w:val="center"/>
          </w:tcPr>
          <w:p w14:paraId="7C8B7522">
            <w:pPr>
              <w:pStyle w:val="25"/>
              <w:snapToGrid w:val="0"/>
              <w:ind w:firstLine="0" w:firstLineChars="0"/>
              <w:jc w:val="center"/>
              <w:rPr>
                <w:rFonts w:hAnsi="宋体" w:cs="宋体"/>
                <w:sz w:val="18"/>
                <w:szCs w:val="18"/>
              </w:rPr>
            </w:pPr>
            <w:r>
              <w:rPr>
                <w:rFonts w:hint="eastAsia" w:hAnsi="宋体" w:cs="宋体"/>
                <w:sz w:val="18"/>
                <w:szCs w:val="18"/>
              </w:rPr>
              <w:t>关键技术先进性</w:t>
            </w:r>
          </w:p>
        </w:tc>
        <w:tc>
          <w:tcPr>
            <w:tcW w:w="1208" w:type="dxa"/>
            <w:tcBorders>
              <w:tl2br w:val="nil"/>
              <w:tr2bl w:val="nil"/>
            </w:tcBorders>
            <w:vAlign w:val="center"/>
          </w:tcPr>
          <w:p w14:paraId="0D1986FA">
            <w:pPr>
              <w:pStyle w:val="25"/>
              <w:snapToGrid w:val="0"/>
              <w:ind w:firstLine="0" w:firstLineChars="0"/>
              <w:jc w:val="center"/>
              <w:rPr>
                <w:rFonts w:hAnsi="宋体" w:cs="宋体"/>
                <w:sz w:val="18"/>
                <w:szCs w:val="18"/>
              </w:rPr>
            </w:pPr>
            <w:r>
              <w:rPr>
                <w:rFonts w:hint="eastAsia" w:hAnsi="宋体" w:cs="宋体"/>
                <w:sz w:val="18"/>
                <w:szCs w:val="18"/>
              </w:rPr>
              <w:t>20</w:t>
            </w:r>
          </w:p>
        </w:tc>
        <w:tc>
          <w:tcPr>
            <w:tcW w:w="1732" w:type="dxa"/>
            <w:tcBorders>
              <w:tl2br w:val="nil"/>
              <w:tr2bl w:val="nil"/>
            </w:tcBorders>
            <w:vAlign w:val="center"/>
          </w:tcPr>
          <w:p w14:paraId="275BCE68">
            <w:pPr>
              <w:pStyle w:val="25"/>
              <w:snapToGrid w:val="0"/>
              <w:ind w:firstLine="0" w:firstLineChars="0"/>
              <w:jc w:val="center"/>
              <w:rPr>
                <w:rFonts w:hAnsi="宋体" w:cs="宋体"/>
                <w:sz w:val="18"/>
                <w:szCs w:val="18"/>
              </w:rPr>
            </w:pPr>
          </w:p>
        </w:tc>
        <w:tc>
          <w:tcPr>
            <w:tcW w:w="2626" w:type="dxa"/>
            <w:tcBorders>
              <w:tl2br w:val="nil"/>
              <w:tr2bl w:val="nil"/>
            </w:tcBorders>
            <w:vAlign w:val="center"/>
          </w:tcPr>
          <w:p w14:paraId="080A3E5B">
            <w:pPr>
              <w:pStyle w:val="25"/>
              <w:snapToGrid w:val="0"/>
              <w:ind w:firstLine="0" w:firstLineChars="0"/>
              <w:jc w:val="center"/>
              <w:rPr>
                <w:rFonts w:hAnsi="宋体" w:cs="宋体"/>
                <w:sz w:val="18"/>
                <w:szCs w:val="18"/>
              </w:rPr>
            </w:pPr>
          </w:p>
        </w:tc>
      </w:tr>
      <w:tr w14:paraId="071FBF1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487" w:type="dxa"/>
            <w:vMerge w:val="continue"/>
            <w:tcBorders>
              <w:tl2br w:val="nil"/>
              <w:tr2bl w:val="nil"/>
            </w:tcBorders>
            <w:vAlign w:val="center"/>
          </w:tcPr>
          <w:p w14:paraId="7F3E7A51">
            <w:pPr>
              <w:pStyle w:val="25"/>
              <w:snapToGrid w:val="0"/>
              <w:ind w:firstLine="0" w:firstLineChars="0"/>
              <w:jc w:val="center"/>
              <w:rPr>
                <w:rFonts w:hAnsi="宋体" w:cs="宋体"/>
                <w:sz w:val="18"/>
                <w:szCs w:val="18"/>
              </w:rPr>
            </w:pPr>
          </w:p>
        </w:tc>
        <w:tc>
          <w:tcPr>
            <w:tcW w:w="2506" w:type="dxa"/>
            <w:tcBorders>
              <w:tl2br w:val="nil"/>
              <w:tr2bl w:val="nil"/>
            </w:tcBorders>
            <w:vAlign w:val="center"/>
          </w:tcPr>
          <w:p w14:paraId="1AE76C0A">
            <w:pPr>
              <w:pStyle w:val="25"/>
              <w:snapToGrid w:val="0"/>
              <w:ind w:firstLine="0" w:firstLineChars="0"/>
              <w:jc w:val="center"/>
              <w:rPr>
                <w:rFonts w:hAnsi="宋体" w:cs="宋体"/>
                <w:sz w:val="18"/>
                <w:szCs w:val="18"/>
              </w:rPr>
            </w:pPr>
            <w:r>
              <w:rPr>
                <w:rFonts w:hint="eastAsia" w:hAnsi="宋体" w:cs="宋体"/>
                <w:sz w:val="18"/>
                <w:szCs w:val="18"/>
              </w:rPr>
              <w:t>环境效益</w:t>
            </w:r>
          </w:p>
        </w:tc>
        <w:tc>
          <w:tcPr>
            <w:tcW w:w="1208" w:type="dxa"/>
            <w:tcBorders>
              <w:tl2br w:val="nil"/>
              <w:tr2bl w:val="nil"/>
            </w:tcBorders>
            <w:vAlign w:val="center"/>
          </w:tcPr>
          <w:p w14:paraId="3B2883CA">
            <w:pPr>
              <w:pStyle w:val="25"/>
              <w:snapToGrid w:val="0"/>
              <w:ind w:firstLine="0" w:firstLineChars="0"/>
              <w:jc w:val="center"/>
              <w:rPr>
                <w:rFonts w:hAnsi="宋体" w:cs="宋体"/>
                <w:sz w:val="18"/>
                <w:szCs w:val="18"/>
              </w:rPr>
            </w:pPr>
            <w:r>
              <w:rPr>
                <w:rFonts w:hint="eastAsia" w:hAnsi="宋体" w:cs="宋体"/>
                <w:sz w:val="18"/>
                <w:szCs w:val="18"/>
              </w:rPr>
              <w:t>20</w:t>
            </w:r>
          </w:p>
        </w:tc>
        <w:tc>
          <w:tcPr>
            <w:tcW w:w="1732" w:type="dxa"/>
            <w:tcBorders>
              <w:tl2br w:val="nil"/>
              <w:tr2bl w:val="nil"/>
            </w:tcBorders>
            <w:vAlign w:val="center"/>
          </w:tcPr>
          <w:p w14:paraId="1C54B327">
            <w:pPr>
              <w:pStyle w:val="25"/>
              <w:snapToGrid w:val="0"/>
              <w:ind w:firstLine="0" w:firstLineChars="0"/>
              <w:jc w:val="center"/>
              <w:rPr>
                <w:rFonts w:hAnsi="宋体" w:cs="宋体"/>
                <w:sz w:val="18"/>
                <w:szCs w:val="18"/>
              </w:rPr>
            </w:pPr>
          </w:p>
        </w:tc>
        <w:tc>
          <w:tcPr>
            <w:tcW w:w="2626" w:type="dxa"/>
            <w:tcBorders>
              <w:tl2br w:val="nil"/>
              <w:tr2bl w:val="nil"/>
            </w:tcBorders>
            <w:vAlign w:val="center"/>
          </w:tcPr>
          <w:p w14:paraId="78699FAE">
            <w:pPr>
              <w:pStyle w:val="25"/>
              <w:snapToGrid w:val="0"/>
              <w:ind w:firstLine="0" w:firstLineChars="0"/>
              <w:jc w:val="center"/>
              <w:rPr>
                <w:rFonts w:hAnsi="宋体" w:cs="宋体"/>
                <w:sz w:val="18"/>
                <w:szCs w:val="18"/>
              </w:rPr>
            </w:pPr>
          </w:p>
        </w:tc>
      </w:tr>
      <w:tr w14:paraId="1673C4E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487" w:type="dxa"/>
            <w:vMerge w:val="restart"/>
            <w:tcBorders>
              <w:tl2br w:val="nil"/>
              <w:tr2bl w:val="nil"/>
            </w:tcBorders>
            <w:vAlign w:val="center"/>
          </w:tcPr>
          <w:p w14:paraId="67F37A66">
            <w:pPr>
              <w:pStyle w:val="25"/>
              <w:snapToGrid w:val="0"/>
              <w:ind w:firstLine="0" w:firstLineChars="0"/>
              <w:jc w:val="center"/>
              <w:rPr>
                <w:rFonts w:hAnsi="宋体" w:cs="宋体"/>
                <w:sz w:val="18"/>
                <w:szCs w:val="18"/>
              </w:rPr>
            </w:pPr>
            <w:r>
              <w:rPr>
                <w:rFonts w:hint="eastAsia" w:hAnsi="宋体" w:cs="宋体"/>
                <w:sz w:val="18"/>
                <w:szCs w:val="18"/>
              </w:rPr>
              <w:t>环境表现</w:t>
            </w:r>
          </w:p>
        </w:tc>
        <w:tc>
          <w:tcPr>
            <w:tcW w:w="2506" w:type="dxa"/>
            <w:tcBorders>
              <w:tl2br w:val="nil"/>
              <w:tr2bl w:val="nil"/>
            </w:tcBorders>
            <w:vAlign w:val="center"/>
          </w:tcPr>
          <w:p w14:paraId="02AB841C">
            <w:pPr>
              <w:pStyle w:val="25"/>
              <w:snapToGrid w:val="0"/>
              <w:ind w:firstLine="0" w:firstLineChars="0"/>
              <w:jc w:val="center"/>
              <w:rPr>
                <w:rFonts w:hAnsi="宋体" w:cs="宋体"/>
                <w:sz w:val="18"/>
                <w:szCs w:val="18"/>
              </w:rPr>
            </w:pPr>
            <w:r>
              <w:rPr>
                <w:rFonts w:hint="eastAsia" w:hAnsi="宋体" w:cs="宋体"/>
                <w:sz w:val="18"/>
                <w:szCs w:val="18"/>
              </w:rPr>
              <w:t>绿色低碳运营</w:t>
            </w:r>
          </w:p>
        </w:tc>
        <w:tc>
          <w:tcPr>
            <w:tcW w:w="1208" w:type="dxa"/>
            <w:tcBorders>
              <w:tl2br w:val="nil"/>
              <w:tr2bl w:val="nil"/>
            </w:tcBorders>
            <w:vAlign w:val="center"/>
          </w:tcPr>
          <w:p w14:paraId="08F7CC9D">
            <w:pPr>
              <w:pStyle w:val="25"/>
              <w:snapToGrid w:val="0"/>
              <w:ind w:firstLine="0" w:firstLineChars="0"/>
              <w:jc w:val="center"/>
              <w:rPr>
                <w:rFonts w:hAnsi="宋体" w:cs="宋体"/>
                <w:sz w:val="18"/>
                <w:szCs w:val="18"/>
              </w:rPr>
            </w:pPr>
            <w:r>
              <w:rPr>
                <w:rFonts w:hint="eastAsia" w:hAnsi="宋体" w:cs="宋体"/>
                <w:sz w:val="18"/>
                <w:szCs w:val="18"/>
              </w:rPr>
              <w:t>20</w:t>
            </w:r>
          </w:p>
        </w:tc>
        <w:tc>
          <w:tcPr>
            <w:tcW w:w="1732" w:type="dxa"/>
            <w:tcBorders>
              <w:tl2br w:val="nil"/>
              <w:tr2bl w:val="nil"/>
            </w:tcBorders>
            <w:vAlign w:val="center"/>
          </w:tcPr>
          <w:p w14:paraId="25715D7C">
            <w:pPr>
              <w:pStyle w:val="25"/>
              <w:snapToGrid w:val="0"/>
              <w:ind w:firstLine="0" w:firstLineChars="0"/>
              <w:jc w:val="center"/>
              <w:rPr>
                <w:rFonts w:hAnsi="宋体" w:cs="宋体"/>
                <w:sz w:val="18"/>
                <w:szCs w:val="18"/>
              </w:rPr>
            </w:pPr>
          </w:p>
        </w:tc>
        <w:tc>
          <w:tcPr>
            <w:tcW w:w="2626" w:type="dxa"/>
            <w:tcBorders>
              <w:tl2br w:val="nil"/>
              <w:tr2bl w:val="nil"/>
            </w:tcBorders>
            <w:vAlign w:val="center"/>
          </w:tcPr>
          <w:p w14:paraId="091C1C3B">
            <w:pPr>
              <w:pStyle w:val="25"/>
              <w:snapToGrid w:val="0"/>
              <w:ind w:firstLine="0" w:firstLineChars="0"/>
              <w:jc w:val="center"/>
              <w:rPr>
                <w:rFonts w:hAnsi="宋体" w:cs="宋体"/>
                <w:sz w:val="18"/>
                <w:szCs w:val="18"/>
              </w:rPr>
            </w:pPr>
          </w:p>
        </w:tc>
      </w:tr>
      <w:tr w14:paraId="010E70E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487" w:type="dxa"/>
            <w:vMerge w:val="continue"/>
            <w:tcBorders>
              <w:tl2br w:val="nil"/>
              <w:tr2bl w:val="nil"/>
            </w:tcBorders>
            <w:vAlign w:val="center"/>
          </w:tcPr>
          <w:p w14:paraId="7254F232">
            <w:pPr>
              <w:pStyle w:val="25"/>
              <w:snapToGrid w:val="0"/>
              <w:ind w:firstLine="0" w:firstLineChars="0"/>
              <w:jc w:val="center"/>
              <w:rPr>
                <w:rFonts w:hAnsi="宋体" w:cs="宋体"/>
                <w:sz w:val="18"/>
                <w:szCs w:val="18"/>
              </w:rPr>
            </w:pPr>
          </w:p>
        </w:tc>
        <w:tc>
          <w:tcPr>
            <w:tcW w:w="2506" w:type="dxa"/>
            <w:tcBorders>
              <w:tl2br w:val="nil"/>
              <w:tr2bl w:val="nil"/>
            </w:tcBorders>
            <w:vAlign w:val="center"/>
          </w:tcPr>
          <w:p w14:paraId="3FDC536D">
            <w:pPr>
              <w:pStyle w:val="25"/>
              <w:snapToGrid w:val="0"/>
              <w:ind w:firstLine="0" w:firstLineChars="0"/>
              <w:jc w:val="center"/>
              <w:rPr>
                <w:rFonts w:hAnsi="宋体" w:cs="宋体"/>
                <w:sz w:val="18"/>
                <w:szCs w:val="18"/>
              </w:rPr>
            </w:pPr>
            <w:r>
              <w:rPr>
                <w:rFonts w:hint="eastAsia" w:hAnsi="宋体" w:cs="宋体"/>
                <w:sz w:val="18"/>
                <w:szCs w:val="18"/>
              </w:rPr>
              <w:t>工艺设备材料</w:t>
            </w:r>
          </w:p>
        </w:tc>
        <w:tc>
          <w:tcPr>
            <w:tcW w:w="1208" w:type="dxa"/>
            <w:tcBorders>
              <w:tl2br w:val="nil"/>
              <w:tr2bl w:val="nil"/>
            </w:tcBorders>
            <w:vAlign w:val="center"/>
          </w:tcPr>
          <w:p w14:paraId="02794402">
            <w:pPr>
              <w:pStyle w:val="25"/>
              <w:snapToGrid w:val="0"/>
              <w:ind w:firstLine="0" w:firstLineChars="0"/>
              <w:jc w:val="center"/>
              <w:rPr>
                <w:rFonts w:hAnsi="宋体" w:cs="宋体"/>
                <w:sz w:val="18"/>
                <w:szCs w:val="18"/>
              </w:rPr>
            </w:pPr>
            <w:r>
              <w:rPr>
                <w:rFonts w:hint="eastAsia" w:hAnsi="宋体" w:cs="宋体"/>
                <w:sz w:val="18"/>
                <w:szCs w:val="18"/>
              </w:rPr>
              <w:t>10</w:t>
            </w:r>
          </w:p>
        </w:tc>
        <w:tc>
          <w:tcPr>
            <w:tcW w:w="1732" w:type="dxa"/>
            <w:tcBorders>
              <w:tl2br w:val="nil"/>
              <w:tr2bl w:val="nil"/>
            </w:tcBorders>
            <w:vAlign w:val="center"/>
          </w:tcPr>
          <w:p w14:paraId="0132B82D">
            <w:pPr>
              <w:pStyle w:val="25"/>
              <w:snapToGrid w:val="0"/>
              <w:ind w:firstLine="0" w:firstLineChars="0"/>
              <w:jc w:val="center"/>
              <w:rPr>
                <w:rFonts w:hAnsi="宋体" w:cs="宋体"/>
                <w:sz w:val="18"/>
                <w:szCs w:val="18"/>
              </w:rPr>
            </w:pPr>
          </w:p>
        </w:tc>
        <w:tc>
          <w:tcPr>
            <w:tcW w:w="2626" w:type="dxa"/>
            <w:tcBorders>
              <w:tl2br w:val="nil"/>
              <w:tr2bl w:val="nil"/>
            </w:tcBorders>
            <w:vAlign w:val="center"/>
          </w:tcPr>
          <w:p w14:paraId="11D059B7">
            <w:pPr>
              <w:pStyle w:val="25"/>
              <w:snapToGrid w:val="0"/>
              <w:ind w:firstLine="0" w:firstLineChars="0"/>
              <w:jc w:val="center"/>
              <w:rPr>
                <w:rFonts w:hAnsi="宋体" w:cs="宋体"/>
                <w:sz w:val="18"/>
                <w:szCs w:val="18"/>
              </w:rPr>
            </w:pPr>
          </w:p>
        </w:tc>
      </w:tr>
      <w:tr w14:paraId="6B1EF8F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1487" w:type="dxa"/>
            <w:vMerge w:val="continue"/>
            <w:tcBorders>
              <w:tl2br w:val="nil"/>
              <w:tr2bl w:val="nil"/>
            </w:tcBorders>
            <w:vAlign w:val="center"/>
          </w:tcPr>
          <w:p w14:paraId="220E3A2C">
            <w:pPr>
              <w:pStyle w:val="25"/>
              <w:snapToGrid w:val="0"/>
              <w:ind w:firstLine="0" w:firstLineChars="0"/>
              <w:jc w:val="center"/>
              <w:rPr>
                <w:rFonts w:hAnsi="宋体" w:cs="宋体"/>
                <w:sz w:val="18"/>
                <w:szCs w:val="18"/>
              </w:rPr>
            </w:pPr>
          </w:p>
        </w:tc>
        <w:tc>
          <w:tcPr>
            <w:tcW w:w="2506" w:type="dxa"/>
            <w:tcBorders>
              <w:tl2br w:val="nil"/>
              <w:tr2bl w:val="nil"/>
            </w:tcBorders>
            <w:vAlign w:val="center"/>
          </w:tcPr>
          <w:p w14:paraId="16DA775F">
            <w:pPr>
              <w:pStyle w:val="25"/>
              <w:snapToGrid w:val="0"/>
              <w:ind w:firstLine="0" w:firstLineChars="0"/>
              <w:jc w:val="center"/>
              <w:rPr>
                <w:rFonts w:hAnsi="宋体" w:cs="宋体"/>
                <w:sz w:val="18"/>
                <w:szCs w:val="18"/>
              </w:rPr>
            </w:pPr>
            <w:r>
              <w:rPr>
                <w:rFonts w:hint="eastAsia" w:hAnsi="宋体" w:cs="宋体"/>
                <w:sz w:val="18"/>
                <w:szCs w:val="18"/>
              </w:rPr>
              <w:t>污染物排放水平</w:t>
            </w:r>
          </w:p>
        </w:tc>
        <w:tc>
          <w:tcPr>
            <w:tcW w:w="1208" w:type="dxa"/>
            <w:tcBorders>
              <w:tl2br w:val="nil"/>
              <w:tr2bl w:val="nil"/>
            </w:tcBorders>
            <w:vAlign w:val="center"/>
          </w:tcPr>
          <w:p w14:paraId="5622304E">
            <w:pPr>
              <w:pStyle w:val="25"/>
              <w:snapToGrid w:val="0"/>
              <w:ind w:firstLine="0" w:firstLineChars="0"/>
              <w:jc w:val="center"/>
              <w:rPr>
                <w:rFonts w:hAnsi="宋体" w:cs="宋体"/>
                <w:sz w:val="18"/>
                <w:szCs w:val="18"/>
              </w:rPr>
            </w:pPr>
            <w:r>
              <w:rPr>
                <w:rFonts w:hint="eastAsia" w:hAnsi="宋体" w:cs="宋体"/>
                <w:sz w:val="18"/>
                <w:szCs w:val="18"/>
              </w:rPr>
              <w:t>10</w:t>
            </w:r>
          </w:p>
        </w:tc>
        <w:tc>
          <w:tcPr>
            <w:tcW w:w="1732" w:type="dxa"/>
            <w:tcBorders>
              <w:tl2br w:val="nil"/>
              <w:tr2bl w:val="nil"/>
            </w:tcBorders>
            <w:vAlign w:val="center"/>
          </w:tcPr>
          <w:p w14:paraId="78A41466">
            <w:pPr>
              <w:pStyle w:val="25"/>
              <w:snapToGrid w:val="0"/>
              <w:ind w:firstLine="0" w:firstLineChars="0"/>
              <w:jc w:val="center"/>
              <w:rPr>
                <w:rFonts w:hAnsi="宋体" w:cs="宋体"/>
                <w:sz w:val="18"/>
                <w:szCs w:val="18"/>
              </w:rPr>
            </w:pPr>
          </w:p>
        </w:tc>
        <w:tc>
          <w:tcPr>
            <w:tcW w:w="2626" w:type="dxa"/>
            <w:tcBorders>
              <w:tl2br w:val="nil"/>
              <w:tr2bl w:val="nil"/>
            </w:tcBorders>
            <w:vAlign w:val="center"/>
          </w:tcPr>
          <w:p w14:paraId="49AF74C1">
            <w:pPr>
              <w:pStyle w:val="25"/>
              <w:snapToGrid w:val="0"/>
              <w:ind w:firstLine="0" w:firstLineChars="0"/>
              <w:jc w:val="center"/>
              <w:rPr>
                <w:rFonts w:hAnsi="宋体" w:cs="宋体"/>
                <w:sz w:val="18"/>
                <w:szCs w:val="18"/>
              </w:rPr>
            </w:pPr>
          </w:p>
        </w:tc>
      </w:tr>
      <w:tr w14:paraId="6C4ED5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5201" w:type="dxa"/>
            <w:gridSpan w:val="3"/>
            <w:tcBorders>
              <w:bottom w:val="single" w:color="auto" w:sz="12" w:space="0"/>
              <w:tl2br w:val="nil"/>
              <w:tr2bl w:val="nil"/>
            </w:tcBorders>
            <w:vAlign w:val="center"/>
          </w:tcPr>
          <w:p w14:paraId="1E40ED73">
            <w:pPr>
              <w:pStyle w:val="25"/>
              <w:snapToGrid w:val="0"/>
              <w:ind w:firstLine="0" w:firstLineChars="0"/>
              <w:jc w:val="center"/>
              <w:rPr>
                <w:rFonts w:hAnsi="宋体" w:cs="宋体"/>
                <w:sz w:val="18"/>
                <w:szCs w:val="18"/>
              </w:rPr>
            </w:pPr>
            <w:r>
              <w:rPr>
                <w:rFonts w:hint="eastAsia" w:hAnsi="宋体" w:cs="宋体"/>
                <w:b/>
                <w:sz w:val="18"/>
                <w:szCs w:val="18"/>
              </w:rPr>
              <w:t>总得分</w:t>
            </w:r>
          </w:p>
        </w:tc>
        <w:tc>
          <w:tcPr>
            <w:tcW w:w="4358" w:type="dxa"/>
            <w:gridSpan w:val="2"/>
            <w:tcBorders>
              <w:bottom w:val="single" w:color="auto" w:sz="12" w:space="0"/>
              <w:tl2br w:val="nil"/>
              <w:tr2bl w:val="nil"/>
            </w:tcBorders>
            <w:vAlign w:val="center"/>
          </w:tcPr>
          <w:p w14:paraId="3BE21BBC">
            <w:pPr>
              <w:pStyle w:val="25"/>
              <w:snapToGrid w:val="0"/>
              <w:ind w:firstLine="0" w:firstLineChars="0"/>
              <w:jc w:val="center"/>
              <w:rPr>
                <w:rFonts w:hAnsi="宋体" w:cs="宋体"/>
                <w:sz w:val="18"/>
                <w:szCs w:val="18"/>
              </w:rPr>
            </w:pPr>
          </w:p>
        </w:tc>
      </w:tr>
      <w:tr w14:paraId="4B1EA1A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9559" w:type="dxa"/>
            <w:gridSpan w:val="5"/>
            <w:tcBorders>
              <w:top w:val="single" w:color="auto" w:sz="12" w:space="0"/>
            </w:tcBorders>
            <w:vAlign w:val="center"/>
          </w:tcPr>
          <w:p w14:paraId="2767907C">
            <w:pPr>
              <w:pStyle w:val="25"/>
              <w:snapToGrid w:val="0"/>
              <w:ind w:firstLine="360"/>
              <w:jc w:val="left"/>
              <w:rPr>
                <w:rFonts w:hAnsi="宋体" w:cs="宋体"/>
                <w:sz w:val="18"/>
                <w:szCs w:val="18"/>
              </w:rPr>
            </w:pPr>
            <w:r>
              <w:rPr>
                <w:rStyle w:val="155"/>
                <w:rFonts w:hint="eastAsia" w:hAnsi="宋体" w:cs="宋体"/>
                <w:sz w:val="18"/>
                <w:szCs w:val="18"/>
                <w:vertAlign w:val="superscript"/>
              </w:rPr>
              <w:t>a</w:t>
            </w:r>
            <w:r>
              <w:rPr>
                <w:rFonts w:hint="eastAsia" w:hAnsi="宋体" w:cs="宋体"/>
                <w:sz w:val="18"/>
                <w:szCs w:val="18"/>
              </w:rPr>
              <w:t xml:space="preserve"> </w:t>
            </w:r>
            <w:r>
              <w:rPr>
                <w:rFonts w:hint="eastAsia" w:cs="宋体" w:asciiTheme="minorEastAsia" w:hAnsiTheme="minorEastAsia" w:eastAsiaTheme="minorEastAsia"/>
                <w:sz w:val="18"/>
                <w:szCs w:val="18"/>
              </w:rPr>
              <w:t xml:space="preserve"> 给出材料对应的具体页码，例如，见第4页。</w:t>
            </w:r>
          </w:p>
        </w:tc>
      </w:tr>
    </w:tbl>
    <w:p w14:paraId="5EFDB2BE">
      <w:pPr>
        <w:numPr>
          <w:ilvl w:val="1"/>
          <w:numId w:val="0"/>
        </w:numPr>
        <w:adjustRightInd w:val="0"/>
        <w:snapToGrid w:val="0"/>
        <w:spacing w:before="312" w:beforeLines="100" w:after="156" w:afterLines="50"/>
        <w:jc w:val="center"/>
        <w:rPr>
          <w:rFonts w:ascii="黑体" w:hAnsi="黑体" w:eastAsia="黑体"/>
          <w:szCs w:val="21"/>
        </w:rPr>
      </w:pPr>
      <w:r>
        <w:rPr>
          <w:rFonts w:hint="eastAsia" w:ascii="黑体" w:hAnsi="黑体" w:eastAsia="黑体"/>
          <w:szCs w:val="21"/>
        </w:rPr>
        <w:t>表</w:t>
      </w:r>
      <w:r>
        <w:rPr>
          <w:rFonts w:hint="eastAsia" w:ascii="黑体" w:hAnsi="黑体" w:eastAsia="黑体" w:cs="黑体"/>
          <w:szCs w:val="21"/>
        </w:rPr>
        <w:t>D</w:t>
      </w:r>
      <w:r>
        <w:rPr>
          <w:rFonts w:hint="eastAsia" w:ascii="黑体" w:hAnsi="黑体" w:eastAsia="黑体"/>
          <w:szCs w:val="21"/>
        </w:rPr>
        <w:t>.5  关键技术先进性指标评分</w:t>
      </w:r>
    </w:p>
    <w:tbl>
      <w:tblPr>
        <w:tblStyle w:val="35"/>
        <w:tblW w:w="9559"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1121"/>
        <w:gridCol w:w="1039"/>
        <w:gridCol w:w="1038"/>
        <w:gridCol w:w="1419"/>
        <w:gridCol w:w="1000"/>
        <w:gridCol w:w="1660"/>
        <w:gridCol w:w="1284"/>
        <w:gridCol w:w="998"/>
      </w:tblGrid>
      <w:tr w14:paraId="7335E34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1121" w:type="dxa"/>
            <w:tcBorders>
              <w:bottom w:val="single" w:color="000000" w:sz="12" w:space="0"/>
            </w:tcBorders>
            <w:vAlign w:val="center"/>
          </w:tcPr>
          <w:p w14:paraId="45BF1F08">
            <w:pPr>
              <w:widowControl/>
              <w:tabs>
                <w:tab w:val="center" w:pos="4201"/>
                <w:tab w:val="right" w:leader="dot" w:pos="9298"/>
              </w:tabs>
              <w:autoSpaceDE w:val="0"/>
              <w:autoSpaceDN w:val="0"/>
              <w:jc w:val="center"/>
              <w:rPr>
                <w:b/>
                <w:kern w:val="0"/>
                <w:sz w:val="18"/>
                <w:szCs w:val="18"/>
              </w:rPr>
            </w:pPr>
            <w:r>
              <w:rPr>
                <w:rFonts w:hint="eastAsia" w:ascii="宋体" w:hAnsi="宋体" w:cs="宋体"/>
                <w:b/>
                <w:kern w:val="0"/>
                <w:sz w:val="18"/>
                <w:szCs w:val="18"/>
              </w:rPr>
              <w:t>所属行业</w:t>
            </w:r>
            <w:r>
              <w:rPr>
                <w:rFonts w:hint="eastAsia" w:ascii="宋体" w:hAnsi="宋体" w:cs="宋体"/>
                <w:bCs/>
                <w:kern w:val="0"/>
                <w:sz w:val="18"/>
                <w:szCs w:val="18"/>
                <w:vertAlign w:val="superscript"/>
              </w:rPr>
              <w:t>a</w:t>
            </w:r>
          </w:p>
        </w:tc>
        <w:tc>
          <w:tcPr>
            <w:tcW w:w="1039" w:type="dxa"/>
            <w:tcBorders>
              <w:bottom w:val="single" w:color="000000" w:sz="12" w:space="0"/>
            </w:tcBorders>
            <w:vAlign w:val="center"/>
          </w:tcPr>
          <w:p w14:paraId="501640FC">
            <w:pPr>
              <w:widowControl/>
              <w:tabs>
                <w:tab w:val="center" w:pos="4201"/>
                <w:tab w:val="right" w:leader="dot" w:pos="9298"/>
              </w:tabs>
              <w:autoSpaceDE w:val="0"/>
              <w:autoSpaceDN w:val="0"/>
              <w:jc w:val="center"/>
              <w:rPr>
                <w:b/>
                <w:kern w:val="0"/>
                <w:sz w:val="18"/>
                <w:szCs w:val="18"/>
              </w:rPr>
            </w:pPr>
            <w:r>
              <w:rPr>
                <w:rFonts w:hint="eastAsia" w:ascii="宋体" w:hAnsi="宋体" w:cs="宋体"/>
                <w:b/>
                <w:kern w:val="0"/>
                <w:sz w:val="18"/>
                <w:szCs w:val="18"/>
              </w:rPr>
              <w:t>评价环节</w:t>
            </w:r>
            <w:r>
              <w:rPr>
                <w:rFonts w:hint="eastAsia" w:ascii="宋体" w:hAnsi="宋体" w:cs="宋体"/>
                <w:bCs/>
                <w:kern w:val="0"/>
                <w:sz w:val="18"/>
                <w:szCs w:val="18"/>
                <w:vertAlign w:val="superscript"/>
              </w:rPr>
              <w:t>b</w:t>
            </w:r>
          </w:p>
        </w:tc>
        <w:tc>
          <w:tcPr>
            <w:tcW w:w="1038" w:type="dxa"/>
            <w:tcBorders>
              <w:bottom w:val="single" w:color="000000" w:sz="12" w:space="0"/>
            </w:tcBorders>
            <w:vAlign w:val="center"/>
          </w:tcPr>
          <w:p w14:paraId="00C7DD8A">
            <w:pPr>
              <w:widowControl/>
              <w:tabs>
                <w:tab w:val="center" w:pos="4201"/>
                <w:tab w:val="right" w:leader="dot" w:pos="9298"/>
              </w:tabs>
              <w:autoSpaceDE w:val="0"/>
              <w:autoSpaceDN w:val="0"/>
              <w:jc w:val="center"/>
              <w:rPr>
                <w:b/>
                <w:kern w:val="0"/>
                <w:sz w:val="18"/>
                <w:szCs w:val="18"/>
              </w:rPr>
            </w:pPr>
            <w:r>
              <w:rPr>
                <w:rFonts w:hint="eastAsia" w:ascii="宋体" w:hAnsi="宋体" w:cs="宋体"/>
                <w:b/>
                <w:kern w:val="0"/>
                <w:sz w:val="18"/>
                <w:szCs w:val="18"/>
              </w:rPr>
              <w:t>评价对象</w:t>
            </w:r>
            <w:r>
              <w:rPr>
                <w:rFonts w:hint="eastAsia" w:ascii="宋体" w:hAnsi="宋体" w:cs="宋体"/>
                <w:bCs/>
                <w:kern w:val="0"/>
                <w:sz w:val="18"/>
                <w:szCs w:val="18"/>
                <w:vertAlign w:val="superscript"/>
              </w:rPr>
              <w:t>c</w:t>
            </w:r>
          </w:p>
        </w:tc>
        <w:tc>
          <w:tcPr>
            <w:tcW w:w="1419" w:type="dxa"/>
            <w:tcBorders>
              <w:bottom w:val="single" w:color="000000" w:sz="12" w:space="0"/>
            </w:tcBorders>
            <w:vAlign w:val="center"/>
          </w:tcPr>
          <w:p w14:paraId="0E8AB062">
            <w:pPr>
              <w:widowControl/>
              <w:tabs>
                <w:tab w:val="center" w:pos="4201"/>
                <w:tab w:val="right" w:leader="dot" w:pos="9298"/>
              </w:tabs>
              <w:autoSpaceDE w:val="0"/>
              <w:autoSpaceDN w:val="0"/>
              <w:jc w:val="center"/>
              <w:rPr>
                <w:b/>
                <w:kern w:val="0"/>
                <w:sz w:val="18"/>
                <w:szCs w:val="18"/>
              </w:rPr>
            </w:pPr>
            <w:r>
              <w:rPr>
                <w:rFonts w:hint="eastAsia" w:ascii="宋体" w:hAnsi="宋体" w:cs="宋体"/>
                <w:b/>
                <w:kern w:val="0"/>
                <w:sz w:val="18"/>
                <w:szCs w:val="18"/>
              </w:rPr>
              <w:t>核心评价指标</w:t>
            </w:r>
            <w:r>
              <w:rPr>
                <w:rFonts w:hint="eastAsia" w:ascii="宋体" w:hAnsi="宋体" w:cs="宋体"/>
                <w:bCs/>
                <w:kern w:val="0"/>
                <w:sz w:val="18"/>
                <w:szCs w:val="18"/>
                <w:vertAlign w:val="superscript"/>
              </w:rPr>
              <w:t>c</w:t>
            </w:r>
          </w:p>
        </w:tc>
        <w:tc>
          <w:tcPr>
            <w:tcW w:w="1000" w:type="dxa"/>
            <w:tcBorders>
              <w:bottom w:val="single" w:color="000000" w:sz="12" w:space="0"/>
            </w:tcBorders>
            <w:vAlign w:val="center"/>
          </w:tcPr>
          <w:p w14:paraId="799D4A62">
            <w:pPr>
              <w:widowControl/>
              <w:tabs>
                <w:tab w:val="center" w:pos="4201"/>
                <w:tab w:val="right" w:leader="dot" w:pos="9298"/>
              </w:tabs>
              <w:autoSpaceDE w:val="0"/>
              <w:autoSpaceDN w:val="0"/>
              <w:jc w:val="center"/>
              <w:rPr>
                <w:b/>
                <w:kern w:val="0"/>
                <w:sz w:val="18"/>
                <w:szCs w:val="18"/>
              </w:rPr>
            </w:pPr>
            <w:r>
              <w:rPr>
                <w:rFonts w:hint="eastAsia" w:ascii="宋体" w:hAnsi="宋体" w:cs="宋体"/>
                <w:b/>
                <w:kern w:val="0"/>
                <w:sz w:val="18"/>
                <w:szCs w:val="18"/>
              </w:rPr>
              <w:t>参考标准</w:t>
            </w:r>
            <w:r>
              <w:rPr>
                <w:rFonts w:hint="eastAsia" w:ascii="宋体" w:hAnsi="宋体" w:cs="宋体"/>
                <w:bCs/>
                <w:kern w:val="0"/>
                <w:sz w:val="18"/>
                <w:szCs w:val="18"/>
                <w:vertAlign w:val="superscript"/>
              </w:rPr>
              <w:t>d</w:t>
            </w:r>
          </w:p>
        </w:tc>
        <w:tc>
          <w:tcPr>
            <w:tcW w:w="1660" w:type="dxa"/>
            <w:tcBorders>
              <w:bottom w:val="single" w:color="000000" w:sz="12" w:space="0"/>
            </w:tcBorders>
            <w:vAlign w:val="center"/>
          </w:tcPr>
          <w:p w14:paraId="223B9271">
            <w:pPr>
              <w:widowControl/>
              <w:tabs>
                <w:tab w:val="center" w:pos="4201"/>
                <w:tab w:val="right" w:leader="dot" w:pos="9298"/>
              </w:tabs>
              <w:autoSpaceDE w:val="0"/>
              <w:autoSpaceDN w:val="0"/>
              <w:jc w:val="center"/>
              <w:rPr>
                <w:b/>
                <w:kern w:val="0"/>
                <w:sz w:val="18"/>
                <w:szCs w:val="18"/>
              </w:rPr>
            </w:pPr>
            <w:r>
              <w:rPr>
                <w:rFonts w:hint="eastAsia" w:ascii="宋体" w:hAnsi="宋体" w:cs="宋体"/>
                <w:b/>
                <w:kern w:val="0"/>
                <w:sz w:val="18"/>
                <w:szCs w:val="18"/>
              </w:rPr>
              <w:t>标准参考值/要求</w:t>
            </w:r>
            <w:r>
              <w:rPr>
                <w:rFonts w:hint="eastAsia" w:ascii="宋体" w:hAnsi="宋体" w:cs="宋体"/>
                <w:bCs/>
                <w:kern w:val="0"/>
                <w:sz w:val="18"/>
                <w:szCs w:val="18"/>
                <w:vertAlign w:val="superscript"/>
              </w:rPr>
              <w:t>e</w:t>
            </w:r>
          </w:p>
        </w:tc>
        <w:tc>
          <w:tcPr>
            <w:tcW w:w="1284" w:type="dxa"/>
            <w:tcBorders>
              <w:bottom w:val="single" w:color="000000" w:sz="12" w:space="0"/>
            </w:tcBorders>
            <w:vAlign w:val="center"/>
          </w:tcPr>
          <w:p w14:paraId="626DCC72">
            <w:pPr>
              <w:widowControl/>
              <w:tabs>
                <w:tab w:val="center" w:pos="4201"/>
                <w:tab w:val="right" w:leader="dot" w:pos="9298"/>
              </w:tabs>
              <w:autoSpaceDE w:val="0"/>
              <w:autoSpaceDN w:val="0"/>
              <w:jc w:val="center"/>
              <w:rPr>
                <w:b/>
                <w:kern w:val="0"/>
                <w:sz w:val="18"/>
                <w:szCs w:val="18"/>
              </w:rPr>
            </w:pPr>
            <w:r>
              <w:rPr>
                <w:rFonts w:hint="eastAsia" w:ascii="宋体" w:hAnsi="宋体" w:cs="宋体"/>
                <w:b/>
                <w:kern w:val="0"/>
                <w:sz w:val="18"/>
                <w:szCs w:val="18"/>
              </w:rPr>
              <w:t>自评值/要求</w:t>
            </w:r>
            <w:r>
              <w:rPr>
                <w:rFonts w:hint="eastAsia" w:ascii="宋体" w:hAnsi="宋体" w:cs="宋体"/>
                <w:bCs/>
                <w:kern w:val="0"/>
                <w:sz w:val="18"/>
                <w:szCs w:val="18"/>
                <w:vertAlign w:val="superscript"/>
              </w:rPr>
              <w:t>f</w:t>
            </w:r>
          </w:p>
        </w:tc>
        <w:tc>
          <w:tcPr>
            <w:tcW w:w="998" w:type="dxa"/>
            <w:tcBorders>
              <w:bottom w:val="single" w:color="000000" w:sz="12" w:space="0"/>
            </w:tcBorders>
            <w:vAlign w:val="center"/>
          </w:tcPr>
          <w:p w14:paraId="294911A0">
            <w:pPr>
              <w:widowControl/>
              <w:tabs>
                <w:tab w:val="center" w:pos="4201"/>
                <w:tab w:val="right" w:leader="dot" w:pos="9298"/>
              </w:tabs>
              <w:autoSpaceDE w:val="0"/>
              <w:autoSpaceDN w:val="0"/>
              <w:jc w:val="center"/>
              <w:rPr>
                <w:b/>
                <w:kern w:val="0"/>
                <w:sz w:val="18"/>
                <w:szCs w:val="18"/>
              </w:rPr>
            </w:pPr>
            <w:r>
              <w:rPr>
                <w:rFonts w:hint="eastAsia" w:ascii="宋体" w:hAnsi="宋体" w:cs="宋体"/>
                <w:b/>
                <w:kern w:val="0"/>
                <w:sz w:val="18"/>
                <w:szCs w:val="18"/>
              </w:rPr>
              <w:t>佐证材料</w:t>
            </w:r>
            <w:r>
              <w:rPr>
                <w:rFonts w:hint="eastAsia" w:ascii="宋体" w:hAnsi="宋体" w:cs="宋体"/>
                <w:bCs/>
                <w:kern w:val="0"/>
                <w:sz w:val="18"/>
                <w:szCs w:val="18"/>
                <w:vertAlign w:val="superscript"/>
              </w:rPr>
              <w:t>g</w:t>
            </w:r>
          </w:p>
        </w:tc>
      </w:tr>
      <w:tr w14:paraId="5C20432B">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1121" w:type="dxa"/>
            <w:tcBorders>
              <w:top w:val="single" w:color="000000" w:sz="12" w:space="0"/>
              <w:bottom w:val="single" w:color="000000" w:sz="12" w:space="0"/>
              <w:tl2br w:val="nil"/>
              <w:tr2bl w:val="nil"/>
            </w:tcBorders>
            <w:vAlign w:val="center"/>
          </w:tcPr>
          <w:p w14:paraId="755D889D">
            <w:pPr>
              <w:widowControl/>
              <w:tabs>
                <w:tab w:val="center" w:pos="4201"/>
                <w:tab w:val="right" w:leader="dot" w:pos="9298"/>
              </w:tabs>
              <w:autoSpaceDE w:val="0"/>
              <w:autoSpaceDN w:val="0"/>
              <w:jc w:val="center"/>
              <w:rPr>
                <w:rFonts w:ascii="宋体" w:hAnsi="宋体" w:cs="宋体"/>
                <w:kern w:val="0"/>
                <w:sz w:val="18"/>
                <w:szCs w:val="18"/>
              </w:rPr>
            </w:pPr>
          </w:p>
        </w:tc>
        <w:tc>
          <w:tcPr>
            <w:tcW w:w="1039" w:type="dxa"/>
            <w:tcBorders>
              <w:top w:val="single" w:color="000000" w:sz="12" w:space="0"/>
              <w:bottom w:val="single" w:color="000000" w:sz="12" w:space="0"/>
              <w:tl2br w:val="nil"/>
              <w:tr2bl w:val="nil"/>
            </w:tcBorders>
            <w:vAlign w:val="center"/>
          </w:tcPr>
          <w:p w14:paraId="204EDD42">
            <w:pPr>
              <w:widowControl/>
              <w:tabs>
                <w:tab w:val="center" w:pos="4201"/>
                <w:tab w:val="right" w:leader="dot" w:pos="9298"/>
              </w:tabs>
              <w:autoSpaceDE w:val="0"/>
              <w:autoSpaceDN w:val="0"/>
              <w:jc w:val="center"/>
              <w:rPr>
                <w:rFonts w:ascii="宋体" w:hAnsi="宋体" w:cs="宋体"/>
                <w:kern w:val="0"/>
                <w:sz w:val="18"/>
                <w:szCs w:val="18"/>
              </w:rPr>
            </w:pPr>
          </w:p>
        </w:tc>
        <w:tc>
          <w:tcPr>
            <w:tcW w:w="1038" w:type="dxa"/>
            <w:tcBorders>
              <w:top w:val="single" w:color="000000" w:sz="12" w:space="0"/>
              <w:bottom w:val="single" w:color="000000" w:sz="12" w:space="0"/>
              <w:tl2br w:val="nil"/>
              <w:tr2bl w:val="nil"/>
            </w:tcBorders>
            <w:vAlign w:val="center"/>
          </w:tcPr>
          <w:p w14:paraId="0C8AE7F3">
            <w:pPr>
              <w:widowControl/>
              <w:tabs>
                <w:tab w:val="center" w:pos="4201"/>
                <w:tab w:val="right" w:leader="dot" w:pos="9298"/>
              </w:tabs>
              <w:autoSpaceDE w:val="0"/>
              <w:autoSpaceDN w:val="0"/>
              <w:jc w:val="center"/>
              <w:rPr>
                <w:rFonts w:ascii="宋体" w:hAnsi="宋体" w:cs="宋体"/>
                <w:kern w:val="0"/>
                <w:sz w:val="18"/>
                <w:szCs w:val="18"/>
              </w:rPr>
            </w:pPr>
          </w:p>
        </w:tc>
        <w:tc>
          <w:tcPr>
            <w:tcW w:w="1419" w:type="dxa"/>
            <w:tcBorders>
              <w:top w:val="single" w:color="000000" w:sz="12" w:space="0"/>
              <w:bottom w:val="single" w:color="000000" w:sz="12" w:space="0"/>
              <w:tl2br w:val="nil"/>
              <w:tr2bl w:val="nil"/>
            </w:tcBorders>
            <w:vAlign w:val="center"/>
          </w:tcPr>
          <w:p w14:paraId="47F106E1">
            <w:pPr>
              <w:pStyle w:val="25"/>
              <w:ind w:firstLine="0" w:firstLineChars="0"/>
              <w:jc w:val="center"/>
              <w:rPr>
                <w:rFonts w:hAnsi="宋体" w:cs="宋体"/>
                <w:sz w:val="18"/>
                <w:szCs w:val="18"/>
              </w:rPr>
            </w:pPr>
          </w:p>
        </w:tc>
        <w:tc>
          <w:tcPr>
            <w:tcW w:w="1000" w:type="dxa"/>
            <w:tcBorders>
              <w:top w:val="single" w:color="000000" w:sz="12" w:space="0"/>
              <w:bottom w:val="single" w:color="000000" w:sz="12" w:space="0"/>
              <w:tl2br w:val="nil"/>
              <w:tr2bl w:val="nil"/>
            </w:tcBorders>
            <w:vAlign w:val="center"/>
          </w:tcPr>
          <w:p w14:paraId="04A1C906">
            <w:pPr>
              <w:widowControl/>
              <w:jc w:val="center"/>
              <w:textAlignment w:val="center"/>
              <w:rPr>
                <w:rFonts w:ascii="宋体" w:hAnsi="宋体" w:cs="宋体"/>
                <w:kern w:val="0"/>
                <w:sz w:val="18"/>
                <w:szCs w:val="18"/>
              </w:rPr>
            </w:pPr>
          </w:p>
        </w:tc>
        <w:tc>
          <w:tcPr>
            <w:tcW w:w="1660" w:type="dxa"/>
            <w:tcBorders>
              <w:top w:val="single" w:color="000000" w:sz="12" w:space="0"/>
              <w:bottom w:val="single" w:color="000000" w:sz="12" w:space="0"/>
              <w:tl2br w:val="nil"/>
              <w:tr2bl w:val="nil"/>
            </w:tcBorders>
            <w:vAlign w:val="center"/>
          </w:tcPr>
          <w:p w14:paraId="4DA99224">
            <w:pPr>
              <w:widowControl/>
              <w:tabs>
                <w:tab w:val="center" w:pos="4201"/>
                <w:tab w:val="right" w:leader="dot" w:pos="9298"/>
              </w:tabs>
              <w:autoSpaceDE w:val="0"/>
              <w:autoSpaceDN w:val="0"/>
              <w:jc w:val="center"/>
              <w:rPr>
                <w:rFonts w:ascii="宋体" w:hAnsi="宋体" w:cs="宋体"/>
                <w:kern w:val="0"/>
                <w:sz w:val="18"/>
                <w:szCs w:val="18"/>
              </w:rPr>
            </w:pPr>
          </w:p>
        </w:tc>
        <w:tc>
          <w:tcPr>
            <w:tcW w:w="1284" w:type="dxa"/>
            <w:tcBorders>
              <w:top w:val="single" w:color="000000" w:sz="12" w:space="0"/>
              <w:bottom w:val="single" w:color="000000" w:sz="12" w:space="0"/>
              <w:tl2br w:val="nil"/>
              <w:tr2bl w:val="nil"/>
            </w:tcBorders>
            <w:vAlign w:val="center"/>
          </w:tcPr>
          <w:p w14:paraId="7D585A4C">
            <w:pPr>
              <w:widowControl/>
              <w:tabs>
                <w:tab w:val="center" w:pos="4201"/>
                <w:tab w:val="right" w:leader="dot" w:pos="9298"/>
              </w:tabs>
              <w:autoSpaceDE w:val="0"/>
              <w:autoSpaceDN w:val="0"/>
              <w:jc w:val="center"/>
              <w:rPr>
                <w:rFonts w:ascii="宋体" w:hAnsi="宋体" w:cs="宋体"/>
                <w:kern w:val="0"/>
                <w:sz w:val="18"/>
                <w:szCs w:val="18"/>
              </w:rPr>
            </w:pPr>
          </w:p>
        </w:tc>
        <w:tc>
          <w:tcPr>
            <w:tcW w:w="998" w:type="dxa"/>
            <w:tcBorders>
              <w:top w:val="single" w:color="000000" w:sz="12" w:space="0"/>
              <w:bottom w:val="single" w:color="000000" w:sz="12" w:space="0"/>
              <w:tl2br w:val="nil"/>
              <w:tr2bl w:val="nil"/>
            </w:tcBorders>
            <w:vAlign w:val="center"/>
          </w:tcPr>
          <w:p w14:paraId="418D130A">
            <w:pPr>
              <w:widowControl/>
              <w:tabs>
                <w:tab w:val="center" w:pos="4201"/>
                <w:tab w:val="right" w:leader="dot" w:pos="9298"/>
              </w:tabs>
              <w:autoSpaceDE w:val="0"/>
              <w:autoSpaceDN w:val="0"/>
              <w:jc w:val="center"/>
              <w:rPr>
                <w:rFonts w:ascii="宋体" w:hAnsi="宋体" w:cs="宋体"/>
                <w:kern w:val="0"/>
                <w:sz w:val="18"/>
                <w:szCs w:val="18"/>
              </w:rPr>
            </w:pPr>
          </w:p>
        </w:tc>
      </w:tr>
      <w:tr w14:paraId="12DAB93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9559" w:type="dxa"/>
            <w:gridSpan w:val="8"/>
            <w:tcBorders>
              <w:top w:val="single" w:color="000000" w:sz="12" w:space="0"/>
            </w:tcBorders>
            <w:vAlign w:val="center"/>
          </w:tcPr>
          <w:p w14:paraId="5CBDAEF9">
            <w:pPr>
              <w:widowControl/>
              <w:tabs>
                <w:tab w:val="center" w:pos="4201"/>
                <w:tab w:val="right" w:leader="dot" w:pos="9298"/>
              </w:tabs>
              <w:autoSpaceDE w:val="0"/>
              <w:autoSpaceDN w:val="0"/>
              <w:ind w:firstLine="360" w:firstLineChars="200"/>
              <w:jc w:val="left"/>
              <w:rPr>
                <w:rFonts w:ascii="宋体" w:hAnsi="宋体" w:cs="宋体"/>
                <w:kern w:val="0"/>
                <w:sz w:val="18"/>
                <w:szCs w:val="18"/>
              </w:rPr>
            </w:pPr>
            <w:r>
              <w:rPr>
                <w:rFonts w:hint="eastAsia" w:ascii="宋体" w:hAnsi="宋体" w:cs="宋体"/>
                <w:kern w:val="0"/>
                <w:sz w:val="18"/>
                <w:szCs w:val="18"/>
                <w:vertAlign w:val="superscript"/>
              </w:rPr>
              <w:t>a</w:t>
            </w:r>
            <w:r>
              <w:rPr>
                <w:rFonts w:hint="eastAsia" w:ascii="宋体" w:hAnsi="宋体" w:cs="宋体"/>
                <w:kern w:val="0"/>
                <w:sz w:val="18"/>
                <w:szCs w:val="18"/>
              </w:rPr>
              <w:t xml:space="preserve">  所属行业根据绿色低碳产业指导目录中分类填写。</w:t>
            </w:r>
          </w:p>
          <w:p w14:paraId="73EE64F0">
            <w:pPr>
              <w:widowControl/>
              <w:tabs>
                <w:tab w:val="center" w:pos="4201"/>
                <w:tab w:val="right" w:leader="dot" w:pos="9298"/>
              </w:tabs>
              <w:autoSpaceDE w:val="0"/>
              <w:autoSpaceDN w:val="0"/>
              <w:ind w:firstLine="360" w:firstLineChars="200"/>
              <w:jc w:val="left"/>
              <w:rPr>
                <w:rFonts w:ascii="宋体" w:hAnsi="宋体" w:cs="宋体"/>
                <w:kern w:val="0"/>
                <w:sz w:val="18"/>
                <w:szCs w:val="18"/>
              </w:rPr>
            </w:pPr>
            <w:r>
              <w:rPr>
                <w:rFonts w:hint="eastAsia" w:ascii="宋体" w:hAnsi="宋体" w:cs="宋体"/>
                <w:kern w:val="0"/>
                <w:sz w:val="18"/>
                <w:szCs w:val="18"/>
                <w:vertAlign w:val="superscript"/>
              </w:rPr>
              <w:t>b</w:t>
            </w:r>
            <w:r>
              <w:rPr>
                <w:rFonts w:hint="eastAsia" w:ascii="宋体" w:hAnsi="宋体" w:cs="宋体"/>
                <w:kern w:val="0"/>
                <w:sz w:val="18"/>
                <w:szCs w:val="18"/>
              </w:rPr>
              <w:t xml:space="preserve">  评价环节按生产制造、建设运营选择填写。</w:t>
            </w:r>
          </w:p>
          <w:p w14:paraId="1BA34D44">
            <w:pPr>
              <w:widowControl/>
              <w:tabs>
                <w:tab w:val="center" w:pos="4201"/>
                <w:tab w:val="right" w:leader="dot" w:pos="9298"/>
              </w:tabs>
              <w:autoSpaceDE w:val="0"/>
              <w:autoSpaceDN w:val="0"/>
              <w:ind w:firstLine="360" w:firstLineChars="200"/>
              <w:jc w:val="left"/>
              <w:rPr>
                <w:rFonts w:ascii="宋体" w:hAnsi="宋体" w:cs="宋体"/>
                <w:kern w:val="0"/>
                <w:sz w:val="18"/>
                <w:szCs w:val="18"/>
              </w:rPr>
            </w:pPr>
            <w:r>
              <w:rPr>
                <w:rFonts w:hint="eastAsia" w:ascii="宋体" w:hAnsi="宋体" w:cs="宋体"/>
                <w:kern w:val="0"/>
                <w:sz w:val="18"/>
                <w:szCs w:val="18"/>
                <w:vertAlign w:val="superscript"/>
              </w:rPr>
              <w:t>c</w:t>
            </w:r>
            <w:r>
              <w:rPr>
                <w:rFonts w:hint="eastAsia" w:ascii="宋体" w:hAnsi="宋体" w:cs="宋体"/>
                <w:kern w:val="0"/>
                <w:sz w:val="18"/>
                <w:szCs w:val="18"/>
              </w:rPr>
              <w:t xml:space="preserve">  评价对象、核心评价指标均参照“关键技术先进性”中内容填写。</w:t>
            </w:r>
          </w:p>
          <w:p w14:paraId="62D7E9C4">
            <w:pPr>
              <w:widowControl/>
              <w:tabs>
                <w:tab w:val="center" w:pos="4201"/>
                <w:tab w:val="right" w:leader="dot" w:pos="9298"/>
              </w:tabs>
              <w:autoSpaceDE w:val="0"/>
              <w:autoSpaceDN w:val="0"/>
              <w:ind w:firstLine="360" w:firstLineChars="200"/>
              <w:jc w:val="left"/>
              <w:rPr>
                <w:rFonts w:ascii="宋体" w:hAnsi="宋体" w:cs="宋体"/>
                <w:kern w:val="0"/>
                <w:sz w:val="18"/>
                <w:szCs w:val="18"/>
              </w:rPr>
            </w:pPr>
            <w:r>
              <w:rPr>
                <w:rFonts w:hint="eastAsia" w:ascii="宋体" w:hAnsi="宋体" w:cs="宋体"/>
                <w:kern w:val="0"/>
                <w:sz w:val="18"/>
                <w:szCs w:val="18"/>
                <w:vertAlign w:val="superscript"/>
              </w:rPr>
              <w:t>d</w:t>
            </w:r>
            <w:r>
              <w:rPr>
                <w:rFonts w:hint="eastAsia" w:ascii="宋体" w:hAnsi="宋体" w:cs="宋体"/>
                <w:kern w:val="0"/>
                <w:sz w:val="18"/>
                <w:szCs w:val="18"/>
              </w:rPr>
              <w:t xml:space="preserve">  参照“关键技术先进性”中内容填写，给出核心评价指标参考的标准名称及标准号。</w:t>
            </w:r>
          </w:p>
          <w:p w14:paraId="102FE9A9">
            <w:pPr>
              <w:widowControl/>
              <w:tabs>
                <w:tab w:val="center" w:pos="4201"/>
                <w:tab w:val="right" w:leader="dot" w:pos="9298"/>
              </w:tabs>
              <w:autoSpaceDE w:val="0"/>
              <w:autoSpaceDN w:val="0"/>
              <w:ind w:firstLine="360" w:firstLineChars="200"/>
              <w:jc w:val="left"/>
              <w:rPr>
                <w:rFonts w:ascii="宋体" w:hAnsi="宋体" w:cs="宋体"/>
                <w:kern w:val="0"/>
                <w:sz w:val="18"/>
                <w:szCs w:val="18"/>
              </w:rPr>
            </w:pPr>
            <w:r>
              <w:rPr>
                <w:rFonts w:hint="eastAsia" w:ascii="宋体" w:hAnsi="宋体" w:cs="宋体"/>
                <w:kern w:val="0"/>
                <w:sz w:val="18"/>
                <w:szCs w:val="18"/>
                <w:vertAlign w:val="superscript"/>
              </w:rPr>
              <w:t>e</w:t>
            </w:r>
            <w:r>
              <w:rPr>
                <w:rFonts w:hint="eastAsia" w:ascii="宋体" w:hAnsi="宋体" w:cs="宋体"/>
                <w:kern w:val="0"/>
                <w:sz w:val="18"/>
                <w:szCs w:val="18"/>
              </w:rPr>
              <w:t xml:space="preserve">  给出参考标准中具体的参考值或要求。</w:t>
            </w:r>
          </w:p>
          <w:p w14:paraId="1923A9A0">
            <w:pPr>
              <w:widowControl/>
              <w:tabs>
                <w:tab w:val="center" w:pos="4201"/>
                <w:tab w:val="right" w:leader="dot" w:pos="9298"/>
              </w:tabs>
              <w:autoSpaceDE w:val="0"/>
              <w:autoSpaceDN w:val="0"/>
              <w:ind w:firstLine="360" w:firstLineChars="200"/>
              <w:jc w:val="left"/>
              <w:rPr>
                <w:rFonts w:ascii="宋体" w:hAnsi="宋体" w:cs="宋体"/>
                <w:kern w:val="0"/>
                <w:sz w:val="18"/>
                <w:szCs w:val="18"/>
              </w:rPr>
            </w:pPr>
            <w:r>
              <w:rPr>
                <w:rFonts w:hint="eastAsia" w:ascii="宋体" w:hAnsi="宋体" w:cs="宋体"/>
                <w:kern w:val="0"/>
                <w:sz w:val="18"/>
                <w:szCs w:val="18"/>
                <w:vertAlign w:val="superscript"/>
              </w:rPr>
              <w:t>f</w:t>
            </w:r>
            <w:r>
              <w:rPr>
                <w:rFonts w:hint="eastAsia" w:ascii="宋体" w:hAnsi="宋体" w:cs="宋体"/>
                <w:kern w:val="0"/>
                <w:sz w:val="18"/>
                <w:szCs w:val="18"/>
              </w:rPr>
              <w:t xml:space="preserve">  对照标准参考值或要求，给出申报单位自评值或响应要求的情况。</w:t>
            </w:r>
          </w:p>
          <w:p w14:paraId="082F1F91">
            <w:pPr>
              <w:widowControl/>
              <w:tabs>
                <w:tab w:val="center" w:pos="4201"/>
                <w:tab w:val="right" w:leader="dot" w:pos="9298"/>
              </w:tabs>
              <w:autoSpaceDE w:val="0"/>
              <w:autoSpaceDN w:val="0"/>
              <w:ind w:firstLine="360" w:firstLineChars="200"/>
              <w:jc w:val="left"/>
              <w:rPr>
                <w:rFonts w:ascii="宋体" w:hAnsi="宋体" w:cs="宋体"/>
                <w:kern w:val="0"/>
                <w:sz w:val="18"/>
                <w:szCs w:val="18"/>
              </w:rPr>
            </w:pPr>
            <w:r>
              <w:rPr>
                <w:rFonts w:hint="eastAsia" w:ascii="宋体" w:hAnsi="宋体" w:cs="宋体"/>
                <w:kern w:val="0"/>
                <w:sz w:val="18"/>
                <w:szCs w:val="18"/>
                <w:vertAlign w:val="superscript"/>
              </w:rPr>
              <w:t>g</w:t>
            </w:r>
            <w:r>
              <w:rPr>
                <w:rFonts w:hint="eastAsia" w:ascii="宋体" w:hAnsi="宋体" w:cs="宋体"/>
                <w:kern w:val="0"/>
                <w:sz w:val="18"/>
                <w:szCs w:val="18"/>
              </w:rPr>
              <w:t xml:space="preserve">  给出材料对应的具体页码，例如，见第4页。</w:t>
            </w:r>
          </w:p>
        </w:tc>
      </w:tr>
    </w:tbl>
    <w:p w14:paraId="6C0168DF">
      <w:pPr>
        <w:numPr>
          <w:ilvl w:val="1"/>
          <w:numId w:val="0"/>
        </w:numPr>
        <w:spacing w:before="156" w:beforeLines="50" w:after="156" w:afterLines="50"/>
        <w:rPr>
          <w:szCs w:val="21"/>
        </w:rPr>
      </w:pPr>
      <w:r>
        <w:rPr>
          <w:rFonts w:hint="eastAsia" w:ascii="黑体" w:hAnsi="黑体" w:eastAsia="黑体" w:cs="黑体"/>
          <w:szCs w:val="21"/>
        </w:rPr>
        <w:t>D.7  附录</w:t>
      </w:r>
    </w:p>
    <w:p w14:paraId="0D211BB1">
      <w:pPr>
        <w:pStyle w:val="25"/>
        <w:rPr>
          <w:szCs w:val="24"/>
        </w:rPr>
      </w:pPr>
      <w:r>
        <w:rPr>
          <w:rFonts w:hint="eastAsia"/>
          <w:szCs w:val="24"/>
        </w:rPr>
        <w:t>列明上述章节所述情况及评价表涉及的佐证材料。</w:t>
      </w:r>
    </w:p>
    <w:p w14:paraId="4A2FFF56">
      <w:r>
        <w:br w:type="page"/>
      </w:r>
    </w:p>
    <w:p w14:paraId="2E635C43">
      <w:pPr>
        <w:pStyle w:val="87"/>
        <w:spacing w:after="0"/>
      </w:pPr>
      <w:bookmarkStart w:id="212" w:name="_Toc195040403"/>
      <w:bookmarkEnd w:id="212"/>
      <w:bookmarkStart w:id="213" w:name="_Toc16619"/>
      <w:bookmarkEnd w:id="213"/>
    </w:p>
    <w:p w14:paraId="34D73DE6">
      <w:pPr>
        <w:autoSpaceDE w:val="0"/>
        <w:autoSpaceDN w:val="0"/>
        <w:jc w:val="center"/>
        <w:rPr>
          <w:rFonts w:eastAsia="黑体"/>
          <w:kern w:val="0"/>
          <w:szCs w:val="20"/>
        </w:rPr>
      </w:pPr>
      <w:r>
        <w:rPr>
          <w:rFonts w:eastAsia="黑体"/>
          <w:kern w:val="0"/>
          <w:szCs w:val="20"/>
        </w:rPr>
        <w:t>（资料性）</w:t>
      </w:r>
    </w:p>
    <w:p w14:paraId="406E65F0">
      <w:pPr>
        <w:autoSpaceDE w:val="0"/>
        <w:autoSpaceDN w:val="0"/>
        <w:jc w:val="center"/>
        <w:rPr>
          <w:rFonts w:eastAsia="黑体"/>
          <w:kern w:val="0"/>
          <w:szCs w:val="20"/>
        </w:rPr>
      </w:pPr>
      <w:r>
        <w:rPr>
          <w:rFonts w:hint="eastAsia" w:eastAsia="黑体"/>
          <w:kern w:val="0"/>
          <w:szCs w:val="20"/>
        </w:rPr>
        <w:t>智能电网建设运营领域</w:t>
      </w:r>
      <w:r>
        <w:rPr>
          <w:rFonts w:eastAsia="黑体"/>
          <w:kern w:val="0"/>
          <w:szCs w:val="20"/>
        </w:rPr>
        <w:t>绿色低碳产业</w:t>
      </w:r>
      <w:r>
        <w:rPr>
          <w:rFonts w:hint="eastAsia" w:eastAsia="黑体"/>
          <w:kern w:val="0"/>
          <w:szCs w:val="20"/>
        </w:rPr>
        <w:t>认定</w:t>
      </w:r>
      <w:bookmarkEnd w:id="194"/>
      <w:bookmarkEnd w:id="195"/>
      <w:bookmarkEnd w:id="198"/>
      <w:r>
        <w:rPr>
          <w:rFonts w:hint="eastAsia" w:eastAsia="黑体"/>
          <w:kern w:val="0"/>
          <w:szCs w:val="20"/>
        </w:rPr>
        <w:t>评价指标表</w:t>
      </w:r>
    </w:p>
    <w:p w14:paraId="664989AB">
      <w:pPr>
        <w:autoSpaceDE w:val="0"/>
        <w:autoSpaceDN w:val="0"/>
        <w:spacing w:before="156" w:beforeLines="50" w:after="156" w:afterLines="50"/>
      </w:pPr>
      <w:bookmarkStart w:id="214" w:name="BKCKWX"/>
      <w:r>
        <w:rPr>
          <w:rFonts w:hint="eastAsia" w:ascii="黑体" w:hAnsi="黑体" w:eastAsia="黑体" w:cs="黑体"/>
          <w:szCs w:val="21"/>
        </w:rPr>
        <w:t>E.1  绿色低碳产业企业认定评价指标</w:t>
      </w:r>
    </w:p>
    <w:p w14:paraId="2E334B06">
      <w:pPr>
        <w:autoSpaceDE w:val="0"/>
        <w:autoSpaceDN w:val="0"/>
        <w:ind w:firstLine="420" w:firstLineChars="200"/>
      </w:pPr>
      <w:r>
        <w:rPr>
          <w:rFonts w:hint="eastAsia"/>
        </w:rPr>
        <w:t>智能电网建设运营领域绿色低碳产业企业认</w:t>
      </w:r>
      <w:r>
        <w:rPr>
          <w:rFonts w:hint="eastAsia" w:ascii="宋体" w:hAnsi="宋体" w:cs="宋体"/>
        </w:rPr>
        <w:t>定评价指标表见表E.1和表E.2。</w:t>
      </w:r>
    </w:p>
    <w:p w14:paraId="00D20039">
      <w:pPr>
        <w:numPr>
          <w:ilvl w:val="1"/>
          <w:numId w:val="0"/>
        </w:numPr>
        <w:spacing w:before="156" w:beforeLines="50" w:after="156" w:afterLines="50"/>
        <w:jc w:val="center"/>
        <w:rPr>
          <w:rFonts w:eastAsia="黑体"/>
          <w:szCs w:val="21"/>
        </w:rPr>
      </w:pPr>
      <w:r>
        <w:rPr>
          <w:rFonts w:hint="eastAsia" w:ascii="黑体" w:hAnsi="黑体" w:eastAsia="黑体" w:cs="黑体"/>
          <w:szCs w:val="21"/>
        </w:rPr>
        <w:t>表E.1  智能电网建设运营领域绿色低碳产业认定符合性评价指标</w:t>
      </w:r>
    </w:p>
    <w:tbl>
      <w:tblPr>
        <w:tblStyle w:val="36"/>
        <w:tblpPr w:leftFromText="180" w:rightFromText="180" w:vertAnchor="text" w:tblpXSpec="center" w:tblpY="1"/>
        <w:tblOverlap w:val="never"/>
        <w:tblW w:w="9570"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1172"/>
        <w:gridCol w:w="1251"/>
        <w:gridCol w:w="5060"/>
        <w:gridCol w:w="1080"/>
        <w:gridCol w:w="1007"/>
      </w:tblGrid>
      <w:tr w14:paraId="0D8CE46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27" w:hRule="atLeast"/>
          <w:jc w:val="center"/>
        </w:trPr>
        <w:tc>
          <w:tcPr>
            <w:tcW w:w="1172" w:type="dxa"/>
            <w:tcBorders>
              <w:top w:val="single" w:color="auto" w:sz="12" w:space="0"/>
              <w:bottom w:val="single" w:color="auto" w:sz="12" w:space="0"/>
            </w:tcBorders>
            <w:vAlign w:val="center"/>
          </w:tcPr>
          <w:p w14:paraId="135F326C">
            <w:pPr>
              <w:autoSpaceDE w:val="0"/>
              <w:autoSpaceDN w:val="0"/>
              <w:jc w:val="center"/>
              <w:rPr>
                <w:rFonts w:ascii="宋体"/>
                <w:b/>
                <w:sz w:val="18"/>
                <w:szCs w:val="18"/>
              </w:rPr>
            </w:pPr>
            <w:r>
              <w:rPr>
                <w:rFonts w:ascii="宋体"/>
                <w:b/>
                <w:sz w:val="18"/>
                <w:szCs w:val="18"/>
              </w:rPr>
              <w:t>评价类型</w:t>
            </w:r>
          </w:p>
        </w:tc>
        <w:tc>
          <w:tcPr>
            <w:tcW w:w="1251" w:type="dxa"/>
            <w:tcBorders>
              <w:top w:val="single" w:color="auto" w:sz="12" w:space="0"/>
              <w:bottom w:val="single" w:color="auto" w:sz="12" w:space="0"/>
            </w:tcBorders>
            <w:vAlign w:val="center"/>
          </w:tcPr>
          <w:p w14:paraId="461E170D">
            <w:pPr>
              <w:autoSpaceDE w:val="0"/>
              <w:autoSpaceDN w:val="0"/>
              <w:jc w:val="center"/>
              <w:rPr>
                <w:rFonts w:ascii="宋体"/>
                <w:b/>
                <w:sz w:val="18"/>
                <w:szCs w:val="18"/>
              </w:rPr>
            </w:pPr>
            <w:r>
              <w:rPr>
                <w:rFonts w:hint="eastAsia" w:ascii="宋体"/>
                <w:b/>
                <w:sz w:val="18"/>
                <w:szCs w:val="18"/>
              </w:rPr>
              <w:t>指标</w:t>
            </w:r>
          </w:p>
        </w:tc>
        <w:tc>
          <w:tcPr>
            <w:tcW w:w="5060" w:type="dxa"/>
            <w:tcBorders>
              <w:top w:val="single" w:color="auto" w:sz="12" w:space="0"/>
              <w:bottom w:val="single" w:color="auto" w:sz="12" w:space="0"/>
            </w:tcBorders>
            <w:vAlign w:val="center"/>
          </w:tcPr>
          <w:p w14:paraId="0B672D72">
            <w:pPr>
              <w:autoSpaceDE w:val="0"/>
              <w:autoSpaceDN w:val="0"/>
              <w:jc w:val="center"/>
              <w:rPr>
                <w:rFonts w:ascii="宋体"/>
                <w:b/>
                <w:sz w:val="18"/>
                <w:szCs w:val="18"/>
              </w:rPr>
            </w:pPr>
            <w:r>
              <w:rPr>
                <w:rFonts w:hint="eastAsia" w:ascii="宋体"/>
                <w:b/>
                <w:sz w:val="18"/>
                <w:szCs w:val="18"/>
              </w:rPr>
              <w:t>符合性评价内容</w:t>
            </w:r>
          </w:p>
        </w:tc>
        <w:tc>
          <w:tcPr>
            <w:tcW w:w="1080" w:type="dxa"/>
            <w:tcBorders>
              <w:top w:val="single" w:color="auto" w:sz="12" w:space="0"/>
              <w:bottom w:val="single" w:color="auto" w:sz="12" w:space="0"/>
            </w:tcBorders>
            <w:vAlign w:val="center"/>
          </w:tcPr>
          <w:p w14:paraId="104736CC">
            <w:pPr>
              <w:autoSpaceDE w:val="0"/>
              <w:autoSpaceDN w:val="0"/>
              <w:jc w:val="center"/>
              <w:rPr>
                <w:rFonts w:ascii="宋体"/>
                <w:b/>
                <w:sz w:val="18"/>
                <w:szCs w:val="18"/>
              </w:rPr>
            </w:pPr>
            <w:r>
              <w:rPr>
                <w:rFonts w:ascii="宋体"/>
                <w:b/>
                <w:sz w:val="18"/>
                <w:szCs w:val="18"/>
              </w:rPr>
              <w:t>评分标准</w:t>
            </w:r>
          </w:p>
        </w:tc>
        <w:tc>
          <w:tcPr>
            <w:tcW w:w="1007" w:type="dxa"/>
            <w:tcBorders>
              <w:top w:val="single" w:color="auto" w:sz="12" w:space="0"/>
              <w:bottom w:val="single" w:color="auto" w:sz="12" w:space="0"/>
            </w:tcBorders>
            <w:vAlign w:val="center"/>
          </w:tcPr>
          <w:p w14:paraId="170DF56C">
            <w:pPr>
              <w:autoSpaceDE w:val="0"/>
              <w:autoSpaceDN w:val="0"/>
              <w:jc w:val="center"/>
              <w:rPr>
                <w:rFonts w:ascii="宋体"/>
                <w:b/>
                <w:sz w:val="18"/>
                <w:szCs w:val="18"/>
              </w:rPr>
            </w:pPr>
            <w:r>
              <w:rPr>
                <w:rFonts w:ascii="宋体"/>
                <w:b/>
                <w:sz w:val="18"/>
                <w:szCs w:val="18"/>
              </w:rPr>
              <w:t>评价</w:t>
            </w:r>
            <w:r>
              <w:rPr>
                <w:rFonts w:hint="eastAsia" w:ascii="宋体"/>
                <w:b/>
                <w:sz w:val="18"/>
                <w:szCs w:val="18"/>
              </w:rPr>
              <w:t>结果</w:t>
            </w:r>
          </w:p>
        </w:tc>
      </w:tr>
      <w:tr w14:paraId="277A926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853" w:hRule="atLeast"/>
          <w:jc w:val="center"/>
        </w:trPr>
        <w:tc>
          <w:tcPr>
            <w:tcW w:w="1172" w:type="dxa"/>
            <w:vMerge w:val="restart"/>
            <w:tcBorders>
              <w:top w:val="single" w:color="auto" w:sz="12" w:space="0"/>
            </w:tcBorders>
            <w:vAlign w:val="center"/>
          </w:tcPr>
          <w:p w14:paraId="71226D9F">
            <w:pPr>
              <w:autoSpaceDE w:val="0"/>
              <w:autoSpaceDN w:val="0"/>
              <w:jc w:val="center"/>
              <w:rPr>
                <w:rFonts w:ascii="宋体"/>
                <w:b/>
                <w:sz w:val="18"/>
                <w:szCs w:val="18"/>
              </w:rPr>
            </w:pPr>
            <w:r>
              <w:rPr>
                <w:rFonts w:ascii="宋体"/>
                <w:bCs/>
                <w:sz w:val="18"/>
                <w:szCs w:val="18"/>
              </w:rPr>
              <w:t>符合性评价</w:t>
            </w:r>
          </w:p>
        </w:tc>
        <w:tc>
          <w:tcPr>
            <w:tcW w:w="1251" w:type="dxa"/>
            <w:tcBorders>
              <w:top w:val="single" w:color="auto" w:sz="12" w:space="0"/>
            </w:tcBorders>
            <w:vAlign w:val="center"/>
          </w:tcPr>
          <w:p w14:paraId="50D46DCA">
            <w:pPr>
              <w:autoSpaceDE w:val="0"/>
              <w:autoSpaceDN w:val="0"/>
              <w:jc w:val="center"/>
              <w:rPr>
                <w:rFonts w:ascii="宋体" w:hAnsi="宋体" w:cs="宋体"/>
                <w:sz w:val="18"/>
                <w:szCs w:val="18"/>
              </w:rPr>
            </w:pPr>
            <w:r>
              <w:rPr>
                <w:rFonts w:hint="eastAsia" w:ascii="宋体" w:hAnsi="宋体" w:cs="宋体"/>
                <w:sz w:val="18"/>
                <w:szCs w:val="18"/>
              </w:rPr>
              <w:t>目录符合</w:t>
            </w:r>
          </w:p>
        </w:tc>
        <w:tc>
          <w:tcPr>
            <w:tcW w:w="5060" w:type="dxa"/>
            <w:tcBorders>
              <w:top w:val="single" w:color="auto" w:sz="12" w:space="0"/>
            </w:tcBorders>
            <w:vAlign w:val="center"/>
          </w:tcPr>
          <w:p w14:paraId="0084B022">
            <w:pPr>
              <w:widowControl/>
              <w:rPr>
                <w:rFonts w:ascii="宋体"/>
                <w:kern w:val="0"/>
                <w:sz w:val="18"/>
                <w:szCs w:val="18"/>
              </w:rPr>
            </w:pPr>
            <w:r>
              <w:rPr>
                <w:rFonts w:hint="eastAsia" w:ascii="宋体" w:hAnsi="宋体" w:cs="宋体"/>
                <w:sz w:val="18"/>
                <w:szCs w:val="18"/>
              </w:rPr>
              <w:t>申报认定评价的绿色业务属于智能电网建设运营领域，且其智能电网建设运营领域绿色业务占比达到50%及以上，或绿色业务规模达到1亿元；或在当地具备一定市场规模、经相关政府职能部门认可的相关行业</w:t>
            </w:r>
          </w:p>
        </w:tc>
        <w:tc>
          <w:tcPr>
            <w:tcW w:w="1080" w:type="dxa"/>
            <w:tcBorders>
              <w:top w:val="single" w:color="auto" w:sz="12" w:space="0"/>
            </w:tcBorders>
            <w:vAlign w:val="center"/>
          </w:tcPr>
          <w:p w14:paraId="7D65C258">
            <w:pPr>
              <w:autoSpaceDE w:val="0"/>
              <w:autoSpaceDN w:val="0"/>
              <w:jc w:val="center"/>
              <w:rPr>
                <w:rFonts w:ascii="宋体" w:hAnsi="宋体" w:cs="宋体"/>
                <w:sz w:val="18"/>
                <w:szCs w:val="18"/>
              </w:rPr>
            </w:pPr>
            <w:r>
              <w:rPr>
                <w:rFonts w:hint="eastAsia" w:ascii="宋体" w:hAnsi="宋体" w:cs="宋体"/>
                <w:sz w:val="18"/>
                <w:szCs w:val="18"/>
              </w:rPr>
              <w:t>是/否</w:t>
            </w:r>
          </w:p>
        </w:tc>
        <w:tc>
          <w:tcPr>
            <w:tcW w:w="1007" w:type="dxa"/>
            <w:tcBorders>
              <w:top w:val="single" w:color="auto" w:sz="12" w:space="0"/>
            </w:tcBorders>
            <w:vAlign w:val="center"/>
          </w:tcPr>
          <w:p w14:paraId="43DD9A70">
            <w:pPr>
              <w:autoSpaceDE w:val="0"/>
              <w:autoSpaceDN w:val="0"/>
              <w:jc w:val="center"/>
              <w:rPr>
                <w:rFonts w:ascii="宋体"/>
                <w:sz w:val="18"/>
                <w:szCs w:val="18"/>
              </w:rPr>
            </w:pPr>
          </w:p>
        </w:tc>
      </w:tr>
      <w:tr w14:paraId="6757354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172" w:type="dxa"/>
            <w:vMerge w:val="continue"/>
            <w:tcBorders>
              <w:bottom w:val="single" w:color="auto" w:sz="12" w:space="0"/>
            </w:tcBorders>
            <w:vAlign w:val="center"/>
          </w:tcPr>
          <w:p w14:paraId="24505457">
            <w:pPr>
              <w:autoSpaceDE w:val="0"/>
              <w:autoSpaceDN w:val="0"/>
              <w:jc w:val="center"/>
              <w:rPr>
                <w:rFonts w:ascii="宋体"/>
                <w:b/>
                <w:sz w:val="18"/>
                <w:szCs w:val="18"/>
              </w:rPr>
            </w:pPr>
          </w:p>
        </w:tc>
        <w:tc>
          <w:tcPr>
            <w:tcW w:w="1251" w:type="dxa"/>
            <w:tcBorders>
              <w:bottom w:val="single" w:color="auto" w:sz="12" w:space="0"/>
            </w:tcBorders>
            <w:vAlign w:val="center"/>
          </w:tcPr>
          <w:p w14:paraId="38C040EF">
            <w:pPr>
              <w:autoSpaceDE w:val="0"/>
              <w:autoSpaceDN w:val="0"/>
              <w:jc w:val="center"/>
              <w:rPr>
                <w:rFonts w:ascii="宋体" w:hAnsi="宋体" w:cs="宋体"/>
                <w:sz w:val="18"/>
                <w:szCs w:val="18"/>
              </w:rPr>
            </w:pPr>
            <w:r>
              <w:rPr>
                <w:rFonts w:hint="eastAsia" w:ascii="宋体" w:hAnsi="宋体" w:cs="宋体"/>
                <w:sz w:val="18"/>
                <w:szCs w:val="18"/>
              </w:rPr>
              <w:t>技术符合</w:t>
            </w:r>
          </w:p>
        </w:tc>
        <w:tc>
          <w:tcPr>
            <w:tcW w:w="5060" w:type="dxa"/>
            <w:tcBorders>
              <w:bottom w:val="single" w:color="auto" w:sz="12" w:space="0"/>
            </w:tcBorders>
            <w:vAlign w:val="center"/>
          </w:tcPr>
          <w:p w14:paraId="4287D48F">
            <w:pPr>
              <w:widowControl/>
              <w:rPr>
                <w:rFonts w:ascii="宋体"/>
                <w:kern w:val="0"/>
                <w:sz w:val="18"/>
                <w:szCs w:val="18"/>
              </w:rPr>
            </w:pPr>
            <w:r>
              <w:rPr>
                <w:rFonts w:hint="eastAsia" w:ascii="宋体" w:hAnsi="宋体" w:cs="宋体"/>
                <w:sz w:val="18"/>
                <w:szCs w:val="18"/>
              </w:rPr>
              <w:t>提供的产品或服务应符合国家、广东省及深圳市相关主管部门发布文件列明的有关设计、能效、性能、安全、贮存、回收、标识、验收、管理和运维等技术要求</w:t>
            </w:r>
          </w:p>
        </w:tc>
        <w:tc>
          <w:tcPr>
            <w:tcW w:w="1080" w:type="dxa"/>
            <w:tcBorders>
              <w:bottom w:val="single" w:color="auto" w:sz="12" w:space="0"/>
            </w:tcBorders>
            <w:vAlign w:val="center"/>
          </w:tcPr>
          <w:p w14:paraId="6FF25394">
            <w:pPr>
              <w:autoSpaceDE w:val="0"/>
              <w:autoSpaceDN w:val="0"/>
              <w:jc w:val="center"/>
              <w:rPr>
                <w:rFonts w:ascii="宋体" w:hAnsi="宋体" w:cs="宋体"/>
                <w:sz w:val="18"/>
                <w:szCs w:val="18"/>
              </w:rPr>
            </w:pPr>
            <w:r>
              <w:rPr>
                <w:rFonts w:hint="eastAsia" w:ascii="宋体" w:hAnsi="宋体" w:cs="宋体"/>
                <w:sz w:val="18"/>
                <w:szCs w:val="18"/>
              </w:rPr>
              <w:t>是/否</w:t>
            </w:r>
          </w:p>
        </w:tc>
        <w:tc>
          <w:tcPr>
            <w:tcW w:w="1007" w:type="dxa"/>
            <w:tcBorders>
              <w:bottom w:val="single" w:color="auto" w:sz="12" w:space="0"/>
            </w:tcBorders>
            <w:vAlign w:val="center"/>
          </w:tcPr>
          <w:p w14:paraId="3E7D489B">
            <w:pPr>
              <w:autoSpaceDE w:val="0"/>
              <w:autoSpaceDN w:val="0"/>
              <w:jc w:val="center"/>
              <w:rPr>
                <w:rFonts w:ascii="宋体"/>
                <w:sz w:val="18"/>
                <w:szCs w:val="18"/>
              </w:rPr>
            </w:pPr>
          </w:p>
        </w:tc>
      </w:tr>
    </w:tbl>
    <w:p w14:paraId="17A2DB61">
      <w:pPr>
        <w:numPr>
          <w:ilvl w:val="1"/>
          <w:numId w:val="0"/>
        </w:numPr>
        <w:spacing w:before="156" w:beforeLines="50" w:after="156" w:afterLines="50"/>
        <w:jc w:val="center"/>
        <w:rPr>
          <w:rFonts w:ascii="黑体" w:hAnsi="黑体" w:eastAsia="黑体" w:cs="黑体"/>
          <w:szCs w:val="21"/>
        </w:rPr>
      </w:pPr>
      <w:r>
        <w:rPr>
          <w:rFonts w:hint="eastAsia" w:ascii="黑体" w:hAnsi="黑体" w:eastAsia="黑体" w:cs="黑体"/>
          <w:szCs w:val="21"/>
        </w:rPr>
        <w:t>表E.2  智能电网建设运营行业绿色低碳产业认定综合评价指标</w:t>
      </w:r>
    </w:p>
    <w:tbl>
      <w:tblPr>
        <w:tblStyle w:val="36"/>
        <w:tblpPr w:leftFromText="180" w:rightFromText="180" w:vertAnchor="text" w:tblpXSpec="center" w:tblpY="1"/>
        <w:tblOverlap w:val="never"/>
        <w:tblW w:w="95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87"/>
        <w:gridCol w:w="616"/>
        <w:gridCol w:w="1056"/>
        <w:gridCol w:w="2223"/>
        <w:gridCol w:w="3158"/>
        <w:gridCol w:w="992"/>
        <w:gridCol w:w="938"/>
      </w:tblGrid>
      <w:tr w14:paraId="3491C7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blHeader/>
          <w:jc w:val="center"/>
        </w:trPr>
        <w:tc>
          <w:tcPr>
            <w:tcW w:w="587" w:type="dxa"/>
            <w:tcBorders>
              <w:bottom w:val="single" w:color="auto" w:sz="12" w:space="0"/>
            </w:tcBorders>
            <w:vAlign w:val="center"/>
          </w:tcPr>
          <w:p w14:paraId="5DC6C6C4">
            <w:pPr>
              <w:autoSpaceDE w:val="0"/>
              <w:autoSpaceDN w:val="0"/>
              <w:jc w:val="center"/>
              <w:rPr>
                <w:rFonts w:ascii="宋体"/>
                <w:b/>
                <w:sz w:val="18"/>
                <w:szCs w:val="18"/>
              </w:rPr>
            </w:pPr>
            <w:r>
              <w:rPr>
                <w:rFonts w:ascii="宋体"/>
                <w:b/>
                <w:sz w:val="18"/>
                <w:szCs w:val="18"/>
              </w:rPr>
              <w:t>一级指标</w:t>
            </w:r>
          </w:p>
        </w:tc>
        <w:tc>
          <w:tcPr>
            <w:tcW w:w="616" w:type="dxa"/>
            <w:tcBorders>
              <w:bottom w:val="single" w:color="auto" w:sz="12" w:space="0"/>
            </w:tcBorders>
            <w:vAlign w:val="center"/>
          </w:tcPr>
          <w:p w14:paraId="2DC445B0">
            <w:pPr>
              <w:autoSpaceDE w:val="0"/>
              <w:autoSpaceDN w:val="0"/>
              <w:jc w:val="center"/>
              <w:rPr>
                <w:rFonts w:ascii="宋体"/>
                <w:b/>
                <w:sz w:val="18"/>
                <w:szCs w:val="18"/>
              </w:rPr>
            </w:pPr>
            <w:r>
              <w:rPr>
                <w:rFonts w:ascii="宋体"/>
                <w:b/>
                <w:sz w:val="18"/>
                <w:szCs w:val="18"/>
              </w:rPr>
              <w:t>二级指标</w:t>
            </w:r>
          </w:p>
        </w:tc>
        <w:tc>
          <w:tcPr>
            <w:tcW w:w="1056" w:type="dxa"/>
            <w:tcBorders>
              <w:bottom w:val="single" w:color="auto" w:sz="12" w:space="0"/>
            </w:tcBorders>
            <w:vAlign w:val="center"/>
          </w:tcPr>
          <w:p w14:paraId="5DB24DC6">
            <w:pPr>
              <w:autoSpaceDE w:val="0"/>
              <w:autoSpaceDN w:val="0"/>
              <w:jc w:val="center"/>
              <w:rPr>
                <w:rFonts w:ascii="宋体"/>
                <w:b/>
                <w:sz w:val="18"/>
                <w:szCs w:val="18"/>
              </w:rPr>
            </w:pPr>
            <w:r>
              <w:rPr>
                <w:rFonts w:hint="eastAsia" w:ascii="宋体"/>
                <w:b/>
                <w:sz w:val="18"/>
                <w:szCs w:val="18"/>
              </w:rPr>
              <w:t>三级指标</w:t>
            </w:r>
          </w:p>
        </w:tc>
        <w:tc>
          <w:tcPr>
            <w:tcW w:w="2223" w:type="dxa"/>
            <w:tcBorders>
              <w:bottom w:val="single" w:color="auto" w:sz="12" w:space="0"/>
            </w:tcBorders>
            <w:vAlign w:val="center"/>
          </w:tcPr>
          <w:p w14:paraId="1C5E80CB">
            <w:pPr>
              <w:autoSpaceDE w:val="0"/>
              <w:autoSpaceDN w:val="0"/>
              <w:jc w:val="center"/>
              <w:rPr>
                <w:rFonts w:ascii="宋体"/>
                <w:b/>
                <w:sz w:val="18"/>
                <w:szCs w:val="18"/>
              </w:rPr>
            </w:pPr>
            <w:r>
              <w:rPr>
                <w:rFonts w:hint="eastAsia" w:ascii="宋体"/>
                <w:b/>
                <w:sz w:val="18"/>
                <w:szCs w:val="18"/>
              </w:rPr>
              <w:t>评价要求</w:t>
            </w:r>
          </w:p>
        </w:tc>
        <w:tc>
          <w:tcPr>
            <w:tcW w:w="3158" w:type="dxa"/>
            <w:tcBorders>
              <w:bottom w:val="single" w:color="auto" w:sz="12" w:space="0"/>
            </w:tcBorders>
            <w:vAlign w:val="center"/>
          </w:tcPr>
          <w:p w14:paraId="707FB9BE">
            <w:pPr>
              <w:autoSpaceDE w:val="0"/>
              <w:autoSpaceDN w:val="0"/>
              <w:jc w:val="center"/>
              <w:rPr>
                <w:rFonts w:ascii="宋体"/>
                <w:b/>
                <w:sz w:val="18"/>
                <w:szCs w:val="18"/>
              </w:rPr>
            </w:pPr>
            <w:r>
              <w:rPr>
                <w:rFonts w:hint="eastAsia" w:ascii="宋体"/>
                <w:b/>
                <w:sz w:val="18"/>
                <w:szCs w:val="18"/>
              </w:rPr>
              <w:t>评分标准</w:t>
            </w:r>
          </w:p>
        </w:tc>
        <w:tc>
          <w:tcPr>
            <w:tcW w:w="992" w:type="dxa"/>
            <w:tcBorders>
              <w:bottom w:val="single" w:color="auto" w:sz="12" w:space="0"/>
            </w:tcBorders>
            <w:vAlign w:val="center"/>
          </w:tcPr>
          <w:p w14:paraId="6F05B198">
            <w:pPr>
              <w:autoSpaceDE w:val="0"/>
              <w:autoSpaceDN w:val="0"/>
              <w:jc w:val="center"/>
              <w:rPr>
                <w:rFonts w:ascii="宋体"/>
                <w:b/>
                <w:sz w:val="18"/>
                <w:szCs w:val="18"/>
              </w:rPr>
            </w:pPr>
            <w:r>
              <w:rPr>
                <w:rFonts w:ascii="宋体"/>
                <w:b/>
                <w:sz w:val="18"/>
                <w:szCs w:val="18"/>
              </w:rPr>
              <w:t>分值</w:t>
            </w:r>
            <w:r>
              <w:rPr>
                <w:rFonts w:hint="eastAsia" w:ascii="宋体"/>
                <w:b/>
                <w:sz w:val="18"/>
                <w:szCs w:val="18"/>
              </w:rPr>
              <w:t>（分）</w:t>
            </w:r>
          </w:p>
        </w:tc>
        <w:tc>
          <w:tcPr>
            <w:tcW w:w="938" w:type="dxa"/>
            <w:tcBorders>
              <w:bottom w:val="single" w:color="auto" w:sz="12" w:space="0"/>
            </w:tcBorders>
            <w:vAlign w:val="center"/>
          </w:tcPr>
          <w:p w14:paraId="487B12EC">
            <w:pPr>
              <w:autoSpaceDE w:val="0"/>
              <w:autoSpaceDN w:val="0"/>
              <w:jc w:val="center"/>
              <w:rPr>
                <w:rFonts w:ascii="宋体"/>
                <w:b/>
                <w:sz w:val="18"/>
                <w:szCs w:val="18"/>
              </w:rPr>
            </w:pPr>
            <w:r>
              <w:rPr>
                <w:rFonts w:ascii="宋体"/>
                <w:b/>
                <w:sz w:val="18"/>
                <w:szCs w:val="18"/>
              </w:rPr>
              <w:t>得分</w:t>
            </w:r>
            <w:r>
              <w:rPr>
                <w:rFonts w:hint="eastAsia" w:ascii="宋体"/>
                <w:b/>
                <w:sz w:val="18"/>
                <w:szCs w:val="18"/>
              </w:rPr>
              <w:t>（分）</w:t>
            </w:r>
          </w:p>
        </w:tc>
      </w:tr>
      <w:tr w14:paraId="6B8A59D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Merge w:val="restart"/>
            <w:tcBorders>
              <w:top w:val="single" w:color="auto" w:sz="12" w:space="0"/>
              <w:tl2br w:val="nil"/>
              <w:tr2bl w:val="nil"/>
            </w:tcBorders>
            <w:vAlign w:val="center"/>
          </w:tcPr>
          <w:p w14:paraId="57A1EBBA">
            <w:pPr>
              <w:autoSpaceDE w:val="0"/>
              <w:autoSpaceDN w:val="0"/>
              <w:jc w:val="center"/>
              <w:rPr>
                <w:rFonts w:ascii="宋体" w:hAnsi="宋体" w:cs="宋体"/>
                <w:sz w:val="18"/>
                <w:szCs w:val="18"/>
              </w:rPr>
            </w:pPr>
            <w:r>
              <w:rPr>
                <w:rFonts w:hint="eastAsia" w:ascii="宋体" w:hAnsi="宋体" w:cs="宋体"/>
                <w:sz w:val="18"/>
                <w:szCs w:val="18"/>
              </w:rPr>
              <w:t>技术表现</w:t>
            </w:r>
          </w:p>
        </w:tc>
        <w:tc>
          <w:tcPr>
            <w:tcW w:w="616" w:type="dxa"/>
            <w:vMerge w:val="restart"/>
            <w:tcBorders>
              <w:top w:val="single" w:color="auto" w:sz="12" w:space="0"/>
              <w:tl2br w:val="nil"/>
              <w:tr2bl w:val="nil"/>
            </w:tcBorders>
            <w:vAlign w:val="center"/>
          </w:tcPr>
          <w:p w14:paraId="79DD278B">
            <w:pPr>
              <w:autoSpaceDE w:val="0"/>
              <w:autoSpaceDN w:val="0"/>
              <w:jc w:val="center"/>
              <w:rPr>
                <w:rFonts w:ascii="宋体" w:hAnsi="宋体" w:cs="宋体"/>
                <w:sz w:val="18"/>
                <w:szCs w:val="18"/>
              </w:rPr>
            </w:pPr>
            <w:r>
              <w:rPr>
                <w:rFonts w:hint="eastAsia" w:ascii="宋体" w:hAnsi="宋体" w:cs="宋体"/>
                <w:sz w:val="18"/>
                <w:szCs w:val="18"/>
              </w:rPr>
              <w:t>先进性</w:t>
            </w:r>
          </w:p>
        </w:tc>
        <w:tc>
          <w:tcPr>
            <w:tcW w:w="1056" w:type="dxa"/>
            <w:tcBorders>
              <w:top w:val="single" w:color="auto" w:sz="12" w:space="0"/>
              <w:tl2br w:val="nil"/>
              <w:tr2bl w:val="nil"/>
            </w:tcBorders>
            <w:vAlign w:val="center"/>
          </w:tcPr>
          <w:p w14:paraId="3442EBB2">
            <w:pPr>
              <w:autoSpaceDE w:val="0"/>
              <w:autoSpaceDN w:val="0"/>
              <w:jc w:val="center"/>
              <w:rPr>
                <w:rFonts w:ascii="宋体" w:hAnsi="宋体" w:cs="宋体"/>
                <w:sz w:val="18"/>
                <w:szCs w:val="18"/>
              </w:rPr>
            </w:pPr>
            <w:r>
              <w:rPr>
                <w:rFonts w:hint="eastAsia" w:ascii="宋体" w:hAnsi="宋体" w:cs="宋体"/>
                <w:sz w:val="18"/>
                <w:szCs w:val="18"/>
              </w:rPr>
              <w:t>有效知识产权</w:t>
            </w:r>
          </w:p>
        </w:tc>
        <w:tc>
          <w:tcPr>
            <w:tcW w:w="2223" w:type="dxa"/>
            <w:tcBorders>
              <w:top w:val="single" w:color="auto" w:sz="12" w:space="0"/>
              <w:tl2br w:val="nil"/>
              <w:tr2bl w:val="nil"/>
            </w:tcBorders>
            <w:vAlign w:val="center"/>
          </w:tcPr>
          <w:p w14:paraId="0658CA3C">
            <w:pPr>
              <w:pStyle w:val="25"/>
              <w:ind w:firstLine="0" w:firstLineChars="0"/>
              <w:jc w:val="left"/>
              <w:rPr>
                <w:rFonts w:hAnsi="宋体" w:cs="宋体"/>
                <w:sz w:val="18"/>
                <w:szCs w:val="18"/>
              </w:rPr>
            </w:pPr>
            <w:r>
              <w:rPr>
                <w:rFonts w:hint="eastAsia" w:hAnsi="宋体" w:cs="宋体"/>
                <w:sz w:val="18"/>
                <w:szCs w:val="18"/>
              </w:rPr>
              <w:t>为智能电网建设运营领域的有效知识产权，按知识产权类别和知识产权获得形式加权计算数量</w:t>
            </w:r>
          </w:p>
        </w:tc>
        <w:tc>
          <w:tcPr>
            <w:tcW w:w="3158" w:type="dxa"/>
            <w:tcBorders>
              <w:top w:val="single" w:color="auto" w:sz="12" w:space="0"/>
              <w:tl2br w:val="nil"/>
              <w:tr2bl w:val="nil"/>
            </w:tcBorders>
            <w:vAlign w:val="center"/>
          </w:tcPr>
          <w:p w14:paraId="2F2C59B3">
            <w:pPr>
              <w:pStyle w:val="25"/>
              <w:ind w:firstLine="0" w:firstLineChars="0"/>
              <w:jc w:val="left"/>
              <w:rPr>
                <w:rFonts w:hAnsi="宋体" w:cs="宋体"/>
                <w:sz w:val="18"/>
                <w:szCs w:val="18"/>
              </w:rPr>
            </w:pPr>
            <w:r>
              <w:rPr>
                <w:rFonts w:hint="eastAsia" w:hAnsi="宋体" w:cs="宋体"/>
                <w:sz w:val="18"/>
                <w:szCs w:val="18"/>
              </w:rPr>
              <w:t>加权法计算后有效知识产权数量乘以0.</w:t>
            </w:r>
            <w:r>
              <w:rPr>
                <w:rFonts w:hAnsi="宋体" w:cs="宋体"/>
                <w:sz w:val="18"/>
                <w:szCs w:val="18"/>
              </w:rPr>
              <w:t>1</w:t>
            </w:r>
            <w:r>
              <w:rPr>
                <w:rFonts w:hint="eastAsia" w:hAnsi="宋体" w:cs="宋体"/>
                <w:sz w:val="18"/>
                <w:szCs w:val="18"/>
              </w:rPr>
              <w:t>分</w:t>
            </w:r>
          </w:p>
        </w:tc>
        <w:tc>
          <w:tcPr>
            <w:tcW w:w="992" w:type="dxa"/>
            <w:tcBorders>
              <w:top w:val="single" w:color="auto" w:sz="12" w:space="0"/>
              <w:tl2br w:val="nil"/>
              <w:tr2bl w:val="nil"/>
            </w:tcBorders>
            <w:vAlign w:val="center"/>
          </w:tcPr>
          <w:p w14:paraId="537A078F">
            <w:pPr>
              <w:autoSpaceDE w:val="0"/>
              <w:autoSpaceDN w:val="0"/>
              <w:jc w:val="center"/>
              <w:rPr>
                <w:rFonts w:ascii="宋体"/>
                <w:sz w:val="18"/>
                <w:szCs w:val="18"/>
              </w:rPr>
            </w:pPr>
            <w:r>
              <w:rPr>
                <w:rFonts w:hint="eastAsia" w:ascii="宋体"/>
                <w:sz w:val="18"/>
                <w:szCs w:val="18"/>
              </w:rPr>
              <w:t>5</w:t>
            </w:r>
          </w:p>
        </w:tc>
        <w:tc>
          <w:tcPr>
            <w:tcW w:w="938" w:type="dxa"/>
            <w:tcBorders>
              <w:top w:val="single" w:color="auto" w:sz="12" w:space="0"/>
              <w:tl2br w:val="nil"/>
              <w:tr2bl w:val="nil"/>
            </w:tcBorders>
            <w:vAlign w:val="center"/>
          </w:tcPr>
          <w:p w14:paraId="0B80E97F">
            <w:pPr>
              <w:autoSpaceDE w:val="0"/>
              <w:autoSpaceDN w:val="0"/>
              <w:jc w:val="center"/>
              <w:rPr>
                <w:rFonts w:ascii="宋体"/>
                <w:sz w:val="18"/>
                <w:szCs w:val="18"/>
              </w:rPr>
            </w:pPr>
          </w:p>
        </w:tc>
      </w:tr>
      <w:tr w14:paraId="224787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33" w:hRule="atLeast"/>
          <w:jc w:val="center"/>
        </w:trPr>
        <w:tc>
          <w:tcPr>
            <w:tcW w:w="587" w:type="dxa"/>
            <w:vMerge w:val="continue"/>
            <w:tcBorders>
              <w:tl2br w:val="nil"/>
              <w:tr2bl w:val="nil"/>
            </w:tcBorders>
            <w:vAlign w:val="center"/>
          </w:tcPr>
          <w:p w14:paraId="35A68459">
            <w:pPr>
              <w:autoSpaceDE w:val="0"/>
              <w:autoSpaceDN w:val="0"/>
              <w:jc w:val="center"/>
              <w:rPr>
                <w:rFonts w:ascii="宋体" w:hAnsi="宋体" w:cs="宋体"/>
                <w:sz w:val="18"/>
                <w:szCs w:val="18"/>
              </w:rPr>
            </w:pPr>
          </w:p>
        </w:tc>
        <w:tc>
          <w:tcPr>
            <w:tcW w:w="616" w:type="dxa"/>
            <w:vMerge w:val="continue"/>
            <w:tcBorders>
              <w:tl2br w:val="nil"/>
              <w:tr2bl w:val="nil"/>
            </w:tcBorders>
            <w:vAlign w:val="center"/>
          </w:tcPr>
          <w:p w14:paraId="503016FC">
            <w:pPr>
              <w:autoSpaceDE w:val="0"/>
              <w:autoSpaceDN w:val="0"/>
              <w:jc w:val="center"/>
              <w:rPr>
                <w:rFonts w:ascii="宋体" w:hAnsi="宋体" w:cs="宋体"/>
                <w:sz w:val="18"/>
                <w:szCs w:val="18"/>
              </w:rPr>
            </w:pPr>
          </w:p>
        </w:tc>
        <w:tc>
          <w:tcPr>
            <w:tcW w:w="1056" w:type="dxa"/>
            <w:tcBorders>
              <w:tl2br w:val="nil"/>
              <w:tr2bl w:val="nil"/>
            </w:tcBorders>
            <w:vAlign w:val="center"/>
          </w:tcPr>
          <w:p w14:paraId="5FEE946A">
            <w:pPr>
              <w:autoSpaceDE w:val="0"/>
              <w:autoSpaceDN w:val="0"/>
              <w:jc w:val="center"/>
              <w:rPr>
                <w:rFonts w:ascii="宋体" w:hAnsi="宋体" w:cs="宋体"/>
                <w:sz w:val="18"/>
                <w:szCs w:val="18"/>
              </w:rPr>
            </w:pPr>
            <w:r>
              <w:rPr>
                <w:rFonts w:hint="eastAsia" w:ascii="宋体" w:hAnsi="宋体" w:cs="宋体"/>
                <w:sz w:val="18"/>
                <w:szCs w:val="18"/>
              </w:rPr>
              <w:t>制修订标准</w:t>
            </w:r>
          </w:p>
        </w:tc>
        <w:tc>
          <w:tcPr>
            <w:tcW w:w="2223" w:type="dxa"/>
            <w:tcBorders>
              <w:tl2br w:val="nil"/>
              <w:tr2bl w:val="nil"/>
            </w:tcBorders>
            <w:vAlign w:val="center"/>
          </w:tcPr>
          <w:p w14:paraId="5EC0A2AA">
            <w:pPr>
              <w:autoSpaceDE w:val="0"/>
              <w:autoSpaceDN w:val="0"/>
              <w:jc w:val="center"/>
              <w:rPr>
                <w:rFonts w:ascii="宋体" w:hAnsi="宋体" w:cs="宋体"/>
                <w:sz w:val="18"/>
                <w:szCs w:val="18"/>
              </w:rPr>
            </w:pPr>
            <w:r>
              <w:rPr>
                <w:rFonts w:hint="eastAsia" w:ascii="宋体" w:hAnsi="宋体" w:cs="宋体"/>
                <w:sz w:val="18"/>
                <w:szCs w:val="18"/>
              </w:rPr>
              <w:t>为近五年内在智能电网建设运营领域已正式发布的标准，按标准类别、标准编制形式和标准制修订参与程度进行加权计算数量</w:t>
            </w:r>
          </w:p>
        </w:tc>
        <w:tc>
          <w:tcPr>
            <w:tcW w:w="3158" w:type="dxa"/>
            <w:tcBorders>
              <w:tl2br w:val="nil"/>
              <w:tr2bl w:val="nil"/>
            </w:tcBorders>
            <w:vAlign w:val="center"/>
          </w:tcPr>
          <w:p w14:paraId="7017C234">
            <w:pPr>
              <w:pStyle w:val="25"/>
              <w:ind w:firstLine="0" w:firstLineChars="0"/>
              <w:jc w:val="left"/>
              <w:rPr>
                <w:szCs w:val="18"/>
              </w:rPr>
            </w:pPr>
            <w:r>
              <w:rPr>
                <w:rFonts w:hint="eastAsia" w:hAnsi="宋体" w:cs="宋体"/>
                <w:sz w:val="18"/>
                <w:szCs w:val="18"/>
              </w:rPr>
              <w:t>加权法计算后制修订标准数量乘以2分</w:t>
            </w:r>
          </w:p>
        </w:tc>
        <w:tc>
          <w:tcPr>
            <w:tcW w:w="992" w:type="dxa"/>
            <w:tcBorders>
              <w:tl2br w:val="nil"/>
              <w:tr2bl w:val="nil"/>
            </w:tcBorders>
            <w:vAlign w:val="center"/>
          </w:tcPr>
          <w:p w14:paraId="5A82355B">
            <w:pPr>
              <w:autoSpaceDE w:val="0"/>
              <w:autoSpaceDN w:val="0"/>
              <w:jc w:val="center"/>
              <w:rPr>
                <w:rFonts w:ascii="宋体"/>
                <w:sz w:val="18"/>
                <w:szCs w:val="18"/>
              </w:rPr>
            </w:pPr>
            <w:r>
              <w:rPr>
                <w:rFonts w:hint="eastAsia" w:ascii="宋体"/>
                <w:sz w:val="18"/>
                <w:szCs w:val="18"/>
              </w:rPr>
              <w:t>5</w:t>
            </w:r>
          </w:p>
        </w:tc>
        <w:tc>
          <w:tcPr>
            <w:tcW w:w="938" w:type="dxa"/>
            <w:tcBorders>
              <w:tl2br w:val="nil"/>
              <w:tr2bl w:val="nil"/>
            </w:tcBorders>
            <w:vAlign w:val="center"/>
          </w:tcPr>
          <w:p w14:paraId="5045D6A0">
            <w:pPr>
              <w:autoSpaceDE w:val="0"/>
              <w:autoSpaceDN w:val="0"/>
              <w:jc w:val="center"/>
              <w:rPr>
                <w:rFonts w:ascii="宋体"/>
                <w:sz w:val="18"/>
                <w:szCs w:val="18"/>
              </w:rPr>
            </w:pPr>
          </w:p>
        </w:tc>
      </w:tr>
      <w:tr w14:paraId="17A1375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Merge w:val="continue"/>
            <w:tcBorders>
              <w:tl2br w:val="nil"/>
              <w:tr2bl w:val="nil"/>
            </w:tcBorders>
            <w:vAlign w:val="center"/>
          </w:tcPr>
          <w:p w14:paraId="2D27F461">
            <w:pPr>
              <w:autoSpaceDE w:val="0"/>
              <w:autoSpaceDN w:val="0"/>
              <w:jc w:val="center"/>
              <w:rPr>
                <w:rFonts w:ascii="宋体" w:hAnsi="宋体" w:cs="宋体"/>
                <w:sz w:val="18"/>
                <w:szCs w:val="18"/>
              </w:rPr>
            </w:pPr>
          </w:p>
        </w:tc>
        <w:tc>
          <w:tcPr>
            <w:tcW w:w="616" w:type="dxa"/>
            <w:vMerge w:val="continue"/>
            <w:tcBorders>
              <w:tl2br w:val="nil"/>
              <w:tr2bl w:val="nil"/>
            </w:tcBorders>
            <w:vAlign w:val="center"/>
          </w:tcPr>
          <w:p w14:paraId="70D70401">
            <w:pPr>
              <w:autoSpaceDE w:val="0"/>
              <w:autoSpaceDN w:val="0"/>
              <w:jc w:val="center"/>
              <w:rPr>
                <w:rFonts w:ascii="宋体" w:hAnsi="宋体" w:cs="宋体"/>
                <w:sz w:val="18"/>
                <w:szCs w:val="18"/>
              </w:rPr>
            </w:pPr>
          </w:p>
        </w:tc>
        <w:tc>
          <w:tcPr>
            <w:tcW w:w="1056" w:type="dxa"/>
            <w:tcBorders>
              <w:tl2br w:val="nil"/>
              <w:tr2bl w:val="nil"/>
            </w:tcBorders>
            <w:vAlign w:val="center"/>
          </w:tcPr>
          <w:p w14:paraId="03C1813E">
            <w:pPr>
              <w:autoSpaceDE w:val="0"/>
              <w:autoSpaceDN w:val="0"/>
              <w:jc w:val="center"/>
              <w:rPr>
                <w:rFonts w:ascii="宋体" w:hAnsi="宋体" w:cs="宋体"/>
                <w:sz w:val="18"/>
                <w:szCs w:val="18"/>
              </w:rPr>
            </w:pPr>
            <w:r>
              <w:rPr>
                <w:rFonts w:hint="eastAsia" w:ascii="宋体"/>
                <w:sz w:val="18"/>
                <w:szCs w:val="18"/>
              </w:rPr>
              <w:t>关键技术先进性</w:t>
            </w:r>
          </w:p>
        </w:tc>
        <w:tc>
          <w:tcPr>
            <w:tcW w:w="2223" w:type="dxa"/>
            <w:tcBorders>
              <w:tl2br w:val="nil"/>
              <w:tr2bl w:val="nil"/>
            </w:tcBorders>
            <w:vAlign w:val="center"/>
          </w:tcPr>
          <w:p w14:paraId="3187EA23">
            <w:pPr>
              <w:autoSpaceDE w:val="0"/>
              <w:autoSpaceDN w:val="0"/>
              <w:jc w:val="left"/>
              <w:rPr>
                <w:rFonts w:ascii="宋体" w:hAnsi="宋体" w:cs="宋体"/>
                <w:sz w:val="18"/>
                <w:szCs w:val="18"/>
              </w:rPr>
            </w:pPr>
            <w:r>
              <w:rPr>
                <w:rFonts w:hint="eastAsia" w:ascii="宋体"/>
                <w:sz w:val="18"/>
                <w:szCs w:val="18"/>
              </w:rPr>
              <w:t>申请认定评价的绿色业务领域，产品或服务的核心技术先进水平</w:t>
            </w:r>
          </w:p>
        </w:tc>
        <w:tc>
          <w:tcPr>
            <w:tcW w:w="3158" w:type="dxa"/>
            <w:tcBorders>
              <w:tl2br w:val="nil"/>
              <w:tr2bl w:val="nil"/>
            </w:tcBorders>
            <w:vAlign w:val="center"/>
          </w:tcPr>
          <w:p w14:paraId="462E068C">
            <w:pPr>
              <w:autoSpaceDE w:val="0"/>
              <w:autoSpaceDN w:val="0"/>
              <w:jc w:val="left"/>
              <w:rPr>
                <w:rFonts w:ascii="宋体"/>
                <w:sz w:val="18"/>
                <w:szCs w:val="18"/>
              </w:rPr>
            </w:pPr>
            <w:r>
              <w:rPr>
                <w:rFonts w:hint="eastAsia" w:ascii="宋体"/>
                <w:sz w:val="18"/>
                <w:szCs w:val="18"/>
              </w:rPr>
              <w:t>a.处于行业领先水平，具有显著技术引领作用。(10分,15分]</w:t>
            </w:r>
          </w:p>
          <w:p w14:paraId="6EBE0DC9">
            <w:pPr>
              <w:autoSpaceDE w:val="0"/>
              <w:autoSpaceDN w:val="0"/>
              <w:jc w:val="left"/>
              <w:rPr>
                <w:rFonts w:ascii="宋体"/>
                <w:sz w:val="18"/>
                <w:szCs w:val="18"/>
              </w:rPr>
            </w:pPr>
            <w:r>
              <w:rPr>
                <w:rFonts w:hint="eastAsia" w:ascii="宋体"/>
                <w:sz w:val="18"/>
                <w:szCs w:val="18"/>
              </w:rPr>
              <w:t>b.处于行业较好水平，具有一定技术推动作用。(5分,10分]</w:t>
            </w:r>
          </w:p>
          <w:p w14:paraId="0C23CB90">
            <w:pPr>
              <w:autoSpaceDE w:val="0"/>
              <w:autoSpaceDN w:val="0"/>
              <w:jc w:val="left"/>
              <w:rPr>
                <w:rFonts w:ascii="宋体"/>
                <w:sz w:val="18"/>
                <w:szCs w:val="18"/>
              </w:rPr>
            </w:pPr>
            <w:r>
              <w:rPr>
                <w:rFonts w:hint="eastAsia" w:ascii="宋体"/>
                <w:sz w:val="18"/>
                <w:szCs w:val="18"/>
              </w:rPr>
              <w:t>c.处于行业平均水平。(0分,5分]</w:t>
            </w:r>
          </w:p>
          <w:p w14:paraId="54450A62">
            <w:pPr>
              <w:autoSpaceDE w:val="0"/>
              <w:autoSpaceDN w:val="0"/>
              <w:jc w:val="left"/>
              <w:rPr>
                <w:rFonts w:ascii="宋体"/>
                <w:sz w:val="18"/>
                <w:szCs w:val="18"/>
              </w:rPr>
            </w:pPr>
            <w:r>
              <w:rPr>
                <w:rFonts w:hint="eastAsia" w:ascii="宋体"/>
                <w:sz w:val="18"/>
                <w:szCs w:val="18"/>
              </w:rPr>
              <w:t>d.未满足上述任何一项。（0分）</w:t>
            </w:r>
          </w:p>
        </w:tc>
        <w:tc>
          <w:tcPr>
            <w:tcW w:w="992" w:type="dxa"/>
            <w:tcBorders>
              <w:tl2br w:val="nil"/>
              <w:tr2bl w:val="nil"/>
            </w:tcBorders>
            <w:vAlign w:val="center"/>
          </w:tcPr>
          <w:p w14:paraId="77AC3ED8">
            <w:pPr>
              <w:autoSpaceDE w:val="0"/>
              <w:autoSpaceDN w:val="0"/>
              <w:jc w:val="center"/>
              <w:rPr>
                <w:rFonts w:ascii="宋体"/>
                <w:sz w:val="18"/>
                <w:szCs w:val="18"/>
              </w:rPr>
            </w:pPr>
            <w:r>
              <w:rPr>
                <w:rFonts w:hint="eastAsia" w:ascii="宋体"/>
                <w:sz w:val="18"/>
                <w:szCs w:val="18"/>
              </w:rPr>
              <w:t>15</w:t>
            </w:r>
          </w:p>
        </w:tc>
        <w:tc>
          <w:tcPr>
            <w:tcW w:w="938" w:type="dxa"/>
            <w:tcBorders>
              <w:tl2br w:val="nil"/>
              <w:tr2bl w:val="nil"/>
            </w:tcBorders>
            <w:vAlign w:val="center"/>
          </w:tcPr>
          <w:p w14:paraId="25F3DE3B">
            <w:pPr>
              <w:autoSpaceDE w:val="0"/>
              <w:autoSpaceDN w:val="0"/>
              <w:jc w:val="center"/>
              <w:rPr>
                <w:rFonts w:ascii="宋体"/>
                <w:sz w:val="18"/>
                <w:szCs w:val="18"/>
              </w:rPr>
            </w:pPr>
          </w:p>
        </w:tc>
      </w:tr>
      <w:tr w14:paraId="49EEEC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Merge w:val="continue"/>
            <w:tcBorders>
              <w:tl2br w:val="nil"/>
              <w:tr2bl w:val="nil"/>
            </w:tcBorders>
            <w:vAlign w:val="center"/>
          </w:tcPr>
          <w:p w14:paraId="1ED56132">
            <w:pPr>
              <w:autoSpaceDE w:val="0"/>
              <w:autoSpaceDN w:val="0"/>
              <w:jc w:val="center"/>
              <w:rPr>
                <w:rFonts w:ascii="宋体" w:hAnsi="宋体" w:cs="宋体"/>
                <w:sz w:val="18"/>
                <w:szCs w:val="18"/>
              </w:rPr>
            </w:pPr>
          </w:p>
        </w:tc>
        <w:tc>
          <w:tcPr>
            <w:tcW w:w="616" w:type="dxa"/>
            <w:tcBorders>
              <w:tl2br w:val="nil"/>
              <w:tr2bl w:val="nil"/>
            </w:tcBorders>
            <w:vAlign w:val="center"/>
          </w:tcPr>
          <w:p w14:paraId="7AFE8B69">
            <w:pPr>
              <w:autoSpaceDE w:val="0"/>
              <w:autoSpaceDN w:val="0"/>
              <w:jc w:val="center"/>
              <w:rPr>
                <w:rFonts w:ascii="宋体" w:hAnsi="宋体" w:cs="宋体"/>
                <w:sz w:val="18"/>
                <w:szCs w:val="18"/>
              </w:rPr>
            </w:pPr>
            <w:r>
              <w:rPr>
                <w:rFonts w:hint="eastAsia" w:ascii="宋体" w:hAnsi="宋体" w:cs="宋体"/>
                <w:sz w:val="18"/>
                <w:szCs w:val="18"/>
              </w:rPr>
              <w:t>环境效益</w:t>
            </w:r>
          </w:p>
        </w:tc>
        <w:tc>
          <w:tcPr>
            <w:tcW w:w="3279" w:type="dxa"/>
            <w:gridSpan w:val="2"/>
            <w:tcBorders>
              <w:tl2br w:val="nil"/>
              <w:tr2bl w:val="nil"/>
            </w:tcBorders>
            <w:vAlign w:val="center"/>
          </w:tcPr>
          <w:p w14:paraId="12372998">
            <w:pPr>
              <w:autoSpaceDE w:val="0"/>
              <w:autoSpaceDN w:val="0"/>
              <w:jc w:val="left"/>
              <w:rPr>
                <w:rFonts w:ascii="宋体"/>
                <w:sz w:val="18"/>
                <w:szCs w:val="18"/>
              </w:rPr>
            </w:pPr>
            <w:r>
              <w:rPr>
                <w:rFonts w:hint="eastAsia" w:ascii="宋体" w:hAnsi="宋体" w:cs="宋体"/>
                <w:sz w:val="18"/>
                <w:szCs w:val="18"/>
              </w:rPr>
              <w:t>取得的降碳效益、减污效益</w:t>
            </w:r>
          </w:p>
        </w:tc>
        <w:tc>
          <w:tcPr>
            <w:tcW w:w="3158" w:type="dxa"/>
            <w:tcBorders>
              <w:tl2br w:val="nil"/>
              <w:tr2bl w:val="nil"/>
            </w:tcBorders>
            <w:vAlign w:val="center"/>
          </w:tcPr>
          <w:p w14:paraId="694355CD">
            <w:pPr>
              <w:pStyle w:val="25"/>
              <w:ind w:firstLine="0" w:firstLineChars="0"/>
              <w:jc w:val="left"/>
              <w:rPr>
                <w:rFonts w:hAnsi="宋体" w:cs="宋体"/>
                <w:sz w:val="18"/>
                <w:szCs w:val="18"/>
              </w:rPr>
            </w:pPr>
            <w:r>
              <w:rPr>
                <w:rFonts w:hint="eastAsia" w:hAnsi="宋体" w:cs="宋体"/>
                <w:sz w:val="18"/>
                <w:szCs w:val="18"/>
              </w:rPr>
              <w:t>a.涉及环境效益种类较多，产生实际环境效益贡献量较高。(10分,16分]</w:t>
            </w:r>
          </w:p>
          <w:p w14:paraId="573F9268">
            <w:pPr>
              <w:pStyle w:val="25"/>
              <w:ind w:firstLine="0" w:firstLineChars="0"/>
              <w:jc w:val="left"/>
              <w:rPr>
                <w:rFonts w:hAnsi="宋体" w:cs="宋体"/>
                <w:sz w:val="18"/>
                <w:szCs w:val="18"/>
              </w:rPr>
            </w:pPr>
            <w:r>
              <w:rPr>
                <w:rFonts w:hint="eastAsia" w:hAnsi="宋体" w:cs="宋体"/>
                <w:sz w:val="18"/>
                <w:szCs w:val="18"/>
              </w:rPr>
              <w:t>b.涉及环境效益种类一般，产生实际环境效益贡献量一般。(4分,10分]</w:t>
            </w:r>
          </w:p>
          <w:p w14:paraId="3CE08011">
            <w:pPr>
              <w:pStyle w:val="25"/>
              <w:ind w:firstLine="0" w:firstLineChars="0"/>
              <w:jc w:val="left"/>
              <w:rPr>
                <w:rFonts w:hAnsi="宋体" w:cs="宋体"/>
                <w:sz w:val="18"/>
                <w:szCs w:val="18"/>
              </w:rPr>
            </w:pPr>
            <w:r>
              <w:rPr>
                <w:rFonts w:hint="eastAsia" w:hAnsi="宋体" w:cs="宋体"/>
                <w:sz w:val="18"/>
                <w:szCs w:val="18"/>
              </w:rPr>
              <w:t>c.涉及环境效益种类较少，产生实际环境效益贡献量较少。(0分,4分]</w:t>
            </w:r>
          </w:p>
          <w:p w14:paraId="0B9DCF51">
            <w:pPr>
              <w:pStyle w:val="25"/>
              <w:ind w:firstLine="0" w:firstLineChars="0"/>
              <w:jc w:val="left"/>
              <w:rPr>
                <w:sz w:val="18"/>
                <w:szCs w:val="18"/>
              </w:rPr>
            </w:pPr>
            <w:r>
              <w:rPr>
                <w:rFonts w:hint="eastAsia" w:hAnsi="宋体" w:cs="宋体"/>
                <w:sz w:val="18"/>
                <w:szCs w:val="18"/>
              </w:rPr>
              <w:t>d.未产生实际环境效益。（0分）</w:t>
            </w:r>
          </w:p>
        </w:tc>
        <w:tc>
          <w:tcPr>
            <w:tcW w:w="992" w:type="dxa"/>
            <w:tcBorders>
              <w:tl2br w:val="nil"/>
              <w:tr2bl w:val="nil"/>
            </w:tcBorders>
            <w:vAlign w:val="center"/>
          </w:tcPr>
          <w:p w14:paraId="40270050">
            <w:pPr>
              <w:autoSpaceDE w:val="0"/>
              <w:autoSpaceDN w:val="0"/>
              <w:jc w:val="center"/>
              <w:rPr>
                <w:rFonts w:ascii="宋体"/>
                <w:sz w:val="18"/>
                <w:szCs w:val="18"/>
              </w:rPr>
            </w:pPr>
            <w:r>
              <w:rPr>
                <w:rFonts w:hint="eastAsia" w:ascii="宋体"/>
                <w:sz w:val="18"/>
                <w:szCs w:val="18"/>
              </w:rPr>
              <w:t>16</w:t>
            </w:r>
          </w:p>
        </w:tc>
        <w:tc>
          <w:tcPr>
            <w:tcW w:w="938" w:type="dxa"/>
            <w:tcBorders>
              <w:tl2br w:val="nil"/>
              <w:tr2bl w:val="nil"/>
            </w:tcBorders>
            <w:vAlign w:val="center"/>
          </w:tcPr>
          <w:p w14:paraId="3343C525">
            <w:pPr>
              <w:autoSpaceDE w:val="0"/>
              <w:autoSpaceDN w:val="0"/>
              <w:jc w:val="center"/>
              <w:rPr>
                <w:rFonts w:ascii="宋体"/>
                <w:sz w:val="18"/>
                <w:szCs w:val="18"/>
              </w:rPr>
            </w:pPr>
          </w:p>
        </w:tc>
      </w:tr>
    </w:tbl>
    <w:p w14:paraId="6DE9CB28">
      <w:pPr>
        <w:numPr>
          <w:ilvl w:val="1"/>
          <w:numId w:val="0"/>
        </w:numPr>
        <w:spacing w:before="312" w:beforeLines="100" w:after="156" w:afterLines="50"/>
        <w:jc w:val="center"/>
        <w:rPr>
          <w:rFonts w:ascii="黑体" w:hAnsi="黑体" w:eastAsia="黑体" w:cs="黑体"/>
          <w:szCs w:val="21"/>
        </w:rPr>
      </w:pPr>
      <w:r>
        <w:rPr>
          <w:rFonts w:hint="eastAsia" w:ascii="黑体" w:hAnsi="黑体" w:eastAsia="黑体" w:cs="黑体"/>
          <w:szCs w:val="21"/>
        </w:rPr>
        <w:t>表E.2  智能电网建设运营领域绿色低碳产业认定综合评价指标</w:t>
      </w:r>
      <w:r>
        <w:rPr>
          <w:rFonts w:hint="eastAsia" w:ascii="宋体" w:hAnsi="宋体" w:cs="宋体"/>
          <w:szCs w:val="21"/>
        </w:rPr>
        <w:t>（续）</w:t>
      </w:r>
    </w:p>
    <w:tbl>
      <w:tblPr>
        <w:tblStyle w:val="36"/>
        <w:tblpPr w:leftFromText="180" w:rightFromText="180" w:vertAnchor="text" w:tblpXSpec="center" w:tblpY="1"/>
        <w:tblOverlap w:val="never"/>
        <w:tblW w:w="95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87"/>
        <w:gridCol w:w="616"/>
        <w:gridCol w:w="693"/>
        <w:gridCol w:w="1757"/>
        <w:gridCol w:w="4270"/>
        <w:gridCol w:w="851"/>
        <w:gridCol w:w="796"/>
      </w:tblGrid>
      <w:tr w14:paraId="3699869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679" w:hRule="atLeast"/>
          <w:jc w:val="center"/>
        </w:trPr>
        <w:tc>
          <w:tcPr>
            <w:tcW w:w="587" w:type="dxa"/>
            <w:tcBorders>
              <w:bottom w:val="single" w:color="auto" w:sz="12" w:space="0"/>
            </w:tcBorders>
            <w:vAlign w:val="center"/>
          </w:tcPr>
          <w:p w14:paraId="3D23A60F">
            <w:pPr>
              <w:autoSpaceDE w:val="0"/>
              <w:autoSpaceDN w:val="0"/>
              <w:jc w:val="center"/>
              <w:rPr>
                <w:rFonts w:ascii="宋体" w:hAnsi="宋体" w:cs="宋体"/>
                <w:sz w:val="18"/>
                <w:szCs w:val="18"/>
              </w:rPr>
            </w:pPr>
            <w:r>
              <w:rPr>
                <w:rFonts w:ascii="宋体"/>
                <w:b/>
                <w:sz w:val="18"/>
                <w:szCs w:val="18"/>
              </w:rPr>
              <w:t>一级指标</w:t>
            </w:r>
          </w:p>
        </w:tc>
        <w:tc>
          <w:tcPr>
            <w:tcW w:w="616" w:type="dxa"/>
            <w:tcBorders>
              <w:bottom w:val="single" w:color="auto" w:sz="12" w:space="0"/>
            </w:tcBorders>
            <w:vAlign w:val="center"/>
          </w:tcPr>
          <w:p w14:paraId="1BA64FEA">
            <w:pPr>
              <w:autoSpaceDE w:val="0"/>
              <w:autoSpaceDN w:val="0"/>
              <w:jc w:val="center"/>
              <w:rPr>
                <w:rFonts w:ascii="宋体" w:hAnsi="宋体" w:cs="宋体"/>
                <w:sz w:val="18"/>
                <w:szCs w:val="18"/>
              </w:rPr>
            </w:pPr>
            <w:r>
              <w:rPr>
                <w:rFonts w:ascii="宋体"/>
                <w:b/>
                <w:sz w:val="18"/>
                <w:szCs w:val="18"/>
              </w:rPr>
              <w:t>二级指标</w:t>
            </w:r>
          </w:p>
        </w:tc>
        <w:tc>
          <w:tcPr>
            <w:tcW w:w="693" w:type="dxa"/>
            <w:tcBorders>
              <w:bottom w:val="single" w:color="auto" w:sz="12" w:space="0"/>
            </w:tcBorders>
            <w:vAlign w:val="center"/>
          </w:tcPr>
          <w:p w14:paraId="56547BE7">
            <w:pPr>
              <w:autoSpaceDE w:val="0"/>
              <w:autoSpaceDN w:val="0"/>
              <w:jc w:val="center"/>
              <w:rPr>
                <w:rFonts w:ascii="宋体" w:hAnsi="宋体" w:cs="宋体"/>
                <w:sz w:val="18"/>
                <w:szCs w:val="18"/>
              </w:rPr>
            </w:pPr>
            <w:r>
              <w:rPr>
                <w:rFonts w:ascii="宋体"/>
                <w:b/>
                <w:sz w:val="18"/>
                <w:szCs w:val="18"/>
              </w:rPr>
              <w:t>三级指标</w:t>
            </w:r>
          </w:p>
        </w:tc>
        <w:tc>
          <w:tcPr>
            <w:tcW w:w="1757" w:type="dxa"/>
            <w:tcBorders>
              <w:bottom w:val="single" w:color="auto" w:sz="12" w:space="0"/>
            </w:tcBorders>
            <w:vAlign w:val="center"/>
          </w:tcPr>
          <w:p w14:paraId="02223A18">
            <w:pPr>
              <w:autoSpaceDE w:val="0"/>
              <w:autoSpaceDN w:val="0"/>
              <w:jc w:val="center"/>
              <w:rPr>
                <w:rFonts w:ascii="宋体"/>
                <w:b/>
                <w:sz w:val="18"/>
                <w:szCs w:val="18"/>
              </w:rPr>
            </w:pPr>
            <w:r>
              <w:rPr>
                <w:rFonts w:hint="eastAsia" w:ascii="宋体"/>
                <w:b/>
                <w:sz w:val="18"/>
                <w:szCs w:val="18"/>
              </w:rPr>
              <w:t>评价要求</w:t>
            </w:r>
          </w:p>
        </w:tc>
        <w:tc>
          <w:tcPr>
            <w:tcW w:w="4270" w:type="dxa"/>
            <w:tcBorders>
              <w:bottom w:val="single" w:color="auto" w:sz="12" w:space="0"/>
            </w:tcBorders>
            <w:vAlign w:val="center"/>
          </w:tcPr>
          <w:p w14:paraId="761B50C8">
            <w:pPr>
              <w:autoSpaceDE w:val="0"/>
              <w:autoSpaceDN w:val="0"/>
              <w:jc w:val="center"/>
              <w:rPr>
                <w:rFonts w:ascii="宋体" w:hAnsi="宋体" w:cs="宋体"/>
                <w:sz w:val="18"/>
                <w:szCs w:val="18"/>
              </w:rPr>
            </w:pPr>
            <w:r>
              <w:rPr>
                <w:rFonts w:hint="eastAsia" w:ascii="宋体"/>
                <w:b/>
                <w:sz w:val="18"/>
                <w:szCs w:val="18"/>
              </w:rPr>
              <w:t>评分标准</w:t>
            </w:r>
          </w:p>
        </w:tc>
        <w:tc>
          <w:tcPr>
            <w:tcW w:w="851" w:type="dxa"/>
            <w:tcBorders>
              <w:bottom w:val="single" w:color="auto" w:sz="12" w:space="0"/>
            </w:tcBorders>
            <w:vAlign w:val="center"/>
          </w:tcPr>
          <w:p w14:paraId="10F6ECFE">
            <w:pPr>
              <w:autoSpaceDE w:val="0"/>
              <w:autoSpaceDN w:val="0"/>
              <w:jc w:val="center"/>
              <w:rPr>
                <w:rFonts w:ascii="宋体"/>
                <w:sz w:val="18"/>
                <w:szCs w:val="18"/>
              </w:rPr>
            </w:pPr>
            <w:r>
              <w:rPr>
                <w:rFonts w:ascii="宋体"/>
                <w:b/>
                <w:sz w:val="18"/>
                <w:szCs w:val="18"/>
              </w:rPr>
              <w:t>分值</w:t>
            </w:r>
            <w:r>
              <w:rPr>
                <w:rFonts w:hint="eastAsia" w:ascii="宋体"/>
                <w:b/>
                <w:sz w:val="18"/>
                <w:szCs w:val="18"/>
              </w:rPr>
              <w:t>（分）</w:t>
            </w:r>
          </w:p>
        </w:tc>
        <w:tc>
          <w:tcPr>
            <w:tcW w:w="796" w:type="dxa"/>
            <w:tcBorders>
              <w:bottom w:val="single" w:color="auto" w:sz="12" w:space="0"/>
            </w:tcBorders>
            <w:vAlign w:val="center"/>
          </w:tcPr>
          <w:p w14:paraId="6BEE78B4">
            <w:pPr>
              <w:autoSpaceDE w:val="0"/>
              <w:autoSpaceDN w:val="0"/>
              <w:jc w:val="center"/>
              <w:rPr>
                <w:rFonts w:ascii="宋体"/>
                <w:sz w:val="18"/>
                <w:szCs w:val="18"/>
              </w:rPr>
            </w:pPr>
            <w:r>
              <w:rPr>
                <w:rFonts w:ascii="宋体"/>
                <w:b/>
                <w:sz w:val="18"/>
                <w:szCs w:val="18"/>
              </w:rPr>
              <w:t>得分</w:t>
            </w:r>
            <w:r>
              <w:rPr>
                <w:rFonts w:hint="eastAsia" w:ascii="宋体"/>
                <w:b/>
                <w:sz w:val="18"/>
                <w:szCs w:val="18"/>
              </w:rPr>
              <w:t>（分）</w:t>
            </w:r>
          </w:p>
        </w:tc>
      </w:tr>
      <w:tr w14:paraId="713D779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20" w:hRule="atLeast"/>
          <w:jc w:val="center"/>
        </w:trPr>
        <w:tc>
          <w:tcPr>
            <w:tcW w:w="587" w:type="dxa"/>
            <w:vMerge w:val="restart"/>
            <w:tcBorders>
              <w:tl2br w:val="nil"/>
              <w:tr2bl w:val="nil"/>
            </w:tcBorders>
            <w:vAlign w:val="center"/>
          </w:tcPr>
          <w:p w14:paraId="3ACCB8E7">
            <w:pPr>
              <w:autoSpaceDE w:val="0"/>
              <w:autoSpaceDN w:val="0"/>
              <w:jc w:val="center"/>
              <w:rPr>
                <w:rFonts w:ascii="宋体" w:hAnsi="宋体" w:cs="宋体"/>
                <w:sz w:val="18"/>
                <w:szCs w:val="18"/>
              </w:rPr>
            </w:pPr>
            <w:r>
              <w:rPr>
                <w:rFonts w:hint="eastAsia" w:ascii="宋体" w:hAnsi="宋体" w:cs="宋体"/>
                <w:sz w:val="18"/>
                <w:szCs w:val="18"/>
              </w:rPr>
              <w:t>业务表现</w:t>
            </w:r>
          </w:p>
        </w:tc>
        <w:tc>
          <w:tcPr>
            <w:tcW w:w="616" w:type="dxa"/>
            <w:vMerge w:val="restart"/>
            <w:tcBorders>
              <w:tl2br w:val="nil"/>
              <w:tr2bl w:val="nil"/>
            </w:tcBorders>
            <w:vAlign w:val="center"/>
          </w:tcPr>
          <w:p w14:paraId="5ADE474A">
            <w:pPr>
              <w:autoSpaceDE w:val="0"/>
              <w:autoSpaceDN w:val="0"/>
              <w:jc w:val="center"/>
              <w:rPr>
                <w:rFonts w:ascii="宋体" w:hAnsi="宋体" w:cs="宋体"/>
                <w:sz w:val="18"/>
                <w:szCs w:val="18"/>
              </w:rPr>
            </w:pPr>
            <w:r>
              <w:rPr>
                <w:rFonts w:hint="eastAsia" w:ascii="宋体" w:hAnsi="宋体" w:cs="宋体"/>
                <w:sz w:val="18"/>
                <w:szCs w:val="18"/>
              </w:rPr>
              <w:t>发展能力</w:t>
            </w:r>
          </w:p>
        </w:tc>
        <w:tc>
          <w:tcPr>
            <w:tcW w:w="693" w:type="dxa"/>
            <w:tcBorders>
              <w:tl2br w:val="nil"/>
              <w:tr2bl w:val="nil"/>
            </w:tcBorders>
            <w:vAlign w:val="center"/>
          </w:tcPr>
          <w:p w14:paraId="1C61C5C4">
            <w:pPr>
              <w:autoSpaceDE w:val="0"/>
              <w:autoSpaceDN w:val="0"/>
              <w:jc w:val="center"/>
              <w:rPr>
                <w:rFonts w:ascii="宋体" w:hAnsi="宋体" w:cs="宋体"/>
                <w:sz w:val="18"/>
                <w:szCs w:val="18"/>
              </w:rPr>
            </w:pPr>
            <w:r>
              <w:rPr>
                <w:rFonts w:hint="eastAsia" w:ascii="宋体" w:hAnsi="宋体" w:cs="宋体"/>
                <w:sz w:val="18"/>
                <w:szCs w:val="18"/>
              </w:rPr>
              <w:t>团队技术实力</w:t>
            </w:r>
          </w:p>
        </w:tc>
        <w:tc>
          <w:tcPr>
            <w:tcW w:w="1757" w:type="dxa"/>
            <w:tcBorders>
              <w:tl2br w:val="nil"/>
              <w:tr2bl w:val="nil"/>
            </w:tcBorders>
            <w:vAlign w:val="center"/>
          </w:tcPr>
          <w:p w14:paraId="6DECA88C">
            <w:pPr>
              <w:autoSpaceDE w:val="0"/>
              <w:autoSpaceDN w:val="0"/>
              <w:jc w:val="center"/>
              <w:rPr>
                <w:rFonts w:ascii="宋体" w:hAnsi="宋体" w:cs="宋体"/>
                <w:sz w:val="18"/>
                <w:szCs w:val="18"/>
              </w:rPr>
            </w:pPr>
            <w:r>
              <w:rPr>
                <w:rFonts w:hint="eastAsia" w:ascii="宋体" w:hAnsi="宋体" w:cs="宋体"/>
                <w:sz w:val="18"/>
                <w:szCs w:val="18"/>
              </w:rPr>
              <w:t>从专业覆盖面、学历职称、相关工作年限等方面进行综合评价，人员通过劳动合同、缴纳社会保险或是否累计实际工作时间在183天以上来鉴别</w:t>
            </w:r>
          </w:p>
        </w:tc>
        <w:tc>
          <w:tcPr>
            <w:tcW w:w="4270" w:type="dxa"/>
            <w:tcBorders>
              <w:tl2br w:val="nil"/>
              <w:tr2bl w:val="nil"/>
            </w:tcBorders>
            <w:vAlign w:val="center"/>
          </w:tcPr>
          <w:p w14:paraId="2B0AF37A">
            <w:pPr>
              <w:pStyle w:val="25"/>
              <w:ind w:firstLine="0" w:firstLineChars="0"/>
              <w:rPr>
                <w:rFonts w:hAnsi="宋体" w:cs="宋体"/>
                <w:sz w:val="18"/>
                <w:szCs w:val="18"/>
              </w:rPr>
            </w:pPr>
            <w:r>
              <w:rPr>
                <w:rFonts w:hint="eastAsia" w:hAnsi="宋体" w:cs="宋体"/>
                <w:sz w:val="18"/>
                <w:szCs w:val="18"/>
              </w:rPr>
              <w:t>a.人员配置合理，涵盖所需专业，研发部门中30%以上科研人员从事相关工作达3年或以上年限，至少配备一名具有高级职称或博士学位的技术人员。(4分,6分]</w:t>
            </w:r>
          </w:p>
          <w:p w14:paraId="5E2B6975">
            <w:pPr>
              <w:pStyle w:val="25"/>
              <w:ind w:firstLine="0" w:firstLineChars="0"/>
              <w:rPr>
                <w:rFonts w:hAnsi="宋体" w:cs="宋体"/>
                <w:sz w:val="18"/>
                <w:szCs w:val="18"/>
              </w:rPr>
            </w:pPr>
            <w:r>
              <w:rPr>
                <w:rFonts w:hint="eastAsia" w:hAnsi="宋体" w:cs="宋体"/>
                <w:sz w:val="18"/>
                <w:szCs w:val="18"/>
              </w:rPr>
              <w:t>b.人员配置基本合理，涵盖所需专业，研发部门中20%以上科研人员从事相关工作达3年或以上年限，至少配备一名具有高级职称或博士学位的技术人员。(</w:t>
            </w:r>
            <w:r>
              <w:rPr>
                <w:rFonts w:hAnsi="宋体" w:cs="宋体"/>
                <w:sz w:val="18"/>
                <w:szCs w:val="18"/>
              </w:rPr>
              <w:t>3</w:t>
            </w:r>
            <w:r>
              <w:rPr>
                <w:rFonts w:hint="eastAsia" w:hAnsi="宋体" w:cs="宋体"/>
                <w:sz w:val="18"/>
                <w:szCs w:val="18"/>
              </w:rPr>
              <w:t>分,</w:t>
            </w:r>
            <w:r>
              <w:rPr>
                <w:rFonts w:hAnsi="宋体" w:cs="宋体"/>
                <w:sz w:val="18"/>
                <w:szCs w:val="18"/>
              </w:rPr>
              <w:t>5</w:t>
            </w:r>
            <w:r>
              <w:rPr>
                <w:rFonts w:hint="eastAsia" w:hAnsi="宋体" w:cs="宋体"/>
                <w:sz w:val="18"/>
                <w:szCs w:val="18"/>
              </w:rPr>
              <w:t>分]</w:t>
            </w:r>
          </w:p>
          <w:p w14:paraId="42799B0D">
            <w:pPr>
              <w:pStyle w:val="25"/>
              <w:ind w:firstLine="0" w:firstLineChars="0"/>
              <w:rPr>
                <w:rFonts w:hAnsi="宋体" w:cs="宋体"/>
                <w:sz w:val="18"/>
                <w:szCs w:val="18"/>
              </w:rPr>
            </w:pPr>
            <w:r>
              <w:rPr>
                <w:rFonts w:hint="eastAsia" w:hAnsi="宋体" w:cs="宋体"/>
                <w:sz w:val="18"/>
                <w:szCs w:val="18"/>
              </w:rPr>
              <w:t>c.人员配置未完全覆盖所需专业，团队实力一般。(0分,</w:t>
            </w:r>
            <w:r>
              <w:rPr>
                <w:rFonts w:hAnsi="宋体" w:cs="宋体"/>
                <w:sz w:val="18"/>
                <w:szCs w:val="18"/>
              </w:rPr>
              <w:t>3</w:t>
            </w:r>
            <w:r>
              <w:rPr>
                <w:rFonts w:hint="eastAsia" w:hAnsi="宋体" w:cs="宋体"/>
                <w:sz w:val="18"/>
                <w:szCs w:val="18"/>
              </w:rPr>
              <w:t>分]</w:t>
            </w:r>
          </w:p>
          <w:p w14:paraId="4E3E0AA1">
            <w:pPr>
              <w:pStyle w:val="25"/>
              <w:tabs>
                <w:tab w:val="left" w:pos="484"/>
                <w:tab w:val="clear" w:pos="4201"/>
              </w:tabs>
              <w:ind w:firstLine="0" w:firstLineChars="0"/>
              <w:rPr>
                <w:szCs w:val="18"/>
              </w:rPr>
            </w:pPr>
            <w:r>
              <w:rPr>
                <w:rFonts w:hint="eastAsia" w:hAnsi="宋体" w:cs="宋体"/>
                <w:sz w:val="18"/>
                <w:szCs w:val="18"/>
              </w:rPr>
              <w:t>d.每增加一名从事相关技术领域的高级职称或博士学位的技术人员，加0.5分。每增加5%从事相关工作达3年或以上年限的团队人员，加0.5分</w:t>
            </w:r>
          </w:p>
        </w:tc>
        <w:tc>
          <w:tcPr>
            <w:tcW w:w="851" w:type="dxa"/>
            <w:tcBorders>
              <w:tl2br w:val="nil"/>
              <w:tr2bl w:val="nil"/>
            </w:tcBorders>
            <w:vAlign w:val="center"/>
          </w:tcPr>
          <w:p w14:paraId="3D2A9236">
            <w:pPr>
              <w:autoSpaceDE w:val="0"/>
              <w:autoSpaceDN w:val="0"/>
              <w:jc w:val="center"/>
              <w:rPr>
                <w:rFonts w:ascii="宋体"/>
                <w:sz w:val="18"/>
                <w:szCs w:val="18"/>
              </w:rPr>
            </w:pPr>
            <w:r>
              <w:rPr>
                <w:rFonts w:hint="eastAsia" w:ascii="宋体"/>
                <w:sz w:val="18"/>
                <w:szCs w:val="18"/>
              </w:rPr>
              <w:t>6</w:t>
            </w:r>
          </w:p>
        </w:tc>
        <w:tc>
          <w:tcPr>
            <w:tcW w:w="796" w:type="dxa"/>
            <w:tcBorders>
              <w:tl2br w:val="nil"/>
              <w:tr2bl w:val="nil"/>
            </w:tcBorders>
            <w:vAlign w:val="center"/>
          </w:tcPr>
          <w:p w14:paraId="253805A6">
            <w:pPr>
              <w:autoSpaceDE w:val="0"/>
              <w:autoSpaceDN w:val="0"/>
              <w:jc w:val="center"/>
              <w:rPr>
                <w:rFonts w:ascii="宋体"/>
                <w:sz w:val="18"/>
                <w:szCs w:val="18"/>
              </w:rPr>
            </w:pPr>
          </w:p>
        </w:tc>
      </w:tr>
      <w:tr w14:paraId="1A7E892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66" w:hRule="atLeast"/>
          <w:jc w:val="center"/>
        </w:trPr>
        <w:tc>
          <w:tcPr>
            <w:tcW w:w="587" w:type="dxa"/>
            <w:vMerge w:val="continue"/>
            <w:tcBorders>
              <w:tl2br w:val="nil"/>
              <w:tr2bl w:val="nil"/>
            </w:tcBorders>
            <w:vAlign w:val="center"/>
          </w:tcPr>
          <w:p w14:paraId="5E219DDE">
            <w:pPr>
              <w:autoSpaceDE w:val="0"/>
              <w:autoSpaceDN w:val="0"/>
              <w:jc w:val="center"/>
              <w:rPr>
                <w:rFonts w:ascii="宋体" w:hAnsi="宋体" w:cs="宋体"/>
                <w:sz w:val="18"/>
                <w:szCs w:val="18"/>
              </w:rPr>
            </w:pPr>
          </w:p>
        </w:tc>
        <w:tc>
          <w:tcPr>
            <w:tcW w:w="616" w:type="dxa"/>
            <w:vMerge w:val="continue"/>
            <w:tcBorders>
              <w:tl2br w:val="nil"/>
              <w:tr2bl w:val="nil"/>
            </w:tcBorders>
            <w:vAlign w:val="center"/>
          </w:tcPr>
          <w:p w14:paraId="4AB22889">
            <w:pPr>
              <w:autoSpaceDE w:val="0"/>
              <w:autoSpaceDN w:val="0"/>
              <w:jc w:val="center"/>
              <w:rPr>
                <w:rFonts w:ascii="宋体" w:hAnsi="宋体" w:cs="宋体"/>
                <w:sz w:val="18"/>
                <w:szCs w:val="18"/>
              </w:rPr>
            </w:pPr>
          </w:p>
        </w:tc>
        <w:tc>
          <w:tcPr>
            <w:tcW w:w="693" w:type="dxa"/>
            <w:tcBorders>
              <w:tl2br w:val="nil"/>
              <w:tr2bl w:val="nil"/>
            </w:tcBorders>
            <w:vAlign w:val="center"/>
          </w:tcPr>
          <w:p w14:paraId="2FC9F646">
            <w:pPr>
              <w:autoSpaceDE w:val="0"/>
              <w:autoSpaceDN w:val="0"/>
              <w:jc w:val="center"/>
              <w:rPr>
                <w:rFonts w:ascii="宋体" w:hAnsi="宋体" w:cs="宋体"/>
                <w:sz w:val="18"/>
                <w:szCs w:val="18"/>
              </w:rPr>
            </w:pPr>
            <w:r>
              <w:rPr>
                <w:rFonts w:hint="eastAsia" w:ascii="宋体" w:hAnsi="宋体" w:cs="宋体"/>
                <w:sz w:val="18"/>
                <w:szCs w:val="18"/>
              </w:rPr>
              <w:t>研发投入</w:t>
            </w:r>
          </w:p>
        </w:tc>
        <w:tc>
          <w:tcPr>
            <w:tcW w:w="1757" w:type="dxa"/>
            <w:tcBorders>
              <w:tl2br w:val="nil"/>
              <w:tr2bl w:val="nil"/>
            </w:tcBorders>
            <w:vAlign w:val="center"/>
          </w:tcPr>
          <w:p w14:paraId="71F9A17C">
            <w:pPr>
              <w:autoSpaceDE w:val="0"/>
              <w:autoSpaceDN w:val="0"/>
              <w:jc w:val="left"/>
              <w:rPr>
                <w:rFonts w:ascii="宋体" w:hAnsi="宋体" w:cs="宋体"/>
                <w:sz w:val="18"/>
                <w:szCs w:val="18"/>
              </w:rPr>
            </w:pPr>
            <w:r>
              <w:rPr>
                <w:rFonts w:hint="eastAsia" w:ascii="宋体" w:hAnsi="宋体" w:cs="宋体"/>
                <w:sz w:val="18"/>
                <w:szCs w:val="18"/>
              </w:rPr>
              <w:t>从智能电网建设运营领域相关研发投入占比或研发投入金额进行综合评价，研发投入以上一个会计年度的情况为准</w:t>
            </w:r>
          </w:p>
        </w:tc>
        <w:tc>
          <w:tcPr>
            <w:tcW w:w="4270" w:type="dxa"/>
            <w:tcBorders>
              <w:tl2br w:val="nil"/>
              <w:tr2bl w:val="nil"/>
            </w:tcBorders>
            <w:vAlign w:val="center"/>
          </w:tcPr>
          <w:p w14:paraId="10B50BE2">
            <w:pPr>
              <w:tabs>
                <w:tab w:val="center" w:pos="4201"/>
                <w:tab w:val="right" w:leader="dot" w:pos="9298"/>
              </w:tabs>
              <w:jc w:val="left"/>
              <w:rPr>
                <w:rFonts w:ascii="宋体" w:hAnsi="宋体" w:cs="宋体"/>
                <w:kern w:val="0"/>
                <w:sz w:val="18"/>
                <w:szCs w:val="18"/>
              </w:rPr>
            </w:pPr>
            <w:r>
              <w:rPr>
                <w:rFonts w:hint="eastAsia" w:ascii="宋体" w:hAnsi="宋体" w:cs="宋体"/>
                <w:kern w:val="0"/>
                <w:sz w:val="18"/>
                <w:szCs w:val="18"/>
              </w:rPr>
              <w:t>a.</w:t>
            </w:r>
            <w:r>
              <w:rPr>
                <w:rFonts w:hint="eastAsia" w:ascii="宋体" w:hAnsi="宋体" w:cs="宋体"/>
                <w:sz w:val="18"/>
                <w:szCs w:val="18"/>
              </w:rPr>
              <w:t>最近一年销售收入在2亿元以上的企事业单位，比例不低于3%，或不低于600万元</w:t>
            </w:r>
            <w:r>
              <w:rPr>
                <w:rFonts w:hint="eastAsia" w:ascii="宋体" w:hAnsi="宋体" w:cs="宋体"/>
                <w:kern w:val="0"/>
                <w:sz w:val="18"/>
                <w:szCs w:val="18"/>
              </w:rPr>
              <w:t>。(0分,7分]</w:t>
            </w:r>
          </w:p>
          <w:p w14:paraId="0C959E11">
            <w:pPr>
              <w:tabs>
                <w:tab w:val="center" w:pos="4201"/>
                <w:tab w:val="right" w:leader="dot" w:pos="9298"/>
              </w:tabs>
              <w:jc w:val="left"/>
              <w:rPr>
                <w:rFonts w:ascii="宋体" w:hAnsi="宋体" w:cs="宋体"/>
                <w:kern w:val="0"/>
                <w:sz w:val="18"/>
                <w:szCs w:val="18"/>
              </w:rPr>
            </w:pPr>
            <w:r>
              <w:rPr>
                <w:rFonts w:hint="eastAsia" w:ascii="宋体" w:hAnsi="宋体" w:cs="宋体"/>
                <w:kern w:val="0"/>
                <w:sz w:val="18"/>
                <w:szCs w:val="18"/>
              </w:rPr>
              <w:t>b.</w:t>
            </w:r>
            <w:r>
              <w:rPr>
                <w:rFonts w:hint="eastAsia" w:ascii="宋体" w:hAnsi="宋体" w:cs="宋体"/>
                <w:sz w:val="18"/>
                <w:szCs w:val="18"/>
              </w:rPr>
              <w:t>最近一年销售收入在5000万元至2亿元（含）的企事业单位，比例不低于4%，或不低于400万元</w:t>
            </w:r>
            <w:r>
              <w:rPr>
                <w:rFonts w:hint="eastAsia" w:ascii="宋体" w:hAnsi="宋体" w:cs="宋体"/>
                <w:kern w:val="0"/>
                <w:sz w:val="18"/>
                <w:szCs w:val="18"/>
              </w:rPr>
              <w:t>。(0分,7分]</w:t>
            </w:r>
          </w:p>
          <w:p w14:paraId="62DDB828">
            <w:pPr>
              <w:tabs>
                <w:tab w:val="center" w:pos="4201"/>
                <w:tab w:val="right" w:leader="dot" w:pos="9298"/>
              </w:tabs>
              <w:jc w:val="left"/>
              <w:rPr>
                <w:rFonts w:ascii="宋体" w:hAnsi="宋体" w:cs="宋体"/>
                <w:kern w:val="0"/>
                <w:sz w:val="18"/>
                <w:szCs w:val="18"/>
              </w:rPr>
            </w:pPr>
            <w:r>
              <w:rPr>
                <w:rFonts w:hint="eastAsia" w:ascii="宋体" w:hAnsi="宋体" w:cs="宋体"/>
                <w:kern w:val="0"/>
                <w:sz w:val="18"/>
                <w:szCs w:val="18"/>
              </w:rPr>
              <w:t>c.</w:t>
            </w:r>
            <w:r>
              <w:rPr>
                <w:rFonts w:hint="eastAsia" w:ascii="宋体" w:hAnsi="宋体" w:cs="宋体"/>
                <w:sz w:val="18"/>
                <w:szCs w:val="18"/>
              </w:rPr>
              <w:t>最近一年销售收入小于5000万元（含）的企事业单位，比例不低于5%，或不低于250万元</w:t>
            </w:r>
            <w:r>
              <w:rPr>
                <w:rFonts w:hint="eastAsia" w:ascii="宋体" w:hAnsi="宋体" w:cs="宋体"/>
                <w:kern w:val="0"/>
                <w:sz w:val="18"/>
                <w:szCs w:val="18"/>
              </w:rPr>
              <w:t>。(0分,7分]</w:t>
            </w:r>
          </w:p>
          <w:p w14:paraId="6EEEC965">
            <w:pPr>
              <w:pStyle w:val="60"/>
              <w:numPr>
                <w:ilvl w:val="255"/>
                <w:numId w:val="0"/>
              </w:numPr>
              <w:tabs>
                <w:tab w:val="center" w:pos="4201"/>
                <w:tab w:val="right" w:leader="dot" w:pos="9298"/>
              </w:tabs>
              <w:jc w:val="left"/>
            </w:pPr>
            <w:r>
              <w:rPr>
                <w:rFonts w:hint="eastAsia" w:hAnsi="宋体" w:cs="宋体"/>
              </w:rPr>
              <w:t>d.未满足上述任何一项。0分</w:t>
            </w:r>
          </w:p>
        </w:tc>
        <w:tc>
          <w:tcPr>
            <w:tcW w:w="851" w:type="dxa"/>
            <w:tcBorders>
              <w:tl2br w:val="nil"/>
              <w:tr2bl w:val="nil"/>
            </w:tcBorders>
            <w:vAlign w:val="center"/>
          </w:tcPr>
          <w:p w14:paraId="59B112FD">
            <w:pPr>
              <w:autoSpaceDE w:val="0"/>
              <w:autoSpaceDN w:val="0"/>
              <w:jc w:val="center"/>
              <w:rPr>
                <w:rFonts w:ascii="宋体"/>
                <w:sz w:val="18"/>
                <w:szCs w:val="18"/>
              </w:rPr>
            </w:pPr>
            <w:r>
              <w:rPr>
                <w:rFonts w:hint="eastAsia" w:ascii="宋体"/>
                <w:sz w:val="18"/>
                <w:szCs w:val="18"/>
              </w:rPr>
              <w:t>7</w:t>
            </w:r>
          </w:p>
        </w:tc>
        <w:tc>
          <w:tcPr>
            <w:tcW w:w="796" w:type="dxa"/>
            <w:tcBorders>
              <w:tl2br w:val="nil"/>
              <w:tr2bl w:val="nil"/>
            </w:tcBorders>
            <w:vAlign w:val="center"/>
          </w:tcPr>
          <w:p w14:paraId="793251F1">
            <w:pPr>
              <w:autoSpaceDE w:val="0"/>
              <w:autoSpaceDN w:val="0"/>
              <w:jc w:val="center"/>
              <w:rPr>
                <w:rFonts w:ascii="宋体"/>
                <w:sz w:val="18"/>
                <w:szCs w:val="18"/>
              </w:rPr>
            </w:pPr>
          </w:p>
        </w:tc>
      </w:tr>
      <w:tr w14:paraId="2ED58D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57" w:hRule="atLeast"/>
          <w:jc w:val="center"/>
        </w:trPr>
        <w:tc>
          <w:tcPr>
            <w:tcW w:w="587" w:type="dxa"/>
            <w:vMerge w:val="continue"/>
            <w:tcBorders>
              <w:tl2br w:val="nil"/>
              <w:tr2bl w:val="nil"/>
            </w:tcBorders>
            <w:vAlign w:val="center"/>
          </w:tcPr>
          <w:p w14:paraId="036182A8">
            <w:pPr>
              <w:autoSpaceDE w:val="0"/>
              <w:autoSpaceDN w:val="0"/>
              <w:jc w:val="center"/>
              <w:rPr>
                <w:rFonts w:ascii="宋体" w:hAnsi="宋体" w:cs="宋体"/>
                <w:sz w:val="18"/>
                <w:szCs w:val="18"/>
              </w:rPr>
            </w:pPr>
          </w:p>
        </w:tc>
        <w:tc>
          <w:tcPr>
            <w:tcW w:w="616" w:type="dxa"/>
            <w:vMerge w:val="continue"/>
            <w:tcBorders>
              <w:tl2br w:val="nil"/>
              <w:tr2bl w:val="nil"/>
            </w:tcBorders>
            <w:vAlign w:val="center"/>
          </w:tcPr>
          <w:p w14:paraId="4EDE0B72">
            <w:pPr>
              <w:autoSpaceDE w:val="0"/>
              <w:autoSpaceDN w:val="0"/>
              <w:jc w:val="center"/>
              <w:rPr>
                <w:rFonts w:ascii="宋体" w:hAnsi="宋体" w:cs="宋体"/>
                <w:sz w:val="18"/>
                <w:szCs w:val="18"/>
              </w:rPr>
            </w:pPr>
          </w:p>
        </w:tc>
        <w:tc>
          <w:tcPr>
            <w:tcW w:w="693" w:type="dxa"/>
            <w:vMerge w:val="restart"/>
            <w:tcBorders>
              <w:tl2br w:val="nil"/>
              <w:tr2bl w:val="nil"/>
            </w:tcBorders>
            <w:vAlign w:val="center"/>
          </w:tcPr>
          <w:p w14:paraId="3769F8E5">
            <w:pPr>
              <w:autoSpaceDE w:val="0"/>
              <w:autoSpaceDN w:val="0"/>
              <w:jc w:val="center"/>
              <w:rPr>
                <w:rFonts w:ascii="宋体" w:hAnsi="宋体" w:cs="宋体"/>
                <w:sz w:val="18"/>
                <w:szCs w:val="18"/>
              </w:rPr>
            </w:pPr>
            <w:r>
              <w:rPr>
                <w:rFonts w:hint="eastAsia" w:ascii="宋体" w:hAnsi="宋体" w:cs="宋体"/>
                <w:sz w:val="18"/>
                <w:szCs w:val="18"/>
              </w:rPr>
              <w:t>运营效益水平</w:t>
            </w:r>
          </w:p>
        </w:tc>
        <w:tc>
          <w:tcPr>
            <w:tcW w:w="1757" w:type="dxa"/>
            <w:tcBorders>
              <w:tl2br w:val="nil"/>
              <w:tr2bl w:val="nil"/>
            </w:tcBorders>
            <w:vAlign w:val="center"/>
          </w:tcPr>
          <w:p w14:paraId="777E32EB">
            <w:pPr>
              <w:autoSpaceDE w:val="0"/>
              <w:autoSpaceDN w:val="0"/>
              <w:jc w:val="left"/>
              <w:rPr>
                <w:rFonts w:ascii="宋体" w:hAnsi="宋体" w:cs="宋体"/>
                <w:sz w:val="18"/>
                <w:szCs w:val="18"/>
              </w:rPr>
            </w:pPr>
            <w:r>
              <w:rPr>
                <w:rFonts w:hint="eastAsia" w:ascii="宋体" w:hAnsi="宋体" w:cs="宋体"/>
                <w:sz w:val="18"/>
                <w:szCs w:val="18"/>
              </w:rPr>
              <w:t>从业务增长率进行评价，业务增长为当年主营业务收入增长额与上年主营业务收入总额比值，采用近三年平均值进行评估</w:t>
            </w:r>
          </w:p>
        </w:tc>
        <w:tc>
          <w:tcPr>
            <w:tcW w:w="4270" w:type="dxa"/>
            <w:tcBorders>
              <w:tl2br w:val="nil"/>
              <w:tr2bl w:val="nil"/>
            </w:tcBorders>
            <w:vAlign w:val="center"/>
          </w:tcPr>
          <w:p w14:paraId="3F745762">
            <w:pPr>
              <w:pStyle w:val="25"/>
              <w:ind w:firstLine="0" w:firstLineChars="0"/>
              <w:jc w:val="left"/>
              <w:rPr>
                <w:rFonts w:hAnsi="宋体" w:cs="宋体"/>
                <w:sz w:val="18"/>
                <w:szCs w:val="18"/>
              </w:rPr>
            </w:pPr>
            <w:r>
              <w:rPr>
                <w:rFonts w:hint="eastAsia" w:hAnsi="宋体" w:cs="宋体"/>
                <w:sz w:val="18"/>
                <w:szCs w:val="18"/>
              </w:rPr>
              <w:t>a.≥15%（3分）</w:t>
            </w:r>
          </w:p>
          <w:p w14:paraId="6D4927BC">
            <w:pPr>
              <w:pStyle w:val="25"/>
              <w:ind w:firstLine="0" w:firstLineChars="0"/>
              <w:jc w:val="left"/>
              <w:rPr>
                <w:rFonts w:hAnsi="宋体" w:cs="宋体"/>
                <w:sz w:val="18"/>
                <w:szCs w:val="18"/>
              </w:rPr>
            </w:pPr>
            <w:r>
              <w:rPr>
                <w:rFonts w:hint="eastAsia" w:hAnsi="宋体" w:cs="宋体"/>
                <w:sz w:val="18"/>
                <w:szCs w:val="18"/>
              </w:rPr>
              <w:t>b.[5%,15%)（1分）</w:t>
            </w:r>
          </w:p>
          <w:p w14:paraId="2A864F09">
            <w:pPr>
              <w:pStyle w:val="25"/>
              <w:ind w:firstLine="0" w:firstLineChars="0"/>
              <w:jc w:val="left"/>
              <w:rPr>
                <w:rFonts w:hAnsi="宋体" w:cs="宋体"/>
                <w:sz w:val="18"/>
                <w:szCs w:val="18"/>
              </w:rPr>
            </w:pPr>
            <w:r>
              <w:rPr>
                <w:rFonts w:hint="eastAsia" w:hAnsi="宋体" w:cs="宋体"/>
                <w:sz w:val="18"/>
                <w:szCs w:val="18"/>
              </w:rPr>
              <w:t>c.[0%,5%)（0.5分）</w:t>
            </w:r>
          </w:p>
          <w:p w14:paraId="7D92C9EF">
            <w:pPr>
              <w:autoSpaceDE w:val="0"/>
              <w:autoSpaceDN w:val="0"/>
              <w:jc w:val="left"/>
              <w:rPr>
                <w:rFonts w:ascii="宋体" w:hAnsi="宋体" w:cs="宋体"/>
                <w:sz w:val="18"/>
                <w:szCs w:val="18"/>
              </w:rPr>
            </w:pPr>
            <w:r>
              <w:rPr>
                <w:rFonts w:hint="eastAsia" w:ascii="宋体" w:hAnsi="宋体" w:cs="宋体"/>
                <w:sz w:val="18"/>
                <w:szCs w:val="18"/>
              </w:rPr>
              <w:t>d.＜0%（0分）</w:t>
            </w:r>
          </w:p>
        </w:tc>
        <w:tc>
          <w:tcPr>
            <w:tcW w:w="851" w:type="dxa"/>
            <w:tcBorders>
              <w:tl2br w:val="nil"/>
              <w:tr2bl w:val="nil"/>
            </w:tcBorders>
            <w:vAlign w:val="center"/>
          </w:tcPr>
          <w:p w14:paraId="0359C279">
            <w:pPr>
              <w:autoSpaceDE w:val="0"/>
              <w:autoSpaceDN w:val="0"/>
              <w:jc w:val="center"/>
              <w:rPr>
                <w:rFonts w:ascii="宋体"/>
                <w:sz w:val="18"/>
                <w:szCs w:val="18"/>
              </w:rPr>
            </w:pPr>
            <w:r>
              <w:rPr>
                <w:rFonts w:ascii="宋体"/>
                <w:sz w:val="18"/>
                <w:szCs w:val="18"/>
              </w:rPr>
              <w:t>2</w:t>
            </w:r>
          </w:p>
        </w:tc>
        <w:tc>
          <w:tcPr>
            <w:tcW w:w="796" w:type="dxa"/>
            <w:tcBorders>
              <w:tl2br w:val="nil"/>
              <w:tr2bl w:val="nil"/>
            </w:tcBorders>
            <w:vAlign w:val="center"/>
          </w:tcPr>
          <w:p w14:paraId="25865E1F">
            <w:pPr>
              <w:autoSpaceDE w:val="0"/>
              <w:autoSpaceDN w:val="0"/>
              <w:jc w:val="center"/>
              <w:rPr>
                <w:rFonts w:ascii="宋体"/>
                <w:sz w:val="18"/>
                <w:szCs w:val="18"/>
              </w:rPr>
            </w:pPr>
          </w:p>
        </w:tc>
      </w:tr>
      <w:tr w14:paraId="03B891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57" w:hRule="atLeast"/>
          <w:jc w:val="center"/>
        </w:trPr>
        <w:tc>
          <w:tcPr>
            <w:tcW w:w="587" w:type="dxa"/>
            <w:vMerge w:val="continue"/>
            <w:tcBorders>
              <w:tl2br w:val="nil"/>
              <w:tr2bl w:val="nil"/>
            </w:tcBorders>
            <w:vAlign w:val="center"/>
          </w:tcPr>
          <w:p w14:paraId="5F802ECD">
            <w:pPr>
              <w:autoSpaceDE w:val="0"/>
              <w:autoSpaceDN w:val="0"/>
              <w:jc w:val="center"/>
              <w:rPr>
                <w:rFonts w:ascii="宋体" w:hAnsi="宋体" w:cs="宋体"/>
                <w:sz w:val="18"/>
                <w:szCs w:val="18"/>
              </w:rPr>
            </w:pPr>
          </w:p>
        </w:tc>
        <w:tc>
          <w:tcPr>
            <w:tcW w:w="616" w:type="dxa"/>
            <w:vMerge w:val="continue"/>
            <w:tcBorders>
              <w:tl2br w:val="nil"/>
              <w:tr2bl w:val="nil"/>
            </w:tcBorders>
            <w:vAlign w:val="center"/>
          </w:tcPr>
          <w:p w14:paraId="53905ABE">
            <w:pPr>
              <w:autoSpaceDE w:val="0"/>
              <w:autoSpaceDN w:val="0"/>
              <w:jc w:val="center"/>
              <w:rPr>
                <w:rFonts w:ascii="宋体" w:hAnsi="宋体" w:cs="宋体"/>
                <w:sz w:val="18"/>
                <w:szCs w:val="18"/>
              </w:rPr>
            </w:pPr>
          </w:p>
        </w:tc>
        <w:tc>
          <w:tcPr>
            <w:tcW w:w="693" w:type="dxa"/>
            <w:vMerge w:val="continue"/>
            <w:tcBorders>
              <w:tl2br w:val="nil"/>
              <w:tr2bl w:val="nil"/>
            </w:tcBorders>
            <w:vAlign w:val="center"/>
          </w:tcPr>
          <w:p w14:paraId="63F616EB">
            <w:pPr>
              <w:autoSpaceDE w:val="0"/>
              <w:autoSpaceDN w:val="0"/>
              <w:jc w:val="center"/>
              <w:rPr>
                <w:rFonts w:hint="eastAsia" w:ascii="宋体" w:hAnsi="宋体" w:cs="宋体"/>
                <w:sz w:val="18"/>
                <w:szCs w:val="18"/>
              </w:rPr>
            </w:pPr>
          </w:p>
        </w:tc>
        <w:tc>
          <w:tcPr>
            <w:tcW w:w="1757" w:type="dxa"/>
            <w:tcBorders>
              <w:tl2br w:val="nil"/>
              <w:tr2bl w:val="nil"/>
            </w:tcBorders>
            <w:vAlign w:val="center"/>
          </w:tcPr>
          <w:p w14:paraId="72DA24C9">
            <w:pPr>
              <w:autoSpaceDE w:val="0"/>
              <w:autoSpaceDN w:val="0"/>
              <w:jc w:val="left"/>
              <w:rPr>
                <w:rFonts w:hint="eastAsia" w:ascii="宋体" w:hAnsi="宋体" w:cs="宋体"/>
                <w:sz w:val="18"/>
                <w:szCs w:val="18"/>
              </w:rPr>
            </w:pPr>
            <w:r>
              <w:rPr>
                <w:rFonts w:hint="eastAsia" w:ascii="宋体" w:hAnsi="宋体" w:cs="宋体"/>
                <w:sz w:val="18"/>
                <w:szCs w:val="18"/>
              </w:rPr>
              <w:t>净利润率为当年经营所得的净利润占营业收入总额的百分比，或占投入资本额的百分比，采用近三年平均值进行评估</w:t>
            </w:r>
          </w:p>
        </w:tc>
        <w:tc>
          <w:tcPr>
            <w:tcW w:w="4270" w:type="dxa"/>
            <w:tcBorders>
              <w:tl2br w:val="nil"/>
              <w:tr2bl w:val="nil"/>
            </w:tcBorders>
            <w:vAlign w:val="center"/>
          </w:tcPr>
          <w:p w14:paraId="5A89E6E7">
            <w:pPr>
              <w:pStyle w:val="25"/>
              <w:ind w:firstLine="0" w:firstLineChars="0"/>
              <w:jc w:val="left"/>
              <w:rPr>
                <w:rFonts w:hAnsi="宋体" w:cs="宋体"/>
                <w:sz w:val="18"/>
                <w:szCs w:val="18"/>
              </w:rPr>
            </w:pPr>
            <w:r>
              <w:rPr>
                <w:rFonts w:hint="eastAsia" w:hAnsi="宋体" w:cs="宋体"/>
                <w:sz w:val="18"/>
                <w:szCs w:val="18"/>
              </w:rPr>
              <w:t>a.≥6%（2分）</w:t>
            </w:r>
          </w:p>
          <w:p w14:paraId="776C138A">
            <w:pPr>
              <w:pStyle w:val="25"/>
              <w:ind w:firstLine="0" w:firstLineChars="0"/>
              <w:jc w:val="left"/>
              <w:rPr>
                <w:rFonts w:hAnsi="宋体" w:cs="宋体"/>
                <w:sz w:val="18"/>
                <w:szCs w:val="18"/>
              </w:rPr>
            </w:pPr>
            <w:r>
              <w:rPr>
                <w:rFonts w:hint="eastAsia" w:hAnsi="宋体" w:cs="宋体"/>
                <w:sz w:val="18"/>
                <w:szCs w:val="18"/>
              </w:rPr>
              <w:t>b.[2%,6%)（1分）</w:t>
            </w:r>
          </w:p>
          <w:p w14:paraId="35C2370B">
            <w:pPr>
              <w:pStyle w:val="25"/>
              <w:ind w:firstLine="0" w:firstLineChars="0"/>
              <w:jc w:val="left"/>
              <w:rPr>
                <w:rFonts w:hint="eastAsia" w:hAnsi="宋体" w:cs="宋体"/>
                <w:sz w:val="18"/>
                <w:szCs w:val="18"/>
              </w:rPr>
            </w:pPr>
            <w:r>
              <w:rPr>
                <w:rFonts w:hint="eastAsia" w:hAnsi="宋体" w:cs="宋体"/>
                <w:sz w:val="18"/>
                <w:szCs w:val="18"/>
              </w:rPr>
              <w:t>c.＜2%（0分）</w:t>
            </w:r>
          </w:p>
        </w:tc>
        <w:tc>
          <w:tcPr>
            <w:tcW w:w="851" w:type="dxa"/>
            <w:tcBorders>
              <w:tl2br w:val="nil"/>
              <w:tr2bl w:val="nil"/>
            </w:tcBorders>
            <w:vAlign w:val="center"/>
          </w:tcPr>
          <w:p w14:paraId="76C67CEE">
            <w:pPr>
              <w:autoSpaceDE w:val="0"/>
              <w:autoSpaceDN w:val="0"/>
              <w:jc w:val="center"/>
              <w:rPr>
                <w:rFonts w:hint="eastAsia" w:ascii="宋体"/>
                <w:sz w:val="18"/>
                <w:szCs w:val="18"/>
              </w:rPr>
            </w:pPr>
            <w:r>
              <w:rPr>
                <w:rFonts w:hint="eastAsia" w:ascii="宋体"/>
                <w:sz w:val="18"/>
                <w:szCs w:val="18"/>
              </w:rPr>
              <w:t>1</w:t>
            </w:r>
          </w:p>
        </w:tc>
        <w:tc>
          <w:tcPr>
            <w:tcW w:w="796" w:type="dxa"/>
            <w:tcBorders>
              <w:tl2br w:val="nil"/>
              <w:tr2bl w:val="nil"/>
            </w:tcBorders>
            <w:vAlign w:val="center"/>
          </w:tcPr>
          <w:p w14:paraId="37B3B1CB">
            <w:pPr>
              <w:autoSpaceDE w:val="0"/>
              <w:autoSpaceDN w:val="0"/>
              <w:jc w:val="center"/>
              <w:rPr>
                <w:rFonts w:ascii="宋体"/>
                <w:sz w:val="18"/>
                <w:szCs w:val="18"/>
              </w:rPr>
            </w:pPr>
          </w:p>
        </w:tc>
      </w:tr>
    </w:tbl>
    <w:p w14:paraId="7143A865">
      <w:pPr>
        <w:numPr>
          <w:ilvl w:val="1"/>
          <w:numId w:val="0"/>
        </w:numPr>
        <w:spacing w:before="312" w:beforeLines="100" w:after="156" w:afterLines="50"/>
        <w:jc w:val="center"/>
        <w:rPr>
          <w:rFonts w:ascii="黑体" w:hAnsi="黑体" w:eastAsia="黑体" w:cs="黑体"/>
          <w:szCs w:val="21"/>
        </w:rPr>
      </w:pPr>
      <w:r>
        <w:rPr>
          <w:rFonts w:hint="eastAsia" w:ascii="黑体" w:hAnsi="黑体" w:eastAsia="黑体" w:cs="黑体"/>
          <w:szCs w:val="21"/>
        </w:rPr>
        <w:t>表E.2  智能电网建设运营领域绿色低碳产业认定综合评价指标</w:t>
      </w:r>
      <w:r>
        <w:rPr>
          <w:rFonts w:hint="eastAsia" w:ascii="宋体" w:hAnsi="宋体" w:cs="宋体"/>
          <w:szCs w:val="21"/>
        </w:rPr>
        <w:t>（续）</w:t>
      </w:r>
    </w:p>
    <w:tbl>
      <w:tblPr>
        <w:tblStyle w:val="36"/>
        <w:tblpPr w:leftFromText="180" w:rightFromText="180" w:vertAnchor="text" w:tblpXSpec="center" w:tblpY="1"/>
        <w:tblOverlap w:val="never"/>
        <w:tblW w:w="95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87"/>
        <w:gridCol w:w="616"/>
        <w:gridCol w:w="693"/>
        <w:gridCol w:w="2484"/>
        <w:gridCol w:w="3402"/>
        <w:gridCol w:w="708"/>
        <w:gridCol w:w="1080"/>
      </w:tblGrid>
      <w:tr w14:paraId="5A2B728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587" w:type="dxa"/>
            <w:tcBorders>
              <w:bottom w:val="single" w:color="auto" w:sz="12" w:space="0"/>
            </w:tcBorders>
            <w:vAlign w:val="center"/>
          </w:tcPr>
          <w:p w14:paraId="4BA00EB8">
            <w:pPr>
              <w:autoSpaceDE w:val="0"/>
              <w:autoSpaceDN w:val="0"/>
              <w:jc w:val="center"/>
              <w:rPr>
                <w:rFonts w:ascii="宋体" w:hAnsi="宋体" w:cs="宋体"/>
                <w:sz w:val="18"/>
                <w:szCs w:val="18"/>
              </w:rPr>
            </w:pPr>
            <w:r>
              <w:rPr>
                <w:rFonts w:ascii="宋体"/>
                <w:b/>
                <w:sz w:val="18"/>
                <w:szCs w:val="18"/>
              </w:rPr>
              <w:t>一级指标</w:t>
            </w:r>
          </w:p>
        </w:tc>
        <w:tc>
          <w:tcPr>
            <w:tcW w:w="616" w:type="dxa"/>
            <w:tcBorders>
              <w:bottom w:val="single" w:color="auto" w:sz="12" w:space="0"/>
            </w:tcBorders>
            <w:vAlign w:val="center"/>
          </w:tcPr>
          <w:p w14:paraId="56619590">
            <w:pPr>
              <w:autoSpaceDE w:val="0"/>
              <w:autoSpaceDN w:val="0"/>
              <w:jc w:val="center"/>
              <w:rPr>
                <w:rFonts w:ascii="宋体" w:hAnsi="宋体" w:cs="宋体"/>
                <w:sz w:val="18"/>
                <w:szCs w:val="18"/>
              </w:rPr>
            </w:pPr>
            <w:r>
              <w:rPr>
                <w:rFonts w:ascii="宋体"/>
                <w:b/>
                <w:sz w:val="18"/>
                <w:szCs w:val="18"/>
              </w:rPr>
              <w:t>二级指标</w:t>
            </w:r>
          </w:p>
        </w:tc>
        <w:tc>
          <w:tcPr>
            <w:tcW w:w="693" w:type="dxa"/>
            <w:tcBorders>
              <w:bottom w:val="single" w:color="auto" w:sz="12" w:space="0"/>
            </w:tcBorders>
            <w:vAlign w:val="center"/>
          </w:tcPr>
          <w:p w14:paraId="78B3A4A7">
            <w:pPr>
              <w:autoSpaceDE w:val="0"/>
              <w:autoSpaceDN w:val="0"/>
              <w:jc w:val="center"/>
              <w:rPr>
                <w:rFonts w:ascii="宋体" w:hAnsi="宋体" w:cs="宋体"/>
                <w:sz w:val="18"/>
                <w:szCs w:val="18"/>
              </w:rPr>
            </w:pPr>
            <w:r>
              <w:rPr>
                <w:rFonts w:ascii="宋体"/>
                <w:b/>
                <w:sz w:val="18"/>
                <w:szCs w:val="18"/>
              </w:rPr>
              <w:t>三级指标</w:t>
            </w:r>
          </w:p>
        </w:tc>
        <w:tc>
          <w:tcPr>
            <w:tcW w:w="2484" w:type="dxa"/>
            <w:tcBorders>
              <w:bottom w:val="single" w:color="auto" w:sz="12" w:space="0"/>
            </w:tcBorders>
            <w:vAlign w:val="center"/>
          </w:tcPr>
          <w:p w14:paraId="1EC097BA">
            <w:pPr>
              <w:autoSpaceDE w:val="0"/>
              <w:autoSpaceDN w:val="0"/>
              <w:jc w:val="center"/>
              <w:rPr>
                <w:rFonts w:ascii="宋体" w:hAnsi="宋体" w:cs="宋体"/>
                <w:sz w:val="18"/>
                <w:szCs w:val="18"/>
              </w:rPr>
            </w:pPr>
            <w:r>
              <w:rPr>
                <w:rFonts w:hint="eastAsia" w:ascii="宋体"/>
                <w:b/>
                <w:sz w:val="18"/>
                <w:szCs w:val="18"/>
              </w:rPr>
              <w:t>评价要求</w:t>
            </w:r>
          </w:p>
        </w:tc>
        <w:tc>
          <w:tcPr>
            <w:tcW w:w="3402" w:type="dxa"/>
            <w:tcBorders>
              <w:bottom w:val="single" w:color="auto" w:sz="12" w:space="0"/>
            </w:tcBorders>
            <w:vAlign w:val="center"/>
          </w:tcPr>
          <w:p w14:paraId="5D897430">
            <w:pPr>
              <w:autoSpaceDE w:val="0"/>
              <w:autoSpaceDN w:val="0"/>
              <w:jc w:val="center"/>
              <w:rPr>
                <w:rFonts w:ascii="宋体" w:hAnsi="宋体" w:cs="宋体"/>
                <w:sz w:val="18"/>
                <w:szCs w:val="18"/>
              </w:rPr>
            </w:pPr>
            <w:r>
              <w:rPr>
                <w:rFonts w:hint="eastAsia" w:ascii="宋体"/>
                <w:b/>
                <w:sz w:val="18"/>
                <w:szCs w:val="18"/>
              </w:rPr>
              <w:t>评分标准</w:t>
            </w:r>
          </w:p>
        </w:tc>
        <w:tc>
          <w:tcPr>
            <w:tcW w:w="708" w:type="dxa"/>
            <w:tcBorders>
              <w:bottom w:val="single" w:color="auto" w:sz="12" w:space="0"/>
            </w:tcBorders>
            <w:vAlign w:val="center"/>
          </w:tcPr>
          <w:p w14:paraId="7D3B496C">
            <w:pPr>
              <w:autoSpaceDE w:val="0"/>
              <w:autoSpaceDN w:val="0"/>
              <w:jc w:val="center"/>
              <w:rPr>
                <w:rFonts w:ascii="宋体"/>
                <w:sz w:val="18"/>
                <w:szCs w:val="18"/>
              </w:rPr>
            </w:pPr>
            <w:r>
              <w:rPr>
                <w:rFonts w:ascii="宋体"/>
                <w:b/>
                <w:sz w:val="18"/>
                <w:szCs w:val="18"/>
              </w:rPr>
              <w:t>分值</w:t>
            </w:r>
            <w:r>
              <w:rPr>
                <w:rFonts w:hint="eastAsia" w:ascii="宋体"/>
                <w:b/>
                <w:sz w:val="18"/>
                <w:szCs w:val="18"/>
              </w:rPr>
              <w:t>（分）</w:t>
            </w:r>
          </w:p>
        </w:tc>
        <w:tc>
          <w:tcPr>
            <w:tcW w:w="1080" w:type="dxa"/>
            <w:tcBorders>
              <w:bottom w:val="single" w:color="auto" w:sz="12" w:space="0"/>
            </w:tcBorders>
            <w:vAlign w:val="center"/>
          </w:tcPr>
          <w:p w14:paraId="667CBB54">
            <w:pPr>
              <w:autoSpaceDE w:val="0"/>
              <w:autoSpaceDN w:val="0"/>
              <w:jc w:val="center"/>
              <w:rPr>
                <w:rFonts w:ascii="宋体"/>
                <w:sz w:val="18"/>
                <w:szCs w:val="18"/>
              </w:rPr>
            </w:pPr>
            <w:r>
              <w:rPr>
                <w:rFonts w:ascii="宋体"/>
                <w:b/>
                <w:sz w:val="18"/>
                <w:szCs w:val="18"/>
              </w:rPr>
              <w:t>得分</w:t>
            </w:r>
            <w:r>
              <w:rPr>
                <w:rFonts w:hint="eastAsia" w:ascii="宋体"/>
                <w:b/>
                <w:sz w:val="18"/>
                <w:szCs w:val="18"/>
              </w:rPr>
              <w:t>（分）</w:t>
            </w:r>
          </w:p>
        </w:tc>
      </w:tr>
      <w:tr w14:paraId="78BB83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21" w:hRule="atLeast"/>
          <w:jc w:val="center"/>
        </w:trPr>
        <w:tc>
          <w:tcPr>
            <w:tcW w:w="587" w:type="dxa"/>
            <w:vMerge w:val="restart"/>
            <w:tcBorders>
              <w:tl2br w:val="nil"/>
              <w:tr2bl w:val="nil"/>
            </w:tcBorders>
            <w:vAlign w:val="center"/>
          </w:tcPr>
          <w:p w14:paraId="1DAFB9D8">
            <w:pPr>
              <w:autoSpaceDE w:val="0"/>
              <w:autoSpaceDN w:val="0"/>
              <w:jc w:val="center"/>
              <w:rPr>
                <w:rFonts w:hint="eastAsia" w:ascii="宋体" w:hAnsi="宋体" w:cs="宋体"/>
                <w:sz w:val="18"/>
                <w:szCs w:val="18"/>
              </w:rPr>
            </w:pPr>
            <w:r>
              <w:rPr>
                <w:rFonts w:hint="eastAsia" w:ascii="宋体" w:hAnsi="宋体" w:cs="宋体"/>
                <w:sz w:val="18"/>
                <w:szCs w:val="18"/>
              </w:rPr>
              <w:t>业务表现</w:t>
            </w:r>
          </w:p>
        </w:tc>
        <w:tc>
          <w:tcPr>
            <w:tcW w:w="616" w:type="dxa"/>
            <w:vMerge w:val="restart"/>
            <w:tcBorders>
              <w:tl2br w:val="nil"/>
              <w:tr2bl w:val="nil"/>
            </w:tcBorders>
            <w:vAlign w:val="center"/>
          </w:tcPr>
          <w:p w14:paraId="7979425F">
            <w:pPr>
              <w:autoSpaceDE w:val="0"/>
              <w:autoSpaceDN w:val="0"/>
              <w:jc w:val="center"/>
              <w:rPr>
                <w:rFonts w:hint="eastAsia" w:ascii="宋体" w:hAnsi="宋体" w:cs="宋体"/>
                <w:sz w:val="18"/>
                <w:szCs w:val="18"/>
              </w:rPr>
            </w:pPr>
            <w:r>
              <w:rPr>
                <w:rFonts w:hint="eastAsia" w:ascii="宋体" w:hAnsi="宋体" w:cs="宋体"/>
                <w:sz w:val="18"/>
                <w:szCs w:val="18"/>
              </w:rPr>
              <w:t>市场影响</w:t>
            </w:r>
          </w:p>
        </w:tc>
        <w:tc>
          <w:tcPr>
            <w:tcW w:w="693" w:type="dxa"/>
            <w:vMerge w:val="restart"/>
            <w:tcBorders>
              <w:top w:val="single" w:color="auto" w:sz="4" w:space="0"/>
              <w:tl2br w:val="nil"/>
              <w:tr2bl w:val="nil"/>
            </w:tcBorders>
            <w:vAlign w:val="center"/>
          </w:tcPr>
          <w:p w14:paraId="3BF42B7A">
            <w:pPr>
              <w:autoSpaceDE w:val="0"/>
              <w:autoSpaceDN w:val="0"/>
              <w:jc w:val="center"/>
              <w:rPr>
                <w:rFonts w:hint="eastAsia" w:ascii="宋体" w:hAnsi="宋体" w:cs="宋体"/>
                <w:sz w:val="18"/>
                <w:szCs w:val="18"/>
              </w:rPr>
            </w:pPr>
            <w:r>
              <w:rPr>
                <w:rFonts w:hint="eastAsia" w:ascii="宋体" w:hAnsi="宋体" w:cs="宋体"/>
                <w:sz w:val="18"/>
                <w:szCs w:val="18"/>
              </w:rPr>
              <w:t>市场竞争力</w:t>
            </w:r>
          </w:p>
        </w:tc>
        <w:tc>
          <w:tcPr>
            <w:tcW w:w="2484" w:type="dxa"/>
            <w:tcBorders>
              <w:top w:val="single" w:color="auto" w:sz="4" w:space="0"/>
              <w:tl2br w:val="nil"/>
              <w:tr2bl w:val="nil"/>
            </w:tcBorders>
            <w:vAlign w:val="center"/>
          </w:tcPr>
          <w:p w14:paraId="2134AFA1">
            <w:pPr>
              <w:autoSpaceDE w:val="0"/>
              <w:autoSpaceDN w:val="0"/>
              <w:jc w:val="left"/>
              <w:rPr>
                <w:rFonts w:hint="eastAsia" w:ascii="宋体" w:hAnsi="宋体" w:cs="宋体"/>
                <w:sz w:val="18"/>
                <w:szCs w:val="18"/>
              </w:rPr>
            </w:pPr>
            <w:r>
              <w:rPr>
                <w:rFonts w:hint="eastAsia" w:ascii="宋体" w:hAnsi="宋体" w:cs="宋体"/>
                <w:sz w:val="18"/>
              </w:rPr>
              <w:t>从智能电网建设运营领域的市场占有率进行评价</w:t>
            </w:r>
          </w:p>
        </w:tc>
        <w:tc>
          <w:tcPr>
            <w:tcW w:w="3402" w:type="dxa"/>
            <w:tcBorders>
              <w:top w:val="single" w:color="auto" w:sz="4" w:space="0"/>
              <w:tl2br w:val="nil"/>
              <w:tr2bl w:val="nil"/>
            </w:tcBorders>
            <w:vAlign w:val="center"/>
          </w:tcPr>
          <w:p w14:paraId="382E1111">
            <w:pPr>
              <w:pStyle w:val="25"/>
              <w:ind w:firstLine="0" w:firstLineChars="0"/>
              <w:rPr>
                <w:rFonts w:hAnsi="宋体" w:cs="宋体"/>
                <w:sz w:val="18"/>
                <w:szCs w:val="18"/>
              </w:rPr>
            </w:pPr>
            <w:r>
              <w:rPr>
                <w:rFonts w:hint="eastAsia" w:hAnsi="宋体" w:cs="宋体"/>
                <w:sz w:val="18"/>
                <w:szCs w:val="18"/>
              </w:rPr>
              <w:t>a.行业内市场占有率处于较高水平。（4分，6分]</w:t>
            </w:r>
          </w:p>
          <w:p w14:paraId="5A519988">
            <w:pPr>
              <w:pStyle w:val="25"/>
              <w:ind w:firstLine="0" w:firstLineChars="0"/>
              <w:rPr>
                <w:rFonts w:hAnsi="宋体" w:cs="宋体"/>
                <w:sz w:val="18"/>
                <w:szCs w:val="18"/>
              </w:rPr>
            </w:pPr>
            <w:r>
              <w:rPr>
                <w:rFonts w:hint="eastAsia" w:hAnsi="宋体" w:cs="宋体"/>
                <w:sz w:val="18"/>
                <w:szCs w:val="18"/>
              </w:rPr>
              <w:t>b.行业内市场占有率处于中等水平。（2分，4分]</w:t>
            </w:r>
          </w:p>
          <w:p w14:paraId="7D4271D3">
            <w:pPr>
              <w:pStyle w:val="11"/>
              <w:jc w:val="both"/>
              <w:rPr>
                <w:rFonts w:hint="eastAsia"/>
                <w:sz w:val="18"/>
                <w:szCs w:val="18"/>
                <w:lang w:val="en-US"/>
              </w:rPr>
            </w:pPr>
            <w:r>
              <w:rPr>
                <w:rFonts w:hint="eastAsia"/>
                <w:sz w:val="18"/>
              </w:rPr>
              <w:t>c.行业内市场占有率处于一般水平。[0分，2分]</w:t>
            </w:r>
          </w:p>
        </w:tc>
        <w:tc>
          <w:tcPr>
            <w:tcW w:w="708" w:type="dxa"/>
            <w:tcBorders>
              <w:top w:val="single" w:color="auto" w:sz="4" w:space="0"/>
              <w:tl2br w:val="nil"/>
              <w:tr2bl w:val="nil"/>
            </w:tcBorders>
            <w:vAlign w:val="center"/>
          </w:tcPr>
          <w:p w14:paraId="7915B0A6">
            <w:pPr>
              <w:autoSpaceDE w:val="0"/>
              <w:autoSpaceDN w:val="0"/>
              <w:jc w:val="center"/>
              <w:rPr>
                <w:rFonts w:ascii="宋体"/>
                <w:sz w:val="18"/>
                <w:szCs w:val="18"/>
              </w:rPr>
            </w:pPr>
            <w:r>
              <w:rPr>
                <w:rFonts w:ascii="宋体"/>
                <w:sz w:val="18"/>
                <w:szCs w:val="18"/>
              </w:rPr>
              <w:t>6</w:t>
            </w:r>
          </w:p>
        </w:tc>
        <w:tc>
          <w:tcPr>
            <w:tcW w:w="1080" w:type="dxa"/>
            <w:tcBorders>
              <w:top w:val="single" w:color="auto" w:sz="4" w:space="0"/>
              <w:tl2br w:val="nil"/>
              <w:tr2bl w:val="nil"/>
            </w:tcBorders>
            <w:vAlign w:val="center"/>
          </w:tcPr>
          <w:p w14:paraId="5026BA07">
            <w:pPr>
              <w:autoSpaceDE w:val="0"/>
              <w:autoSpaceDN w:val="0"/>
              <w:jc w:val="center"/>
              <w:rPr>
                <w:rFonts w:ascii="宋体"/>
                <w:sz w:val="18"/>
                <w:szCs w:val="18"/>
              </w:rPr>
            </w:pPr>
          </w:p>
        </w:tc>
      </w:tr>
      <w:tr w14:paraId="01CCF0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76" w:hRule="atLeast"/>
          <w:jc w:val="center"/>
        </w:trPr>
        <w:tc>
          <w:tcPr>
            <w:tcW w:w="587" w:type="dxa"/>
            <w:vMerge w:val="continue"/>
            <w:tcBorders>
              <w:tl2br w:val="nil"/>
              <w:tr2bl w:val="nil"/>
            </w:tcBorders>
            <w:vAlign w:val="center"/>
          </w:tcPr>
          <w:p w14:paraId="2B436AA7">
            <w:pPr>
              <w:autoSpaceDE w:val="0"/>
              <w:autoSpaceDN w:val="0"/>
              <w:jc w:val="center"/>
              <w:rPr>
                <w:rFonts w:hint="eastAsia" w:ascii="宋体" w:hAnsi="宋体" w:cs="宋体"/>
                <w:sz w:val="18"/>
                <w:szCs w:val="18"/>
              </w:rPr>
            </w:pPr>
          </w:p>
        </w:tc>
        <w:tc>
          <w:tcPr>
            <w:tcW w:w="616" w:type="dxa"/>
            <w:vMerge w:val="continue"/>
            <w:tcBorders>
              <w:tl2br w:val="nil"/>
              <w:tr2bl w:val="nil"/>
            </w:tcBorders>
            <w:vAlign w:val="center"/>
          </w:tcPr>
          <w:p w14:paraId="545F577E">
            <w:pPr>
              <w:autoSpaceDE w:val="0"/>
              <w:autoSpaceDN w:val="0"/>
              <w:jc w:val="center"/>
              <w:rPr>
                <w:rFonts w:hint="eastAsia" w:ascii="宋体" w:hAnsi="宋体" w:cs="宋体"/>
                <w:sz w:val="18"/>
                <w:szCs w:val="18"/>
              </w:rPr>
            </w:pPr>
          </w:p>
        </w:tc>
        <w:tc>
          <w:tcPr>
            <w:tcW w:w="693" w:type="dxa"/>
            <w:vMerge w:val="continue"/>
            <w:tcBorders>
              <w:tl2br w:val="nil"/>
              <w:tr2bl w:val="nil"/>
            </w:tcBorders>
            <w:vAlign w:val="center"/>
          </w:tcPr>
          <w:p w14:paraId="68AC59E8">
            <w:pPr>
              <w:autoSpaceDE w:val="0"/>
              <w:autoSpaceDN w:val="0"/>
              <w:jc w:val="center"/>
              <w:rPr>
                <w:rFonts w:hint="eastAsia" w:ascii="宋体" w:hAnsi="宋体" w:cs="宋体"/>
                <w:sz w:val="18"/>
                <w:szCs w:val="18"/>
              </w:rPr>
            </w:pPr>
          </w:p>
        </w:tc>
        <w:tc>
          <w:tcPr>
            <w:tcW w:w="2484" w:type="dxa"/>
            <w:tcBorders>
              <w:top w:val="single" w:color="auto" w:sz="4" w:space="0"/>
              <w:tl2br w:val="nil"/>
              <w:tr2bl w:val="nil"/>
            </w:tcBorders>
            <w:vAlign w:val="center"/>
          </w:tcPr>
          <w:p w14:paraId="37021104">
            <w:pPr>
              <w:autoSpaceDE w:val="0"/>
              <w:autoSpaceDN w:val="0"/>
              <w:jc w:val="left"/>
              <w:rPr>
                <w:rFonts w:hint="eastAsia" w:ascii="宋体" w:hAnsi="宋体" w:cs="宋体"/>
                <w:sz w:val="18"/>
                <w:szCs w:val="18"/>
              </w:rPr>
            </w:pPr>
            <w:r>
              <w:rPr>
                <w:rFonts w:hint="eastAsia" w:ascii="宋体" w:hAnsi="宋体" w:cs="宋体"/>
                <w:sz w:val="18"/>
              </w:rPr>
              <w:t>从稳定提供智能电网建设运营领域相关产品或服务的年限进行评价</w:t>
            </w:r>
          </w:p>
        </w:tc>
        <w:tc>
          <w:tcPr>
            <w:tcW w:w="3402" w:type="dxa"/>
            <w:tcBorders>
              <w:top w:val="single" w:color="auto" w:sz="4" w:space="0"/>
              <w:tl2br w:val="nil"/>
              <w:tr2bl w:val="nil"/>
            </w:tcBorders>
            <w:vAlign w:val="center"/>
          </w:tcPr>
          <w:p w14:paraId="323D2211">
            <w:pPr>
              <w:autoSpaceDE w:val="0"/>
              <w:autoSpaceDN w:val="0"/>
              <w:jc w:val="left"/>
              <w:rPr>
                <w:rFonts w:ascii="宋体" w:hAnsi="宋体" w:cs="宋体"/>
                <w:sz w:val="18"/>
                <w:szCs w:val="18"/>
              </w:rPr>
            </w:pPr>
            <w:r>
              <w:rPr>
                <w:rFonts w:hint="eastAsia" w:ascii="宋体" w:hAnsi="宋体" w:cs="宋体"/>
                <w:sz w:val="18"/>
                <w:szCs w:val="18"/>
              </w:rPr>
              <w:t>a.＞10（3分）</w:t>
            </w:r>
          </w:p>
          <w:p w14:paraId="6E50BC91">
            <w:pPr>
              <w:autoSpaceDE w:val="0"/>
              <w:autoSpaceDN w:val="0"/>
              <w:jc w:val="left"/>
              <w:rPr>
                <w:rFonts w:ascii="宋体" w:hAnsi="宋体" w:cs="宋体"/>
                <w:sz w:val="18"/>
                <w:szCs w:val="18"/>
              </w:rPr>
            </w:pPr>
            <w:r>
              <w:rPr>
                <w:rFonts w:hint="eastAsia" w:ascii="宋体" w:hAnsi="宋体" w:cs="宋体"/>
                <w:sz w:val="18"/>
                <w:szCs w:val="18"/>
              </w:rPr>
              <w:t>b.（5，10]（2分）</w:t>
            </w:r>
          </w:p>
          <w:p w14:paraId="6553AA55">
            <w:pPr>
              <w:pStyle w:val="11"/>
              <w:jc w:val="both"/>
              <w:rPr>
                <w:rFonts w:hint="eastAsia"/>
                <w:sz w:val="18"/>
                <w:szCs w:val="18"/>
                <w:lang w:val="en-US"/>
              </w:rPr>
            </w:pPr>
            <w:r>
              <w:rPr>
                <w:rFonts w:hint="eastAsia"/>
                <w:sz w:val="18"/>
              </w:rPr>
              <w:t>c.（2，5]（1分）</w:t>
            </w:r>
          </w:p>
        </w:tc>
        <w:tc>
          <w:tcPr>
            <w:tcW w:w="708" w:type="dxa"/>
            <w:tcBorders>
              <w:top w:val="single" w:color="auto" w:sz="4" w:space="0"/>
              <w:tl2br w:val="nil"/>
              <w:tr2bl w:val="nil"/>
            </w:tcBorders>
            <w:vAlign w:val="center"/>
          </w:tcPr>
          <w:p w14:paraId="55BA5D96">
            <w:pPr>
              <w:autoSpaceDE w:val="0"/>
              <w:autoSpaceDN w:val="0"/>
              <w:jc w:val="center"/>
              <w:rPr>
                <w:rFonts w:ascii="宋体"/>
                <w:sz w:val="18"/>
                <w:szCs w:val="18"/>
              </w:rPr>
            </w:pPr>
            <w:r>
              <w:rPr>
                <w:rFonts w:hint="eastAsia" w:ascii="宋体"/>
                <w:sz w:val="18"/>
                <w:szCs w:val="18"/>
              </w:rPr>
              <w:t>3</w:t>
            </w:r>
          </w:p>
        </w:tc>
        <w:tc>
          <w:tcPr>
            <w:tcW w:w="1080" w:type="dxa"/>
            <w:tcBorders>
              <w:top w:val="single" w:color="auto" w:sz="4" w:space="0"/>
              <w:tl2br w:val="nil"/>
              <w:tr2bl w:val="nil"/>
            </w:tcBorders>
            <w:vAlign w:val="center"/>
          </w:tcPr>
          <w:p w14:paraId="69A5341B">
            <w:pPr>
              <w:autoSpaceDE w:val="0"/>
              <w:autoSpaceDN w:val="0"/>
              <w:jc w:val="center"/>
              <w:rPr>
                <w:rFonts w:ascii="宋体"/>
                <w:sz w:val="18"/>
                <w:szCs w:val="18"/>
              </w:rPr>
            </w:pPr>
          </w:p>
        </w:tc>
      </w:tr>
      <w:tr w14:paraId="7C05B1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659" w:hRule="atLeast"/>
          <w:jc w:val="center"/>
        </w:trPr>
        <w:tc>
          <w:tcPr>
            <w:tcW w:w="587" w:type="dxa"/>
            <w:vMerge w:val="continue"/>
            <w:tcBorders>
              <w:tl2br w:val="nil"/>
              <w:tr2bl w:val="nil"/>
            </w:tcBorders>
            <w:vAlign w:val="center"/>
          </w:tcPr>
          <w:p w14:paraId="4FD5D69F">
            <w:pPr>
              <w:autoSpaceDE w:val="0"/>
              <w:autoSpaceDN w:val="0"/>
              <w:jc w:val="center"/>
              <w:rPr>
                <w:rFonts w:ascii="宋体" w:hAnsi="宋体" w:cs="宋体"/>
                <w:sz w:val="18"/>
                <w:szCs w:val="18"/>
              </w:rPr>
            </w:pPr>
          </w:p>
        </w:tc>
        <w:tc>
          <w:tcPr>
            <w:tcW w:w="616" w:type="dxa"/>
            <w:vMerge w:val="restart"/>
            <w:tcBorders>
              <w:tl2br w:val="nil"/>
              <w:tr2bl w:val="nil"/>
            </w:tcBorders>
            <w:vAlign w:val="center"/>
          </w:tcPr>
          <w:p w14:paraId="59977E55">
            <w:pPr>
              <w:autoSpaceDE w:val="0"/>
              <w:autoSpaceDN w:val="0"/>
              <w:jc w:val="center"/>
              <w:rPr>
                <w:rFonts w:ascii="宋体" w:hAnsi="宋体" w:cs="宋体"/>
                <w:sz w:val="18"/>
                <w:szCs w:val="18"/>
              </w:rPr>
            </w:pPr>
            <w:r>
              <w:rPr>
                <w:rFonts w:hint="eastAsia" w:ascii="宋体" w:hAnsi="宋体" w:cs="宋体"/>
                <w:sz w:val="18"/>
                <w:szCs w:val="18"/>
              </w:rPr>
              <w:t>市场影响</w:t>
            </w:r>
          </w:p>
        </w:tc>
        <w:tc>
          <w:tcPr>
            <w:tcW w:w="693" w:type="dxa"/>
            <w:tcBorders>
              <w:top w:val="single" w:color="auto" w:sz="4" w:space="0"/>
              <w:tl2br w:val="nil"/>
              <w:tr2bl w:val="nil"/>
            </w:tcBorders>
            <w:vAlign w:val="center"/>
          </w:tcPr>
          <w:p w14:paraId="23D6644A">
            <w:pPr>
              <w:autoSpaceDE w:val="0"/>
              <w:autoSpaceDN w:val="0"/>
              <w:jc w:val="center"/>
              <w:rPr>
                <w:rFonts w:ascii="宋体" w:hAnsi="宋体" w:cs="宋体"/>
                <w:sz w:val="18"/>
                <w:szCs w:val="18"/>
              </w:rPr>
            </w:pPr>
            <w:r>
              <w:rPr>
                <w:rFonts w:hint="eastAsia" w:ascii="宋体" w:hAnsi="宋体" w:cs="宋体"/>
                <w:sz w:val="18"/>
                <w:szCs w:val="18"/>
              </w:rPr>
              <w:t>产业影响力</w:t>
            </w:r>
          </w:p>
        </w:tc>
        <w:tc>
          <w:tcPr>
            <w:tcW w:w="2484" w:type="dxa"/>
            <w:tcBorders>
              <w:top w:val="single" w:color="auto" w:sz="4" w:space="0"/>
              <w:tl2br w:val="nil"/>
              <w:tr2bl w:val="nil"/>
            </w:tcBorders>
            <w:vAlign w:val="center"/>
          </w:tcPr>
          <w:p w14:paraId="72D22373">
            <w:pPr>
              <w:autoSpaceDE w:val="0"/>
              <w:autoSpaceDN w:val="0"/>
              <w:jc w:val="left"/>
              <w:rPr>
                <w:rFonts w:ascii="宋体" w:hAnsi="宋体" w:cs="宋体"/>
                <w:sz w:val="18"/>
                <w:szCs w:val="18"/>
              </w:rPr>
            </w:pPr>
            <w:r>
              <w:rPr>
                <w:rFonts w:hint="eastAsia" w:ascii="宋体" w:hAnsi="宋体" w:cs="宋体"/>
                <w:sz w:val="18"/>
                <w:szCs w:val="18"/>
              </w:rPr>
              <w:t>智能电网建设运营领域相关产品或服务，引领绿色低碳产业技术创新或市场发展的影响能力，如在产业链关键环节及领域取得“补短板”“锻长链”“填空白”的实际技术突破，或有助于新产业、新业态、新商业模式的培育壮大等</w:t>
            </w:r>
          </w:p>
        </w:tc>
        <w:tc>
          <w:tcPr>
            <w:tcW w:w="3402" w:type="dxa"/>
            <w:tcBorders>
              <w:top w:val="single" w:color="auto" w:sz="4" w:space="0"/>
              <w:tl2br w:val="nil"/>
              <w:tr2bl w:val="nil"/>
            </w:tcBorders>
            <w:vAlign w:val="center"/>
          </w:tcPr>
          <w:p w14:paraId="02A6F84E">
            <w:pPr>
              <w:pStyle w:val="11"/>
              <w:jc w:val="both"/>
              <w:rPr>
                <w:sz w:val="18"/>
                <w:szCs w:val="18"/>
                <w:lang w:val="en-US"/>
              </w:rPr>
            </w:pPr>
            <w:r>
              <w:rPr>
                <w:rFonts w:hint="eastAsia"/>
                <w:sz w:val="18"/>
                <w:szCs w:val="18"/>
                <w:lang w:val="en-US"/>
              </w:rPr>
              <w:t>a.具有显著的引领绿色低碳产业技术或市场发展的影响能力。（4分，</w:t>
            </w:r>
            <w:r>
              <w:rPr>
                <w:sz w:val="18"/>
                <w:szCs w:val="18"/>
                <w:lang w:val="en-US"/>
              </w:rPr>
              <w:t>6</w:t>
            </w:r>
            <w:r>
              <w:rPr>
                <w:rFonts w:hint="eastAsia"/>
                <w:sz w:val="18"/>
                <w:szCs w:val="18"/>
                <w:lang w:val="en-US"/>
              </w:rPr>
              <w:t>分]</w:t>
            </w:r>
          </w:p>
          <w:p w14:paraId="5A906FD2">
            <w:pPr>
              <w:pStyle w:val="11"/>
              <w:jc w:val="both"/>
              <w:rPr>
                <w:sz w:val="18"/>
                <w:szCs w:val="18"/>
                <w:lang w:val="en-US"/>
              </w:rPr>
            </w:pPr>
            <w:r>
              <w:rPr>
                <w:rFonts w:hint="eastAsia"/>
                <w:sz w:val="18"/>
                <w:szCs w:val="18"/>
                <w:lang w:val="en-US"/>
              </w:rPr>
              <w:t>b.具有较强的引领绿色低碳产业技术或市场发展的影响能力。（2分，4分]</w:t>
            </w:r>
          </w:p>
          <w:p w14:paraId="721EC0ED">
            <w:pPr>
              <w:pStyle w:val="11"/>
              <w:jc w:val="both"/>
              <w:rPr>
                <w:sz w:val="18"/>
                <w:szCs w:val="18"/>
                <w:lang w:val="en-US"/>
              </w:rPr>
            </w:pPr>
            <w:r>
              <w:rPr>
                <w:rFonts w:hint="eastAsia"/>
                <w:sz w:val="18"/>
                <w:szCs w:val="18"/>
                <w:lang w:val="en-US"/>
              </w:rPr>
              <w:t>c.具有一定的引领绿色低碳产业技术或市场发展的影响能力。（0分，2分]</w:t>
            </w:r>
          </w:p>
          <w:p w14:paraId="20DC3BAF">
            <w:pPr>
              <w:pStyle w:val="11"/>
              <w:jc w:val="both"/>
              <w:rPr>
                <w:sz w:val="18"/>
                <w:szCs w:val="18"/>
                <w:lang w:val="en-US"/>
              </w:rPr>
            </w:pPr>
            <w:r>
              <w:rPr>
                <w:rFonts w:hint="eastAsia"/>
                <w:sz w:val="18"/>
                <w:szCs w:val="18"/>
                <w:lang w:val="en-US"/>
              </w:rPr>
              <w:t>d.未产生明显产业影响力。（0分）</w:t>
            </w:r>
          </w:p>
        </w:tc>
        <w:tc>
          <w:tcPr>
            <w:tcW w:w="708" w:type="dxa"/>
            <w:tcBorders>
              <w:top w:val="single" w:color="auto" w:sz="4" w:space="0"/>
              <w:tl2br w:val="nil"/>
              <w:tr2bl w:val="nil"/>
            </w:tcBorders>
            <w:vAlign w:val="center"/>
          </w:tcPr>
          <w:p w14:paraId="3BEA7E84">
            <w:pPr>
              <w:autoSpaceDE w:val="0"/>
              <w:autoSpaceDN w:val="0"/>
              <w:jc w:val="center"/>
              <w:rPr>
                <w:rFonts w:ascii="宋体"/>
                <w:sz w:val="18"/>
                <w:szCs w:val="18"/>
              </w:rPr>
            </w:pPr>
            <w:r>
              <w:rPr>
                <w:rFonts w:ascii="宋体"/>
                <w:sz w:val="18"/>
                <w:szCs w:val="18"/>
              </w:rPr>
              <w:t>6</w:t>
            </w:r>
          </w:p>
        </w:tc>
        <w:tc>
          <w:tcPr>
            <w:tcW w:w="1080" w:type="dxa"/>
            <w:tcBorders>
              <w:top w:val="single" w:color="auto" w:sz="4" w:space="0"/>
              <w:tl2br w:val="nil"/>
              <w:tr2bl w:val="nil"/>
            </w:tcBorders>
            <w:vAlign w:val="center"/>
          </w:tcPr>
          <w:p w14:paraId="2E0474E8">
            <w:pPr>
              <w:autoSpaceDE w:val="0"/>
              <w:autoSpaceDN w:val="0"/>
              <w:jc w:val="center"/>
              <w:rPr>
                <w:rFonts w:ascii="宋体"/>
                <w:sz w:val="18"/>
                <w:szCs w:val="18"/>
              </w:rPr>
            </w:pPr>
          </w:p>
        </w:tc>
      </w:tr>
      <w:tr w14:paraId="63E485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213" w:hRule="atLeast"/>
          <w:jc w:val="center"/>
        </w:trPr>
        <w:tc>
          <w:tcPr>
            <w:tcW w:w="587" w:type="dxa"/>
            <w:vMerge w:val="continue"/>
            <w:tcBorders>
              <w:tl2br w:val="nil"/>
              <w:tr2bl w:val="nil"/>
            </w:tcBorders>
            <w:vAlign w:val="center"/>
          </w:tcPr>
          <w:p w14:paraId="01824D21">
            <w:pPr>
              <w:autoSpaceDE w:val="0"/>
              <w:autoSpaceDN w:val="0"/>
              <w:jc w:val="center"/>
              <w:rPr>
                <w:rFonts w:ascii="宋体" w:hAnsi="宋体" w:cs="宋体"/>
                <w:sz w:val="18"/>
                <w:szCs w:val="18"/>
              </w:rPr>
            </w:pPr>
          </w:p>
        </w:tc>
        <w:tc>
          <w:tcPr>
            <w:tcW w:w="616" w:type="dxa"/>
            <w:vMerge w:val="continue"/>
            <w:tcBorders>
              <w:tl2br w:val="nil"/>
              <w:tr2bl w:val="nil"/>
            </w:tcBorders>
            <w:vAlign w:val="center"/>
          </w:tcPr>
          <w:p w14:paraId="7ED5AE0C">
            <w:pPr>
              <w:autoSpaceDE w:val="0"/>
              <w:autoSpaceDN w:val="0"/>
              <w:jc w:val="center"/>
              <w:rPr>
                <w:rFonts w:ascii="宋体" w:hAnsi="宋体" w:cs="宋体"/>
                <w:sz w:val="18"/>
                <w:szCs w:val="18"/>
              </w:rPr>
            </w:pPr>
          </w:p>
        </w:tc>
        <w:tc>
          <w:tcPr>
            <w:tcW w:w="693" w:type="dxa"/>
            <w:tcBorders>
              <w:tl2br w:val="nil"/>
              <w:tr2bl w:val="nil"/>
            </w:tcBorders>
            <w:vAlign w:val="center"/>
          </w:tcPr>
          <w:p w14:paraId="6682F200">
            <w:pPr>
              <w:autoSpaceDE w:val="0"/>
              <w:autoSpaceDN w:val="0"/>
              <w:jc w:val="center"/>
              <w:rPr>
                <w:rFonts w:ascii="宋体" w:hAnsi="宋体" w:cs="宋体"/>
                <w:sz w:val="18"/>
                <w:szCs w:val="18"/>
              </w:rPr>
            </w:pPr>
            <w:r>
              <w:rPr>
                <w:rFonts w:hint="eastAsia" w:ascii="宋体" w:hAnsi="宋体" w:cs="宋体"/>
                <w:sz w:val="18"/>
                <w:szCs w:val="18"/>
              </w:rPr>
              <w:t>行业资质荣誉</w:t>
            </w:r>
          </w:p>
        </w:tc>
        <w:tc>
          <w:tcPr>
            <w:tcW w:w="2484" w:type="dxa"/>
            <w:tcBorders>
              <w:tl2br w:val="nil"/>
              <w:tr2bl w:val="nil"/>
            </w:tcBorders>
            <w:vAlign w:val="center"/>
          </w:tcPr>
          <w:p w14:paraId="488AE81B">
            <w:pPr>
              <w:autoSpaceDE w:val="0"/>
              <w:autoSpaceDN w:val="0"/>
              <w:jc w:val="left"/>
              <w:rPr>
                <w:rFonts w:ascii="宋体" w:hAnsi="宋体" w:cs="宋体"/>
                <w:sz w:val="18"/>
                <w:szCs w:val="18"/>
              </w:rPr>
            </w:pPr>
            <w:r>
              <w:rPr>
                <w:rFonts w:hint="eastAsia" w:ascii="宋体" w:hAnsi="宋体" w:cs="宋体"/>
                <w:sz w:val="18"/>
                <w:szCs w:val="18"/>
              </w:rPr>
              <w:t>在智能电网建设运营领域获得的国家级、省部级、市级或区级奖项、资质、荣誉、认定及证书的情况</w:t>
            </w:r>
          </w:p>
        </w:tc>
        <w:tc>
          <w:tcPr>
            <w:tcW w:w="3402" w:type="dxa"/>
            <w:tcBorders>
              <w:tl2br w:val="nil"/>
              <w:tr2bl w:val="nil"/>
            </w:tcBorders>
            <w:vAlign w:val="center"/>
          </w:tcPr>
          <w:p w14:paraId="13F72230">
            <w:pPr>
              <w:pStyle w:val="11"/>
              <w:ind w:left="6" w:hanging="6"/>
              <w:rPr>
                <w:sz w:val="18"/>
                <w:szCs w:val="18"/>
                <w:lang w:val="en-US"/>
              </w:rPr>
            </w:pPr>
            <w:r>
              <w:rPr>
                <w:rFonts w:hint="eastAsia"/>
                <w:sz w:val="18"/>
                <w:szCs w:val="18"/>
                <w:lang w:val="en-US"/>
              </w:rPr>
              <w:t>a.获得1项国家级奖项、资质、荣誉、认定或证书。（3分）</w:t>
            </w:r>
          </w:p>
          <w:p w14:paraId="0AE73EC4">
            <w:pPr>
              <w:pStyle w:val="11"/>
              <w:ind w:left="6" w:hanging="6"/>
              <w:rPr>
                <w:sz w:val="18"/>
                <w:szCs w:val="18"/>
                <w:lang w:val="en-US"/>
              </w:rPr>
            </w:pPr>
            <w:r>
              <w:rPr>
                <w:rFonts w:hint="eastAsia"/>
                <w:sz w:val="18"/>
                <w:szCs w:val="18"/>
                <w:lang w:val="en-US"/>
              </w:rPr>
              <w:t>b.获得1项省部级奖项、资质、荣誉、认定或证书。（2分）</w:t>
            </w:r>
          </w:p>
          <w:p w14:paraId="645FA8F0">
            <w:pPr>
              <w:pStyle w:val="11"/>
              <w:ind w:left="6" w:hanging="6"/>
              <w:rPr>
                <w:sz w:val="18"/>
                <w:szCs w:val="18"/>
                <w:lang w:val="en-US"/>
              </w:rPr>
            </w:pPr>
            <w:r>
              <w:rPr>
                <w:rFonts w:hint="eastAsia"/>
                <w:sz w:val="18"/>
                <w:szCs w:val="18"/>
                <w:lang w:val="en-US"/>
              </w:rPr>
              <w:t>c.获得1项市级奖项、资质、荣誉、认定或证书。（1分）</w:t>
            </w:r>
          </w:p>
          <w:p w14:paraId="44E0E0D2">
            <w:pPr>
              <w:pStyle w:val="11"/>
              <w:ind w:left="6" w:hanging="6"/>
              <w:jc w:val="both"/>
              <w:rPr>
                <w:sz w:val="18"/>
                <w:szCs w:val="18"/>
                <w:lang w:val="en-US"/>
              </w:rPr>
            </w:pPr>
            <w:r>
              <w:rPr>
                <w:rFonts w:hint="eastAsia"/>
                <w:sz w:val="18"/>
                <w:szCs w:val="18"/>
                <w:lang w:val="en-US"/>
              </w:rPr>
              <w:t>d.在满足上述基础上，每多获得1项国际级、国家级、省部级、市级、区级行业资质荣誉，分别加1分、0.5分、0.3分、0.2分。</w:t>
            </w:r>
          </w:p>
        </w:tc>
        <w:tc>
          <w:tcPr>
            <w:tcW w:w="708" w:type="dxa"/>
            <w:tcBorders>
              <w:tl2br w:val="nil"/>
              <w:tr2bl w:val="nil"/>
            </w:tcBorders>
            <w:vAlign w:val="center"/>
          </w:tcPr>
          <w:p w14:paraId="021DA5C5">
            <w:pPr>
              <w:autoSpaceDE w:val="0"/>
              <w:autoSpaceDN w:val="0"/>
              <w:jc w:val="center"/>
              <w:rPr>
                <w:rFonts w:ascii="宋体"/>
                <w:sz w:val="18"/>
                <w:szCs w:val="18"/>
              </w:rPr>
            </w:pPr>
            <w:r>
              <w:rPr>
                <w:rFonts w:hint="eastAsia" w:ascii="宋体"/>
                <w:sz w:val="18"/>
                <w:szCs w:val="18"/>
              </w:rPr>
              <w:t>4</w:t>
            </w:r>
          </w:p>
        </w:tc>
        <w:tc>
          <w:tcPr>
            <w:tcW w:w="1080" w:type="dxa"/>
            <w:tcBorders>
              <w:tl2br w:val="nil"/>
              <w:tr2bl w:val="nil"/>
            </w:tcBorders>
            <w:vAlign w:val="center"/>
          </w:tcPr>
          <w:p w14:paraId="466D2300">
            <w:pPr>
              <w:autoSpaceDE w:val="0"/>
              <w:autoSpaceDN w:val="0"/>
              <w:jc w:val="center"/>
              <w:rPr>
                <w:rFonts w:ascii="宋体"/>
                <w:sz w:val="18"/>
                <w:szCs w:val="18"/>
              </w:rPr>
            </w:pPr>
          </w:p>
        </w:tc>
      </w:tr>
      <w:tr w14:paraId="0AFF80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87" w:type="dxa"/>
            <w:tcBorders>
              <w:tl2br w:val="nil"/>
              <w:tr2bl w:val="nil"/>
            </w:tcBorders>
            <w:vAlign w:val="center"/>
          </w:tcPr>
          <w:p w14:paraId="50EEE3CA">
            <w:pPr>
              <w:autoSpaceDE w:val="0"/>
              <w:autoSpaceDN w:val="0"/>
              <w:jc w:val="center"/>
              <w:rPr>
                <w:rFonts w:ascii="宋体" w:hAnsi="宋体" w:cs="宋体"/>
                <w:sz w:val="18"/>
                <w:szCs w:val="18"/>
              </w:rPr>
            </w:pPr>
            <w:r>
              <w:rPr>
                <w:rFonts w:hint="eastAsia" w:ascii="宋体" w:hAnsi="宋体" w:cs="宋体"/>
                <w:sz w:val="18"/>
                <w:szCs w:val="18"/>
              </w:rPr>
              <w:t>环境表现</w:t>
            </w:r>
          </w:p>
        </w:tc>
        <w:tc>
          <w:tcPr>
            <w:tcW w:w="1309" w:type="dxa"/>
            <w:gridSpan w:val="2"/>
            <w:tcBorders>
              <w:tl2br w:val="nil"/>
              <w:tr2bl w:val="nil"/>
            </w:tcBorders>
            <w:vAlign w:val="center"/>
          </w:tcPr>
          <w:p w14:paraId="77A5AB0C">
            <w:pPr>
              <w:autoSpaceDE w:val="0"/>
              <w:autoSpaceDN w:val="0"/>
              <w:jc w:val="center"/>
              <w:rPr>
                <w:rFonts w:ascii="宋体" w:hAnsi="宋体" w:cs="宋体"/>
                <w:sz w:val="18"/>
                <w:szCs w:val="18"/>
              </w:rPr>
            </w:pPr>
            <w:r>
              <w:rPr>
                <w:rFonts w:hint="eastAsia" w:ascii="宋体" w:hAnsi="宋体" w:cs="宋体"/>
                <w:sz w:val="18"/>
                <w:szCs w:val="18"/>
              </w:rPr>
              <w:t>温室气体排放水平</w:t>
            </w:r>
          </w:p>
        </w:tc>
        <w:tc>
          <w:tcPr>
            <w:tcW w:w="2484" w:type="dxa"/>
            <w:tcBorders>
              <w:tl2br w:val="nil"/>
              <w:tr2bl w:val="nil"/>
            </w:tcBorders>
            <w:vAlign w:val="center"/>
          </w:tcPr>
          <w:p w14:paraId="299FF66E">
            <w:pPr>
              <w:autoSpaceDE w:val="0"/>
              <w:autoSpaceDN w:val="0"/>
              <w:jc w:val="left"/>
              <w:rPr>
                <w:rFonts w:ascii="宋体" w:hAnsi="宋体" w:cs="宋体"/>
                <w:sz w:val="18"/>
                <w:szCs w:val="18"/>
              </w:rPr>
            </w:pPr>
            <w:r>
              <w:rPr>
                <w:rFonts w:hint="eastAsia" w:ascii="宋体" w:hAnsi="宋体" w:cs="宋体"/>
                <w:sz w:val="18"/>
                <w:szCs w:val="18"/>
              </w:rPr>
              <w:t>企事业单位自身生产运营过程，向环境排放污染物的情况。污染物排放水平数据宜以申报前近一年全国污染源监测数据管理与共享系统平台的自行监测数据为准</w:t>
            </w:r>
          </w:p>
        </w:tc>
        <w:tc>
          <w:tcPr>
            <w:tcW w:w="3402" w:type="dxa"/>
            <w:tcBorders>
              <w:tl2br w:val="nil"/>
              <w:tr2bl w:val="nil"/>
            </w:tcBorders>
            <w:vAlign w:val="center"/>
          </w:tcPr>
          <w:p w14:paraId="78BD923B">
            <w:pPr>
              <w:pStyle w:val="25"/>
              <w:ind w:firstLine="0" w:firstLineChars="0"/>
              <w:jc w:val="left"/>
              <w:rPr>
                <w:rFonts w:hAnsi="宋体" w:cs="宋体"/>
                <w:sz w:val="18"/>
                <w:szCs w:val="18"/>
              </w:rPr>
            </w:pPr>
            <w:r>
              <w:rPr>
                <w:rFonts w:hint="eastAsia" w:hAnsi="宋体" w:cs="宋体"/>
                <w:sz w:val="18"/>
                <w:szCs w:val="18"/>
              </w:rPr>
              <w:t>a.生产制造类企业碳排放强度相较上一年度的下降比例超过6%。建设运营类企业碳排放强度相较上一年度的下降比例超过3%。（</w:t>
            </w:r>
            <w:r>
              <w:rPr>
                <w:rFonts w:hAnsi="宋体" w:cs="宋体"/>
                <w:sz w:val="18"/>
                <w:szCs w:val="18"/>
              </w:rPr>
              <w:t>6</w:t>
            </w:r>
            <w:r>
              <w:rPr>
                <w:rFonts w:hint="eastAsia" w:hAnsi="宋体" w:cs="宋体"/>
                <w:sz w:val="18"/>
                <w:szCs w:val="18"/>
              </w:rPr>
              <w:t>分）</w:t>
            </w:r>
          </w:p>
          <w:p w14:paraId="1B9FCB16">
            <w:pPr>
              <w:pStyle w:val="25"/>
              <w:ind w:firstLine="0" w:firstLineChars="0"/>
              <w:jc w:val="left"/>
              <w:rPr>
                <w:rFonts w:hAnsi="宋体" w:cs="宋体"/>
                <w:sz w:val="18"/>
                <w:szCs w:val="18"/>
              </w:rPr>
            </w:pPr>
            <w:r>
              <w:rPr>
                <w:rFonts w:hint="eastAsia" w:hAnsi="宋体" w:cs="宋体"/>
                <w:sz w:val="18"/>
                <w:szCs w:val="18"/>
              </w:rPr>
              <w:t>b.生产制造类企业碳排放强度相较上一年度的下降比例超过3%、不足6%。建设运营类企业碳排放强度相较上一年度的下降比例超过1%、不足3%。（</w:t>
            </w:r>
            <w:r>
              <w:rPr>
                <w:rFonts w:hAnsi="宋体" w:cs="宋体"/>
                <w:sz w:val="18"/>
                <w:szCs w:val="18"/>
              </w:rPr>
              <w:t>4</w:t>
            </w:r>
            <w:r>
              <w:rPr>
                <w:rFonts w:hint="eastAsia" w:hAnsi="宋体" w:cs="宋体"/>
                <w:sz w:val="18"/>
                <w:szCs w:val="18"/>
              </w:rPr>
              <w:t>分）</w:t>
            </w:r>
          </w:p>
          <w:p w14:paraId="5C3EC2F6">
            <w:pPr>
              <w:pStyle w:val="11"/>
              <w:ind w:left="6" w:hanging="6"/>
              <w:jc w:val="both"/>
              <w:rPr>
                <w:sz w:val="18"/>
                <w:szCs w:val="18"/>
                <w:lang w:val="en-US"/>
              </w:rPr>
            </w:pPr>
            <w:r>
              <w:rPr>
                <w:rFonts w:hint="eastAsia"/>
                <w:sz w:val="18"/>
                <w:szCs w:val="18"/>
              </w:rPr>
              <w:t>c.未满足上述任何一项。（0分）</w:t>
            </w:r>
          </w:p>
        </w:tc>
        <w:tc>
          <w:tcPr>
            <w:tcW w:w="708" w:type="dxa"/>
            <w:tcBorders>
              <w:tl2br w:val="nil"/>
              <w:tr2bl w:val="nil"/>
            </w:tcBorders>
            <w:vAlign w:val="center"/>
          </w:tcPr>
          <w:p w14:paraId="6ECA4B81">
            <w:pPr>
              <w:autoSpaceDE w:val="0"/>
              <w:autoSpaceDN w:val="0"/>
              <w:jc w:val="center"/>
              <w:rPr>
                <w:rFonts w:ascii="宋体"/>
                <w:sz w:val="18"/>
                <w:szCs w:val="18"/>
              </w:rPr>
            </w:pPr>
            <w:r>
              <w:rPr>
                <w:rFonts w:ascii="宋体"/>
                <w:sz w:val="18"/>
                <w:szCs w:val="18"/>
              </w:rPr>
              <w:t>6</w:t>
            </w:r>
          </w:p>
        </w:tc>
        <w:tc>
          <w:tcPr>
            <w:tcW w:w="1080" w:type="dxa"/>
            <w:tcBorders>
              <w:tl2br w:val="nil"/>
              <w:tr2bl w:val="nil"/>
            </w:tcBorders>
            <w:vAlign w:val="center"/>
          </w:tcPr>
          <w:p w14:paraId="61BF8288">
            <w:pPr>
              <w:autoSpaceDE w:val="0"/>
              <w:autoSpaceDN w:val="0"/>
              <w:jc w:val="center"/>
              <w:rPr>
                <w:rFonts w:ascii="宋体"/>
                <w:sz w:val="18"/>
                <w:szCs w:val="18"/>
              </w:rPr>
            </w:pPr>
          </w:p>
        </w:tc>
      </w:tr>
    </w:tbl>
    <w:p w14:paraId="6AEE1259">
      <w:pPr>
        <w:numPr>
          <w:ilvl w:val="1"/>
          <w:numId w:val="0"/>
        </w:numPr>
        <w:spacing w:before="312" w:beforeLines="100" w:after="156" w:afterLines="50"/>
        <w:jc w:val="center"/>
        <w:rPr>
          <w:rFonts w:ascii="黑体" w:hAnsi="黑体" w:eastAsia="黑体" w:cs="黑体"/>
          <w:szCs w:val="21"/>
        </w:rPr>
      </w:pPr>
      <w:r>
        <w:rPr>
          <w:rFonts w:hint="eastAsia" w:ascii="黑体" w:hAnsi="黑体" w:eastAsia="黑体" w:cs="黑体"/>
          <w:szCs w:val="21"/>
        </w:rPr>
        <w:t>表E.2  智能电网建设运营领域绿色低碳产业认定综合评价指标</w:t>
      </w:r>
      <w:r>
        <w:rPr>
          <w:rFonts w:hint="eastAsia" w:ascii="宋体" w:hAnsi="宋体" w:cs="宋体"/>
          <w:szCs w:val="21"/>
        </w:rPr>
        <w:t>（续）</w:t>
      </w:r>
    </w:p>
    <w:tbl>
      <w:tblPr>
        <w:tblStyle w:val="36"/>
        <w:tblpPr w:leftFromText="180" w:rightFromText="180" w:vertAnchor="text" w:tblpXSpec="center" w:tblpY="1"/>
        <w:tblOverlap w:val="never"/>
        <w:tblW w:w="95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87"/>
        <w:gridCol w:w="816"/>
        <w:gridCol w:w="2663"/>
        <w:gridCol w:w="3770"/>
        <w:gridCol w:w="1058"/>
        <w:gridCol w:w="676"/>
      </w:tblGrid>
      <w:tr w14:paraId="21B9CE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587" w:type="dxa"/>
            <w:tcBorders>
              <w:bottom w:val="single" w:color="auto" w:sz="12" w:space="0"/>
            </w:tcBorders>
            <w:vAlign w:val="center"/>
          </w:tcPr>
          <w:p w14:paraId="4A42C436">
            <w:pPr>
              <w:autoSpaceDE w:val="0"/>
              <w:autoSpaceDN w:val="0"/>
              <w:jc w:val="center"/>
              <w:rPr>
                <w:rFonts w:ascii="宋体" w:hAnsi="宋体" w:cs="宋体"/>
                <w:sz w:val="18"/>
                <w:szCs w:val="18"/>
              </w:rPr>
            </w:pPr>
            <w:r>
              <w:rPr>
                <w:rFonts w:ascii="宋体"/>
                <w:b/>
                <w:sz w:val="18"/>
                <w:szCs w:val="18"/>
              </w:rPr>
              <w:t>一级指标</w:t>
            </w:r>
          </w:p>
        </w:tc>
        <w:tc>
          <w:tcPr>
            <w:tcW w:w="816" w:type="dxa"/>
            <w:tcBorders>
              <w:bottom w:val="single" w:color="auto" w:sz="12" w:space="0"/>
            </w:tcBorders>
            <w:vAlign w:val="center"/>
          </w:tcPr>
          <w:p w14:paraId="7E6E2A66">
            <w:pPr>
              <w:autoSpaceDE w:val="0"/>
              <w:autoSpaceDN w:val="0"/>
              <w:jc w:val="center"/>
              <w:rPr>
                <w:rFonts w:ascii="宋体" w:hAnsi="宋体" w:cs="宋体"/>
                <w:sz w:val="18"/>
                <w:szCs w:val="18"/>
              </w:rPr>
            </w:pPr>
            <w:r>
              <w:rPr>
                <w:rFonts w:ascii="宋体"/>
                <w:b/>
                <w:sz w:val="18"/>
                <w:szCs w:val="18"/>
              </w:rPr>
              <w:t>二级指标</w:t>
            </w:r>
          </w:p>
        </w:tc>
        <w:tc>
          <w:tcPr>
            <w:tcW w:w="2663" w:type="dxa"/>
            <w:tcBorders>
              <w:bottom w:val="single" w:color="auto" w:sz="12" w:space="0"/>
            </w:tcBorders>
            <w:vAlign w:val="center"/>
          </w:tcPr>
          <w:p w14:paraId="635D82A3">
            <w:pPr>
              <w:autoSpaceDE w:val="0"/>
              <w:autoSpaceDN w:val="0"/>
              <w:jc w:val="center"/>
              <w:rPr>
                <w:rFonts w:ascii="宋体" w:hAnsi="宋体" w:cs="宋体"/>
                <w:sz w:val="18"/>
                <w:szCs w:val="18"/>
              </w:rPr>
            </w:pPr>
            <w:r>
              <w:rPr>
                <w:rFonts w:hint="eastAsia" w:ascii="宋体"/>
                <w:b/>
                <w:sz w:val="18"/>
                <w:szCs w:val="18"/>
              </w:rPr>
              <w:t>评价要求</w:t>
            </w:r>
          </w:p>
        </w:tc>
        <w:tc>
          <w:tcPr>
            <w:tcW w:w="3770" w:type="dxa"/>
            <w:tcBorders>
              <w:bottom w:val="single" w:color="auto" w:sz="12" w:space="0"/>
            </w:tcBorders>
            <w:vAlign w:val="center"/>
          </w:tcPr>
          <w:p w14:paraId="1569A386">
            <w:pPr>
              <w:autoSpaceDE w:val="0"/>
              <w:autoSpaceDN w:val="0"/>
              <w:jc w:val="center"/>
              <w:rPr>
                <w:rFonts w:ascii="宋体" w:hAnsi="宋体" w:cs="宋体"/>
                <w:sz w:val="18"/>
                <w:szCs w:val="18"/>
              </w:rPr>
            </w:pPr>
            <w:r>
              <w:rPr>
                <w:rFonts w:hint="eastAsia" w:ascii="宋体"/>
                <w:b/>
                <w:sz w:val="18"/>
                <w:szCs w:val="18"/>
              </w:rPr>
              <w:t>评分标准</w:t>
            </w:r>
          </w:p>
        </w:tc>
        <w:tc>
          <w:tcPr>
            <w:tcW w:w="1058" w:type="dxa"/>
            <w:tcBorders>
              <w:bottom w:val="single" w:color="auto" w:sz="12" w:space="0"/>
            </w:tcBorders>
            <w:vAlign w:val="center"/>
          </w:tcPr>
          <w:p w14:paraId="10B30C45">
            <w:pPr>
              <w:autoSpaceDE w:val="0"/>
              <w:autoSpaceDN w:val="0"/>
              <w:jc w:val="center"/>
              <w:rPr>
                <w:rFonts w:ascii="宋体"/>
                <w:sz w:val="18"/>
                <w:szCs w:val="18"/>
              </w:rPr>
            </w:pPr>
            <w:r>
              <w:rPr>
                <w:rFonts w:ascii="宋体"/>
                <w:b/>
                <w:sz w:val="18"/>
                <w:szCs w:val="18"/>
              </w:rPr>
              <w:t>分值</w:t>
            </w:r>
            <w:r>
              <w:rPr>
                <w:rFonts w:hint="eastAsia" w:ascii="宋体"/>
                <w:b/>
                <w:sz w:val="18"/>
                <w:szCs w:val="18"/>
              </w:rPr>
              <w:t>（分）</w:t>
            </w:r>
          </w:p>
        </w:tc>
        <w:tc>
          <w:tcPr>
            <w:tcW w:w="676" w:type="dxa"/>
            <w:tcBorders>
              <w:bottom w:val="single" w:color="auto" w:sz="12" w:space="0"/>
            </w:tcBorders>
            <w:vAlign w:val="center"/>
          </w:tcPr>
          <w:p w14:paraId="3FEA7C92">
            <w:pPr>
              <w:autoSpaceDE w:val="0"/>
              <w:autoSpaceDN w:val="0"/>
              <w:jc w:val="center"/>
              <w:rPr>
                <w:rFonts w:ascii="宋体"/>
                <w:sz w:val="18"/>
                <w:szCs w:val="18"/>
              </w:rPr>
            </w:pPr>
            <w:r>
              <w:rPr>
                <w:rFonts w:ascii="宋体"/>
                <w:b/>
                <w:sz w:val="18"/>
                <w:szCs w:val="18"/>
              </w:rPr>
              <w:t>得分</w:t>
            </w:r>
            <w:r>
              <w:rPr>
                <w:rFonts w:hint="eastAsia" w:ascii="宋体"/>
                <w:b/>
                <w:sz w:val="18"/>
                <w:szCs w:val="18"/>
              </w:rPr>
              <w:t>（分）</w:t>
            </w:r>
          </w:p>
        </w:tc>
      </w:tr>
      <w:tr w14:paraId="704D7D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06" w:hRule="atLeast"/>
          <w:jc w:val="center"/>
        </w:trPr>
        <w:tc>
          <w:tcPr>
            <w:tcW w:w="587" w:type="dxa"/>
            <w:vMerge w:val="restart"/>
            <w:tcBorders>
              <w:top w:val="single" w:color="auto" w:sz="12" w:space="0"/>
            </w:tcBorders>
            <w:vAlign w:val="center"/>
          </w:tcPr>
          <w:p w14:paraId="38CC6ABC">
            <w:pPr>
              <w:autoSpaceDE w:val="0"/>
              <w:autoSpaceDN w:val="0"/>
              <w:jc w:val="center"/>
              <w:rPr>
                <w:rFonts w:hint="eastAsia" w:ascii="宋体" w:hAnsi="宋体" w:cs="宋体"/>
                <w:sz w:val="18"/>
                <w:szCs w:val="18"/>
              </w:rPr>
            </w:pPr>
            <w:r>
              <w:rPr>
                <w:rFonts w:hint="eastAsia" w:ascii="宋体" w:hAnsi="宋体" w:cs="宋体"/>
                <w:sz w:val="18"/>
                <w:szCs w:val="18"/>
              </w:rPr>
              <w:t>环境表现</w:t>
            </w:r>
          </w:p>
        </w:tc>
        <w:tc>
          <w:tcPr>
            <w:tcW w:w="816" w:type="dxa"/>
            <w:vMerge w:val="restart"/>
            <w:tcBorders>
              <w:top w:val="single" w:color="auto" w:sz="12" w:space="0"/>
            </w:tcBorders>
            <w:vAlign w:val="center"/>
          </w:tcPr>
          <w:p w14:paraId="15276F1D">
            <w:pPr>
              <w:autoSpaceDE w:val="0"/>
              <w:autoSpaceDN w:val="0"/>
              <w:jc w:val="center"/>
              <w:rPr>
                <w:rFonts w:hint="eastAsia" w:ascii="宋体" w:hAnsi="宋体" w:cs="宋体"/>
                <w:sz w:val="18"/>
                <w:szCs w:val="18"/>
              </w:rPr>
            </w:pPr>
            <w:r>
              <w:rPr>
                <w:rFonts w:hint="eastAsia" w:ascii="宋体" w:hAnsi="宋体" w:cs="宋体"/>
                <w:sz w:val="18"/>
                <w:szCs w:val="18"/>
              </w:rPr>
              <w:t>工艺设备材料</w:t>
            </w:r>
          </w:p>
        </w:tc>
        <w:tc>
          <w:tcPr>
            <w:tcW w:w="2663" w:type="dxa"/>
            <w:tcBorders>
              <w:top w:val="single" w:color="auto" w:sz="12" w:space="0"/>
              <w:bottom w:val="single" w:color="auto" w:sz="4" w:space="0"/>
            </w:tcBorders>
            <w:vAlign w:val="center"/>
          </w:tcPr>
          <w:p w14:paraId="24DE6395">
            <w:pPr>
              <w:autoSpaceDE w:val="0"/>
              <w:autoSpaceDN w:val="0"/>
              <w:jc w:val="left"/>
              <w:rPr>
                <w:rFonts w:hint="eastAsia" w:ascii="宋体" w:hAnsi="宋体" w:cs="宋体"/>
                <w:sz w:val="18"/>
                <w:szCs w:val="18"/>
              </w:rPr>
            </w:pPr>
            <w:r>
              <w:rPr>
                <w:rFonts w:hint="eastAsia" w:ascii="宋体" w:hAnsi="宋体" w:cs="宋体"/>
                <w:sz w:val="18"/>
                <w:szCs w:val="18"/>
              </w:rPr>
              <w:t>企事业单位自身生产运营过程选用列入国家节能、环保相关设备推荐工艺技术的情况</w:t>
            </w:r>
          </w:p>
        </w:tc>
        <w:tc>
          <w:tcPr>
            <w:tcW w:w="3770" w:type="dxa"/>
            <w:tcBorders>
              <w:top w:val="single" w:color="auto" w:sz="12" w:space="0"/>
              <w:bottom w:val="single" w:color="auto" w:sz="4" w:space="0"/>
            </w:tcBorders>
            <w:vAlign w:val="center"/>
          </w:tcPr>
          <w:p w14:paraId="615AD390">
            <w:pPr>
              <w:pStyle w:val="25"/>
              <w:ind w:firstLine="0" w:firstLineChars="0"/>
              <w:jc w:val="left"/>
              <w:rPr>
                <w:rFonts w:hAnsi="宋体" w:cs="宋体"/>
                <w:sz w:val="18"/>
                <w:szCs w:val="18"/>
              </w:rPr>
            </w:pPr>
            <w:r>
              <w:rPr>
                <w:rFonts w:hint="eastAsia" w:hAnsi="宋体" w:cs="宋体"/>
                <w:sz w:val="18"/>
                <w:szCs w:val="18"/>
              </w:rPr>
              <w:t>a.全部选用推荐工艺。（</w:t>
            </w:r>
            <w:r>
              <w:rPr>
                <w:rFonts w:hAnsi="宋体" w:cs="宋体"/>
                <w:sz w:val="18"/>
                <w:szCs w:val="18"/>
              </w:rPr>
              <w:t>2</w:t>
            </w:r>
            <w:r>
              <w:rPr>
                <w:rFonts w:hint="eastAsia" w:hAnsi="宋体" w:cs="宋体"/>
                <w:sz w:val="18"/>
                <w:szCs w:val="18"/>
              </w:rPr>
              <w:t>分）</w:t>
            </w:r>
          </w:p>
          <w:p w14:paraId="74732436">
            <w:pPr>
              <w:pStyle w:val="25"/>
              <w:ind w:firstLine="0" w:firstLineChars="0"/>
              <w:jc w:val="left"/>
              <w:rPr>
                <w:rFonts w:hAnsi="宋体" w:cs="宋体"/>
                <w:sz w:val="18"/>
                <w:szCs w:val="18"/>
              </w:rPr>
            </w:pPr>
            <w:r>
              <w:rPr>
                <w:rFonts w:hint="eastAsia" w:hAnsi="宋体" w:cs="宋体"/>
                <w:sz w:val="18"/>
                <w:szCs w:val="18"/>
              </w:rPr>
              <w:t>b.部分选用推荐工艺。（</w:t>
            </w:r>
            <w:r>
              <w:rPr>
                <w:rFonts w:hAnsi="宋体" w:cs="宋体"/>
                <w:sz w:val="18"/>
                <w:szCs w:val="18"/>
              </w:rPr>
              <w:t>1</w:t>
            </w:r>
            <w:r>
              <w:rPr>
                <w:rFonts w:hint="eastAsia" w:hAnsi="宋体" w:cs="宋体"/>
                <w:sz w:val="18"/>
                <w:szCs w:val="18"/>
              </w:rPr>
              <w:t>分）</w:t>
            </w:r>
          </w:p>
          <w:p w14:paraId="029F1FE0">
            <w:pPr>
              <w:pStyle w:val="60"/>
              <w:numPr>
                <w:ilvl w:val="255"/>
                <w:numId w:val="0"/>
              </w:numPr>
              <w:tabs>
                <w:tab w:val="center" w:pos="4201"/>
                <w:tab w:val="right" w:leader="dot" w:pos="9298"/>
              </w:tabs>
              <w:jc w:val="left"/>
              <w:rPr>
                <w:rFonts w:hint="eastAsia" w:hAnsi="宋体" w:cs="宋体"/>
              </w:rPr>
            </w:pPr>
            <w:r>
              <w:rPr>
                <w:rFonts w:hint="eastAsia" w:hAnsi="宋体" w:cs="宋体"/>
              </w:rPr>
              <w:t>c.未全部选用推荐工艺。（0分）</w:t>
            </w:r>
          </w:p>
        </w:tc>
        <w:tc>
          <w:tcPr>
            <w:tcW w:w="1058" w:type="dxa"/>
            <w:tcBorders>
              <w:top w:val="single" w:color="auto" w:sz="12" w:space="0"/>
              <w:bottom w:val="single" w:color="auto" w:sz="4" w:space="0"/>
            </w:tcBorders>
            <w:vAlign w:val="center"/>
          </w:tcPr>
          <w:p w14:paraId="2D969890">
            <w:pPr>
              <w:autoSpaceDE w:val="0"/>
              <w:autoSpaceDN w:val="0"/>
              <w:jc w:val="center"/>
              <w:rPr>
                <w:rFonts w:ascii="宋体"/>
                <w:sz w:val="18"/>
                <w:szCs w:val="18"/>
              </w:rPr>
            </w:pPr>
            <w:r>
              <w:rPr>
                <w:rFonts w:hint="eastAsia" w:ascii="宋体"/>
                <w:sz w:val="18"/>
                <w:szCs w:val="18"/>
              </w:rPr>
              <w:t>2</w:t>
            </w:r>
          </w:p>
        </w:tc>
        <w:tc>
          <w:tcPr>
            <w:tcW w:w="676" w:type="dxa"/>
            <w:tcBorders>
              <w:top w:val="single" w:color="auto" w:sz="12" w:space="0"/>
              <w:bottom w:val="single" w:color="auto" w:sz="4" w:space="0"/>
            </w:tcBorders>
            <w:vAlign w:val="center"/>
          </w:tcPr>
          <w:p w14:paraId="05678B09">
            <w:pPr>
              <w:autoSpaceDE w:val="0"/>
              <w:autoSpaceDN w:val="0"/>
              <w:jc w:val="center"/>
              <w:rPr>
                <w:rFonts w:ascii="宋体"/>
                <w:b/>
                <w:sz w:val="18"/>
                <w:szCs w:val="18"/>
              </w:rPr>
            </w:pPr>
          </w:p>
        </w:tc>
      </w:tr>
      <w:tr w14:paraId="0993A9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Merge w:val="continue"/>
            <w:vAlign w:val="center"/>
          </w:tcPr>
          <w:p w14:paraId="4FB377E1">
            <w:pPr>
              <w:autoSpaceDE w:val="0"/>
              <w:autoSpaceDN w:val="0"/>
              <w:jc w:val="center"/>
              <w:rPr>
                <w:rFonts w:hint="eastAsia" w:ascii="宋体" w:hAnsi="宋体" w:cs="宋体"/>
                <w:sz w:val="18"/>
                <w:szCs w:val="18"/>
              </w:rPr>
            </w:pPr>
          </w:p>
        </w:tc>
        <w:tc>
          <w:tcPr>
            <w:tcW w:w="816" w:type="dxa"/>
            <w:vMerge w:val="continue"/>
            <w:vAlign w:val="center"/>
          </w:tcPr>
          <w:p w14:paraId="330ADFC3">
            <w:pPr>
              <w:autoSpaceDE w:val="0"/>
              <w:autoSpaceDN w:val="0"/>
              <w:jc w:val="center"/>
              <w:rPr>
                <w:rFonts w:hint="eastAsia" w:ascii="宋体" w:hAnsi="宋体" w:cs="宋体"/>
                <w:sz w:val="18"/>
                <w:szCs w:val="18"/>
              </w:rPr>
            </w:pPr>
          </w:p>
        </w:tc>
        <w:tc>
          <w:tcPr>
            <w:tcW w:w="2663" w:type="dxa"/>
            <w:tcBorders>
              <w:top w:val="single" w:color="auto" w:sz="4" w:space="0"/>
              <w:bottom w:val="single" w:color="auto" w:sz="4" w:space="0"/>
            </w:tcBorders>
            <w:vAlign w:val="center"/>
          </w:tcPr>
          <w:p w14:paraId="433705CB">
            <w:pPr>
              <w:autoSpaceDE w:val="0"/>
              <w:autoSpaceDN w:val="0"/>
              <w:jc w:val="left"/>
              <w:rPr>
                <w:rFonts w:hint="eastAsia" w:ascii="宋体" w:hAnsi="宋体" w:cs="宋体"/>
                <w:sz w:val="18"/>
                <w:szCs w:val="18"/>
              </w:rPr>
            </w:pPr>
            <w:r>
              <w:rPr>
                <w:rFonts w:hint="eastAsia" w:ascii="宋体" w:hAnsi="宋体" w:cs="宋体"/>
                <w:sz w:val="18"/>
                <w:szCs w:val="18"/>
              </w:rPr>
              <w:t>企事业单位自身生产运营过程选用列入国家节能、环保相关设备推荐目录装备设备的情况</w:t>
            </w:r>
          </w:p>
        </w:tc>
        <w:tc>
          <w:tcPr>
            <w:tcW w:w="3770" w:type="dxa"/>
            <w:tcBorders>
              <w:top w:val="single" w:color="auto" w:sz="4" w:space="0"/>
              <w:bottom w:val="single" w:color="auto" w:sz="4" w:space="0"/>
            </w:tcBorders>
            <w:vAlign w:val="center"/>
          </w:tcPr>
          <w:p w14:paraId="02BAD5FD">
            <w:pPr>
              <w:pStyle w:val="25"/>
              <w:ind w:firstLine="0" w:firstLineChars="0"/>
              <w:jc w:val="left"/>
              <w:rPr>
                <w:rFonts w:hAnsi="宋体" w:cs="宋体"/>
                <w:sz w:val="18"/>
                <w:szCs w:val="18"/>
              </w:rPr>
            </w:pPr>
            <w:r>
              <w:rPr>
                <w:rFonts w:hint="eastAsia" w:hAnsi="宋体" w:cs="宋体"/>
                <w:sz w:val="18"/>
                <w:szCs w:val="18"/>
              </w:rPr>
              <w:t>a.推荐目录采购比例超过50%。（</w:t>
            </w:r>
            <w:r>
              <w:rPr>
                <w:rFonts w:hAnsi="宋体" w:cs="宋体"/>
                <w:sz w:val="18"/>
                <w:szCs w:val="18"/>
              </w:rPr>
              <w:t>1</w:t>
            </w:r>
            <w:r>
              <w:rPr>
                <w:rFonts w:hint="eastAsia" w:hAnsi="宋体" w:cs="宋体"/>
                <w:sz w:val="18"/>
                <w:szCs w:val="18"/>
              </w:rPr>
              <w:t>分）</w:t>
            </w:r>
          </w:p>
          <w:p w14:paraId="54AFEDAD">
            <w:pPr>
              <w:pStyle w:val="25"/>
              <w:ind w:firstLine="0" w:firstLineChars="0"/>
              <w:jc w:val="left"/>
              <w:rPr>
                <w:rFonts w:hAnsi="宋体" w:cs="宋体"/>
                <w:sz w:val="18"/>
                <w:szCs w:val="18"/>
              </w:rPr>
            </w:pPr>
            <w:r>
              <w:rPr>
                <w:rFonts w:hint="eastAsia" w:hAnsi="宋体" w:cs="宋体"/>
                <w:sz w:val="18"/>
                <w:szCs w:val="18"/>
              </w:rPr>
              <w:t>b.推荐目录采购比例超过30%。（</w:t>
            </w:r>
            <w:r>
              <w:rPr>
                <w:rFonts w:hAnsi="宋体" w:cs="宋体"/>
                <w:sz w:val="18"/>
                <w:szCs w:val="18"/>
              </w:rPr>
              <w:t>0.5</w:t>
            </w:r>
            <w:r>
              <w:rPr>
                <w:rFonts w:hint="eastAsia" w:hAnsi="宋体" w:cs="宋体"/>
                <w:sz w:val="18"/>
                <w:szCs w:val="18"/>
              </w:rPr>
              <w:t>分）</w:t>
            </w:r>
          </w:p>
          <w:p w14:paraId="30E6214D">
            <w:pPr>
              <w:pStyle w:val="60"/>
              <w:numPr>
                <w:ilvl w:val="255"/>
                <w:numId w:val="0"/>
              </w:numPr>
              <w:tabs>
                <w:tab w:val="center" w:pos="4201"/>
                <w:tab w:val="right" w:leader="dot" w:pos="9298"/>
              </w:tabs>
              <w:jc w:val="left"/>
              <w:rPr>
                <w:rFonts w:hint="eastAsia" w:hAnsi="宋体" w:cs="宋体"/>
              </w:rPr>
            </w:pPr>
            <w:r>
              <w:rPr>
                <w:rFonts w:hint="eastAsia" w:hAnsi="宋体" w:cs="宋体"/>
              </w:rPr>
              <w:t>c.推荐目录采购比例未超过30%。（0分）</w:t>
            </w:r>
          </w:p>
        </w:tc>
        <w:tc>
          <w:tcPr>
            <w:tcW w:w="1058" w:type="dxa"/>
            <w:tcBorders>
              <w:top w:val="single" w:color="auto" w:sz="4" w:space="0"/>
              <w:bottom w:val="single" w:color="auto" w:sz="4" w:space="0"/>
            </w:tcBorders>
            <w:vAlign w:val="center"/>
          </w:tcPr>
          <w:p w14:paraId="079857AD">
            <w:pPr>
              <w:autoSpaceDE w:val="0"/>
              <w:autoSpaceDN w:val="0"/>
              <w:jc w:val="center"/>
              <w:rPr>
                <w:rFonts w:ascii="宋体"/>
                <w:sz w:val="18"/>
                <w:szCs w:val="18"/>
              </w:rPr>
            </w:pPr>
            <w:r>
              <w:rPr>
                <w:rFonts w:ascii="宋体"/>
                <w:sz w:val="18"/>
                <w:szCs w:val="18"/>
              </w:rPr>
              <w:t>1</w:t>
            </w:r>
          </w:p>
        </w:tc>
        <w:tc>
          <w:tcPr>
            <w:tcW w:w="676" w:type="dxa"/>
            <w:tcBorders>
              <w:top w:val="single" w:color="auto" w:sz="4" w:space="0"/>
              <w:bottom w:val="single" w:color="auto" w:sz="4" w:space="0"/>
            </w:tcBorders>
            <w:vAlign w:val="center"/>
          </w:tcPr>
          <w:p w14:paraId="7A682D02">
            <w:pPr>
              <w:autoSpaceDE w:val="0"/>
              <w:autoSpaceDN w:val="0"/>
              <w:jc w:val="center"/>
              <w:rPr>
                <w:rFonts w:ascii="宋体"/>
                <w:b/>
                <w:sz w:val="18"/>
                <w:szCs w:val="18"/>
              </w:rPr>
            </w:pPr>
          </w:p>
        </w:tc>
      </w:tr>
      <w:tr w14:paraId="4DC702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87" w:type="dxa"/>
            <w:vMerge w:val="continue"/>
            <w:vAlign w:val="center"/>
          </w:tcPr>
          <w:p w14:paraId="70264ADD">
            <w:pPr>
              <w:autoSpaceDE w:val="0"/>
              <w:autoSpaceDN w:val="0"/>
              <w:jc w:val="center"/>
              <w:rPr>
                <w:rFonts w:ascii="宋体"/>
                <w:b/>
                <w:sz w:val="18"/>
                <w:szCs w:val="18"/>
              </w:rPr>
            </w:pPr>
          </w:p>
        </w:tc>
        <w:tc>
          <w:tcPr>
            <w:tcW w:w="816" w:type="dxa"/>
            <w:vMerge w:val="continue"/>
            <w:tcBorders>
              <w:bottom w:val="single" w:color="auto" w:sz="4" w:space="0"/>
            </w:tcBorders>
            <w:vAlign w:val="center"/>
          </w:tcPr>
          <w:p w14:paraId="0812EFEF">
            <w:pPr>
              <w:autoSpaceDE w:val="0"/>
              <w:autoSpaceDN w:val="0"/>
              <w:jc w:val="center"/>
              <w:rPr>
                <w:rFonts w:ascii="宋体"/>
                <w:b/>
                <w:sz w:val="18"/>
                <w:szCs w:val="18"/>
              </w:rPr>
            </w:pPr>
          </w:p>
        </w:tc>
        <w:tc>
          <w:tcPr>
            <w:tcW w:w="2663" w:type="dxa"/>
            <w:tcBorders>
              <w:top w:val="single" w:color="auto" w:sz="4" w:space="0"/>
              <w:bottom w:val="single" w:color="auto" w:sz="4" w:space="0"/>
            </w:tcBorders>
            <w:vAlign w:val="center"/>
          </w:tcPr>
          <w:p w14:paraId="598B49D0">
            <w:pPr>
              <w:autoSpaceDE w:val="0"/>
              <w:autoSpaceDN w:val="0"/>
              <w:jc w:val="left"/>
              <w:rPr>
                <w:rFonts w:ascii="宋体" w:hAnsi="宋体" w:cs="宋体"/>
                <w:sz w:val="18"/>
                <w:szCs w:val="18"/>
              </w:rPr>
            </w:pPr>
            <w:r>
              <w:rPr>
                <w:rFonts w:hint="eastAsia" w:ascii="宋体" w:hAnsi="宋体" w:cs="宋体"/>
                <w:sz w:val="18"/>
                <w:szCs w:val="18"/>
              </w:rPr>
              <w:t>企事业单位自身生产运营过程参照《国家鼓励的有毒有害原料（产品）替代品目录》等目录实现有毒有害原材料替代的情况</w:t>
            </w:r>
          </w:p>
        </w:tc>
        <w:tc>
          <w:tcPr>
            <w:tcW w:w="3770" w:type="dxa"/>
            <w:tcBorders>
              <w:top w:val="single" w:color="auto" w:sz="4" w:space="0"/>
              <w:bottom w:val="single" w:color="auto" w:sz="4" w:space="0"/>
            </w:tcBorders>
            <w:vAlign w:val="center"/>
          </w:tcPr>
          <w:p w14:paraId="4F9B8DEC">
            <w:pPr>
              <w:pStyle w:val="60"/>
              <w:numPr>
                <w:ilvl w:val="255"/>
                <w:numId w:val="0"/>
              </w:numPr>
              <w:tabs>
                <w:tab w:val="center" w:pos="4201"/>
                <w:tab w:val="right" w:leader="dot" w:pos="9298"/>
              </w:tabs>
              <w:jc w:val="left"/>
              <w:rPr>
                <w:rFonts w:hAnsi="宋体" w:cs="宋体"/>
              </w:rPr>
            </w:pPr>
            <w:r>
              <w:rPr>
                <w:rFonts w:hint="eastAsia" w:hAnsi="宋体" w:cs="宋体"/>
              </w:rPr>
              <w:t>a.全面实施无毒无害原材料替代。（</w:t>
            </w:r>
            <w:r>
              <w:rPr>
                <w:rFonts w:hAnsi="宋体" w:cs="宋体"/>
              </w:rPr>
              <w:t>1</w:t>
            </w:r>
            <w:r>
              <w:rPr>
                <w:rFonts w:hint="eastAsia" w:hAnsi="宋体" w:cs="宋体"/>
              </w:rPr>
              <w:t>分）</w:t>
            </w:r>
          </w:p>
          <w:p w14:paraId="1DA07D04">
            <w:pPr>
              <w:pStyle w:val="60"/>
              <w:numPr>
                <w:ilvl w:val="255"/>
                <w:numId w:val="0"/>
              </w:numPr>
              <w:tabs>
                <w:tab w:val="center" w:pos="4201"/>
                <w:tab w:val="right" w:leader="dot" w:pos="9298"/>
              </w:tabs>
              <w:jc w:val="left"/>
              <w:rPr>
                <w:rFonts w:hAnsi="宋体" w:cs="宋体"/>
              </w:rPr>
            </w:pPr>
            <w:r>
              <w:rPr>
                <w:rFonts w:hint="eastAsia" w:hAnsi="宋体" w:cs="宋体"/>
              </w:rPr>
              <w:t>b.部分实施无毒无害原材料替代。（</w:t>
            </w:r>
            <w:r>
              <w:rPr>
                <w:rFonts w:hAnsi="宋体" w:cs="宋体"/>
              </w:rPr>
              <w:t>0.5</w:t>
            </w:r>
            <w:r>
              <w:rPr>
                <w:rFonts w:hint="eastAsia" w:hAnsi="宋体" w:cs="宋体"/>
              </w:rPr>
              <w:t>分）</w:t>
            </w:r>
          </w:p>
          <w:p w14:paraId="30E8B39B">
            <w:pPr>
              <w:pStyle w:val="60"/>
              <w:numPr>
                <w:ilvl w:val="255"/>
                <w:numId w:val="0"/>
              </w:numPr>
              <w:tabs>
                <w:tab w:val="center" w:pos="4201"/>
                <w:tab w:val="right" w:leader="dot" w:pos="9298"/>
              </w:tabs>
              <w:jc w:val="left"/>
              <w:rPr>
                <w:rFonts w:hAnsi="宋体" w:cs="宋体"/>
              </w:rPr>
            </w:pPr>
            <w:r>
              <w:rPr>
                <w:rFonts w:hint="eastAsia" w:hAnsi="宋体" w:cs="宋体"/>
              </w:rPr>
              <w:t>c.未实施无毒无害原材料替代。（0分）</w:t>
            </w:r>
          </w:p>
        </w:tc>
        <w:tc>
          <w:tcPr>
            <w:tcW w:w="1058" w:type="dxa"/>
            <w:tcBorders>
              <w:top w:val="single" w:color="auto" w:sz="4" w:space="0"/>
              <w:bottom w:val="single" w:color="auto" w:sz="4" w:space="0"/>
            </w:tcBorders>
            <w:vAlign w:val="center"/>
          </w:tcPr>
          <w:p w14:paraId="6A3F2124">
            <w:pPr>
              <w:autoSpaceDE w:val="0"/>
              <w:autoSpaceDN w:val="0"/>
              <w:jc w:val="center"/>
              <w:rPr>
                <w:rFonts w:ascii="宋体"/>
                <w:sz w:val="18"/>
                <w:szCs w:val="18"/>
              </w:rPr>
            </w:pPr>
            <w:r>
              <w:rPr>
                <w:rFonts w:ascii="宋体"/>
                <w:sz w:val="18"/>
                <w:szCs w:val="18"/>
              </w:rPr>
              <w:t>1</w:t>
            </w:r>
          </w:p>
        </w:tc>
        <w:tc>
          <w:tcPr>
            <w:tcW w:w="676" w:type="dxa"/>
            <w:tcBorders>
              <w:top w:val="single" w:color="auto" w:sz="4" w:space="0"/>
              <w:bottom w:val="single" w:color="auto" w:sz="4" w:space="0"/>
            </w:tcBorders>
            <w:vAlign w:val="center"/>
          </w:tcPr>
          <w:p w14:paraId="12E74822">
            <w:pPr>
              <w:autoSpaceDE w:val="0"/>
              <w:autoSpaceDN w:val="0"/>
              <w:jc w:val="center"/>
              <w:rPr>
                <w:rFonts w:ascii="宋体"/>
                <w:b/>
                <w:sz w:val="18"/>
                <w:szCs w:val="18"/>
              </w:rPr>
            </w:pPr>
          </w:p>
        </w:tc>
      </w:tr>
      <w:tr w14:paraId="21949B3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06" w:hRule="atLeast"/>
          <w:jc w:val="center"/>
        </w:trPr>
        <w:tc>
          <w:tcPr>
            <w:tcW w:w="587" w:type="dxa"/>
            <w:vMerge w:val="continue"/>
            <w:vAlign w:val="center"/>
          </w:tcPr>
          <w:p w14:paraId="66C98390">
            <w:pPr>
              <w:autoSpaceDE w:val="0"/>
              <w:autoSpaceDN w:val="0"/>
              <w:jc w:val="center"/>
              <w:rPr>
                <w:rFonts w:ascii="宋体"/>
                <w:b/>
                <w:sz w:val="18"/>
                <w:szCs w:val="18"/>
              </w:rPr>
            </w:pPr>
          </w:p>
        </w:tc>
        <w:tc>
          <w:tcPr>
            <w:tcW w:w="816" w:type="dxa"/>
            <w:tcBorders>
              <w:top w:val="single" w:color="auto" w:sz="4" w:space="0"/>
              <w:bottom w:val="single" w:color="auto" w:sz="4" w:space="0"/>
              <w:right w:val="single" w:color="auto" w:sz="4" w:space="0"/>
            </w:tcBorders>
            <w:vAlign w:val="center"/>
          </w:tcPr>
          <w:p w14:paraId="5BC9103D">
            <w:pPr>
              <w:autoSpaceDE w:val="0"/>
              <w:autoSpaceDN w:val="0"/>
              <w:jc w:val="center"/>
              <w:rPr>
                <w:rFonts w:ascii="宋体"/>
                <w:sz w:val="18"/>
                <w:szCs w:val="18"/>
              </w:rPr>
            </w:pPr>
            <w:r>
              <w:rPr>
                <w:rFonts w:hint="eastAsia" w:ascii="宋体"/>
                <w:sz w:val="18"/>
                <w:szCs w:val="18"/>
              </w:rPr>
              <w:t>能源资源利用</w:t>
            </w:r>
          </w:p>
        </w:tc>
        <w:tc>
          <w:tcPr>
            <w:tcW w:w="2663" w:type="dxa"/>
            <w:tcBorders>
              <w:top w:val="single" w:color="auto" w:sz="4" w:space="0"/>
              <w:left w:val="single" w:color="auto" w:sz="4" w:space="0"/>
              <w:bottom w:val="single" w:color="auto" w:sz="4" w:space="0"/>
              <w:right w:val="single" w:color="auto" w:sz="4" w:space="0"/>
            </w:tcBorders>
            <w:vAlign w:val="center"/>
          </w:tcPr>
          <w:p w14:paraId="4B80E7B3">
            <w:pPr>
              <w:autoSpaceDE w:val="0"/>
              <w:autoSpaceDN w:val="0"/>
              <w:jc w:val="left"/>
              <w:rPr>
                <w:rFonts w:ascii="宋体" w:hAnsi="宋体" w:cs="宋体"/>
                <w:sz w:val="18"/>
                <w:szCs w:val="18"/>
              </w:rPr>
            </w:pPr>
            <w:r>
              <w:rPr>
                <w:rFonts w:hint="eastAsia" w:ascii="宋体" w:hAnsi="宋体" w:cs="宋体"/>
                <w:sz w:val="18"/>
                <w:szCs w:val="18"/>
              </w:rPr>
              <w:t>可再生能源占比是可再生能源消费量与终端能源消费总量的比值</w:t>
            </w:r>
          </w:p>
        </w:tc>
        <w:tc>
          <w:tcPr>
            <w:tcW w:w="3770" w:type="dxa"/>
            <w:tcBorders>
              <w:top w:val="single" w:color="auto" w:sz="4" w:space="0"/>
              <w:left w:val="single" w:color="auto" w:sz="4" w:space="0"/>
              <w:bottom w:val="single" w:color="auto" w:sz="4" w:space="0"/>
              <w:right w:val="single" w:color="auto" w:sz="4" w:space="0"/>
            </w:tcBorders>
            <w:vAlign w:val="center"/>
          </w:tcPr>
          <w:p w14:paraId="2B459B51">
            <w:pPr>
              <w:pStyle w:val="60"/>
              <w:numPr>
                <w:ilvl w:val="255"/>
                <w:numId w:val="0"/>
              </w:numPr>
              <w:tabs>
                <w:tab w:val="center" w:pos="4201"/>
                <w:tab w:val="right" w:leader="dot" w:pos="9298"/>
              </w:tabs>
              <w:jc w:val="left"/>
              <w:rPr>
                <w:rFonts w:hAnsi="宋体" w:cs="宋体"/>
              </w:rPr>
            </w:pPr>
            <w:r>
              <w:rPr>
                <w:rFonts w:hint="eastAsia" w:hAnsi="宋体" w:cs="宋体"/>
              </w:rPr>
              <w:t>a.</w:t>
            </w:r>
            <w:r>
              <w:rPr>
                <w:rFonts w:hint="eastAsia"/>
              </w:rPr>
              <w:t>≥10</w:t>
            </w:r>
            <w:r>
              <w:t>%</w:t>
            </w:r>
            <w:r>
              <w:rPr>
                <w:rFonts w:hint="eastAsia" w:hAnsi="宋体" w:cs="宋体"/>
              </w:rPr>
              <w:t>（</w:t>
            </w:r>
            <w:r>
              <w:rPr>
                <w:rFonts w:hAnsi="宋体" w:cs="宋体"/>
              </w:rPr>
              <w:t>4</w:t>
            </w:r>
            <w:r>
              <w:rPr>
                <w:rFonts w:hint="eastAsia" w:hAnsi="宋体" w:cs="宋体"/>
              </w:rPr>
              <w:t>分）</w:t>
            </w:r>
          </w:p>
          <w:p w14:paraId="28642B60">
            <w:pPr>
              <w:pStyle w:val="60"/>
              <w:numPr>
                <w:ilvl w:val="255"/>
                <w:numId w:val="0"/>
              </w:numPr>
              <w:tabs>
                <w:tab w:val="center" w:pos="4201"/>
                <w:tab w:val="right" w:leader="dot" w:pos="9298"/>
              </w:tabs>
              <w:jc w:val="left"/>
              <w:rPr>
                <w:rFonts w:hAnsi="宋体" w:cs="宋体"/>
              </w:rPr>
            </w:pPr>
            <w:r>
              <w:rPr>
                <w:rFonts w:hint="eastAsia" w:hAnsi="宋体" w:cs="宋体"/>
              </w:rPr>
              <w:t>b.（0%，10%）（</w:t>
            </w:r>
            <w:r>
              <w:rPr>
                <w:rFonts w:hAnsi="宋体" w:cs="宋体"/>
              </w:rPr>
              <w:t>2</w:t>
            </w:r>
            <w:r>
              <w:rPr>
                <w:rFonts w:hint="eastAsia" w:hAnsi="宋体" w:cs="宋体"/>
              </w:rPr>
              <w:t>分）</w:t>
            </w:r>
          </w:p>
          <w:p w14:paraId="25E0B727">
            <w:pPr>
              <w:pStyle w:val="11"/>
              <w:rPr>
                <w:sz w:val="18"/>
                <w:szCs w:val="18"/>
                <w:highlight w:val="yellow"/>
                <w:lang w:val="en-US" w:bidi="ar-SA"/>
              </w:rPr>
            </w:pPr>
            <w:r>
              <w:rPr>
                <w:rFonts w:hint="eastAsia"/>
                <w:sz w:val="18"/>
                <w:szCs w:val="18"/>
                <w:lang w:val="en-US" w:bidi="ar-SA"/>
              </w:rPr>
              <w:t>c.</w:t>
            </w:r>
            <w:r>
              <w:rPr>
                <w:rFonts w:hint="eastAsia"/>
                <w:sz w:val="18"/>
              </w:rPr>
              <w:t>[0</w:t>
            </w:r>
            <w:r>
              <w:rPr>
                <w:sz w:val="18"/>
              </w:rPr>
              <w:t>%</w:t>
            </w:r>
            <w:r>
              <w:rPr>
                <w:rFonts w:hint="eastAsia"/>
                <w:sz w:val="18"/>
              </w:rPr>
              <w:t>]</w:t>
            </w:r>
            <w:r>
              <w:rPr>
                <w:rFonts w:hint="eastAsia"/>
                <w:sz w:val="18"/>
                <w:szCs w:val="18"/>
                <w:lang w:val="en-US" w:bidi="ar-SA"/>
              </w:rPr>
              <w:t>（0分）</w:t>
            </w:r>
          </w:p>
        </w:tc>
        <w:tc>
          <w:tcPr>
            <w:tcW w:w="1058" w:type="dxa"/>
            <w:tcBorders>
              <w:top w:val="single" w:color="auto" w:sz="4" w:space="0"/>
              <w:left w:val="single" w:color="auto" w:sz="4" w:space="0"/>
              <w:bottom w:val="single" w:color="auto" w:sz="4" w:space="0"/>
              <w:right w:val="single" w:color="auto" w:sz="4" w:space="0"/>
            </w:tcBorders>
            <w:vAlign w:val="center"/>
          </w:tcPr>
          <w:p w14:paraId="38DF0C44">
            <w:pPr>
              <w:autoSpaceDE w:val="0"/>
              <w:autoSpaceDN w:val="0"/>
              <w:jc w:val="center"/>
              <w:rPr>
                <w:rFonts w:ascii="宋体"/>
                <w:sz w:val="18"/>
                <w:szCs w:val="18"/>
              </w:rPr>
            </w:pPr>
            <w:r>
              <w:rPr>
                <w:rFonts w:ascii="宋体"/>
                <w:sz w:val="18"/>
                <w:szCs w:val="18"/>
              </w:rPr>
              <w:t>4</w:t>
            </w:r>
          </w:p>
        </w:tc>
        <w:tc>
          <w:tcPr>
            <w:tcW w:w="676" w:type="dxa"/>
            <w:tcBorders>
              <w:top w:val="single" w:color="auto" w:sz="4" w:space="0"/>
              <w:left w:val="single" w:color="auto" w:sz="4" w:space="0"/>
              <w:bottom w:val="single" w:color="auto" w:sz="4" w:space="0"/>
              <w:right w:val="single" w:color="auto" w:sz="12" w:space="0"/>
            </w:tcBorders>
            <w:vAlign w:val="center"/>
          </w:tcPr>
          <w:p w14:paraId="5FE64FEA">
            <w:pPr>
              <w:autoSpaceDE w:val="0"/>
              <w:autoSpaceDN w:val="0"/>
              <w:jc w:val="center"/>
              <w:rPr>
                <w:rFonts w:ascii="宋体"/>
                <w:b/>
                <w:sz w:val="18"/>
                <w:szCs w:val="18"/>
              </w:rPr>
            </w:pPr>
          </w:p>
        </w:tc>
      </w:tr>
      <w:tr w14:paraId="36E0AFF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019" w:hRule="atLeast"/>
          <w:jc w:val="center"/>
        </w:trPr>
        <w:tc>
          <w:tcPr>
            <w:tcW w:w="587" w:type="dxa"/>
            <w:vMerge w:val="continue"/>
            <w:vAlign w:val="center"/>
          </w:tcPr>
          <w:p w14:paraId="5D13C407">
            <w:pPr>
              <w:autoSpaceDE w:val="0"/>
              <w:autoSpaceDN w:val="0"/>
              <w:jc w:val="center"/>
              <w:rPr>
                <w:rFonts w:ascii="宋体" w:hAnsi="宋体" w:cs="宋体"/>
                <w:sz w:val="18"/>
                <w:szCs w:val="18"/>
              </w:rPr>
            </w:pPr>
          </w:p>
        </w:tc>
        <w:tc>
          <w:tcPr>
            <w:tcW w:w="816" w:type="dxa"/>
            <w:tcBorders>
              <w:top w:val="single" w:color="auto" w:sz="4" w:space="0"/>
              <w:tl2br w:val="nil"/>
              <w:tr2bl w:val="nil"/>
            </w:tcBorders>
            <w:vAlign w:val="center"/>
          </w:tcPr>
          <w:p w14:paraId="5A543714">
            <w:pPr>
              <w:autoSpaceDE w:val="0"/>
              <w:autoSpaceDN w:val="0"/>
              <w:jc w:val="center"/>
              <w:rPr>
                <w:rFonts w:ascii="宋体" w:hAnsi="宋体" w:cs="宋体"/>
                <w:sz w:val="18"/>
                <w:szCs w:val="18"/>
              </w:rPr>
            </w:pPr>
            <w:r>
              <w:rPr>
                <w:rFonts w:hint="eastAsia" w:ascii="宋体" w:hAnsi="宋体" w:cs="宋体"/>
                <w:sz w:val="18"/>
                <w:szCs w:val="18"/>
              </w:rPr>
              <w:t>污染物排放</w:t>
            </w:r>
          </w:p>
          <w:p w14:paraId="6BD1E1BD">
            <w:pPr>
              <w:autoSpaceDE w:val="0"/>
              <w:autoSpaceDN w:val="0"/>
              <w:jc w:val="center"/>
              <w:rPr>
                <w:rFonts w:ascii="宋体" w:hAnsi="宋体" w:cs="宋体"/>
                <w:sz w:val="18"/>
                <w:szCs w:val="18"/>
              </w:rPr>
            </w:pPr>
            <w:r>
              <w:rPr>
                <w:rFonts w:hint="eastAsia" w:ascii="宋体" w:hAnsi="宋体" w:cs="宋体"/>
                <w:sz w:val="18"/>
                <w:szCs w:val="18"/>
              </w:rPr>
              <w:t>水平</w:t>
            </w:r>
          </w:p>
        </w:tc>
        <w:tc>
          <w:tcPr>
            <w:tcW w:w="2663" w:type="dxa"/>
            <w:tcBorders>
              <w:top w:val="single" w:color="auto" w:sz="4" w:space="0"/>
              <w:tl2br w:val="nil"/>
              <w:tr2bl w:val="nil"/>
            </w:tcBorders>
            <w:vAlign w:val="center"/>
          </w:tcPr>
          <w:p w14:paraId="6DCE09F1">
            <w:pPr>
              <w:autoSpaceDE w:val="0"/>
              <w:autoSpaceDN w:val="0"/>
              <w:jc w:val="left"/>
              <w:rPr>
                <w:rFonts w:ascii="宋体" w:hAnsi="宋体" w:cs="宋体"/>
                <w:sz w:val="18"/>
                <w:szCs w:val="18"/>
              </w:rPr>
            </w:pPr>
            <w:r>
              <w:rPr>
                <w:rFonts w:hint="eastAsia" w:ascii="宋体" w:hAnsi="宋体" w:cs="宋体"/>
                <w:sz w:val="18"/>
                <w:szCs w:val="18"/>
              </w:rPr>
              <w:t>企事业单位自身生产运营过程，向环境排放污染物的情况。污染物排放水平数据宜以申报前近一年全国污染源监测数据管理与共享系统平台的自行监测数据为准</w:t>
            </w:r>
          </w:p>
        </w:tc>
        <w:tc>
          <w:tcPr>
            <w:tcW w:w="3770" w:type="dxa"/>
            <w:tcBorders>
              <w:top w:val="single" w:color="auto" w:sz="4" w:space="0"/>
              <w:tl2br w:val="nil"/>
              <w:tr2bl w:val="nil"/>
            </w:tcBorders>
            <w:vAlign w:val="center"/>
          </w:tcPr>
          <w:p w14:paraId="14604D2D">
            <w:pPr>
              <w:pStyle w:val="25"/>
              <w:ind w:firstLine="0" w:firstLineChars="0"/>
              <w:jc w:val="left"/>
              <w:rPr>
                <w:rFonts w:hAnsi="宋体" w:cs="宋体"/>
                <w:sz w:val="18"/>
                <w:szCs w:val="18"/>
              </w:rPr>
            </w:pPr>
            <w:r>
              <w:rPr>
                <w:rFonts w:hint="eastAsia" w:hAnsi="宋体" w:cs="宋体"/>
                <w:sz w:val="18"/>
                <w:szCs w:val="18"/>
              </w:rPr>
              <w:t>a.不排放污染物，或根据排污许可相关管理条例实行排污登记管理，或需控制的污染物有80%的种类优于排污许可证限值20%，或优于排放源所在地同类行业污染物排放限值20%。（4分）</w:t>
            </w:r>
          </w:p>
          <w:p w14:paraId="4D7D7D1B">
            <w:pPr>
              <w:pStyle w:val="25"/>
              <w:ind w:firstLine="0" w:firstLineChars="0"/>
              <w:jc w:val="left"/>
              <w:rPr>
                <w:rFonts w:hAnsi="宋体" w:cs="宋体"/>
                <w:sz w:val="18"/>
                <w:szCs w:val="18"/>
              </w:rPr>
            </w:pPr>
            <w:r>
              <w:rPr>
                <w:rFonts w:hint="eastAsia" w:hAnsi="宋体" w:cs="宋体"/>
                <w:sz w:val="18"/>
                <w:szCs w:val="18"/>
              </w:rPr>
              <w:t>b.需控制的污染物有80%的种类优于排污许可证限值10%，或优于排放源所在地同类行业污染物排放限值10%。（2分）</w:t>
            </w:r>
          </w:p>
          <w:p w14:paraId="623552C4">
            <w:pPr>
              <w:autoSpaceDE w:val="0"/>
              <w:autoSpaceDN w:val="0"/>
              <w:jc w:val="left"/>
              <w:rPr>
                <w:rFonts w:ascii="宋体"/>
                <w:sz w:val="18"/>
                <w:szCs w:val="18"/>
              </w:rPr>
            </w:pPr>
            <w:r>
              <w:rPr>
                <w:rFonts w:hint="eastAsia" w:ascii="宋体" w:hAnsi="宋体" w:cs="宋体"/>
                <w:sz w:val="18"/>
                <w:szCs w:val="18"/>
              </w:rPr>
              <w:t>c.未满足上述任何一项。（0分）</w:t>
            </w:r>
          </w:p>
        </w:tc>
        <w:tc>
          <w:tcPr>
            <w:tcW w:w="1058" w:type="dxa"/>
            <w:tcBorders>
              <w:top w:val="single" w:color="auto" w:sz="4" w:space="0"/>
              <w:tl2br w:val="nil"/>
              <w:tr2bl w:val="nil"/>
            </w:tcBorders>
            <w:vAlign w:val="center"/>
          </w:tcPr>
          <w:p w14:paraId="32B520DD">
            <w:pPr>
              <w:autoSpaceDE w:val="0"/>
              <w:autoSpaceDN w:val="0"/>
              <w:jc w:val="center"/>
              <w:rPr>
                <w:rFonts w:ascii="宋体"/>
                <w:sz w:val="18"/>
                <w:szCs w:val="18"/>
              </w:rPr>
            </w:pPr>
            <w:r>
              <w:rPr>
                <w:rFonts w:hint="eastAsia" w:ascii="宋体"/>
                <w:sz w:val="18"/>
                <w:szCs w:val="18"/>
              </w:rPr>
              <w:t>4</w:t>
            </w:r>
          </w:p>
        </w:tc>
        <w:tc>
          <w:tcPr>
            <w:tcW w:w="676" w:type="dxa"/>
            <w:tcBorders>
              <w:top w:val="single" w:color="auto" w:sz="4" w:space="0"/>
              <w:tl2br w:val="nil"/>
              <w:tr2bl w:val="nil"/>
            </w:tcBorders>
            <w:vAlign w:val="center"/>
          </w:tcPr>
          <w:p w14:paraId="69BA9B32">
            <w:pPr>
              <w:autoSpaceDE w:val="0"/>
              <w:autoSpaceDN w:val="0"/>
              <w:jc w:val="center"/>
              <w:rPr>
                <w:rFonts w:ascii="宋体"/>
                <w:sz w:val="18"/>
                <w:szCs w:val="18"/>
              </w:rPr>
            </w:pPr>
          </w:p>
        </w:tc>
      </w:tr>
      <w:tr w14:paraId="06C03E4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476" w:hRule="atLeast"/>
          <w:jc w:val="center"/>
        </w:trPr>
        <w:tc>
          <w:tcPr>
            <w:tcW w:w="587" w:type="dxa"/>
            <w:vMerge w:val="restart"/>
            <w:tcBorders>
              <w:tl2br w:val="nil"/>
              <w:tr2bl w:val="nil"/>
            </w:tcBorders>
            <w:vAlign w:val="center"/>
          </w:tcPr>
          <w:p w14:paraId="64CC9384">
            <w:pPr>
              <w:autoSpaceDE w:val="0"/>
              <w:autoSpaceDN w:val="0"/>
              <w:jc w:val="center"/>
              <w:rPr>
                <w:rFonts w:ascii="宋体" w:hAnsi="宋体" w:cs="宋体"/>
                <w:sz w:val="18"/>
                <w:szCs w:val="18"/>
              </w:rPr>
            </w:pPr>
            <w:r>
              <w:rPr>
                <w:rFonts w:hint="eastAsia" w:ascii="宋体" w:hAnsi="宋体" w:cs="宋体"/>
                <w:sz w:val="18"/>
                <w:szCs w:val="18"/>
              </w:rPr>
              <w:t>社会表现</w:t>
            </w:r>
          </w:p>
        </w:tc>
        <w:tc>
          <w:tcPr>
            <w:tcW w:w="816" w:type="dxa"/>
            <w:vMerge w:val="restart"/>
            <w:tcBorders>
              <w:tl2br w:val="nil"/>
              <w:tr2bl w:val="nil"/>
            </w:tcBorders>
            <w:vAlign w:val="center"/>
          </w:tcPr>
          <w:p w14:paraId="17440C8B">
            <w:pPr>
              <w:autoSpaceDE w:val="0"/>
              <w:autoSpaceDN w:val="0"/>
              <w:jc w:val="center"/>
              <w:rPr>
                <w:rFonts w:ascii="宋体" w:hAnsi="宋体" w:cs="宋体"/>
                <w:sz w:val="18"/>
                <w:szCs w:val="18"/>
              </w:rPr>
            </w:pPr>
            <w:r>
              <w:rPr>
                <w:rFonts w:hint="eastAsia" w:ascii="宋体" w:hAnsi="宋体" w:cs="宋体"/>
                <w:sz w:val="18"/>
                <w:szCs w:val="18"/>
              </w:rPr>
              <w:t>内部行动</w:t>
            </w:r>
          </w:p>
        </w:tc>
        <w:tc>
          <w:tcPr>
            <w:tcW w:w="2663" w:type="dxa"/>
            <w:tcBorders>
              <w:tl2br w:val="nil"/>
              <w:tr2bl w:val="nil"/>
            </w:tcBorders>
            <w:vAlign w:val="center"/>
          </w:tcPr>
          <w:p w14:paraId="28A1DEF4">
            <w:pPr>
              <w:pStyle w:val="25"/>
              <w:ind w:firstLine="0" w:firstLineChars="0"/>
              <w:rPr>
                <w:rFonts w:hAnsi="宋体" w:cs="宋体"/>
                <w:sz w:val="18"/>
                <w:szCs w:val="18"/>
              </w:rPr>
            </w:pPr>
            <w:r>
              <w:rPr>
                <w:rFonts w:hint="eastAsia" w:hAnsi="宋体" w:cs="宋体"/>
                <w:sz w:val="18"/>
                <w:szCs w:val="18"/>
              </w:rPr>
              <w:t>企事业单位开展绿色行动的情况，满足其中任一项可得分</w:t>
            </w:r>
          </w:p>
        </w:tc>
        <w:tc>
          <w:tcPr>
            <w:tcW w:w="3770" w:type="dxa"/>
            <w:tcBorders>
              <w:tl2br w:val="nil"/>
              <w:tr2bl w:val="nil"/>
            </w:tcBorders>
            <w:vAlign w:val="center"/>
          </w:tcPr>
          <w:p w14:paraId="64F301CB">
            <w:pPr>
              <w:pStyle w:val="25"/>
              <w:ind w:firstLine="0" w:firstLineChars="0"/>
              <w:rPr>
                <w:sz w:val="18"/>
                <w:szCs w:val="18"/>
              </w:rPr>
            </w:pPr>
            <w:r>
              <w:rPr>
                <w:rFonts w:hint="eastAsia" w:hAnsi="宋体" w:cs="宋体"/>
                <w:sz w:val="18"/>
                <w:szCs w:val="18"/>
              </w:rPr>
              <w:t>发布碳中和规划或行动方案、创建近零碳排放试点、开展产品碳足迹核算、创建碳普惠低碳场景或实现多场大型活动碳中和等绿色行动。（1分）</w:t>
            </w:r>
          </w:p>
        </w:tc>
        <w:tc>
          <w:tcPr>
            <w:tcW w:w="1058" w:type="dxa"/>
            <w:tcBorders>
              <w:tl2br w:val="nil"/>
              <w:tr2bl w:val="nil"/>
            </w:tcBorders>
            <w:vAlign w:val="center"/>
          </w:tcPr>
          <w:p w14:paraId="5998A9B4">
            <w:pPr>
              <w:autoSpaceDE w:val="0"/>
              <w:autoSpaceDN w:val="0"/>
              <w:jc w:val="center"/>
              <w:rPr>
                <w:rFonts w:ascii="宋体"/>
                <w:sz w:val="18"/>
                <w:szCs w:val="18"/>
              </w:rPr>
            </w:pPr>
            <w:r>
              <w:rPr>
                <w:rFonts w:hint="eastAsia" w:ascii="宋体"/>
                <w:sz w:val="18"/>
                <w:szCs w:val="18"/>
              </w:rPr>
              <w:t>1</w:t>
            </w:r>
          </w:p>
        </w:tc>
        <w:tc>
          <w:tcPr>
            <w:tcW w:w="676" w:type="dxa"/>
            <w:tcBorders>
              <w:tl2br w:val="nil"/>
              <w:tr2bl w:val="nil"/>
            </w:tcBorders>
            <w:vAlign w:val="center"/>
          </w:tcPr>
          <w:p w14:paraId="50B339E1">
            <w:pPr>
              <w:autoSpaceDE w:val="0"/>
              <w:autoSpaceDN w:val="0"/>
              <w:jc w:val="center"/>
              <w:rPr>
                <w:rFonts w:ascii="宋体"/>
                <w:sz w:val="18"/>
                <w:szCs w:val="18"/>
              </w:rPr>
            </w:pPr>
          </w:p>
        </w:tc>
      </w:tr>
      <w:tr w14:paraId="2FB1A93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696" w:hRule="atLeast"/>
          <w:jc w:val="center"/>
        </w:trPr>
        <w:tc>
          <w:tcPr>
            <w:tcW w:w="587" w:type="dxa"/>
            <w:vMerge w:val="continue"/>
            <w:tcBorders>
              <w:tl2br w:val="nil"/>
              <w:tr2bl w:val="nil"/>
            </w:tcBorders>
            <w:vAlign w:val="center"/>
          </w:tcPr>
          <w:p w14:paraId="18215BCC">
            <w:pPr>
              <w:autoSpaceDE w:val="0"/>
              <w:autoSpaceDN w:val="0"/>
              <w:jc w:val="center"/>
              <w:rPr>
                <w:rFonts w:ascii="宋体" w:hAnsi="宋体" w:cs="宋体"/>
                <w:sz w:val="18"/>
                <w:szCs w:val="18"/>
              </w:rPr>
            </w:pPr>
          </w:p>
        </w:tc>
        <w:tc>
          <w:tcPr>
            <w:tcW w:w="816" w:type="dxa"/>
            <w:vMerge w:val="continue"/>
            <w:tcBorders>
              <w:tl2br w:val="nil"/>
              <w:tr2bl w:val="nil"/>
            </w:tcBorders>
            <w:vAlign w:val="center"/>
          </w:tcPr>
          <w:p w14:paraId="52CB5136">
            <w:pPr>
              <w:autoSpaceDE w:val="0"/>
              <w:autoSpaceDN w:val="0"/>
              <w:jc w:val="center"/>
              <w:rPr>
                <w:rFonts w:ascii="宋体" w:hAnsi="宋体" w:cs="宋体"/>
                <w:sz w:val="18"/>
                <w:szCs w:val="18"/>
              </w:rPr>
            </w:pPr>
          </w:p>
        </w:tc>
        <w:tc>
          <w:tcPr>
            <w:tcW w:w="2663" w:type="dxa"/>
            <w:tcBorders>
              <w:tl2br w:val="nil"/>
              <w:tr2bl w:val="nil"/>
            </w:tcBorders>
            <w:vAlign w:val="center"/>
          </w:tcPr>
          <w:p w14:paraId="5CF775FB">
            <w:pPr>
              <w:pStyle w:val="25"/>
              <w:ind w:firstLine="0" w:firstLineChars="0"/>
              <w:rPr>
                <w:rFonts w:hAnsi="宋体" w:cs="宋体"/>
                <w:sz w:val="18"/>
                <w:szCs w:val="18"/>
              </w:rPr>
            </w:pPr>
            <w:r>
              <w:rPr>
                <w:rFonts w:hint="eastAsia" w:hAnsi="宋体" w:cs="宋体"/>
                <w:sz w:val="18"/>
                <w:szCs w:val="18"/>
              </w:rPr>
              <w:t>企事业单位开展信息披露的情况</w:t>
            </w:r>
          </w:p>
        </w:tc>
        <w:tc>
          <w:tcPr>
            <w:tcW w:w="3770" w:type="dxa"/>
            <w:tcBorders>
              <w:tl2br w:val="nil"/>
              <w:tr2bl w:val="nil"/>
            </w:tcBorders>
            <w:vAlign w:val="center"/>
          </w:tcPr>
          <w:p w14:paraId="1C761792">
            <w:pPr>
              <w:pStyle w:val="25"/>
              <w:ind w:left="6" w:firstLine="0" w:firstLineChars="0"/>
              <w:jc w:val="left"/>
              <w:rPr>
                <w:rFonts w:hAnsi="宋体" w:cs="宋体"/>
                <w:sz w:val="18"/>
                <w:szCs w:val="18"/>
              </w:rPr>
            </w:pPr>
            <w:r>
              <w:rPr>
                <w:rFonts w:hint="eastAsia" w:hAnsi="宋体" w:cs="宋体"/>
                <w:sz w:val="18"/>
                <w:szCs w:val="18"/>
              </w:rPr>
              <w:t>主动依据《企业环境信息依法披露管理办法》，通过公开渠道披露产品或服务技术性能、资源能源消耗情况、环境信息等相关内容，或依法依规披露环境、社会和公司治理（ESG）情况。（1分）</w:t>
            </w:r>
          </w:p>
        </w:tc>
        <w:tc>
          <w:tcPr>
            <w:tcW w:w="1058" w:type="dxa"/>
            <w:tcBorders>
              <w:tl2br w:val="nil"/>
              <w:tr2bl w:val="nil"/>
            </w:tcBorders>
            <w:vAlign w:val="center"/>
          </w:tcPr>
          <w:p w14:paraId="7972F967">
            <w:pPr>
              <w:autoSpaceDE w:val="0"/>
              <w:autoSpaceDN w:val="0"/>
              <w:jc w:val="center"/>
              <w:rPr>
                <w:rFonts w:ascii="宋体"/>
                <w:sz w:val="18"/>
                <w:szCs w:val="18"/>
              </w:rPr>
            </w:pPr>
            <w:r>
              <w:rPr>
                <w:rFonts w:hint="eastAsia" w:ascii="宋体"/>
                <w:sz w:val="18"/>
                <w:szCs w:val="18"/>
              </w:rPr>
              <w:t>1</w:t>
            </w:r>
          </w:p>
        </w:tc>
        <w:tc>
          <w:tcPr>
            <w:tcW w:w="676" w:type="dxa"/>
            <w:tcBorders>
              <w:tl2br w:val="nil"/>
              <w:tr2bl w:val="nil"/>
            </w:tcBorders>
            <w:vAlign w:val="center"/>
          </w:tcPr>
          <w:p w14:paraId="4AD6DB8E">
            <w:pPr>
              <w:autoSpaceDE w:val="0"/>
              <w:autoSpaceDN w:val="0"/>
              <w:jc w:val="center"/>
              <w:rPr>
                <w:rFonts w:ascii="宋体"/>
                <w:sz w:val="18"/>
                <w:szCs w:val="18"/>
              </w:rPr>
            </w:pPr>
          </w:p>
        </w:tc>
      </w:tr>
      <w:tr w14:paraId="1E9470C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97" w:hRule="atLeast"/>
          <w:jc w:val="center"/>
        </w:trPr>
        <w:tc>
          <w:tcPr>
            <w:tcW w:w="587" w:type="dxa"/>
            <w:vMerge w:val="continue"/>
            <w:tcBorders>
              <w:tl2br w:val="nil"/>
              <w:tr2bl w:val="nil"/>
            </w:tcBorders>
            <w:vAlign w:val="center"/>
          </w:tcPr>
          <w:p w14:paraId="4DB623AF">
            <w:pPr>
              <w:autoSpaceDE w:val="0"/>
              <w:autoSpaceDN w:val="0"/>
              <w:jc w:val="center"/>
              <w:rPr>
                <w:rFonts w:ascii="宋体" w:hAnsi="宋体" w:cs="宋体"/>
                <w:sz w:val="18"/>
                <w:szCs w:val="18"/>
              </w:rPr>
            </w:pPr>
          </w:p>
        </w:tc>
        <w:tc>
          <w:tcPr>
            <w:tcW w:w="816" w:type="dxa"/>
            <w:vMerge w:val="continue"/>
            <w:tcBorders>
              <w:tl2br w:val="nil"/>
              <w:tr2bl w:val="nil"/>
            </w:tcBorders>
            <w:vAlign w:val="center"/>
          </w:tcPr>
          <w:p w14:paraId="5F83D5F3">
            <w:pPr>
              <w:autoSpaceDE w:val="0"/>
              <w:autoSpaceDN w:val="0"/>
              <w:jc w:val="center"/>
              <w:rPr>
                <w:rFonts w:ascii="宋体" w:hAnsi="宋体" w:cs="宋体"/>
                <w:sz w:val="18"/>
                <w:szCs w:val="18"/>
              </w:rPr>
            </w:pPr>
          </w:p>
        </w:tc>
        <w:tc>
          <w:tcPr>
            <w:tcW w:w="2663" w:type="dxa"/>
            <w:tcBorders>
              <w:tl2br w:val="nil"/>
              <w:tr2bl w:val="nil"/>
            </w:tcBorders>
            <w:vAlign w:val="center"/>
          </w:tcPr>
          <w:p w14:paraId="5FB3C243">
            <w:pPr>
              <w:pStyle w:val="25"/>
              <w:ind w:firstLine="0" w:firstLineChars="0"/>
              <w:rPr>
                <w:rFonts w:hAnsi="宋体" w:cs="宋体"/>
                <w:sz w:val="18"/>
                <w:szCs w:val="18"/>
              </w:rPr>
            </w:pPr>
            <w:r>
              <w:rPr>
                <w:rFonts w:hint="eastAsia" w:hAnsi="宋体" w:cs="宋体"/>
                <w:sz w:val="18"/>
                <w:szCs w:val="18"/>
              </w:rPr>
              <w:t>企事业单位开展低碳培训的情况</w:t>
            </w:r>
          </w:p>
        </w:tc>
        <w:tc>
          <w:tcPr>
            <w:tcW w:w="3770" w:type="dxa"/>
            <w:tcBorders>
              <w:tl2br w:val="nil"/>
              <w:tr2bl w:val="nil"/>
            </w:tcBorders>
            <w:vAlign w:val="center"/>
          </w:tcPr>
          <w:p w14:paraId="0E306F44">
            <w:pPr>
              <w:pStyle w:val="25"/>
              <w:ind w:firstLine="0" w:firstLineChars="0"/>
              <w:jc w:val="left"/>
              <w:rPr>
                <w:rFonts w:hAnsi="宋体" w:cs="宋体"/>
                <w:sz w:val="18"/>
                <w:szCs w:val="18"/>
              </w:rPr>
            </w:pPr>
            <w:r>
              <w:rPr>
                <w:rFonts w:hint="eastAsia" w:hAnsi="宋体" w:cs="宋体"/>
                <w:sz w:val="18"/>
                <w:szCs w:val="18"/>
              </w:rPr>
              <w:t>每年对员工开展2次及以上低碳环保、节能减排、循环经济等主题培训。（</w:t>
            </w:r>
            <w:r>
              <w:rPr>
                <w:rFonts w:hAnsi="宋体" w:cs="宋体"/>
                <w:sz w:val="18"/>
                <w:szCs w:val="18"/>
              </w:rPr>
              <w:t>1分）</w:t>
            </w:r>
          </w:p>
        </w:tc>
        <w:tc>
          <w:tcPr>
            <w:tcW w:w="1058" w:type="dxa"/>
            <w:tcBorders>
              <w:tl2br w:val="nil"/>
              <w:tr2bl w:val="nil"/>
            </w:tcBorders>
            <w:vAlign w:val="center"/>
          </w:tcPr>
          <w:p w14:paraId="73293EE5">
            <w:pPr>
              <w:autoSpaceDE w:val="0"/>
              <w:autoSpaceDN w:val="0"/>
              <w:jc w:val="center"/>
              <w:rPr>
                <w:rFonts w:ascii="宋体"/>
                <w:sz w:val="18"/>
                <w:szCs w:val="18"/>
              </w:rPr>
            </w:pPr>
            <w:r>
              <w:rPr>
                <w:rFonts w:hint="eastAsia" w:ascii="宋体"/>
                <w:sz w:val="18"/>
                <w:szCs w:val="18"/>
              </w:rPr>
              <w:t>1</w:t>
            </w:r>
          </w:p>
        </w:tc>
        <w:tc>
          <w:tcPr>
            <w:tcW w:w="676" w:type="dxa"/>
            <w:tcBorders>
              <w:tl2br w:val="nil"/>
              <w:tr2bl w:val="nil"/>
            </w:tcBorders>
            <w:vAlign w:val="center"/>
          </w:tcPr>
          <w:p w14:paraId="105EC411">
            <w:pPr>
              <w:autoSpaceDE w:val="0"/>
              <w:autoSpaceDN w:val="0"/>
              <w:jc w:val="center"/>
              <w:rPr>
                <w:rFonts w:ascii="宋体"/>
                <w:sz w:val="18"/>
                <w:szCs w:val="18"/>
              </w:rPr>
            </w:pPr>
          </w:p>
        </w:tc>
      </w:tr>
    </w:tbl>
    <w:p w14:paraId="4A6A4CED">
      <w:pPr>
        <w:numPr>
          <w:ilvl w:val="1"/>
          <w:numId w:val="0"/>
        </w:numPr>
        <w:spacing w:before="312" w:beforeLines="100" w:after="156" w:afterLines="50"/>
        <w:jc w:val="center"/>
        <w:rPr>
          <w:rFonts w:hint="eastAsia" w:ascii="黑体" w:hAnsi="黑体" w:eastAsia="黑体" w:cs="黑体"/>
          <w:szCs w:val="21"/>
        </w:rPr>
      </w:pPr>
      <w:r>
        <w:rPr>
          <w:rFonts w:hint="eastAsia" w:ascii="黑体" w:hAnsi="黑体" w:eastAsia="黑体" w:cs="黑体"/>
          <w:szCs w:val="21"/>
        </w:rPr>
        <w:t>表E.2  智能电网建设运营领域绿色低碳产业认定综合评价指标</w:t>
      </w:r>
      <w:r>
        <w:rPr>
          <w:rFonts w:hint="eastAsia" w:ascii="宋体" w:hAnsi="宋体" w:cs="宋体"/>
          <w:szCs w:val="21"/>
        </w:rPr>
        <w:t>（续）</w:t>
      </w:r>
    </w:p>
    <w:tbl>
      <w:tblPr>
        <w:tblStyle w:val="36"/>
        <w:tblpPr w:leftFromText="180" w:rightFromText="180" w:vertAnchor="text" w:tblpXSpec="center" w:tblpY="1"/>
        <w:tblOverlap w:val="never"/>
        <w:tblW w:w="95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587"/>
        <w:gridCol w:w="816"/>
        <w:gridCol w:w="2663"/>
        <w:gridCol w:w="3770"/>
        <w:gridCol w:w="1058"/>
        <w:gridCol w:w="676"/>
      </w:tblGrid>
      <w:tr w14:paraId="19FA88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31" w:hRule="atLeast"/>
          <w:jc w:val="center"/>
        </w:trPr>
        <w:tc>
          <w:tcPr>
            <w:tcW w:w="587" w:type="dxa"/>
            <w:vMerge w:val="restart"/>
            <w:tcBorders>
              <w:top w:val="single" w:color="auto" w:sz="12" w:space="0"/>
              <w:tl2br w:val="nil"/>
              <w:tr2bl w:val="nil"/>
            </w:tcBorders>
            <w:vAlign w:val="center"/>
          </w:tcPr>
          <w:p w14:paraId="3FB86441">
            <w:pPr>
              <w:autoSpaceDE w:val="0"/>
              <w:autoSpaceDN w:val="0"/>
              <w:jc w:val="center"/>
              <w:rPr>
                <w:rFonts w:ascii="宋体" w:hAnsi="宋体" w:cs="宋体"/>
                <w:sz w:val="18"/>
                <w:szCs w:val="18"/>
              </w:rPr>
            </w:pPr>
            <w:r>
              <w:rPr>
                <w:rFonts w:hint="eastAsia" w:ascii="宋体" w:hAnsi="宋体" w:cs="宋体"/>
                <w:sz w:val="18"/>
                <w:szCs w:val="18"/>
              </w:rPr>
              <w:t>社会表现</w:t>
            </w:r>
          </w:p>
        </w:tc>
        <w:tc>
          <w:tcPr>
            <w:tcW w:w="816" w:type="dxa"/>
            <w:vMerge w:val="restart"/>
            <w:tcBorders>
              <w:top w:val="single" w:color="auto" w:sz="12" w:space="0"/>
              <w:bottom w:val="single" w:color="auto" w:sz="4" w:space="0"/>
            </w:tcBorders>
            <w:vAlign w:val="center"/>
          </w:tcPr>
          <w:p w14:paraId="1FEAEE27">
            <w:pPr>
              <w:autoSpaceDE w:val="0"/>
              <w:autoSpaceDN w:val="0"/>
              <w:jc w:val="center"/>
              <w:rPr>
                <w:rFonts w:ascii="宋体" w:hAnsi="宋体" w:cs="宋体"/>
                <w:sz w:val="18"/>
                <w:szCs w:val="18"/>
              </w:rPr>
            </w:pPr>
            <w:r>
              <w:rPr>
                <w:rFonts w:hint="eastAsia" w:ascii="宋体" w:hAnsi="宋体" w:cs="宋体"/>
                <w:sz w:val="18"/>
                <w:szCs w:val="18"/>
              </w:rPr>
              <w:t>社会责任</w:t>
            </w:r>
          </w:p>
        </w:tc>
        <w:tc>
          <w:tcPr>
            <w:tcW w:w="2663" w:type="dxa"/>
            <w:tcBorders>
              <w:top w:val="single" w:color="auto" w:sz="12" w:space="0"/>
              <w:bottom w:val="single" w:color="auto" w:sz="4" w:space="0"/>
            </w:tcBorders>
            <w:vAlign w:val="center"/>
          </w:tcPr>
          <w:p w14:paraId="12BF0E29">
            <w:pPr>
              <w:pStyle w:val="25"/>
              <w:ind w:firstLine="0" w:firstLineChars="0"/>
              <w:rPr>
                <w:rFonts w:hAnsi="宋体" w:cs="宋体"/>
                <w:sz w:val="18"/>
                <w:szCs w:val="18"/>
              </w:rPr>
            </w:pPr>
            <w:r>
              <w:rPr>
                <w:rFonts w:hint="eastAsia" w:hAnsi="宋体" w:cs="宋体"/>
                <w:sz w:val="18"/>
                <w:szCs w:val="18"/>
              </w:rPr>
              <w:t>企事业单位履行公共关系和社会公益责任的情况，满足其中任一项可得分</w:t>
            </w:r>
          </w:p>
        </w:tc>
        <w:tc>
          <w:tcPr>
            <w:tcW w:w="3770" w:type="dxa"/>
            <w:tcBorders>
              <w:top w:val="single" w:color="auto" w:sz="12" w:space="0"/>
              <w:bottom w:val="single" w:color="auto" w:sz="4" w:space="0"/>
            </w:tcBorders>
            <w:vAlign w:val="center"/>
          </w:tcPr>
          <w:p w14:paraId="468EF304">
            <w:pPr>
              <w:pStyle w:val="60"/>
              <w:numPr>
                <w:ilvl w:val="255"/>
                <w:numId w:val="0"/>
              </w:numPr>
              <w:tabs>
                <w:tab w:val="center" w:pos="4201"/>
                <w:tab w:val="right" w:leader="dot" w:pos="9298"/>
              </w:tabs>
              <w:jc w:val="left"/>
              <w:rPr>
                <w:rFonts w:hAnsi="宋体" w:cs="宋体"/>
              </w:rPr>
            </w:pPr>
            <w:r>
              <w:rPr>
                <w:rFonts w:hint="eastAsia" w:hAnsi="宋体" w:cs="宋体"/>
              </w:rPr>
              <w:t>主动举办环保公益活动，或参加环境保护、教育、扶贫济困等公益活动；或积极对本地或外地重大自然灾害或突发事件提供援助。（</w:t>
            </w:r>
            <w:r>
              <w:rPr>
                <w:rFonts w:hAnsi="宋体" w:cs="宋体"/>
              </w:rPr>
              <w:t>2</w:t>
            </w:r>
            <w:r>
              <w:rPr>
                <w:rFonts w:hint="eastAsia" w:hAnsi="宋体" w:cs="宋体"/>
              </w:rPr>
              <w:t>分）</w:t>
            </w:r>
          </w:p>
        </w:tc>
        <w:tc>
          <w:tcPr>
            <w:tcW w:w="1058" w:type="dxa"/>
            <w:tcBorders>
              <w:top w:val="single" w:color="auto" w:sz="12" w:space="0"/>
              <w:bottom w:val="single" w:color="auto" w:sz="4" w:space="0"/>
            </w:tcBorders>
            <w:vAlign w:val="center"/>
          </w:tcPr>
          <w:p w14:paraId="750DBC2A">
            <w:pPr>
              <w:autoSpaceDE w:val="0"/>
              <w:autoSpaceDN w:val="0"/>
              <w:jc w:val="center"/>
              <w:rPr>
                <w:rFonts w:ascii="宋体"/>
                <w:sz w:val="18"/>
                <w:szCs w:val="18"/>
              </w:rPr>
            </w:pPr>
            <w:r>
              <w:rPr>
                <w:rFonts w:hint="eastAsia" w:ascii="宋体"/>
                <w:sz w:val="18"/>
                <w:szCs w:val="18"/>
              </w:rPr>
              <w:t>2</w:t>
            </w:r>
          </w:p>
        </w:tc>
        <w:tc>
          <w:tcPr>
            <w:tcW w:w="676" w:type="dxa"/>
            <w:tcBorders>
              <w:top w:val="single" w:color="auto" w:sz="12" w:space="0"/>
              <w:bottom w:val="single" w:color="auto" w:sz="4" w:space="0"/>
            </w:tcBorders>
            <w:vAlign w:val="center"/>
          </w:tcPr>
          <w:p w14:paraId="2AF87DB0">
            <w:pPr>
              <w:autoSpaceDE w:val="0"/>
              <w:autoSpaceDN w:val="0"/>
              <w:jc w:val="center"/>
              <w:rPr>
                <w:rFonts w:ascii="宋体"/>
                <w:sz w:val="18"/>
                <w:szCs w:val="18"/>
              </w:rPr>
            </w:pPr>
          </w:p>
        </w:tc>
      </w:tr>
      <w:tr w14:paraId="346E78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587" w:type="dxa"/>
            <w:vMerge w:val="continue"/>
            <w:tcBorders>
              <w:bottom w:val="single" w:color="auto" w:sz="12" w:space="0"/>
              <w:tl2br w:val="nil"/>
              <w:tr2bl w:val="nil"/>
            </w:tcBorders>
            <w:vAlign w:val="center"/>
          </w:tcPr>
          <w:p w14:paraId="3B442C01">
            <w:pPr>
              <w:autoSpaceDE w:val="0"/>
              <w:autoSpaceDN w:val="0"/>
              <w:jc w:val="center"/>
              <w:rPr>
                <w:rFonts w:ascii="宋体" w:hAnsi="宋体" w:cs="宋体"/>
                <w:sz w:val="18"/>
                <w:szCs w:val="18"/>
              </w:rPr>
            </w:pPr>
          </w:p>
        </w:tc>
        <w:tc>
          <w:tcPr>
            <w:tcW w:w="816" w:type="dxa"/>
            <w:vMerge w:val="continue"/>
            <w:tcBorders>
              <w:top w:val="single" w:color="auto" w:sz="4" w:space="0"/>
              <w:bottom w:val="single" w:color="auto" w:sz="12" w:space="0"/>
            </w:tcBorders>
            <w:vAlign w:val="center"/>
          </w:tcPr>
          <w:p w14:paraId="4159050B">
            <w:pPr>
              <w:autoSpaceDE w:val="0"/>
              <w:autoSpaceDN w:val="0"/>
              <w:jc w:val="center"/>
              <w:rPr>
                <w:rFonts w:ascii="宋体" w:hAnsi="宋体" w:cs="宋体"/>
                <w:sz w:val="18"/>
                <w:szCs w:val="18"/>
              </w:rPr>
            </w:pPr>
          </w:p>
        </w:tc>
        <w:tc>
          <w:tcPr>
            <w:tcW w:w="2663" w:type="dxa"/>
            <w:tcBorders>
              <w:top w:val="single" w:color="auto" w:sz="4" w:space="0"/>
              <w:bottom w:val="single" w:color="auto" w:sz="12" w:space="0"/>
            </w:tcBorders>
            <w:vAlign w:val="center"/>
          </w:tcPr>
          <w:p w14:paraId="0F23594E">
            <w:pPr>
              <w:pStyle w:val="25"/>
              <w:ind w:firstLine="0" w:firstLineChars="0"/>
              <w:rPr>
                <w:rFonts w:hAnsi="宋体" w:cs="宋体"/>
                <w:sz w:val="18"/>
                <w:szCs w:val="18"/>
              </w:rPr>
            </w:pPr>
            <w:r>
              <w:rPr>
                <w:rFonts w:hint="eastAsia" w:hAnsi="宋体" w:cs="宋体"/>
                <w:sz w:val="18"/>
                <w:szCs w:val="18"/>
              </w:rPr>
              <w:t>企事业单位实施供应链绿色化管理的情况，满足其中任一项可得分</w:t>
            </w:r>
          </w:p>
        </w:tc>
        <w:tc>
          <w:tcPr>
            <w:tcW w:w="3770" w:type="dxa"/>
            <w:tcBorders>
              <w:top w:val="single" w:color="auto" w:sz="4" w:space="0"/>
              <w:bottom w:val="single" w:color="auto" w:sz="12" w:space="0"/>
            </w:tcBorders>
            <w:vAlign w:val="center"/>
          </w:tcPr>
          <w:p w14:paraId="5A25C4CD">
            <w:pPr>
              <w:pStyle w:val="60"/>
              <w:numPr>
                <w:ilvl w:val="255"/>
                <w:numId w:val="0"/>
              </w:numPr>
              <w:tabs>
                <w:tab w:val="center" w:pos="4201"/>
                <w:tab w:val="right" w:leader="dot" w:pos="9298"/>
              </w:tabs>
              <w:jc w:val="left"/>
              <w:rPr>
                <w:rFonts w:hAnsi="宋体" w:cs="宋体"/>
              </w:rPr>
            </w:pPr>
            <w:r>
              <w:rPr>
                <w:rFonts w:hint="eastAsia" w:hAnsi="宋体" w:cs="宋体"/>
              </w:rPr>
              <w:t>取得绿色供应链管理体系认证证书，或实施供应商绿色管理相关制度。（1分）</w:t>
            </w:r>
          </w:p>
        </w:tc>
        <w:tc>
          <w:tcPr>
            <w:tcW w:w="1058" w:type="dxa"/>
            <w:tcBorders>
              <w:top w:val="single" w:color="auto" w:sz="4" w:space="0"/>
              <w:bottom w:val="single" w:color="auto" w:sz="12" w:space="0"/>
            </w:tcBorders>
            <w:vAlign w:val="center"/>
          </w:tcPr>
          <w:p w14:paraId="75FBC08A">
            <w:pPr>
              <w:autoSpaceDE w:val="0"/>
              <w:autoSpaceDN w:val="0"/>
              <w:jc w:val="center"/>
              <w:rPr>
                <w:rFonts w:ascii="宋体"/>
                <w:sz w:val="18"/>
                <w:szCs w:val="18"/>
              </w:rPr>
            </w:pPr>
            <w:r>
              <w:rPr>
                <w:rFonts w:hint="eastAsia" w:ascii="宋体"/>
                <w:sz w:val="18"/>
                <w:szCs w:val="18"/>
              </w:rPr>
              <w:t>1</w:t>
            </w:r>
          </w:p>
        </w:tc>
        <w:tc>
          <w:tcPr>
            <w:tcW w:w="676" w:type="dxa"/>
            <w:tcBorders>
              <w:top w:val="single" w:color="auto" w:sz="4" w:space="0"/>
              <w:bottom w:val="single" w:color="auto" w:sz="12" w:space="0"/>
            </w:tcBorders>
            <w:vAlign w:val="center"/>
          </w:tcPr>
          <w:p w14:paraId="561666B1">
            <w:pPr>
              <w:autoSpaceDE w:val="0"/>
              <w:autoSpaceDN w:val="0"/>
              <w:jc w:val="center"/>
              <w:rPr>
                <w:rFonts w:ascii="宋体"/>
                <w:sz w:val="18"/>
                <w:szCs w:val="18"/>
              </w:rPr>
            </w:pPr>
          </w:p>
        </w:tc>
      </w:tr>
      <w:tr w14:paraId="53FF7D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8894" w:type="dxa"/>
            <w:gridSpan w:val="5"/>
            <w:tcBorders>
              <w:top w:val="single" w:color="auto" w:sz="12" w:space="0"/>
              <w:bottom w:val="single" w:color="auto" w:sz="12" w:space="0"/>
            </w:tcBorders>
            <w:vAlign w:val="center"/>
          </w:tcPr>
          <w:p w14:paraId="0D055B6C">
            <w:pPr>
              <w:autoSpaceDE w:val="0"/>
              <w:autoSpaceDN w:val="0"/>
              <w:spacing w:line="240" w:lineRule="atLeast"/>
              <w:jc w:val="center"/>
              <w:rPr>
                <w:rFonts w:ascii="宋体"/>
                <w:b/>
                <w:sz w:val="18"/>
                <w:szCs w:val="18"/>
              </w:rPr>
            </w:pPr>
            <w:r>
              <w:rPr>
                <w:rFonts w:ascii="宋体"/>
                <w:b/>
                <w:sz w:val="18"/>
                <w:szCs w:val="18"/>
              </w:rPr>
              <w:t>总得分</w:t>
            </w:r>
          </w:p>
        </w:tc>
        <w:tc>
          <w:tcPr>
            <w:tcW w:w="676" w:type="dxa"/>
            <w:tcBorders>
              <w:top w:val="single" w:color="auto" w:sz="12" w:space="0"/>
              <w:bottom w:val="single" w:color="auto" w:sz="12" w:space="0"/>
            </w:tcBorders>
            <w:vAlign w:val="center"/>
          </w:tcPr>
          <w:p w14:paraId="2191087E">
            <w:pPr>
              <w:autoSpaceDE w:val="0"/>
              <w:autoSpaceDN w:val="0"/>
              <w:spacing w:line="240" w:lineRule="atLeast"/>
              <w:jc w:val="center"/>
              <w:rPr>
                <w:rFonts w:ascii="宋体"/>
                <w:b/>
                <w:sz w:val="18"/>
                <w:szCs w:val="18"/>
              </w:rPr>
            </w:pPr>
          </w:p>
        </w:tc>
      </w:tr>
    </w:tbl>
    <w:p w14:paraId="0B7D718A">
      <w:pPr>
        <w:tabs>
          <w:tab w:val="center" w:pos="4677"/>
        </w:tabs>
        <w:spacing w:before="312" w:beforeLines="100" w:after="156" w:afterLines="50"/>
        <w:rPr>
          <w:rFonts w:ascii="黑体" w:hAnsi="黑体" w:eastAsia="黑体" w:cs="黑体"/>
        </w:rPr>
      </w:pPr>
      <w:r>
        <w:rPr>
          <w:rFonts w:hint="eastAsia" w:ascii="黑体" w:hAnsi="黑体" w:eastAsia="黑体" w:cs="黑体"/>
          <w:szCs w:val="21"/>
        </w:rPr>
        <w:t>E</w:t>
      </w:r>
      <w:r>
        <w:rPr>
          <w:rFonts w:hint="eastAsia" w:ascii="黑体" w:hAnsi="黑体" w:eastAsia="黑体" w:cs="黑体"/>
        </w:rPr>
        <w:t>.2  绿色低碳产业项目认定评价指标</w:t>
      </w:r>
    </w:p>
    <w:p w14:paraId="667961CB">
      <w:pPr>
        <w:autoSpaceDE w:val="0"/>
        <w:autoSpaceDN w:val="0"/>
        <w:ind w:firstLine="420" w:firstLineChars="200"/>
      </w:pPr>
      <w:r>
        <w:rPr>
          <w:rFonts w:hint="eastAsia"/>
        </w:rPr>
        <w:t>智能电网建设运营行业绿色低碳产业</w:t>
      </w:r>
      <w:r>
        <w:rPr>
          <w:rFonts w:hint="eastAsia" w:ascii="宋体" w:hAnsi="宋体" w:cs="宋体"/>
        </w:rPr>
        <w:t>项目认定评价指标见表</w:t>
      </w:r>
      <w:r>
        <w:rPr>
          <w:rFonts w:hint="eastAsia" w:ascii="宋体" w:hAnsi="宋体" w:cs="宋体"/>
          <w:szCs w:val="21"/>
        </w:rPr>
        <w:t>E</w:t>
      </w:r>
      <w:r>
        <w:rPr>
          <w:rFonts w:hint="eastAsia" w:ascii="宋体" w:hAnsi="宋体" w:cs="宋体"/>
        </w:rPr>
        <w:t>.3和表</w:t>
      </w:r>
      <w:r>
        <w:rPr>
          <w:rFonts w:hint="eastAsia" w:ascii="宋体" w:hAnsi="宋体" w:cs="宋体"/>
          <w:szCs w:val="21"/>
        </w:rPr>
        <w:t>E</w:t>
      </w:r>
      <w:r>
        <w:rPr>
          <w:rFonts w:hint="eastAsia" w:ascii="宋体" w:hAnsi="宋体" w:cs="宋体"/>
        </w:rPr>
        <w:t>.4</w:t>
      </w:r>
      <w:r>
        <w:rPr>
          <w:rFonts w:hint="eastAsia" w:asciiTheme="minorEastAsia" w:hAnsiTheme="minorEastAsia" w:eastAsiaTheme="minorEastAsia"/>
        </w:rPr>
        <w:t>。</w:t>
      </w:r>
    </w:p>
    <w:p w14:paraId="59A99E75">
      <w:pPr>
        <w:numPr>
          <w:ilvl w:val="1"/>
          <w:numId w:val="0"/>
        </w:numPr>
        <w:spacing w:before="156" w:beforeLines="50" w:after="156" w:afterLines="50"/>
        <w:jc w:val="center"/>
        <w:rPr>
          <w:rFonts w:ascii="黑体" w:hAnsi="黑体" w:eastAsia="黑体" w:cs="黑体"/>
          <w:szCs w:val="21"/>
        </w:rPr>
      </w:pPr>
      <w:r>
        <w:rPr>
          <w:rFonts w:hint="eastAsia" w:ascii="黑体" w:hAnsi="黑体" w:eastAsia="黑体" w:cs="黑体"/>
          <w:szCs w:val="21"/>
        </w:rPr>
        <w:t>表E.3  智能电网建设运营领域绿色低碳产业项目认定符合性评价指标</w:t>
      </w:r>
    </w:p>
    <w:tbl>
      <w:tblPr>
        <w:tblStyle w:val="36"/>
        <w:tblpPr w:leftFromText="180" w:rightFromText="180" w:vertAnchor="text" w:tblpXSpec="center" w:tblpY="1"/>
        <w:tblOverlap w:val="never"/>
        <w:tblW w:w="9570" w:type="dxa"/>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Layout w:type="fixed"/>
        <w:tblCellMar>
          <w:top w:w="0" w:type="dxa"/>
          <w:left w:w="108" w:type="dxa"/>
          <w:bottom w:w="0" w:type="dxa"/>
          <w:right w:w="108" w:type="dxa"/>
        </w:tblCellMar>
      </w:tblPr>
      <w:tblGrid>
        <w:gridCol w:w="1268"/>
        <w:gridCol w:w="5683"/>
        <w:gridCol w:w="1161"/>
        <w:gridCol w:w="1458"/>
      </w:tblGrid>
      <w:tr w14:paraId="67BD3B24">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c>
          <w:tcPr>
            <w:tcW w:w="1268" w:type="dxa"/>
            <w:tcBorders>
              <w:bottom w:val="single" w:color="auto" w:sz="12" w:space="0"/>
            </w:tcBorders>
            <w:vAlign w:val="center"/>
          </w:tcPr>
          <w:p w14:paraId="5B30D60E">
            <w:pPr>
              <w:pStyle w:val="25"/>
              <w:ind w:firstLine="0" w:firstLineChars="0"/>
              <w:jc w:val="center"/>
              <w:rPr>
                <w:rFonts w:ascii="Times New Roman"/>
                <w:b/>
                <w:sz w:val="18"/>
                <w:szCs w:val="18"/>
              </w:rPr>
            </w:pPr>
            <w:r>
              <w:rPr>
                <w:rFonts w:hint="eastAsia" w:ascii="Times New Roman"/>
                <w:b/>
                <w:sz w:val="18"/>
                <w:szCs w:val="18"/>
              </w:rPr>
              <w:t>指标</w:t>
            </w:r>
          </w:p>
        </w:tc>
        <w:tc>
          <w:tcPr>
            <w:tcW w:w="5683" w:type="dxa"/>
            <w:tcBorders>
              <w:bottom w:val="single" w:color="auto" w:sz="12" w:space="0"/>
            </w:tcBorders>
            <w:vAlign w:val="center"/>
          </w:tcPr>
          <w:p w14:paraId="7B90B1F8">
            <w:pPr>
              <w:pStyle w:val="25"/>
              <w:ind w:firstLine="0" w:firstLineChars="0"/>
              <w:jc w:val="center"/>
              <w:rPr>
                <w:rFonts w:ascii="Times New Roman"/>
                <w:b/>
                <w:sz w:val="18"/>
                <w:szCs w:val="18"/>
              </w:rPr>
            </w:pPr>
            <w:r>
              <w:rPr>
                <w:rFonts w:hint="eastAsia" w:ascii="Times New Roman"/>
                <w:b/>
                <w:sz w:val="18"/>
                <w:szCs w:val="18"/>
              </w:rPr>
              <w:t>符合性评价内容</w:t>
            </w:r>
          </w:p>
        </w:tc>
        <w:tc>
          <w:tcPr>
            <w:tcW w:w="1161" w:type="dxa"/>
            <w:tcBorders>
              <w:bottom w:val="single" w:color="auto" w:sz="12" w:space="0"/>
            </w:tcBorders>
            <w:vAlign w:val="center"/>
          </w:tcPr>
          <w:p w14:paraId="790883F5">
            <w:pPr>
              <w:pStyle w:val="25"/>
              <w:ind w:firstLine="0" w:firstLineChars="0"/>
              <w:jc w:val="center"/>
              <w:rPr>
                <w:rFonts w:ascii="Times New Roman"/>
                <w:b/>
                <w:sz w:val="18"/>
                <w:szCs w:val="18"/>
              </w:rPr>
            </w:pPr>
            <w:r>
              <w:rPr>
                <w:rFonts w:ascii="Times New Roman"/>
                <w:b/>
                <w:sz w:val="18"/>
                <w:szCs w:val="18"/>
              </w:rPr>
              <w:t>评分标准</w:t>
            </w:r>
          </w:p>
        </w:tc>
        <w:tc>
          <w:tcPr>
            <w:tcW w:w="1458" w:type="dxa"/>
            <w:tcBorders>
              <w:bottom w:val="single" w:color="auto" w:sz="12" w:space="0"/>
            </w:tcBorders>
            <w:vAlign w:val="center"/>
          </w:tcPr>
          <w:p w14:paraId="56BB3A6D">
            <w:pPr>
              <w:pStyle w:val="25"/>
              <w:ind w:firstLine="0" w:firstLineChars="0"/>
              <w:jc w:val="center"/>
              <w:rPr>
                <w:rFonts w:ascii="Times New Roman"/>
                <w:b/>
                <w:sz w:val="18"/>
                <w:szCs w:val="18"/>
              </w:rPr>
            </w:pPr>
            <w:r>
              <w:rPr>
                <w:rFonts w:ascii="Times New Roman"/>
                <w:b/>
                <w:sz w:val="18"/>
                <w:szCs w:val="18"/>
              </w:rPr>
              <w:t>符合性结论</w:t>
            </w:r>
          </w:p>
        </w:tc>
      </w:tr>
      <w:tr w14:paraId="0C31D58E">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1037" w:hRule="atLeast"/>
        </w:trPr>
        <w:tc>
          <w:tcPr>
            <w:tcW w:w="1268" w:type="dxa"/>
            <w:tcBorders>
              <w:top w:val="single" w:color="auto" w:sz="12" w:space="0"/>
              <w:tl2br w:val="nil"/>
              <w:tr2bl w:val="nil"/>
            </w:tcBorders>
            <w:vAlign w:val="center"/>
          </w:tcPr>
          <w:p w14:paraId="6192C239">
            <w:pPr>
              <w:pStyle w:val="25"/>
              <w:ind w:firstLine="0" w:firstLineChars="0"/>
              <w:jc w:val="center"/>
              <w:rPr>
                <w:rFonts w:hAnsi="宋体" w:cs="宋体"/>
                <w:sz w:val="18"/>
                <w:szCs w:val="18"/>
              </w:rPr>
            </w:pPr>
            <w:r>
              <w:rPr>
                <w:rFonts w:hint="eastAsia" w:hAnsi="宋体" w:cs="宋体"/>
                <w:sz w:val="18"/>
                <w:szCs w:val="18"/>
              </w:rPr>
              <w:t>目录符合</w:t>
            </w:r>
          </w:p>
        </w:tc>
        <w:tc>
          <w:tcPr>
            <w:tcW w:w="5683" w:type="dxa"/>
            <w:tcBorders>
              <w:top w:val="single" w:color="auto" w:sz="12" w:space="0"/>
              <w:tl2br w:val="nil"/>
              <w:tr2bl w:val="nil"/>
            </w:tcBorders>
            <w:vAlign w:val="center"/>
          </w:tcPr>
          <w:p w14:paraId="5631DEFF">
            <w:pPr>
              <w:widowControl/>
              <w:rPr>
                <w:rFonts w:ascii="宋体" w:hAnsi="宋体" w:cs="宋体"/>
                <w:sz w:val="18"/>
                <w:szCs w:val="18"/>
              </w:rPr>
            </w:pPr>
            <w:r>
              <w:rPr>
                <w:rFonts w:hint="eastAsia" w:ascii="宋体" w:hAnsi="宋体"/>
                <w:color w:val="000000"/>
                <w:kern w:val="0"/>
                <w:sz w:val="18"/>
                <w:szCs w:val="18"/>
              </w:rPr>
              <w:t>申请认定评价的项目属于智能电网建设运营利用产业，或在当地具备一定市场规模，经相关政府职能部门认可的其他相关行业，且符合安全、环保、质量相关法规政策、强制性标准等要求</w:t>
            </w:r>
          </w:p>
        </w:tc>
        <w:tc>
          <w:tcPr>
            <w:tcW w:w="1161" w:type="dxa"/>
            <w:tcBorders>
              <w:top w:val="single" w:color="auto" w:sz="12" w:space="0"/>
              <w:tl2br w:val="nil"/>
              <w:tr2bl w:val="nil"/>
            </w:tcBorders>
            <w:vAlign w:val="center"/>
          </w:tcPr>
          <w:p w14:paraId="5244B1C1">
            <w:pPr>
              <w:pStyle w:val="25"/>
              <w:ind w:firstLine="0" w:firstLineChars="0"/>
              <w:jc w:val="center"/>
              <w:rPr>
                <w:rFonts w:hAnsi="宋体" w:cs="宋体"/>
                <w:sz w:val="18"/>
                <w:szCs w:val="18"/>
              </w:rPr>
            </w:pPr>
            <w:r>
              <w:rPr>
                <w:rFonts w:hint="eastAsia" w:hAnsi="宋体" w:cs="宋体"/>
                <w:sz w:val="18"/>
                <w:szCs w:val="18"/>
              </w:rPr>
              <w:t>是/否</w:t>
            </w:r>
          </w:p>
        </w:tc>
        <w:tc>
          <w:tcPr>
            <w:tcW w:w="1458" w:type="dxa"/>
            <w:tcBorders>
              <w:top w:val="single" w:color="auto" w:sz="12" w:space="0"/>
              <w:tl2br w:val="nil"/>
              <w:tr2bl w:val="nil"/>
            </w:tcBorders>
            <w:vAlign w:val="center"/>
          </w:tcPr>
          <w:p w14:paraId="30642024">
            <w:pPr>
              <w:pStyle w:val="25"/>
              <w:ind w:firstLine="0" w:firstLineChars="0"/>
              <w:jc w:val="center"/>
              <w:rPr>
                <w:rFonts w:ascii="Times New Roman"/>
                <w:sz w:val="18"/>
                <w:szCs w:val="18"/>
              </w:rPr>
            </w:pPr>
          </w:p>
        </w:tc>
      </w:tr>
      <w:tr w14:paraId="1C073D43">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1119" w:hRule="atLeast"/>
        </w:trPr>
        <w:tc>
          <w:tcPr>
            <w:tcW w:w="1268" w:type="dxa"/>
            <w:tcBorders>
              <w:tl2br w:val="nil"/>
              <w:tr2bl w:val="nil"/>
            </w:tcBorders>
            <w:vAlign w:val="center"/>
          </w:tcPr>
          <w:p w14:paraId="6EDA5F35">
            <w:pPr>
              <w:pStyle w:val="25"/>
              <w:ind w:firstLine="0" w:firstLineChars="0"/>
              <w:jc w:val="center"/>
              <w:rPr>
                <w:rFonts w:hAnsi="宋体" w:cs="宋体"/>
                <w:sz w:val="18"/>
                <w:szCs w:val="18"/>
              </w:rPr>
            </w:pPr>
            <w:r>
              <w:rPr>
                <w:rFonts w:hint="eastAsia" w:hAnsi="宋体" w:cs="宋体"/>
                <w:sz w:val="18"/>
                <w:szCs w:val="18"/>
              </w:rPr>
              <w:t>技术符合</w:t>
            </w:r>
          </w:p>
        </w:tc>
        <w:tc>
          <w:tcPr>
            <w:tcW w:w="5683" w:type="dxa"/>
            <w:tcBorders>
              <w:tl2br w:val="nil"/>
              <w:tr2bl w:val="nil"/>
            </w:tcBorders>
            <w:vAlign w:val="center"/>
          </w:tcPr>
          <w:p w14:paraId="4A835E0D">
            <w:pPr>
              <w:widowControl/>
              <w:rPr>
                <w:rFonts w:ascii="宋体" w:hAnsi="宋体" w:cs="宋体"/>
                <w:sz w:val="18"/>
                <w:szCs w:val="18"/>
              </w:rPr>
            </w:pPr>
            <w:r>
              <w:rPr>
                <w:rFonts w:hint="eastAsia" w:ascii="宋体"/>
                <w:sz w:val="18"/>
                <w:szCs w:val="18"/>
              </w:rPr>
              <w:t>提供的产品或服务应符合国家及各省市相关主管部门发布文件列明的有关设计、能效、性能、安全、贮存、回收、标识、验收、管理和运维等技术要求</w:t>
            </w:r>
          </w:p>
        </w:tc>
        <w:tc>
          <w:tcPr>
            <w:tcW w:w="1161" w:type="dxa"/>
            <w:tcBorders>
              <w:tl2br w:val="nil"/>
              <w:tr2bl w:val="nil"/>
            </w:tcBorders>
            <w:vAlign w:val="center"/>
          </w:tcPr>
          <w:p w14:paraId="2CBC04D8">
            <w:pPr>
              <w:pStyle w:val="25"/>
              <w:ind w:firstLine="0" w:firstLineChars="0"/>
              <w:jc w:val="center"/>
              <w:rPr>
                <w:rFonts w:hAnsi="宋体" w:cs="宋体"/>
                <w:sz w:val="18"/>
                <w:szCs w:val="18"/>
              </w:rPr>
            </w:pPr>
            <w:r>
              <w:rPr>
                <w:rFonts w:hint="eastAsia" w:hAnsi="宋体" w:cs="宋体"/>
                <w:sz w:val="18"/>
                <w:szCs w:val="18"/>
              </w:rPr>
              <w:t>是/否</w:t>
            </w:r>
          </w:p>
        </w:tc>
        <w:tc>
          <w:tcPr>
            <w:tcW w:w="1458" w:type="dxa"/>
            <w:tcBorders>
              <w:tl2br w:val="nil"/>
              <w:tr2bl w:val="nil"/>
            </w:tcBorders>
            <w:vAlign w:val="center"/>
          </w:tcPr>
          <w:p w14:paraId="4412B06E">
            <w:pPr>
              <w:pStyle w:val="25"/>
              <w:ind w:firstLine="0" w:firstLineChars="0"/>
              <w:jc w:val="center"/>
              <w:rPr>
                <w:rFonts w:ascii="Times New Roman"/>
                <w:sz w:val="18"/>
                <w:szCs w:val="18"/>
              </w:rPr>
            </w:pPr>
          </w:p>
        </w:tc>
      </w:tr>
    </w:tbl>
    <w:p w14:paraId="5CC5E9E3">
      <w:pPr>
        <w:numPr>
          <w:ilvl w:val="1"/>
          <w:numId w:val="0"/>
        </w:numPr>
        <w:spacing w:before="312" w:beforeLines="100" w:after="156" w:afterLines="50"/>
        <w:jc w:val="center"/>
        <w:rPr>
          <w:rFonts w:ascii="黑体" w:hAnsi="黑体" w:eastAsia="黑体" w:cs="黑体"/>
          <w:szCs w:val="21"/>
        </w:rPr>
      </w:pPr>
      <w:r>
        <w:rPr>
          <w:rFonts w:hint="eastAsia" w:ascii="黑体" w:hAnsi="黑体" w:eastAsia="黑体" w:cs="黑体"/>
          <w:szCs w:val="21"/>
        </w:rPr>
        <w:t>表E.4  智能电网建设运营领域绿色低碳产业项目认定综合评价指标</w:t>
      </w:r>
    </w:p>
    <w:tbl>
      <w:tblPr>
        <w:tblStyle w:val="36"/>
        <w:tblpPr w:leftFromText="180" w:rightFromText="180" w:vertAnchor="text" w:tblpXSpec="center" w:tblpY="1"/>
        <w:tblOverlap w:val="never"/>
        <w:tblW w:w="9570"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Layout w:type="fixed"/>
        <w:tblCellMar>
          <w:top w:w="0" w:type="dxa"/>
          <w:left w:w="108" w:type="dxa"/>
          <w:bottom w:w="0" w:type="dxa"/>
          <w:right w:w="108" w:type="dxa"/>
        </w:tblCellMar>
      </w:tblPr>
      <w:tblGrid>
        <w:gridCol w:w="632"/>
        <w:gridCol w:w="625"/>
        <w:gridCol w:w="2272"/>
        <w:gridCol w:w="4630"/>
        <w:gridCol w:w="705"/>
        <w:gridCol w:w="706"/>
      </w:tblGrid>
      <w:tr w14:paraId="6F694D65">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865" w:hRule="atLeast"/>
          <w:tblHeader/>
          <w:jc w:val="center"/>
        </w:trPr>
        <w:tc>
          <w:tcPr>
            <w:tcW w:w="632" w:type="dxa"/>
            <w:tcBorders>
              <w:top w:val="single" w:color="auto" w:sz="12" w:space="0"/>
              <w:bottom w:val="single" w:color="auto" w:sz="12" w:space="0"/>
            </w:tcBorders>
            <w:vAlign w:val="center"/>
          </w:tcPr>
          <w:p w14:paraId="2FAA8C4C">
            <w:pPr>
              <w:pStyle w:val="25"/>
              <w:ind w:firstLine="0" w:firstLineChars="0"/>
              <w:jc w:val="center"/>
              <w:rPr>
                <w:rFonts w:ascii="Times New Roman"/>
                <w:b/>
                <w:sz w:val="18"/>
                <w:szCs w:val="18"/>
              </w:rPr>
            </w:pPr>
            <w:r>
              <w:rPr>
                <w:rFonts w:ascii="Times New Roman"/>
                <w:b/>
                <w:sz w:val="18"/>
                <w:szCs w:val="18"/>
              </w:rPr>
              <w:t>一级指标</w:t>
            </w:r>
          </w:p>
        </w:tc>
        <w:tc>
          <w:tcPr>
            <w:tcW w:w="625" w:type="dxa"/>
            <w:tcBorders>
              <w:top w:val="single" w:color="auto" w:sz="12" w:space="0"/>
              <w:bottom w:val="single" w:color="auto" w:sz="12" w:space="0"/>
            </w:tcBorders>
            <w:vAlign w:val="center"/>
          </w:tcPr>
          <w:p w14:paraId="3CD5097D">
            <w:pPr>
              <w:pStyle w:val="25"/>
              <w:ind w:firstLine="0" w:firstLineChars="0"/>
              <w:jc w:val="center"/>
              <w:rPr>
                <w:rFonts w:ascii="Times New Roman"/>
                <w:b/>
                <w:sz w:val="18"/>
                <w:szCs w:val="18"/>
              </w:rPr>
            </w:pPr>
            <w:r>
              <w:rPr>
                <w:rFonts w:ascii="Times New Roman"/>
                <w:b/>
                <w:sz w:val="18"/>
                <w:szCs w:val="18"/>
              </w:rPr>
              <w:t>二级指标</w:t>
            </w:r>
          </w:p>
        </w:tc>
        <w:tc>
          <w:tcPr>
            <w:tcW w:w="2272" w:type="dxa"/>
            <w:tcBorders>
              <w:top w:val="single" w:color="auto" w:sz="12" w:space="0"/>
              <w:bottom w:val="single" w:color="auto" w:sz="12" w:space="0"/>
            </w:tcBorders>
            <w:vAlign w:val="center"/>
          </w:tcPr>
          <w:p w14:paraId="53D9DDFF">
            <w:pPr>
              <w:pStyle w:val="25"/>
              <w:ind w:firstLine="0" w:firstLineChars="0"/>
              <w:jc w:val="center"/>
              <w:rPr>
                <w:rFonts w:ascii="Times New Roman"/>
                <w:b/>
                <w:sz w:val="18"/>
                <w:szCs w:val="18"/>
              </w:rPr>
            </w:pPr>
            <w:r>
              <w:rPr>
                <w:rFonts w:hint="eastAsia" w:ascii="Times New Roman"/>
                <w:b/>
                <w:sz w:val="18"/>
                <w:szCs w:val="18"/>
              </w:rPr>
              <w:t>评价要求</w:t>
            </w:r>
          </w:p>
        </w:tc>
        <w:tc>
          <w:tcPr>
            <w:tcW w:w="4630" w:type="dxa"/>
            <w:tcBorders>
              <w:top w:val="single" w:color="auto" w:sz="12" w:space="0"/>
              <w:bottom w:val="single" w:color="auto" w:sz="12" w:space="0"/>
            </w:tcBorders>
            <w:vAlign w:val="center"/>
          </w:tcPr>
          <w:p w14:paraId="68265474">
            <w:pPr>
              <w:pStyle w:val="25"/>
              <w:ind w:firstLine="0" w:firstLineChars="0"/>
              <w:jc w:val="center"/>
              <w:rPr>
                <w:rFonts w:ascii="Times New Roman"/>
                <w:b/>
                <w:sz w:val="18"/>
                <w:szCs w:val="18"/>
              </w:rPr>
            </w:pPr>
            <w:r>
              <w:rPr>
                <w:rFonts w:hint="eastAsia" w:ascii="Times New Roman"/>
                <w:b/>
                <w:sz w:val="18"/>
                <w:szCs w:val="18"/>
              </w:rPr>
              <w:t>评分标准</w:t>
            </w:r>
          </w:p>
        </w:tc>
        <w:tc>
          <w:tcPr>
            <w:tcW w:w="705" w:type="dxa"/>
            <w:tcBorders>
              <w:top w:val="single" w:color="auto" w:sz="12" w:space="0"/>
              <w:bottom w:val="single" w:color="auto" w:sz="12" w:space="0"/>
            </w:tcBorders>
            <w:vAlign w:val="center"/>
          </w:tcPr>
          <w:p w14:paraId="2182D7A9">
            <w:pPr>
              <w:pStyle w:val="25"/>
              <w:ind w:firstLine="0" w:firstLineChars="0"/>
              <w:rPr>
                <w:rFonts w:ascii="Times New Roman"/>
                <w:b/>
                <w:sz w:val="18"/>
                <w:szCs w:val="18"/>
              </w:rPr>
            </w:pPr>
            <w:r>
              <w:rPr>
                <w:rFonts w:ascii="Times New Roman"/>
                <w:b/>
                <w:sz w:val="18"/>
                <w:szCs w:val="18"/>
              </w:rPr>
              <w:t>分值</w:t>
            </w:r>
            <w:r>
              <w:rPr>
                <w:rFonts w:hint="eastAsia" w:ascii="Times New Roman"/>
                <w:b/>
                <w:sz w:val="18"/>
                <w:szCs w:val="18"/>
              </w:rPr>
              <w:t>（分）</w:t>
            </w:r>
          </w:p>
        </w:tc>
        <w:tc>
          <w:tcPr>
            <w:tcW w:w="706" w:type="dxa"/>
            <w:tcBorders>
              <w:top w:val="single" w:color="auto" w:sz="12" w:space="0"/>
              <w:bottom w:val="single" w:color="auto" w:sz="12" w:space="0"/>
            </w:tcBorders>
            <w:vAlign w:val="center"/>
          </w:tcPr>
          <w:p w14:paraId="339828FD">
            <w:pPr>
              <w:pStyle w:val="25"/>
              <w:ind w:firstLine="0" w:firstLineChars="0"/>
              <w:rPr>
                <w:rFonts w:ascii="Times New Roman"/>
                <w:b/>
                <w:sz w:val="18"/>
                <w:szCs w:val="18"/>
              </w:rPr>
            </w:pPr>
            <w:r>
              <w:rPr>
                <w:rFonts w:ascii="Times New Roman"/>
                <w:b/>
                <w:sz w:val="18"/>
                <w:szCs w:val="18"/>
              </w:rPr>
              <w:t>得分</w:t>
            </w:r>
            <w:r>
              <w:rPr>
                <w:rFonts w:hint="eastAsia" w:ascii="Times New Roman"/>
                <w:b/>
                <w:sz w:val="18"/>
                <w:szCs w:val="18"/>
              </w:rPr>
              <w:t>（分）</w:t>
            </w:r>
          </w:p>
        </w:tc>
      </w:tr>
      <w:tr w14:paraId="0646BB68">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1958" w:hRule="atLeast"/>
          <w:jc w:val="center"/>
        </w:trPr>
        <w:tc>
          <w:tcPr>
            <w:tcW w:w="632" w:type="dxa"/>
            <w:vMerge w:val="restart"/>
            <w:tcBorders>
              <w:top w:val="single" w:color="auto" w:sz="12" w:space="0"/>
              <w:bottom w:val="single" w:color="auto" w:sz="4" w:space="0"/>
            </w:tcBorders>
            <w:vAlign w:val="center"/>
          </w:tcPr>
          <w:p w14:paraId="35CB1394">
            <w:pPr>
              <w:pStyle w:val="25"/>
              <w:ind w:firstLine="0" w:firstLineChars="0"/>
              <w:jc w:val="center"/>
              <w:rPr>
                <w:rFonts w:hAnsi="宋体" w:cs="宋体"/>
                <w:sz w:val="18"/>
                <w:szCs w:val="18"/>
              </w:rPr>
            </w:pPr>
            <w:r>
              <w:rPr>
                <w:rFonts w:hint="eastAsia" w:hAnsi="宋体" w:cs="宋体"/>
                <w:sz w:val="18"/>
                <w:szCs w:val="18"/>
              </w:rPr>
              <w:t>技术表现</w:t>
            </w:r>
          </w:p>
        </w:tc>
        <w:tc>
          <w:tcPr>
            <w:tcW w:w="625" w:type="dxa"/>
            <w:tcBorders>
              <w:top w:val="single" w:color="auto" w:sz="12" w:space="0"/>
              <w:bottom w:val="single" w:color="auto" w:sz="4" w:space="0"/>
            </w:tcBorders>
            <w:vAlign w:val="center"/>
          </w:tcPr>
          <w:p w14:paraId="4ABAE038">
            <w:pPr>
              <w:pStyle w:val="25"/>
              <w:ind w:firstLine="0" w:firstLineChars="0"/>
              <w:jc w:val="center"/>
              <w:rPr>
                <w:rFonts w:hAnsi="宋体" w:cs="宋体"/>
                <w:sz w:val="18"/>
                <w:szCs w:val="18"/>
              </w:rPr>
            </w:pPr>
            <w:r>
              <w:rPr>
                <w:rFonts w:hint="eastAsia" w:hAnsi="宋体" w:cs="宋体"/>
                <w:sz w:val="18"/>
                <w:szCs w:val="18"/>
              </w:rPr>
              <w:t>有效知识产权</w:t>
            </w:r>
          </w:p>
        </w:tc>
        <w:tc>
          <w:tcPr>
            <w:tcW w:w="2272" w:type="dxa"/>
            <w:tcBorders>
              <w:top w:val="single" w:color="auto" w:sz="12" w:space="0"/>
              <w:bottom w:val="single" w:color="auto" w:sz="4" w:space="0"/>
            </w:tcBorders>
            <w:vAlign w:val="center"/>
          </w:tcPr>
          <w:p w14:paraId="7E389ACF">
            <w:pPr>
              <w:pStyle w:val="25"/>
              <w:ind w:firstLine="0" w:firstLineChars="0"/>
              <w:rPr>
                <w:rFonts w:hAnsi="宋体" w:cs="宋体"/>
                <w:sz w:val="18"/>
                <w:szCs w:val="18"/>
              </w:rPr>
            </w:pPr>
            <w:r>
              <w:rPr>
                <w:rFonts w:hint="eastAsia" w:hAnsi="宋体" w:cs="宋体"/>
                <w:sz w:val="18"/>
                <w:szCs w:val="18"/>
              </w:rPr>
              <w:t>项目直接应用的、与智能电网建设运营领域相关的有效知识产权，按知识产权类别和知识产权获得形式加权计算数量</w:t>
            </w:r>
          </w:p>
        </w:tc>
        <w:tc>
          <w:tcPr>
            <w:tcW w:w="4630" w:type="dxa"/>
            <w:tcBorders>
              <w:top w:val="single" w:color="auto" w:sz="12" w:space="0"/>
              <w:bottom w:val="single" w:color="auto" w:sz="4" w:space="0"/>
            </w:tcBorders>
            <w:vAlign w:val="center"/>
          </w:tcPr>
          <w:p w14:paraId="5C97E890">
            <w:pPr>
              <w:pStyle w:val="25"/>
              <w:ind w:firstLine="0" w:firstLineChars="0"/>
              <w:jc w:val="left"/>
              <w:rPr>
                <w:rFonts w:hAnsi="宋体" w:cs="宋体"/>
                <w:sz w:val="18"/>
                <w:szCs w:val="18"/>
              </w:rPr>
            </w:pPr>
            <w:r>
              <w:rPr>
                <w:rFonts w:hint="eastAsia" w:hAnsi="宋体" w:cs="宋体"/>
                <w:sz w:val="18"/>
                <w:szCs w:val="18"/>
              </w:rPr>
              <w:t>a.有效知识产权的应用数量处于行业领先水平。(14分,20分]</w:t>
            </w:r>
          </w:p>
          <w:p w14:paraId="4AC1D5C5">
            <w:pPr>
              <w:pStyle w:val="25"/>
              <w:ind w:firstLine="0" w:firstLineChars="0"/>
              <w:jc w:val="left"/>
              <w:rPr>
                <w:rFonts w:hAnsi="宋体" w:cs="宋体"/>
                <w:sz w:val="18"/>
                <w:szCs w:val="18"/>
              </w:rPr>
            </w:pPr>
            <w:r>
              <w:rPr>
                <w:rFonts w:hint="eastAsia" w:hAnsi="宋体" w:cs="宋体"/>
                <w:sz w:val="18"/>
                <w:szCs w:val="18"/>
              </w:rPr>
              <w:t>b.有效知识产权的应用数量处于行业良好水平。(7分,14分]</w:t>
            </w:r>
          </w:p>
          <w:p w14:paraId="0932D145">
            <w:pPr>
              <w:pStyle w:val="25"/>
              <w:ind w:firstLine="0" w:firstLineChars="0"/>
              <w:jc w:val="left"/>
              <w:rPr>
                <w:rFonts w:hAnsi="宋体" w:cs="宋体"/>
                <w:sz w:val="18"/>
                <w:szCs w:val="18"/>
              </w:rPr>
            </w:pPr>
            <w:r>
              <w:rPr>
                <w:rFonts w:hint="eastAsia" w:hAnsi="宋体" w:cs="宋体"/>
                <w:sz w:val="18"/>
                <w:szCs w:val="18"/>
              </w:rPr>
              <w:t>c.有效知识产权的应用数量处于行业一般水平。[0分,7分]</w:t>
            </w:r>
          </w:p>
        </w:tc>
        <w:tc>
          <w:tcPr>
            <w:tcW w:w="705" w:type="dxa"/>
            <w:tcBorders>
              <w:top w:val="single" w:color="auto" w:sz="12" w:space="0"/>
              <w:bottom w:val="single" w:color="auto" w:sz="4" w:space="0"/>
            </w:tcBorders>
            <w:vAlign w:val="center"/>
          </w:tcPr>
          <w:p w14:paraId="7D92EA5A">
            <w:pPr>
              <w:pStyle w:val="25"/>
              <w:ind w:firstLine="0" w:firstLineChars="0"/>
              <w:jc w:val="center"/>
              <w:rPr>
                <w:rFonts w:hAnsi="宋体" w:cs="宋体"/>
                <w:sz w:val="18"/>
                <w:szCs w:val="18"/>
              </w:rPr>
            </w:pPr>
            <w:r>
              <w:rPr>
                <w:rFonts w:hint="eastAsia" w:hAnsi="宋体" w:cs="宋体"/>
                <w:sz w:val="18"/>
                <w:szCs w:val="18"/>
              </w:rPr>
              <w:t>20</w:t>
            </w:r>
          </w:p>
        </w:tc>
        <w:tc>
          <w:tcPr>
            <w:tcW w:w="706" w:type="dxa"/>
            <w:tcBorders>
              <w:top w:val="single" w:color="auto" w:sz="12" w:space="0"/>
              <w:bottom w:val="single" w:color="auto" w:sz="4" w:space="0"/>
            </w:tcBorders>
            <w:vAlign w:val="center"/>
          </w:tcPr>
          <w:p w14:paraId="083577EF">
            <w:pPr>
              <w:pStyle w:val="25"/>
              <w:ind w:firstLine="0" w:firstLineChars="0"/>
              <w:jc w:val="center"/>
              <w:rPr>
                <w:rFonts w:ascii="Times New Roman"/>
                <w:sz w:val="18"/>
                <w:szCs w:val="18"/>
              </w:rPr>
            </w:pPr>
          </w:p>
        </w:tc>
      </w:tr>
      <w:tr w14:paraId="48496C8B">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1964" w:hRule="atLeast"/>
          <w:jc w:val="center"/>
        </w:trPr>
        <w:tc>
          <w:tcPr>
            <w:tcW w:w="632" w:type="dxa"/>
            <w:vMerge w:val="continue"/>
            <w:tcBorders>
              <w:top w:val="single" w:color="auto" w:sz="4" w:space="0"/>
              <w:bottom w:val="single" w:color="auto" w:sz="4" w:space="0"/>
            </w:tcBorders>
            <w:vAlign w:val="center"/>
          </w:tcPr>
          <w:p w14:paraId="6290455E">
            <w:pPr>
              <w:pStyle w:val="25"/>
              <w:ind w:firstLine="0" w:firstLineChars="0"/>
              <w:jc w:val="center"/>
              <w:rPr>
                <w:rFonts w:hAnsi="宋体" w:cs="宋体"/>
                <w:sz w:val="18"/>
                <w:szCs w:val="18"/>
              </w:rPr>
            </w:pPr>
          </w:p>
        </w:tc>
        <w:tc>
          <w:tcPr>
            <w:tcW w:w="625" w:type="dxa"/>
            <w:tcBorders>
              <w:top w:val="single" w:color="auto" w:sz="4" w:space="0"/>
              <w:bottom w:val="single" w:color="auto" w:sz="4" w:space="0"/>
            </w:tcBorders>
            <w:vAlign w:val="center"/>
          </w:tcPr>
          <w:p w14:paraId="53C21704">
            <w:pPr>
              <w:pStyle w:val="25"/>
              <w:ind w:firstLine="0" w:firstLineChars="0"/>
              <w:jc w:val="center"/>
              <w:rPr>
                <w:rFonts w:hAnsi="宋体" w:cs="宋体"/>
                <w:sz w:val="18"/>
                <w:szCs w:val="18"/>
              </w:rPr>
            </w:pPr>
            <w:r>
              <w:rPr>
                <w:rFonts w:hint="eastAsia" w:hAnsi="宋体" w:cs="宋体"/>
                <w:sz w:val="18"/>
                <w:szCs w:val="18"/>
              </w:rPr>
              <w:t>关键技术先进性</w:t>
            </w:r>
          </w:p>
        </w:tc>
        <w:tc>
          <w:tcPr>
            <w:tcW w:w="2272" w:type="dxa"/>
            <w:tcBorders>
              <w:top w:val="single" w:color="auto" w:sz="4" w:space="0"/>
              <w:bottom w:val="single" w:color="auto" w:sz="4" w:space="0"/>
            </w:tcBorders>
            <w:vAlign w:val="center"/>
          </w:tcPr>
          <w:p w14:paraId="57F9D58F">
            <w:pPr>
              <w:pStyle w:val="25"/>
              <w:ind w:firstLine="0" w:firstLineChars="0"/>
              <w:rPr>
                <w:rFonts w:hAnsi="宋体" w:cs="宋体"/>
                <w:sz w:val="18"/>
                <w:szCs w:val="18"/>
              </w:rPr>
            </w:pPr>
            <w:r>
              <w:rPr>
                <w:rFonts w:hint="eastAsia" w:hAnsi="宋体" w:cs="宋体"/>
                <w:sz w:val="18"/>
                <w:szCs w:val="18"/>
              </w:rPr>
              <w:t>应用的关键技术在行业内或地区内的领先水平</w:t>
            </w:r>
          </w:p>
        </w:tc>
        <w:tc>
          <w:tcPr>
            <w:tcW w:w="4630" w:type="dxa"/>
            <w:tcBorders>
              <w:top w:val="single" w:color="auto" w:sz="4" w:space="0"/>
              <w:bottom w:val="single" w:color="auto" w:sz="4" w:space="0"/>
            </w:tcBorders>
            <w:vAlign w:val="center"/>
          </w:tcPr>
          <w:p w14:paraId="2682B860">
            <w:pPr>
              <w:pStyle w:val="25"/>
              <w:ind w:firstLine="0" w:firstLineChars="0"/>
              <w:jc w:val="left"/>
              <w:rPr>
                <w:rFonts w:hAnsi="宋体" w:cs="宋体"/>
                <w:sz w:val="18"/>
                <w:szCs w:val="18"/>
              </w:rPr>
            </w:pPr>
            <w:r>
              <w:rPr>
                <w:rFonts w:hint="eastAsia" w:hAnsi="宋体" w:cs="宋体"/>
                <w:sz w:val="18"/>
                <w:szCs w:val="18"/>
              </w:rPr>
              <w:t>a.关键技术处于行业领先水平，具有显著技术引领作用。(15分,20分]</w:t>
            </w:r>
          </w:p>
          <w:p w14:paraId="7FE80427">
            <w:pPr>
              <w:pStyle w:val="25"/>
              <w:ind w:firstLine="0" w:firstLineChars="0"/>
              <w:jc w:val="left"/>
              <w:rPr>
                <w:rFonts w:hAnsi="宋体" w:cs="宋体"/>
                <w:sz w:val="18"/>
                <w:szCs w:val="18"/>
              </w:rPr>
            </w:pPr>
            <w:r>
              <w:rPr>
                <w:rFonts w:hint="eastAsia" w:hAnsi="宋体" w:cs="宋体"/>
                <w:sz w:val="18"/>
                <w:szCs w:val="18"/>
              </w:rPr>
              <w:t>b.关键技术处于行业较好水平，具有一定技术推动作用。(10分,15分]</w:t>
            </w:r>
          </w:p>
          <w:p w14:paraId="02F43EBD">
            <w:pPr>
              <w:pStyle w:val="25"/>
              <w:ind w:firstLine="0" w:firstLineChars="0"/>
              <w:jc w:val="left"/>
              <w:rPr>
                <w:rFonts w:hAnsi="宋体" w:cs="宋体"/>
                <w:sz w:val="18"/>
                <w:szCs w:val="18"/>
              </w:rPr>
            </w:pPr>
            <w:r>
              <w:rPr>
                <w:rFonts w:hint="eastAsia" w:hAnsi="宋体" w:cs="宋体"/>
                <w:sz w:val="18"/>
                <w:szCs w:val="18"/>
              </w:rPr>
              <w:t>c.关键技术处于行业平均水平。(</w:t>
            </w:r>
            <w:r>
              <w:rPr>
                <w:rFonts w:hAnsi="宋体" w:cs="宋体"/>
                <w:sz w:val="18"/>
                <w:szCs w:val="18"/>
              </w:rPr>
              <w:t>0</w:t>
            </w:r>
            <w:r>
              <w:rPr>
                <w:rFonts w:hint="eastAsia" w:hAnsi="宋体" w:cs="宋体"/>
                <w:sz w:val="18"/>
                <w:szCs w:val="18"/>
              </w:rPr>
              <w:t>分,</w:t>
            </w:r>
            <w:r>
              <w:rPr>
                <w:rFonts w:hAnsi="宋体" w:cs="宋体"/>
                <w:sz w:val="18"/>
                <w:szCs w:val="18"/>
              </w:rPr>
              <w:t>10</w:t>
            </w:r>
            <w:r>
              <w:rPr>
                <w:rFonts w:hint="eastAsia" w:hAnsi="宋体" w:cs="宋体"/>
                <w:sz w:val="18"/>
                <w:szCs w:val="18"/>
              </w:rPr>
              <w:t>分]</w:t>
            </w:r>
          </w:p>
          <w:p w14:paraId="6F1781CB">
            <w:pPr>
              <w:pStyle w:val="25"/>
              <w:ind w:firstLine="0" w:firstLineChars="0"/>
              <w:jc w:val="left"/>
              <w:rPr>
                <w:rFonts w:hAnsi="宋体" w:cs="宋体"/>
                <w:sz w:val="18"/>
                <w:szCs w:val="18"/>
              </w:rPr>
            </w:pPr>
            <w:r>
              <w:rPr>
                <w:rFonts w:hint="eastAsia" w:hAnsi="宋体" w:cs="宋体"/>
                <w:sz w:val="18"/>
                <w:szCs w:val="18"/>
              </w:rPr>
              <w:t>d.未满足上述任何一项。（0分）</w:t>
            </w:r>
          </w:p>
        </w:tc>
        <w:tc>
          <w:tcPr>
            <w:tcW w:w="705" w:type="dxa"/>
            <w:tcBorders>
              <w:top w:val="single" w:color="auto" w:sz="4" w:space="0"/>
              <w:bottom w:val="single" w:color="auto" w:sz="4" w:space="0"/>
            </w:tcBorders>
            <w:vAlign w:val="center"/>
          </w:tcPr>
          <w:p w14:paraId="73DB3E3C">
            <w:pPr>
              <w:pStyle w:val="25"/>
              <w:ind w:firstLine="0" w:firstLineChars="0"/>
              <w:jc w:val="center"/>
              <w:rPr>
                <w:rFonts w:hAnsi="宋体" w:cs="宋体"/>
                <w:sz w:val="18"/>
                <w:szCs w:val="18"/>
              </w:rPr>
            </w:pPr>
            <w:r>
              <w:rPr>
                <w:rFonts w:hint="eastAsia" w:hAnsi="宋体" w:cs="宋体"/>
                <w:sz w:val="18"/>
                <w:szCs w:val="18"/>
              </w:rPr>
              <w:t>20</w:t>
            </w:r>
          </w:p>
        </w:tc>
        <w:tc>
          <w:tcPr>
            <w:tcW w:w="706" w:type="dxa"/>
            <w:tcBorders>
              <w:top w:val="single" w:color="auto" w:sz="4" w:space="0"/>
              <w:bottom w:val="single" w:color="auto" w:sz="4" w:space="0"/>
            </w:tcBorders>
            <w:vAlign w:val="center"/>
          </w:tcPr>
          <w:p w14:paraId="3CEF6D85">
            <w:pPr>
              <w:pStyle w:val="25"/>
              <w:ind w:firstLine="0" w:firstLineChars="0"/>
              <w:jc w:val="center"/>
              <w:rPr>
                <w:rFonts w:ascii="Times New Roman"/>
                <w:sz w:val="18"/>
                <w:szCs w:val="18"/>
              </w:rPr>
            </w:pPr>
          </w:p>
        </w:tc>
      </w:tr>
    </w:tbl>
    <w:p w14:paraId="442924AD">
      <w:pPr>
        <w:spacing w:before="156" w:beforeLines="50" w:after="156" w:afterLines="50"/>
        <w:jc w:val="center"/>
        <w:rPr>
          <w:rFonts w:eastAsia="黑体"/>
        </w:rPr>
      </w:pPr>
      <w:r>
        <w:rPr>
          <w:rFonts w:hint="eastAsia" w:ascii="黑体" w:hAnsi="黑体" w:eastAsia="黑体" w:cs="黑体"/>
          <w:szCs w:val="21"/>
        </w:rPr>
        <w:t>表E.4  智能电网建设运营领域绿色低碳产业项目认定综合评价指标</w:t>
      </w:r>
      <w:r>
        <w:rPr>
          <w:rFonts w:hint="eastAsia" w:ascii="宋体" w:hAnsi="宋体" w:cs="宋体"/>
          <w:szCs w:val="21"/>
        </w:rPr>
        <w:t>（续）</w:t>
      </w:r>
    </w:p>
    <w:tbl>
      <w:tblPr>
        <w:tblStyle w:val="36"/>
        <w:tblpPr w:leftFromText="180" w:rightFromText="180" w:vertAnchor="text" w:tblpXSpec="center" w:tblpY="1"/>
        <w:tblOverlap w:val="never"/>
        <w:tblW w:w="9570"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Layout w:type="fixed"/>
        <w:tblCellMar>
          <w:top w:w="0" w:type="dxa"/>
          <w:left w:w="108" w:type="dxa"/>
          <w:bottom w:w="0" w:type="dxa"/>
          <w:right w:w="108" w:type="dxa"/>
        </w:tblCellMar>
      </w:tblPr>
      <w:tblGrid>
        <w:gridCol w:w="632"/>
        <w:gridCol w:w="741"/>
        <w:gridCol w:w="2757"/>
        <w:gridCol w:w="4029"/>
        <w:gridCol w:w="705"/>
        <w:gridCol w:w="706"/>
      </w:tblGrid>
      <w:tr w14:paraId="37221A9D">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jc w:val="center"/>
        </w:trPr>
        <w:tc>
          <w:tcPr>
            <w:tcW w:w="632" w:type="dxa"/>
            <w:tcBorders>
              <w:top w:val="single" w:color="auto" w:sz="12" w:space="0"/>
              <w:bottom w:val="single" w:color="auto" w:sz="12" w:space="0"/>
            </w:tcBorders>
            <w:vAlign w:val="center"/>
          </w:tcPr>
          <w:p w14:paraId="7970CE8C">
            <w:pPr>
              <w:pStyle w:val="25"/>
              <w:ind w:firstLine="0" w:firstLineChars="0"/>
              <w:jc w:val="center"/>
              <w:rPr>
                <w:rFonts w:hAnsi="宋体" w:cs="宋体"/>
                <w:sz w:val="18"/>
                <w:szCs w:val="18"/>
              </w:rPr>
            </w:pPr>
            <w:r>
              <w:rPr>
                <w:rFonts w:ascii="Times New Roman"/>
                <w:b/>
                <w:sz w:val="18"/>
                <w:szCs w:val="18"/>
              </w:rPr>
              <w:t>一级指标</w:t>
            </w:r>
          </w:p>
        </w:tc>
        <w:tc>
          <w:tcPr>
            <w:tcW w:w="741" w:type="dxa"/>
            <w:tcBorders>
              <w:top w:val="single" w:color="auto" w:sz="12" w:space="0"/>
              <w:bottom w:val="single" w:color="auto" w:sz="12" w:space="0"/>
            </w:tcBorders>
            <w:vAlign w:val="center"/>
          </w:tcPr>
          <w:p w14:paraId="77B0B88F">
            <w:pPr>
              <w:pStyle w:val="25"/>
              <w:ind w:firstLine="0" w:firstLineChars="0"/>
              <w:jc w:val="center"/>
              <w:rPr>
                <w:rFonts w:hAnsi="宋体" w:cs="宋体"/>
                <w:sz w:val="18"/>
                <w:szCs w:val="18"/>
              </w:rPr>
            </w:pPr>
            <w:r>
              <w:rPr>
                <w:rFonts w:ascii="Times New Roman"/>
                <w:b/>
                <w:sz w:val="18"/>
                <w:szCs w:val="18"/>
              </w:rPr>
              <w:t>二级指标</w:t>
            </w:r>
          </w:p>
        </w:tc>
        <w:tc>
          <w:tcPr>
            <w:tcW w:w="2757" w:type="dxa"/>
            <w:tcBorders>
              <w:top w:val="single" w:color="auto" w:sz="12" w:space="0"/>
              <w:bottom w:val="single" w:color="auto" w:sz="12" w:space="0"/>
            </w:tcBorders>
            <w:vAlign w:val="center"/>
          </w:tcPr>
          <w:p w14:paraId="51A52EC6">
            <w:pPr>
              <w:pStyle w:val="25"/>
              <w:ind w:firstLine="0" w:firstLineChars="0"/>
              <w:jc w:val="center"/>
              <w:rPr>
                <w:rFonts w:hAnsi="宋体" w:cs="宋体"/>
                <w:sz w:val="18"/>
                <w:szCs w:val="18"/>
              </w:rPr>
            </w:pPr>
            <w:r>
              <w:rPr>
                <w:rFonts w:hint="eastAsia" w:ascii="Times New Roman"/>
                <w:b/>
                <w:sz w:val="18"/>
                <w:szCs w:val="18"/>
              </w:rPr>
              <w:t>评价要求</w:t>
            </w:r>
          </w:p>
        </w:tc>
        <w:tc>
          <w:tcPr>
            <w:tcW w:w="4029" w:type="dxa"/>
            <w:tcBorders>
              <w:top w:val="single" w:color="auto" w:sz="12" w:space="0"/>
              <w:bottom w:val="single" w:color="auto" w:sz="12" w:space="0"/>
            </w:tcBorders>
            <w:vAlign w:val="center"/>
          </w:tcPr>
          <w:p w14:paraId="49004044">
            <w:pPr>
              <w:pStyle w:val="25"/>
              <w:ind w:firstLine="0" w:firstLineChars="0"/>
              <w:jc w:val="center"/>
              <w:rPr>
                <w:rFonts w:hAnsi="宋体" w:cs="宋体"/>
                <w:sz w:val="18"/>
                <w:szCs w:val="18"/>
              </w:rPr>
            </w:pPr>
            <w:r>
              <w:rPr>
                <w:rFonts w:hint="eastAsia" w:ascii="Times New Roman"/>
                <w:b/>
                <w:sz w:val="18"/>
                <w:szCs w:val="18"/>
              </w:rPr>
              <w:t>评分标准</w:t>
            </w:r>
          </w:p>
        </w:tc>
        <w:tc>
          <w:tcPr>
            <w:tcW w:w="705" w:type="dxa"/>
            <w:tcBorders>
              <w:top w:val="single" w:color="auto" w:sz="12" w:space="0"/>
              <w:bottom w:val="single" w:color="auto" w:sz="12" w:space="0"/>
            </w:tcBorders>
            <w:vAlign w:val="center"/>
          </w:tcPr>
          <w:p w14:paraId="29AE3E7B">
            <w:pPr>
              <w:pStyle w:val="25"/>
              <w:ind w:firstLine="0" w:firstLineChars="0"/>
              <w:rPr>
                <w:rFonts w:hAnsi="宋体" w:cs="宋体"/>
                <w:sz w:val="18"/>
                <w:szCs w:val="18"/>
              </w:rPr>
            </w:pPr>
            <w:r>
              <w:rPr>
                <w:rFonts w:ascii="Times New Roman"/>
                <w:b/>
                <w:sz w:val="18"/>
                <w:szCs w:val="18"/>
              </w:rPr>
              <w:t>分值</w:t>
            </w:r>
            <w:r>
              <w:rPr>
                <w:rFonts w:hint="eastAsia" w:ascii="Times New Roman"/>
                <w:b/>
                <w:sz w:val="18"/>
                <w:szCs w:val="18"/>
              </w:rPr>
              <w:t>（分）</w:t>
            </w:r>
          </w:p>
        </w:tc>
        <w:tc>
          <w:tcPr>
            <w:tcW w:w="706" w:type="dxa"/>
            <w:tcBorders>
              <w:top w:val="single" w:color="auto" w:sz="12" w:space="0"/>
              <w:bottom w:val="single" w:color="auto" w:sz="12" w:space="0"/>
            </w:tcBorders>
            <w:vAlign w:val="center"/>
          </w:tcPr>
          <w:p w14:paraId="1C9FBCFE">
            <w:pPr>
              <w:pStyle w:val="25"/>
              <w:ind w:firstLine="0" w:firstLineChars="0"/>
              <w:rPr>
                <w:rFonts w:ascii="Times New Roman"/>
                <w:sz w:val="18"/>
                <w:szCs w:val="18"/>
              </w:rPr>
            </w:pPr>
            <w:r>
              <w:rPr>
                <w:rFonts w:ascii="Times New Roman"/>
                <w:b/>
                <w:sz w:val="18"/>
                <w:szCs w:val="18"/>
              </w:rPr>
              <w:t>得分</w:t>
            </w:r>
            <w:r>
              <w:rPr>
                <w:rFonts w:hint="eastAsia" w:ascii="Times New Roman"/>
                <w:b/>
                <w:sz w:val="18"/>
                <w:szCs w:val="18"/>
              </w:rPr>
              <w:t>（分）</w:t>
            </w:r>
          </w:p>
        </w:tc>
      </w:tr>
      <w:tr w14:paraId="45204403">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jc w:val="center"/>
        </w:trPr>
        <w:tc>
          <w:tcPr>
            <w:tcW w:w="632" w:type="dxa"/>
            <w:tcBorders>
              <w:top w:val="single" w:color="auto" w:sz="12" w:space="0"/>
              <w:left w:val="single" w:color="auto" w:sz="12" w:space="0"/>
              <w:bottom w:val="single" w:color="auto" w:sz="4" w:space="0"/>
              <w:tl2br w:val="nil"/>
              <w:tr2bl w:val="nil"/>
            </w:tcBorders>
            <w:vAlign w:val="center"/>
          </w:tcPr>
          <w:p w14:paraId="1880F1A7">
            <w:pPr>
              <w:pStyle w:val="25"/>
              <w:ind w:firstLine="0" w:firstLineChars="0"/>
              <w:jc w:val="center"/>
              <w:rPr>
                <w:rFonts w:hint="eastAsia" w:hAnsi="宋体" w:cs="宋体"/>
                <w:sz w:val="18"/>
                <w:szCs w:val="18"/>
              </w:rPr>
            </w:pPr>
            <w:r>
              <w:rPr>
                <w:rFonts w:hint="eastAsia" w:hAnsi="宋体" w:cs="宋体"/>
                <w:sz w:val="18"/>
                <w:szCs w:val="18"/>
              </w:rPr>
              <w:t>技术表现</w:t>
            </w:r>
          </w:p>
        </w:tc>
        <w:tc>
          <w:tcPr>
            <w:tcW w:w="741" w:type="dxa"/>
            <w:tcBorders>
              <w:top w:val="single" w:color="auto" w:sz="12" w:space="0"/>
              <w:bottom w:val="single" w:color="auto" w:sz="4" w:space="0"/>
              <w:tl2br w:val="nil"/>
              <w:tr2bl w:val="nil"/>
            </w:tcBorders>
            <w:vAlign w:val="center"/>
          </w:tcPr>
          <w:p w14:paraId="25C348F2">
            <w:pPr>
              <w:pStyle w:val="25"/>
              <w:ind w:firstLine="0" w:firstLineChars="0"/>
              <w:rPr>
                <w:rFonts w:hint="eastAsia" w:hAnsi="宋体" w:cs="宋体"/>
                <w:sz w:val="18"/>
                <w:szCs w:val="18"/>
              </w:rPr>
            </w:pPr>
            <w:r>
              <w:rPr>
                <w:rFonts w:hint="eastAsia" w:hAnsi="宋体" w:cs="宋体"/>
                <w:sz w:val="18"/>
                <w:szCs w:val="18"/>
              </w:rPr>
              <w:t>环境效益</w:t>
            </w:r>
          </w:p>
        </w:tc>
        <w:tc>
          <w:tcPr>
            <w:tcW w:w="2757" w:type="dxa"/>
            <w:tcBorders>
              <w:top w:val="single" w:color="auto" w:sz="12" w:space="0"/>
              <w:bottom w:val="single" w:color="auto" w:sz="4" w:space="0"/>
              <w:tl2br w:val="nil"/>
              <w:tr2bl w:val="nil"/>
            </w:tcBorders>
            <w:vAlign w:val="center"/>
          </w:tcPr>
          <w:p w14:paraId="4FD22502">
            <w:pPr>
              <w:pStyle w:val="25"/>
              <w:ind w:firstLine="0" w:firstLineChars="0"/>
              <w:rPr>
                <w:rFonts w:hint="eastAsia" w:hAnsi="宋体" w:cs="宋体"/>
                <w:sz w:val="18"/>
                <w:szCs w:val="18"/>
              </w:rPr>
            </w:pPr>
            <w:r>
              <w:rPr>
                <w:rFonts w:hint="eastAsia" w:hAnsi="宋体" w:cs="宋体"/>
                <w:sz w:val="18"/>
                <w:szCs w:val="18"/>
              </w:rPr>
              <w:t>在智能电网建设运营领域，采购方应用项目相关产品或服务过程中取得的资源节约、环境友好、生态良好相关实际环境效益贡献量及影响广度</w:t>
            </w:r>
          </w:p>
        </w:tc>
        <w:tc>
          <w:tcPr>
            <w:tcW w:w="4029" w:type="dxa"/>
            <w:tcBorders>
              <w:top w:val="single" w:color="auto" w:sz="12" w:space="0"/>
              <w:bottom w:val="single" w:color="auto" w:sz="4" w:space="0"/>
              <w:tl2br w:val="nil"/>
              <w:tr2bl w:val="nil"/>
            </w:tcBorders>
            <w:vAlign w:val="center"/>
          </w:tcPr>
          <w:p w14:paraId="51794C90">
            <w:pPr>
              <w:pStyle w:val="25"/>
              <w:ind w:firstLine="0" w:firstLineChars="0"/>
              <w:jc w:val="left"/>
              <w:rPr>
                <w:rFonts w:hAnsi="宋体" w:cs="宋体"/>
                <w:sz w:val="18"/>
                <w:szCs w:val="18"/>
              </w:rPr>
            </w:pPr>
            <w:r>
              <w:rPr>
                <w:rFonts w:hint="eastAsia" w:hAnsi="宋体" w:cs="宋体"/>
                <w:sz w:val="18"/>
                <w:szCs w:val="18"/>
              </w:rPr>
              <w:t>a.取得的环境效益效果显著，处于行业领先水平。(15分,20分]</w:t>
            </w:r>
          </w:p>
          <w:p w14:paraId="357B2161">
            <w:pPr>
              <w:pStyle w:val="25"/>
              <w:ind w:firstLine="0" w:firstLineChars="0"/>
              <w:jc w:val="left"/>
              <w:rPr>
                <w:rFonts w:hAnsi="宋体" w:cs="宋体"/>
                <w:sz w:val="18"/>
                <w:szCs w:val="18"/>
              </w:rPr>
            </w:pPr>
            <w:r>
              <w:rPr>
                <w:rFonts w:hint="eastAsia" w:hAnsi="宋体" w:cs="宋体"/>
                <w:sz w:val="18"/>
                <w:szCs w:val="18"/>
              </w:rPr>
              <w:t>b.取得的环境效益效果较好，处于行业良好水平。(10分,15分]</w:t>
            </w:r>
          </w:p>
          <w:p w14:paraId="4BE2A74D">
            <w:pPr>
              <w:pStyle w:val="25"/>
              <w:ind w:firstLine="0" w:firstLineChars="0"/>
              <w:rPr>
                <w:rFonts w:hint="eastAsia" w:hAnsi="宋体" w:cs="宋体"/>
                <w:sz w:val="18"/>
                <w:szCs w:val="18"/>
              </w:rPr>
            </w:pPr>
            <w:r>
              <w:rPr>
                <w:rFonts w:hint="eastAsia" w:hAnsi="宋体" w:cs="宋体"/>
                <w:sz w:val="18"/>
                <w:szCs w:val="18"/>
              </w:rPr>
              <w:t>c.取得的环境效益效果一般，处于行业一般水平。[0分,10分]</w:t>
            </w:r>
          </w:p>
        </w:tc>
        <w:tc>
          <w:tcPr>
            <w:tcW w:w="705" w:type="dxa"/>
            <w:tcBorders>
              <w:top w:val="single" w:color="auto" w:sz="12" w:space="0"/>
              <w:bottom w:val="single" w:color="auto" w:sz="4" w:space="0"/>
              <w:tl2br w:val="nil"/>
              <w:tr2bl w:val="nil"/>
            </w:tcBorders>
            <w:vAlign w:val="center"/>
          </w:tcPr>
          <w:p w14:paraId="51390C30">
            <w:pPr>
              <w:pStyle w:val="25"/>
              <w:ind w:firstLine="0" w:firstLineChars="0"/>
              <w:jc w:val="center"/>
              <w:rPr>
                <w:rFonts w:hint="eastAsia" w:hAnsi="宋体" w:cs="宋体"/>
                <w:sz w:val="18"/>
                <w:szCs w:val="18"/>
              </w:rPr>
            </w:pPr>
            <w:r>
              <w:rPr>
                <w:rFonts w:hint="eastAsia" w:hAnsi="宋体" w:cs="宋体"/>
                <w:sz w:val="18"/>
                <w:szCs w:val="18"/>
              </w:rPr>
              <w:t>20</w:t>
            </w:r>
          </w:p>
        </w:tc>
        <w:tc>
          <w:tcPr>
            <w:tcW w:w="706" w:type="dxa"/>
            <w:tcBorders>
              <w:top w:val="single" w:color="auto" w:sz="12" w:space="0"/>
              <w:bottom w:val="single" w:color="auto" w:sz="4" w:space="0"/>
              <w:tl2br w:val="nil"/>
              <w:tr2bl w:val="nil"/>
            </w:tcBorders>
            <w:vAlign w:val="center"/>
          </w:tcPr>
          <w:p w14:paraId="149577C4">
            <w:pPr>
              <w:pStyle w:val="25"/>
              <w:ind w:firstLine="0" w:firstLineChars="0"/>
              <w:jc w:val="center"/>
              <w:rPr>
                <w:rFonts w:hAnsi="宋体" w:cs="宋体"/>
                <w:sz w:val="18"/>
                <w:szCs w:val="18"/>
              </w:rPr>
            </w:pPr>
          </w:p>
        </w:tc>
      </w:tr>
      <w:tr w14:paraId="77505A80">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jc w:val="center"/>
        </w:trPr>
        <w:tc>
          <w:tcPr>
            <w:tcW w:w="632" w:type="dxa"/>
            <w:vMerge w:val="restart"/>
            <w:tcBorders>
              <w:top w:val="single" w:color="auto" w:sz="4" w:space="0"/>
              <w:left w:val="single" w:color="auto" w:sz="12" w:space="0"/>
              <w:bottom w:val="single" w:color="auto" w:sz="4" w:space="0"/>
              <w:tl2br w:val="nil"/>
              <w:tr2bl w:val="nil"/>
            </w:tcBorders>
            <w:vAlign w:val="center"/>
          </w:tcPr>
          <w:p w14:paraId="0E61599F">
            <w:pPr>
              <w:pStyle w:val="25"/>
              <w:ind w:firstLine="360"/>
              <w:jc w:val="center"/>
              <w:rPr>
                <w:rFonts w:hint="eastAsia" w:hAnsi="宋体" w:cs="宋体"/>
                <w:sz w:val="18"/>
                <w:szCs w:val="18"/>
              </w:rPr>
            </w:pPr>
            <w:r>
              <w:rPr>
                <w:rFonts w:hint="eastAsia" w:hAnsi="宋体" w:cs="宋体"/>
                <w:sz w:val="18"/>
                <w:szCs w:val="18"/>
              </w:rPr>
              <w:t>环境表现</w:t>
            </w:r>
          </w:p>
        </w:tc>
        <w:tc>
          <w:tcPr>
            <w:tcW w:w="741" w:type="dxa"/>
            <w:tcBorders>
              <w:top w:val="single" w:color="auto" w:sz="4" w:space="0"/>
              <w:bottom w:val="single" w:color="auto" w:sz="4" w:space="0"/>
              <w:tl2br w:val="nil"/>
              <w:tr2bl w:val="nil"/>
            </w:tcBorders>
            <w:vAlign w:val="center"/>
          </w:tcPr>
          <w:p w14:paraId="47B7EEAB">
            <w:pPr>
              <w:pStyle w:val="25"/>
              <w:ind w:firstLine="0" w:firstLineChars="0"/>
              <w:rPr>
                <w:rFonts w:hint="eastAsia" w:hAnsi="宋体" w:cs="宋体"/>
                <w:sz w:val="18"/>
                <w:szCs w:val="18"/>
              </w:rPr>
            </w:pPr>
            <w:r>
              <w:rPr>
                <w:rFonts w:hint="eastAsia" w:hAnsi="宋体" w:cs="宋体"/>
                <w:sz w:val="18"/>
                <w:szCs w:val="18"/>
              </w:rPr>
              <w:t>绿色低碳运营</w:t>
            </w:r>
          </w:p>
        </w:tc>
        <w:tc>
          <w:tcPr>
            <w:tcW w:w="2757" w:type="dxa"/>
            <w:tcBorders>
              <w:top w:val="single" w:color="auto" w:sz="4" w:space="0"/>
              <w:bottom w:val="single" w:color="auto" w:sz="4" w:space="0"/>
              <w:tl2br w:val="nil"/>
              <w:tr2bl w:val="nil"/>
            </w:tcBorders>
            <w:vAlign w:val="center"/>
          </w:tcPr>
          <w:p w14:paraId="764C0204">
            <w:pPr>
              <w:pStyle w:val="25"/>
              <w:ind w:firstLine="0" w:firstLineChars="0"/>
              <w:rPr>
                <w:rFonts w:hint="eastAsia" w:hAnsi="宋体" w:cs="宋体"/>
                <w:sz w:val="18"/>
                <w:szCs w:val="18"/>
              </w:rPr>
            </w:pPr>
            <w:r>
              <w:rPr>
                <w:rFonts w:hint="eastAsia" w:hAnsi="宋体" w:cs="宋体"/>
                <w:sz w:val="18"/>
                <w:szCs w:val="18"/>
              </w:rPr>
              <w:t>从项目的单位总投资综合能耗、单位总投资用水量、单位总投资用地面积、单位总投资碳排放量废物综合利用率等方面进行综合评估</w:t>
            </w:r>
          </w:p>
        </w:tc>
        <w:tc>
          <w:tcPr>
            <w:tcW w:w="4029" w:type="dxa"/>
            <w:tcBorders>
              <w:top w:val="single" w:color="auto" w:sz="4" w:space="0"/>
              <w:bottom w:val="single" w:color="auto" w:sz="4" w:space="0"/>
              <w:tl2br w:val="nil"/>
              <w:tr2bl w:val="nil"/>
            </w:tcBorders>
            <w:vAlign w:val="center"/>
          </w:tcPr>
          <w:p w14:paraId="3510041C">
            <w:pPr>
              <w:pStyle w:val="25"/>
              <w:ind w:firstLine="0" w:firstLineChars="0"/>
              <w:jc w:val="left"/>
              <w:rPr>
                <w:rFonts w:hAnsi="宋体" w:cs="宋体"/>
                <w:sz w:val="18"/>
                <w:szCs w:val="18"/>
              </w:rPr>
            </w:pPr>
            <w:r>
              <w:rPr>
                <w:rFonts w:hint="eastAsia" w:hAnsi="宋体" w:cs="宋体"/>
                <w:sz w:val="18"/>
                <w:szCs w:val="18"/>
              </w:rPr>
              <w:t>a.五项指标达到业内领先水平得(16，20]</w:t>
            </w:r>
          </w:p>
          <w:p w14:paraId="427A65F0">
            <w:pPr>
              <w:pStyle w:val="25"/>
              <w:ind w:firstLine="0" w:firstLineChars="0"/>
              <w:jc w:val="left"/>
              <w:rPr>
                <w:rFonts w:hAnsi="宋体" w:cs="宋体"/>
                <w:sz w:val="18"/>
                <w:szCs w:val="18"/>
              </w:rPr>
            </w:pPr>
            <w:r>
              <w:rPr>
                <w:rFonts w:hint="eastAsia" w:hAnsi="宋体" w:cs="宋体"/>
                <w:sz w:val="18"/>
                <w:szCs w:val="18"/>
              </w:rPr>
              <w:t>b.四项指标达到业内领先水平得(12，16]</w:t>
            </w:r>
          </w:p>
          <w:p w14:paraId="6CA571C4">
            <w:pPr>
              <w:pStyle w:val="25"/>
              <w:ind w:firstLine="0" w:firstLineChars="0"/>
              <w:jc w:val="left"/>
              <w:rPr>
                <w:rFonts w:hAnsi="宋体" w:cs="宋体"/>
                <w:sz w:val="18"/>
                <w:szCs w:val="18"/>
              </w:rPr>
            </w:pPr>
            <w:r>
              <w:rPr>
                <w:rFonts w:hint="eastAsia" w:hAnsi="宋体" w:cs="宋体"/>
                <w:sz w:val="18"/>
                <w:szCs w:val="18"/>
              </w:rPr>
              <w:t>c.三项指标达到业内领先水平得(8，12]</w:t>
            </w:r>
          </w:p>
          <w:p w14:paraId="220A5448">
            <w:pPr>
              <w:pStyle w:val="25"/>
              <w:ind w:firstLine="0" w:firstLineChars="0"/>
              <w:jc w:val="left"/>
              <w:rPr>
                <w:rFonts w:hAnsi="宋体" w:cs="宋体"/>
                <w:sz w:val="18"/>
                <w:szCs w:val="18"/>
              </w:rPr>
            </w:pPr>
            <w:r>
              <w:rPr>
                <w:rFonts w:hint="eastAsia" w:hAnsi="宋体" w:cs="宋体"/>
                <w:sz w:val="18"/>
                <w:szCs w:val="18"/>
              </w:rPr>
              <w:t>d</w:t>
            </w:r>
            <w:r>
              <w:rPr>
                <w:rFonts w:hAnsi="宋体" w:cs="宋体"/>
                <w:sz w:val="18"/>
                <w:szCs w:val="18"/>
              </w:rPr>
              <w:t>.</w:t>
            </w:r>
            <w:r>
              <w:rPr>
                <w:rFonts w:hint="eastAsia" w:hAnsi="宋体" w:cs="宋体"/>
                <w:sz w:val="18"/>
                <w:szCs w:val="18"/>
              </w:rPr>
              <w:t>二项指标达到业内领先水平得(4，8]</w:t>
            </w:r>
          </w:p>
          <w:p w14:paraId="5CF642DF">
            <w:pPr>
              <w:pStyle w:val="25"/>
              <w:ind w:firstLine="0" w:firstLineChars="0"/>
              <w:rPr>
                <w:rFonts w:hint="eastAsia" w:hAnsi="宋体" w:cs="宋体"/>
                <w:sz w:val="18"/>
                <w:szCs w:val="18"/>
              </w:rPr>
            </w:pPr>
            <w:r>
              <w:rPr>
                <w:rFonts w:hint="eastAsia" w:hAnsi="宋体" w:cs="宋体"/>
                <w:sz w:val="18"/>
                <w:szCs w:val="18"/>
              </w:rPr>
              <w:t>e</w:t>
            </w:r>
            <w:r>
              <w:rPr>
                <w:rFonts w:hAnsi="宋体" w:cs="宋体"/>
                <w:sz w:val="18"/>
                <w:szCs w:val="18"/>
              </w:rPr>
              <w:t>.</w:t>
            </w:r>
            <w:r>
              <w:rPr>
                <w:rFonts w:hint="eastAsia" w:hAnsi="宋体" w:cs="宋体"/>
                <w:sz w:val="18"/>
                <w:szCs w:val="18"/>
              </w:rPr>
              <w:t>一项指标达到业内领先水平得(0，4]</w:t>
            </w:r>
          </w:p>
        </w:tc>
        <w:tc>
          <w:tcPr>
            <w:tcW w:w="705" w:type="dxa"/>
            <w:tcBorders>
              <w:top w:val="single" w:color="auto" w:sz="4" w:space="0"/>
              <w:bottom w:val="single" w:color="auto" w:sz="4" w:space="0"/>
              <w:tl2br w:val="nil"/>
              <w:tr2bl w:val="nil"/>
            </w:tcBorders>
            <w:vAlign w:val="center"/>
          </w:tcPr>
          <w:p w14:paraId="6E7042BF">
            <w:pPr>
              <w:pStyle w:val="25"/>
              <w:ind w:firstLine="0" w:firstLineChars="0"/>
              <w:jc w:val="center"/>
              <w:rPr>
                <w:rFonts w:hint="eastAsia" w:hAnsi="宋体" w:cs="宋体"/>
                <w:sz w:val="18"/>
                <w:szCs w:val="18"/>
              </w:rPr>
            </w:pPr>
            <w:r>
              <w:rPr>
                <w:rFonts w:hint="eastAsia" w:hAnsi="宋体" w:cs="宋体"/>
                <w:sz w:val="18"/>
                <w:szCs w:val="18"/>
              </w:rPr>
              <w:t>20</w:t>
            </w:r>
          </w:p>
        </w:tc>
        <w:tc>
          <w:tcPr>
            <w:tcW w:w="706" w:type="dxa"/>
            <w:tcBorders>
              <w:top w:val="single" w:color="auto" w:sz="4" w:space="0"/>
              <w:bottom w:val="single" w:color="auto" w:sz="4" w:space="0"/>
              <w:tl2br w:val="nil"/>
              <w:tr2bl w:val="nil"/>
            </w:tcBorders>
            <w:vAlign w:val="center"/>
          </w:tcPr>
          <w:p w14:paraId="63BD7C24">
            <w:pPr>
              <w:pStyle w:val="25"/>
              <w:ind w:firstLine="0" w:firstLineChars="0"/>
              <w:jc w:val="center"/>
              <w:rPr>
                <w:rFonts w:hAnsi="宋体" w:cs="宋体"/>
                <w:sz w:val="18"/>
                <w:szCs w:val="18"/>
              </w:rPr>
            </w:pPr>
          </w:p>
        </w:tc>
      </w:tr>
      <w:tr w14:paraId="63252690">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jc w:val="center"/>
        </w:trPr>
        <w:tc>
          <w:tcPr>
            <w:tcW w:w="632" w:type="dxa"/>
            <w:vMerge w:val="continue"/>
            <w:tcBorders>
              <w:top w:val="single" w:color="auto" w:sz="4" w:space="0"/>
              <w:left w:val="single" w:color="auto" w:sz="12" w:space="0"/>
              <w:bottom w:val="single" w:color="auto" w:sz="4" w:space="0"/>
              <w:tl2br w:val="nil"/>
              <w:tr2bl w:val="nil"/>
            </w:tcBorders>
            <w:vAlign w:val="center"/>
          </w:tcPr>
          <w:p w14:paraId="3263D7AC">
            <w:pPr>
              <w:pStyle w:val="25"/>
              <w:ind w:firstLine="0" w:firstLineChars="0"/>
              <w:jc w:val="center"/>
              <w:rPr>
                <w:rFonts w:hAnsi="宋体" w:cs="宋体"/>
                <w:sz w:val="18"/>
                <w:szCs w:val="18"/>
              </w:rPr>
            </w:pPr>
          </w:p>
        </w:tc>
        <w:tc>
          <w:tcPr>
            <w:tcW w:w="741" w:type="dxa"/>
            <w:tcBorders>
              <w:top w:val="single" w:color="auto" w:sz="4" w:space="0"/>
              <w:bottom w:val="single" w:color="auto" w:sz="4" w:space="0"/>
              <w:tl2br w:val="nil"/>
              <w:tr2bl w:val="nil"/>
            </w:tcBorders>
            <w:vAlign w:val="center"/>
          </w:tcPr>
          <w:p w14:paraId="3B55A4C5">
            <w:pPr>
              <w:pStyle w:val="25"/>
              <w:ind w:firstLine="0" w:firstLineChars="0"/>
              <w:rPr>
                <w:rFonts w:hAnsi="宋体" w:cs="宋体"/>
                <w:sz w:val="18"/>
                <w:szCs w:val="18"/>
              </w:rPr>
            </w:pPr>
            <w:r>
              <w:rPr>
                <w:rFonts w:hint="eastAsia" w:hAnsi="宋体" w:cs="宋体"/>
                <w:sz w:val="18"/>
                <w:szCs w:val="18"/>
              </w:rPr>
              <w:t>工艺设备材料</w:t>
            </w:r>
          </w:p>
        </w:tc>
        <w:tc>
          <w:tcPr>
            <w:tcW w:w="2757" w:type="dxa"/>
            <w:tcBorders>
              <w:top w:val="single" w:color="auto" w:sz="4" w:space="0"/>
              <w:bottom w:val="single" w:color="auto" w:sz="4" w:space="0"/>
              <w:tl2br w:val="nil"/>
              <w:tr2bl w:val="nil"/>
            </w:tcBorders>
            <w:vAlign w:val="center"/>
          </w:tcPr>
          <w:p w14:paraId="5F9EF7C0">
            <w:pPr>
              <w:pStyle w:val="25"/>
              <w:ind w:firstLine="0" w:firstLineChars="0"/>
              <w:rPr>
                <w:rFonts w:hAnsi="宋体" w:cs="宋体"/>
                <w:sz w:val="18"/>
                <w:szCs w:val="18"/>
              </w:rPr>
            </w:pPr>
            <w:r>
              <w:rPr>
                <w:rFonts w:hint="eastAsia" w:hAnsi="宋体" w:cs="宋体"/>
                <w:sz w:val="18"/>
                <w:szCs w:val="18"/>
              </w:rPr>
              <w:t>从项目采用工艺设备绿色化水平、材料绿色化水平两个方面综合评估</w:t>
            </w:r>
          </w:p>
        </w:tc>
        <w:tc>
          <w:tcPr>
            <w:tcW w:w="4029" w:type="dxa"/>
            <w:tcBorders>
              <w:top w:val="single" w:color="auto" w:sz="4" w:space="0"/>
              <w:bottom w:val="single" w:color="auto" w:sz="4" w:space="0"/>
              <w:tl2br w:val="nil"/>
              <w:tr2bl w:val="nil"/>
            </w:tcBorders>
            <w:vAlign w:val="center"/>
          </w:tcPr>
          <w:p w14:paraId="709366F3">
            <w:pPr>
              <w:pStyle w:val="25"/>
              <w:ind w:firstLine="0" w:firstLineChars="0"/>
              <w:rPr>
                <w:rFonts w:hAnsi="宋体" w:cs="宋体"/>
                <w:sz w:val="18"/>
                <w:szCs w:val="18"/>
              </w:rPr>
            </w:pPr>
            <w:r>
              <w:rPr>
                <w:rFonts w:hint="eastAsia" w:hAnsi="宋体" w:cs="宋体"/>
                <w:sz w:val="18"/>
                <w:szCs w:val="18"/>
              </w:rPr>
              <w:t>a.工艺设备材料绿色化程度较高。(7分,10分]</w:t>
            </w:r>
          </w:p>
          <w:p w14:paraId="61E16F30">
            <w:pPr>
              <w:pStyle w:val="25"/>
              <w:ind w:firstLine="0" w:firstLineChars="0"/>
              <w:rPr>
                <w:rFonts w:hAnsi="宋体" w:cs="宋体"/>
                <w:sz w:val="18"/>
                <w:szCs w:val="18"/>
              </w:rPr>
            </w:pPr>
            <w:r>
              <w:rPr>
                <w:rFonts w:hint="eastAsia" w:hAnsi="宋体" w:cs="宋体"/>
                <w:sz w:val="18"/>
                <w:szCs w:val="18"/>
              </w:rPr>
              <w:t>b.工艺设备材料绿色化程度中等。(4分,7分]</w:t>
            </w:r>
          </w:p>
          <w:p w14:paraId="20736878">
            <w:pPr>
              <w:pStyle w:val="25"/>
              <w:ind w:firstLine="0" w:firstLineChars="0"/>
              <w:rPr>
                <w:rFonts w:hAnsi="宋体" w:cs="宋体"/>
                <w:sz w:val="18"/>
                <w:szCs w:val="18"/>
              </w:rPr>
            </w:pPr>
            <w:r>
              <w:rPr>
                <w:rFonts w:hint="eastAsia" w:hAnsi="宋体" w:cs="宋体"/>
                <w:sz w:val="18"/>
                <w:szCs w:val="18"/>
              </w:rPr>
              <w:t>c.工艺设备材料绿色化程度一般。(0分,4分]</w:t>
            </w:r>
          </w:p>
        </w:tc>
        <w:tc>
          <w:tcPr>
            <w:tcW w:w="705" w:type="dxa"/>
            <w:tcBorders>
              <w:top w:val="single" w:color="auto" w:sz="4" w:space="0"/>
              <w:bottom w:val="single" w:color="auto" w:sz="4" w:space="0"/>
              <w:tl2br w:val="nil"/>
              <w:tr2bl w:val="nil"/>
            </w:tcBorders>
            <w:vAlign w:val="center"/>
          </w:tcPr>
          <w:p w14:paraId="067B89E1">
            <w:pPr>
              <w:pStyle w:val="25"/>
              <w:ind w:firstLine="0" w:firstLineChars="0"/>
              <w:jc w:val="center"/>
              <w:rPr>
                <w:rFonts w:hAnsi="宋体" w:cs="宋体"/>
                <w:sz w:val="18"/>
                <w:szCs w:val="18"/>
              </w:rPr>
            </w:pPr>
            <w:r>
              <w:rPr>
                <w:rFonts w:hint="eastAsia" w:hAnsi="宋体" w:cs="宋体"/>
                <w:sz w:val="18"/>
                <w:szCs w:val="18"/>
              </w:rPr>
              <w:t>10</w:t>
            </w:r>
          </w:p>
        </w:tc>
        <w:tc>
          <w:tcPr>
            <w:tcW w:w="706" w:type="dxa"/>
            <w:tcBorders>
              <w:top w:val="single" w:color="auto" w:sz="4" w:space="0"/>
              <w:bottom w:val="single" w:color="auto" w:sz="4" w:space="0"/>
              <w:tl2br w:val="nil"/>
              <w:tr2bl w:val="nil"/>
            </w:tcBorders>
            <w:vAlign w:val="center"/>
          </w:tcPr>
          <w:p w14:paraId="4C653EC0">
            <w:pPr>
              <w:pStyle w:val="25"/>
              <w:ind w:firstLine="0" w:firstLineChars="0"/>
              <w:jc w:val="center"/>
              <w:rPr>
                <w:rFonts w:hAnsi="宋体" w:cs="宋体"/>
                <w:sz w:val="18"/>
                <w:szCs w:val="18"/>
              </w:rPr>
            </w:pPr>
          </w:p>
        </w:tc>
      </w:tr>
      <w:tr w14:paraId="1A492499">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jc w:val="center"/>
        </w:trPr>
        <w:tc>
          <w:tcPr>
            <w:tcW w:w="632" w:type="dxa"/>
            <w:vMerge w:val="continue"/>
            <w:tcBorders>
              <w:top w:val="single" w:color="auto" w:sz="4" w:space="0"/>
              <w:left w:val="single" w:color="auto" w:sz="12" w:space="0"/>
              <w:bottom w:val="single" w:color="auto" w:sz="12" w:space="0"/>
              <w:tl2br w:val="nil"/>
              <w:tr2bl w:val="nil"/>
            </w:tcBorders>
            <w:vAlign w:val="center"/>
          </w:tcPr>
          <w:p w14:paraId="234541D9">
            <w:pPr>
              <w:pStyle w:val="25"/>
              <w:ind w:firstLine="0" w:firstLineChars="0"/>
              <w:jc w:val="center"/>
              <w:rPr>
                <w:rFonts w:hAnsi="宋体" w:cs="宋体"/>
                <w:sz w:val="18"/>
                <w:szCs w:val="18"/>
              </w:rPr>
            </w:pPr>
          </w:p>
        </w:tc>
        <w:tc>
          <w:tcPr>
            <w:tcW w:w="741" w:type="dxa"/>
            <w:tcBorders>
              <w:top w:val="single" w:color="auto" w:sz="4" w:space="0"/>
              <w:bottom w:val="single" w:color="auto" w:sz="12" w:space="0"/>
              <w:tl2br w:val="nil"/>
              <w:tr2bl w:val="nil"/>
            </w:tcBorders>
            <w:vAlign w:val="center"/>
          </w:tcPr>
          <w:p w14:paraId="32FBEC03">
            <w:pPr>
              <w:pStyle w:val="25"/>
              <w:ind w:firstLine="0" w:firstLineChars="0"/>
              <w:jc w:val="center"/>
              <w:rPr>
                <w:rFonts w:hAnsi="宋体" w:cs="宋体"/>
                <w:sz w:val="18"/>
                <w:szCs w:val="18"/>
              </w:rPr>
            </w:pPr>
            <w:r>
              <w:rPr>
                <w:rFonts w:hint="eastAsia" w:hAnsi="宋体" w:cs="宋体"/>
                <w:sz w:val="18"/>
                <w:szCs w:val="18"/>
              </w:rPr>
              <w:t>污染物排放水平</w:t>
            </w:r>
          </w:p>
        </w:tc>
        <w:tc>
          <w:tcPr>
            <w:tcW w:w="2757" w:type="dxa"/>
            <w:tcBorders>
              <w:top w:val="single" w:color="auto" w:sz="4" w:space="0"/>
              <w:bottom w:val="single" w:color="auto" w:sz="12" w:space="0"/>
              <w:tl2br w:val="nil"/>
              <w:tr2bl w:val="nil"/>
            </w:tcBorders>
            <w:vAlign w:val="center"/>
          </w:tcPr>
          <w:p w14:paraId="059A0230">
            <w:pPr>
              <w:pStyle w:val="25"/>
              <w:ind w:firstLine="0" w:firstLineChars="0"/>
              <w:jc w:val="left"/>
              <w:rPr>
                <w:rFonts w:hAnsi="宋体" w:cs="宋体"/>
                <w:sz w:val="18"/>
                <w:szCs w:val="18"/>
              </w:rPr>
            </w:pPr>
            <w:r>
              <w:rPr>
                <w:rFonts w:hint="eastAsia" w:hAnsi="宋体" w:cs="宋体"/>
                <w:sz w:val="18"/>
                <w:szCs w:val="18"/>
              </w:rPr>
              <w:t>项目自身生产运营过程向环境排放污染物的情况</w:t>
            </w:r>
          </w:p>
        </w:tc>
        <w:tc>
          <w:tcPr>
            <w:tcW w:w="4029" w:type="dxa"/>
            <w:tcBorders>
              <w:top w:val="single" w:color="auto" w:sz="4" w:space="0"/>
              <w:bottom w:val="single" w:color="auto" w:sz="12" w:space="0"/>
              <w:tl2br w:val="nil"/>
              <w:tr2bl w:val="nil"/>
            </w:tcBorders>
            <w:vAlign w:val="center"/>
          </w:tcPr>
          <w:p w14:paraId="0052AFC7">
            <w:pPr>
              <w:pStyle w:val="25"/>
              <w:ind w:firstLine="0" w:firstLineChars="0"/>
              <w:jc w:val="left"/>
              <w:rPr>
                <w:rFonts w:hAnsi="宋体" w:cs="宋体"/>
                <w:sz w:val="18"/>
                <w:szCs w:val="18"/>
              </w:rPr>
            </w:pPr>
            <w:r>
              <w:rPr>
                <w:rFonts w:hint="eastAsia" w:hAnsi="宋体" w:cs="宋体"/>
                <w:sz w:val="18"/>
                <w:szCs w:val="18"/>
              </w:rPr>
              <w:t>a.不排放污染物，或根据排污许可相关管理条例实行排污登记管理，或需控制的污染物有80%的种类优于排污许可证限值20%，或优于排放源所在地同类行业污染物排放限值20%。(5分,10分]</w:t>
            </w:r>
          </w:p>
          <w:p w14:paraId="7F2E0B94">
            <w:pPr>
              <w:pStyle w:val="25"/>
              <w:ind w:firstLine="0" w:firstLineChars="0"/>
              <w:jc w:val="left"/>
              <w:rPr>
                <w:rFonts w:hAnsi="宋体" w:cs="宋体"/>
                <w:sz w:val="18"/>
                <w:szCs w:val="18"/>
              </w:rPr>
            </w:pPr>
            <w:r>
              <w:rPr>
                <w:rFonts w:hint="eastAsia" w:hAnsi="宋体" w:cs="宋体"/>
                <w:sz w:val="18"/>
                <w:szCs w:val="18"/>
              </w:rPr>
              <w:t>b.需控制的污染物有80%的种类优于排污许可证限值10%，或优于排放源所在地同类行业污染物排放限值10%。(0分,5分]</w:t>
            </w:r>
          </w:p>
          <w:p w14:paraId="247F2601">
            <w:pPr>
              <w:pStyle w:val="25"/>
              <w:ind w:firstLine="0" w:firstLineChars="0"/>
              <w:jc w:val="left"/>
              <w:rPr>
                <w:rFonts w:hAnsi="宋体" w:cs="宋体"/>
                <w:sz w:val="18"/>
                <w:szCs w:val="18"/>
              </w:rPr>
            </w:pPr>
            <w:r>
              <w:rPr>
                <w:rFonts w:hint="eastAsia" w:hAnsi="宋体" w:cs="宋体"/>
                <w:sz w:val="18"/>
                <w:szCs w:val="18"/>
              </w:rPr>
              <w:t>c.未满足上述任何一项。（0分）</w:t>
            </w:r>
          </w:p>
        </w:tc>
        <w:tc>
          <w:tcPr>
            <w:tcW w:w="705" w:type="dxa"/>
            <w:tcBorders>
              <w:top w:val="single" w:color="auto" w:sz="4" w:space="0"/>
              <w:bottom w:val="single" w:color="auto" w:sz="12" w:space="0"/>
              <w:tl2br w:val="nil"/>
              <w:tr2bl w:val="nil"/>
            </w:tcBorders>
            <w:vAlign w:val="center"/>
          </w:tcPr>
          <w:p w14:paraId="3CE1B22E">
            <w:pPr>
              <w:pStyle w:val="25"/>
              <w:ind w:firstLine="0" w:firstLineChars="0"/>
              <w:jc w:val="center"/>
              <w:rPr>
                <w:rFonts w:hAnsi="宋体" w:cs="宋体"/>
                <w:sz w:val="18"/>
                <w:szCs w:val="18"/>
              </w:rPr>
            </w:pPr>
            <w:r>
              <w:rPr>
                <w:rFonts w:hint="eastAsia" w:hAnsi="宋体" w:cs="宋体"/>
                <w:sz w:val="18"/>
                <w:szCs w:val="18"/>
              </w:rPr>
              <w:t>10</w:t>
            </w:r>
          </w:p>
        </w:tc>
        <w:tc>
          <w:tcPr>
            <w:tcW w:w="706" w:type="dxa"/>
            <w:tcBorders>
              <w:top w:val="single" w:color="auto" w:sz="4" w:space="0"/>
              <w:bottom w:val="single" w:color="auto" w:sz="12" w:space="0"/>
              <w:tl2br w:val="nil"/>
              <w:tr2bl w:val="nil"/>
            </w:tcBorders>
            <w:vAlign w:val="center"/>
          </w:tcPr>
          <w:p w14:paraId="397D62EE">
            <w:pPr>
              <w:pStyle w:val="25"/>
              <w:ind w:firstLine="0" w:firstLineChars="0"/>
              <w:jc w:val="center"/>
              <w:rPr>
                <w:rFonts w:hAnsi="宋体" w:cs="宋体"/>
                <w:sz w:val="18"/>
                <w:szCs w:val="18"/>
              </w:rPr>
            </w:pPr>
          </w:p>
        </w:tc>
      </w:tr>
      <w:tr w14:paraId="23C84C24">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jc w:val="center"/>
        </w:trPr>
        <w:tc>
          <w:tcPr>
            <w:tcW w:w="8864" w:type="dxa"/>
            <w:gridSpan w:val="5"/>
            <w:tcBorders>
              <w:top w:val="single" w:color="auto" w:sz="12" w:space="0"/>
              <w:bottom w:val="single" w:color="auto" w:sz="12" w:space="0"/>
              <w:tl2br w:val="nil"/>
              <w:tr2bl w:val="nil"/>
            </w:tcBorders>
            <w:vAlign w:val="center"/>
          </w:tcPr>
          <w:p w14:paraId="030DB6C9">
            <w:pPr>
              <w:pStyle w:val="25"/>
              <w:ind w:firstLine="0" w:firstLineChars="0"/>
              <w:jc w:val="center"/>
              <w:rPr>
                <w:rFonts w:hAnsi="宋体" w:cs="宋体"/>
                <w:sz w:val="18"/>
                <w:szCs w:val="18"/>
              </w:rPr>
            </w:pPr>
            <w:r>
              <w:rPr>
                <w:rFonts w:hint="eastAsia" w:hAnsi="宋体" w:cs="宋体"/>
                <w:b/>
                <w:bCs/>
                <w:sz w:val="18"/>
                <w:szCs w:val="18"/>
              </w:rPr>
              <w:t>总得分</w:t>
            </w:r>
          </w:p>
        </w:tc>
        <w:tc>
          <w:tcPr>
            <w:tcW w:w="706" w:type="dxa"/>
            <w:tcBorders>
              <w:top w:val="single" w:color="auto" w:sz="12" w:space="0"/>
              <w:bottom w:val="single" w:color="auto" w:sz="12" w:space="0"/>
              <w:tl2br w:val="nil"/>
              <w:tr2bl w:val="nil"/>
            </w:tcBorders>
            <w:vAlign w:val="center"/>
          </w:tcPr>
          <w:p w14:paraId="4029EF26">
            <w:pPr>
              <w:pStyle w:val="25"/>
              <w:ind w:firstLine="0" w:firstLineChars="0"/>
              <w:jc w:val="center"/>
              <w:rPr>
                <w:rFonts w:hAnsi="宋体" w:cs="宋体"/>
                <w:sz w:val="18"/>
                <w:szCs w:val="18"/>
              </w:rPr>
            </w:pPr>
          </w:p>
        </w:tc>
      </w:tr>
    </w:tbl>
    <w:p w14:paraId="561DC88F">
      <w:pPr>
        <w:pStyle w:val="25"/>
        <w:rPr>
          <w:rFonts w:ascii="Times New Roman"/>
        </w:rPr>
        <w:sectPr>
          <w:headerReference r:id="rId10" w:type="default"/>
          <w:footerReference r:id="rId11" w:type="default"/>
          <w:footerReference r:id="rId12" w:type="even"/>
          <w:pgSz w:w="11906" w:h="16838"/>
          <w:pgMar w:top="567" w:right="1134" w:bottom="1134" w:left="1418" w:header="1418" w:footer="1134" w:gutter="0"/>
          <w:pgBorders>
            <w:top w:val="none" w:sz="0" w:space="0"/>
            <w:left w:val="none" w:sz="0" w:space="0"/>
            <w:bottom w:val="none" w:sz="0" w:space="0"/>
            <w:right w:val="none" w:sz="0" w:space="0"/>
          </w:pgBorders>
          <w:cols w:space="425" w:num="1"/>
          <w:formProt w:val="0"/>
          <w:docGrid w:type="lines" w:linePitch="312" w:charSpace="0"/>
        </w:sectPr>
      </w:pPr>
    </w:p>
    <w:p w14:paraId="4FA3FABA">
      <w:pPr>
        <w:pStyle w:val="74"/>
        <w:rPr>
          <w:rFonts w:ascii="Times New Roman"/>
        </w:rPr>
      </w:pPr>
      <w:bookmarkStart w:id="215" w:name="_Toc19658"/>
      <w:bookmarkEnd w:id="215"/>
      <w:bookmarkStart w:id="216" w:name="_Toc195040404"/>
      <w:bookmarkStart w:id="217" w:name="_Toc17378"/>
      <w:bookmarkStart w:id="218" w:name="_Toc118282052"/>
      <w:bookmarkStart w:id="219" w:name="_Toc102992471"/>
      <w:bookmarkStart w:id="220" w:name="_Toc27187"/>
      <w:bookmarkStart w:id="221" w:name="_Toc17417"/>
      <w:r>
        <w:rPr>
          <w:rFonts w:ascii="Times New Roman"/>
        </w:rPr>
        <w:t>参 考 文 献</w:t>
      </w:r>
      <w:bookmarkEnd w:id="214"/>
      <w:bookmarkEnd w:id="216"/>
      <w:bookmarkEnd w:id="217"/>
      <w:bookmarkEnd w:id="218"/>
      <w:bookmarkEnd w:id="219"/>
      <w:bookmarkEnd w:id="220"/>
      <w:bookmarkEnd w:id="221"/>
    </w:p>
    <w:p w14:paraId="60D6972C">
      <w:pPr>
        <w:numPr>
          <w:ilvl w:val="0"/>
          <w:numId w:val="24"/>
        </w:numPr>
        <w:wordWrap w:val="0"/>
        <w:autoSpaceDE w:val="0"/>
        <w:autoSpaceDN w:val="0"/>
        <w:ind w:firstLine="420"/>
        <w:rPr>
          <w:rFonts w:ascii="宋体" w:hAnsi="宋体" w:cs="宋体"/>
        </w:rPr>
      </w:pPr>
      <w:r>
        <w:rPr>
          <w:rFonts w:hint="eastAsia" w:ascii="宋体" w:hAnsi="宋体" w:cs="宋体"/>
        </w:rPr>
        <w:t xml:space="preserve"> GB/T 36132—2018  绿色工厂评价通则</w:t>
      </w:r>
    </w:p>
    <w:p w14:paraId="23725884">
      <w:pPr>
        <w:numPr>
          <w:ilvl w:val="0"/>
          <w:numId w:val="24"/>
        </w:numPr>
        <w:wordWrap w:val="0"/>
        <w:autoSpaceDE w:val="0"/>
        <w:autoSpaceDN w:val="0"/>
        <w:ind w:firstLine="420"/>
        <w:rPr>
          <w:rFonts w:ascii="宋体" w:hAnsi="宋体" w:cs="宋体"/>
        </w:rPr>
      </w:pPr>
      <w:r>
        <w:rPr>
          <w:rFonts w:hint="eastAsia" w:ascii="宋体" w:hAnsi="宋体" w:cs="宋体"/>
        </w:rPr>
        <w:t xml:space="preserve"> GB/T 39966—2021  废弃资源综合利用业环境绩效评价导则</w:t>
      </w:r>
    </w:p>
    <w:p w14:paraId="74BA7825">
      <w:pPr>
        <w:numPr>
          <w:ilvl w:val="0"/>
          <w:numId w:val="24"/>
        </w:numPr>
        <w:wordWrap w:val="0"/>
        <w:autoSpaceDE w:val="0"/>
        <w:autoSpaceDN w:val="0"/>
        <w:ind w:firstLine="420"/>
        <w:rPr>
          <w:rFonts w:ascii="宋体" w:hAnsi="宋体" w:cs="宋体"/>
        </w:rPr>
      </w:pPr>
      <w:r>
        <w:rPr>
          <w:rFonts w:hint="eastAsia" w:ascii="宋体" w:hAnsi="宋体" w:cs="宋体"/>
        </w:rPr>
        <w:t xml:space="preserve"> DB3305/T 62—2018  绿色融资企业评价规范</w:t>
      </w:r>
    </w:p>
    <w:p w14:paraId="30A02C7D">
      <w:pPr>
        <w:numPr>
          <w:ilvl w:val="0"/>
          <w:numId w:val="24"/>
        </w:numPr>
        <w:wordWrap w:val="0"/>
        <w:autoSpaceDE w:val="0"/>
        <w:autoSpaceDN w:val="0"/>
        <w:ind w:firstLine="420"/>
        <w:rPr>
          <w:rFonts w:ascii="宋体" w:hAnsi="宋体" w:cs="宋体"/>
        </w:rPr>
      </w:pPr>
      <w:r>
        <w:rPr>
          <w:rFonts w:hint="eastAsia" w:ascii="宋体" w:hAnsi="宋体" w:cs="宋体"/>
        </w:rPr>
        <w:t xml:space="preserve"> DB3308/T 69—2020  绿色企业评价规范</w:t>
      </w:r>
    </w:p>
    <w:p w14:paraId="0BD7736E">
      <w:pPr>
        <w:numPr>
          <w:ilvl w:val="0"/>
          <w:numId w:val="24"/>
        </w:numPr>
        <w:wordWrap w:val="0"/>
        <w:autoSpaceDE w:val="0"/>
        <w:autoSpaceDN w:val="0"/>
        <w:ind w:firstLine="420"/>
        <w:rPr>
          <w:rFonts w:ascii="宋体" w:hAnsi="宋体" w:cs="宋体"/>
        </w:rPr>
      </w:pPr>
      <w:r>
        <w:rPr>
          <w:rFonts w:hint="eastAsia" w:ascii="宋体" w:hAnsi="宋体" w:cs="宋体"/>
        </w:rPr>
        <w:t xml:space="preserve"> T/CGDF 00002—2018  绿色企业评选标准</w:t>
      </w:r>
    </w:p>
    <w:p w14:paraId="63740964">
      <w:pPr>
        <w:numPr>
          <w:ilvl w:val="0"/>
          <w:numId w:val="24"/>
        </w:numPr>
        <w:wordWrap w:val="0"/>
        <w:autoSpaceDE w:val="0"/>
        <w:autoSpaceDN w:val="0"/>
        <w:ind w:firstLine="420"/>
        <w:rPr>
          <w:rFonts w:ascii="宋体" w:hAnsi="宋体" w:cs="宋体"/>
        </w:rPr>
      </w:pPr>
      <w:r>
        <w:rPr>
          <w:rFonts w:hint="eastAsia" w:ascii="宋体" w:hAnsi="宋体" w:cs="宋体"/>
        </w:rPr>
        <w:t xml:space="preserve"> </w:t>
      </w:r>
      <w:r>
        <w:rPr>
          <w:rFonts w:ascii="宋体" w:hAnsi="宋体" w:cs="宋体"/>
        </w:rPr>
        <w:t>国家统计局.关于印发《研究与试验发展（R&amp;D）投入统计规范（试行）》的通知[EB/OL].</w:t>
      </w:r>
      <w:r>
        <w:rPr>
          <w:rFonts w:hint="eastAsia" w:ascii="宋体" w:hAnsi="宋体" w:cs="宋体"/>
        </w:rPr>
        <w:t>（2019-04-19）</w:t>
      </w:r>
      <w:r>
        <w:rPr>
          <w:rFonts w:ascii="宋体" w:hAnsi="宋体" w:cs="宋体"/>
        </w:rPr>
        <w:t>[20</w:t>
      </w:r>
      <w:r>
        <w:rPr>
          <w:rFonts w:hint="eastAsia" w:ascii="宋体" w:hAnsi="宋体" w:cs="宋体"/>
        </w:rPr>
        <w:t>23</w:t>
      </w:r>
      <w:r>
        <w:rPr>
          <w:rFonts w:ascii="宋体" w:hAnsi="宋体" w:cs="宋体"/>
        </w:rPr>
        <w:t>-0</w:t>
      </w:r>
      <w:r>
        <w:rPr>
          <w:rFonts w:hint="eastAsia" w:ascii="宋体" w:hAnsi="宋体" w:cs="宋体"/>
        </w:rPr>
        <w:t>1</w:t>
      </w:r>
      <w:r>
        <w:rPr>
          <w:rFonts w:ascii="宋体" w:hAnsi="宋体" w:cs="宋体"/>
        </w:rPr>
        <w:t>-</w:t>
      </w:r>
      <w:r>
        <w:rPr>
          <w:rFonts w:hint="eastAsia" w:ascii="宋体" w:hAnsi="宋体" w:cs="宋体"/>
        </w:rPr>
        <w:t>16</w:t>
      </w:r>
      <w:r>
        <w:rPr>
          <w:rFonts w:ascii="宋体" w:hAnsi="宋体" w:cs="宋体"/>
        </w:rPr>
        <w:t>].http://www.stats.gov.cn/tjgz/tzgb/201905/t20190507_1663326.html.</w:t>
      </w:r>
    </w:p>
    <w:p w14:paraId="759937A3">
      <w:pPr>
        <w:numPr>
          <w:ilvl w:val="0"/>
          <w:numId w:val="24"/>
        </w:numPr>
        <w:wordWrap w:val="0"/>
        <w:autoSpaceDE w:val="0"/>
        <w:autoSpaceDN w:val="0"/>
        <w:ind w:firstLine="420"/>
        <w:rPr>
          <w:rFonts w:ascii="宋体" w:hAnsi="宋体" w:cs="宋体"/>
        </w:rPr>
      </w:pPr>
      <w:r>
        <w:rPr>
          <w:rFonts w:hint="eastAsia" w:ascii="宋体" w:hAnsi="宋体" w:cs="宋体"/>
        </w:rPr>
        <w:t xml:space="preserve"> </w:t>
      </w:r>
      <w:r>
        <w:rPr>
          <w:rFonts w:ascii="宋体" w:hAnsi="宋体" w:cs="宋体"/>
        </w:rPr>
        <w:t>国家统计局.关于印发《统计上大中小微型企业划分办法(2017)》的通知[EB/OL].</w:t>
      </w:r>
      <w:r>
        <w:rPr>
          <w:rFonts w:hint="eastAsia" w:ascii="宋体" w:hAnsi="宋体" w:cs="宋体"/>
        </w:rPr>
        <w:t>（2017-12-28）</w:t>
      </w:r>
      <w:r>
        <w:rPr>
          <w:rFonts w:ascii="宋体" w:hAnsi="宋体" w:cs="宋体"/>
        </w:rPr>
        <w:t>[20</w:t>
      </w:r>
      <w:r>
        <w:rPr>
          <w:rFonts w:hint="eastAsia" w:ascii="宋体" w:hAnsi="宋体" w:cs="宋体"/>
        </w:rPr>
        <w:t>23</w:t>
      </w:r>
      <w:r>
        <w:rPr>
          <w:rFonts w:ascii="宋体" w:hAnsi="宋体" w:cs="宋体"/>
        </w:rPr>
        <w:t>-0</w:t>
      </w:r>
      <w:r>
        <w:rPr>
          <w:rFonts w:hint="eastAsia" w:ascii="宋体" w:hAnsi="宋体" w:cs="宋体"/>
        </w:rPr>
        <w:t>1</w:t>
      </w:r>
      <w:r>
        <w:rPr>
          <w:rFonts w:ascii="宋体" w:hAnsi="宋体" w:cs="宋体"/>
        </w:rPr>
        <w:t>-</w:t>
      </w:r>
      <w:r>
        <w:rPr>
          <w:rFonts w:hint="eastAsia" w:ascii="宋体" w:hAnsi="宋体" w:cs="宋体"/>
        </w:rPr>
        <w:t>16</w:t>
      </w:r>
      <w:r>
        <w:rPr>
          <w:rFonts w:ascii="宋体" w:hAnsi="宋体" w:cs="宋体"/>
        </w:rPr>
        <w:t>].http://www.stats.gov.cn/xxgk/tjbz/gjtjbz/202008/t20200811_1782335.html.</w:t>
      </w:r>
    </w:p>
    <w:p w14:paraId="11F86127">
      <w:pPr>
        <w:numPr>
          <w:ilvl w:val="0"/>
          <w:numId w:val="24"/>
        </w:numPr>
        <w:wordWrap w:val="0"/>
        <w:autoSpaceDE w:val="0"/>
        <w:autoSpaceDN w:val="0"/>
        <w:ind w:firstLine="420"/>
      </w:pPr>
      <w:r>
        <w:rPr>
          <w:rFonts w:hint="eastAsia" w:ascii="宋体" w:hAnsi="宋体" w:cs="宋体"/>
        </w:rPr>
        <w:t xml:space="preserve"> </w:t>
      </w:r>
      <w:r>
        <w:rPr>
          <w:rFonts w:ascii="宋体" w:hAnsi="宋体" w:cs="宋体"/>
        </w:rPr>
        <w:t>科技部 财政部 国家税务总局</w:t>
      </w:r>
      <w:r>
        <w:rPr>
          <w:rFonts w:hint="eastAsia" w:ascii="宋体" w:hAnsi="宋体" w:cs="宋体"/>
        </w:rPr>
        <w:t>.</w:t>
      </w:r>
      <w:r>
        <w:rPr>
          <w:rFonts w:ascii="宋体" w:hAnsi="宋体" w:cs="宋体"/>
        </w:rPr>
        <w:t>关于修订印发《高新技术企业认定管理办法》的通知</w:t>
      </w:r>
      <w:r>
        <w:rPr>
          <w:rFonts w:hint="eastAsia" w:ascii="宋体" w:hAnsi="宋体" w:cs="宋体"/>
        </w:rPr>
        <w:t>[EB/OL].（2016-02-04）[2023-01-16].https://www.most.gov.cn/xxgk/xinxifenlei/fdzdgknr/fgzc/gfxwj/gfxwj2016/201602/t20160205_123998.html.</w:t>
      </w:r>
    </w:p>
    <w:p w14:paraId="00B3CF3E">
      <w:pPr>
        <w:numPr>
          <w:ilvl w:val="0"/>
          <w:numId w:val="24"/>
        </w:numPr>
        <w:wordWrap w:val="0"/>
        <w:autoSpaceDE w:val="0"/>
        <w:autoSpaceDN w:val="0"/>
        <w:ind w:firstLine="420"/>
      </w:pPr>
      <w:r>
        <w:rPr>
          <w:rFonts w:hint="eastAsia" w:ascii="宋体" w:hAnsi="宋体" w:cs="宋体"/>
        </w:rPr>
        <w:t xml:space="preserve"> 工业和信息化部.关于印发《优质中小企业梯度培育管理暂行办法》的通知[EB/OL].（2022-06-01）[2023-01-16].https://ythxxfb.miit.gov.cn/ythzxfwpt/hlwmh/tzgg/sbfw/qyshzr/art/2022/art_7e837e1f401c43a2990d82cf36b624bb.html.</w:t>
      </w:r>
    </w:p>
    <w:p w14:paraId="0D22283C">
      <w:pPr>
        <w:numPr>
          <w:ilvl w:val="0"/>
          <w:numId w:val="24"/>
        </w:numPr>
        <w:wordWrap w:val="0"/>
        <w:autoSpaceDE w:val="0"/>
        <w:autoSpaceDN w:val="0"/>
        <w:ind w:firstLine="420"/>
        <w:rPr>
          <w:rFonts w:ascii="宋体" w:hAnsi="宋体" w:cs="宋体"/>
        </w:rPr>
      </w:pPr>
      <w:r>
        <w:rPr>
          <w:rFonts w:hint="eastAsia" w:hAnsi="宋体" w:cs="宋体"/>
        </w:rPr>
        <w:t xml:space="preserve"> 深圳市市场监督管理局.关于印发《深</w:t>
      </w:r>
      <w:r>
        <w:rPr>
          <w:rFonts w:hint="eastAsia" w:ascii="宋体" w:hAnsi="宋体" w:cs="宋体"/>
        </w:rPr>
        <w:t>圳市市场监督管理局深圳标准领域专项资金资助奖励操作规程》的通知[EB/OL].（2021-11-22）[2023-01-16].http://amr.sz.gov.cn/xxgk/zcwj/scjgfg/bzh/bzhgf/content/post_9386928.html.</w:t>
      </w:r>
    </w:p>
    <w:p w14:paraId="726E4DCD">
      <w:pPr>
        <w:numPr>
          <w:ilvl w:val="0"/>
          <w:numId w:val="24"/>
        </w:numPr>
        <w:wordWrap w:val="0"/>
        <w:autoSpaceDE w:val="0"/>
        <w:autoSpaceDN w:val="0"/>
        <w:ind w:firstLine="420"/>
        <w:rPr>
          <w:rFonts w:ascii="宋体" w:hAnsi="宋体" w:cs="宋体"/>
        </w:rPr>
      </w:pPr>
      <w:r>
        <w:rPr>
          <w:rFonts w:hint="eastAsia" w:ascii="宋体" w:hAnsi="宋体" w:cs="宋体"/>
        </w:rPr>
        <w:t xml:space="preserve"> 裴庆冰,谷立静,白泉.绿色发展背景下绿色产业内涵探析[J].环境保护,2018,46(Z1):86-89.DOI:10.14026/j.cnki.0253-9705.2018.z1.017.</w:t>
      </w:r>
    </w:p>
    <w:p w14:paraId="0CABAC2C">
      <w:pPr>
        <w:numPr>
          <w:ilvl w:val="0"/>
          <w:numId w:val="24"/>
        </w:numPr>
        <w:wordWrap w:val="0"/>
        <w:ind w:firstLine="420"/>
      </w:pPr>
      <w:r>
        <w:rPr>
          <w:rFonts w:hint="eastAsia" w:ascii="宋体" w:hAnsi="宋体" w:cs="宋体"/>
        </w:rPr>
        <w:t xml:space="preserve"> 工业和信息化部.中华人民共和国工业和信息化部公告：2021年公告第5号[EB/OL].（2021-03-11）[2023-01-16].https://www.miit.gov.cn/jgsj/dzs/wjfb/art/2021/art_f4ad5ce6359a457395cfe931c69bd777.html.</w:t>
      </w:r>
    </w:p>
    <w:p w14:paraId="30F8C510">
      <w:pPr>
        <w:pStyle w:val="132"/>
        <w:framePr w:wrap="notBeside" w:hAnchor="page" w:x="4898" w:y="496"/>
        <w:rPr>
          <w:u w:val="thick"/>
        </w:rPr>
      </w:pPr>
      <w:r>
        <w:rPr>
          <w:u w:val="thick"/>
        </w:rPr>
        <w:t>______________________</w:t>
      </w:r>
    </w:p>
    <w:p w14:paraId="52ACCFAD"/>
    <w:sectPr>
      <w:pgSz w:w="11906" w:h="16838"/>
      <w:pgMar w:top="567" w:right="1134" w:bottom="1134" w:left="1418" w:header="1418" w:footer="1134" w:gutter="0"/>
      <w:pgBorders>
        <w:top w:val="none" w:sz="0" w:space="0"/>
        <w:left w:val="none" w:sz="0" w:space="0"/>
        <w:bottom w:val="none" w:sz="0" w:space="0"/>
        <w:right w:val="none" w:sz="0" w:space="0"/>
      </w:pgBorders>
      <w:cols w:space="425" w:num="1"/>
      <w:formProt w:val="0"/>
      <w:docGrid w:type="line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libri Light">
    <w:panose1 w:val="020F03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4DCE61">
    <w:pPr>
      <w:pStyle w:val="71"/>
    </w:pPr>
    <w:r>
      <w:fldChar w:fldCharType="begin"/>
    </w:r>
    <w:r>
      <w:instrText xml:space="preserve"> PAGE  \* MERGEFORMAT </w:instrText>
    </w:r>
    <w:r>
      <w:fldChar w:fldCharType="separate"/>
    </w:r>
    <w:r>
      <w:t>18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E0894F">
    <w:pPr>
      <w:pStyle w:val="46"/>
    </w:pPr>
    <w: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E16A96">
                          <w:pPr>
                            <w:pStyle w:val="46"/>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02E16A96">
                    <w:pPr>
                      <w:pStyle w:val="46"/>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086096">
    <w:pPr>
      <w:pStyle w:val="71"/>
    </w:pPr>
    <w: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925BBA">
                          <w:pPr>
                            <w:pStyle w:val="71"/>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14:paraId="2E925BBA">
                    <w:pPr>
                      <w:pStyle w:val="71"/>
                    </w:pPr>
                    <w:r>
                      <w:fldChar w:fldCharType="begin"/>
                    </w:r>
                    <w:r>
                      <w:instrText xml:space="preserve"> PAGE  \* MERGEFORMAT </w:instrText>
                    </w:r>
                    <w:r>
                      <w:fldChar w:fldCharType="separate"/>
                    </w:r>
                    <w:r>
                      <w:t>II</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8F3E0F">
    <w:pPr>
      <w:pStyle w:val="46"/>
    </w:pPr>
    <w:r>
      <w:fldChar w:fldCharType="begin"/>
    </w:r>
    <w:r>
      <w:instrText xml:space="preserve"> PAGE  \* MERGEFORMAT </w:instrText>
    </w:r>
    <w:r>
      <w:fldChar w:fldCharType="separate"/>
    </w:r>
    <w:r>
      <w:t>13</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AC8ED9">
    <w:pPr>
      <w:pStyle w:val="46"/>
    </w:pPr>
    <w: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64970D4">
                          <w:pPr>
                            <w:pStyle w:val="46"/>
                          </w:pPr>
                          <w:r>
                            <w:fldChar w:fldCharType="begin"/>
                          </w:r>
                          <w:r>
                            <w:instrText xml:space="preserve"> PAGE  \* MERGEFORMAT </w:instrText>
                          </w:r>
                          <w:r>
                            <w:fldChar w:fldCharType="separate"/>
                          </w:r>
                          <w:r>
                            <w:t>17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rd1wwq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Mrd1wwqAgAAVwQAAA4AAAAAAAAAAQAgAAAAHwEAAGRycy9lMm9Eb2MueG1sUEsFBgAAAAAGAAYA&#10;WQEAALsFAAAAAA==&#10;">
              <v:fill on="f" focussize="0,0"/>
              <v:stroke on="f" weight="0.5pt"/>
              <v:imagedata o:title=""/>
              <o:lock v:ext="edit" aspectratio="f"/>
              <v:textbox inset="0mm,0mm,0mm,0mm" style="mso-fit-shape-to-text:t;">
                <w:txbxContent>
                  <w:p w14:paraId="764970D4">
                    <w:pPr>
                      <w:pStyle w:val="46"/>
                    </w:pPr>
                    <w:r>
                      <w:fldChar w:fldCharType="begin"/>
                    </w:r>
                    <w:r>
                      <w:instrText xml:space="preserve"> PAGE  \* MERGEFORMAT </w:instrText>
                    </w:r>
                    <w:r>
                      <w:fldChar w:fldCharType="separate"/>
                    </w:r>
                    <w:r>
                      <w:t>17</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D1FEF6">
    <w:pPr>
      <w:pStyle w:val="71"/>
    </w:pPr>
    <w: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D75AEC">
                          <w:pPr>
                            <w:pStyle w:val="71"/>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GcYw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RnGMKwIAAFcEAAAOAAAAAAAAAAEAIAAAAB8BAABkcnMvZTJvRG9jLnhtbFBLBQYAAAAABgAG&#10;AFkBAAC8BQAAAAA=&#10;">
              <v:fill on="f" focussize="0,0"/>
              <v:stroke on="f" weight="0.5pt"/>
              <v:imagedata o:title=""/>
              <o:lock v:ext="edit" aspectratio="f"/>
              <v:textbox inset="0mm,0mm,0mm,0mm" style="mso-fit-shape-to-text:t;">
                <w:txbxContent>
                  <w:p w14:paraId="72D75AEC">
                    <w:pPr>
                      <w:pStyle w:val="71"/>
                    </w:pPr>
                    <w:r>
                      <w:fldChar w:fldCharType="begin"/>
                    </w:r>
                    <w:r>
                      <w:instrText xml:space="preserve"> PAGE  \* MERGEFORMAT </w:instrText>
                    </w:r>
                    <w:r>
                      <w:fldChar w:fldCharType="separate"/>
                    </w:r>
                    <w:r>
                      <w:t>18</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230DBA">
    <w:pPr>
      <w:pStyle w:val="72"/>
      <w:rPr>
        <w:rFonts w:hAnsi="黑体"/>
      </w:rPr>
    </w:pPr>
    <w:r>
      <w:rPr>
        <w:rFonts w:hint="eastAsia" w:hAnsi="黑体"/>
      </w:rPr>
      <w:t xml:space="preserve">T/XXX </w:t>
    </w:r>
    <w:r>
      <w:rPr>
        <w:rFonts w:hAnsi="黑体"/>
      </w:rPr>
      <w:t>XX</w:t>
    </w:r>
    <w:r>
      <w:rPr>
        <w:rFonts w:hint="eastAsia" w:hAnsi="黑体"/>
      </w:rPr>
      <w:t>X-20XX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C3E53">
    <w:pPr>
      <w:pStyle w:val="47"/>
    </w:pPr>
    <w:r>
      <w:rPr>
        <w:rFonts w:hint="eastAsia"/>
      </w:rPr>
      <w:t xml:space="preserve">T/XXX </w:t>
    </w:r>
    <w:r>
      <w:t>XX</w:t>
    </w:r>
    <w:r>
      <w:rPr>
        <w:rFonts w:hint="eastAsia"/>
      </w:rPr>
      <w:t>X-20XX</w:t>
    </w: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CE85A6">
    <w:pPr>
      <w:pStyle w:val="47"/>
    </w:pPr>
    <w:r>
      <w:rPr>
        <w:rFonts w:hint="eastAsia"/>
      </w:rPr>
      <w:t xml:space="preserve">T/XXX </w:t>
    </w:r>
    <w:r>
      <w:t>XXX</w:t>
    </w:r>
    <w:r>
      <w:rPr>
        <w:rFonts w:hint="eastAsia"/>
      </w:rPr>
      <w:t>-20XX</w:t>
    </w: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7AA849">
    <w:pPr>
      <w:pStyle w:val="47"/>
    </w:pPr>
    <w:r>
      <w:rPr>
        <w:rFonts w:hint="eastAsia"/>
      </w:rPr>
      <w:t xml:space="preserve">T/SZS </w:t>
    </w:r>
    <w:r>
      <w:t>XXXX</w:t>
    </w:r>
    <w:r>
      <w:rPr>
        <w:rFonts w:hint="eastAsia"/>
      </w:rPr>
      <w:t>-2024</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61"/>
      <w:suff w:val="nothing"/>
      <w:lvlText w:val="注%1："/>
      <w:lvlJc w:val="left"/>
      <w:pPr>
        <w:ind w:left="2796" w:hanging="448"/>
      </w:pPr>
      <w:rPr>
        <w:rFonts w:hint="eastAsia" w:ascii="黑体" w:eastAsia="黑体"/>
        <w:b w:val="0"/>
        <w:i w:val="0"/>
        <w:sz w:val="18"/>
        <w:lang w:val="en-US"/>
      </w:rPr>
    </w:lvl>
    <w:lvl w:ilvl="1" w:tentative="0">
      <w:start w:val="1"/>
      <w:numFmt w:val="lowerLetter"/>
      <w:lvlText w:val="%2)"/>
      <w:lvlJc w:val="left"/>
      <w:pPr>
        <w:tabs>
          <w:tab w:val="left" w:pos="1985"/>
        </w:tabs>
        <w:ind w:left="2977" w:hanging="629"/>
      </w:pPr>
      <w:rPr>
        <w:rFonts w:hint="eastAsia"/>
      </w:rPr>
    </w:lvl>
    <w:lvl w:ilvl="2" w:tentative="0">
      <w:start w:val="1"/>
      <w:numFmt w:val="lowerRoman"/>
      <w:lvlText w:val="%3."/>
      <w:lvlJc w:val="right"/>
      <w:pPr>
        <w:tabs>
          <w:tab w:val="left" w:pos="1985"/>
        </w:tabs>
        <w:ind w:left="2977" w:hanging="629"/>
      </w:pPr>
      <w:rPr>
        <w:rFonts w:hint="eastAsia"/>
      </w:rPr>
    </w:lvl>
    <w:lvl w:ilvl="3" w:tentative="0">
      <w:start w:val="1"/>
      <w:numFmt w:val="decimal"/>
      <w:lvlText w:val="%4."/>
      <w:lvlJc w:val="left"/>
      <w:pPr>
        <w:tabs>
          <w:tab w:val="left" w:pos="1985"/>
        </w:tabs>
        <w:ind w:left="2977" w:hanging="629"/>
      </w:pPr>
      <w:rPr>
        <w:rFonts w:hint="eastAsia"/>
      </w:rPr>
    </w:lvl>
    <w:lvl w:ilvl="4" w:tentative="0">
      <w:start w:val="1"/>
      <w:numFmt w:val="lowerLetter"/>
      <w:lvlText w:val="%5)"/>
      <w:lvlJc w:val="left"/>
      <w:pPr>
        <w:tabs>
          <w:tab w:val="left" w:pos="1985"/>
        </w:tabs>
        <w:ind w:left="2977" w:hanging="629"/>
      </w:pPr>
      <w:rPr>
        <w:rFonts w:hint="eastAsia"/>
      </w:rPr>
    </w:lvl>
    <w:lvl w:ilvl="5" w:tentative="0">
      <w:start w:val="1"/>
      <w:numFmt w:val="lowerRoman"/>
      <w:lvlText w:val="%6."/>
      <w:lvlJc w:val="right"/>
      <w:pPr>
        <w:tabs>
          <w:tab w:val="left" w:pos="1985"/>
        </w:tabs>
        <w:ind w:left="2977" w:hanging="629"/>
      </w:pPr>
      <w:rPr>
        <w:rFonts w:hint="eastAsia"/>
      </w:rPr>
    </w:lvl>
    <w:lvl w:ilvl="6" w:tentative="0">
      <w:start w:val="1"/>
      <w:numFmt w:val="decimal"/>
      <w:lvlText w:val="%7."/>
      <w:lvlJc w:val="left"/>
      <w:pPr>
        <w:tabs>
          <w:tab w:val="left" w:pos="1985"/>
        </w:tabs>
        <w:ind w:left="2977" w:hanging="629"/>
      </w:pPr>
      <w:rPr>
        <w:rFonts w:hint="eastAsia"/>
      </w:rPr>
    </w:lvl>
    <w:lvl w:ilvl="7" w:tentative="0">
      <w:start w:val="1"/>
      <w:numFmt w:val="lowerLetter"/>
      <w:lvlText w:val="%8)"/>
      <w:lvlJc w:val="left"/>
      <w:pPr>
        <w:tabs>
          <w:tab w:val="left" w:pos="1985"/>
        </w:tabs>
        <w:ind w:left="2977" w:hanging="629"/>
      </w:pPr>
      <w:rPr>
        <w:rFonts w:hint="eastAsia"/>
      </w:rPr>
    </w:lvl>
    <w:lvl w:ilvl="8" w:tentative="0">
      <w:start w:val="1"/>
      <w:numFmt w:val="lowerRoman"/>
      <w:lvlText w:val="%9."/>
      <w:lvlJc w:val="right"/>
      <w:pPr>
        <w:tabs>
          <w:tab w:val="left" w:pos="1985"/>
        </w:tabs>
        <w:ind w:left="2977" w:hanging="629"/>
      </w:pPr>
      <w:rPr>
        <w:rFonts w:hint="eastAsia"/>
      </w:rPr>
    </w:lvl>
  </w:abstractNum>
  <w:abstractNum w:abstractNumId="1">
    <w:nsid w:val="07BF354A"/>
    <w:multiLevelType w:val="singleLevel"/>
    <w:tmpl w:val="07BF354A"/>
    <w:lvl w:ilvl="0" w:tentative="0">
      <w:start w:val="1"/>
      <w:numFmt w:val="decimal"/>
      <w:suff w:val="space"/>
      <w:lvlText w:val="[%1]"/>
      <w:lvlJc w:val="left"/>
      <w:rPr>
        <w:rFonts w:hint="default" w:ascii="宋体" w:hAnsi="宋体" w:eastAsia="宋体" w:cs="宋体"/>
      </w:rPr>
    </w:lvl>
  </w:abstractNum>
  <w:abstractNum w:abstractNumId="2">
    <w:nsid w:val="093C6778"/>
    <w:multiLevelType w:val="multilevel"/>
    <w:tmpl w:val="093C6778"/>
    <w:lvl w:ilvl="0" w:tentative="0">
      <w:start w:val="1"/>
      <w:numFmt w:val="decimal"/>
      <w:pStyle w:val="119"/>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AE367E9"/>
    <w:multiLevelType w:val="multilevel"/>
    <w:tmpl w:val="0AE367E9"/>
    <w:lvl w:ilvl="0" w:tentative="0">
      <w:start w:val="1"/>
      <w:numFmt w:val="none"/>
      <w:pStyle w:val="55"/>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4">
    <w:nsid w:val="0D983844"/>
    <w:multiLevelType w:val="multilevel"/>
    <w:tmpl w:val="0D983844"/>
    <w:lvl w:ilvl="0" w:tentative="0">
      <w:start w:val="1"/>
      <w:numFmt w:val="decimal"/>
      <w:pStyle w:val="131"/>
      <w:suff w:val="nothing"/>
      <w:lvlText w:val="图%1　"/>
      <w:lvlJc w:val="left"/>
      <w:pPr>
        <w:ind w:left="0" w:firstLine="0"/>
      </w:pPr>
      <w:rPr>
        <w:rFonts w:hint="default" w:ascii="黑体" w:hAnsi="Times New Roman" w:eastAsia="黑体"/>
        <w:b w:val="0"/>
        <w:i w:val="0"/>
        <w:sz w:val="21"/>
        <w:highlight w:val="none"/>
        <w:lang w:val="en-US"/>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0DDE2B46"/>
    <w:multiLevelType w:val="multilevel"/>
    <w:tmpl w:val="0DDE2B46"/>
    <w:lvl w:ilvl="0" w:tentative="0">
      <w:start w:val="1"/>
      <w:numFmt w:val="lowerLetter"/>
      <w:pStyle w:val="124"/>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6">
    <w:nsid w:val="1DBF583A"/>
    <w:multiLevelType w:val="multilevel"/>
    <w:tmpl w:val="1DBF583A"/>
    <w:lvl w:ilvl="0" w:tentative="0">
      <w:start w:val="1"/>
      <w:numFmt w:val="decimal"/>
      <w:pStyle w:val="68"/>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7">
    <w:nsid w:val="1FC91163"/>
    <w:multiLevelType w:val="multilevel"/>
    <w:tmpl w:val="1FC91163"/>
    <w:lvl w:ilvl="0" w:tentative="0">
      <w:start w:val="1"/>
      <w:numFmt w:val="decimal"/>
      <w:pStyle w:val="48"/>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5"/>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49"/>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default" w:ascii="黑体" w:hAnsi="Times New Roman" w:eastAsia="黑体"/>
        <w:b w:val="0"/>
        <w:i w:val="0"/>
        <w:sz w:val="21"/>
        <w:highlight w:val="none"/>
      </w:rPr>
    </w:lvl>
    <w:lvl w:ilvl="4" w:tentative="0">
      <w:start w:val="1"/>
      <w:numFmt w:val="decimal"/>
      <w:pStyle w:val="58"/>
      <w:suff w:val="nothing"/>
      <w:lvlText w:val="%1.%2.%3.%4.%5　"/>
      <w:lvlJc w:val="left"/>
      <w:pPr>
        <w:ind w:left="0" w:firstLine="0"/>
      </w:pPr>
      <w:rPr>
        <w:rFonts w:hint="eastAsia" w:ascii="黑体" w:hAnsi="Times New Roman" w:eastAsia="黑体"/>
        <w:b w:val="0"/>
        <w:i w:val="0"/>
        <w:sz w:val="21"/>
      </w:rPr>
    </w:lvl>
    <w:lvl w:ilvl="5" w:tentative="0">
      <w:start w:val="1"/>
      <w:numFmt w:val="decimal"/>
      <w:pStyle w:val="59"/>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8">
    <w:nsid w:val="22827D5B"/>
    <w:multiLevelType w:val="multilevel"/>
    <w:tmpl w:val="22827D5B"/>
    <w:lvl w:ilvl="0" w:tentative="0">
      <w:start w:val="1"/>
      <w:numFmt w:val="none"/>
      <w:pStyle w:val="67"/>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9">
    <w:nsid w:val="2A8F7113"/>
    <w:multiLevelType w:val="multilevel"/>
    <w:tmpl w:val="2A8F7113"/>
    <w:lvl w:ilvl="0" w:tentative="0">
      <w:start w:val="1"/>
      <w:numFmt w:val="upperLetter"/>
      <w:pStyle w:val="101"/>
      <w:suff w:val="space"/>
      <w:lvlText w:val="%1"/>
      <w:lvlJc w:val="left"/>
      <w:pPr>
        <w:ind w:left="623" w:hanging="425"/>
      </w:pPr>
      <w:rPr>
        <w:rFonts w:hint="eastAsia"/>
      </w:rPr>
    </w:lvl>
    <w:lvl w:ilvl="1" w:tentative="0">
      <w:start w:val="1"/>
      <w:numFmt w:val="decimal"/>
      <w:pStyle w:val="102"/>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0">
    <w:nsid w:val="2C5917C3"/>
    <w:multiLevelType w:val="multilevel"/>
    <w:tmpl w:val="2C5917C3"/>
    <w:lvl w:ilvl="0" w:tentative="0">
      <w:start w:val="1"/>
      <w:numFmt w:val="none"/>
      <w:pStyle w:val="51"/>
      <w:suff w:val="nothing"/>
      <w:lvlText w:val="%1——"/>
      <w:lvlJc w:val="left"/>
      <w:pPr>
        <w:ind w:left="833" w:hanging="408"/>
      </w:pPr>
      <w:rPr>
        <w:rFonts w:hint="eastAsia"/>
      </w:rPr>
    </w:lvl>
    <w:lvl w:ilvl="1" w:tentative="0">
      <w:start w:val="1"/>
      <w:numFmt w:val="bullet"/>
      <w:pStyle w:val="52"/>
      <w:lvlText w:val=""/>
      <w:lvlJc w:val="left"/>
      <w:pPr>
        <w:tabs>
          <w:tab w:val="left" w:pos="760"/>
        </w:tabs>
        <w:ind w:left="1264" w:hanging="413"/>
      </w:pPr>
      <w:rPr>
        <w:rFonts w:hint="default" w:ascii="Symbol" w:hAnsi="Symbol"/>
        <w:color w:val="auto"/>
      </w:rPr>
    </w:lvl>
    <w:lvl w:ilvl="2" w:tentative="0">
      <w:start w:val="1"/>
      <w:numFmt w:val="bullet"/>
      <w:pStyle w:val="63"/>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D733618"/>
    <w:multiLevelType w:val="multilevel"/>
    <w:tmpl w:val="3D733618"/>
    <w:lvl w:ilvl="0" w:tentative="0">
      <w:start w:val="1"/>
      <w:numFmt w:val="decimal"/>
      <w:pStyle w:val="26"/>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2">
    <w:nsid w:val="44C50F90"/>
    <w:multiLevelType w:val="multilevel"/>
    <w:tmpl w:val="44C50F90"/>
    <w:lvl w:ilvl="0" w:tentative="0">
      <w:start w:val="1"/>
      <w:numFmt w:val="lowerLetter"/>
      <w:pStyle w:val="62"/>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7"/>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B733A5F"/>
    <w:multiLevelType w:val="multilevel"/>
    <w:tmpl w:val="4B733A5F"/>
    <w:lvl w:ilvl="0" w:tentative="0">
      <w:start w:val="1"/>
      <w:numFmt w:val="decimal"/>
      <w:pStyle w:val="65"/>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4">
    <w:nsid w:val="60B55DC2"/>
    <w:multiLevelType w:val="multilevel"/>
    <w:tmpl w:val="60B55DC2"/>
    <w:lvl w:ilvl="0" w:tentative="0">
      <w:start w:val="1"/>
      <w:numFmt w:val="upperLetter"/>
      <w:pStyle w:val="89"/>
      <w:lvlText w:val="%1"/>
      <w:lvlJc w:val="left"/>
      <w:pPr>
        <w:tabs>
          <w:tab w:val="left" w:pos="0"/>
        </w:tabs>
        <w:ind w:left="0" w:hanging="425"/>
      </w:pPr>
      <w:rPr>
        <w:rFonts w:hint="eastAsia"/>
      </w:rPr>
    </w:lvl>
    <w:lvl w:ilvl="1" w:tentative="0">
      <w:start w:val="1"/>
      <w:numFmt w:val="decimal"/>
      <w:pStyle w:val="90"/>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5">
    <w:nsid w:val="646260FA"/>
    <w:multiLevelType w:val="multilevel"/>
    <w:tmpl w:val="646260FA"/>
    <w:lvl w:ilvl="0" w:tentative="0">
      <w:start w:val="1"/>
      <w:numFmt w:val="decimal"/>
      <w:pStyle w:val="129"/>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6">
    <w:nsid w:val="657D3FBC"/>
    <w:multiLevelType w:val="multilevel"/>
    <w:tmpl w:val="657D3FBC"/>
    <w:lvl w:ilvl="0" w:tentative="0">
      <w:start w:val="1"/>
      <w:numFmt w:val="upperLetter"/>
      <w:pStyle w:val="87"/>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5"/>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6"/>
      <w:suff w:val="nothing"/>
      <w:lvlText w:val="%1.%2.%3　"/>
      <w:lvlJc w:val="left"/>
      <w:pPr>
        <w:ind w:left="0" w:firstLine="0"/>
      </w:pPr>
      <w:rPr>
        <w:rFonts w:hint="eastAsia" w:ascii="黑体" w:hAnsi="Times New Roman" w:eastAsia="黑体"/>
        <w:b w:val="0"/>
        <w:i w:val="0"/>
        <w:sz w:val="21"/>
      </w:rPr>
    </w:lvl>
    <w:lvl w:ilvl="3" w:tentative="0">
      <w:start w:val="1"/>
      <w:numFmt w:val="decimal"/>
      <w:pStyle w:val="91"/>
      <w:suff w:val="nothing"/>
      <w:lvlText w:val="%1.%2.%3.%4　"/>
      <w:lvlJc w:val="left"/>
      <w:pPr>
        <w:ind w:left="0" w:firstLine="0"/>
      </w:pPr>
      <w:rPr>
        <w:rFonts w:hint="eastAsia" w:ascii="黑体" w:hAnsi="Times New Roman" w:eastAsia="黑体"/>
        <w:b w:val="0"/>
        <w:i w:val="0"/>
        <w:sz w:val="21"/>
      </w:rPr>
    </w:lvl>
    <w:lvl w:ilvl="4" w:tentative="0">
      <w:start w:val="1"/>
      <w:numFmt w:val="decimal"/>
      <w:pStyle w:val="96"/>
      <w:suff w:val="nothing"/>
      <w:lvlText w:val="%1.%2.%3.%4.%5　"/>
      <w:lvlJc w:val="left"/>
      <w:pPr>
        <w:ind w:left="0" w:firstLine="0"/>
      </w:pPr>
      <w:rPr>
        <w:rFonts w:hint="eastAsia" w:ascii="黑体" w:hAnsi="Times New Roman" w:eastAsia="黑体"/>
        <w:b w:val="0"/>
        <w:i w:val="0"/>
        <w:sz w:val="21"/>
      </w:rPr>
    </w:lvl>
    <w:lvl w:ilvl="5" w:tentative="0">
      <w:start w:val="1"/>
      <w:numFmt w:val="decimal"/>
      <w:pStyle w:val="99"/>
      <w:suff w:val="nothing"/>
      <w:lvlText w:val="%1.%2.%3.%4.%5.%6　"/>
      <w:lvlJc w:val="left"/>
      <w:pPr>
        <w:ind w:left="0" w:firstLine="0"/>
      </w:pPr>
      <w:rPr>
        <w:rFonts w:hint="eastAsia" w:ascii="黑体" w:hAnsi="Times New Roman" w:eastAsia="黑体"/>
        <w:b w:val="0"/>
        <w:i w:val="0"/>
        <w:sz w:val="21"/>
      </w:rPr>
    </w:lvl>
    <w:lvl w:ilvl="6" w:tentative="0">
      <w:start w:val="1"/>
      <w:numFmt w:val="decimal"/>
      <w:pStyle w:val="103"/>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7">
    <w:nsid w:val="6D6C07CD"/>
    <w:multiLevelType w:val="multilevel"/>
    <w:tmpl w:val="6D6C07CD"/>
    <w:lvl w:ilvl="0" w:tentative="0">
      <w:start w:val="1"/>
      <w:numFmt w:val="lowerLetter"/>
      <w:pStyle w:val="108"/>
      <w:lvlText w:val="%1)"/>
      <w:lvlJc w:val="left"/>
      <w:pPr>
        <w:tabs>
          <w:tab w:val="left" w:pos="839"/>
        </w:tabs>
        <w:ind w:left="839" w:hanging="419"/>
      </w:pPr>
      <w:rPr>
        <w:rFonts w:hint="eastAsia" w:ascii="宋体" w:eastAsia="宋体"/>
        <w:b w:val="0"/>
        <w:i w:val="0"/>
        <w:sz w:val="21"/>
      </w:rPr>
    </w:lvl>
    <w:lvl w:ilvl="1" w:tentative="0">
      <w:start w:val="1"/>
      <w:numFmt w:val="decimal"/>
      <w:pStyle w:val="98"/>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8">
    <w:nsid w:val="6DBF04F4"/>
    <w:multiLevelType w:val="multilevel"/>
    <w:tmpl w:val="6DBF04F4"/>
    <w:lvl w:ilvl="0" w:tentative="0">
      <w:start w:val="1"/>
      <w:numFmt w:val="none"/>
      <w:pStyle w:val="60"/>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1"/>
  </w:num>
  <w:num w:numId="2">
    <w:abstractNumId w:val="7"/>
  </w:num>
  <w:num w:numId="3">
    <w:abstractNumId w:val="10"/>
  </w:num>
  <w:num w:numId="4">
    <w:abstractNumId w:val="3"/>
  </w:num>
  <w:num w:numId="5">
    <w:abstractNumId w:val="12"/>
  </w:num>
  <w:num w:numId="6">
    <w:abstractNumId w:val="18"/>
  </w:num>
  <w:num w:numId="7">
    <w:abstractNumId w:val="0"/>
  </w:num>
  <w:num w:numId="8">
    <w:abstractNumId w:val="13"/>
  </w:num>
  <w:num w:numId="9">
    <w:abstractNumId w:val="8"/>
  </w:num>
  <w:num w:numId="10">
    <w:abstractNumId w:val="6"/>
  </w:num>
  <w:num w:numId="11">
    <w:abstractNumId w:val="16"/>
  </w:num>
  <w:num w:numId="12">
    <w:abstractNumId w:val="14"/>
  </w:num>
  <w:num w:numId="13">
    <w:abstractNumId w:val="17"/>
  </w:num>
  <w:num w:numId="14">
    <w:abstractNumId w:val="9"/>
  </w:num>
  <w:num w:numId="15">
    <w:abstractNumId w:val="2"/>
  </w:num>
  <w:num w:numId="16">
    <w:abstractNumId w:val="5"/>
  </w:num>
  <w:num w:numId="17">
    <w:abstractNumId w:val="15"/>
  </w:num>
  <w:num w:numId="18">
    <w:abstractNumId w:val="4"/>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mirrorMargin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FjZGUyM2M2NzNmNTZhOWJhMzJmYjhmMDAwOGY2YWUifQ=="/>
  </w:docVars>
  <w:rsids>
    <w:rsidRoot w:val="00172A27"/>
    <w:rsid w:val="00000244"/>
    <w:rsid w:val="0000185F"/>
    <w:rsid w:val="00001FD1"/>
    <w:rsid w:val="000038C2"/>
    <w:rsid w:val="000041F3"/>
    <w:rsid w:val="000045BC"/>
    <w:rsid w:val="000051F3"/>
    <w:rsid w:val="00005703"/>
    <w:rsid w:val="0000586F"/>
    <w:rsid w:val="00005AD0"/>
    <w:rsid w:val="00006167"/>
    <w:rsid w:val="00006226"/>
    <w:rsid w:val="00006EAE"/>
    <w:rsid w:val="00006F0D"/>
    <w:rsid w:val="000104DB"/>
    <w:rsid w:val="000106DF"/>
    <w:rsid w:val="000114DA"/>
    <w:rsid w:val="00011CD4"/>
    <w:rsid w:val="0001210E"/>
    <w:rsid w:val="00012456"/>
    <w:rsid w:val="000126A7"/>
    <w:rsid w:val="000131D5"/>
    <w:rsid w:val="00013276"/>
    <w:rsid w:val="00013D86"/>
    <w:rsid w:val="00013E02"/>
    <w:rsid w:val="000149CB"/>
    <w:rsid w:val="00014B4D"/>
    <w:rsid w:val="0001571E"/>
    <w:rsid w:val="0001613A"/>
    <w:rsid w:val="000167DA"/>
    <w:rsid w:val="00016A4C"/>
    <w:rsid w:val="00017B37"/>
    <w:rsid w:val="0002035C"/>
    <w:rsid w:val="0002083A"/>
    <w:rsid w:val="00020F3E"/>
    <w:rsid w:val="0002143C"/>
    <w:rsid w:val="00021A74"/>
    <w:rsid w:val="000224ED"/>
    <w:rsid w:val="00023F6C"/>
    <w:rsid w:val="00025A65"/>
    <w:rsid w:val="00026631"/>
    <w:rsid w:val="00026C31"/>
    <w:rsid w:val="00027280"/>
    <w:rsid w:val="00027CBD"/>
    <w:rsid w:val="00030678"/>
    <w:rsid w:val="00031831"/>
    <w:rsid w:val="000320A7"/>
    <w:rsid w:val="00032AA5"/>
    <w:rsid w:val="000340AB"/>
    <w:rsid w:val="00035749"/>
    <w:rsid w:val="00035925"/>
    <w:rsid w:val="00035B86"/>
    <w:rsid w:val="00037486"/>
    <w:rsid w:val="000376A3"/>
    <w:rsid w:val="00040D6B"/>
    <w:rsid w:val="000422D8"/>
    <w:rsid w:val="00045342"/>
    <w:rsid w:val="000458DF"/>
    <w:rsid w:val="0004676A"/>
    <w:rsid w:val="00050024"/>
    <w:rsid w:val="0005021D"/>
    <w:rsid w:val="00050AE2"/>
    <w:rsid w:val="00051467"/>
    <w:rsid w:val="00051B46"/>
    <w:rsid w:val="00051F94"/>
    <w:rsid w:val="00052836"/>
    <w:rsid w:val="00052AE2"/>
    <w:rsid w:val="00053E13"/>
    <w:rsid w:val="00054A65"/>
    <w:rsid w:val="00055F2F"/>
    <w:rsid w:val="00056B8C"/>
    <w:rsid w:val="00057E61"/>
    <w:rsid w:val="000607E6"/>
    <w:rsid w:val="000618CB"/>
    <w:rsid w:val="00064773"/>
    <w:rsid w:val="000647B0"/>
    <w:rsid w:val="000650F8"/>
    <w:rsid w:val="000670BC"/>
    <w:rsid w:val="000670DA"/>
    <w:rsid w:val="00067CDF"/>
    <w:rsid w:val="00070475"/>
    <w:rsid w:val="000707AC"/>
    <w:rsid w:val="00071985"/>
    <w:rsid w:val="00072979"/>
    <w:rsid w:val="00074FBE"/>
    <w:rsid w:val="00077736"/>
    <w:rsid w:val="000779A3"/>
    <w:rsid w:val="00077B71"/>
    <w:rsid w:val="00077E8A"/>
    <w:rsid w:val="00077E94"/>
    <w:rsid w:val="00080502"/>
    <w:rsid w:val="00080A81"/>
    <w:rsid w:val="00080DB6"/>
    <w:rsid w:val="00081D39"/>
    <w:rsid w:val="00081DF5"/>
    <w:rsid w:val="00081E44"/>
    <w:rsid w:val="0008317C"/>
    <w:rsid w:val="00083A09"/>
    <w:rsid w:val="00083CFD"/>
    <w:rsid w:val="0008439F"/>
    <w:rsid w:val="00084665"/>
    <w:rsid w:val="00084941"/>
    <w:rsid w:val="00085647"/>
    <w:rsid w:val="00085F75"/>
    <w:rsid w:val="00086B9C"/>
    <w:rsid w:val="00087369"/>
    <w:rsid w:val="0009005E"/>
    <w:rsid w:val="000904A1"/>
    <w:rsid w:val="0009129E"/>
    <w:rsid w:val="00092857"/>
    <w:rsid w:val="00093D19"/>
    <w:rsid w:val="000941E8"/>
    <w:rsid w:val="00094266"/>
    <w:rsid w:val="00094440"/>
    <w:rsid w:val="00095EDC"/>
    <w:rsid w:val="00097A05"/>
    <w:rsid w:val="000A1CC1"/>
    <w:rsid w:val="000A20A9"/>
    <w:rsid w:val="000A20B1"/>
    <w:rsid w:val="000A37D0"/>
    <w:rsid w:val="000A3885"/>
    <w:rsid w:val="000A48B1"/>
    <w:rsid w:val="000A4CE2"/>
    <w:rsid w:val="000A664D"/>
    <w:rsid w:val="000A6E08"/>
    <w:rsid w:val="000A74B2"/>
    <w:rsid w:val="000A76ED"/>
    <w:rsid w:val="000B0077"/>
    <w:rsid w:val="000B0D77"/>
    <w:rsid w:val="000B1515"/>
    <w:rsid w:val="000B28C1"/>
    <w:rsid w:val="000B3143"/>
    <w:rsid w:val="000B4064"/>
    <w:rsid w:val="000B44E8"/>
    <w:rsid w:val="000B4F69"/>
    <w:rsid w:val="000B539E"/>
    <w:rsid w:val="000B5B75"/>
    <w:rsid w:val="000B6178"/>
    <w:rsid w:val="000B6DC9"/>
    <w:rsid w:val="000B6E51"/>
    <w:rsid w:val="000B70B8"/>
    <w:rsid w:val="000B7ABE"/>
    <w:rsid w:val="000B7BBD"/>
    <w:rsid w:val="000C0D65"/>
    <w:rsid w:val="000C155D"/>
    <w:rsid w:val="000C161F"/>
    <w:rsid w:val="000C5437"/>
    <w:rsid w:val="000C6616"/>
    <w:rsid w:val="000C6B05"/>
    <w:rsid w:val="000C6DA7"/>
    <w:rsid w:val="000C6DD6"/>
    <w:rsid w:val="000C73D4"/>
    <w:rsid w:val="000C74BE"/>
    <w:rsid w:val="000C7B36"/>
    <w:rsid w:val="000D03FC"/>
    <w:rsid w:val="000D11CC"/>
    <w:rsid w:val="000D1C3A"/>
    <w:rsid w:val="000D206D"/>
    <w:rsid w:val="000D27F9"/>
    <w:rsid w:val="000D2CF3"/>
    <w:rsid w:val="000D3C99"/>
    <w:rsid w:val="000D3D4C"/>
    <w:rsid w:val="000D44A6"/>
    <w:rsid w:val="000D4BEC"/>
    <w:rsid w:val="000D4C8D"/>
    <w:rsid w:val="000D4F51"/>
    <w:rsid w:val="000D4F7E"/>
    <w:rsid w:val="000D5A7C"/>
    <w:rsid w:val="000D5FB4"/>
    <w:rsid w:val="000D718B"/>
    <w:rsid w:val="000D735E"/>
    <w:rsid w:val="000D7DE5"/>
    <w:rsid w:val="000E0C46"/>
    <w:rsid w:val="000E202F"/>
    <w:rsid w:val="000E23F9"/>
    <w:rsid w:val="000E2BE5"/>
    <w:rsid w:val="000E4C11"/>
    <w:rsid w:val="000E4E4D"/>
    <w:rsid w:val="000E663A"/>
    <w:rsid w:val="000E6D1D"/>
    <w:rsid w:val="000E6F28"/>
    <w:rsid w:val="000E7874"/>
    <w:rsid w:val="000F030C"/>
    <w:rsid w:val="000F129C"/>
    <w:rsid w:val="000F2829"/>
    <w:rsid w:val="000F3944"/>
    <w:rsid w:val="000F541B"/>
    <w:rsid w:val="000F7C27"/>
    <w:rsid w:val="000F7F4A"/>
    <w:rsid w:val="00100C31"/>
    <w:rsid w:val="00101A79"/>
    <w:rsid w:val="00102F17"/>
    <w:rsid w:val="00104737"/>
    <w:rsid w:val="001048E3"/>
    <w:rsid w:val="00104D8B"/>
    <w:rsid w:val="001056DE"/>
    <w:rsid w:val="0011022C"/>
    <w:rsid w:val="00110D99"/>
    <w:rsid w:val="00110F96"/>
    <w:rsid w:val="001124C0"/>
    <w:rsid w:val="001135E1"/>
    <w:rsid w:val="00113985"/>
    <w:rsid w:val="001168C1"/>
    <w:rsid w:val="00116BCD"/>
    <w:rsid w:val="00117DA1"/>
    <w:rsid w:val="00120E09"/>
    <w:rsid w:val="0012226A"/>
    <w:rsid w:val="00122345"/>
    <w:rsid w:val="00122CD8"/>
    <w:rsid w:val="001230AA"/>
    <w:rsid w:val="0012413B"/>
    <w:rsid w:val="001260DC"/>
    <w:rsid w:val="0012785A"/>
    <w:rsid w:val="001300B6"/>
    <w:rsid w:val="001309A7"/>
    <w:rsid w:val="00130F14"/>
    <w:rsid w:val="00131096"/>
    <w:rsid w:val="0013175F"/>
    <w:rsid w:val="00131B0D"/>
    <w:rsid w:val="00131FE5"/>
    <w:rsid w:val="001346DD"/>
    <w:rsid w:val="001349E0"/>
    <w:rsid w:val="00135EAB"/>
    <w:rsid w:val="00140C38"/>
    <w:rsid w:val="0014163F"/>
    <w:rsid w:val="00141F35"/>
    <w:rsid w:val="00143D18"/>
    <w:rsid w:val="00145A77"/>
    <w:rsid w:val="00146EEB"/>
    <w:rsid w:val="0014710E"/>
    <w:rsid w:val="001472AA"/>
    <w:rsid w:val="00147DBF"/>
    <w:rsid w:val="00147FB0"/>
    <w:rsid w:val="0015047D"/>
    <w:rsid w:val="00151022"/>
    <w:rsid w:val="001510CB"/>
    <w:rsid w:val="001512B4"/>
    <w:rsid w:val="0015157B"/>
    <w:rsid w:val="00152253"/>
    <w:rsid w:val="00152358"/>
    <w:rsid w:val="001523E2"/>
    <w:rsid w:val="0015484A"/>
    <w:rsid w:val="00154E57"/>
    <w:rsid w:val="00155026"/>
    <w:rsid w:val="00155F88"/>
    <w:rsid w:val="001565E5"/>
    <w:rsid w:val="00156EF6"/>
    <w:rsid w:val="0015737F"/>
    <w:rsid w:val="00157402"/>
    <w:rsid w:val="0015774D"/>
    <w:rsid w:val="00161363"/>
    <w:rsid w:val="001620A5"/>
    <w:rsid w:val="001628FF"/>
    <w:rsid w:val="00164E53"/>
    <w:rsid w:val="0016537B"/>
    <w:rsid w:val="0016682B"/>
    <w:rsid w:val="001668BE"/>
    <w:rsid w:val="0016699D"/>
    <w:rsid w:val="00167B85"/>
    <w:rsid w:val="00171704"/>
    <w:rsid w:val="00171D3D"/>
    <w:rsid w:val="001727BA"/>
    <w:rsid w:val="0017282F"/>
    <w:rsid w:val="00172901"/>
    <w:rsid w:val="00172A27"/>
    <w:rsid w:val="001741C1"/>
    <w:rsid w:val="00175159"/>
    <w:rsid w:val="00175F35"/>
    <w:rsid w:val="001761C8"/>
    <w:rsid w:val="00176208"/>
    <w:rsid w:val="001769C4"/>
    <w:rsid w:val="001800CC"/>
    <w:rsid w:val="001807F4"/>
    <w:rsid w:val="00180B9E"/>
    <w:rsid w:val="00181A9E"/>
    <w:rsid w:val="0018211B"/>
    <w:rsid w:val="00182DCC"/>
    <w:rsid w:val="00182FE1"/>
    <w:rsid w:val="001840D3"/>
    <w:rsid w:val="00184428"/>
    <w:rsid w:val="00185123"/>
    <w:rsid w:val="001852E8"/>
    <w:rsid w:val="00185E0F"/>
    <w:rsid w:val="00185E2E"/>
    <w:rsid w:val="00187027"/>
    <w:rsid w:val="0018755F"/>
    <w:rsid w:val="00187805"/>
    <w:rsid w:val="00187A54"/>
    <w:rsid w:val="001900F8"/>
    <w:rsid w:val="00190663"/>
    <w:rsid w:val="00191258"/>
    <w:rsid w:val="001916D8"/>
    <w:rsid w:val="00192680"/>
    <w:rsid w:val="00193037"/>
    <w:rsid w:val="00193A2C"/>
    <w:rsid w:val="0019573C"/>
    <w:rsid w:val="001959F0"/>
    <w:rsid w:val="00195DAE"/>
    <w:rsid w:val="00196681"/>
    <w:rsid w:val="00196742"/>
    <w:rsid w:val="001A0353"/>
    <w:rsid w:val="001A196E"/>
    <w:rsid w:val="001A1CB7"/>
    <w:rsid w:val="001A288E"/>
    <w:rsid w:val="001A3B49"/>
    <w:rsid w:val="001A403B"/>
    <w:rsid w:val="001A502C"/>
    <w:rsid w:val="001A5341"/>
    <w:rsid w:val="001A793D"/>
    <w:rsid w:val="001B01A0"/>
    <w:rsid w:val="001B15AC"/>
    <w:rsid w:val="001B164E"/>
    <w:rsid w:val="001B21DE"/>
    <w:rsid w:val="001B249B"/>
    <w:rsid w:val="001B32CC"/>
    <w:rsid w:val="001B3961"/>
    <w:rsid w:val="001B5616"/>
    <w:rsid w:val="001B690F"/>
    <w:rsid w:val="001B6DC2"/>
    <w:rsid w:val="001B76E5"/>
    <w:rsid w:val="001B7C84"/>
    <w:rsid w:val="001C00DD"/>
    <w:rsid w:val="001C0157"/>
    <w:rsid w:val="001C01ED"/>
    <w:rsid w:val="001C0216"/>
    <w:rsid w:val="001C0501"/>
    <w:rsid w:val="001C11AC"/>
    <w:rsid w:val="001C12A1"/>
    <w:rsid w:val="001C149C"/>
    <w:rsid w:val="001C1C31"/>
    <w:rsid w:val="001C21AC"/>
    <w:rsid w:val="001C2D43"/>
    <w:rsid w:val="001C3012"/>
    <w:rsid w:val="001C30D7"/>
    <w:rsid w:val="001C40C8"/>
    <w:rsid w:val="001C45BE"/>
    <w:rsid w:val="001C47BA"/>
    <w:rsid w:val="001C59EA"/>
    <w:rsid w:val="001C5B12"/>
    <w:rsid w:val="001C62D5"/>
    <w:rsid w:val="001C66C7"/>
    <w:rsid w:val="001C6E1A"/>
    <w:rsid w:val="001C78A4"/>
    <w:rsid w:val="001C7D29"/>
    <w:rsid w:val="001D0F16"/>
    <w:rsid w:val="001D0FDD"/>
    <w:rsid w:val="001D18FE"/>
    <w:rsid w:val="001D3C00"/>
    <w:rsid w:val="001D406C"/>
    <w:rsid w:val="001D41EE"/>
    <w:rsid w:val="001D5888"/>
    <w:rsid w:val="001D5CCE"/>
    <w:rsid w:val="001D5E66"/>
    <w:rsid w:val="001D689F"/>
    <w:rsid w:val="001D7281"/>
    <w:rsid w:val="001E0380"/>
    <w:rsid w:val="001E0AFF"/>
    <w:rsid w:val="001E13B1"/>
    <w:rsid w:val="001E2D72"/>
    <w:rsid w:val="001E3F3E"/>
    <w:rsid w:val="001E4206"/>
    <w:rsid w:val="001E4240"/>
    <w:rsid w:val="001E5113"/>
    <w:rsid w:val="001E74D5"/>
    <w:rsid w:val="001E79C6"/>
    <w:rsid w:val="001F2B94"/>
    <w:rsid w:val="001F30C7"/>
    <w:rsid w:val="001F3134"/>
    <w:rsid w:val="001F3725"/>
    <w:rsid w:val="001F3A19"/>
    <w:rsid w:val="001F4631"/>
    <w:rsid w:val="001F4B3D"/>
    <w:rsid w:val="001F5CDA"/>
    <w:rsid w:val="001F69B9"/>
    <w:rsid w:val="001F6A6D"/>
    <w:rsid w:val="001F7249"/>
    <w:rsid w:val="001F7402"/>
    <w:rsid w:val="002009EB"/>
    <w:rsid w:val="002014A4"/>
    <w:rsid w:val="00202CCE"/>
    <w:rsid w:val="00202DF4"/>
    <w:rsid w:val="002030B4"/>
    <w:rsid w:val="0020416F"/>
    <w:rsid w:val="00204EFC"/>
    <w:rsid w:val="00205210"/>
    <w:rsid w:val="00205971"/>
    <w:rsid w:val="0020710B"/>
    <w:rsid w:val="00207232"/>
    <w:rsid w:val="0020728A"/>
    <w:rsid w:val="00210648"/>
    <w:rsid w:val="00210A08"/>
    <w:rsid w:val="00210CA2"/>
    <w:rsid w:val="00210CB0"/>
    <w:rsid w:val="00213122"/>
    <w:rsid w:val="00213EB0"/>
    <w:rsid w:val="00215E9C"/>
    <w:rsid w:val="002178E8"/>
    <w:rsid w:val="00222F26"/>
    <w:rsid w:val="002233B4"/>
    <w:rsid w:val="002239DB"/>
    <w:rsid w:val="00223A6C"/>
    <w:rsid w:val="00224AED"/>
    <w:rsid w:val="00224FBD"/>
    <w:rsid w:val="002255EC"/>
    <w:rsid w:val="00226AF5"/>
    <w:rsid w:val="00227368"/>
    <w:rsid w:val="00230CF0"/>
    <w:rsid w:val="002322EC"/>
    <w:rsid w:val="00234467"/>
    <w:rsid w:val="00234990"/>
    <w:rsid w:val="00234A6A"/>
    <w:rsid w:val="002358B5"/>
    <w:rsid w:val="0023648A"/>
    <w:rsid w:val="00236B08"/>
    <w:rsid w:val="00236B4E"/>
    <w:rsid w:val="00237B4B"/>
    <w:rsid w:val="00237CBE"/>
    <w:rsid w:val="00237D8D"/>
    <w:rsid w:val="0024016F"/>
    <w:rsid w:val="00241DA2"/>
    <w:rsid w:val="00243EAE"/>
    <w:rsid w:val="0024462D"/>
    <w:rsid w:val="00244A20"/>
    <w:rsid w:val="00244E7D"/>
    <w:rsid w:val="002458EC"/>
    <w:rsid w:val="00247FEE"/>
    <w:rsid w:val="00250299"/>
    <w:rsid w:val="00250950"/>
    <w:rsid w:val="00250D67"/>
    <w:rsid w:val="00250E7D"/>
    <w:rsid w:val="00251172"/>
    <w:rsid w:val="002514D5"/>
    <w:rsid w:val="002522EA"/>
    <w:rsid w:val="00252A05"/>
    <w:rsid w:val="00253649"/>
    <w:rsid w:val="0025368F"/>
    <w:rsid w:val="00253EFD"/>
    <w:rsid w:val="002549BA"/>
    <w:rsid w:val="00254ECF"/>
    <w:rsid w:val="00254FA3"/>
    <w:rsid w:val="00255403"/>
    <w:rsid w:val="002565D5"/>
    <w:rsid w:val="00257717"/>
    <w:rsid w:val="0026048D"/>
    <w:rsid w:val="00261442"/>
    <w:rsid w:val="002622C0"/>
    <w:rsid w:val="00263B45"/>
    <w:rsid w:val="00265106"/>
    <w:rsid w:val="002653EB"/>
    <w:rsid w:val="002654C3"/>
    <w:rsid w:val="00266D61"/>
    <w:rsid w:val="00267E18"/>
    <w:rsid w:val="002716EA"/>
    <w:rsid w:val="00273102"/>
    <w:rsid w:val="0027419B"/>
    <w:rsid w:val="00275E44"/>
    <w:rsid w:val="002763C1"/>
    <w:rsid w:val="002764CA"/>
    <w:rsid w:val="0027661C"/>
    <w:rsid w:val="00276E78"/>
    <w:rsid w:val="002778AE"/>
    <w:rsid w:val="00280521"/>
    <w:rsid w:val="00280678"/>
    <w:rsid w:val="00281397"/>
    <w:rsid w:val="00281A5A"/>
    <w:rsid w:val="002824B5"/>
    <w:rsid w:val="0028269A"/>
    <w:rsid w:val="00282CD4"/>
    <w:rsid w:val="00282F39"/>
    <w:rsid w:val="00283590"/>
    <w:rsid w:val="0028372B"/>
    <w:rsid w:val="00284F6B"/>
    <w:rsid w:val="0028594E"/>
    <w:rsid w:val="00286973"/>
    <w:rsid w:val="002905CA"/>
    <w:rsid w:val="002919A8"/>
    <w:rsid w:val="00294E70"/>
    <w:rsid w:val="00296397"/>
    <w:rsid w:val="002968C3"/>
    <w:rsid w:val="002A096A"/>
    <w:rsid w:val="002A13B8"/>
    <w:rsid w:val="002A1924"/>
    <w:rsid w:val="002A20F4"/>
    <w:rsid w:val="002A2B22"/>
    <w:rsid w:val="002A36AB"/>
    <w:rsid w:val="002A3EB6"/>
    <w:rsid w:val="002A538B"/>
    <w:rsid w:val="002A704E"/>
    <w:rsid w:val="002A7420"/>
    <w:rsid w:val="002A7988"/>
    <w:rsid w:val="002B025E"/>
    <w:rsid w:val="002B081A"/>
    <w:rsid w:val="002B0A19"/>
    <w:rsid w:val="002B0AC2"/>
    <w:rsid w:val="002B0F12"/>
    <w:rsid w:val="002B1308"/>
    <w:rsid w:val="002B3377"/>
    <w:rsid w:val="002B3B8E"/>
    <w:rsid w:val="002B4554"/>
    <w:rsid w:val="002B4F0B"/>
    <w:rsid w:val="002B530C"/>
    <w:rsid w:val="002B5A00"/>
    <w:rsid w:val="002B6212"/>
    <w:rsid w:val="002B631C"/>
    <w:rsid w:val="002B6F3F"/>
    <w:rsid w:val="002B77FF"/>
    <w:rsid w:val="002B7E7E"/>
    <w:rsid w:val="002C2E75"/>
    <w:rsid w:val="002C33C6"/>
    <w:rsid w:val="002C35F0"/>
    <w:rsid w:val="002C4021"/>
    <w:rsid w:val="002C44D9"/>
    <w:rsid w:val="002C5096"/>
    <w:rsid w:val="002C51C0"/>
    <w:rsid w:val="002C649D"/>
    <w:rsid w:val="002C683B"/>
    <w:rsid w:val="002C72D8"/>
    <w:rsid w:val="002D0856"/>
    <w:rsid w:val="002D11FA"/>
    <w:rsid w:val="002D1663"/>
    <w:rsid w:val="002D22D6"/>
    <w:rsid w:val="002D286A"/>
    <w:rsid w:val="002D2F5F"/>
    <w:rsid w:val="002D36FA"/>
    <w:rsid w:val="002D59E6"/>
    <w:rsid w:val="002D5A2C"/>
    <w:rsid w:val="002D6DAA"/>
    <w:rsid w:val="002D773E"/>
    <w:rsid w:val="002E00FC"/>
    <w:rsid w:val="002E01E8"/>
    <w:rsid w:val="002E0278"/>
    <w:rsid w:val="002E0DDF"/>
    <w:rsid w:val="002E1ED1"/>
    <w:rsid w:val="002E20ED"/>
    <w:rsid w:val="002E2906"/>
    <w:rsid w:val="002E2B89"/>
    <w:rsid w:val="002E363B"/>
    <w:rsid w:val="002E4ADE"/>
    <w:rsid w:val="002E4B07"/>
    <w:rsid w:val="002E5437"/>
    <w:rsid w:val="002E5635"/>
    <w:rsid w:val="002E596A"/>
    <w:rsid w:val="002E64C3"/>
    <w:rsid w:val="002E6A2C"/>
    <w:rsid w:val="002E6AE4"/>
    <w:rsid w:val="002E6FEE"/>
    <w:rsid w:val="002F03FD"/>
    <w:rsid w:val="002F1D8C"/>
    <w:rsid w:val="002F1E4E"/>
    <w:rsid w:val="002F1F8E"/>
    <w:rsid w:val="002F21DA"/>
    <w:rsid w:val="002F29C4"/>
    <w:rsid w:val="002F2C0B"/>
    <w:rsid w:val="002F5261"/>
    <w:rsid w:val="002F6BC5"/>
    <w:rsid w:val="002F7DD9"/>
    <w:rsid w:val="00300F98"/>
    <w:rsid w:val="00301321"/>
    <w:rsid w:val="00301F39"/>
    <w:rsid w:val="003023FB"/>
    <w:rsid w:val="00302552"/>
    <w:rsid w:val="00303034"/>
    <w:rsid w:val="00303040"/>
    <w:rsid w:val="003030AA"/>
    <w:rsid w:val="0030333C"/>
    <w:rsid w:val="00303DAE"/>
    <w:rsid w:val="00305F32"/>
    <w:rsid w:val="003060B3"/>
    <w:rsid w:val="0030768A"/>
    <w:rsid w:val="00307EAC"/>
    <w:rsid w:val="0031085C"/>
    <w:rsid w:val="0031123E"/>
    <w:rsid w:val="0031256F"/>
    <w:rsid w:val="003135C3"/>
    <w:rsid w:val="003142C0"/>
    <w:rsid w:val="00314376"/>
    <w:rsid w:val="003162C1"/>
    <w:rsid w:val="00316A14"/>
    <w:rsid w:val="00317051"/>
    <w:rsid w:val="0031752B"/>
    <w:rsid w:val="00320C0A"/>
    <w:rsid w:val="0032162C"/>
    <w:rsid w:val="00322056"/>
    <w:rsid w:val="003225A7"/>
    <w:rsid w:val="00322DFE"/>
    <w:rsid w:val="00323ED4"/>
    <w:rsid w:val="003244C9"/>
    <w:rsid w:val="0032488E"/>
    <w:rsid w:val="00325926"/>
    <w:rsid w:val="00327A8A"/>
    <w:rsid w:val="003309EF"/>
    <w:rsid w:val="00330B24"/>
    <w:rsid w:val="00332D1C"/>
    <w:rsid w:val="003347BA"/>
    <w:rsid w:val="003348F3"/>
    <w:rsid w:val="00334C5A"/>
    <w:rsid w:val="00335535"/>
    <w:rsid w:val="00335FF2"/>
    <w:rsid w:val="00336610"/>
    <w:rsid w:val="00337EEE"/>
    <w:rsid w:val="00340342"/>
    <w:rsid w:val="0034084B"/>
    <w:rsid w:val="00343F73"/>
    <w:rsid w:val="00343FAD"/>
    <w:rsid w:val="0034406D"/>
    <w:rsid w:val="00344515"/>
    <w:rsid w:val="00345060"/>
    <w:rsid w:val="00345BA6"/>
    <w:rsid w:val="00346478"/>
    <w:rsid w:val="00350987"/>
    <w:rsid w:val="00350BF9"/>
    <w:rsid w:val="00350FA1"/>
    <w:rsid w:val="00351566"/>
    <w:rsid w:val="00351B45"/>
    <w:rsid w:val="00352170"/>
    <w:rsid w:val="00352727"/>
    <w:rsid w:val="0035323B"/>
    <w:rsid w:val="00353277"/>
    <w:rsid w:val="00355041"/>
    <w:rsid w:val="003561EC"/>
    <w:rsid w:val="003564E0"/>
    <w:rsid w:val="003565AF"/>
    <w:rsid w:val="00356A74"/>
    <w:rsid w:val="00357A64"/>
    <w:rsid w:val="003609D2"/>
    <w:rsid w:val="0036183A"/>
    <w:rsid w:val="0036378B"/>
    <w:rsid w:val="00363F22"/>
    <w:rsid w:val="003646FD"/>
    <w:rsid w:val="00365A64"/>
    <w:rsid w:val="00365E0E"/>
    <w:rsid w:val="00366A83"/>
    <w:rsid w:val="00367428"/>
    <w:rsid w:val="00367983"/>
    <w:rsid w:val="00367F9E"/>
    <w:rsid w:val="00370F0C"/>
    <w:rsid w:val="003729C1"/>
    <w:rsid w:val="00374C61"/>
    <w:rsid w:val="003751B6"/>
    <w:rsid w:val="00375564"/>
    <w:rsid w:val="00376088"/>
    <w:rsid w:val="00377B31"/>
    <w:rsid w:val="00380016"/>
    <w:rsid w:val="0038069F"/>
    <w:rsid w:val="00383191"/>
    <w:rsid w:val="00384226"/>
    <w:rsid w:val="00386755"/>
    <w:rsid w:val="00386AD9"/>
    <w:rsid w:val="00386DED"/>
    <w:rsid w:val="0038703E"/>
    <w:rsid w:val="0038723C"/>
    <w:rsid w:val="00387749"/>
    <w:rsid w:val="00390C73"/>
    <w:rsid w:val="003912E7"/>
    <w:rsid w:val="00393236"/>
    <w:rsid w:val="00393947"/>
    <w:rsid w:val="00393BFB"/>
    <w:rsid w:val="0039438A"/>
    <w:rsid w:val="00395DBC"/>
    <w:rsid w:val="003961E2"/>
    <w:rsid w:val="003964FB"/>
    <w:rsid w:val="003A0746"/>
    <w:rsid w:val="003A16CA"/>
    <w:rsid w:val="003A198E"/>
    <w:rsid w:val="003A2275"/>
    <w:rsid w:val="003A2F32"/>
    <w:rsid w:val="003A4B55"/>
    <w:rsid w:val="003A5095"/>
    <w:rsid w:val="003A54B1"/>
    <w:rsid w:val="003A561F"/>
    <w:rsid w:val="003A6A4F"/>
    <w:rsid w:val="003A7088"/>
    <w:rsid w:val="003A72BF"/>
    <w:rsid w:val="003B00DF"/>
    <w:rsid w:val="003B1275"/>
    <w:rsid w:val="003B1778"/>
    <w:rsid w:val="003B1F5A"/>
    <w:rsid w:val="003B22C2"/>
    <w:rsid w:val="003B3AEC"/>
    <w:rsid w:val="003B54CC"/>
    <w:rsid w:val="003B6646"/>
    <w:rsid w:val="003B6A7B"/>
    <w:rsid w:val="003B7ACA"/>
    <w:rsid w:val="003C1177"/>
    <w:rsid w:val="003C11CB"/>
    <w:rsid w:val="003C349B"/>
    <w:rsid w:val="003C3ED5"/>
    <w:rsid w:val="003C4004"/>
    <w:rsid w:val="003C47D4"/>
    <w:rsid w:val="003C4DB7"/>
    <w:rsid w:val="003C4F3B"/>
    <w:rsid w:val="003C59EA"/>
    <w:rsid w:val="003C6384"/>
    <w:rsid w:val="003C75F3"/>
    <w:rsid w:val="003C78A3"/>
    <w:rsid w:val="003D1281"/>
    <w:rsid w:val="003D19BC"/>
    <w:rsid w:val="003D2CF0"/>
    <w:rsid w:val="003D34D7"/>
    <w:rsid w:val="003D599F"/>
    <w:rsid w:val="003D59C4"/>
    <w:rsid w:val="003D60AE"/>
    <w:rsid w:val="003D66B6"/>
    <w:rsid w:val="003D7ADA"/>
    <w:rsid w:val="003E0AB2"/>
    <w:rsid w:val="003E112B"/>
    <w:rsid w:val="003E153D"/>
    <w:rsid w:val="003E1867"/>
    <w:rsid w:val="003E415F"/>
    <w:rsid w:val="003E55FE"/>
    <w:rsid w:val="003E5729"/>
    <w:rsid w:val="003F0D03"/>
    <w:rsid w:val="003F1480"/>
    <w:rsid w:val="003F20E6"/>
    <w:rsid w:val="003F38EA"/>
    <w:rsid w:val="003F4EE0"/>
    <w:rsid w:val="003F569F"/>
    <w:rsid w:val="003F738A"/>
    <w:rsid w:val="003F7C80"/>
    <w:rsid w:val="004003F4"/>
    <w:rsid w:val="004010CE"/>
    <w:rsid w:val="0040157B"/>
    <w:rsid w:val="00402153"/>
    <w:rsid w:val="00402FC1"/>
    <w:rsid w:val="0040354F"/>
    <w:rsid w:val="00407872"/>
    <w:rsid w:val="004128D2"/>
    <w:rsid w:val="00413602"/>
    <w:rsid w:val="004149B6"/>
    <w:rsid w:val="004153BB"/>
    <w:rsid w:val="00415FB8"/>
    <w:rsid w:val="00417665"/>
    <w:rsid w:val="004201F2"/>
    <w:rsid w:val="004205FC"/>
    <w:rsid w:val="00420CA6"/>
    <w:rsid w:val="00421C03"/>
    <w:rsid w:val="00421D4D"/>
    <w:rsid w:val="00422CE9"/>
    <w:rsid w:val="00423AB1"/>
    <w:rsid w:val="004240FE"/>
    <w:rsid w:val="00424162"/>
    <w:rsid w:val="00424807"/>
    <w:rsid w:val="00425082"/>
    <w:rsid w:val="004261DC"/>
    <w:rsid w:val="00430A76"/>
    <w:rsid w:val="004312C7"/>
    <w:rsid w:val="0043191F"/>
    <w:rsid w:val="00431B4C"/>
    <w:rsid w:val="00431DEB"/>
    <w:rsid w:val="00432682"/>
    <w:rsid w:val="00432F49"/>
    <w:rsid w:val="004334F5"/>
    <w:rsid w:val="00433AD3"/>
    <w:rsid w:val="00434D9B"/>
    <w:rsid w:val="004350B9"/>
    <w:rsid w:val="00436416"/>
    <w:rsid w:val="00437308"/>
    <w:rsid w:val="00437638"/>
    <w:rsid w:val="00441F79"/>
    <w:rsid w:val="00442B5F"/>
    <w:rsid w:val="00443BA6"/>
    <w:rsid w:val="0044401B"/>
    <w:rsid w:val="00446B29"/>
    <w:rsid w:val="00450476"/>
    <w:rsid w:val="0045275A"/>
    <w:rsid w:val="00453611"/>
    <w:rsid w:val="00453F9A"/>
    <w:rsid w:val="00455A3D"/>
    <w:rsid w:val="00455F28"/>
    <w:rsid w:val="004568A6"/>
    <w:rsid w:val="00456988"/>
    <w:rsid w:val="00457105"/>
    <w:rsid w:val="00460AD5"/>
    <w:rsid w:val="0046108D"/>
    <w:rsid w:val="004635B1"/>
    <w:rsid w:val="00464219"/>
    <w:rsid w:val="004653D9"/>
    <w:rsid w:val="0046642F"/>
    <w:rsid w:val="00466694"/>
    <w:rsid w:val="0046670D"/>
    <w:rsid w:val="00466AEB"/>
    <w:rsid w:val="0046772D"/>
    <w:rsid w:val="00470B76"/>
    <w:rsid w:val="00471E91"/>
    <w:rsid w:val="00472308"/>
    <w:rsid w:val="00472762"/>
    <w:rsid w:val="00472822"/>
    <w:rsid w:val="00474675"/>
    <w:rsid w:val="0047470C"/>
    <w:rsid w:val="00476AC1"/>
    <w:rsid w:val="004778B7"/>
    <w:rsid w:val="00477A86"/>
    <w:rsid w:val="004808E8"/>
    <w:rsid w:val="004809E1"/>
    <w:rsid w:val="00480FD8"/>
    <w:rsid w:val="00484364"/>
    <w:rsid w:val="004854BB"/>
    <w:rsid w:val="00485DCB"/>
    <w:rsid w:val="00487FF3"/>
    <w:rsid w:val="00490AA4"/>
    <w:rsid w:val="0049165A"/>
    <w:rsid w:val="00491D81"/>
    <w:rsid w:val="00493692"/>
    <w:rsid w:val="00493699"/>
    <w:rsid w:val="004937E5"/>
    <w:rsid w:val="00494CF2"/>
    <w:rsid w:val="00495290"/>
    <w:rsid w:val="00495889"/>
    <w:rsid w:val="0049662E"/>
    <w:rsid w:val="00497A1B"/>
    <w:rsid w:val="00497D41"/>
    <w:rsid w:val="00497EEE"/>
    <w:rsid w:val="004A09C2"/>
    <w:rsid w:val="004A0D7F"/>
    <w:rsid w:val="004A2F78"/>
    <w:rsid w:val="004A3120"/>
    <w:rsid w:val="004A35F9"/>
    <w:rsid w:val="004A4C7A"/>
    <w:rsid w:val="004A4FA9"/>
    <w:rsid w:val="004A5C72"/>
    <w:rsid w:val="004A61D2"/>
    <w:rsid w:val="004A6904"/>
    <w:rsid w:val="004B0805"/>
    <w:rsid w:val="004B0B67"/>
    <w:rsid w:val="004B24C1"/>
    <w:rsid w:val="004B461B"/>
    <w:rsid w:val="004B5387"/>
    <w:rsid w:val="004B5405"/>
    <w:rsid w:val="004B5A49"/>
    <w:rsid w:val="004B7345"/>
    <w:rsid w:val="004C19E9"/>
    <w:rsid w:val="004C228F"/>
    <w:rsid w:val="004C292F"/>
    <w:rsid w:val="004C2DD7"/>
    <w:rsid w:val="004C4141"/>
    <w:rsid w:val="004C4804"/>
    <w:rsid w:val="004C5DD7"/>
    <w:rsid w:val="004C6670"/>
    <w:rsid w:val="004C6C7A"/>
    <w:rsid w:val="004C7BBA"/>
    <w:rsid w:val="004D0E75"/>
    <w:rsid w:val="004D3007"/>
    <w:rsid w:val="004D34CC"/>
    <w:rsid w:val="004D3C05"/>
    <w:rsid w:val="004D4B6A"/>
    <w:rsid w:val="004D535A"/>
    <w:rsid w:val="004D539D"/>
    <w:rsid w:val="004D6238"/>
    <w:rsid w:val="004D7C2A"/>
    <w:rsid w:val="004D7EE6"/>
    <w:rsid w:val="004E0163"/>
    <w:rsid w:val="004E19F2"/>
    <w:rsid w:val="004E1CBB"/>
    <w:rsid w:val="004E1DC5"/>
    <w:rsid w:val="004E36E7"/>
    <w:rsid w:val="004E3ADA"/>
    <w:rsid w:val="004E3DA9"/>
    <w:rsid w:val="004E4168"/>
    <w:rsid w:val="004E5159"/>
    <w:rsid w:val="004E665F"/>
    <w:rsid w:val="004E6C92"/>
    <w:rsid w:val="004E7A8A"/>
    <w:rsid w:val="004F0CF7"/>
    <w:rsid w:val="004F10EF"/>
    <w:rsid w:val="004F1D1E"/>
    <w:rsid w:val="004F6993"/>
    <w:rsid w:val="004F70F3"/>
    <w:rsid w:val="004F71C0"/>
    <w:rsid w:val="004F7B74"/>
    <w:rsid w:val="00500859"/>
    <w:rsid w:val="0050098B"/>
    <w:rsid w:val="0050189F"/>
    <w:rsid w:val="0050239B"/>
    <w:rsid w:val="00502F57"/>
    <w:rsid w:val="005038AD"/>
    <w:rsid w:val="00503AA3"/>
    <w:rsid w:val="0050665B"/>
    <w:rsid w:val="00506C1D"/>
    <w:rsid w:val="00507B35"/>
    <w:rsid w:val="00510027"/>
    <w:rsid w:val="00510234"/>
    <w:rsid w:val="00510280"/>
    <w:rsid w:val="00510514"/>
    <w:rsid w:val="00511122"/>
    <w:rsid w:val="0051268B"/>
    <w:rsid w:val="00512B6F"/>
    <w:rsid w:val="00512EAA"/>
    <w:rsid w:val="00513D73"/>
    <w:rsid w:val="00513E18"/>
    <w:rsid w:val="00514A43"/>
    <w:rsid w:val="00514DE2"/>
    <w:rsid w:val="005174E5"/>
    <w:rsid w:val="00517B02"/>
    <w:rsid w:val="00521520"/>
    <w:rsid w:val="00521AAB"/>
    <w:rsid w:val="00522393"/>
    <w:rsid w:val="0052259A"/>
    <w:rsid w:val="00522620"/>
    <w:rsid w:val="00523CE8"/>
    <w:rsid w:val="005241F5"/>
    <w:rsid w:val="00524E4E"/>
    <w:rsid w:val="00525420"/>
    <w:rsid w:val="00525656"/>
    <w:rsid w:val="0052585A"/>
    <w:rsid w:val="0052726A"/>
    <w:rsid w:val="005304F1"/>
    <w:rsid w:val="00530C06"/>
    <w:rsid w:val="00530EC3"/>
    <w:rsid w:val="005327BB"/>
    <w:rsid w:val="00532FAB"/>
    <w:rsid w:val="0053480B"/>
    <w:rsid w:val="00534C02"/>
    <w:rsid w:val="00536392"/>
    <w:rsid w:val="0054080A"/>
    <w:rsid w:val="0054145C"/>
    <w:rsid w:val="0054264B"/>
    <w:rsid w:val="00542D62"/>
    <w:rsid w:val="00543786"/>
    <w:rsid w:val="00543CAA"/>
    <w:rsid w:val="00543DB0"/>
    <w:rsid w:val="005440E0"/>
    <w:rsid w:val="00545804"/>
    <w:rsid w:val="00545F3A"/>
    <w:rsid w:val="005467C0"/>
    <w:rsid w:val="005479EF"/>
    <w:rsid w:val="00550E0F"/>
    <w:rsid w:val="0055110E"/>
    <w:rsid w:val="00552B6F"/>
    <w:rsid w:val="005533D7"/>
    <w:rsid w:val="0055346E"/>
    <w:rsid w:val="00553736"/>
    <w:rsid w:val="00554999"/>
    <w:rsid w:val="005552EB"/>
    <w:rsid w:val="00555E9F"/>
    <w:rsid w:val="005566A0"/>
    <w:rsid w:val="0055717B"/>
    <w:rsid w:val="005576FA"/>
    <w:rsid w:val="00557D80"/>
    <w:rsid w:val="005606BD"/>
    <w:rsid w:val="00561287"/>
    <w:rsid w:val="005612AD"/>
    <w:rsid w:val="0056181C"/>
    <w:rsid w:val="00561866"/>
    <w:rsid w:val="00561C62"/>
    <w:rsid w:val="00562667"/>
    <w:rsid w:val="0056282B"/>
    <w:rsid w:val="00563087"/>
    <w:rsid w:val="00563542"/>
    <w:rsid w:val="0056493D"/>
    <w:rsid w:val="005650F1"/>
    <w:rsid w:val="00565EE7"/>
    <w:rsid w:val="00566A6D"/>
    <w:rsid w:val="00566D6F"/>
    <w:rsid w:val="00567B69"/>
    <w:rsid w:val="00570065"/>
    <w:rsid w:val="005703DE"/>
    <w:rsid w:val="00570845"/>
    <w:rsid w:val="00571E5D"/>
    <w:rsid w:val="0057222F"/>
    <w:rsid w:val="00572278"/>
    <w:rsid w:val="00572FA7"/>
    <w:rsid w:val="00574897"/>
    <w:rsid w:val="00574D7B"/>
    <w:rsid w:val="005756C5"/>
    <w:rsid w:val="00576ED1"/>
    <w:rsid w:val="0057764B"/>
    <w:rsid w:val="0058097A"/>
    <w:rsid w:val="00581D20"/>
    <w:rsid w:val="00581F0C"/>
    <w:rsid w:val="00583D99"/>
    <w:rsid w:val="0058464E"/>
    <w:rsid w:val="0058514B"/>
    <w:rsid w:val="005873F0"/>
    <w:rsid w:val="0058795C"/>
    <w:rsid w:val="00590744"/>
    <w:rsid w:val="005909AB"/>
    <w:rsid w:val="005915C3"/>
    <w:rsid w:val="00591824"/>
    <w:rsid w:val="00593B48"/>
    <w:rsid w:val="00594C97"/>
    <w:rsid w:val="00594CA6"/>
    <w:rsid w:val="00594D43"/>
    <w:rsid w:val="00594EF1"/>
    <w:rsid w:val="00595504"/>
    <w:rsid w:val="005A01CB"/>
    <w:rsid w:val="005A0C16"/>
    <w:rsid w:val="005A2828"/>
    <w:rsid w:val="005A3CCF"/>
    <w:rsid w:val="005A4277"/>
    <w:rsid w:val="005A44CD"/>
    <w:rsid w:val="005A44F7"/>
    <w:rsid w:val="005A4770"/>
    <w:rsid w:val="005A4878"/>
    <w:rsid w:val="005A58FF"/>
    <w:rsid w:val="005A59DF"/>
    <w:rsid w:val="005A5EAF"/>
    <w:rsid w:val="005A5EC8"/>
    <w:rsid w:val="005A64C0"/>
    <w:rsid w:val="005A76E8"/>
    <w:rsid w:val="005A7FBE"/>
    <w:rsid w:val="005B1A08"/>
    <w:rsid w:val="005B28F0"/>
    <w:rsid w:val="005B3A5A"/>
    <w:rsid w:val="005B3C11"/>
    <w:rsid w:val="005B5661"/>
    <w:rsid w:val="005B589F"/>
    <w:rsid w:val="005B6268"/>
    <w:rsid w:val="005B7800"/>
    <w:rsid w:val="005C0538"/>
    <w:rsid w:val="005C1206"/>
    <w:rsid w:val="005C1C28"/>
    <w:rsid w:val="005C3817"/>
    <w:rsid w:val="005C3BB5"/>
    <w:rsid w:val="005C49B9"/>
    <w:rsid w:val="005C6DB5"/>
    <w:rsid w:val="005C7A7A"/>
    <w:rsid w:val="005D0300"/>
    <w:rsid w:val="005D09D9"/>
    <w:rsid w:val="005D18C4"/>
    <w:rsid w:val="005D2D04"/>
    <w:rsid w:val="005D3EE3"/>
    <w:rsid w:val="005D4941"/>
    <w:rsid w:val="005D5081"/>
    <w:rsid w:val="005D568F"/>
    <w:rsid w:val="005D6A17"/>
    <w:rsid w:val="005E19E7"/>
    <w:rsid w:val="005E2EF0"/>
    <w:rsid w:val="005E489A"/>
    <w:rsid w:val="005E5121"/>
    <w:rsid w:val="005E7D94"/>
    <w:rsid w:val="005F0D35"/>
    <w:rsid w:val="005F5180"/>
    <w:rsid w:val="005F53B5"/>
    <w:rsid w:val="005F69D1"/>
    <w:rsid w:val="005F76C3"/>
    <w:rsid w:val="006019B4"/>
    <w:rsid w:val="00602BE7"/>
    <w:rsid w:val="00602E15"/>
    <w:rsid w:val="00602EEB"/>
    <w:rsid w:val="0060344E"/>
    <w:rsid w:val="00603EDF"/>
    <w:rsid w:val="00604C8C"/>
    <w:rsid w:val="006059BE"/>
    <w:rsid w:val="00605E04"/>
    <w:rsid w:val="0060609D"/>
    <w:rsid w:val="0060686F"/>
    <w:rsid w:val="00606CCF"/>
    <w:rsid w:val="00607425"/>
    <w:rsid w:val="00610031"/>
    <w:rsid w:val="00610C4D"/>
    <w:rsid w:val="0061257D"/>
    <w:rsid w:val="006126E2"/>
    <w:rsid w:val="00612BD5"/>
    <w:rsid w:val="00613755"/>
    <w:rsid w:val="006144D7"/>
    <w:rsid w:val="00616CBC"/>
    <w:rsid w:val="0061716C"/>
    <w:rsid w:val="00623752"/>
    <w:rsid w:val="006241B1"/>
    <w:rsid w:val="006243A1"/>
    <w:rsid w:val="00624852"/>
    <w:rsid w:val="00624E34"/>
    <w:rsid w:val="00624EDB"/>
    <w:rsid w:val="00625DB1"/>
    <w:rsid w:val="0062628F"/>
    <w:rsid w:val="00631A78"/>
    <w:rsid w:val="00631D28"/>
    <w:rsid w:val="00631E5B"/>
    <w:rsid w:val="006325D8"/>
    <w:rsid w:val="00632E56"/>
    <w:rsid w:val="00632E5A"/>
    <w:rsid w:val="006339F0"/>
    <w:rsid w:val="00633A50"/>
    <w:rsid w:val="00633E4C"/>
    <w:rsid w:val="00634DC8"/>
    <w:rsid w:val="00635CBA"/>
    <w:rsid w:val="0063734E"/>
    <w:rsid w:val="0064080A"/>
    <w:rsid w:val="00641244"/>
    <w:rsid w:val="0064137B"/>
    <w:rsid w:val="006413F3"/>
    <w:rsid w:val="00642855"/>
    <w:rsid w:val="0064338B"/>
    <w:rsid w:val="0064355C"/>
    <w:rsid w:val="00643988"/>
    <w:rsid w:val="006457DB"/>
    <w:rsid w:val="00646448"/>
    <w:rsid w:val="00646542"/>
    <w:rsid w:val="00647B07"/>
    <w:rsid w:val="00650497"/>
    <w:rsid w:val="006504F4"/>
    <w:rsid w:val="00650BA2"/>
    <w:rsid w:val="006511D8"/>
    <w:rsid w:val="0065201C"/>
    <w:rsid w:val="00654588"/>
    <w:rsid w:val="00654BC9"/>
    <w:rsid w:val="00654DA7"/>
    <w:rsid w:val="006552FD"/>
    <w:rsid w:val="00655343"/>
    <w:rsid w:val="006557D1"/>
    <w:rsid w:val="006563BE"/>
    <w:rsid w:val="00656408"/>
    <w:rsid w:val="00656AE2"/>
    <w:rsid w:val="00663AF3"/>
    <w:rsid w:val="00664013"/>
    <w:rsid w:val="00665BE1"/>
    <w:rsid w:val="00665C37"/>
    <w:rsid w:val="00666B6C"/>
    <w:rsid w:val="00667571"/>
    <w:rsid w:val="006678B0"/>
    <w:rsid w:val="00670662"/>
    <w:rsid w:val="00670A17"/>
    <w:rsid w:val="00670A8E"/>
    <w:rsid w:val="0067215E"/>
    <w:rsid w:val="00674D42"/>
    <w:rsid w:val="0067526D"/>
    <w:rsid w:val="00675BD0"/>
    <w:rsid w:val="00675D28"/>
    <w:rsid w:val="00677941"/>
    <w:rsid w:val="00677A2F"/>
    <w:rsid w:val="006808DE"/>
    <w:rsid w:val="00681E8A"/>
    <w:rsid w:val="00682682"/>
    <w:rsid w:val="00682702"/>
    <w:rsid w:val="00682CAE"/>
    <w:rsid w:val="0068499B"/>
    <w:rsid w:val="0068535B"/>
    <w:rsid w:val="00685C05"/>
    <w:rsid w:val="00685E45"/>
    <w:rsid w:val="00687F70"/>
    <w:rsid w:val="00690C9B"/>
    <w:rsid w:val="006921CF"/>
    <w:rsid w:val="006922E9"/>
    <w:rsid w:val="00692368"/>
    <w:rsid w:val="006927EA"/>
    <w:rsid w:val="0069307E"/>
    <w:rsid w:val="00693633"/>
    <w:rsid w:val="006957D2"/>
    <w:rsid w:val="00695BB8"/>
    <w:rsid w:val="00696B3F"/>
    <w:rsid w:val="00697DE0"/>
    <w:rsid w:val="006A038C"/>
    <w:rsid w:val="006A0B36"/>
    <w:rsid w:val="006A148A"/>
    <w:rsid w:val="006A1E94"/>
    <w:rsid w:val="006A27C6"/>
    <w:rsid w:val="006A2A8C"/>
    <w:rsid w:val="006A2C21"/>
    <w:rsid w:val="006A2EBC"/>
    <w:rsid w:val="006A33C2"/>
    <w:rsid w:val="006A34C8"/>
    <w:rsid w:val="006A5C71"/>
    <w:rsid w:val="006A5CD2"/>
    <w:rsid w:val="006A5EA0"/>
    <w:rsid w:val="006A783B"/>
    <w:rsid w:val="006A7A59"/>
    <w:rsid w:val="006A7B33"/>
    <w:rsid w:val="006A7F59"/>
    <w:rsid w:val="006B2E26"/>
    <w:rsid w:val="006B364B"/>
    <w:rsid w:val="006B3C35"/>
    <w:rsid w:val="006B4E13"/>
    <w:rsid w:val="006B522D"/>
    <w:rsid w:val="006B5557"/>
    <w:rsid w:val="006B5834"/>
    <w:rsid w:val="006B5A6D"/>
    <w:rsid w:val="006B657D"/>
    <w:rsid w:val="006B6869"/>
    <w:rsid w:val="006B75DD"/>
    <w:rsid w:val="006B7B8D"/>
    <w:rsid w:val="006C0570"/>
    <w:rsid w:val="006C0634"/>
    <w:rsid w:val="006C0FA1"/>
    <w:rsid w:val="006C4608"/>
    <w:rsid w:val="006C6669"/>
    <w:rsid w:val="006C67E0"/>
    <w:rsid w:val="006C6AEA"/>
    <w:rsid w:val="006C7ABA"/>
    <w:rsid w:val="006D0D60"/>
    <w:rsid w:val="006D1122"/>
    <w:rsid w:val="006D2504"/>
    <w:rsid w:val="006D28A9"/>
    <w:rsid w:val="006D2D09"/>
    <w:rsid w:val="006D3147"/>
    <w:rsid w:val="006D329E"/>
    <w:rsid w:val="006D36B3"/>
    <w:rsid w:val="006D3996"/>
    <w:rsid w:val="006D3C00"/>
    <w:rsid w:val="006D4029"/>
    <w:rsid w:val="006D43B0"/>
    <w:rsid w:val="006D54CD"/>
    <w:rsid w:val="006D6CF4"/>
    <w:rsid w:val="006D6D53"/>
    <w:rsid w:val="006D6D56"/>
    <w:rsid w:val="006D71FC"/>
    <w:rsid w:val="006E0C0C"/>
    <w:rsid w:val="006E0CF7"/>
    <w:rsid w:val="006E17C6"/>
    <w:rsid w:val="006E180C"/>
    <w:rsid w:val="006E1D31"/>
    <w:rsid w:val="006E3675"/>
    <w:rsid w:val="006E4A7F"/>
    <w:rsid w:val="006E5397"/>
    <w:rsid w:val="006E6028"/>
    <w:rsid w:val="006E6172"/>
    <w:rsid w:val="006E618D"/>
    <w:rsid w:val="006E6EDC"/>
    <w:rsid w:val="006E74F6"/>
    <w:rsid w:val="006F127B"/>
    <w:rsid w:val="006F17C2"/>
    <w:rsid w:val="006F22DB"/>
    <w:rsid w:val="006F27B9"/>
    <w:rsid w:val="006F4A0F"/>
    <w:rsid w:val="006F535D"/>
    <w:rsid w:val="006F7554"/>
    <w:rsid w:val="006F7CA9"/>
    <w:rsid w:val="006F7EE4"/>
    <w:rsid w:val="007005E5"/>
    <w:rsid w:val="00700713"/>
    <w:rsid w:val="007026D7"/>
    <w:rsid w:val="0070347E"/>
    <w:rsid w:val="0070465F"/>
    <w:rsid w:val="00704DF6"/>
    <w:rsid w:val="00704E08"/>
    <w:rsid w:val="007057AA"/>
    <w:rsid w:val="00705EC2"/>
    <w:rsid w:val="0070651C"/>
    <w:rsid w:val="00711089"/>
    <w:rsid w:val="007113AD"/>
    <w:rsid w:val="0071167C"/>
    <w:rsid w:val="00711A8D"/>
    <w:rsid w:val="007120BB"/>
    <w:rsid w:val="00712F13"/>
    <w:rsid w:val="007132A3"/>
    <w:rsid w:val="007140DF"/>
    <w:rsid w:val="007147A0"/>
    <w:rsid w:val="00716421"/>
    <w:rsid w:val="00716683"/>
    <w:rsid w:val="007174B7"/>
    <w:rsid w:val="007215F4"/>
    <w:rsid w:val="007218C9"/>
    <w:rsid w:val="00721A43"/>
    <w:rsid w:val="00721E44"/>
    <w:rsid w:val="007224F3"/>
    <w:rsid w:val="00722D03"/>
    <w:rsid w:val="00722FEF"/>
    <w:rsid w:val="007239D0"/>
    <w:rsid w:val="00724179"/>
    <w:rsid w:val="00724EFB"/>
    <w:rsid w:val="00725089"/>
    <w:rsid w:val="00727914"/>
    <w:rsid w:val="007326E6"/>
    <w:rsid w:val="007328D7"/>
    <w:rsid w:val="007342E9"/>
    <w:rsid w:val="0073441F"/>
    <w:rsid w:val="00735653"/>
    <w:rsid w:val="007356F1"/>
    <w:rsid w:val="007366EB"/>
    <w:rsid w:val="00736716"/>
    <w:rsid w:val="00736744"/>
    <w:rsid w:val="00736DFC"/>
    <w:rsid w:val="0073700C"/>
    <w:rsid w:val="0074094A"/>
    <w:rsid w:val="00741273"/>
    <w:rsid w:val="007419C3"/>
    <w:rsid w:val="00742001"/>
    <w:rsid w:val="00742B10"/>
    <w:rsid w:val="00743887"/>
    <w:rsid w:val="00744F22"/>
    <w:rsid w:val="007450CF"/>
    <w:rsid w:val="007464A0"/>
    <w:rsid w:val="007467A7"/>
    <w:rsid w:val="007469DD"/>
    <w:rsid w:val="00746DFC"/>
    <w:rsid w:val="0074741B"/>
    <w:rsid w:val="0074759E"/>
    <w:rsid w:val="007478EA"/>
    <w:rsid w:val="00747C54"/>
    <w:rsid w:val="00750982"/>
    <w:rsid w:val="0075119E"/>
    <w:rsid w:val="00751AA5"/>
    <w:rsid w:val="007536E4"/>
    <w:rsid w:val="00753802"/>
    <w:rsid w:val="00753C47"/>
    <w:rsid w:val="0075415C"/>
    <w:rsid w:val="007548BE"/>
    <w:rsid w:val="00754C6C"/>
    <w:rsid w:val="0075503F"/>
    <w:rsid w:val="00757635"/>
    <w:rsid w:val="00757DBF"/>
    <w:rsid w:val="0076043F"/>
    <w:rsid w:val="00760553"/>
    <w:rsid w:val="00762DCA"/>
    <w:rsid w:val="0076337C"/>
    <w:rsid w:val="00763502"/>
    <w:rsid w:val="00765E0B"/>
    <w:rsid w:val="007660C3"/>
    <w:rsid w:val="007665B7"/>
    <w:rsid w:val="00766776"/>
    <w:rsid w:val="007673CF"/>
    <w:rsid w:val="0077051B"/>
    <w:rsid w:val="0077245E"/>
    <w:rsid w:val="00772927"/>
    <w:rsid w:val="007729BC"/>
    <w:rsid w:val="00772F03"/>
    <w:rsid w:val="00773408"/>
    <w:rsid w:val="00773A5C"/>
    <w:rsid w:val="00773CA6"/>
    <w:rsid w:val="00776766"/>
    <w:rsid w:val="007777E8"/>
    <w:rsid w:val="00777D49"/>
    <w:rsid w:val="00780071"/>
    <w:rsid w:val="00780963"/>
    <w:rsid w:val="007814B7"/>
    <w:rsid w:val="00782DD4"/>
    <w:rsid w:val="00783100"/>
    <w:rsid w:val="007832A9"/>
    <w:rsid w:val="007844E6"/>
    <w:rsid w:val="00784A5D"/>
    <w:rsid w:val="00785649"/>
    <w:rsid w:val="00786AF4"/>
    <w:rsid w:val="00786D8A"/>
    <w:rsid w:val="007904E0"/>
    <w:rsid w:val="00790CEA"/>
    <w:rsid w:val="00790F41"/>
    <w:rsid w:val="007913AB"/>
    <w:rsid w:val="007914F7"/>
    <w:rsid w:val="00791E0C"/>
    <w:rsid w:val="00792CAB"/>
    <w:rsid w:val="007931AC"/>
    <w:rsid w:val="0079330E"/>
    <w:rsid w:val="007935A2"/>
    <w:rsid w:val="007946BA"/>
    <w:rsid w:val="0079524C"/>
    <w:rsid w:val="0079556A"/>
    <w:rsid w:val="00795A63"/>
    <w:rsid w:val="0079615C"/>
    <w:rsid w:val="0079680C"/>
    <w:rsid w:val="007A09A4"/>
    <w:rsid w:val="007A0D87"/>
    <w:rsid w:val="007A0E21"/>
    <w:rsid w:val="007A0FD6"/>
    <w:rsid w:val="007A1C03"/>
    <w:rsid w:val="007A2CA7"/>
    <w:rsid w:val="007A36FF"/>
    <w:rsid w:val="007A483E"/>
    <w:rsid w:val="007A5CC8"/>
    <w:rsid w:val="007A6CAA"/>
    <w:rsid w:val="007B1625"/>
    <w:rsid w:val="007B194A"/>
    <w:rsid w:val="007B1B55"/>
    <w:rsid w:val="007B1F56"/>
    <w:rsid w:val="007B25C2"/>
    <w:rsid w:val="007B351D"/>
    <w:rsid w:val="007B3681"/>
    <w:rsid w:val="007B3778"/>
    <w:rsid w:val="007B5FAD"/>
    <w:rsid w:val="007B697F"/>
    <w:rsid w:val="007B706E"/>
    <w:rsid w:val="007B71EB"/>
    <w:rsid w:val="007C1F0B"/>
    <w:rsid w:val="007C27A4"/>
    <w:rsid w:val="007C2AB4"/>
    <w:rsid w:val="007C2D39"/>
    <w:rsid w:val="007C402D"/>
    <w:rsid w:val="007C59A6"/>
    <w:rsid w:val="007C6205"/>
    <w:rsid w:val="007C675D"/>
    <w:rsid w:val="007C686A"/>
    <w:rsid w:val="007C714E"/>
    <w:rsid w:val="007C728E"/>
    <w:rsid w:val="007D01AC"/>
    <w:rsid w:val="007D124B"/>
    <w:rsid w:val="007D1B5B"/>
    <w:rsid w:val="007D2332"/>
    <w:rsid w:val="007D240D"/>
    <w:rsid w:val="007D2C53"/>
    <w:rsid w:val="007D3924"/>
    <w:rsid w:val="007D3D60"/>
    <w:rsid w:val="007D4503"/>
    <w:rsid w:val="007D4BB8"/>
    <w:rsid w:val="007D6162"/>
    <w:rsid w:val="007D6E4F"/>
    <w:rsid w:val="007D718E"/>
    <w:rsid w:val="007D7A06"/>
    <w:rsid w:val="007D7B1A"/>
    <w:rsid w:val="007E03BD"/>
    <w:rsid w:val="007E0D0C"/>
    <w:rsid w:val="007E12EC"/>
    <w:rsid w:val="007E185B"/>
    <w:rsid w:val="007E1980"/>
    <w:rsid w:val="007E2895"/>
    <w:rsid w:val="007E3219"/>
    <w:rsid w:val="007E3AED"/>
    <w:rsid w:val="007E4B76"/>
    <w:rsid w:val="007E5EA8"/>
    <w:rsid w:val="007E72F4"/>
    <w:rsid w:val="007F0538"/>
    <w:rsid w:val="007F09AB"/>
    <w:rsid w:val="007F0CF1"/>
    <w:rsid w:val="007F12A5"/>
    <w:rsid w:val="007F48EC"/>
    <w:rsid w:val="007F4CF1"/>
    <w:rsid w:val="007F5733"/>
    <w:rsid w:val="007F6960"/>
    <w:rsid w:val="007F7519"/>
    <w:rsid w:val="007F758D"/>
    <w:rsid w:val="007F7D52"/>
    <w:rsid w:val="0080003F"/>
    <w:rsid w:val="00800562"/>
    <w:rsid w:val="00800A74"/>
    <w:rsid w:val="00803A39"/>
    <w:rsid w:val="00804499"/>
    <w:rsid w:val="008047CF"/>
    <w:rsid w:val="008058F3"/>
    <w:rsid w:val="0080654C"/>
    <w:rsid w:val="00806F8B"/>
    <w:rsid w:val="008071C6"/>
    <w:rsid w:val="00810370"/>
    <w:rsid w:val="0081078D"/>
    <w:rsid w:val="00810E87"/>
    <w:rsid w:val="00811548"/>
    <w:rsid w:val="00811922"/>
    <w:rsid w:val="008131F8"/>
    <w:rsid w:val="00813B29"/>
    <w:rsid w:val="0081596B"/>
    <w:rsid w:val="008178C2"/>
    <w:rsid w:val="00817A00"/>
    <w:rsid w:val="00817AFF"/>
    <w:rsid w:val="00820CE8"/>
    <w:rsid w:val="008222CD"/>
    <w:rsid w:val="00822646"/>
    <w:rsid w:val="00823F3F"/>
    <w:rsid w:val="00824476"/>
    <w:rsid w:val="0082733E"/>
    <w:rsid w:val="00827CB6"/>
    <w:rsid w:val="00830716"/>
    <w:rsid w:val="0083135B"/>
    <w:rsid w:val="00831E56"/>
    <w:rsid w:val="00833269"/>
    <w:rsid w:val="008340C1"/>
    <w:rsid w:val="00834B43"/>
    <w:rsid w:val="00834E39"/>
    <w:rsid w:val="00835DB3"/>
    <w:rsid w:val="0083617B"/>
    <w:rsid w:val="008371BD"/>
    <w:rsid w:val="0083724E"/>
    <w:rsid w:val="00840385"/>
    <w:rsid w:val="008404FC"/>
    <w:rsid w:val="00840DD4"/>
    <w:rsid w:val="008410D1"/>
    <w:rsid w:val="0084210C"/>
    <w:rsid w:val="00842BEB"/>
    <w:rsid w:val="008434C5"/>
    <w:rsid w:val="00844A28"/>
    <w:rsid w:val="00846EE0"/>
    <w:rsid w:val="008504A8"/>
    <w:rsid w:val="00850B78"/>
    <w:rsid w:val="00852118"/>
    <w:rsid w:val="0085282E"/>
    <w:rsid w:val="00852D68"/>
    <w:rsid w:val="00855952"/>
    <w:rsid w:val="00855BF6"/>
    <w:rsid w:val="0085651C"/>
    <w:rsid w:val="00856A38"/>
    <w:rsid w:val="00856BDB"/>
    <w:rsid w:val="0085722E"/>
    <w:rsid w:val="0085758A"/>
    <w:rsid w:val="00857820"/>
    <w:rsid w:val="00860435"/>
    <w:rsid w:val="00863B90"/>
    <w:rsid w:val="00864D27"/>
    <w:rsid w:val="00865754"/>
    <w:rsid w:val="00867BD7"/>
    <w:rsid w:val="008704C5"/>
    <w:rsid w:val="0087198C"/>
    <w:rsid w:val="008723C3"/>
    <w:rsid w:val="00872C1F"/>
    <w:rsid w:val="008730D3"/>
    <w:rsid w:val="00873A2F"/>
    <w:rsid w:val="00873B42"/>
    <w:rsid w:val="0087623A"/>
    <w:rsid w:val="00877203"/>
    <w:rsid w:val="008776D9"/>
    <w:rsid w:val="00880036"/>
    <w:rsid w:val="00880552"/>
    <w:rsid w:val="008813F7"/>
    <w:rsid w:val="0088315D"/>
    <w:rsid w:val="00884998"/>
    <w:rsid w:val="008856D8"/>
    <w:rsid w:val="008863D2"/>
    <w:rsid w:val="00892E82"/>
    <w:rsid w:val="008930CA"/>
    <w:rsid w:val="008933BD"/>
    <w:rsid w:val="00893DC3"/>
    <w:rsid w:val="00893FDC"/>
    <w:rsid w:val="0089519B"/>
    <w:rsid w:val="008956E7"/>
    <w:rsid w:val="00896C74"/>
    <w:rsid w:val="00897DE8"/>
    <w:rsid w:val="008A0AAD"/>
    <w:rsid w:val="008A0B78"/>
    <w:rsid w:val="008A2321"/>
    <w:rsid w:val="008A260B"/>
    <w:rsid w:val="008A394F"/>
    <w:rsid w:val="008A6330"/>
    <w:rsid w:val="008A6B0D"/>
    <w:rsid w:val="008A78E6"/>
    <w:rsid w:val="008A7F52"/>
    <w:rsid w:val="008B10E7"/>
    <w:rsid w:val="008B2245"/>
    <w:rsid w:val="008B24EF"/>
    <w:rsid w:val="008B2714"/>
    <w:rsid w:val="008B2791"/>
    <w:rsid w:val="008B2AD3"/>
    <w:rsid w:val="008B4CC1"/>
    <w:rsid w:val="008B5A3A"/>
    <w:rsid w:val="008B5F0B"/>
    <w:rsid w:val="008B74D7"/>
    <w:rsid w:val="008C0928"/>
    <w:rsid w:val="008C1147"/>
    <w:rsid w:val="008C12C8"/>
    <w:rsid w:val="008C1B58"/>
    <w:rsid w:val="008C1E79"/>
    <w:rsid w:val="008C2C1A"/>
    <w:rsid w:val="008C37FB"/>
    <w:rsid w:val="008C39AE"/>
    <w:rsid w:val="008C4C43"/>
    <w:rsid w:val="008C5280"/>
    <w:rsid w:val="008C5354"/>
    <w:rsid w:val="008C590D"/>
    <w:rsid w:val="008C64DB"/>
    <w:rsid w:val="008C7D3E"/>
    <w:rsid w:val="008D122A"/>
    <w:rsid w:val="008D3054"/>
    <w:rsid w:val="008D4B2B"/>
    <w:rsid w:val="008D4C10"/>
    <w:rsid w:val="008D4C69"/>
    <w:rsid w:val="008D58AC"/>
    <w:rsid w:val="008D707F"/>
    <w:rsid w:val="008D7509"/>
    <w:rsid w:val="008E031B"/>
    <w:rsid w:val="008E297C"/>
    <w:rsid w:val="008E4623"/>
    <w:rsid w:val="008E6646"/>
    <w:rsid w:val="008E691F"/>
    <w:rsid w:val="008E7029"/>
    <w:rsid w:val="008E72FC"/>
    <w:rsid w:val="008E7CD5"/>
    <w:rsid w:val="008E7EF6"/>
    <w:rsid w:val="008F03ED"/>
    <w:rsid w:val="008F0926"/>
    <w:rsid w:val="008F1335"/>
    <w:rsid w:val="008F1F98"/>
    <w:rsid w:val="008F1FDB"/>
    <w:rsid w:val="008F210D"/>
    <w:rsid w:val="008F2928"/>
    <w:rsid w:val="008F32DA"/>
    <w:rsid w:val="008F50F9"/>
    <w:rsid w:val="008F58DA"/>
    <w:rsid w:val="008F649B"/>
    <w:rsid w:val="008F6758"/>
    <w:rsid w:val="008F6FFF"/>
    <w:rsid w:val="008F75EF"/>
    <w:rsid w:val="008F77FF"/>
    <w:rsid w:val="00901754"/>
    <w:rsid w:val="00901869"/>
    <w:rsid w:val="00902962"/>
    <w:rsid w:val="009040DD"/>
    <w:rsid w:val="00904228"/>
    <w:rsid w:val="00904E50"/>
    <w:rsid w:val="00905B47"/>
    <w:rsid w:val="00906956"/>
    <w:rsid w:val="00913168"/>
    <w:rsid w:val="0091331C"/>
    <w:rsid w:val="0091458C"/>
    <w:rsid w:val="009147F3"/>
    <w:rsid w:val="00914CF5"/>
    <w:rsid w:val="00920BD2"/>
    <w:rsid w:val="009232B3"/>
    <w:rsid w:val="0092394A"/>
    <w:rsid w:val="00924FA8"/>
    <w:rsid w:val="00925BDE"/>
    <w:rsid w:val="00926F18"/>
    <w:rsid w:val="009274F0"/>
    <w:rsid w:val="009279DE"/>
    <w:rsid w:val="00930116"/>
    <w:rsid w:val="00930840"/>
    <w:rsid w:val="00931139"/>
    <w:rsid w:val="009311E3"/>
    <w:rsid w:val="0093313F"/>
    <w:rsid w:val="0093472B"/>
    <w:rsid w:val="009402C3"/>
    <w:rsid w:val="0094072A"/>
    <w:rsid w:val="0094077A"/>
    <w:rsid w:val="00941082"/>
    <w:rsid w:val="00941A00"/>
    <w:rsid w:val="0094212C"/>
    <w:rsid w:val="00942462"/>
    <w:rsid w:val="009446E9"/>
    <w:rsid w:val="00945C16"/>
    <w:rsid w:val="00946B45"/>
    <w:rsid w:val="00946E75"/>
    <w:rsid w:val="009519BC"/>
    <w:rsid w:val="00952273"/>
    <w:rsid w:val="0095287B"/>
    <w:rsid w:val="009528CE"/>
    <w:rsid w:val="00953018"/>
    <w:rsid w:val="00954689"/>
    <w:rsid w:val="00954B93"/>
    <w:rsid w:val="009556E9"/>
    <w:rsid w:val="009558EF"/>
    <w:rsid w:val="009559FB"/>
    <w:rsid w:val="00955DF7"/>
    <w:rsid w:val="00955F23"/>
    <w:rsid w:val="00956811"/>
    <w:rsid w:val="009571AD"/>
    <w:rsid w:val="009579C3"/>
    <w:rsid w:val="00957DA5"/>
    <w:rsid w:val="00961110"/>
    <w:rsid w:val="009617C9"/>
    <w:rsid w:val="00961C93"/>
    <w:rsid w:val="00961E83"/>
    <w:rsid w:val="009624E9"/>
    <w:rsid w:val="00962878"/>
    <w:rsid w:val="009629D6"/>
    <w:rsid w:val="00962BC6"/>
    <w:rsid w:val="009642CC"/>
    <w:rsid w:val="00964866"/>
    <w:rsid w:val="00964B26"/>
    <w:rsid w:val="00965324"/>
    <w:rsid w:val="00965E39"/>
    <w:rsid w:val="0097091E"/>
    <w:rsid w:val="00971237"/>
    <w:rsid w:val="00971AF1"/>
    <w:rsid w:val="009722A6"/>
    <w:rsid w:val="00972C3F"/>
    <w:rsid w:val="0097457E"/>
    <w:rsid w:val="00974E7F"/>
    <w:rsid w:val="00975439"/>
    <w:rsid w:val="009758D2"/>
    <w:rsid w:val="009760D3"/>
    <w:rsid w:val="00976504"/>
    <w:rsid w:val="0097680C"/>
    <w:rsid w:val="00977132"/>
    <w:rsid w:val="00977D45"/>
    <w:rsid w:val="00981A4B"/>
    <w:rsid w:val="00981E0B"/>
    <w:rsid w:val="00982501"/>
    <w:rsid w:val="00983F99"/>
    <w:rsid w:val="009856B5"/>
    <w:rsid w:val="00985D34"/>
    <w:rsid w:val="00986249"/>
    <w:rsid w:val="0098683A"/>
    <w:rsid w:val="0098702A"/>
    <w:rsid w:val="00987736"/>
    <w:rsid w:val="009877D3"/>
    <w:rsid w:val="00987B72"/>
    <w:rsid w:val="0099005B"/>
    <w:rsid w:val="009908E4"/>
    <w:rsid w:val="00990B96"/>
    <w:rsid w:val="00991169"/>
    <w:rsid w:val="009912CB"/>
    <w:rsid w:val="009927DD"/>
    <w:rsid w:val="0099366E"/>
    <w:rsid w:val="009945C0"/>
    <w:rsid w:val="009945D1"/>
    <w:rsid w:val="0099489F"/>
    <w:rsid w:val="00994E8F"/>
    <w:rsid w:val="009951DC"/>
    <w:rsid w:val="009954C8"/>
    <w:rsid w:val="009959BB"/>
    <w:rsid w:val="00997040"/>
    <w:rsid w:val="00997158"/>
    <w:rsid w:val="009A0081"/>
    <w:rsid w:val="009A0E51"/>
    <w:rsid w:val="009A0EA3"/>
    <w:rsid w:val="009A1014"/>
    <w:rsid w:val="009A1658"/>
    <w:rsid w:val="009A18BD"/>
    <w:rsid w:val="009A2A6E"/>
    <w:rsid w:val="009A36BC"/>
    <w:rsid w:val="009A3A7C"/>
    <w:rsid w:val="009A518C"/>
    <w:rsid w:val="009A68DE"/>
    <w:rsid w:val="009A78A0"/>
    <w:rsid w:val="009A7A54"/>
    <w:rsid w:val="009B20DF"/>
    <w:rsid w:val="009B2ADB"/>
    <w:rsid w:val="009B55D1"/>
    <w:rsid w:val="009B5CE9"/>
    <w:rsid w:val="009B603A"/>
    <w:rsid w:val="009B6BC5"/>
    <w:rsid w:val="009B75EB"/>
    <w:rsid w:val="009C0D6E"/>
    <w:rsid w:val="009C2D0E"/>
    <w:rsid w:val="009C3DAC"/>
    <w:rsid w:val="009C42E0"/>
    <w:rsid w:val="009C54A8"/>
    <w:rsid w:val="009C78EA"/>
    <w:rsid w:val="009D0BA6"/>
    <w:rsid w:val="009D1A00"/>
    <w:rsid w:val="009D30F6"/>
    <w:rsid w:val="009D3A47"/>
    <w:rsid w:val="009D3C53"/>
    <w:rsid w:val="009D43AA"/>
    <w:rsid w:val="009D5362"/>
    <w:rsid w:val="009D5F6B"/>
    <w:rsid w:val="009D5FC0"/>
    <w:rsid w:val="009E1415"/>
    <w:rsid w:val="009E1DE7"/>
    <w:rsid w:val="009E37D3"/>
    <w:rsid w:val="009E3ECC"/>
    <w:rsid w:val="009E3F07"/>
    <w:rsid w:val="009E3F43"/>
    <w:rsid w:val="009E60C1"/>
    <w:rsid w:val="009E6116"/>
    <w:rsid w:val="009E7C63"/>
    <w:rsid w:val="009E7D3D"/>
    <w:rsid w:val="009F0597"/>
    <w:rsid w:val="009F38C5"/>
    <w:rsid w:val="009F4FF8"/>
    <w:rsid w:val="009F58FB"/>
    <w:rsid w:val="009F6380"/>
    <w:rsid w:val="00A01000"/>
    <w:rsid w:val="00A02E43"/>
    <w:rsid w:val="00A038E3"/>
    <w:rsid w:val="00A0583E"/>
    <w:rsid w:val="00A05F0D"/>
    <w:rsid w:val="00A05FE7"/>
    <w:rsid w:val="00A065F9"/>
    <w:rsid w:val="00A07BB9"/>
    <w:rsid w:val="00A07F34"/>
    <w:rsid w:val="00A110A0"/>
    <w:rsid w:val="00A13EA9"/>
    <w:rsid w:val="00A150B6"/>
    <w:rsid w:val="00A1584C"/>
    <w:rsid w:val="00A162BC"/>
    <w:rsid w:val="00A17A15"/>
    <w:rsid w:val="00A17B27"/>
    <w:rsid w:val="00A2149C"/>
    <w:rsid w:val="00A22154"/>
    <w:rsid w:val="00A23498"/>
    <w:rsid w:val="00A2352E"/>
    <w:rsid w:val="00A23935"/>
    <w:rsid w:val="00A25090"/>
    <w:rsid w:val="00A2537A"/>
    <w:rsid w:val="00A253B9"/>
    <w:rsid w:val="00A25C38"/>
    <w:rsid w:val="00A25D77"/>
    <w:rsid w:val="00A2688E"/>
    <w:rsid w:val="00A27182"/>
    <w:rsid w:val="00A303F3"/>
    <w:rsid w:val="00A31A07"/>
    <w:rsid w:val="00A32DBA"/>
    <w:rsid w:val="00A332CF"/>
    <w:rsid w:val="00A34553"/>
    <w:rsid w:val="00A34802"/>
    <w:rsid w:val="00A34824"/>
    <w:rsid w:val="00A3528C"/>
    <w:rsid w:val="00A35F4B"/>
    <w:rsid w:val="00A362A4"/>
    <w:rsid w:val="00A362DC"/>
    <w:rsid w:val="00A36BBE"/>
    <w:rsid w:val="00A36CFE"/>
    <w:rsid w:val="00A37F2B"/>
    <w:rsid w:val="00A40931"/>
    <w:rsid w:val="00A40B40"/>
    <w:rsid w:val="00A40D8D"/>
    <w:rsid w:val="00A4307A"/>
    <w:rsid w:val="00A47EBB"/>
    <w:rsid w:val="00A50092"/>
    <w:rsid w:val="00A51B4C"/>
    <w:rsid w:val="00A51CDD"/>
    <w:rsid w:val="00A52532"/>
    <w:rsid w:val="00A5278C"/>
    <w:rsid w:val="00A53C41"/>
    <w:rsid w:val="00A547C1"/>
    <w:rsid w:val="00A54F2B"/>
    <w:rsid w:val="00A555DD"/>
    <w:rsid w:val="00A55F32"/>
    <w:rsid w:val="00A56583"/>
    <w:rsid w:val="00A5721C"/>
    <w:rsid w:val="00A60B21"/>
    <w:rsid w:val="00A61798"/>
    <w:rsid w:val="00A61832"/>
    <w:rsid w:val="00A61D72"/>
    <w:rsid w:val="00A624DA"/>
    <w:rsid w:val="00A6413D"/>
    <w:rsid w:val="00A64751"/>
    <w:rsid w:val="00A66A0A"/>
    <w:rsid w:val="00A672FA"/>
    <w:rsid w:val="00A6730D"/>
    <w:rsid w:val="00A7015D"/>
    <w:rsid w:val="00A71625"/>
    <w:rsid w:val="00A71B9B"/>
    <w:rsid w:val="00A72275"/>
    <w:rsid w:val="00A725AF"/>
    <w:rsid w:val="00A72663"/>
    <w:rsid w:val="00A72DD5"/>
    <w:rsid w:val="00A73C71"/>
    <w:rsid w:val="00A74B7B"/>
    <w:rsid w:val="00A751C7"/>
    <w:rsid w:val="00A77260"/>
    <w:rsid w:val="00A777E0"/>
    <w:rsid w:val="00A77BB1"/>
    <w:rsid w:val="00A80EF5"/>
    <w:rsid w:val="00A82539"/>
    <w:rsid w:val="00A8263F"/>
    <w:rsid w:val="00A826AC"/>
    <w:rsid w:val="00A826FA"/>
    <w:rsid w:val="00A82BD2"/>
    <w:rsid w:val="00A8352F"/>
    <w:rsid w:val="00A838DB"/>
    <w:rsid w:val="00A85224"/>
    <w:rsid w:val="00A85806"/>
    <w:rsid w:val="00A859C5"/>
    <w:rsid w:val="00A86EF2"/>
    <w:rsid w:val="00A87844"/>
    <w:rsid w:val="00A90883"/>
    <w:rsid w:val="00A9365B"/>
    <w:rsid w:val="00A93B81"/>
    <w:rsid w:val="00A94291"/>
    <w:rsid w:val="00A94E0C"/>
    <w:rsid w:val="00A96162"/>
    <w:rsid w:val="00A96F9C"/>
    <w:rsid w:val="00A973E9"/>
    <w:rsid w:val="00A97470"/>
    <w:rsid w:val="00A978CB"/>
    <w:rsid w:val="00A97F7B"/>
    <w:rsid w:val="00AA038C"/>
    <w:rsid w:val="00AA041F"/>
    <w:rsid w:val="00AA0CC1"/>
    <w:rsid w:val="00AA11CF"/>
    <w:rsid w:val="00AA2EBF"/>
    <w:rsid w:val="00AA5E3C"/>
    <w:rsid w:val="00AA6575"/>
    <w:rsid w:val="00AA6C2B"/>
    <w:rsid w:val="00AA6FCA"/>
    <w:rsid w:val="00AA7A09"/>
    <w:rsid w:val="00AB14EF"/>
    <w:rsid w:val="00AB1C92"/>
    <w:rsid w:val="00AB2CFE"/>
    <w:rsid w:val="00AB3B50"/>
    <w:rsid w:val="00AB459A"/>
    <w:rsid w:val="00AB4ABE"/>
    <w:rsid w:val="00AB507F"/>
    <w:rsid w:val="00AB7E55"/>
    <w:rsid w:val="00AC04FC"/>
    <w:rsid w:val="00AC05B1"/>
    <w:rsid w:val="00AC279D"/>
    <w:rsid w:val="00AC27AA"/>
    <w:rsid w:val="00AC336D"/>
    <w:rsid w:val="00AC345E"/>
    <w:rsid w:val="00AC5493"/>
    <w:rsid w:val="00AC5B00"/>
    <w:rsid w:val="00AD0FB1"/>
    <w:rsid w:val="00AD1DAB"/>
    <w:rsid w:val="00AD1E65"/>
    <w:rsid w:val="00AD356C"/>
    <w:rsid w:val="00AD3B3A"/>
    <w:rsid w:val="00AD4B9D"/>
    <w:rsid w:val="00AD58F9"/>
    <w:rsid w:val="00AD5C0B"/>
    <w:rsid w:val="00AD67C4"/>
    <w:rsid w:val="00AE1927"/>
    <w:rsid w:val="00AE2914"/>
    <w:rsid w:val="00AE2E1A"/>
    <w:rsid w:val="00AE46D4"/>
    <w:rsid w:val="00AE5EB4"/>
    <w:rsid w:val="00AE6D15"/>
    <w:rsid w:val="00AF03F5"/>
    <w:rsid w:val="00AF14F2"/>
    <w:rsid w:val="00AF3474"/>
    <w:rsid w:val="00AF3A3D"/>
    <w:rsid w:val="00AF6A4E"/>
    <w:rsid w:val="00B00E0C"/>
    <w:rsid w:val="00B012A6"/>
    <w:rsid w:val="00B0173D"/>
    <w:rsid w:val="00B022B3"/>
    <w:rsid w:val="00B0281A"/>
    <w:rsid w:val="00B0336A"/>
    <w:rsid w:val="00B03CA8"/>
    <w:rsid w:val="00B04182"/>
    <w:rsid w:val="00B0475D"/>
    <w:rsid w:val="00B0501D"/>
    <w:rsid w:val="00B0548F"/>
    <w:rsid w:val="00B057A7"/>
    <w:rsid w:val="00B062CB"/>
    <w:rsid w:val="00B07AE3"/>
    <w:rsid w:val="00B07C06"/>
    <w:rsid w:val="00B11430"/>
    <w:rsid w:val="00B11C3E"/>
    <w:rsid w:val="00B12AB3"/>
    <w:rsid w:val="00B1346C"/>
    <w:rsid w:val="00B137BA"/>
    <w:rsid w:val="00B13A65"/>
    <w:rsid w:val="00B16432"/>
    <w:rsid w:val="00B17543"/>
    <w:rsid w:val="00B175E3"/>
    <w:rsid w:val="00B17AD6"/>
    <w:rsid w:val="00B20CCE"/>
    <w:rsid w:val="00B20E3B"/>
    <w:rsid w:val="00B20E6A"/>
    <w:rsid w:val="00B22194"/>
    <w:rsid w:val="00B22AB7"/>
    <w:rsid w:val="00B2335C"/>
    <w:rsid w:val="00B2361E"/>
    <w:rsid w:val="00B2386C"/>
    <w:rsid w:val="00B24BEC"/>
    <w:rsid w:val="00B26D62"/>
    <w:rsid w:val="00B2754E"/>
    <w:rsid w:val="00B27677"/>
    <w:rsid w:val="00B307DD"/>
    <w:rsid w:val="00B30EA4"/>
    <w:rsid w:val="00B3110F"/>
    <w:rsid w:val="00B3171D"/>
    <w:rsid w:val="00B3188A"/>
    <w:rsid w:val="00B31B36"/>
    <w:rsid w:val="00B31D28"/>
    <w:rsid w:val="00B32AEE"/>
    <w:rsid w:val="00B34D9E"/>
    <w:rsid w:val="00B34F91"/>
    <w:rsid w:val="00B351B4"/>
    <w:rsid w:val="00B35366"/>
    <w:rsid w:val="00B353EB"/>
    <w:rsid w:val="00B35585"/>
    <w:rsid w:val="00B35B26"/>
    <w:rsid w:val="00B35DAA"/>
    <w:rsid w:val="00B3761B"/>
    <w:rsid w:val="00B376F6"/>
    <w:rsid w:val="00B37705"/>
    <w:rsid w:val="00B400EA"/>
    <w:rsid w:val="00B417AE"/>
    <w:rsid w:val="00B41F96"/>
    <w:rsid w:val="00B426E7"/>
    <w:rsid w:val="00B439C4"/>
    <w:rsid w:val="00B43DE5"/>
    <w:rsid w:val="00B44EC5"/>
    <w:rsid w:val="00B44FE0"/>
    <w:rsid w:val="00B4535E"/>
    <w:rsid w:val="00B460DA"/>
    <w:rsid w:val="00B510C8"/>
    <w:rsid w:val="00B51235"/>
    <w:rsid w:val="00B521A9"/>
    <w:rsid w:val="00B52A8C"/>
    <w:rsid w:val="00B52CF3"/>
    <w:rsid w:val="00B54579"/>
    <w:rsid w:val="00B551B7"/>
    <w:rsid w:val="00B56A11"/>
    <w:rsid w:val="00B56A81"/>
    <w:rsid w:val="00B57D01"/>
    <w:rsid w:val="00B60FC2"/>
    <w:rsid w:val="00B613B5"/>
    <w:rsid w:val="00B61E48"/>
    <w:rsid w:val="00B621FF"/>
    <w:rsid w:val="00B636A8"/>
    <w:rsid w:val="00B63CC3"/>
    <w:rsid w:val="00B64635"/>
    <w:rsid w:val="00B648ED"/>
    <w:rsid w:val="00B66151"/>
    <w:rsid w:val="00B665C6"/>
    <w:rsid w:val="00B665DC"/>
    <w:rsid w:val="00B67063"/>
    <w:rsid w:val="00B67155"/>
    <w:rsid w:val="00B67AC5"/>
    <w:rsid w:val="00B703AB"/>
    <w:rsid w:val="00B70482"/>
    <w:rsid w:val="00B70D37"/>
    <w:rsid w:val="00B70DF4"/>
    <w:rsid w:val="00B73017"/>
    <w:rsid w:val="00B73590"/>
    <w:rsid w:val="00B738EF"/>
    <w:rsid w:val="00B739B4"/>
    <w:rsid w:val="00B75E82"/>
    <w:rsid w:val="00B75EF9"/>
    <w:rsid w:val="00B7633E"/>
    <w:rsid w:val="00B769B8"/>
    <w:rsid w:val="00B76CCC"/>
    <w:rsid w:val="00B76F5F"/>
    <w:rsid w:val="00B772DA"/>
    <w:rsid w:val="00B80266"/>
    <w:rsid w:val="00B805AF"/>
    <w:rsid w:val="00B80DBD"/>
    <w:rsid w:val="00B81172"/>
    <w:rsid w:val="00B8118D"/>
    <w:rsid w:val="00B83022"/>
    <w:rsid w:val="00B840E2"/>
    <w:rsid w:val="00B869EC"/>
    <w:rsid w:val="00B918B4"/>
    <w:rsid w:val="00B91BB5"/>
    <w:rsid w:val="00B9397A"/>
    <w:rsid w:val="00B945D8"/>
    <w:rsid w:val="00B94AEB"/>
    <w:rsid w:val="00B94D84"/>
    <w:rsid w:val="00B95C08"/>
    <w:rsid w:val="00B95F92"/>
    <w:rsid w:val="00B9633D"/>
    <w:rsid w:val="00B96A53"/>
    <w:rsid w:val="00BA03FB"/>
    <w:rsid w:val="00BA0B75"/>
    <w:rsid w:val="00BA0BA5"/>
    <w:rsid w:val="00BA278E"/>
    <w:rsid w:val="00BA2D46"/>
    <w:rsid w:val="00BA2EBE"/>
    <w:rsid w:val="00BA3717"/>
    <w:rsid w:val="00BA50F0"/>
    <w:rsid w:val="00BA5AAE"/>
    <w:rsid w:val="00BA6292"/>
    <w:rsid w:val="00BA6E1A"/>
    <w:rsid w:val="00BA7252"/>
    <w:rsid w:val="00BA7F79"/>
    <w:rsid w:val="00BB0F28"/>
    <w:rsid w:val="00BB11EA"/>
    <w:rsid w:val="00BB323E"/>
    <w:rsid w:val="00BB4093"/>
    <w:rsid w:val="00BB446F"/>
    <w:rsid w:val="00BB453A"/>
    <w:rsid w:val="00BB458A"/>
    <w:rsid w:val="00BB4EAF"/>
    <w:rsid w:val="00BB54DF"/>
    <w:rsid w:val="00BC1229"/>
    <w:rsid w:val="00BC1480"/>
    <w:rsid w:val="00BC1D54"/>
    <w:rsid w:val="00BC2A83"/>
    <w:rsid w:val="00BC2E53"/>
    <w:rsid w:val="00BC3BCC"/>
    <w:rsid w:val="00BC5AFE"/>
    <w:rsid w:val="00BC6662"/>
    <w:rsid w:val="00BC6E38"/>
    <w:rsid w:val="00BC7E2F"/>
    <w:rsid w:val="00BD00D3"/>
    <w:rsid w:val="00BD1659"/>
    <w:rsid w:val="00BD2F78"/>
    <w:rsid w:val="00BD332A"/>
    <w:rsid w:val="00BD3AA9"/>
    <w:rsid w:val="00BD4A18"/>
    <w:rsid w:val="00BD5B04"/>
    <w:rsid w:val="00BD6DB2"/>
    <w:rsid w:val="00BD7121"/>
    <w:rsid w:val="00BD7D47"/>
    <w:rsid w:val="00BD7D88"/>
    <w:rsid w:val="00BE0F24"/>
    <w:rsid w:val="00BE114E"/>
    <w:rsid w:val="00BE11CF"/>
    <w:rsid w:val="00BE1FED"/>
    <w:rsid w:val="00BE21AB"/>
    <w:rsid w:val="00BE3468"/>
    <w:rsid w:val="00BE427D"/>
    <w:rsid w:val="00BE4D5A"/>
    <w:rsid w:val="00BE55CB"/>
    <w:rsid w:val="00BE572E"/>
    <w:rsid w:val="00BE5EC3"/>
    <w:rsid w:val="00BE6003"/>
    <w:rsid w:val="00BE798E"/>
    <w:rsid w:val="00BF617A"/>
    <w:rsid w:val="00BF6810"/>
    <w:rsid w:val="00BF69D1"/>
    <w:rsid w:val="00BF6E2A"/>
    <w:rsid w:val="00BF6FCE"/>
    <w:rsid w:val="00BF7B83"/>
    <w:rsid w:val="00C00266"/>
    <w:rsid w:val="00C00AC2"/>
    <w:rsid w:val="00C01CEF"/>
    <w:rsid w:val="00C02A26"/>
    <w:rsid w:val="00C02D57"/>
    <w:rsid w:val="00C0379D"/>
    <w:rsid w:val="00C03931"/>
    <w:rsid w:val="00C043B8"/>
    <w:rsid w:val="00C0445E"/>
    <w:rsid w:val="00C04687"/>
    <w:rsid w:val="00C04890"/>
    <w:rsid w:val="00C04AC2"/>
    <w:rsid w:val="00C05111"/>
    <w:rsid w:val="00C05D54"/>
    <w:rsid w:val="00C05DF0"/>
    <w:rsid w:val="00C05FE3"/>
    <w:rsid w:val="00C06873"/>
    <w:rsid w:val="00C068E0"/>
    <w:rsid w:val="00C06C31"/>
    <w:rsid w:val="00C06CCC"/>
    <w:rsid w:val="00C06D54"/>
    <w:rsid w:val="00C06F8F"/>
    <w:rsid w:val="00C117C2"/>
    <w:rsid w:val="00C121C9"/>
    <w:rsid w:val="00C14B36"/>
    <w:rsid w:val="00C157EF"/>
    <w:rsid w:val="00C1663F"/>
    <w:rsid w:val="00C205F1"/>
    <w:rsid w:val="00C2136D"/>
    <w:rsid w:val="00C214EE"/>
    <w:rsid w:val="00C21A4B"/>
    <w:rsid w:val="00C21C53"/>
    <w:rsid w:val="00C22CDF"/>
    <w:rsid w:val="00C2314B"/>
    <w:rsid w:val="00C23387"/>
    <w:rsid w:val="00C23469"/>
    <w:rsid w:val="00C2403C"/>
    <w:rsid w:val="00C241DB"/>
    <w:rsid w:val="00C24237"/>
    <w:rsid w:val="00C246E3"/>
    <w:rsid w:val="00C24971"/>
    <w:rsid w:val="00C265DD"/>
    <w:rsid w:val="00C2688E"/>
    <w:rsid w:val="00C26BE5"/>
    <w:rsid w:val="00C26E4D"/>
    <w:rsid w:val="00C271A7"/>
    <w:rsid w:val="00C277EE"/>
    <w:rsid w:val="00C27909"/>
    <w:rsid w:val="00C27B03"/>
    <w:rsid w:val="00C301ED"/>
    <w:rsid w:val="00C303C0"/>
    <w:rsid w:val="00C309F7"/>
    <w:rsid w:val="00C30B68"/>
    <w:rsid w:val="00C314E1"/>
    <w:rsid w:val="00C337FE"/>
    <w:rsid w:val="00C34397"/>
    <w:rsid w:val="00C3505E"/>
    <w:rsid w:val="00C35D40"/>
    <w:rsid w:val="00C35F9B"/>
    <w:rsid w:val="00C36A75"/>
    <w:rsid w:val="00C3788B"/>
    <w:rsid w:val="00C37B37"/>
    <w:rsid w:val="00C4095D"/>
    <w:rsid w:val="00C40AD7"/>
    <w:rsid w:val="00C40AF9"/>
    <w:rsid w:val="00C40E75"/>
    <w:rsid w:val="00C4290B"/>
    <w:rsid w:val="00C42B91"/>
    <w:rsid w:val="00C43D16"/>
    <w:rsid w:val="00C446A5"/>
    <w:rsid w:val="00C46757"/>
    <w:rsid w:val="00C46C4C"/>
    <w:rsid w:val="00C4713B"/>
    <w:rsid w:val="00C478C5"/>
    <w:rsid w:val="00C502CF"/>
    <w:rsid w:val="00C50BCB"/>
    <w:rsid w:val="00C51774"/>
    <w:rsid w:val="00C52B6B"/>
    <w:rsid w:val="00C53362"/>
    <w:rsid w:val="00C577F5"/>
    <w:rsid w:val="00C601D2"/>
    <w:rsid w:val="00C61010"/>
    <w:rsid w:val="00C623DE"/>
    <w:rsid w:val="00C6282F"/>
    <w:rsid w:val="00C62FD9"/>
    <w:rsid w:val="00C633F0"/>
    <w:rsid w:val="00C6349B"/>
    <w:rsid w:val="00C653FA"/>
    <w:rsid w:val="00C65BCC"/>
    <w:rsid w:val="00C66970"/>
    <w:rsid w:val="00C71B49"/>
    <w:rsid w:val="00C7284C"/>
    <w:rsid w:val="00C73DBF"/>
    <w:rsid w:val="00C74BFF"/>
    <w:rsid w:val="00C74F8D"/>
    <w:rsid w:val="00C75853"/>
    <w:rsid w:val="00C814BD"/>
    <w:rsid w:val="00C815B7"/>
    <w:rsid w:val="00C81E24"/>
    <w:rsid w:val="00C82EDF"/>
    <w:rsid w:val="00C8404C"/>
    <w:rsid w:val="00C86223"/>
    <w:rsid w:val="00C8691C"/>
    <w:rsid w:val="00C8696C"/>
    <w:rsid w:val="00C86EE6"/>
    <w:rsid w:val="00C87E05"/>
    <w:rsid w:val="00C90CC2"/>
    <w:rsid w:val="00C913C2"/>
    <w:rsid w:val="00C938AF"/>
    <w:rsid w:val="00C93F02"/>
    <w:rsid w:val="00C94192"/>
    <w:rsid w:val="00C9526B"/>
    <w:rsid w:val="00C969B3"/>
    <w:rsid w:val="00C96CBC"/>
    <w:rsid w:val="00C97240"/>
    <w:rsid w:val="00C979F2"/>
    <w:rsid w:val="00CA09BD"/>
    <w:rsid w:val="00CA0ACC"/>
    <w:rsid w:val="00CA0DA0"/>
    <w:rsid w:val="00CA0F89"/>
    <w:rsid w:val="00CA11AB"/>
    <w:rsid w:val="00CA146E"/>
    <w:rsid w:val="00CA1525"/>
    <w:rsid w:val="00CA168A"/>
    <w:rsid w:val="00CA1DA2"/>
    <w:rsid w:val="00CA357E"/>
    <w:rsid w:val="00CA44F9"/>
    <w:rsid w:val="00CA4A69"/>
    <w:rsid w:val="00CA5448"/>
    <w:rsid w:val="00CA5F66"/>
    <w:rsid w:val="00CA7013"/>
    <w:rsid w:val="00CB1F33"/>
    <w:rsid w:val="00CB21F4"/>
    <w:rsid w:val="00CB36BF"/>
    <w:rsid w:val="00CB4653"/>
    <w:rsid w:val="00CB6971"/>
    <w:rsid w:val="00CB7967"/>
    <w:rsid w:val="00CC1528"/>
    <w:rsid w:val="00CC1E3B"/>
    <w:rsid w:val="00CC1FF2"/>
    <w:rsid w:val="00CC332A"/>
    <w:rsid w:val="00CC3E0C"/>
    <w:rsid w:val="00CC4080"/>
    <w:rsid w:val="00CC4326"/>
    <w:rsid w:val="00CC4888"/>
    <w:rsid w:val="00CC49C6"/>
    <w:rsid w:val="00CC4BA2"/>
    <w:rsid w:val="00CC58D3"/>
    <w:rsid w:val="00CC5A10"/>
    <w:rsid w:val="00CC68B3"/>
    <w:rsid w:val="00CC6BA8"/>
    <w:rsid w:val="00CC784D"/>
    <w:rsid w:val="00CD024C"/>
    <w:rsid w:val="00CD09A7"/>
    <w:rsid w:val="00CD0C9C"/>
    <w:rsid w:val="00CD0E15"/>
    <w:rsid w:val="00CD1461"/>
    <w:rsid w:val="00CD1ABC"/>
    <w:rsid w:val="00CD2B11"/>
    <w:rsid w:val="00CD43A1"/>
    <w:rsid w:val="00CD5B7F"/>
    <w:rsid w:val="00CE1BE6"/>
    <w:rsid w:val="00CE3875"/>
    <w:rsid w:val="00CE3BF5"/>
    <w:rsid w:val="00CE7238"/>
    <w:rsid w:val="00CE7C27"/>
    <w:rsid w:val="00CF0BC1"/>
    <w:rsid w:val="00CF111A"/>
    <w:rsid w:val="00CF130B"/>
    <w:rsid w:val="00CF14E6"/>
    <w:rsid w:val="00CF29EE"/>
    <w:rsid w:val="00CF2B76"/>
    <w:rsid w:val="00CF332C"/>
    <w:rsid w:val="00CF3A55"/>
    <w:rsid w:val="00CF521C"/>
    <w:rsid w:val="00CF5F99"/>
    <w:rsid w:val="00CF62DF"/>
    <w:rsid w:val="00CF737D"/>
    <w:rsid w:val="00D00777"/>
    <w:rsid w:val="00D00E47"/>
    <w:rsid w:val="00D015E8"/>
    <w:rsid w:val="00D0337B"/>
    <w:rsid w:val="00D043DB"/>
    <w:rsid w:val="00D06C93"/>
    <w:rsid w:val="00D0729E"/>
    <w:rsid w:val="00D079B2"/>
    <w:rsid w:val="00D104C5"/>
    <w:rsid w:val="00D10AD3"/>
    <w:rsid w:val="00D114E9"/>
    <w:rsid w:val="00D1190D"/>
    <w:rsid w:val="00D12CB8"/>
    <w:rsid w:val="00D132D5"/>
    <w:rsid w:val="00D140DA"/>
    <w:rsid w:val="00D142C1"/>
    <w:rsid w:val="00D14BD6"/>
    <w:rsid w:val="00D14F79"/>
    <w:rsid w:val="00D157E1"/>
    <w:rsid w:val="00D15D34"/>
    <w:rsid w:val="00D15F68"/>
    <w:rsid w:val="00D166D5"/>
    <w:rsid w:val="00D16C29"/>
    <w:rsid w:val="00D20970"/>
    <w:rsid w:val="00D236A6"/>
    <w:rsid w:val="00D249EB"/>
    <w:rsid w:val="00D26B59"/>
    <w:rsid w:val="00D26C11"/>
    <w:rsid w:val="00D26C4A"/>
    <w:rsid w:val="00D27AAE"/>
    <w:rsid w:val="00D27AF0"/>
    <w:rsid w:val="00D27C36"/>
    <w:rsid w:val="00D30BFA"/>
    <w:rsid w:val="00D31505"/>
    <w:rsid w:val="00D316AA"/>
    <w:rsid w:val="00D31CA7"/>
    <w:rsid w:val="00D320A4"/>
    <w:rsid w:val="00D32716"/>
    <w:rsid w:val="00D33049"/>
    <w:rsid w:val="00D3315F"/>
    <w:rsid w:val="00D33374"/>
    <w:rsid w:val="00D3339B"/>
    <w:rsid w:val="00D3461B"/>
    <w:rsid w:val="00D358A1"/>
    <w:rsid w:val="00D3623E"/>
    <w:rsid w:val="00D364FE"/>
    <w:rsid w:val="00D36B30"/>
    <w:rsid w:val="00D40086"/>
    <w:rsid w:val="00D40FCE"/>
    <w:rsid w:val="00D41132"/>
    <w:rsid w:val="00D4140C"/>
    <w:rsid w:val="00D415B8"/>
    <w:rsid w:val="00D4295D"/>
    <w:rsid w:val="00D429C6"/>
    <w:rsid w:val="00D42C1A"/>
    <w:rsid w:val="00D42F65"/>
    <w:rsid w:val="00D43A16"/>
    <w:rsid w:val="00D4486D"/>
    <w:rsid w:val="00D4523B"/>
    <w:rsid w:val="00D455D1"/>
    <w:rsid w:val="00D4596A"/>
    <w:rsid w:val="00D46459"/>
    <w:rsid w:val="00D46FDC"/>
    <w:rsid w:val="00D474F9"/>
    <w:rsid w:val="00D47748"/>
    <w:rsid w:val="00D47794"/>
    <w:rsid w:val="00D47C45"/>
    <w:rsid w:val="00D506A3"/>
    <w:rsid w:val="00D50E03"/>
    <w:rsid w:val="00D513F3"/>
    <w:rsid w:val="00D53239"/>
    <w:rsid w:val="00D54433"/>
    <w:rsid w:val="00D548A8"/>
    <w:rsid w:val="00D54B0F"/>
    <w:rsid w:val="00D54CC3"/>
    <w:rsid w:val="00D559F1"/>
    <w:rsid w:val="00D55F2E"/>
    <w:rsid w:val="00D57396"/>
    <w:rsid w:val="00D6041A"/>
    <w:rsid w:val="00D606EF"/>
    <w:rsid w:val="00D60B12"/>
    <w:rsid w:val="00D60D94"/>
    <w:rsid w:val="00D62B4F"/>
    <w:rsid w:val="00D633EB"/>
    <w:rsid w:val="00D641A2"/>
    <w:rsid w:val="00D64799"/>
    <w:rsid w:val="00D65C53"/>
    <w:rsid w:val="00D65C98"/>
    <w:rsid w:val="00D65CCC"/>
    <w:rsid w:val="00D65E6C"/>
    <w:rsid w:val="00D672AB"/>
    <w:rsid w:val="00D67C51"/>
    <w:rsid w:val="00D67E06"/>
    <w:rsid w:val="00D719C2"/>
    <w:rsid w:val="00D7227E"/>
    <w:rsid w:val="00D73503"/>
    <w:rsid w:val="00D7438B"/>
    <w:rsid w:val="00D769BF"/>
    <w:rsid w:val="00D77459"/>
    <w:rsid w:val="00D77E0A"/>
    <w:rsid w:val="00D82FF7"/>
    <w:rsid w:val="00D83078"/>
    <w:rsid w:val="00D838E8"/>
    <w:rsid w:val="00D84729"/>
    <w:rsid w:val="00D847FE"/>
    <w:rsid w:val="00D84B08"/>
    <w:rsid w:val="00D8683C"/>
    <w:rsid w:val="00D877E3"/>
    <w:rsid w:val="00D918D5"/>
    <w:rsid w:val="00D937BB"/>
    <w:rsid w:val="00D9392D"/>
    <w:rsid w:val="00D95462"/>
    <w:rsid w:val="00D95A0B"/>
    <w:rsid w:val="00D964EA"/>
    <w:rsid w:val="00D966D0"/>
    <w:rsid w:val="00D966D6"/>
    <w:rsid w:val="00D976B3"/>
    <w:rsid w:val="00D97DF3"/>
    <w:rsid w:val="00DA0384"/>
    <w:rsid w:val="00DA05AC"/>
    <w:rsid w:val="00DA0C59"/>
    <w:rsid w:val="00DA12CA"/>
    <w:rsid w:val="00DA1C75"/>
    <w:rsid w:val="00DA1CE8"/>
    <w:rsid w:val="00DA33A9"/>
    <w:rsid w:val="00DA3991"/>
    <w:rsid w:val="00DA58D1"/>
    <w:rsid w:val="00DA662C"/>
    <w:rsid w:val="00DA7C3A"/>
    <w:rsid w:val="00DB0067"/>
    <w:rsid w:val="00DB0335"/>
    <w:rsid w:val="00DB0990"/>
    <w:rsid w:val="00DB0B25"/>
    <w:rsid w:val="00DB1632"/>
    <w:rsid w:val="00DB23C1"/>
    <w:rsid w:val="00DB4941"/>
    <w:rsid w:val="00DB5051"/>
    <w:rsid w:val="00DB776D"/>
    <w:rsid w:val="00DB7782"/>
    <w:rsid w:val="00DB7E6C"/>
    <w:rsid w:val="00DC0D6F"/>
    <w:rsid w:val="00DC0D7F"/>
    <w:rsid w:val="00DC10DE"/>
    <w:rsid w:val="00DC18CD"/>
    <w:rsid w:val="00DC1A1D"/>
    <w:rsid w:val="00DC27E1"/>
    <w:rsid w:val="00DC3582"/>
    <w:rsid w:val="00DC3F86"/>
    <w:rsid w:val="00DC6ADF"/>
    <w:rsid w:val="00DC6D39"/>
    <w:rsid w:val="00DD09D1"/>
    <w:rsid w:val="00DD0B43"/>
    <w:rsid w:val="00DD254D"/>
    <w:rsid w:val="00DD2707"/>
    <w:rsid w:val="00DD3F19"/>
    <w:rsid w:val="00DD4458"/>
    <w:rsid w:val="00DD4697"/>
    <w:rsid w:val="00DD5A29"/>
    <w:rsid w:val="00DD5D9D"/>
    <w:rsid w:val="00DE06E4"/>
    <w:rsid w:val="00DE1210"/>
    <w:rsid w:val="00DE1288"/>
    <w:rsid w:val="00DE14FA"/>
    <w:rsid w:val="00DE1CE9"/>
    <w:rsid w:val="00DE1E94"/>
    <w:rsid w:val="00DE1F7D"/>
    <w:rsid w:val="00DE265F"/>
    <w:rsid w:val="00DE35CB"/>
    <w:rsid w:val="00DE3686"/>
    <w:rsid w:val="00DE3DDF"/>
    <w:rsid w:val="00DE5284"/>
    <w:rsid w:val="00DE5DC0"/>
    <w:rsid w:val="00DE677A"/>
    <w:rsid w:val="00DE76CE"/>
    <w:rsid w:val="00DF0D90"/>
    <w:rsid w:val="00DF21E9"/>
    <w:rsid w:val="00DF281A"/>
    <w:rsid w:val="00DF360C"/>
    <w:rsid w:val="00DF5E04"/>
    <w:rsid w:val="00DF7081"/>
    <w:rsid w:val="00E00F14"/>
    <w:rsid w:val="00E01639"/>
    <w:rsid w:val="00E02801"/>
    <w:rsid w:val="00E03C38"/>
    <w:rsid w:val="00E04CDF"/>
    <w:rsid w:val="00E06386"/>
    <w:rsid w:val="00E072C3"/>
    <w:rsid w:val="00E076A7"/>
    <w:rsid w:val="00E07ABE"/>
    <w:rsid w:val="00E07C88"/>
    <w:rsid w:val="00E11C2A"/>
    <w:rsid w:val="00E11CCF"/>
    <w:rsid w:val="00E11F71"/>
    <w:rsid w:val="00E13DCF"/>
    <w:rsid w:val="00E1506C"/>
    <w:rsid w:val="00E15F6E"/>
    <w:rsid w:val="00E16012"/>
    <w:rsid w:val="00E2081D"/>
    <w:rsid w:val="00E20BDF"/>
    <w:rsid w:val="00E20FC5"/>
    <w:rsid w:val="00E22027"/>
    <w:rsid w:val="00E231E3"/>
    <w:rsid w:val="00E2404F"/>
    <w:rsid w:val="00E2471D"/>
    <w:rsid w:val="00E24CDA"/>
    <w:rsid w:val="00E24EB4"/>
    <w:rsid w:val="00E25B5E"/>
    <w:rsid w:val="00E25BBA"/>
    <w:rsid w:val="00E272FF"/>
    <w:rsid w:val="00E315EC"/>
    <w:rsid w:val="00E320ED"/>
    <w:rsid w:val="00E32FB5"/>
    <w:rsid w:val="00E3379F"/>
    <w:rsid w:val="00E33AFB"/>
    <w:rsid w:val="00E34218"/>
    <w:rsid w:val="00E3637D"/>
    <w:rsid w:val="00E37DA4"/>
    <w:rsid w:val="00E4036A"/>
    <w:rsid w:val="00E40431"/>
    <w:rsid w:val="00E419BA"/>
    <w:rsid w:val="00E44337"/>
    <w:rsid w:val="00E447CF"/>
    <w:rsid w:val="00E4572B"/>
    <w:rsid w:val="00E46282"/>
    <w:rsid w:val="00E46772"/>
    <w:rsid w:val="00E46B57"/>
    <w:rsid w:val="00E46DD7"/>
    <w:rsid w:val="00E47DE0"/>
    <w:rsid w:val="00E47FE6"/>
    <w:rsid w:val="00E5216E"/>
    <w:rsid w:val="00E526AA"/>
    <w:rsid w:val="00E52C15"/>
    <w:rsid w:val="00E53FE3"/>
    <w:rsid w:val="00E54CAD"/>
    <w:rsid w:val="00E5537C"/>
    <w:rsid w:val="00E56B86"/>
    <w:rsid w:val="00E5706E"/>
    <w:rsid w:val="00E571F4"/>
    <w:rsid w:val="00E57BE4"/>
    <w:rsid w:val="00E57DC3"/>
    <w:rsid w:val="00E60C5A"/>
    <w:rsid w:val="00E63156"/>
    <w:rsid w:val="00E64240"/>
    <w:rsid w:val="00E651FC"/>
    <w:rsid w:val="00E675FB"/>
    <w:rsid w:val="00E67A6B"/>
    <w:rsid w:val="00E70FD5"/>
    <w:rsid w:val="00E70FF7"/>
    <w:rsid w:val="00E712E2"/>
    <w:rsid w:val="00E7175A"/>
    <w:rsid w:val="00E72908"/>
    <w:rsid w:val="00E72C40"/>
    <w:rsid w:val="00E7421E"/>
    <w:rsid w:val="00E74C1A"/>
    <w:rsid w:val="00E77901"/>
    <w:rsid w:val="00E816B1"/>
    <w:rsid w:val="00E81C0D"/>
    <w:rsid w:val="00E81E60"/>
    <w:rsid w:val="00E82344"/>
    <w:rsid w:val="00E82DAE"/>
    <w:rsid w:val="00E832E2"/>
    <w:rsid w:val="00E83721"/>
    <w:rsid w:val="00E83BFB"/>
    <w:rsid w:val="00E8480C"/>
    <w:rsid w:val="00E84C82"/>
    <w:rsid w:val="00E84CB9"/>
    <w:rsid w:val="00E84D64"/>
    <w:rsid w:val="00E852B6"/>
    <w:rsid w:val="00E87353"/>
    <w:rsid w:val="00E87408"/>
    <w:rsid w:val="00E900F9"/>
    <w:rsid w:val="00E905C4"/>
    <w:rsid w:val="00E913FD"/>
    <w:rsid w:val="00E914BF"/>
    <w:rsid w:val="00E914C4"/>
    <w:rsid w:val="00E91A3A"/>
    <w:rsid w:val="00E9209B"/>
    <w:rsid w:val="00E92A76"/>
    <w:rsid w:val="00E92D68"/>
    <w:rsid w:val="00E92EF9"/>
    <w:rsid w:val="00E934F5"/>
    <w:rsid w:val="00E9409C"/>
    <w:rsid w:val="00E95DB5"/>
    <w:rsid w:val="00E96961"/>
    <w:rsid w:val="00E971AC"/>
    <w:rsid w:val="00EA0346"/>
    <w:rsid w:val="00EA0A2F"/>
    <w:rsid w:val="00EA14C5"/>
    <w:rsid w:val="00EA16BF"/>
    <w:rsid w:val="00EA19BD"/>
    <w:rsid w:val="00EA2D97"/>
    <w:rsid w:val="00EA4271"/>
    <w:rsid w:val="00EA55E4"/>
    <w:rsid w:val="00EA72CF"/>
    <w:rsid w:val="00EA72EC"/>
    <w:rsid w:val="00EA7D14"/>
    <w:rsid w:val="00EB11CB"/>
    <w:rsid w:val="00EB275A"/>
    <w:rsid w:val="00EB44C0"/>
    <w:rsid w:val="00EB596E"/>
    <w:rsid w:val="00EB7598"/>
    <w:rsid w:val="00EB786A"/>
    <w:rsid w:val="00EC0791"/>
    <w:rsid w:val="00EC1578"/>
    <w:rsid w:val="00EC1C72"/>
    <w:rsid w:val="00EC2D19"/>
    <w:rsid w:val="00EC35B0"/>
    <w:rsid w:val="00EC3CC9"/>
    <w:rsid w:val="00EC431D"/>
    <w:rsid w:val="00EC53E3"/>
    <w:rsid w:val="00EC680A"/>
    <w:rsid w:val="00EC684D"/>
    <w:rsid w:val="00EC73F2"/>
    <w:rsid w:val="00EC7BB6"/>
    <w:rsid w:val="00ED058A"/>
    <w:rsid w:val="00ED0D16"/>
    <w:rsid w:val="00ED1347"/>
    <w:rsid w:val="00ED2AF7"/>
    <w:rsid w:val="00ED3751"/>
    <w:rsid w:val="00ED4D9C"/>
    <w:rsid w:val="00ED4FEE"/>
    <w:rsid w:val="00ED5E75"/>
    <w:rsid w:val="00ED6775"/>
    <w:rsid w:val="00ED6AF4"/>
    <w:rsid w:val="00ED7209"/>
    <w:rsid w:val="00ED7C54"/>
    <w:rsid w:val="00EE0292"/>
    <w:rsid w:val="00EE02E9"/>
    <w:rsid w:val="00EE1496"/>
    <w:rsid w:val="00EE2381"/>
    <w:rsid w:val="00EE2BED"/>
    <w:rsid w:val="00EE374B"/>
    <w:rsid w:val="00EE3857"/>
    <w:rsid w:val="00EE4E52"/>
    <w:rsid w:val="00EE5714"/>
    <w:rsid w:val="00EE5A38"/>
    <w:rsid w:val="00EE6145"/>
    <w:rsid w:val="00EF0B97"/>
    <w:rsid w:val="00EF1ACF"/>
    <w:rsid w:val="00EF2024"/>
    <w:rsid w:val="00EF23A6"/>
    <w:rsid w:val="00EF2CDE"/>
    <w:rsid w:val="00EF2E84"/>
    <w:rsid w:val="00EF3A96"/>
    <w:rsid w:val="00EF53C8"/>
    <w:rsid w:val="00EF7EDA"/>
    <w:rsid w:val="00F01680"/>
    <w:rsid w:val="00F024B0"/>
    <w:rsid w:val="00F05BDB"/>
    <w:rsid w:val="00F06D31"/>
    <w:rsid w:val="00F07661"/>
    <w:rsid w:val="00F1119B"/>
    <w:rsid w:val="00F11BB5"/>
    <w:rsid w:val="00F11E55"/>
    <w:rsid w:val="00F12290"/>
    <w:rsid w:val="00F13058"/>
    <w:rsid w:val="00F13777"/>
    <w:rsid w:val="00F1417B"/>
    <w:rsid w:val="00F151EA"/>
    <w:rsid w:val="00F15234"/>
    <w:rsid w:val="00F1573B"/>
    <w:rsid w:val="00F1610E"/>
    <w:rsid w:val="00F16A4A"/>
    <w:rsid w:val="00F16C1F"/>
    <w:rsid w:val="00F20A14"/>
    <w:rsid w:val="00F225AF"/>
    <w:rsid w:val="00F23C30"/>
    <w:rsid w:val="00F2438D"/>
    <w:rsid w:val="00F26A19"/>
    <w:rsid w:val="00F2710F"/>
    <w:rsid w:val="00F303FC"/>
    <w:rsid w:val="00F30E50"/>
    <w:rsid w:val="00F31232"/>
    <w:rsid w:val="00F330C9"/>
    <w:rsid w:val="00F343E5"/>
    <w:rsid w:val="00F34B99"/>
    <w:rsid w:val="00F356F4"/>
    <w:rsid w:val="00F36160"/>
    <w:rsid w:val="00F36E67"/>
    <w:rsid w:val="00F37AEC"/>
    <w:rsid w:val="00F37C3F"/>
    <w:rsid w:val="00F400DE"/>
    <w:rsid w:val="00F42BF9"/>
    <w:rsid w:val="00F43E5C"/>
    <w:rsid w:val="00F44267"/>
    <w:rsid w:val="00F44F36"/>
    <w:rsid w:val="00F458F9"/>
    <w:rsid w:val="00F4651D"/>
    <w:rsid w:val="00F46570"/>
    <w:rsid w:val="00F520AB"/>
    <w:rsid w:val="00F52D2E"/>
    <w:rsid w:val="00F52DAB"/>
    <w:rsid w:val="00F52E05"/>
    <w:rsid w:val="00F531C3"/>
    <w:rsid w:val="00F533EF"/>
    <w:rsid w:val="00F534FA"/>
    <w:rsid w:val="00F54079"/>
    <w:rsid w:val="00F543F0"/>
    <w:rsid w:val="00F54F6C"/>
    <w:rsid w:val="00F55087"/>
    <w:rsid w:val="00F56B35"/>
    <w:rsid w:val="00F57311"/>
    <w:rsid w:val="00F57A6F"/>
    <w:rsid w:val="00F57D68"/>
    <w:rsid w:val="00F60875"/>
    <w:rsid w:val="00F60E06"/>
    <w:rsid w:val="00F62D87"/>
    <w:rsid w:val="00F64569"/>
    <w:rsid w:val="00F649A1"/>
    <w:rsid w:val="00F66D76"/>
    <w:rsid w:val="00F6740A"/>
    <w:rsid w:val="00F67A10"/>
    <w:rsid w:val="00F67B30"/>
    <w:rsid w:val="00F67D39"/>
    <w:rsid w:val="00F70310"/>
    <w:rsid w:val="00F7048F"/>
    <w:rsid w:val="00F70582"/>
    <w:rsid w:val="00F705AB"/>
    <w:rsid w:val="00F70EBC"/>
    <w:rsid w:val="00F727C2"/>
    <w:rsid w:val="00F74087"/>
    <w:rsid w:val="00F756B8"/>
    <w:rsid w:val="00F76165"/>
    <w:rsid w:val="00F76A75"/>
    <w:rsid w:val="00F771F6"/>
    <w:rsid w:val="00F80226"/>
    <w:rsid w:val="00F8151B"/>
    <w:rsid w:val="00F81D29"/>
    <w:rsid w:val="00F82329"/>
    <w:rsid w:val="00F828A5"/>
    <w:rsid w:val="00F8383D"/>
    <w:rsid w:val="00F845C8"/>
    <w:rsid w:val="00F856D1"/>
    <w:rsid w:val="00F85ECF"/>
    <w:rsid w:val="00F863E5"/>
    <w:rsid w:val="00F86847"/>
    <w:rsid w:val="00F878B1"/>
    <w:rsid w:val="00F87989"/>
    <w:rsid w:val="00F90176"/>
    <w:rsid w:val="00F918AA"/>
    <w:rsid w:val="00F91A18"/>
    <w:rsid w:val="00F91B5D"/>
    <w:rsid w:val="00F91C4D"/>
    <w:rsid w:val="00F92270"/>
    <w:rsid w:val="00F92FD9"/>
    <w:rsid w:val="00F94B75"/>
    <w:rsid w:val="00F95073"/>
    <w:rsid w:val="00F95415"/>
    <w:rsid w:val="00F95417"/>
    <w:rsid w:val="00F95E26"/>
    <w:rsid w:val="00F961CB"/>
    <w:rsid w:val="00F963AB"/>
    <w:rsid w:val="00F96E65"/>
    <w:rsid w:val="00FA1EA5"/>
    <w:rsid w:val="00FA2E51"/>
    <w:rsid w:val="00FA3B0B"/>
    <w:rsid w:val="00FA40BB"/>
    <w:rsid w:val="00FA5BF0"/>
    <w:rsid w:val="00FA6568"/>
    <w:rsid w:val="00FA6684"/>
    <w:rsid w:val="00FA6D05"/>
    <w:rsid w:val="00FA72C8"/>
    <w:rsid w:val="00FA731E"/>
    <w:rsid w:val="00FB0B72"/>
    <w:rsid w:val="00FB0CC4"/>
    <w:rsid w:val="00FB20C6"/>
    <w:rsid w:val="00FB2342"/>
    <w:rsid w:val="00FB2B38"/>
    <w:rsid w:val="00FB2E7C"/>
    <w:rsid w:val="00FB3074"/>
    <w:rsid w:val="00FB39FC"/>
    <w:rsid w:val="00FB5756"/>
    <w:rsid w:val="00FB581D"/>
    <w:rsid w:val="00FB5F8F"/>
    <w:rsid w:val="00FB6757"/>
    <w:rsid w:val="00FC17DB"/>
    <w:rsid w:val="00FC1C83"/>
    <w:rsid w:val="00FC2872"/>
    <w:rsid w:val="00FC2A14"/>
    <w:rsid w:val="00FC3064"/>
    <w:rsid w:val="00FC3D90"/>
    <w:rsid w:val="00FC480C"/>
    <w:rsid w:val="00FC5106"/>
    <w:rsid w:val="00FC6175"/>
    <w:rsid w:val="00FC6358"/>
    <w:rsid w:val="00FC70D1"/>
    <w:rsid w:val="00FC758E"/>
    <w:rsid w:val="00FD01CF"/>
    <w:rsid w:val="00FD07C0"/>
    <w:rsid w:val="00FD0F5D"/>
    <w:rsid w:val="00FD142F"/>
    <w:rsid w:val="00FD320D"/>
    <w:rsid w:val="00FD393A"/>
    <w:rsid w:val="00FD3D5F"/>
    <w:rsid w:val="00FD42F0"/>
    <w:rsid w:val="00FD471A"/>
    <w:rsid w:val="00FD4B2C"/>
    <w:rsid w:val="00FD4C3E"/>
    <w:rsid w:val="00FD62C8"/>
    <w:rsid w:val="00FD6813"/>
    <w:rsid w:val="00FD6A36"/>
    <w:rsid w:val="00FE0D24"/>
    <w:rsid w:val="00FE234D"/>
    <w:rsid w:val="00FE2397"/>
    <w:rsid w:val="00FE23DE"/>
    <w:rsid w:val="00FE24E3"/>
    <w:rsid w:val="00FE2797"/>
    <w:rsid w:val="00FE3407"/>
    <w:rsid w:val="00FE5C8A"/>
    <w:rsid w:val="00FE6497"/>
    <w:rsid w:val="00FF0460"/>
    <w:rsid w:val="00FF0B48"/>
    <w:rsid w:val="00FF0B73"/>
    <w:rsid w:val="00FF1456"/>
    <w:rsid w:val="00FF31A9"/>
    <w:rsid w:val="00FF37DB"/>
    <w:rsid w:val="00FF45FA"/>
    <w:rsid w:val="00FF56A8"/>
    <w:rsid w:val="00FF6EB4"/>
    <w:rsid w:val="00FF7A7D"/>
    <w:rsid w:val="00FF7A7E"/>
    <w:rsid w:val="01421190"/>
    <w:rsid w:val="01F8250B"/>
    <w:rsid w:val="026D7FBE"/>
    <w:rsid w:val="029F4130"/>
    <w:rsid w:val="02AB1FCD"/>
    <w:rsid w:val="031B4284"/>
    <w:rsid w:val="032712EA"/>
    <w:rsid w:val="033863A8"/>
    <w:rsid w:val="033E071B"/>
    <w:rsid w:val="03E0239E"/>
    <w:rsid w:val="03E46318"/>
    <w:rsid w:val="044A7DD6"/>
    <w:rsid w:val="050F18E6"/>
    <w:rsid w:val="054D10EA"/>
    <w:rsid w:val="0598453C"/>
    <w:rsid w:val="05A351AD"/>
    <w:rsid w:val="05A97F79"/>
    <w:rsid w:val="05F8334E"/>
    <w:rsid w:val="06232261"/>
    <w:rsid w:val="069D57DB"/>
    <w:rsid w:val="069E5059"/>
    <w:rsid w:val="07220644"/>
    <w:rsid w:val="07A4184E"/>
    <w:rsid w:val="07CD50A1"/>
    <w:rsid w:val="08215556"/>
    <w:rsid w:val="084C5688"/>
    <w:rsid w:val="08DD09B2"/>
    <w:rsid w:val="090D074B"/>
    <w:rsid w:val="0931638B"/>
    <w:rsid w:val="0AF76B39"/>
    <w:rsid w:val="0B0103CA"/>
    <w:rsid w:val="0B2A37F4"/>
    <w:rsid w:val="0B4B3FF8"/>
    <w:rsid w:val="0BB9732C"/>
    <w:rsid w:val="0BEE3DB4"/>
    <w:rsid w:val="0C385866"/>
    <w:rsid w:val="0C730DB8"/>
    <w:rsid w:val="0CAE43B6"/>
    <w:rsid w:val="0DB137C5"/>
    <w:rsid w:val="0DD3025E"/>
    <w:rsid w:val="0E204A31"/>
    <w:rsid w:val="0E402372"/>
    <w:rsid w:val="0E4445E9"/>
    <w:rsid w:val="0E484838"/>
    <w:rsid w:val="0F0377C4"/>
    <w:rsid w:val="0F282F82"/>
    <w:rsid w:val="0F3C0933"/>
    <w:rsid w:val="0F470D3C"/>
    <w:rsid w:val="0F63675F"/>
    <w:rsid w:val="0FEC0E5A"/>
    <w:rsid w:val="10453175"/>
    <w:rsid w:val="10A25DC2"/>
    <w:rsid w:val="10C51ABF"/>
    <w:rsid w:val="10CA029E"/>
    <w:rsid w:val="10DD09B8"/>
    <w:rsid w:val="114E1850"/>
    <w:rsid w:val="119414F7"/>
    <w:rsid w:val="11A51CF0"/>
    <w:rsid w:val="11D44FAF"/>
    <w:rsid w:val="11FF22A6"/>
    <w:rsid w:val="12086199"/>
    <w:rsid w:val="125D575C"/>
    <w:rsid w:val="127A3A1F"/>
    <w:rsid w:val="12AA5DA4"/>
    <w:rsid w:val="12BB3B36"/>
    <w:rsid w:val="12D238D4"/>
    <w:rsid w:val="12DC6FC6"/>
    <w:rsid w:val="13412F41"/>
    <w:rsid w:val="13536972"/>
    <w:rsid w:val="137D3482"/>
    <w:rsid w:val="14605247"/>
    <w:rsid w:val="14622FC1"/>
    <w:rsid w:val="149E7A38"/>
    <w:rsid w:val="14C64F73"/>
    <w:rsid w:val="150A4D1B"/>
    <w:rsid w:val="152101D6"/>
    <w:rsid w:val="156E05C5"/>
    <w:rsid w:val="159F1212"/>
    <w:rsid w:val="15D55DDC"/>
    <w:rsid w:val="163B6E70"/>
    <w:rsid w:val="165079B2"/>
    <w:rsid w:val="16793EEF"/>
    <w:rsid w:val="167A3ACC"/>
    <w:rsid w:val="16B12EB1"/>
    <w:rsid w:val="1715758D"/>
    <w:rsid w:val="178A62F8"/>
    <w:rsid w:val="17B810A4"/>
    <w:rsid w:val="184075AC"/>
    <w:rsid w:val="18954E2A"/>
    <w:rsid w:val="18A137C7"/>
    <w:rsid w:val="18C97EED"/>
    <w:rsid w:val="18DC2535"/>
    <w:rsid w:val="19A63A9D"/>
    <w:rsid w:val="19BF5263"/>
    <w:rsid w:val="19E73930"/>
    <w:rsid w:val="1A73767F"/>
    <w:rsid w:val="1AF77413"/>
    <w:rsid w:val="1B007F1A"/>
    <w:rsid w:val="1B177D78"/>
    <w:rsid w:val="1BE222CB"/>
    <w:rsid w:val="1BF54CD5"/>
    <w:rsid w:val="1C113D55"/>
    <w:rsid w:val="1C2342B8"/>
    <w:rsid w:val="1C2F4C4D"/>
    <w:rsid w:val="1C301638"/>
    <w:rsid w:val="1C6E3C9B"/>
    <w:rsid w:val="1C6F7CCB"/>
    <w:rsid w:val="1D5F0324"/>
    <w:rsid w:val="1DAC219E"/>
    <w:rsid w:val="1DB47B00"/>
    <w:rsid w:val="1DBF4F73"/>
    <w:rsid w:val="1DC15BB7"/>
    <w:rsid w:val="1E3A11EF"/>
    <w:rsid w:val="1E95700C"/>
    <w:rsid w:val="1EE53763"/>
    <w:rsid w:val="1F40308E"/>
    <w:rsid w:val="1F472262"/>
    <w:rsid w:val="1F7573CF"/>
    <w:rsid w:val="1F8C19CF"/>
    <w:rsid w:val="1FCB54A6"/>
    <w:rsid w:val="1FF14949"/>
    <w:rsid w:val="205C3E85"/>
    <w:rsid w:val="20C56BFB"/>
    <w:rsid w:val="20E72CEB"/>
    <w:rsid w:val="211D601B"/>
    <w:rsid w:val="21B079AA"/>
    <w:rsid w:val="21C94D14"/>
    <w:rsid w:val="21F10E4E"/>
    <w:rsid w:val="21FF7E7D"/>
    <w:rsid w:val="220C05CD"/>
    <w:rsid w:val="225A1705"/>
    <w:rsid w:val="225B68F3"/>
    <w:rsid w:val="22D94336"/>
    <w:rsid w:val="22EC5998"/>
    <w:rsid w:val="231D03FE"/>
    <w:rsid w:val="234F1AFA"/>
    <w:rsid w:val="2382669F"/>
    <w:rsid w:val="23B047DA"/>
    <w:rsid w:val="24084702"/>
    <w:rsid w:val="24217795"/>
    <w:rsid w:val="24BA637B"/>
    <w:rsid w:val="251C53CB"/>
    <w:rsid w:val="252E3B0A"/>
    <w:rsid w:val="26297460"/>
    <w:rsid w:val="26530D33"/>
    <w:rsid w:val="26CA3C25"/>
    <w:rsid w:val="270C275B"/>
    <w:rsid w:val="272C23FA"/>
    <w:rsid w:val="276A495A"/>
    <w:rsid w:val="277D0236"/>
    <w:rsid w:val="27955252"/>
    <w:rsid w:val="27F9569D"/>
    <w:rsid w:val="28960014"/>
    <w:rsid w:val="290340AB"/>
    <w:rsid w:val="291C6C60"/>
    <w:rsid w:val="295976A1"/>
    <w:rsid w:val="29730A6A"/>
    <w:rsid w:val="2A1C5CBB"/>
    <w:rsid w:val="2A753876"/>
    <w:rsid w:val="2A996C08"/>
    <w:rsid w:val="2ABC2144"/>
    <w:rsid w:val="2AD5250D"/>
    <w:rsid w:val="2ADF34A0"/>
    <w:rsid w:val="2B6B4C7E"/>
    <w:rsid w:val="2B6D1979"/>
    <w:rsid w:val="2C1A5641"/>
    <w:rsid w:val="2C2A7F9E"/>
    <w:rsid w:val="2CD87AC9"/>
    <w:rsid w:val="2D5012D2"/>
    <w:rsid w:val="2D5239AB"/>
    <w:rsid w:val="2D527E4D"/>
    <w:rsid w:val="2D616C31"/>
    <w:rsid w:val="2D7352E2"/>
    <w:rsid w:val="2D8E1801"/>
    <w:rsid w:val="2DB550CC"/>
    <w:rsid w:val="2DD56B2A"/>
    <w:rsid w:val="2E431935"/>
    <w:rsid w:val="2E9B1CD8"/>
    <w:rsid w:val="2EBC77DC"/>
    <w:rsid w:val="2ECC44FE"/>
    <w:rsid w:val="2ED023B7"/>
    <w:rsid w:val="2ED7364E"/>
    <w:rsid w:val="2EF52112"/>
    <w:rsid w:val="2FDA38B8"/>
    <w:rsid w:val="2FE24785"/>
    <w:rsid w:val="30044FAD"/>
    <w:rsid w:val="306C3B16"/>
    <w:rsid w:val="313B622E"/>
    <w:rsid w:val="317C5755"/>
    <w:rsid w:val="31FA2E1C"/>
    <w:rsid w:val="32340DB8"/>
    <w:rsid w:val="3241603C"/>
    <w:rsid w:val="324361A3"/>
    <w:rsid w:val="324E3C27"/>
    <w:rsid w:val="327A33B7"/>
    <w:rsid w:val="32911EEE"/>
    <w:rsid w:val="32D66D21"/>
    <w:rsid w:val="32F07FE6"/>
    <w:rsid w:val="33261FCC"/>
    <w:rsid w:val="33465323"/>
    <w:rsid w:val="33491A3C"/>
    <w:rsid w:val="33EC1BC2"/>
    <w:rsid w:val="33F20F2A"/>
    <w:rsid w:val="34000F51"/>
    <w:rsid w:val="348322B5"/>
    <w:rsid w:val="348F0527"/>
    <w:rsid w:val="35143F5C"/>
    <w:rsid w:val="352E5C84"/>
    <w:rsid w:val="35E66C42"/>
    <w:rsid w:val="36015A68"/>
    <w:rsid w:val="362B1B83"/>
    <w:rsid w:val="36AA4C29"/>
    <w:rsid w:val="37285E75"/>
    <w:rsid w:val="372A2284"/>
    <w:rsid w:val="372D1AA0"/>
    <w:rsid w:val="37735EDE"/>
    <w:rsid w:val="37F93C55"/>
    <w:rsid w:val="396E1A8A"/>
    <w:rsid w:val="39B94B84"/>
    <w:rsid w:val="3A240C5F"/>
    <w:rsid w:val="3A6E6C6A"/>
    <w:rsid w:val="3A8E7CF0"/>
    <w:rsid w:val="3AB41879"/>
    <w:rsid w:val="3AEA44E5"/>
    <w:rsid w:val="3B09455A"/>
    <w:rsid w:val="3BBB1B47"/>
    <w:rsid w:val="3BE4702D"/>
    <w:rsid w:val="3C3A346E"/>
    <w:rsid w:val="3C5F339E"/>
    <w:rsid w:val="3C6D51CF"/>
    <w:rsid w:val="3C7E2EC6"/>
    <w:rsid w:val="3C893C3F"/>
    <w:rsid w:val="3C940DD1"/>
    <w:rsid w:val="3C9D7BC1"/>
    <w:rsid w:val="3CB971A8"/>
    <w:rsid w:val="3D0230D8"/>
    <w:rsid w:val="3D5C18C8"/>
    <w:rsid w:val="3D7071F9"/>
    <w:rsid w:val="3D8726E3"/>
    <w:rsid w:val="3DBE7CA0"/>
    <w:rsid w:val="3DDB6F2B"/>
    <w:rsid w:val="3DE56E49"/>
    <w:rsid w:val="3E10477F"/>
    <w:rsid w:val="3E542E5E"/>
    <w:rsid w:val="3F1E4982"/>
    <w:rsid w:val="3F21409D"/>
    <w:rsid w:val="3F891A0D"/>
    <w:rsid w:val="3FE74022"/>
    <w:rsid w:val="406A1FFE"/>
    <w:rsid w:val="4081341A"/>
    <w:rsid w:val="40BD0183"/>
    <w:rsid w:val="40F77B80"/>
    <w:rsid w:val="411B22D3"/>
    <w:rsid w:val="41D83840"/>
    <w:rsid w:val="41ED78E2"/>
    <w:rsid w:val="42247697"/>
    <w:rsid w:val="42272F93"/>
    <w:rsid w:val="42472441"/>
    <w:rsid w:val="42782C66"/>
    <w:rsid w:val="42FE2D9F"/>
    <w:rsid w:val="43032287"/>
    <w:rsid w:val="43051C46"/>
    <w:rsid w:val="439266CD"/>
    <w:rsid w:val="43E954D4"/>
    <w:rsid w:val="440A0005"/>
    <w:rsid w:val="447973AC"/>
    <w:rsid w:val="44812823"/>
    <w:rsid w:val="4481793B"/>
    <w:rsid w:val="45677F55"/>
    <w:rsid w:val="45C94763"/>
    <w:rsid w:val="45E87A97"/>
    <w:rsid w:val="4611724D"/>
    <w:rsid w:val="46181616"/>
    <w:rsid w:val="46252AD3"/>
    <w:rsid w:val="465C6408"/>
    <w:rsid w:val="465D0B70"/>
    <w:rsid w:val="4667140B"/>
    <w:rsid w:val="46753001"/>
    <w:rsid w:val="467C1D76"/>
    <w:rsid w:val="46980E86"/>
    <w:rsid w:val="46B237F8"/>
    <w:rsid w:val="46F07F12"/>
    <w:rsid w:val="46FC67E9"/>
    <w:rsid w:val="476350EE"/>
    <w:rsid w:val="47705CE5"/>
    <w:rsid w:val="478447E3"/>
    <w:rsid w:val="47A36A64"/>
    <w:rsid w:val="47AF2F63"/>
    <w:rsid w:val="48002BEA"/>
    <w:rsid w:val="48062359"/>
    <w:rsid w:val="48725F2E"/>
    <w:rsid w:val="48D300E4"/>
    <w:rsid w:val="48DD3AFF"/>
    <w:rsid w:val="49474C41"/>
    <w:rsid w:val="498754FA"/>
    <w:rsid w:val="49BB3501"/>
    <w:rsid w:val="49C36A03"/>
    <w:rsid w:val="49C838A0"/>
    <w:rsid w:val="49D54A88"/>
    <w:rsid w:val="49EB6E9A"/>
    <w:rsid w:val="49F64E79"/>
    <w:rsid w:val="4A120986"/>
    <w:rsid w:val="4A1754B0"/>
    <w:rsid w:val="4AB51373"/>
    <w:rsid w:val="4ADB4956"/>
    <w:rsid w:val="4B001797"/>
    <w:rsid w:val="4B0378FD"/>
    <w:rsid w:val="4B356C22"/>
    <w:rsid w:val="4BF6116E"/>
    <w:rsid w:val="4C4A7F10"/>
    <w:rsid w:val="4C5114D1"/>
    <w:rsid w:val="4C7276EB"/>
    <w:rsid w:val="4C96649F"/>
    <w:rsid w:val="4CA615C2"/>
    <w:rsid w:val="4CE61EA6"/>
    <w:rsid w:val="4D5F7344"/>
    <w:rsid w:val="4DB02AE9"/>
    <w:rsid w:val="4EBC600C"/>
    <w:rsid w:val="4EC87325"/>
    <w:rsid w:val="4ECE5062"/>
    <w:rsid w:val="4ECE5844"/>
    <w:rsid w:val="4EE81788"/>
    <w:rsid w:val="4F0E28FD"/>
    <w:rsid w:val="4F88774B"/>
    <w:rsid w:val="4FB31F60"/>
    <w:rsid w:val="4FC4043D"/>
    <w:rsid w:val="4FCD042A"/>
    <w:rsid w:val="508526B5"/>
    <w:rsid w:val="50F55FFE"/>
    <w:rsid w:val="519B0C0C"/>
    <w:rsid w:val="52454C06"/>
    <w:rsid w:val="528D13CE"/>
    <w:rsid w:val="529070B8"/>
    <w:rsid w:val="53135DC6"/>
    <w:rsid w:val="53235413"/>
    <w:rsid w:val="533911DE"/>
    <w:rsid w:val="533F07E9"/>
    <w:rsid w:val="53452501"/>
    <w:rsid w:val="537D2167"/>
    <w:rsid w:val="53BD69C1"/>
    <w:rsid w:val="53D75DEC"/>
    <w:rsid w:val="53DF30A7"/>
    <w:rsid w:val="53F245D9"/>
    <w:rsid w:val="547C6F83"/>
    <w:rsid w:val="54887FF0"/>
    <w:rsid w:val="54A76BB4"/>
    <w:rsid w:val="54B42F0B"/>
    <w:rsid w:val="54B92DF2"/>
    <w:rsid w:val="55091329"/>
    <w:rsid w:val="55321DEF"/>
    <w:rsid w:val="555A1BA0"/>
    <w:rsid w:val="559C0ECE"/>
    <w:rsid w:val="55DB478F"/>
    <w:rsid w:val="55F81F79"/>
    <w:rsid w:val="55FA6408"/>
    <w:rsid w:val="55FB2EB6"/>
    <w:rsid w:val="561B5CB7"/>
    <w:rsid w:val="56244B1C"/>
    <w:rsid w:val="56472525"/>
    <w:rsid w:val="5688096E"/>
    <w:rsid w:val="569906B2"/>
    <w:rsid w:val="56A12098"/>
    <w:rsid w:val="56BD3FCD"/>
    <w:rsid w:val="570D7881"/>
    <w:rsid w:val="57601025"/>
    <w:rsid w:val="579563B4"/>
    <w:rsid w:val="579862F2"/>
    <w:rsid w:val="579F6A0D"/>
    <w:rsid w:val="57AB47DB"/>
    <w:rsid w:val="57B37C72"/>
    <w:rsid w:val="57CB5F6F"/>
    <w:rsid w:val="582E57DE"/>
    <w:rsid w:val="58441AF2"/>
    <w:rsid w:val="58745211"/>
    <w:rsid w:val="58D71242"/>
    <w:rsid w:val="590823F8"/>
    <w:rsid w:val="597A75D9"/>
    <w:rsid w:val="598270A0"/>
    <w:rsid w:val="59D56FCB"/>
    <w:rsid w:val="59DF2621"/>
    <w:rsid w:val="5A1E5BC9"/>
    <w:rsid w:val="5A397208"/>
    <w:rsid w:val="5B107B27"/>
    <w:rsid w:val="5B574F3B"/>
    <w:rsid w:val="5B6E43F7"/>
    <w:rsid w:val="5C3E3894"/>
    <w:rsid w:val="5C5B474D"/>
    <w:rsid w:val="5C6E03E4"/>
    <w:rsid w:val="5C7D7470"/>
    <w:rsid w:val="5D796815"/>
    <w:rsid w:val="5D881E34"/>
    <w:rsid w:val="5DE83EF3"/>
    <w:rsid w:val="5DF3666D"/>
    <w:rsid w:val="5E0E1F3A"/>
    <w:rsid w:val="5E167440"/>
    <w:rsid w:val="5E2B7940"/>
    <w:rsid w:val="5E457C97"/>
    <w:rsid w:val="5E537B79"/>
    <w:rsid w:val="5E550ABC"/>
    <w:rsid w:val="5E8048B9"/>
    <w:rsid w:val="5EA03D99"/>
    <w:rsid w:val="5F50072F"/>
    <w:rsid w:val="5F797C86"/>
    <w:rsid w:val="5F7F1523"/>
    <w:rsid w:val="5FDC0756"/>
    <w:rsid w:val="60615A71"/>
    <w:rsid w:val="60FF0E5D"/>
    <w:rsid w:val="61045394"/>
    <w:rsid w:val="61A50846"/>
    <w:rsid w:val="6201510C"/>
    <w:rsid w:val="627A0579"/>
    <w:rsid w:val="62C4493B"/>
    <w:rsid w:val="62FA14AE"/>
    <w:rsid w:val="631C2492"/>
    <w:rsid w:val="638031CA"/>
    <w:rsid w:val="64066E18"/>
    <w:rsid w:val="64347202"/>
    <w:rsid w:val="64487084"/>
    <w:rsid w:val="645D6A24"/>
    <w:rsid w:val="64A82A4B"/>
    <w:rsid w:val="64CE385C"/>
    <w:rsid w:val="64EB797F"/>
    <w:rsid w:val="64F02C8A"/>
    <w:rsid w:val="65536884"/>
    <w:rsid w:val="6569254B"/>
    <w:rsid w:val="65895CDF"/>
    <w:rsid w:val="65DC2700"/>
    <w:rsid w:val="660C46A8"/>
    <w:rsid w:val="660D2ED6"/>
    <w:rsid w:val="662B7800"/>
    <w:rsid w:val="666D20C5"/>
    <w:rsid w:val="6682166E"/>
    <w:rsid w:val="66B140D3"/>
    <w:rsid w:val="67424E02"/>
    <w:rsid w:val="674D72CB"/>
    <w:rsid w:val="679D38CF"/>
    <w:rsid w:val="67ED5EA9"/>
    <w:rsid w:val="67FD1FC9"/>
    <w:rsid w:val="68512F28"/>
    <w:rsid w:val="68AB1361"/>
    <w:rsid w:val="68BE0B73"/>
    <w:rsid w:val="68C42C20"/>
    <w:rsid w:val="68F77CDB"/>
    <w:rsid w:val="68FC7232"/>
    <w:rsid w:val="69280ABE"/>
    <w:rsid w:val="69B045E4"/>
    <w:rsid w:val="69BF2E9B"/>
    <w:rsid w:val="6A1E618D"/>
    <w:rsid w:val="6A235458"/>
    <w:rsid w:val="6A6830C7"/>
    <w:rsid w:val="6A9C30E5"/>
    <w:rsid w:val="6B172AF6"/>
    <w:rsid w:val="6B4E4A42"/>
    <w:rsid w:val="6B4F27BB"/>
    <w:rsid w:val="6B6271EC"/>
    <w:rsid w:val="6BB169FA"/>
    <w:rsid w:val="6BC0308D"/>
    <w:rsid w:val="6BC169DB"/>
    <w:rsid w:val="6C507E9E"/>
    <w:rsid w:val="6CBD219B"/>
    <w:rsid w:val="6CDE6539"/>
    <w:rsid w:val="6D1250B4"/>
    <w:rsid w:val="6D4167E4"/>
    <w:rsid w:val="6D4578FD"/>
    <w:rsid w:val="6D5B5009"/>
    <w:rsid w:val="6DB82D84"/>
    <w:rsid w:val="6DC07BE1"/>
    <w:rsid w:val="6E4C770B"/>
    <w:rsid w:val="6EDA324E"/>
    <w:rsid w:val="6EDC1FE0"/>
    <w:rsid w:val="6EF62573"/>
    <w:rsid w:val="6F074DE7"/>
    <w:rsid w:val="6F0A3A71"/>
    <w:rsid w:val="6FAA7DC7"/>
    <w:rsid w:val="6FFF53CD"/>
    <w:rsid w:val="70383B5E"/>
    <w:rsid w:val="7046345D"/>
    <w:rsid w:val="70781FA7"/>
    <w:rsid w:val="709B36E8"/>
    <w:rsid w:val="70CF7B62"/>
    <w:rsid w:val="70DB5C50"/>
    <w:rsid w:val="71283A40"/>
    <w:rsid w:val="71330863"/>
    <w:rsid w:val="719C23DC"/>
    <w:rsid w:val="71D50C08"/>
    <w:rsid w:val="71D64FD6"/>
    <w:rsid w:val="728B2D64"/>
    <w:rsid w:val="72B6278D"/>
    <w:rsid w:val="72CA40A3"/>
    <w:rsid w:val="73AB01D2"/>
    <w:rsid w:val="742548C6"/>
    <w:rsid w:val="742F4960"/>
    <w:rsid w:val="74395B62"/>
    <w:rsid w:val="74894C9A"/>
    <w:rsid w:val="74B56F83"/>
    <w:rsid w:val="74B60001"/>
    <w:rsid w:val="752B04F1"/>
    <w:rsid w:val="753B1786"/>
    <w:rsid w:val="756A0952"/>
    <w:rsid w:val="75F31DC5"/>
    <w:rsid w:val="760D3EE7"/>
    <w:rsid w:val="76980946"/>
    <w:rsid w:val="76E40F21"/>
    <w:rsid w:val="76F741BC"/>
    <w:rsid w:val="7705610F"/>
    <w:rsid w:val="77171CF2"/>
    <w:rsid w:val="774E340D"/>
    <w:rsid w:val="776728F8"/>
    <w:rsid w:val="776808B4"/>
    <w:rsid w:val="7784595D"/>
    <w:rsid w:val="779F2604"/>
    <w:rsid w:val="77FF49FF"/>
    <w:rsid w:val="78064443"/>
    <w:rsid w:val="781661DD"/>
    <w:rsid w:val="783D6EBF"/>
    <w:rsid w:val="78B242A5"/>
    <w:rsid w:val="78E9748D"/>
    <w:rsid w:val="7958272C"/>
    <w:rsid w:val="79682101"/>
    <w:rsid w:val="79AB4DB8"/>
    <w:rsid w:val="7A3D682E"/>
    <w:rsid w:val="7A6B07CE"/>
    <w:rsid w:val="7B50738B"/>
    <w:rsid w:val="7B5B37C9"/>
    <w:rsid w:val="7BC609BA"/>
    <w:rsid w:val="7C330D65"/>
    <w:rsid w:val="7C607E09"/>
    <w:rsid w:val="7D4A2CB2"/>
    <w:rsid w:val="7D7120D4"/>
    <w:rsid w:val="7D913864"/>
    <w:rsid w:val="7DC21FBB"/>
    <w:rsid w:val="7DCA7993"/>
    <w:rsid w:val="7E0829E0"/>
    <w:rsid w:val="7E814130"/>
    <w:rsid w:val="7EC95EF7"/>
    <w:rsid w:val="7EED5B43"/>
    <w:rsid w:val="7F250518"/>
    <w:rsid w:val="7F784F02"/>
    <w:rsid w:val="7F821601"/>
    <w:rsid w:val="7F927A47"/>
    <w:rsid w:val="7FA3081A"/>
    <w:rsid w:val="7FB14C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45"/>
    <w:qFormat/>
    <w:uiPriority w:val="0"/>
    <w:pPr>
      <w:keepNext/>
      <w:keepLines/>
      <w:spacing w:before="340" w:after="330" w:line="578" w:lineRule="auto"/>
      <w:outlineLvl w:val="0"/>
    </w:pPr>
    <w:rPr>
      <w:b/>
      <w:bCs/>
      <w:kern w:val="44"/>
      <w:sz w:val="44"/>
      <w:szCs w:val="44"/>
    </w:rPr>
  </w:style>
  <w:style w:type="paragraph" w:styleId="2">
    <w:name w:val="heading 3"/>
    <w:basedOn w:val="1"/>
    <w:next w:val="1"/>
    <w:semiHidden/>
    <w:unhideWhenUsed/>
    <w:qFormat/>
    <w:uiPriority w:val="0"/>
    <w:pPr>
      <w:spacing w:beforeAutospacing="1" w:afterAutospacing="1"/>
      <w:jc w:val="left"/>
      <w:outlineLvl w:val="2"/>
    </w:pPr>
    <w:rPr>
      <w:rFonts w:hint="eastAsia" w:ascii="宋体" w:hAnsi="宋体"/>
      <w:b/>
      <w:bCs/>
      <w:kern w:val="0"/>
      <w:sz w:val="27"/>
      <w:szCs w:val="27"/>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4">
    <w:name w:val="toc 7"/>
    <w:basedOn w:val="1"/>
    <w:next w:val="1"/>
    <w:semiHidden/>
    <w:qFormat/>
    <w:uiPriority w:val="0"/>
    <w:pPr>
      <w:tabs>
        <w:tab w:val="right" w:leader="dot" w:pos="9241"/>
      </w:tabs>
      <w:ind w:firstLine="505" w:firstLineChars="500"/>
      <w:jc w:val="left"/>
    </w:pPr>
    <w:rPr>
      <w:rFonts w:ascii="宋体"/>
      <w:szCs w:val="21"/>
    </w:rPr>
  </w:style>
  <w:style w:type="paragraph" w:styleId="5">
    <w:name w:val="index 8"/>
    <w:basedOn w:val="1"/>
    <w:next w:val="1"/>
    <w:qFormat/>
    <w:uiPriority w:val="0"/>
    <w:pPr>
      <w:ind w:left="1680" w:hanging="210"/>
      <w:jc w:val="left"/>
    </w:pPr>
    <w:rPr>
      <w:rFonts w:ascii="Calibri" w:hAnsi="Calibri"/>
      <w:sz w:val="20"/>
      <w:szCs w:val="20"/>
    </w:rPr>
  </w:style>
  <w:style w:type="paragraph" w:styleId="6">
    <w:name w:val="caption"/>
    <w:basedOn w:val="1"/>
    <w:next w:val="1"/>
    <w:qFormat/>
    <w:uiPriority w:val="0"/>
    <w:pPr>
      <w:spacing w:before="152" w:after="160"/>
    </w:pPr>
    <w:rPr>
      <w:rFonts w:ascii="Arial" w:hAnsi="Arial" w:eastAsia="黑体" w:cs="Arial"/>
      <w:sz w:val="20"/>
      <w:szCs w:val="20"/>
    </w:rPr>
  </w:style>
  <w:style w:type="paragraph" w:styleId="7">
    <w:name w:val="index 5"/>
    <w:basedOn w:val="1"/>
    <w:next w:val="1"/>
    <w:qFormat/>
    <w:uiPriority w:val="0"/>
    <w:pPr>
      <w:ind w:left="1050" w:hanging="210"/>
      <w:jc w:val="left"/>
    </w:pPr>
    <w:rPr>
      <w:rFonts w:ascii="Calibri" w:hAnsi="Calibri"/>
      <w:sz w:val="20"/>
      <w:szCs w:val="20"/>
    </w:rPr>
  </w:style>
  <w:style w:type="paragraph" w:styleId="8">
    <w:name w:val="Document Map"/>
    <w:basedOn w:val="1"/>
    <w:semiHidden/>
    <w:qFormat/>
    <w:uiPriority w:val="0"/>
    <w:pPr>
      <w:shd w:val="clear" w:color="auto" w:fill="000080"/>
    </w:pPr>
  </w:style>
  <w:style w:type="paragraph" w:styleId="9">
    <w:name w:val="annotation text"/>
    <w:basedOn w:val="1"/>
    <w:link w:val="149"/>
    <w:qFormat/>
    <w:uiPriority w:val="0"/>
    <w:pPr>
      <w:jc w:val="left"/>
    </w:pPr>
  </w:style>
  <w:style w:type="paragraph" w:styleId="10">
    <w:name w:val="index 6"/>
    <w:basedOn w:val="1"/>
    <w:next w:val="1"/>
    <w:qFormat/>
    <w:uiPriority w:val="0"/>
    <w:pPr>
      <w:ind w:left="1260" w:hanging="210"/>
      <w:jc w:val="left"/>
    </w:pPr>
    <w:rPr>
      <w:rFonts w:ascii="Calibri" w:hAnsi="Calibri"/>
      <w:sz w:val="20"/>
      <w:szCs w:val="20"/>
    </w:rPr>
  </w:style>
  <w:style w:type="paragraph" w:styleId="11">
    <w:name w:val="Body Text"/>
    <w:basedOn w:val="1"/>
    <w:link w:val="140"/>
    <w:qFormat/>
    <w:uiPriority w:val="0"/>
    <w:pPr>
      <w:autoSpaceDE w:val="0"/>
      <w:autoSpaceDN w:val="0"/>
      <w:jc w:val="left"/>
    </w:pPr>
    <w:rPr>
      <w:rFonts w:ascii="宋体" w:hAnsi="宋体" w:cs="宋体"/>
      <w:kern w:val="0"/>
      <w:szCs w:val="21"/>
      <w:lang w:val="zh-CN" w:bidi="zh-CN"/>
    </w:rPr>
  </w:style>
  <w:style w:type="paragraph" w:styleId="12">
    <w:name w:val="index 4"/>
    <w:basedOn w:val="1"/>
    <w:next w:val="1"/>
    <w:qFormat/>
    <w:uiPriority w:val="0"/>
    <w:pPr>
      <w:ind w:left="840" w:hanging="210"/>
      <w:jc w:val="left"/>
    </w:pPr>
    <w:rPr>
      <w:rFonts w:ascii="Calibri" w:hAnsi="Calibri"/>
      <w:sz w:val="20"/>
      <w:szCs w:val="20"/>
    </w:rPr>
  </w:style>
  <w:style w:type="paragraph" w:styleId="13">
    <w:name w:val="toc 5"/>
    <w:basedOn w:val="1"/>
    <w:next w:val="1"/>
    <w:semiHidden/>
    <w:qFormat/>
    <w:uiPriority w:val="0"/>
    <w:pPr>
      <w:tabs>
        <w:tab w:val="right" w:leader="dot" w:pos="9241"/>
      </w:tabs>
      <w:ind w:firstLine="300" w:firstLineChars="300"/>
      <w:jc w:val="left"/>
    </w:pPr>
    <w:rPr>
      <w:rFonts w:ascii="宋体"/>
      <w:szCs w:val="21"/>
    </w:rPr>
  </w:style>
  <w:style w:type="paragraph" w:styleId="14">
    <w:name w:val="toc 3"/>
    <w:basedOn w:val="1"/>
    <w:next w:val="1"/>
    <w:qFormat/>
    <w:uiPriority w:val="39"/>
    <w:pPr>
      <w:tabs>
        <w:tab w:val="right" w:leader="dot" w:pos="9241"/>
      </w:tabs>
      <w:ind w:firstLine="102" w:firstLineChars="100"/>
      <w:jc w:val="left"/>
    </w:pPr>
    <w:rPr>
      <w:rFonts w:ascii="宋体"/>
      <w:szCs w:val="21"/>
    </w:rPr>
  </w:style>
  <w:style w:type="paragraph" w:styleId="15">
    <w:name w:val="toc 8"/>
    <w:basedOn w:val="1"/>
    <w:next w:val="1"/>
    <w:semiHidden/>
    <w:qFormat/>
    <w:uiPriority w:val="0"/>
    <w:pPr>
      <w:tabs>
        <w:tab w:val="right" w:leader="dot" w:pos="9241"/>
      </w:tabs>
      <w:ind w:firstLine="607" w:firstLineChars="600"/>
      <w:jc w:val="left"/>
    </w:pPr>
    <w:rPr>
      <w:rFonts w:ascii="宋体"/>
      <w:szCs w:val="21"/>
    </w:rPr>
  </w:style>
  <w:style w:type="paragraph" w:styleId="16">
    <w:name w:val="index 3"/>
    <w:basedOn w:val="1"/>
    <w:next w:val="1"/>
    <w:qFormat/>
    <w:uiPriority w:val="0"/>
    <w:pPr>
      <w:ind w:left="630" w:hanging="210"/>
      <w:jc w:val="left"/>
    </w:pPr>
    <w:rPr>
      <w:rFonts w:ascii="Calibri" w:hAnsi="Calibri"/>
      <w:sz w:val="20"/>
      <w:szCs w:val="20"/>
    </w:rPr>
  </w:style>
  <w:style w:type="paragraph" w:styleId="17">
    <w:name w:val="endnote text"/>
    <w:basedOn w:val="1"/>
    <w:semiHidden/>
    <w:qFormat/>
    <w:uiPriority w:val="0"/>
    <w:pPr>
      <w:snapToGrid w:val="0"/>
      <w:jc w:val="left"/>
    </w:pPr>
  </w:style>
  <w:style w:type="paragraph" w:styleId="18">
    <w:name w:val="Balloon Text"/>
    <w:basedOn w:val="1"/>
    <w:link w:val="147"/>
    <w:qFormat/>
    <w:uiPriority w:val="0"/>
    <w:rPr>
      <w:sz w:val="18"/>
      <w:szCs w:val="18"/>
    </w:rPr>
  </w:style>
  <w:style w:type="paragraph" w:styleId="19">
    <w:name w:val="footer"/>
    <w:basedOn w:val="1"/>
    <w:qFormat/>
    <w:uiPriority w:val="0"/>
    <w:pPr>
      <w:snapToGrid w:val="0"/>
      <w:ind w:right="210" w:rightChars="100"/>
      <w:jc w:val="right"/>
    </w:pPr>
    <w:rPr>
      <w:sz w:val="18"/>
      <w:szCs w:val="18"/>
    </w:rPr>
  </w:style>
  <w:style w:type="paragraph" w:styleId="20">
    <w:name w:val="header"/>
    <w:basedOn w:val="1"/>
    <w:qFormat/>
    <w:uiPriority w:val="0"/>
    <w:pPr>
      <w:snapToGrid w:val="0"/>
      <w:jc w:val="left"/>
    </w:pPr>
    <w:rPr>
      <w:sz w:val="18"/>
      <w:szCs w:val="18"/>
    </w:rPr>
  </w:style>
  <w:style w:type="paragraph" w:styleId="21">
    <w:name w:val="toc 1"/>
    <w:basedOn w:val="1"/>
    <w:next w:val="1"/>
    <w:qFormat/>
    <w:uiPriority w:val="39"/>
    <w:pPr>
      <w:tabs>
        <w:tab w:val="right" w:leader="dot" w:pos="9241"/>
      </w:tabs>
      <w:spacing w:before="25" w:beforeLines="25" w:after="25" w:afterLines="25"/>
      <w:jc w:val="left"/>
    </w:pPr>
    <w:rPr>
      <w:rFonts w:ascii="宋体"/>
      <w:szCs w:val="21"/>
    </w:rPr>
  </w:style>
  <w:style w:type="paragraph" w:styleId="22">
    <w:name w:val="toc 4"/>
    <w:basedOn w:val="1"/>
    <w:next w:val="1"/>
    <w:semiHidden/>
    <w:qFormat/>
    <w:uiPriority w:val="0"/>
    <w:pPr>
      <w:tabs>
        <w:tab w:val="right" w:leader="dot" w:pos="9241"/>
      </w:tabs>
      <w:ind w:firstLine="198" w:firstLineChars="200"/>
      <w:jc w:val="left"/>
    </w:pPr>
    <w:rPr>
      <w:rFonts w:ascii="宋体"/>
      <w:szCs w:val="21"/>
    </w:rPr>
  </w:style>
  <w:style w:type="paragraph" w:styleId="23">
    <w:name w:val="index heading"/>
    <w:basedOn w:val="1"/>
    <w:next w:val="24"/>
    <w:qFormat/>
    <w:uiPriority w:val="0"/>
    <w:pPr>
      <w:spacing w:before="120" w:after="120"/>
      <w:jc w:val="center"/>
    </w:pPr>
    <w:rPr>
      <w:rFonts w:ascii="Calibri" w:hAnsi="Calibri"/>
      <w:b/>
      <w:bCs/>
      <w:iCs/>
      <w:szCs w:val="20"/>
    </w:rPr>
  </w:style>
  <w:style w:type="paragraph" w:styleId="24">
    <w:name w:val="index 1"/>
    <w:basedOn w:val="1"/>
    <w:next w:val="25"/>
    <w:qFormat/>
    <w:uiPriority w:val="0"/>
    <w:pPr>
      <w:tabs>
        <w:tab w:val="right" w:leader="dot" w:pos="9299"/>
      </w:tabs>
      <w:jc w:val="left"/>
    </w:pPr>
    <w:rPr>
      <w:rFonts w:ascii="宋体"/>
      <w:szCs w:val="21"/>
    </w:rPr>
  </w:style>
  <w:style w:type="paragraph" w:customStyle="1" w:styleId="25">
    <w:name w:val="段"/>
    <w:link w:val="44"/>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6">
    <w:name w:val="footnote text"/>
    <w:basedOn w:val="1"/>
    <w:qFormat/>
    <w:uiPriority w:val="0"/>
    <w:pPr>
      <w:numPr>
        <w:ilvl w:val="0"/>
        <w:numId w:val="1"/>
      </w:numPr>
      <w:snapToGrid w:val="0"/>
      <w:jc w:val="left"/>
    </w:pPr>
    <w:rPr>
      <w:rFonts w:ascii="宋体"/>
      <w:sz w:val="18"/>
      <w:szCs w:val="18"/>
    </w:rPr>
  </w:style>
  <w:style w:type="paragraph" w:styleId="27">
    <w:name w:val="toc 6"/>
    <w:basedOn w:val="1"/>
    <w:next w:val="1"/>
    <w:semiHidden/>
    <w:qFormat/>
    <w:uiPriority w:val="0"/>
    <w:pPr>
      <w:tabs>
        <w:tab w:val="right" w:leader="dot" w:pos="9241"/>
      </w:tabs>
      <w:ind w:firstLine="403" w:firstLineChars="400"/>
      <w:jc w:val="left"/>
    </w:pPr>
    <w:rPr>
      <w:rFonts w:ascii="宋体"/>
      <w:szCs w:val="21"/>
    </w:rPr>
  </w:style>
  <w:style w:type="paragraph" w:styleId="28">
    <w:name w:val="index 7"/>
    <w:basedOn w:val="1"/>
    <w:next w:val="1"/>
    <w:qFormat/>
    <w:uiPriority w:val="0"/>
    <w:pPr>
      <w:ind w:left="1470" w:hanging="210"/>
      <w:jc w:val="left"/>
    </w:pPr>
    <w:rPr>
      <w:rFonts w:ascii="Calibri" w:hAnsi="Calibri"/>
      <w:sz w:val="20"/>
      <w:szCs w:val="20"/>
    </w:rPr>
  </w:style>
  <w:style w:type="paragraph" w:styleId="29">
    <w:name w:val="index 9"/>
    <w:basedOn w:val="1"/>
    <w:next w:val="1"/>
    <w:qFormat/>
    <w:uiPriority w:val="0"/>
    <w:pPr>
      <w:ind w:left="1890" w:hanging="210"/>
      <w:jc w:val="left"/>
    </w:pPr>
    <w:rPr>
      <w:rFonts w:ascii="Calibri" w:hAnsi="Calibri"/>
      <w:sz w:val="20"/>
      <w:szCs w:val="20"/>
    </w:rPr>
  </w:style>
  <w:style w:type="paragraph" w:styleId="30">
    <w:name w:val="toc 2"/>
    <w:basedOn w:val="1"/>
    <w:next w:val="1"/>
    <w:qFormat/>
    <w:uiPriority w:val="39"/>
    <w:pPr>
      <w:tabs>
        <w:tab w:val="right" w:leader="dot" w:pos="9241"/>
      </w:tabs>
    </w:pPr>
    <w:rPr>
      <w:rFonts w:ascii="宋体"/>
      <w:szCs w:val="21"/>
    </w:rPr>
  </w:style>
  <w:style w:type="paragraph" w:styleId="31">
    <w:name w:val="toc 9"/>
    <w:basedOn w:val="1"/>
    <w:next w:val="1"/>
    <w:semiHidden/>
    <w:qFormat/>
    <w:uiPriority w:val="0"/>
    <w:pPr>
      <w:ind w:left="1470"/>
      <w:jc w:val="left"/>
    </w:pPr>
    <w:rPr>
      <w:sz w:val="20"/>
      <w:szCs w:val="20"/>
    </w:rPr>
  </w:style>
  <w:style w:type="paragraph" w:styleId="32">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3">
    <w:name w:val="index 2"/>
    <w:basedOn w:val="1"/>
    <w:next w:val="1"/>
    <w:qFormat/>
    <w:uiPriority w:val="0"/>
    <w:pPr>
      <w:ind w:left="420" w:hanging="210"/>
      <w:jc w:val="left"/>
    </w:pPr>
    <w:rPr>
      <w:rFonts w:ascii="Calibri" w:hAnsi="Calibri"/>
      <w:sz w:val="20"/>
      <w:szCs w:val="20"/>
    </w:rPr>
  </w:style>
  <w:style w:type="paragraph" w:styleId="34">
    <w:name w:val="annotation subject"/>
    <w:basedOn w:val="9"/>
    <w:next w:val="9"/>
    <w:link w:val="150"/>
    <w:qFormat/>
    <w:uiPriority w:val="0"/>
    <w:rPr>
      <w:b/>
      <w:bCs/>
    </w:rPr>
  </w:style>
  <w:style w:type="table" w:styleId="36">
    <w:name w:val="Table Grid"/>
    <w:basedOn w:val="35"/>
    <w:qFormat/>
    <w:uiPriority w:val="3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8">
    <w:name w:val="endnote reference"/>
    <w:semiHidden/>
    <w:qFormat/>
    <w:uiPriority w:val="0"/>
    <w:rPr>
      <w:vertAlign w:val="superscript"/>
    </w:rPr>
  </w:style>
  <w:style w:type="character" w:styleId="39">
    <w:name w:val="page number"/>
    <w:qFormat/>
    <w:uiPriority w:val="0"/>
    <w:rPr>
      <w:rFonts w:ascii="Times New Roman" w:hAnsi="Times New Roman" w:eastAsia="宋体"/>
      <w:sz w:val="18"/>
    </w:rPr>
  </w:style>
  <w:style w:type="character" w:styleId="40">
    <w:name w:val="FollowedHyperlink"/>
    <w:qFormat/>
    <w:uiPriority w:val="0"/>
    <w:rPr>
      <w:color w:val="800080"/>
      <w:u w:val="single"/>
    </w:rPr>
  </w:style>
  <w:style w:type="character" w:styleId="41">
    <w:name w:val="Hyperlink"/>
    <w:basedOn w:val="37"/>
    <w:qFormat/>
    <w:uiPriority w:val="99"/>
    <w:rPr>
      <w:color w:val="0000FF"/>
      <w:spacing w:val="0"/>
      <w:w w:val="100"/>
      <w:szCs w:val="21"/>
      <w:u w:val="single"/>
    </w:rPr>
  </w:style>
  <w:style w:type="character" w:styleId="42">
    <w:name w:val="annotation reference"/>
    <w:basedOn w:val="37"/>
    <w:qFormat/>
    <w:uiPriority w:val="0"/>
    <w:rPr>
      <w:sz w:val="21"/>
      <w:szCs w:val="21"/>
    </w:rPr>
  </w:style>
  <w:style w:type="character" w:styleId="43">
    <w:name w:val="footnote reference"/>
    <w:semiHidden/>
    <w:qFormat/>
    <w:uiPriority w:val="0"/>
    <w:rPr>
      <w:vertAlign w:val="superscript"/>
    </w:rPr>
  </w:style>
  <w:style w:type="character" w:customStyle="1" w:styleId="44">
    <w:name w:val="段 Char"/>
    <w:link w:val="25"/>
    <w:qFormat/>
    <w:uiPriority w:val="0"/>
    <w:rPr>
      <w:rFonts w:ascii="宋体"/>
      <w:sz w:val="21"/>
      <w:lang w:val="en-US" w:eastAsia="zh-CN" w:bidi="ar-SA"/>
    </w:rPr>
  </w:style>
  <w:style w:type="paragraph" w:customStyle="1" w:styleId="45">
    <w:name w:val="一级条标题"/>
    <w:next w:val="25"/>
    <w:qFormat/>
    <w:uiPriority w:val="0"/>
    <w:pPr>
      <w:numPr>
        <w:ilvl w:val="1"/>
        <w:numId w:val="2"/>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46">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7">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48">
    <w:name w:val="章标题"/>
    <w:next w:val="25"/>
    <w:qFormat/>
    <w:uiPriority w:val="0"/>
    <w:pPr>
      <w:numPr>
        <w:ilvl w:val="0"/>
        <w:numId w:val="2"/>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49">
    <w:name w:val="二级条标题"/>
    <w:basedOn w:val="45"/>
    <w:next w:val="25"/>
    <w:qFormat/>
    <w:uiPriority w:val="0"/>
    <w:pPr>
      <w:numPr>
        <w:ilvl w:val="2"/>
      </w:numPr>
      <w:spacing w:before="50" w:after="50"/>
      <w:outlineLvl w:val="3"/>
    </w:pPr>
  </w:style>
  <w:style w:type="paragraph" w:customStyle="1" w:styleId="50">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1">
    <w:name w:val="列项——（一级）"/>
    <w:qFormat/>
    <w:uiPriority w:val="0"/>
    <w:pPr>
      <w:widowControl w:val="0"/>
      <w:numPr>
        <w:ilvl w:val="0"/>
        <w:numId w:val="3"/>
      </w:numPr>
      <w:jc w:val="both"/>
    </w:pPr>
    <w:rPr>
      <w:rFonts w:ascii="宋体" w:hAnsi="Times New Roman" w:eastAsia="宋体" w:cs="Times New Roman"/>
      <w:sz w:val="21"/>
      <w:lang w:val="en-US" w:eastAsia="zh-CN" w:bidi="ar-SA"/>
    </w:rPr>
  </w:style>
  <w:style w:type="paragraph" w:customStyle="1" w:styleId="52">
    <w:name w:val="列项●（二级）"/>
    <w:qFormat/>
    <w:uiPriority w:val="0"/>
    <w:pPr>
      <w:numPr>
        <w:ilvl w:val="1"/>
        <w:numId w:val="3"/>
      </w:numPr>
      <w:tabs>
        <w:tab w:val="left" w:pos="840"/>
      </w:tabs>
      <w:jc w:val="both"/>
    </w:pPr>
    <w:rPr>
      <w:rFonts w:ascii="宋体" w:hAnsi="Times New Roman" w:eastAsia="宋体" w:cs="Times New Roman"/>
      <w:sz w:val="21"/>
      <w:lang w:val="en-US" w:eastAsia="zh-CN" w:bidi="ar-SA"/>
    </w:rPr>
  </w:style>
  <w:style w:type="paragraph" w:customStyle="1" w:styleId="53">
    <w:name w:val="目次、标准名称标题"/>
    <w:basedOn w:val="1"/>
    <w:next w:val="25"/>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4">
    <w:name w:val="三级条标题"/>
    <w:basedOn w:val="49"/>
    <w:next w:val="25"/>
    <w:qFormat/>
    <w:uiPriority w:val="0"/>
    <w:pPr>
      <w:numPr>
        <w:ilvl w:val="0"/>
        <w:numId w:val="0"/>
      </w:numPr>
      <w:outlineLvl w:val="4"/>
    </w:pPr>
  </w:style>
  <w:style w:type="paragraph" w:customStyle="1" w:styleId="55">
    <w:name w:val="示例"/>
    <w:next w:val="56"/>
    <w:qFormat/>
    <w:uiPriority w:val="0"/>
    <w:pPr>
      <w:widowControl w:val="0"/>
      <w:numPr>
        <w:ilvl w:val="0"/>
        <w:numId w:val="4"/>
      </w:numPr>
      <w:jc w:val="both"/>
    </w:pPr>
    <w:rPr>
      <w:rFonts w:ascii="宋体" w:hAnsi="Times New Roman" w:eastAsia="宋体" w:cs="Times New Roman"/>
      <w:sz w:val="18"/>
      <w:szCs w:val="18"/>
      <w:lang w:val="en-US" w:eastAsia="zh-CN" w:bidi="ar-SA"/>
    </w:rPr>
  </w:style>
  <w:style w:type="paragraph" w:customStyle="1" w:styleId="56">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7">
    <w:name w:val="数字编号列项（二级）"/>
    <w:qFormat/>
    <w:uiPriority w:val="0"/>
    <w:pPr>
      <w:numPr>
        <w:ilvl w:val="1"/>
        <w:numId w:val="5"/>
      </w:numPr>
      <w:jc w:val="both"/>
    </w:pPr>
    <w:rPr>
      <w:rFonts w:ascii="宋体" w:hAnsi="Times New Roman" w:eastAsia="宋体" w:cs="Times New Roman"/>
      <w:sz w:val="21"/>
      <w:lang w:val="en-US" w:eastAsia="zh-CN" w:bidi="ar-SA"/>
    </w:rPr>
  </w:style>
  <w:style w:type="paragraph" w:customStyle="1" w:styleId="58">
    <w:name w:val="四级条标题"/>
    <w:basedOn w:val="54"/>
    <w:next w:val="25"/>
    <w:qFormat/>
    <w:uiPriority w:val="0"/>
    <w:pPr>
      <w:numPr>
        <w:ilvl w:val="4"/>
        <w:numId w:val="2"/>
      </w:numPr>
      <w:outlineLvl w:val="5"/>
    </w:pPr>
  </w:style>
  <w:style w:type="paragraph" w:customStyle="1" w:styleId="59">
    <w:name w:val="五级条标题"/>
    <w:basedOn w:val="58"/>
    <w:next w:val="25"/>
    <w:qFormat/>
    <w:uiPriority w:val="0"/>
    <w:pPr>
      <w:numPr>
        <w:ilvl w:val="5"/>
      </w:numPr>
      <w:outlineLvl w:val="6"/>
    </w:pPr>
  </w:style>
  <w:style w:type="paragraph" w:customStyle="1" w:styleId="60">
    <w:name w:val="注："/>
    <w:next w:val="25"/>
    <w:qFormat/>
    <w:uiPriority w:val="0"/>
    <w:pPr>
      <w:widowControl w:val="0"/>
      <w:numPr>
        <w:ilvl w:val="0"/>
        <w:numId w:val="6"/>
      </w:numPr>
      <w:autoSpaceDE w:val="0"/>
      <w:autoSpaceDN w:val="0"/>
      <w:jc w:val="both"/>
    </w:pPr>
    <w:rPr>
      <w:rFonts w:ascii="宋体" w:hAnsi="Times New Roman" w:eastAsia="宋体" w:cs="Times New Roman"/>
      <w:sz w:val="18"/>
      <w:szCs w:val="18"/>
      <w:lang w:val="en-US" w:eastAsia="zh-CN" w:bidi="ar-SA"/>
    </w:rPr>
  </w:style>
  <w:style w:type="paragraph" w:customStyle="1" w:styleId="61">
    <w:name w:val="注×："/>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62">
    <w:name w:val="字母编号列项（一级）"/>
    <w:qFormat/>
    <w:uiPriority w:val="0"/>
    <w:pPr>
      <w:numPr>
        <w:ilvl w:val="0"/>
        <w:numId w:val="5"/>
      </w:numPr>
      <w:jc w:val="both"/>
    </w:pPr>
    <w:rPr>
      <w:rFonts w:ascii="宋体" w:hAnsi="Times New Roman" w:eastAsia="宋体" w:cs="Times New Roman"/>
      <w:sz w:val="21"/>
      <w:lang w:val="en-US" w:eastAsia="zh-CN" w:bidi="ar-SA"/>
    </w:rPr>
  </w:style>
  <w:style w:type="paragraph" w:customStyle="1" w:styleId="63">
    <w:name w:val="列项◆（三级）"/>
    <w:basedOn w:val="1"/>
    <w:qFormat/>
    <w:uiPriority w:val="0"/>
    <w:pPr>
      <w:numPr>
        <w:ilvl w:val="2"/>
        <w:numId w:val="3"/>
      </w:numPr>
    </w:pPr>
    <w:rPr>
      <w:rFonts w:ascii="宋体"/>
      <w:szCs w:val="21"/>
    </w:rPr>
  </w:style>
  <w:style w:type="paragraph" w:customStyle="1" w:styleId="64">
    <w:name w:val="编号列项（三级）"/>
    <w:qFormat/>
    <w:uiPriority w:val="0"/>
    <w:rPr>
      <w:rFonts w:ascii="宋体" w:hAnsi="Times New Roman" w:eastAsia="宋体" w:cs="Times New Roman"/>
      <w:sz w:val="21"/>
      <w:lang w:val="en-US" w:eastAsia="zh-CN" w:bidi="ar-SA"/>
    </w:rPr>
  </w:style>
  <w:style w:type="paragraph" w:customStyle="1" w:styleId="65">
    <w:name w:val="示例×："/>
    <w:basedOn w:val="48"/>
    <w:qFormat/>
    <w:uiPriority w:val="0"/>
    <w:pPr>
      <w:numPr>
        <w:numId w:val="8"/>
      </w:numPr>
      <w:spacing w:before="0" w:beforeLines="0" w:after="0" w:afterLines="0"/>
      <w:outlineLvl w:val="9"/>
    </w:pPr>
    <w:rPr>
      <w:rFonts w:ascii="宋体" w:eastAsia="宋体"/>
      <w:sz w:val="18"/>
      <w:szCs w:val="18"/>
    </w:rPr>
  </w:style>
  <w:style w:type="paragraph" w:customStyle="1" w:styleId="66">
    <w:name w:val="二级无"/>
    <w:basedOn w:val="49"/>
    <w:qFormat/>
    <w:uiPriority w:val="0"/>
    <w:pPr>
      <w:spacing w:before="0" w:beforeLines="0" w:after="0" w:afterLines="0"/>
    </w:pPr>
    <w:rPr>
      <w:rFonts w:ascii="宋体" w:eastAsia="宋体"/>
    </w:rPr>
  </w:style>
  <w:style w:type="paragraph" w:customStyle="1" w:styleId="67">
    <w:name w:val="注：（正文）"/>
    <w:basedOn w:val="60"/>
    <w:next w:val="25"/>
    <w:qFormat/>
    <w:uiPriority w:val="0"/>
    <w:pPr>
      <w:numPr>
        <w:ilvl w:val="0"/>
        <w:numId w:val="9"/>
      </w:numPr>
    </w:pPr>
  </w:style>
  <w:style w:type="paragraph" w:customStyle="1" w:styleId="68">
    <w:name w:val="注×：（正文）"/>
    <w:qFormat/>
    <w:uiPriority w:val="0"/>
    <w:pPr>
      <w:numPr>
        <w:ilvl w:val="0"/>
        <w:numId w:val="10"/>
      </w:numPr>
      <w:jc w:val="both"/>
    </w:pPr>
    <w:rPr>
      <w:rFonts w:ascii="宋体" w:hAnsi="Times New Roman" w:eastAsia="宋体" w:cs="Times New Roman"/>
      <w:sz w:val="18"/>
      <w:szCs w:val="18"/>
      <w:lang w:val="en-US" w:eastAsia="zh-CN" w:bidi="ar-SA"/>
    </w:rPr>
  </w:style>
  <w:style w:type="paragraph" w:customStyle="1" w:styleId="69">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70">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1">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72">
    <w:name w:val="标准书眉_偶数页"/>
    <w:basedOn w:val="47"/>
    <w:next w:val="1"/>
    <w:qFormat/>
    <w:uiPriority w:val="0"/>
    <w:pPr>
      <w:jc w:val="left"/>
    </w:pPr>
  </w:style>
  <w:style w:type="paragraph" w:customStyle="1" w:styleId="73">
    <w:name w:val="标准书眉一"/>
    <w:qFormat/>
    <w:uiPriority w:val="0"/>
    <w:pPr>
      <w:jc w:val="both"/>
    </w:pPr>
    <w:rPr>
      <w:rFonts w:ascii="Times New Roman" w:hAnsi="Times New Roman" w:eastAsia="宋体" w:cs="Times New Roman"/>
      <w:lang w:val="en-US" w:eastAsia="zh-CN" w:bidi="ar-SA"/>
    </w:rPr>
  </w:style>
  <w:style w:type="paragraph" w:customStyle="1" w:styleId="74">
    <w:name w:val="参考文献"/>
    <w:basedOn w:val="1"/>
    <w:next w:val="25"/>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5">
    <w:name w:val="参考文献、索引标题"/>
    <w:basedOn w:val="1"/>
    <w:next w:val="25"/>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6">
    <w:name w:val="发布"/>
    <w:qFormat/>
    <w:uiPriority w:val="0"/>
    <w:rPr>
      <w:rFonts w:ascii="黑体" w:eastAsia="黑体"/>
      <w:spacing w:val="85"/>
      <w:w w:val="100"/>
      <w:position w:val="3"/>
      <w:sz w:val="28"/>
      <w:szCs w:val="28"/>
    </w:rPr>
  </w:style>
  <w:style w:type="paragraph" w:customStyle="1" w:styleId="77">
    <w:name w:val="发布部门"/>
    <w:next w:val="25"/>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78">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79">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0">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1">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2">
    <w:name w:val="封面标准英文名称"/>
    <w:basedOn w:val="81"/>
    <w:qFormat/>
    <w:uiPriority w:val="0"/>
    <w:pPr>
      <w:framePr w:wrap="around"/>
      <w:spacing w:before="370" w:line="400" w:lineRule="exact"/>
    </w:pPr>
    <w:rPr>
      <w:rFonts w:ascii="Times New Roman"/>
      <w:sz w:val="28"/>
      <w:szCs w:val="28"/>
    </w:rPr>
  </w:style>
  <w:style w:type="paragraph" w:customStyle="1" w:styleId="83">
    <w:name w:val="封面一致性程度标识"/>
    <w:basedOn w:val="82"/>
    <w:qFormat/>
    <w:uiPriority w:val="0"/>
    <w:pPr>
      <w:framePr w:wrap="around"/>
      <w:spacing w:before="440"/>
    </w:pPr>
    <w:rPr>
      <w:rFonts w:ascii="宋体" w:eastAsia="宋体"/>
    </w:rPr>
  </w:style>
  <w:style w:type="paragraph" w:customStyle="1" w:styleId="84">
    <w:name w:val="封面标准文稿类别"/>
    <w:basedOn w:val="83"/>
    <w:qFormat/>
    <w:uiPriority w:val="0"/>
    <w:pPr>
      <w:framePr w:wrap="around"/>
      <w:spacing w:after="160" w:line="240" w:lineRule="auto"/>
    </w:pPr>
    <w:rPr>
      <w:sz w:val="24"/>
    </w:rPr>
  </w:style>
  <w:style w:type="paragraph" w:customStyle="1" w:styleId="85">
    <w:name w:val="封面标准文稿编辑信息"/>
    <w:basedOn w:val="84"/>
    <w:qFormat/>
    <w:uiPriority w:val="0"/>
    <w:pPr>
      <w:framePr w:wrap="around"/>
      <w:spacing w:before="180" w:line="180" w:lineRule="exact"/>
    </w:pPr>
    <w:rPr>
      <w:sz w:val="21"/>
    </w:rPr>
  </w:style>
  <w:style w:type="paragraph" w:customStyle="1" w:styleId="86">
    <w:name w:val="封面正文"/>
    <w:qFormat/>
    <w:uiPriority w:val="0"/>
    <w:pPr>
      <w:jc w:val="both"/>
    </w:pPr>
    <w:rPr>
      <w:rFonts w:ascii="Times New Roman" w:hAnsi="Times New Roman" w:eastAsia="宋体" w:cs="Times New Roman"/>
      <w:lang w:val="en-US" w:eastAsia="zh-CN" w:bidi="ar-SA"/>
    </w:rPr>
  </w:style>
  <w:style w:type="paragraph" w:customStyle="1" w:styleId="87">
    <w:name w:val="附录标识"/>
    <w:basedOn w:val="1"/>
    <w:next w:val="25"/>
    <w:qFormat/>
    <w:uiPriority w:val="0"/>
    <w:pPr>
      <w:keepNext/>
      <w:widowControl/>
      <w:numPr>
        <w:ilvl w:val="0"/>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88">
    <w:name w:val="附录标题"/>
    <w:basedOn w:val="25"/>
    <w:next w:val="25"/>
    <w:qFormat/>
    <w:uiPriority w:val="0"/>
    <w:pPr>
      <w:ind w:firstLine="0" w:firstLineChars="0"/>
      <w:jc w:val="center"/>
    </w:pPr>
    <w:rPr>
      <w:rFonts w:ascii="黑体" w:eastAsia="黑体"/>
    </w:rPr>
  </w:style>
  <w:style w:type="paragraph" w:customStyle="1" w:styleId="89">
    <w:name w:val="附录表标号"/>
    <w:basedOn w:val="1"/>
    <w:next w:val="25"/>
    <w:qFormat/>
    <w:uiPriority w:val="0"/>
    <w:pPr>
      <w:numPr>
        <w:ilvl w:val="0"/>
        <w:numId w:val="12"/>
      </w:numPr>
      <w:tabs>
        <w:tab w:val="clear" w:pos="0"/>
      </w:tabs>
      <w:spacing w:line="14" w:lineRule="exact"/>
      <w:ind w:left="811" w:hanging="448"/>
      <w:jc w:val="center"/>
      <w:outlineLvl w:val="0"/>
    </w:pPr>
    <w:rPr>
      <w:color w:val="FFFFFF"/>
    </w:rPr>
  </w:style>
  <w:style w:type="paragraph" w:customStyle="1" w:styleId="90">
    <w:name w:val="附录表标题"/>
    <w:basedOn w:val="1"/>
    <w:next w:val="25"/>
    <w:qFormat/>
    <w:uiPriority w:val="0"/>
    <w:pPr>
      <w:numPr>
        <w:ilvl w:val="1"/>
        <w:numId w:val="12"/>
      </w:numPr>
      <w:tabs>
        <w:tab w:val="left" w:pos="0"/>
        <w:tab w:val="left" w:pos="180"/>
      </w:tabs>
      <w:spacing w:before="50" w:beforeLines="50" w:after="50" w:afterLines="50"/>
      <w:jc w:val="center"/>
    </w:pPr>
    <w:rPr>
      <w:rFonts w:ascii="黑体" w:eastAsia="黑体"/>
      <w:szCs w:val="21"/>
    </w:rPr>
  </w:style>
  <w:style w:type="paragraph" w:customStyle="1" w:styleId="91">
    <w:name w:val="附录二级条标题"/>
    <w:basedOn w:val="1"/>
    <w:next w:val="25"/>
    <w:qFormat/>
    <w:uiPriority w:val="0"/>
    <w:pPr>
      <w:widowControl/>
      <w:numPr>
        <w:ilvl w:val="3"/>
        <w:numId w:val="11"/>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92">
    <w:name w:val="附录二级无"/>
    <w:basedOn w:val="91"/>
    <w:qFormat/>
    <w:uiPriority w:val="0"/>
    <w:pPr>
      <w:tabs>
        <w:tab w:val="clear" w:pos="360"/>
      </w:tabs>
      <w:spacing w:before="0" w:beforeLines="0" w:after="0" w:afterLines="0"/>
    </w:pPr>
    <w:rPr>
      <w:rFonts w:ascii="宋体" w:eastAsia="宋体"/>
      <w:szCs w:val="21"/>
    </w:rPr>
  </w:style>
  <w:style w:type="paragraph" w:customStyle="1" w:styleId="93">
    <w:name w:val="附录公式"/>
    <w:basedOn w:val="25"/>
    <w:next w:val="25"/>
    <w:link w:val="94"/>
    <w:qFormat/>
    <w:uiPriority w:val="0"/>
  </w:style>
  <w:style w:type="character" w:customStyle="1" w:styleId="94">
    <w:name w:val="附录公式 Char"/>
    <w:basedOn w:val="44"/>
    <w:link w:val="93"/>
    <w:qFormat/>
    <w:uiPriority w:val="0"/>
    <w:rPr>
      <w:rFonts w:ascii="宋体"/>
      <w:sz w:val="21"/>
      <w:lang w:val="en-US" w:eastAsia="zh-CN" w:bidi="ar-SA"/>
    </w:rPr>
  </w:style>
  <w:style w:type="paragraph" w:customStyle="1" w:styleId="95">
    <w:name w:val="附录公式编号制表符"/>
    <w:basedOn w:val="1"/>
    <w:next w:val="25"/>
    <w:qFormat/>
    <w:uiPriority w:val="0"/>
    <w:pPr>
      <w:widowControl/>
      <w:tabs>
        <w:tab w:val="center" w:pos="4201"/>
        <w:tab w:val="right" w:leader="dot" w:pos="9298"/>
      </w:tabs>
      <w:autoSpaceDE w:val="0"/>
      <w:autoSpaceDN w:val="0"/>
    </w:pPr>
    <w:rPr>
      <w:rFonts w:ascii="宋体"/>
      <w:kern w:val="0"/>
      <w:szCs w:val="20"/>
    </w:rPr>
  </w:style>
  <w:style w:type="paragraph" w:customStyle="1" w:styleId="96">
    <w:name w:val="附录三级条标题"/>
    <w:basedOn w:val="91"/>
    <w:next w:val="25"/>
    <w:qFormat/>
    <w:uiPriority w:val="0"/>
    <w:pPr>
      <w:numPr>
        <w:ilvl w:val="4"/>
      </w:numPr>
      <w:outlineLvl w:val="4"/>
    </w:pPr>
  </w:style>
  <w:style w:type="paragraph" w:customStyle="1" w:styleId="97">
    <w:name w:val="附录三级无"/>
    <w:basedOn w:val="96"/>
    <w:qFormat/>
    <w:uiPriority w:val="0"/>
    <w:pPr>
      <w:tabs>
        <w:tab w:val="clear" w:pos="360"/>
      </w:tabs>
      <w:spacing w:before="0" w:beforeLines="0" w:after="0" w:afterLines="0"/>
    </w:pPr>
    <w:rPr>
      <w:rFonts w:ascii="宋体" w:eastAsia="宋体"/>
      <w:szCs w:val="21"/>
    </w:rPr>
  </w:style>
  <w:style w:type="paragraph" w:customStyle="1" w:styleId="98">
    <w:name w:val="附录数字编号列项（二级）"/>
    <w:qFormat/>
    <w:uiPriority w:val="0"/>
    <w:pPr>
      <w:numPr>
        <w:ilvl w:val="1"/>
        <w:numId w:val="13"/>
      </w:numPr>
    </w:pPr>
    <w:rPr>
      <w:rFonts w:ascii="宋体" w:hAnsi="Times New Roman" w:eastAsia="宋体" w:cs="Times New Roman"/>
      <w:sz w:val="21"/>
      <w:lang w:val="en-US" w:eastAsia="zh-CN" w:bidi="ar-SA"/>
    </w:rPr>
  </w:style>
  <w:style w:type="paragraph" w:customStyle="1" w:styleId="99">
    <w:name w:val="附录四级条标题"/>
    <w:basedOn w:val="96"/>
    <w:next w:val="25"/>
    <w:qFormat/>
    <w:uiPriority w:val="0"/>
    <w:pPr>
      <w:numPr>
        <w:ilvl w:val="5"/>
      </w:numPr>
      <w:outlineLvl w:val="5"/>
    </w:pPr>
  </w:style>
  <w:style w:type="paragraph" w:customStyle="1" w:styleId="100">
    <w:name w:val="附录四级无"/>
    <w:basedOn w:val="99"/>
    <w:qFormat/>
    <w:uiPriority w:val="0"/>
    <w:pPr>
      <w:tabs>
        <w:tab w:val="clear" w:pos="360"/>
      </w:tabs>
      <w:spacing w:before="0" w:beforeLines="0" w:after="0" w:afterLines="0"/>
    </w:pPr>
    <w:rPr>
      <w:rFonts w:ascii="宋体" w:eastAsia="宋体"/>
      <w:szCs w:val="21"/>
    </w:rPr>
  </w:style>
  <w:style w:type="paragraph" w:customStyle="1" w:styleId="101">
    <w:name w:val="附录图标号"/>
    <w:basedOn w:val="1"/>
    <w:qFormat/>
    <w:uiPriority w:val="0"/>
    <w:pPr>
      <w:keepNext/>
      <w:pageBreakBefore/>
      <w:widowControl/>
      <w:numPr>
        <w:ilvl w:val="0"/>
        <w:numId w:val="14"/>
      </w:numPr>
      <w:spacing w:line="14" w:lineRule="exact"/>
      <w:ind w:left="0" w:firstLine="363"/>
      <w:jc w:val="center"/>
      <w:outlineLvl w:val="0"/>
    </w:pPr>
    <w:rPr>
      <w:color w:val="FFFFFF"/>
    </w:rPr>
  </w:style>
  <w:style w:type="paragraph" w:customStyle="1" w:styleId="102">
    <w:name w:val="附录图标题"/>
    <w:basedOn w:val="1"/>
    <w:next w:val="25"/>
    <w:qFormat/>
    <w:uiPriority w:val="0"/>
    <w:pPr>
      <w:numPr>
        <w:ilvl w:val="1"/>
        <w:numId w:val="14"/>
      </w:numPr>
      <w:tabs>
        <w:tab w:val="left" w:pos="363"/>
      </w:tabs>
      <w:spacing w:before="50" w:beforeLines="50" w:after="50" w:afterLines="50"/>
      <w:ind w:left="0" w:firstLine="0"/>
      <w:jc w:val="center"/>
    </w:pPr>
    <w:rPr>
      <w:rFonts w:ascii="黑体" w:eastAsia="黑体"/>
      <w:szCs w:val="21"/>
    </w:rPr>
  </w:style>
  <w:style w:type="paragraph" w:customStyle="1" w:styleId="103">
    <w:name w:val="附录五级条标题"/>
    <w:basedOn w:val="99"/>
    <w:next w:val="25"/>
    <w:qFormat/>
    <w:uiPriority w:val="0"/>
    <w:pPr>
      <w:numPr>
        <w:ilvl w:val="6"/>
      </w:numPr>
      <w:outlineLvl w:val="6"/>
    </w:pPr>
  </w:style>
  <w:style w:type="paragraph" w:customStyle="1" w:styleId="104">
    <w:name w:val="附录五级无"/>
    <w:basedOn w:val="103"/>
    <w:qFormat/>
    <w:uiPriority w:val="0"/>
    <w:pPr>
      <w:tabs>
        <w:tab w:val="clear" w:pos="360"/>
      </w:tabs>
      <w:spacing w:before="0" w:beforeLines="0" w:after="0" w:afterLines="0"/>
    </w:pPr>
    <w:rPr>
      <w:rFonts w:ascii="宋体" w:eastAsia="宋体"/>
      <w:szCs w:val="21"/>
    </w:rPr>
  </w:style>
  <w:style w:type="paragraph" w:customStyle="1" w:styleId="105">
    <w:name w:val="附录章标题"/>
    <w:next w:val="25"/>
    <w:qFormat/>
    <w:uiPriority w:val="0"/>
    <w:pPr>
      <w:numPr>
        <w:ilvl w:val="1"/>
        <w:numId w:val="11"/>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6">
    <w:name w:val="附录一级条标题"/>
    <w:basedOn w:val="105"/>
    <w:next w:val="25"/>
    <w:qFormat/>
    <w:uiPriority w:val="0"/>
    <w:pPr>
      <w:numPr>
        <w:ilvl w:val="2"/>
      </w:numPr>
      <w:autoSpaceDN w:val="0"/>
      <w:spacing w:before="50" w:beforeLines="50" w:after="50" w:afterLines="50"/>
      <w:outlineLvl w:val="2"/>
    </w:pPr>
  </w:style>
  <w:style w:type="paragraph" w:customStyle="1" w:styleId="107">
    <w:name w:val="附录一级无"/>
    <w:basedOn w:val="106"/>
    <w:qFormat/>
    <w:uiPriority w:val="0"/>
    <w:pPr>
      <w:tabs>
        <w:tab w:val="clear" w:pos="360"/>
      </w:tabs>
      <w:spacing w:before="0" w:beforeLines="0" w:after="0" w:afterLines="0"/>
    </w:pPr>
    <w:rPr>
      <w:rFonts w:ascii="宋体" w:eastAsia="宋体"/>
      <w:szCs w:val="21"/>
    </w:rPr>
  </w:style>
  <w:style w:type="paragraph" w:customStyle="1" w:styleId="108">
    <w:name w:val="附录字母编号列项（一级）"/>
    <w:qFormat/>
    <w:uiPriority w:val="0"/>
    <w:pPr>
      <w:numPr>
        <w:ilvl w:val="0"/>
        <w:numId w:val="13"/>
      </w:numPr>
    </w:pPr>
    <w:rPr>
      <w:rFonts w:ascii="宋体" w:hAnsi="Times New Roman" w:eastAsia="宋体" w:cs="Times New Roman"/>
      <w:sz w:val="21"/>
      <w:lang w:val="en-US" w:eastAsia="zh-CN" w:bidi="ar-SA"/>
    </w:rPr>
  </w:style>
  <w:style w:type="paragraph" w:customStyle="1" w:styleId="109">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10">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12">
    <w:name w:val="其他标准标志"/>
    <w:basedOn w:val="69"/>
    <w:qFormat/>
    <w:uiPriority w:val="0"/>
    <w:pPr>
      <w:framePr w:w="6101" w:wrap="around" w:vAnchor="page" w:hAnchor="page" w:x="4673" w:y="942"/>
    </w:pPr>
    <w:rPr>
      <w:w w:val="130"/>
    </w:rPr>
  </w:style>
  <w:style w:type="paragraph" w:customStyle="1" w:styleId="113">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4">
    <w:name w:val="其他发布部门"/>
    <w:basedOn w:val="77"/>
    <w:qFormat/>
    <w:uiPriority w:val="0"/>
    <w:pPr>
      <w:framePr w:wrap="around" w:y="15310"/>
      <w:spacing w:line="0" w:lineRule="atLeast"/>
    </w:pPr>
    <w:rPr>
      <w:rFonts w:ascii="黑体" w:eastAsia="黑体"/>
      <w:b w:val="0"/>
    </w:rPr>
  </w:style>
  <w:style w:type="paragraph" w:customStyle="1" w:styleId="115">
    <w:name w:val="前言、引言标题"/>
    <w:next w:val="25"/>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6">
    <w:name w:val="三级无"/>
    <w:basedOn w:val="54"/>
    <w:qFormat/>
    <w:uiPriority w:val="0"/>
    <w:pPr>
      <w:spacing w:before="0" w:beforeLines="0" w:after="0" w:afterLines="0"/>
    </w:pPr>
    <w:rPr>
      <w:rFonts w:ascii="宋体" w:eastAsia="宋体"/>
    </w:rPr>
  </w:style>
  <w:style w:type="paragraph" w:customStyle="1" w:styleId="117">
    <w:name w:val="实施日期"/>
    <w:basedOn w:val="78"/>
    <w:qFormat/>
    <w:uiPriority w:val="0"/>
    <w:pPr>
      <w:framePr w:wrap="around" w:vAnchor="page" w:hAnchor="text"/>
      <w:jc w:val="right"/>
    </w:pPr>
  </w:style>
  <w:style w:type="paragraph" w:customStyle="1" w:styleId="118">
    <w:name w:val="示例后文字"/>
    <w:basedOn w:val="25"/>
    <w:next w:val="25"/>
    <w:qFormat/>
    <w:uiPriority w:val="0"/>
    <w:pPr>
      <w:ind w:firstLine="360"/>
    </w:pPr>
    <w:rPr>
      <w:sz w:val="18"/>
    </w:rPr>
  </w:style>
  <w:style w:type="paragraph" w:customStyle="1" w:styleId="119">
    <w:name w:val="首示例"/>
    <w:next w:val="25"/>
    <w:link w:val="120"/>
    <w:qFormat/>
    <w:uiPriority w:val="0"/>
    <w:pPr>
      <w:numPr>
        <w:ilvl w:val="0"/>
        <w:numId w:val="15"/>
      </w:numPr>
      <w:tabs>
        <w:tab w:val="left" w:pos="360"/>
      </w:tabs>
      <w:ind w:firstLine="0"/>
    </w:pPr>
    <w:rPr>
      <w:rFonts w:ascii="宋体" w:hAnsi="宋体" w:eastAsia="宋体" w:cs="Times New Roman"/>
      <w:kern w:val="2"/>
      <w:sz w:val="18"/>
      <w:szCs w:val="18"/>
      <w:lang w:val="en-US" w:eastAsia="zh-CN" w:bidi="ar-SA"/>
    </w:rPr>
  </w:style>
  <w:style w:type="character" w:customStyle="1" w:styleId="120">
    <w:name w:val="首示例 Char"/>
    <w:link w:val="119"/>
    <w:qFormat/>
    <w:uiPriority w:val="0"/>
    <w:rPr>
      <w:rFonts w:ascii="宋体" w:hAnsi="宋体"/>
      <w:kern w:val="2"/>
      <w:sz w:val="18"/>
      <w:szCs w:val="18"/>
    </w:rPr>
  </w:style>
  <w:style w:type="paragraph" w:customStyle="1" w:styleId="121">
    <w:name w:val="四级无"/>
    <w:basedOn w:val="58"/>
    <w:qFormat/>
    <w:uiPriority w:val="0"/>
    <w:pPr>
      <w:spacing w:before="0" w:beforeLines="0" w:after="0" w:afterLines="0"/>
    </w:pPr>
    <w:rPr>
      <w:rFonts w:ascii="宋体" w:eastAsia="宋体"/>
    </w:rPr>
  </w:style>
  <w:style w:type="paragraph" w:customStyle="1" w:styleId="122">
    <w:name w:val="条文脚注"/>
    <w:basedOn w:val="26"/>
    <w:link w:val="155"/>
    <w:qFormat/>
    <w:uiPriority w:val="0"/>
    <w:pPr>
      <w:numPr>
        <w:numId w:val="0"/>
      </w:numPr>
      <w:jc w:val="both"/>
    </w:pPr>
  </w:style>
  <w:style w:type="paragraph" w:customStyle="1" w:styleId="123">
    <w:name w:val="图标脚注说明"/>
    <w:basedOn w:val="25"/>
    <w:qFormat/>
    <w:uiPriority w:val="0"/>
    <w:pPr>
      <w:ind w:left="840" w:hanging="420" w:firstLineChars="0"/>
    </w:pPr>
    <w:rPr>
      <w:sz w:val="18"/>
      <w:szCs w:val="18"/>
    </w:rPr>
  </w:style>
  <w:style w:type="paragraph" w:customStyle="1" w:styleId="124">
    <w:name w:val="图表脚注说明"/>
    <w:basedOn w:val="1"/>
    <w:qFormat/>
    <w:uiPriority w:val="0"/>
    <w:pPr>
      <w:numPr>
        <w:ilvl w:val="0"/>
        <w:numId w:val="16"/>
      </w:numPr>
    </w:pPr>
    <w:rPr>
      <w:rFonts w:ascii="宋体"/>
      <w:sz w:val="18"/>
      <w:szCs w:val="18"/>
    </w:rPr>
  </w:style>
  <w:style w:type="paragraph" w:customStyle="1" w:styleId="125">
    <w:name w:val="图的脚注"/>
    <w:next w:val="25"/>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6">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7">
    <w:name w:val="五级无"/>
    <w:basedOn w:val="59"/>
    <w:qFormat/>
    <w:uiPriority w:val="0"/>
    <w:pPr>
      <w:spacing w:before="0" w:beforeLines="0" w:after="0" w:afterLines="0"/>
    </w:pPr>
    <w:rPr>
      <w:rFonts w:ascii="宋体" w:eastAsia="宋体"/>
    </w:rPr>
  </w:style>
  <w:style w:type="paragraph" w:customStyle="1" w:styleId="128">
    <w:name w:val="一级无"/>
    <w:basedOn w:val="45"/>
    <w:qFormat/>
    <w:uiPriority w:val="0"/>
    <w:pPr>
      <w:spacing w:before="0" w:beforeLines="0" w:after="0" w:afterLines="0"/>
    </w:pPr>
    <w:rPr>
      <w:rFonts w:ascii="宋体" w:eastAsia="宋体"/>
    </w:rPr>
  </w:style>
  <w:style w:type="paragraph" w:customStyle="1" w:styleId="129">
    <w:name w:val="正文表标题"/>
    <w:next w:val="25"/>
    <w:qFormat/>
    <w:uiPriority w:val="0"/>
    <w:pPr>
      <w:numPr>
        <w:ilvl w:val="0"/>
        <w:numId w:val="17"/>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30">
    <w:name w:val="正文公式编号制表符"/>
    <w:basedOn w:val="25"/>
    <w:next w:val="25"/>
    <w:qFormat/>
    <w:uiPriority w:val="0"/>
    <w:pPr>
      <w:ind w:firstLine="0" w:firstLineChars="0"/>
    </w:pPr>
  </w:style>
  <w:style w:type="paragraph" w:customStyle="1" w:styleId="131">
    <w:name w:val="正文图标题"/>
    <w:next w:val="25"/>
    <w:qFormat/>
    <w:uiPriority w:val="0"/>
    <w:pPr>
      <w:numPr>
        <w:ilvl w:val="0"/>
        <w:numId w:val="18"/>
      </w:numPr>
      <w:spacing w:before="156" w:beforeLines="50" w:after="156" w:afterLines="50"/>
      <w:jc w:val="center"/>
    </w:pPr>
    <w:rPr>
      <w:rFonts w:ascii="黑体" w:hAnsi="Times New Roman" w:eastAsia="黑体" w:cs="Times New Roman"/>
      <w:sz w:val="21"/>
      <w:lang w:val="en-US" w:eastAsia="zh-CN" w:bidi="ar-SA"/>
    </w:rPr>
  </w:style>
  <w:style w:type="paragraph" w:customStyle="1" w:styleId="132">
    <w:name w:val="终结线"/>
    <w:basedOn w:val="1"/>
    <w:qFormat/>
    <w:uiPriority w:val="0"/>
    <w:pPr>
      <w:framePr w:hSpace="181" w:vSpace="181" w:wrap="around" w:vAnchor="text" w:hAnchor="margin" w:xAlign="center" w:y="285"/>
    </w:pPr>
  </w:style>
  <w:style w:type="paragraph" w:customStyle="1" w:styleId="133">
    <w:name w:val="其他发布日期"/>
    <w:basedOn w:val="78"/>
    <w:qFormat/>
    <w:uiPriority w:val="0"/>
    <w:pPr>
      <w:framePr w:wrap="around" w:vAnchor="page" w:hAnchor="text" w:x="1419"/>
    </w:pPr>
  </w:style>
  <w:style w:type="paragraph" w:customStyle="1" w:styleId="134">
    <w:name w:val="其他实施日期"/>
    <w:basedOn w:val="117"/>
    <w:qFormat/>
    <w:uiPriority w:val="0"/>
    <w:pPr>
      <w:framePr w:wrap="around"/>
    </w:pPr>
  </w:style>
  <w:style w:type="paragraph" w:customStyle="1" w:styleId="135">
    <w:name w:val="封面标准名称2"/>
    <w:basedOn w:val="81"/>
    <w:qFormat/>
    <w:uiPriority w:val="0"/>
    <w:pPr>
      <w:framePr w:wrap="around" w:y="4469"/>
      <w:spacing w:before="630" w:beforeLines="630"/>
    </w:pPr>
  </w:style>
  <w:style w:type="paragraph" w:customStyle="1" w:styleId="136">
    <w:name w:val="封面标准英文名称2"/>
    <w:basedOn w:val="82"/>
    <w:qFormat/>
    <w:uiPriority w:val="0"/>
    <w:pPr>
      <w:framePr w:wrap="around" w:y="4469"/>
    </w:pPr>
  </w:style>
  <w:style w:type="paragraph" w:customStyle="1" w:styleId="137">
    <w:name w:val="封面一致性程度标识2"/>
    <w:basedOn w:val="83"/>
    <w:qFormat/>
    <w:uiPriority w:val="0"/>
    <w:pPr>
      <w:framePr w:wrap="around" w:y="4469"/>
    </w:pPr>
  </w:style>
  <w:style w:type="paragraph" w:customStyle="1" w:styleId="138">
    <w:name w:val="封面标准文稿类别2"/>
    <w:basedOn w:val="84"/>
    <w:qFormat/>
    <w:uiPriority w:val="0"/>
    <w:pPr>
      <w:framePr w:wrap="around" w:y="4469"/>
    </w:pPr>
  </w:style>
  <w:style w:type="paragraph" w:customStyle="1" w:styleId="139">
    <w:name w:val="封面标准文稿编辑信息2"/>
    <w:basedOn w:val="85"/>
    <w:qFormat/>
    <w:uiPriority w:val="0"/>
    <w:pPr>
      <w:framePr w:wrap="around" w:y="4469"/>
    </w:pPr>
  </w:style>
  <w:style w:type="character" w:customStyle="1" w:styleId="140">
    <w:name w:val="正文文本 字符"/>
    <w:link w:val="11"/>
    <w:qFormat/>
    <w:uiPriority w:val="0"/>
    <w:rPr>
      <w:rFonts w:ascii="宋体" w:hAnsi="宋体" w:cs="宋体"/>
      <w:sz w:val="21"/>
      <w:szCs w:val="21"/>
      <w:lang w:val="zh-CN" w:bidi="zh-CN"/>
    </w:rPr>
  </w:style>
  <w:style w:type="paragraph" w:customStyle="1" w:styleId="141">
    <w:name w:val="Table Paragraph"/>
    <w:basedOn w:val="1"/>
    <w:qFormat/>
    <w:uiPriority w:val="1"/>
    <w:pPr>
      <w:autoSpaceDE w:val="0"/>
      <w:autoSpaceDN w:val="0"/>
      <w:jc w:val="left"/>
    </w:pPr>
    <w:rPr>
      <w:rFonts w:ascii="宋体" w:hAnsi="宋体" w:cs="宋体"/>
      <w:kern w:val="0"/>
      <w:sz w:val="22"/>
      <w:szCs w:val="22"/>
      <w:lang w:val="zh-CN" w:bidi="zh-CN"/>
    </w:rPr>
  </w:style>
  <w:style w:type="table" w:customStyle="1" w:styleId="142">
    <w:name w:val="Table Normal"/>
    <w:semiHidden/>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143">
    <w:name w:val="Default"/>
    <w:qFormat/>
    <w:uiPriority w:val="0"/>
    <w:pPr>
      <w:widowControl w:val="0"/>
      <w:autoSpaceDE w:val="0"/>
      <w:autoSpaceDN w:val="0"/>
      <w:adjustRightInd w:val="0"/>
    </w:pPr>
    <w:rPr>
      <w:rFonts w:ascii="宋体" w:hAnsi="Times New Roman" w:eastAsia="宋体" w:cs="宋体"/>
      <w:lang w:val="en-US" w:eastAsia="zh-CN" w:bidi="ar-SA"/>
    </w:rPr>
  </w:style>
  <w:style w:type="paragraph" w:styleId="144">
    <w:name w:val="List Paragraph"/>
    <w:basedOn w:val="1"/>
    <w:qFormat/>
    <w:uiPriority w:val="34"/>
    <w:pPr>
      <w:ind w:firstLine="420" w:firstLineChars="200"/>
    </w:pPr>
  </w:style>
  <w:style w:type="character" w:customStyle="1" w:styleId="145">
    <w:name w:val="标题 1 字符"/>
    <w:link w:val="3"/>
    <w:qFormat/>
    <w:uiPriority w:val="0"/>
    <w:rPr>
      <w:b/>
      <w:bCs/>
      <w:kern w:val="44"/>
      <w:sz w:val="44"/>
      <w:szCs w:val="44"/>
    </w:rPr>
  </w:style>
  <w:style w:type="paragraph" w:customStyle="1" w:styleId="146">
    <w:name w:val="TOC 标题1"/>
    <w:basedOn w:val="3"/>
    <w:next w:val="1"/>
    <w:unhideWhenUsed/>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character" w:customStyle="1" w:styleId="147">
    <w:name w:val="批注框文本 字符"/>
    <w:link w:val="18"/>
    <w:qFormat/>
    <w:uiPriority w:val="0"/>
    <w:rPr>
      <w:kern w:val="2"/>
      <w:sz w:val="18"/>
      <w:szCs w:val="18"/>
    </w:rPr>
  </w:style>
  <w:style w:type="character" w:styleId="148">
    <w:name w:val="Placeholder Text"/>
    <w:semiHidden/>
    <w:qFormat/>
    <w:uiPriority w:val="99"/>
    <w:rPr>
      <w:color w:val="808080"/>
    </w:rPr>
  </w:style>
  <w:style w:type="character" w:customStyle="1" w:styleId="149">
    <w:name w:val="批注文字 字符"/>
    <w:basedOn w:val="37"/>
    <w:link w:val="9"/>
    <w:qFormat/>
    <w:uiPriority w:val="0"/>
    <w:rPr>
      <w:kern w:val="2"/>
      <w:sz w:val="21"/>
      <w:szCs w:val="24"/>
    </w:rPr>
  </w:style>
  <w:style w:type="character" w:customStyle="1" w:styleId="150">
    <w:name w:val="批注主题 字符"/>
    <w:basedOn w:val="149"/>
    <w:link w:val="34"/>
    <w:qFormat/>
    <w:uiPriority w:val="0"/>
    <w:rPr>
      <w:b/>
      <w:bCs/>
      <w:kern w:val="2"/>
      <w:sz w:val="21"/>
      <w:szCs w:val="24"/>
    </w:rPr>
  </w:style>
  <w:style w:type="paragraph" w:customStyle="1" w:styleId="151">
    <w:name w:val="列出段落2"/>
    <w:basedOn w:val="1"/>
    <w:qFormat/>
    <w:uiPriority w:val="99"/>
    <w:pPr>
      <w:ind w:firstLine="420" w:firstLineChars="200"/>
    </w:pPr>
    <w:rPr>
      <w:rFonts w:ascii="Calibri" w:hAnsi="Calibri" w:cs="黑体"/>
      <w:szCs w:val="22"/>
    </w:rPr>
  </w:style>
  <w:style w:type="paragraph" w:customStyle="1" w:styleId="152">
    <w:name w:val="WPSOffice手动目录 1"/>
    <w:qFormat/>
    <w:uiPriority w:val="0"/>
    <w:rPr>
      <w:rFonts w:ascii="Times New Roman" w:hAnsi="Times New Roman" w:eastAsia="宋体" w:cs="Times New Roman"/>
      <w:lang w:val="en-US" w:eastAsia="zh-CN" w:bidi="ar-SA"/>
    </w:rPr>
  </w:style>
  <w:style w:type="paragraph" w:customStyle="1" w:styleId="15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54">
    <w:name w:val="标准标志TB"/>
    <w:basedOn w:val="1"/>
    <w:qFormat/>
    <w:uiPriority w:val="0"/>
    <w:pPr>
      <w:widowControl/>
      <w:shd w:val="solid" w:color="FFFFFF" w:fill="FFFFFF"/>
      <w:spacing w:line="0" w:lineRule="atLeast"/>
      <w:jc w:val="right"/>
    </w:pPr>
    <w:rPr>
      <w:rFonts w:eastAsia="Arial Unicode MS"/>
      <w:b/>
      <w:w w:val="130"/>
      <w:sz w:val="96"/>
      <w:szCs w:val="20"/>
    </w:rPr>
  </w:style>
  <w:style w:type="character" w:customStyle="1" w:styleId="155">
    <w:name w:val="条文脚注 Char"/>
    <w:link w:val="122"/>
    <w:qFormat/>
    <w:uiPriority w:val="0"/>
  </w:style>
  <w:style w:type="paragraph" w:customStyle="1" w:styleId="156">
    <w:name w:val="Revision"/>
    <w:hidden/>
    <w:semiHidden/>
    <w:uiPriority w:val="99"/>
    <w:rPr>
      <w:rFonts w:ascii="Times New Roman" w:hAnsi="Times New Roman" w:eastAsia="宋体" w:cs="Times New Roman"/>
      <w:kern w:val="2"/>
      <w:sz w:val="21"/>
      <w:szCs w:val="24"/>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microsoft.com/office/2006/relationships/keyMapCustomizations" Target="customizations.xml"/><Relationship Id="rId16" Type="http://schemas.openxmlformats.org/officeDocument/2006/relationships/customXml" Target="../customXml/item2.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542D427-41EF-4033-9560-744783511137}">
  <ds:schemaRefs/>
</ds:datastoreItem>
</file>

<file path=docProps/app.xml><?xml version="1.0" encoding="utf-8"?>
<Properties xmlns="http://schemas.openxmlformats.org/officeDocument/2006/extended-properties" xmlns:vt="http://schemas.openxmlformats.org/officeDocument/2006/docPropsVTypes">
  <Template>Normal.dotm</Template>
  <Company>zle</Company>
  <Pages>38</Pages>
  <Words>8013</Words>
  <Characters>8786</Characters>
  <Lines>212</Lines>
  <Paragraphs>59</Paragraphs>
  <TotalTime>3973</TotalTime>
  <ScaleCrop>false</ScaleCrop>
  <LinksUpToDate>false</LinksUpToDate>
  <CharactersWithSpaces>8998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2022-11-02T03:48:00Z</dcterms:created>
  <dc:creator>CNIS</dc:creator>
  <cp:lastModifiedBy>冷亚玲</cp:lastModifiedBy>
  <cp:lastPrinted>2025-03-19T08:06:00Z</cp:lastPrinted>
  <dcterms:modified xsi:type="dcterms:W3CDTF">2025-06-04T08:56:35Z</dcterms:modified>
  <dc:title>标准名称</dc:title>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6E9C71FF6F3E48CA94AE99053FE474DD</vt:lpwstr>
  </property>
  <property fmtid="{D5CDD505-2E9C-101B-9397-08002B2CF9AE}" pid="4" name="KSOTemplateDocerSaveRecord">
    <vt:lpwstr>eyJoZGlkIjoiMjYzZWRiMTZmMWE3YzFlYjRlNjUxYjMyYmI3NGM2NDciLCJ1c2VySWQiOiI1MDg0NTg2MzgifQ==</vt:lpwstr>
  </property>
</Properties>
</file>