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attachedToolbars.bin" ContentType="application/vnd.ms-word.attachedToolbars"/>
  <Override PartName="/word/customizations.xml" ContentType="application/vnd.ms-word.keyMapCustomization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D0D532A">
      <w:pPr>
        <w:pStyle w:val="128"/>
        <w:framePr w:wrap="around"/>
        <w:rPr>
          <w:rFonts w:hint="default" w:hAnsi="黑体" w:eastAsia="黑体" w:cs="黑体"/>
          <w:highlight w:val="none"/>
          <w:lang w:val="en-US" w:eastAsia="zh-CN"/>
        </w:rPr>
      </w:pPr>
      <w:r>
        <w:rPr>
          <w:rFonts w:hint="eastAsia" w:hAnsi="黑体" w:cs="黑体"/>
          <w:highlight w:val="none"/>
        </w:rPr>
        <w:t>ICS 13.020</w:t>
      </w:r>
      <w:r>
        <w:rPr>
          <w:rFonts w:hint="eastAsia" w:hAnsi="黑体" w:cs="黑体"/>
          <w:highlight w:val="none"/>
          <w:lang w:val="en-US" w:eastAsia="zh-CN"/>
        </w:rPr>
        <w:t>.99</w:t>
      </w:r>
    </w:p>
    <w:p w14:paraId="5B7DF377">
      <w:pPr>
        <w:pStyle w:val="128"/>
        <w:framePr w:wrap="around"/>
        <w:rPr>
          <w:rFonts w:ascii="Times New Roman"/>
          <w:highlight w:val="none"/>
        </w:rPr>
      </w:pPr>
      <w:r>
        <w:rPr>
          <w:rFonts w:hint="eastAsia" w:hAnsi="黑体" w:cs="黑体"/>
          <w:highlight w:val="none"/>
        </w:rPr>
        <w:t>CCS Z 00</w:t>
      </w:r>
    </w:p>
    <w:tbl>
      <w:tblPr>
        <w:tblStyle w:val="36"/>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9570"/>
      </w:tblGrid>
      <w:tr w14:paraId="40FF8A7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4" w:type="dxa"/>
            <w:tcBorders>
              <w:top w:val="nil"/>
              <w:left w:val="nil"/>
              <w:bottom w:val="nil"/>
              <w:right w:val="nil"/>
            </w:tcBorders>
          </w:tcPr>
          <w:p w14:paraId="1FC15CCC">
            <w:pPr>
              <w:pStyle w:val="128"/>
              <w:keepNext w:val="0"/>
              <w:keepLines w:val="0"/>
              <w:framePr w:wrap="around"/>
              <w:suppressLineNumbers w:val="0"/>
              <w:spacing w:before="0" w:beforeAutospacing="0" w:after="0" w:afterAutospacing="0"/>
              <w:ind w:left="0" w:right="0"/>
              <w:rPr>
                <w:rFonts w:hint="default" w:ascii="Times New Roman"/>
                <w:highlight w:val="none"/>
              </w:rPr>
            </w:pPr>
          </w:p>
        </w:tc>
      </w:tr>
    </w:tbl>
    <w:p w14:paraId="4D390343">
      <w:pPr>
        <w:pStyle w:val="115"/>
        <w:framePr w:wrap="around"/>
        <w:rPr>
          <w:rFonts w:ascii="Times New Roman" w:hAnsi="Times New Roman"/>
          <w:highlight w:val="none"/>
        </w:rPr>
      </w:pPr>
      <w:r>
        <w:rPr>
          <w:rFonts w:hint="eastAsia" w:ascii="Times New Roman" w:hAnsi="Times New Roman"/>
          <w:highlight w:val="none"/>
        </w:rPr>
        <w:t>团体标准</w:t>
      </w:r>
    </w:p>
    <w:p w14:paraId="74DECCF1">
      <w:pPr>
        <w:pStyle w:val="83"/>
        <w:framePr w:w="9638" w:h="6916" w:hRule="exact" w:wrap="around" w:y="6407"/>
        <w:rPr>
          <w:rFonts w:ascii="Times New Roman"/>
          <w:highlight w:val="none"/>
        </w:rPr>
      </w:pPr>
      <w:r>
        <w:rPr>
          <w:rFonts w:ascii="Times New Roman"/>
          <w:highlight w:val="none"/>
        </w:rPr>
        <w:t>绿色</w:t>
      </w:r>
      <w:r>
        <w:rPr>
          <w:rFonts w:hint="eastAsia" w:ascii="Times New Roman"/>
          <w:highlight w:val="none"/>
          <w:lang w:val="en-US" w:eastAsia="zh-CN"/>
        </w:rPr>
        <w:t>低碳</w:t>
      </w:r>
      <w:r>
        <w:rPr>
          <w:rFonts w:ascii="Times New Roman"/>
          <w:highlight w:val="none"/>
        </w:rPr>
        <w:t>产业认定行业技术规范</w:t>
      </w:r>
    </w:p>
    <w:p w14:paraId="538E5E9A">
      <w:pPr>
        <w:pStyle w:val="83"/>
        <w:framePr w:w="9638" w:h="6916" w:hRule="exact" w:wrap="around" w:y="6407"/>
        <w:rPr>
          <w:rFonts w:hint="default" w:ascii="Times New Roman" w:eastAsia="黑体"/>
          <w:sz w:val="44"/>
          <w:szCs w:val="44"/>
          <w:highlight w:val="none"/>
          <w:lang w:val="en-US" w:eastAsia="zh-CN"/>
        </w:rPr>
      </w:pPr>
      <w:r>
        <w:rPr>
          <w:rFonts w:hint="eastAsia" w:ascii="Times New Roman"/>
          <w:highlight w:val="none"/>
          <w:lang w:val="en-US" w:eastAsia="zh-CN"/>
        </w:rPr>
        <w:t>温室气体控制</w:t>
      </w:r>
    </w:p>
    <w:p w14:paraId="497637AF">
      <w:pPr>
        <w:pStyle w:val="84"/>
        <w:framePr w:w="9638" w:h="6916" w:hRule="exact" w:wrap="around" w:y="6407"/>
        <w:rPr>
          <w:rFonts w:hint="eastAsia" w:ascii="黑体" w:hAnsi="黑体" w:cs="黑体"/>
          <w:spacing w:val="-23"/>
          <w:highlight w:val="none"/>
        </w:rPr>
      </w:pPr>
      <w:r>
        <w:rPr>
          <w:rFonts w:hint="eastAsia" w:ascii="黑体" w:hAnsi="黑体" w:cs="黑体"/>
          <w:spacing w:val="-23"/>
          <w:highlight w:val="none"/>
        </w:rPr>
        <w:t xml:space="preserve">Technical specifications of green and </w:t>
      </w:r>
      <w:r>
        <w:rPr>
          <w:rFonts w:hint="eastAsia" w:ascii="黑体" w:hAnsi="黑体" w:cs="黑体"/>
          <w:spacing w:val="-23"/>
          <w:highlight w:val="none"/>
          <w:lang w:val="en-US" w:eastAsia="zh-CN"/>
        </w:rPr>
        <w:t>l</w:t>
      </w:r>
      <w:r>
        <w:rPr>
          <w:rFonts w:hint="eastAsia" w:ascii="黑体" w:hAnsi="黑体" w:cs="黑体"/>
          <w:spacing w:val="-23"/>
          <w:highlight w:val="none"/>
        </w:rPr>
        <w:t>ow-carbon industries  identification</w:t>
      </w:r>
    </w:p>
    <w:p w14:paraId="2E314314">
      <w:pPr>
        <w:pStyle w:val="84"/>
        <w:framePr w:w="9638" w:h="6916" w:hRule="exact" w:wrap="around" w:y="6407"/>
        <w:rPr>
          <w:highlight w:val="none"/>
        </w:rPr>
      </w:pPr>
      <w:r>
        <w:rPr>
          <w:rFonts w:hint="eastAsia" w:ascii="黑体" w:hAnsi="黑体" w:cs="黑体"/>
          <w:highlight w:val="none"/>
        </w:rPr>
        <w:t>—Greenhouse gas control</w:t>
      </w:r>
    </w:p>
    <w:tbl>
      <w:tblPr>
        <w:tblStyle w:val="36"/>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9854"/>
      </w:tblGrid>
      <w:tr w14:paraId="0D4AD49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5" w:type="dxa"/>
            <w:tcBorders>
              <w:top w:val="nil"/>
              <w:left w:val="nil"/>
              <w:bottom w:val="nil"/>
              <w:right w:val="nil"/>
            </w:tcBorders>
          </w:tcPr>
          <w:p w14:paraId="4E28F3A8">
            <w:pPr>
              <w:pStyle w:val="86"/>
              <w:keepNext w:val="0"/>
              <w:keepLines w:val="0"/>
              <w:framePr w:w="9638" w:h="6916" w:hRule="exact" w:wrap="around" w:y="6407"/>
              <w:suppressLineNumbers w:val="0"/>
              <w:spacing w:beforeAutospacing="0" w:afterAutospacing="0"/>
              <w:ind w:left="0" w:right="0" w:firstLine="360"/>
              <w:rPr>
                <w:rFonts w:hint="default" w:ascii="Times New Roman"/>
                <w:highlight w:val="none"/>
              </w:rPr>
            </w:pPr>
          </w:p>
        </w:tc>
      </w:tr>
      <w:tr w14:paraId="60E8B84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5" w:type="dxa"/>
            <w:tcBorders>
              <w:top w:val="nil"/>
              <w:left w:val="nil"/>
              <w:bottom w:val="nil"/>
              <w:right w:val="nil"/>
            </w:tcBorders>
          </w:tcPr>
          <w:p w14:paraId="631491A6">
            <w:pPr>
              <w:pStyle w:val="87"/>
              <w:keepNext w:val="0"/>
              <w:keepLines w:val="0"/>
              <w:framePr w:w="9638" w:h="6916" w:hRule="exact" w:wrap="around" w:y="6407"/>
              <w:suppressLineNumbers w:val="0"/>
              <w:spacing w:beforeAutospacing="0" w:afterAutospacing="0"/>
              <w:ind w:left="0" w:right="0"/>
              <w:rPr>
                <w:rFonts w:hint="default" w:ascii="Times New Roman"/>
                <w:highlight w:val="none"/>
              </w:rPr>
            </w:pPr>
            <w:r>
              <w:rPr>
                <w:rFonts w:hint="default" w:ascii="Times New Roman"/>
                <w:highlight w:val="none"/>
              </w:rPr>
              <mc:AlternateContent>
                <mc:Choice Requires="wps">
                  <w:drawing>
                    <wp:anchor distT="0" distB="0" distL="114300" distR="114300" simplePos="0" relativeHeight="251660288" behindDoc="1" locked="1" layoutInCell="1" allowOverlap="1">
                      <wp:simplePos x="0" y="0"/>
                      <wp:positionH relativeFrom="column">
                        <wp:posOffset>2200910</wp:posOffset>
                      </wp:positionH>
                      <wp:positionV relativeFrom="paragraph">
                        <wp:posOffset>308610</wp:posOffset>
                      </wp:positionV>
                      <wp:extent cx="1905000" cy="254000"/>
                      <wp:effectExtent l="0" t="0" r="3175" b="3175"/>
                      <wp:wrapNone/>
                      <wp:docPr id="7" name="RQ"/>
                      <wp:cNvGraphicFramePr/>
                      <a:graphic xmlns:a="http://schemas.openxmlformats.org/drawingml/2006/main">
                        <a:graphicData uri="http://schemas.microsoft.com/office/word/2010/wordprocessingShape">
                          <wps:wsp>
                            <wps:cNvSpPr>
                              <a:spLocks noChangeArrowheads="1"/>
                            </wps:cNvSpPr>
                            <wps:spPr bwMode="auto">
                              <a:xfrm>
                                <a:off x="0" y="0"/>
                                <a:ext cx="1905000" cy="254000"/>
                              </a:xfrm>
                              <a:prstGeom prst="rect">
                                <a:avLst/>
                              </a:prstGeom>
                              <a:solidFill>
                                <a:srgbClr val="FFFFFF"/>
                              </a:solidFill>
                              <a:ln>
                                <a:noFill/>
                              </a:ln>
                            </wps:spPr>
                            <wps:txbx>
                              <w:txbxContent>
                                <w:p w14:paraId="5ABBDDE3">
                                  <w:pPr>
                                    <w:jc w:val="center"/>
                                  </w:pPr>
                                </w:p>
                              </w:txbxContent>
                            </wps:txbx>
                            <wps:bodyPr rot="0" vert="horz" wrap="square" lIns="91440" tIns="45720" rIns="91440" bIns="45720" anchor="t" anchorCtr="0" upright="1">
                              <a:noAutofit/>
                            </wps:bodyPr>
                          </wps:wsp>
                        </a:graphicData>
                      </a:graphic>
                    </wp:anchor>
                  </w:drawing>
                </mc:Choice>
                <mc:Fallback>
                  <w:pict>
                    <v:rect id="RQ" o:spid="_x0000_s1026" o:spt="1" style="position:absolute;left:0pt;margin-left:173.3pt;margin-top:24.3pt;height:20pt;width:150pt;z-index:-251656192;mso-width-relative:page;mso-height-relative:page;" fillcolor="#FFFFFF" filled="t" stroked="f" coordsize="21600,21600" o:gfxdata="UEsDBAoAAAAAAIdO4kAAAAAAAAAAAAAAAAAEAAAAZHJzL1BLAwQUAAAACACHTuJAuXdte9UAAAAJ&#10;AQAADwAAAGRycy9kb3ducmV2LnhtbE2PMU/DMBCFdyT+g3VIbNQuDVYIcTogdQIGWiTWa3xNImI7&#10;xE6b/vseLDCd7r2nd9+V69n14khj7II3sFwoEOTrYDvfGPjYbe5yEDGht9gHTwbOFGFdXV+VWNhw&#10;8u903KZGcImPBRpoUxoKKWPdksO4CAN59g5hdJh4HRtpRzxxuevlvVJaOuw8X2hxoOeW6q/t5Ayg&#10;zuz322H1unuZND42s9o8fCpjbm+W6glEojn9heEHn9GhYqZ9mLyNojewyrTmqIEs58kB/SvsDeQs&#10;yKqU/z+oLlBLAwQUAAAACACHTuJAg5CFFg4CAAArBAAADgAAAGRycy9lMm9Eb2MueG1srVPBbtsw&#10;DL0P2D8Iui+2g2RdjThFkSDDgG5r1+0DZFm2hdmiRimxs68fJadp1l16mA8GKZJPfI/U6mbsO3ZQ&#10;6DSYgmezlDNlJFTaNAX/8X337gNnzgtTiQ6MKvhROX6zfvtmNdhczaGFrlLICMS4fLAFb723eZI4&#10;2apeuBlYZShYA/bCk4tNUqEYCL3vknmavk8GwMoiSOUcnW6nID8h4msAoa61VFuQ+14ZP6Gi6oQn&#10;Sq7V1vF17LaulfRf69opz7qCE1Mf/3QJ2WX4J+uVyBsUttXy1IJ4TQsvOPVCG7r0DLUVXrA96n+g&#10;ei0RHNR+JqFPJiJREWKRpS+0eWyFVZELSe3sWXT3/2Dll8M9Ml0V/IozI3oa+LeHoMpgXU7BR3uP&#10;gZezdyB/OmZg0wrTqFtEGFolKuolC/nJXwXBcVTKyuEzVAQq9h6iQGONfQAk6myMczie56BGzyQd&#10;ZtfpMk1pRJJi8+Ui2OEKkT9VW3T+o4KeBaPgSHOO6OJw5/yU+pQSu4dOVzvdddHBptx0yA6CdmIX&#10;vxO6u0zrTEg2EMomxHASaQZmk0J+LEcKBrolVEcijDDtGL0wMlrA35wNtF8Fd7/2AhVn3SdDol1n&#10;i0VYyOgslldzcvAyUl5GhJEEVXDP2WRu/LTEe4u6aemmLPI3cEtC1zpq8NzVqW/aoajiad/Dkl76&#10;Mev5ja//AF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Ll3bXvVAAAACQEAAA8AAAAAAAAAAQAgAAAA&#10;IgAAAGRycy9kb3ducmV2LnhtbFBLAQIUABQAAAAIAIdO4kCDkIUWDgIAACsEAAAOAAAAAAAAAAEA&#10;IAAAACQBAABkcnMvZTJvRG9jLnhtbFBLBQYAAAAABgAGAFkBAACkBQAAAAA=&#10;">
                      <v:fill on="t" focussize="0,0"/>
                      <v:stroke on="f"/>
                      <v:imagedata o:title=""/>
                      <o:lock v:ext="edit" aspectratio="f"/>
                      <v:textbox>
                        <w:txbxContent>
                          <w:p w14:paraId="5ABBDDE3">
                            <w:pPr>
                              <w:jc w:val="center"/>
                            </w:pPr>
                          </w:p>
                        </w:txbxContent>
                      </v:textbox>
                      <w10:anchorlock/>
                    </v:rect>
                  </w:pict>
                </mc:Fallback>
              </mc:AlternateContent>
            </w:r>
          </w:p>
        </w:tc>
      </w:tr>
    </w:tbl>
    <w:p w14:paraId="7EC8C7CC">
      <w:pPr>
        <w:pStyle w:val="135"/>
        <w:framePr w:wrap="around" w:vAnchor="page" w:hAnchor="page" w:x="1418" w:y="14095"/>
        <w:rPr>
          <w:highlight w:val="none"/>
        </w:rPr>
      </w:pPr>
      <w:r>
        <w:rPr>
          <w:rFonts w:hint="eastAsia" w:ascii="黑体" w:hAnsi="黑体" w:cs="黑体"/>
          <w:highlight w:val="none"/>
        </w:rPr>
        <mc:AlternateContent>
          <mc:Choice Requires="wps">
            <w:drawing>
              <wp:anchor distT="0" distB="0" distL="114300" distR="114300" simplePos="0" relativeHeight="251663360" behindDoc="0" locked="0" layoutInCell="1" allowOverlap="1">
                <wp:simplePos x="0" y="0"/>
                <wp:positionH relativeFrom="column">
                  <wp:posOffset>899160</wp:posOffset>
                </wp:positionH>
                <wp:positionV relativeFrom="paragraph">
                  <wp:posOffset>9299575</wp:posOffset>
                </wp:positionV>
                <wp:extent cx="6021705" cy="17145"/>
                <wp:effectExtent l="6350" t="8890" r="10795" b="12065"/>
                <wp:wrapNone/>
                <wp:docPr id="6" name="AutoShape 16"/>
                <wp:cNvGraphicFramePr/>
                <a:graphic xmlns:a="http://schemas.openxmlformats.org/drawingml/2006/main">
                  <a:graphicData uri="http://schemas.microsoft.com/office/word/2010/wordprocessingShape">
                    <wps:wsp>
                      <wps:cNvCnPr>
                        <a:cxnSpLocks noChangeShapeType="1"/>
                      </wps:cNvCnPr>
                      <wps:spPr bwMode="auto">
                        <a:xfrm flipV="1">
                          <a:off x="0" y="0"/>
                          <a:ext cx="6021705" cy="17145"/>
                        </a:xfrm>
                        <a:prstGeom prst="straightConnector1">
                          <a:avLst/>
                        </a:prstGeom>
                        <a:noFill/>
                        <a:ln w="9525">
                          <a:solidFill>
                            <a:srgbClr val="000000"/>
                          </a:solidFill>
                          <a:round/>
                        </a:ln>
                      </wps:spPr>
                      <wps:bodyPr/>
                    </wps:wsp>
                  </a:graphicData>
                </a:graphic>
              </wp:anchor>
            </w:drawing>
          </mc:Choice>
          <mc:Fallback>
            <w:pict>
              <v:shape id="AutoShape 16" o:spid="_x0000_s1026" o:spt="32" type="#_x0000_t32" style="position:absolute;left:0pt;flip:y;margin-left:70.8pt;margin-top:732.25pt;height:1.35pt;width:474.15pt;z-index:251663360;mso-width-relative:page;mso-height-relative:page;" filled="f" stroked="t" coordsize="21600,21600" o:gfxdata="UEsDBAoAAAAAAIdO4kAAAAAAAAAAAAAAAAAEAAAAZHJzL1BLAwQUAAAACACHTuJAxoOfQNkAAAAO&#10;AQAADwAAAGRycy9kb3ducmV2LnhtbE2PwU7DMBBE70j9B2srcaN2qpCmIU4PlUAcUCQK3N14SULj&#10;dYjdpP17HC5w29kdzb7JdxfTsREH11qSEK0EMKTK6pZqCe9vj3cpMOcVadVZQglXdLArFje5yrSd&#10;6BXHg69ZCCGXKQmN933GuasaNMqtbI8Ubp92MMoHOdRcD2oK4abjayESblRL4UOjetw3WJ0OZyPh&#10;mzbXj5iP6VdZ+uTp+aUmLCcpb5eReADm8eL/zDDjB3QoAtPRnkk71gUdR0mwzkMS3wObLSLdboEd&#10;f3ebNfAi5/9rFD9QSwMEFAAAAAgAh07iQAfgUSLfAQAAwQMAAA4AAABkcnMvZTJvRG9jLnhtbK1T&#10;wW7bMAy9D9g/CLovtoMl3Yw4xZCgu3RbgHa7K7JsC5NEQVTi5O9HyWm6dpce5oMgiXzvkU/06vZk&#10;DTuqgBpcw6tZyZlyElrt+ob/fLz78IkzjMK1woBTDT8r5Lfr9+9Wo6/VHAYwrQqMSBzWo2/4EKOv&#10;iwLloKzAGXjlKNhBsCLSMfRFG8RI7NYU87JcFiOE1geQCpFut1OQXxjDWwih67RUW5AHq1ycWIMy&#10;IlJLOGiPfJ2r7Tol44+uQxWZaTh1GvNKIrTfp7VYr0TdB+EHLS8liLeU8KonK7Qj0SvVVkTBDkH/&#10;Q2W1DIDQxZkEW0yNZEeoi6p85c3DILzKvZDV6K+m4/+jld+Pu8B02/AlZ05YevAvhwhZmVXL5M/o&#10;saa0jduF1KE8uQd/D/I3MgebQbhe5ezHsydwlRDFC0g6oCeV/fgNWsoRJJDNOnXBss5o/ysBEzkZ&#10;wk75dc7X11GnyCRdLst5dVMuOJMUq26qj4usJepEk8A+YPyqwLK0aTjGIHQ/xA04R3MAYZIQx3uM&#10;qchnQAI7uNPG5HEwjo0N/7yYL3JNCEa3KZjSMPT7jQnsKNJA5e9SxYu0AAfXTiLGXQxJHkxu7qE9&#10;78KTUfSyuZrLFKbR+fuc0c9/3voP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UQQAAFtDb250ZW50X1R5cGVzXS54bWxQSwECFAAKAAAAAACHTuJA&#10;AAAAAAAAAAAAAAAABgAAAAAAAAAAABAAAAAzAwAAX3JlbHMvUEsBAhQAFAAAAAgAh07iQIoUZjzR&#10;AAAAlAEAAAsAAAAAAAAAAQAgAAAAVwMAAF9yZWxzLy5yZWxzUEsBAhQACgAAAAAAh07iQAAAAAAA&#10;AAAAAAAAAAQAAAAAAAAAAAAQAAAAAAAAAGRycy9QSwECFAAUAAAACACHTuJAxoOfQNkAAAAOAQAA&#10;DwAAAAAAAAABACAAAAAiAAAAZHJzL2Rvd25yZXYueG1sUEsBAhQAFAAAAAgAh07iQAfgUSLfAQAA&#10;wQMAAA4AAAAAAAAAAQAgAAAAKAEAAGRycy9lMm9Eb2MueG1sUEsFBgAAAAAGAAYAWQEAAHkFAAAA&#10;AA==&#10;">
                <v:fill on="f" focussize="0,0"/>
                <v:stroke color="#000000" joinstyle="round"/>
                <v:imagedata o:title=""/>
                <o:lock v:ext="edit" aspectratio="f"/>
              </v:shape>
            </w:pict>
          </mc:Fallback>
        </mc:AlternateContent>
      </w:r>
      <w:r>
        <w:rPr>
          <w:rFonts w:hint="eastAsia" w:ascii="黑体" w:hAnsi="黑体" w:cs="黑体"/>
          <w:highlight w:val="none"/>
        </w:rPr>
        <mc:AlternateContent>
          <mc:Choice Requires="wps">
            <w:drawing>
              <wp:anchor distT="0" distB="0" distL="114300" distR="114300" simplePos="0" relativeHeight="251663360" behindDoc="0" locked="0" layoutInCell="1" allowOverlap="1">
                <wp:simplePos x="0" y="0"/>
                <wp:positionH relativeFrom="column">
                  <wp:posOffset>833120</wp:posOffset>
                </wp:positionH>
                <wp:positionV relativeFrom="paragraph">
                  <wp:posOffset>9251950</wp:posOffset>
                </wp:positionV>
                <wp:extent cx="1056005" cy="0"/>
                <wp:effectExtent l="6985" t="8890" r="13335" b="10160"/>
                <wp:wrapNone/>
                <wp:docPr id="5" name="AutoShape 15"/>
                <wp:cNvGraphicFramePr/>
                <a:graphic xmlns:a="http://schemas.openxmlformats.org/drawingml/2006/main">
                  <a:graphicData uri="http://schemas.microsoft.com/office/word/2010/wordprocessingShape">
                    <wps:wsp>
                      <wps:cNvCnPr>
                        <a:cxnSpLocks noChangeShapeType="1"/>
                      </wps:cNvCnPr>
                      <wps:spPr bwMode="auto">
                        <a:xfrm>
                          <a:off x="0" y="0"/>
                          <a:ext cx="1056005" cy="0"/>
                        </a:xfrm>
                        <a:prstGeom prst="straightConnector1">
                          <a:avLst/>
                        </a:prstGeom>
                        <a:noFill/>
                        <a:ln w="9525">
                          <a:solidFill>
                            <a:srgbClr val="000000"/>
                          </a:solidFill>
                          <a:round/>
                        </a:ln>
                      </wps:spPr>
                      <wps:bodyPr/>
                    </wps:wsp>
                  </a:graphicData>
                </a:graphic>
              </wp:anchor>
            </w:drawing>
          </mc:Choice>
          <mc:Fallback>
            <w:pict>
              <v:shape id="AutoShape 15" o:spid="_x0000_s1026" o:spt="32" type="#_x0000_t32" style="position:absolute;left:0pt;margin-left:65.6pt;margin-top:728.5pt;height:0pt;width:83.15pt;z-index:251663360;mso-width-relative:page;mso-height-relative:page;" filled="f" stroked="t" coordsize="21600,21600" o:gfxdata="UEsDBAoAAAAAAIdO4kAAAAAAAAAAAAAAAAAEAAAAZHJzL1BLAwQUAAAACACHTuJAkt6H4NgAAAAN&#10;AQAADwAAAGRycy9kb3ducmV2LnhtbE2PQU/DMAyF70j8h8hIuyCWtFDGuqbThMSBI9skrllj2rLG&#10;qZp0Hfv1mAOCm5/99Py9Yn12nTjhEFpPGpK5AoFUedtSrWG/e7l7AhGiIWs6T6jhCwOsy+urwuTW&#10;T/SGp22sBYdQyI2GJsY+lzJUDToT5r5H4tuHH5yJLIda2sFMHO46mSr1KJ1piT80psfnBqvjdnQa&#10;MIxZojZLV+9fL9Pte3r5nPqd1rObRK1ARDzHPzP84DM6lMx08CPZIDrW90nKVh4esgW3Yku6XGQg&#10;Dr8rWRbyf4vyG1BLAwQUAAAACACHTuJAAiQoedUBAACzAwAADgAAAGRycy9lMm9Eb2MueG1srVNN&#10;b9swDL0P2H8QdF9sB0ixGXGKIUF36bYA7X6AIsu2MFkUSCVO/v0o5aNdd+lhPgiSSL7H9ygv74+j&#10;EweDZME3spqVUhivobW+b+Sv54dPn6WgqHyrHHjTyJMheb/6+GE5hdrMYQDXGhQM4qmeQiOHGENd&#10;FKQHMyqaQTCegx3gqCIfsS9aVBOjj66Yl+VdMQG2AUEbIr7dnIPygojvAYSus9psQO9H4+MZFY1T&#10;kSXRYAPJVe6264yOP7uOTBSukaw05pVJeL9La7FaqrpHFQarLy2o97TwRtOorGfSG9RGRSX2aP+B&#10;Gq1GIOjiTMNYnIVkR1hFVb7x5mlQwWQtbDWFm+n0/2D1j8MWhW0buZDCq5EH/nUfITOLapH8mQLV&#10;nLb2W0wK9dE/hUfQv0l4WA/K9yZnP58CF1epovirJB0oMMtu+g4t5ygmyGYdOxwTJNsgjnkmp9tM&#10;zDEKzZdVubgrS25OX2OFqq+FASl+MzCKtGkkRVS2H+IavOfJA1aZRh0eKaa2VH0tSKweHqxz+QE4&#10;L6ZGflnMF7mAwNk2BVMaYb9bOxQHlZ5Q/rJGjrxOQ9j79kzi/MWCpPrs3w7a0xav1vAsczeXd5ce&#10;y+tzrn7511Z/AF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EYEAABbQ29udGVudF9UeXBlc10ueG1sUEsBAhQACgAAAAAAh07iQAAAAAAAAAAAAAAA&#10;AAYAAAAAAAAAAAAQAAAAKAMAAF9yZWxzL1BLAQIUABQAAAAIAIdO4kCKFGY80QAAAJQBAAALAAAA&#10;AAAAAAEAIAAAAEwDAABfcmVscy8ucmVsc1BLAQIUAAoAAAAAAIdO4kAAAAAAAAAAAAAAAAAEAAAA&#10;AAAAAAAAEAAAAAAAAABkcnMvUEsBAhQAFAAAAAgAh07iQJLeh+DYAAAADQEAAA8AAAAAAAAAAQAg&#10;AAAAIgAAAGRycy9kb3ducmV2LnhtbFBLAQIUABQAAAAIAIdO4kACJCh51QEAALMDAAAOAAAAAAAA&#10;AAEAIAAAACcBAABkcnMvZTJvRG9jLnhtbFBLBQYAAAAABgAGAFkBAABuBQAAAAA=&#10;">
                <v:fill on="f" focussize="0,0"/>
                <v:stroke color="#000000" joinstyle="round"/>
                <v:imagedata o:title=""/>
                <o:lock v:ext="edit" aspectratio="f"/>
              </v:shape>
            </w:pict>
          </mc:Fallback>
        </mc:AlternateContent>
      </w:r>
      <w:r>
        <w:rPr>
          <w:rFonts w:hint="eastAsia" w:ascii="黑体" w:hAnsi="黑体" w:cs="黑体"/>
          <w:highlight w:val="none"/>
        </w:rPr>
        <w:t>XXXX-XX-XX发布</w:t>
      </w:r>
    </w:p>
    <w:p w14:paraId="0993CD21">
      <w:pPr>
        <w:pStyle w:val="136"/>
        <w:framePr w:wrap="around" w:vAnchor="page" w:hAnchor="page" w:x="7088" w:y="14095"/>
        <w:rPr>
          <w:highlight w:val="none"/>
        </w:rPr>
      </w:pPr>
      <w:r>
        <w:rPr>
          <w:rFonts w:hint="eastAsia" w:ascii="黑体" w:hAnsi="黑体" w:cs="黑体"/>
          <w:highlight w:val="none"/>
        </w:rPr>
        <w:t>XXXX-XX-XX实施</w:t>
      </w:r>
    </w:p>
    <w:p w14:paraId="4465C01F">
      <w:pPr>
        <w:pStyle w:val="116"/>
        <w:framePr w:w="7937" w:wrap="around" w:y="15308"/>
        <w:rPr>
          <w:rFonts w:ascii="Times New Roman"/>
          <w:highlight w:val="none"/>
        </w:rPr>
      </w:pPr>
      <w:r>
        <w:rPr>
          <w:rFonts w:hint="eastAsia" w:ascii="Times New Roman"/>
          <w:highlight w:val="none"/>
        </w:rPr>
        <w:t>深圳市深圳标准促进会</w:t>
      </w:r>
      <w:r>
        <w:rPr>
          <w:rFonts w:ascii="Times New Roman"/>
          <w:highlight w:val="none"/>
        </w:rPr>
        <w:t>   </w:t>
      </w:r>
      <w:r>
        <w:rPr>
          <w:rStyle w:val="78"/>
          <w:rFonts w:ascii="Times New Roman"/>
          <w:highlight w:val="none"/>
        </w:rPr>
        <w:t>发布</w:t>
      </w:r>
    </w:p>
    <w:p w14:paraId="0D775177">
      <w:pPr>
        <w:framePr w:w="9626" w:h="624" w:hRule="exact" w:hSpace="181" w:vSpace="181" w:wrap="around" w:vAnchor="page" w:hAnchor="page" w:x="1396" w:y="3164"/>
        <w:spacing w:before="0" w:line="280" w:lineRule="exact"/>
        <w:jc w:val="right"/>
        <w:rPr>
          <w:rFonts w:ascii="Times New Roman" w:hAnsi="Times New Roman" w:eastAsia="黑体" w:cs="Times New Roman"/>
          <w:sz w:val="28"/>
          <w:szCs w:val="28"/>
          <w:highlight w:val="none"/>
          <w:lang w:val="en-US" w:eastAsia="zh-CN" w:bidi="ar-SA"/>
        </w:rPr>
      </w:pPr>
      <w:r>
        <w:rPr>
          <w:rFonts w:hint="eastAsia" w:ascii="黑体" w:hAnsi="黑体" w:eastAsia="黑体" w:cs="黑体"/>
          <w:sz w:val="28"/>
          <w:szCs w:val="28"/>
          <w:highlight w:val="none"/>
          <w:lang w:val="en-US" w:eastAsia="zh-CN" w:bidi="ar-SA"/>
        </w:rPr>
        <w:t>T/XXX XXX—20XX</w:t>
      </w:r>
    </w:p>
    <w:tbl>
      <w:tblPr>
        <w:tblStyle w:val="36"/>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9356"/>
      </w:tblGrid>
      <w:tr w14:paraId="626EF74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356" w:type="dxa"/>
            <w:tcBorders>
              <w:top w:val="nil"/>
              <w:left w:val="nil"/>
              <w:bottom w:val="nil"/>
              <w:right w:val="nil"/>
            </w:tcBorders>
          </w:tcPr>
          <w:p w14:paraId="0CEB1911">
            <w:pPr>
              <w:keepNext w:val="0"/>
              <w:keepLines w:val="0"/>
              <w:framePr w:w="9626" w:h="624" w:hRule="exact" w:hSpace="181" w:vSpace="181" w:wrap="around" w:vAnchor="page" w:hAnchor="page" w:x="1396" w:y="3164"/>
              <w:suppressLineNumbers w:val="0"/>
              <w:wordWrap w:val="0"/>
              <w:spacing w:before="57" w:beforeAutospacing="0" w:after="0" w:afterAutospacing="0" w:line="280" w:lineRule="exact"/>
              <w:ind w:left="0" w:right="630"/>
              <w:jc w:val="right"/>
              <w:rPr>
                <w:rFonts w:hint="default" w:ascii="Times New Roman" w:hAnsi="Times New Roman" w:eastAsia="宋体" w:cs="Times New Roman"/>
                <w:sz w:val="21"/>
                <w:szCs w:val="21"/>
                <w:highlight w:val="none"/>
                <w:lang w:val="en-US" w:eastAsia="zh-CN" w:bidi="ar-SA"/>
              </w:rPr>
            </w:pPr>
          </w:p>
        </w:tc>
      </w:tr>
      <w:tr w14:paraId="76EFCCF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356" w:type="dxa"/>
            <w:tcBorders>
              <w:top w:val="nil"/>
              <w:left w:val="nil"/>
              <w:bottom w:val="nil"/>
              <w:right w:val="nil"/>
            </w:tcBorders>
          </w:tcPr>
          <w:p w14:paraId="18E6F41B">
            <w:pPr>
              <w:keepNext w:val="0"/>
              <w:keepLines w:val="0"/>
              <w:framePr w:w="9626" w:h="624" w:hRule="exact" w:hSpace="181" w:vSpace="181" w:wrap="around" w:vAnchor="page" w:hAnchor="page" w:x="1396" w:y="3164"/>
              <w:suppressLineNumbers w:val="0"/>
              <w:wordWrap w:val="0"/>
              <w:spacing w:before="57" w:beforeAutospacing="0" w:after="0" w:afterAutospacing="0" w:line="280" w:lineRule="exact"/>
              <w:ind w:left="0" w:right="630"/>
              <w:jc w:val="right"/>
              <w:rPr>
                <w:rFonts w:hint="default" w:ascii="Times New Roman" w:hAnsi="Times New Roman" w:eastAsia="宋体" w:cs="Times New Roman"/>
                <w:sz w:val="21"/>
                <w:szCs w:val="21"/>
                <w:highlight w:val="none"/>
                <w:lang w:val="en-US" w:eastAsia="zh-CN" w:bidi="ar-SA"/>
              </w:rPr>
            </w:pPr>
          </w:p>
        </w:tc>
      </w:tr>
    </w:tbl>
    <w:p w14:paraId="7EF43DF8">
      <w:pPr>
        <w:framePr w:w="9626" w:h="624" w:hRule="exact" w:hSpace="181" w:vSpace="181" w:wrap="around" w:vAnchor="page" w:hAnchor="page" w:x="1396" w:y="3164"/>
        <w:spacing w:before="357" w:line="280" w:lineRule="exact"/>
        <w:jc w:val="right"/>
        <w:rPr>
          <w:rFonts w:ascii="Times New Roman" w:hAnsi="Times New Roman" w:eastAsia="黑体" w:cs="Times New Roman"/>
          <w:sz w:val="28"/>
          <w:szCs w:val="28"/>
          <w:highlight w:val="none"/>
          <w:lang w:val="en-US" w:eastAsia="zh-CN" w:bidi="ar-SA"/>
        </w:rPr>
      </w:pPr>
    </w:p>
    <w:p w14:paraId="5D694514">
      <w:pPr>
        <w:framePr w:w="9626" w:h="624" w:hRule="exact" w:hSpace="181" w:vSpace="181" w:wrap="around" w:vAnchor="page" w:hAnchor="page" w:x="1396" w:y="3164"/>
        <w:spacing w:before="357" w:line="280" w:lineRule="exact"/>
        <w:jc w:val="right"/>
        <w:rPr>
          <w:rFonts w:ascii="Times New Roman" w:hAnsi="Times New Roman" w:eastAsia="黑体" w:cs="Times New Roman"/>
          <w:sz w:val="28"/>
          <w:szCs w:val="28"/>
          <w:highlight w:val="none"/>
          <w:lang w:val="en-US" w:eastAsia="zh-CN" w:bidi="ar-SA"/>
        </w:rPr>
      </w:pPr>
    </w:p>
    <w:p w14:paraId="51ECC7AA">
      <w:pPr>
        <w:pStyle w:val="26"/>
        <w:framePr w:w="9626" w:h="624" w:hRule="exact" w:hSpace="181" w:vSpace="181" w:wrap="around" w:vAnchor="page" w:hAnchor="page" w:x="1396" w:y="3164"/>
        <w:rPr>
          <w:rFonts w:ascii="Times New Roman"/>
          <w:highlight w:val="none"/>
        </w:rPr>
      </w:pPr>
    </w:p>
    <w:p w14:paraId="1C0541FC">
      <w:pPr>
        <w:pStyle w:val="26"/>
        <w:framePr w:w="9626" w:h="624" w:hRule="exact" w:hSpace="181" w:vSpace="181" w:wrap="around" w:vAnchor="page" w:hAnchor="page" w:x="1396" w:y="3164"/>
        <w:rPr>
          <w:rFonts w:ascii="Times New Roman"/>
          <w:highlight w:val="none"/>
        </w:rPr>
      </w:pPr>
    </w:p>
    <w:p w14:paraId="7284AA99">
      <w:pPr>
        <w:pStyle w:val="26"/>
        <w:framePr w:w="9626" w:h="624" w:hRule="exact" w:hSpace="181" w:vSpace="181" w:wrap="around" w:vAnchor="page" w:hAnchor="page" w:x="1396" w:y="3164"/>
        <w:rPr>
          <w:rFonts w:ascii="Times New Roman"/>
          <w:highlight w:val="none"/>
          <w:lang w:val="en-US" w:eastAsia="zh-CN"/>
        </w:rPr>
      </w:pPr>
    </w:p>
    <w:p w14:paraId="5B26AE71">
      <w:pPr>
        <w:pStyle w:val="26"/>
        <w:framePr w:w="9626" w:h="624" w:hRule="exact" w:hSpace="181" w:vSpace="181" w:wrap="around" w:vAnchor="page" w:hAnchor="page" w:x="1396" w:y="3164"/>
        <w:rPr>
          <w:rFonts w:ascii="Times New Roman"/>
          <w:highlight w:val="none"/>
        </w:rPr>
      </w:pPr>
    </w:p>
    <w:p w14:paraId="492C033D">
      <w:pPr>
        <w:pStyle w:val="26"/>
        <w:framePr w:w="9626" w:h="624" w:hRule="exact" w:hSpace="181" w:vSpace="181" w:wrap="around" w:vAnchor="page" w:hAnchor="page" w:x="1396" w:y="3164"/>
        <w:rPr>
          <w:rFonts w:ascii="Times New Roman"/>
          <w:highlight w:val="none"/>
        </w:rPr>
      </w:pPr>
    </w:p>
    <w:p w14:paraId="48201AF5">
      <w:pPr>
        <w:pStyle w:val="26"/>
        <w:rPr>
          <w:rFonts w:ascii="Times New Roman"/>
          <w:highlight w:val="none"/>
        </w:rPr>
        <w:sectPr>
          <w:headerReference r:id="rId3" w:type="even"/>
          <w:footerReference r:id="rId4" w:type="even"/>
          <w:pgSz w:w="11906" w:h="16838"/>
          <w:pgMar w:top="567" w:right="1134" w:bottom="1134" w:left="1418" w:header="0" w:footer="0" w:gutter="0"/>
          <w:pgBorders>
            <w:top w:val="none" w:sz="0" w:space="0"/>
            <w:left w:val="none" w:sz="0" w:space="0"/>
            <w:bottom w:val="none" w:sz="0" w:space="0"/>
            <w:right w:val="none" w:sz="0" w:space="0"/>
          </w:pgBorders>
          <w:pgNumType w:start="1"/>
          <w:cols w:space="720" w:num="1"/>
          <w:docGrid w:type="lines" w:linePitch="312" w:charSpace="0"/>
        </w:sectPr>
      </w:pPr>
      <w:r>
        <w:rPr>
          <w:rFonts w:ascii="Times New Roman"/>
          <w:highlight w:val="none"/>
        </w:rPr>
        <mc:AlternateContent>
          <mc:Choice Requires="wps">
            <w:drawing>
              <wp:anchor distT="0" distB="0" distL="114300" distR="114300" simplePos="0" relativeHeight="251674624" behindDoc="0" locked="0" layoutInCell="1" allowOverlap="1">
                <wp:simplePos x="0" y="0"/>
                <wp:positionH relativeFrom="column">
                  <wp:posOffset>2051685</wp:posOffset>
                </wp:positionH>
                <wp:positionV relativeFrom="paragraph">
                  <wp:posOffset>136525</wp:posOffset>
                </wp:positionV>
                <wp:extent cx="3960495" cy="914400"/>
                <wp:effectExtent l="0" t="0" r="1905" b="0"/>
                <wp:wrapNone/>
                <wp:docPr id="17" name="文本框 17"/>
                <wp:cNvGraphicFramePr/>
                <a:graphic xmlns:a="http://schemas.openxmlformats.org/drawingml/2006/main">
                  <a:graphicData uri="http://schemas.microsoft.com/office/word/2010/wordprocessingShape">
                    <wps:wsp>
                      <wps:cNvSpPr txBox="1"/>
                      <wps:spPr>
                        <a:xfrm>
                          <a:off x="0" y="0"/>
                          <a:ext cx="3960495" cy="914400"/>
                        </a:xfrm>
                        <a:prstGeom prst="rect">
                          <a:avLst/>
                        </a:prstGeom>
                        <a:solidFill>
                          <a:srgbClr val="FFFFFF"/>
                        </a:solidFill>
                        <a:ln w="6350">
                          <a:noFill/>
                        </a:ln>
                        <a:effectLst/>
                      </wps:spPr>
                      <wps:txbx>
                        <w:txbxContent>
                          <w:p w14:paraId="4F1DD333">
                            <w:pPr>
                              <w:pStyle w:val="158"/>
                              <w:bidi w:val="0"/>
                              <w:jc w:val="right"/>
                              <w:rPr>
                                <w:rFonts w:hint="eastAsia"/>
                                <w:lang w:eastAsia="zh-CN"/>
                              </w:rPr>
                            </w:pPr>
                            <w:r>
                              <w:rPr>
                                <w:rFonts w:hint="eastAsia"/>
                                <w:lang w:eastAsia="zh-CN"/>
                              </w:rPr>
                              <w:t>T/SZS</w:t>
                            </w:r>
                          </w:p>
                        </w:txbxContent>
                      </wps:txbx>
                      <wps:bodyPr rot="0" spcFirstLastPara="0" vertOverflow="overflow" horzOverflow="overflow" vert="horz" wrap="square" lIns="0" tIns="0" rIns="91440" bIns="0" numCol="1" spcCol="0" rtlCol="0" fromWordArt="0" anchor="t" anchorCtr="0" forceAA="0" compatLnSpc="1">
                        <a:noAutofit/>
                      </wps:bodyPr>
                    </wps:wsp>
                  </a:graphicData>
                </a:graphic>
              </wp:anchor>
            </w:drawing>
          </mc:Choice>
          <mc:Fallback>
            <w:pict>
              <v:shape id="_x0000_s1026" o:spid="_x0000_s1026" o:spt="202" type="#_x0000_t202" style="position:absolute;left:0pt;margin-left:161.55pt;margin-top:10.75pt;height:72pt;width:311.85pt;z-index:251674624;mso-width-relative:page;mso-height-relative:page;" fillcolor="#FFFFFF" filled="t" stroked="f" coordsize="21600,21600" o:gfxdata="UEsDBAoAAAAAAIdO4kAAAAAAAAAAAAAAAAAEAAAAZHJzL1BLAwQUAAAACACHTuJA3ngsdNoAAAAK&#10;AQAADwAAAGRycy9kb3ducmV2LnhtbE2PQU+EMBCF7yb+h2ZMvLktrCAiZQ8bvZhoImqit1moQJZO&#10;WVqW9d87nvQ4mS/vfa/YnOwgjmbyvSMN0UqBMFS7pqdWw9vrw1UGwgekBgdHRsO38bApz88KzBu3&#10;0Is5VqEVHEI+Rw1dCGMupa87Y9Gv3GiIf19ushj4nFrZTLhwuB1krFQqLfbEDR2OZtuZel/NVkN2&#10;854tn/i0395n4TB/VAf1+JxqfXkRqTsQwZzCHwy/+qwOJTvt3EyNF4OGdbyOGNUQRwkIBm6vU96y&#10;YzJNEpBlIf9PKH8AUEsDBBQAAAAIAIdO4kB037b4UwIAAJMEAAAOAAAAZHJzL2Uyb0RvYy54bWyt&#10;VM1uEzEQviPxDpbvdDf9g0bdVKFVEFJFKxXE2fF6s5a8HmM72S0PAG/AiQt3nqvPwWdv0kLh0AM5&#10;OOOZ8Tcz38zs6dnQGbZRPmiyFZ/slZwpK6nWdlXxD+8XL15xFqKwtTBkVcVvVeBns+fPTns3VfvU&#10;kqmVZwCxYdq7ircxumlRBNmqToQ9csrC2JDvRMTVr4raix7onSn2y/K46MnXzpNUIUB7MRr5FtE/&#10;BZCaRkt1QXLdKRtHVK+MiCgptNoFPsvZNo2S8appgorMVByVxnwiCORlOovZqZiuvHCtltsUxFNS&#10;eFRTJ7RF0HuoCxEFW3v9F1SnpadATdyT1BVjIZkRVDEpH3Fz0wqnci2gOrh70sP/g5XvNtee6RqT&#10;8JIzKzp0/O7b17vvP+9+fGHQgaDehSn8bhw84/CaBjjv9AHKVPfQ+C79oyIGO+i9vadXDZFJKA9O&#10;jsvDkyPOJGwnk8PDMvNfPLx2PsQ3ijqWhIp7tC+zKjaXISITuO5cUrBARtcLbUy++NXy3Hi2EWj1&#10;Iv9Sknjyh5uxrK/48cFRmZEtpfejn7EJR+Wp2cZLpY8lJikOy2HLx5LqW9DhaZyo4ORCI+dLEeK1&#10;8BghMIAli1c4GkMISVuJs5b853/pkz86CytnPUay4uHTWnjFmXlr0fM0vzvBZyGTiEneae26OyeU&#10;P8EKO5lFPPLR7MTGU/cR+zdPkWASViJexeNOPI/jcmB/pZrPsxMm1Yl4aW+cTNCJJEvzdaRG56Yk&#10;akY+QHe6YFYz8du9Ssvw+z17PXxLZr8A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xgQAAFtDb250ZW50X1R5cGVzXS54bWxQSwECFAAKAAAAAACH&#10;TuJAAAAAAAAAAAAAAAAABgAAAAAAAAAAABAAAACoAwAAX3JlbHMvUEsBAhQAFAAAAAgAh07iQIoU&#10;ZjzRAAAAlAEAAAsAAAAAAAAAAQAgAAAAzAMAAF9yZWxzLy5yZWxzUEsBAhQACgAAAAAAh07iQAAA&#10;AAAAAAAAAAAAAAQAAAAAAAAAAAAQAAAAAAAAAGRycy9QSwECFAAUAAAACACHTuJA3ngsdNoAAAAK&#10;AQAADwAAAAAAAAABACAAAAAiAAAAZHJzL2Rvd25yZXYueG1sUEsBAhQAFAAAAAgAh07iQHTftvhT&#10;AgAAkwQAAA4AAAAAAAAAAQAgAAAAKQEAAGRycy9lMm9Eb2MueG1sUEsFBgAAAAAGAAYAWQEAAO4F&#10;AAAAAA==&#10;">
                <v:fill on="t" focussize="0,0"/>
                <v:stroke on="f" weight="0.5pt"/>
                <v:imagedata o:title=""/>
                <o:lock v:ext="edit" aspectratio="f"/>
                <v:textbox inset="0mm,0mm,144,0mm">
                  <w:txbxContent>
                    <w:p w14:paraId="4F1DD333">
                      <w:pPr>
                        <w:pStyle w:val="158"/>
                        <w:bidi w:val="0"/>
                        <w:jc w:val="right"/>
                        <w:rPr>
                          <w:rFonts w:hint="eastAsia"/>
                          <w:lang w:eastAsia="zh-CN"/>
                        </w:rPr>
                      </w:pPr>
                      <w:r>
                        <w:rPr>
                          <w:rFonts w:hint="eastAsia"/>
                          <w:lang w:eastAsia="zh-CN"/>
                        </w:rPr>
                        <w:t>T/SZS</w:t>
                      </w:r>
                    </w:p>
                  </w:txbxContent>
                </v:textbox>
              </v:shape>
            </w:pict>
          </mc:Fallback>
        </mc:AlternateContent>
      </w:r>
      <w:r>
        <w:rPr>
          <w:rFonts w:ascii="Times New Roman"/>
          <w:highlight w:val="none"/>
        </w:rPr>
        <mc:AlternateContent>
          <mc:Choice Requires="wps">
            <w:drawing>
              <wp:anchor distT="0" distB="0" distL="114300" distR="114300" simplePos="0" relativeHeight="251664384" behindDoc="0" locked="0" layoutInCell="1" allowOverlap="1">
                <wp:simplePos x="0" y="0"/>
                <wp:positionH relativeFrom="column">
                  <wp:posOffset>-5715</wp:posOffset>
                </wp:positionH>
                <wp:positionV relativeFrom="paragraph">
                  <wp:posOffset>8906510</wp:posOffset>
                </wp:positionV>
                <wp:extent cx="6120130" cy="0"/>
                <wp:effectExtent l="0" t="0" r="33020" b="19050"/>
                <wp:wrapNone/>
                <wp:docPr id="9" name="直线 3"/>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wps:spPr>
                      <wps:bodyPr/>
                    </wps:wsp>
                  </a:graphicData>
                </a:graphic>
              </wp:anchor>
            </w:drawing>
          </mc:Choice>
          <mc:Fallback>
            <w:pict>
              <v:line id="直线 3" o:spid="_x0000_s1026" o:spt="20" style="position:absolute;left:0pt;margin-left:-0.45pt;margin-top:701.3pt;height:0pt;width:481.9pt;z-index:251664384;mso-width-relative:page;mso-height-relative:page;" filled="f" stroked="t" coordsize="21600,21600" o:gfxdata="UEsDBAoAAAAAAIdO4kAAAAAAAAAAAAAAAAAEAAAAZHJzL1BLAwQUAAAACACHTuJAhL/0edUAAAAL&#10;AQAADwAAAGRycy9kb3ducmV2LnhtbE2PTU/DMAyG70j8h8hIXKYtWUEVK013AHrjwgBx9RrTVjRO&#10;12Qf8OsxBwRHP371+nG5PvlBHWiKfWALy4UBRdwE13Nr4eW5nt+AignZ4RCYLHxShHV1flZi4cKR&#10;n+iwSa2SEo4FWuhSGgutY9ORx7gII7Hs3sPkMck4tdpNeJRyP+jMmFx77FkudDjSXUfNx2bvLcT6&#10;lXb116yZmberNlC2u398QGsvL5bmFlSiU/oLw4++qEMlTtuwZxfVYGG+kqDga5PloCSwyjNB21+k&#10;q1L//6H6BlBLAwQUAAAACACHTuJA32uRh9QBAAChAwAADgAAAGRycy9lMm9Eb2MueG1srVNLbtsw&#10;EN0X6B0I7mvZDhK0guUsbKSbtDWQ9ABjirKIkhyCQ1v2WXqNrrrpcXKNDulP03STRbUgOL83895Q&#10;s9u9s2KnIxn0jZyMxlJor7A1ftPIr493795LQQl8Cxa9buRBk7ydv30zG0Ktp9ijbXUUDOKpHkIj&#10;+5RCXVWkeu2ARhi052CH0UFiM26qNsLA6M5W0/H4phowtiGi0kTsXR6D8oQYXwOIXWeUXqLaOu3T&#10;ETVqC4kpUW8CyXmZtuu0Sl+6jnQStpHMNJWTm/B9nc9qPoN6EyH0Rp1GgNeM8IKTA+O56QVqCQnE&#10;Npp/oJxREQm7NFLoqiORogizmIxfaPPQQ9CFC0tN4SI6/T9Y9Xm3isK0jfwghQfHC3/6/uPp5y9x&#10;lbUZAtWcsvCrmNmpvX8I96i+kfC46MFvdJnx8RC4cJIrqr9KskGBO6yHT9hyDmwTFqH2XXQZkiUQ&#10;+7KPw2Ufep+EYufNhEW54lWpc6yC+lwYIqWPGp3Il0Za47NUUMPunlIeBOpzSnZ7vDPWlnVbLwbm&#10;ez29LgWE1rQ5mNMobtYLG8UO8oMpX2HFkedpEbe+PTax/kQ68zwqtsb2sIpnMXhzZZrTK8tP47ld&#10;qv/8WfPf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QgQAAFtDb250ZW50X1R5cGVzXS54bWxQSwECFAAKAAAAAACHTuJAAAAAAAAAAAAAAAAABgAA&#10;AAAAAAAAABAAAAAkAwAAX3JlbHMvUEsBAhQAFAAAAAgAh07iQIoUZjzRAAAAlAEAAAsAAAAAAAAA&#10;AQAgAAAASAMAAF9yZWxzLy5yZWxzUEsBAhQACgAAAAAAh07iQAAAAAAAAAAAAAAAAAQAAAAAAAAA&#10;AAAQAAAAAAAAAGRycy9QSwECFAAUAAAACACHTuJAhL/0edUAAAALAQAADwAAAAAAAAABACAAAAAi&#10;AAAAZHJzL2Rvd25yZXYueG1sUEsBAhQAFAAAAAgAh07iQN9rkYfUAQAAoQMAAA4AAAAAAAAAAQAg&#10;AAAAJAEAAGRycy9lMm9Eb2MueG1sUEsFBgAAAAAGAAYAWQEAAGoFAAAAAA==&#10;">
                <v:fill on="f" focussize="0,0"/>
                <v:stroke color="#000000" joinstyle="round"/>
                <v:imagedata o:title=""/>
                <o:lock v:ext="edit" aspectratio="f"/>
              </v:line>
            </w:pict>
          </mc:Fallback>
        </mc:AlternateContent>
      </w:r>
      <w:r>
        <w:rPr>
          <w:rFonts w:ascii="Times New Roman"/>
          <w:highlight w:val="none"/>
        </w:rPr>
        <mc:AlternateContent>
          <mc:Choice Requires="wps">
            <w:drawing>
              <wp:anchor distT="0" distB="0" distL="114300" distR="114300" simplePos="0" relativeHeight="251662336" behindDoc="0" locked="0" layoutInCell="1" allowOverlap="1">
                <wp:simplePos x="0" y="0"/>
                <wp:positionH relativeFrom="column">
                  <wp:posOffset>-34925</wp:posOffset>
                </wp:positionH>
                <wp:positionV relativeFrom="paragraph">
                  <wp:posOffset>2308225</wp:posOffset>
                </wp:positionV>
                <wp:extent cx="6120130" cy="0"/>
                <wp:effectExtent l="13335" t="13970" r="10160" b="5080"/>
                <wp:wrapNone/>
                <wp:docPr id="1" name="直线 3"/>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wps:spPr>
                      <wps:bodyPr/>
                    </wps:wsp>
                  </a:graphicData>
                </a:graphic>
              </wp:anchor>
            </w:drawing>
          </mc:Choice>
          <mc:Fallback>
            <w:pict>
              <v:line id="直线 3" o:spid="_x0000_s1026" o:spt="20" style="position:absolute;left:0pt;margin-left:-2.75pt;margin-top:181.75pt;height:0pt;width:481.9pt;z-index:251662336;mso-width-relative:page;mso-height-relative:page;" filled="f" stroked="t" coordsize="21600,21600" o:gfxdata="UEsDBAoAAAAAAIdO4kAAAAAAAAAAAAAAAAAEAAAAZHJzL1BLAwQUAAAACACHTuJAutz48NcAAAAK&#10;AQAADwAAAGRycy9kb3ducmV2LnhtbE2PTU/DMAyG70j8h8hIXKYt3apOo2u6A9AbFwaIq9d4bUXj&#10;dE32Ab8eIyHBzR+PXj8uNhfXqxONofNsYD5LQBHX3nbcGHh9qaYrUCEiW+w9k4FPCrApr68KzK0/&#10;8zOdtrFREsIhRwNtjEOudahbchhmfiCW3d6PDqO0Y6PtiGcJd71eJMlSO+xYLrQ40H1L9cf26AyE&#10;6o0O1dekniTvaeNpcXh4ekRjbm/myRpUpEv8g+FHX9ShFKedP7INqjcwzTIhDaTLVAoB7rJVCmr3&#10;O9Flof+/UH4DUEsDBBQAAAAIAIdO4kA8A4fJ1gEAAKEDAAAOAAAAZHJzL2Uyb0RvYy54bWytU0tu&#10;GzEM3RfoHQTt67EdJGgHHmdhI92krYGkB6A1Go9QSRRE2WOfpdfoqpseJ9coJX+appssOgtBFMlH&#10;vkfO7HbvrNjpSAZ9IyejsRTaK2yN3zTy6+Pdu/dSUALfgkWvG3nQJG/nb9/MhlDrKfZoWx0Fg3iq&#10;h9DIPqVQVxWpXjugEQbt2dlhdJDYjJuqjTAwurPVdDy+qQaMbYioNBG/Lo9OeUKMrwHErjNKL1Ft&#10;nfbpiBq1hcSUqDeB5Lx023VapS9dRzoJ20hmmsrJRfi+zmc1n0G9iRB6o04twGtaeMHJgfFc9AK1&#10;hARiG80/UM6oiIRdGil01ZFIUYRZTMYvtHnoIejChaWmcBGd/h+s+rxbRWFa3gQpPDge+NP3H08/&#10;f4mrrM0QqOaQhV/FzE7t/UO4R/WNhMdFD36jS4+Ph8CJk5xR/ZWSDQpcYT18wpZjYJuwCLXvosuQ&#10;LIHYl3kcLvPQ+yQUP95MWJQrHpU6+yqoz4khUvqo0Yl8aaQ1PksFNezuKeVGoD6H5GePd8baMm7r&#10;xdDID9fT65JAaE2bnTmM4ma9sFHsIC9M+Qor9jwPi7j17bGI9SfSmedRsTW2h1U8i8GTK92ctiyv&#10;xnO7ZP/5s+a/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EYEAABbQ29udGVudF9UeXBlc10ueG1sUEsBAhQACgAAAAAAh07iQAAAAAAAAAAAAAAA&#10;AAYAAAAAAAAAAAAQAAAAKAMAAF9yZWxzL1BLAQIUABQAAAAIAIdO4kCKFGY80QAAAJQBAAALAAAA&#10;AAAAAAEAIAAAAEwDAABfcmVscy8ucmVsc1BLAQIUAAoAAAAAAIdO4kAAAAAAAAAAAAAAAAAEAAAA&#10;AAAAAAAAEAAAAAAAAABkcnMvUEsBAhQAFAAAAAgAh07iQLrc+PDXAAAACgEAAA8AAAAAAAAAAQAg&#10;AAAAIgAAAGRycy9kb3ducmV2LnhtbFBLAQIUABQAAAAIAIdO4kA8A4fJ1gEAAKEDAAAOAAAAAAAA&#10;AAEAIAAAACYBAABkcnMvZTJvRG9jLnhtbFBLBQYAAAAABgAGAFkBAABuBQAAAAA=&#10;">
                <v:fill on="f" focussize="0,0"/>
                <v:stroke color="#000000" joinstyle="round"/>
                <v:imagedata o:title=""/>
                <o:lock v:ext="edit" aspectratio="f"/>
              </v:line>
            </w:pict>
          </mc:Fallback>
        </mc:AlternateContent>
      </w:r>
      <w:r>
        <w:rPr>
          <w:rFonts w:ascii="Times New Roman"/>
          <w:highlight w:val="none"/>
        </w:rPr>
        <mc:AlternateContent>
          <mc:Choice Requires="wps">
            <w:drawing>
              <wp:anchor distT="0" distB="0" distL="114300" distR="114300" simplePos="0" relativeHeight="251661312" behindDoc="1" locked="0" layoutInCell="1" allowOverlap="1">
                <wp:simplePos x="0" y="0"/>
                <wp:positionH relativeFrom="column">
                  <wp:posOffset>-66675</wp:posOffset>
                </wp:positionH>
                <wp:positionV relativeFrom="paragraph">
                  <wp:posOffset>710565</wp:posOffset>
                </wp:positionV>
                <wp:extent cx="866775" cy="198120"/>
                <wp:effectExtent l="4445" t="3810" r="0" b="0"/>
                <wp:wrapNone/>
                <wp:docPr id="3" name="BAH"/>
                <wp:cNvGraphicFramePr/>
                <a:graphic xmlns:a="http://schemas.openxmlformats.org/drawingml/2006/main">
                  <a:graphicData uri="http://schemas.microsoft.com/office/word/2010/wordprocessingShape">
                    <wps:wsp>
                      <wps:cNvSpPr>
                        <a:spLocks noChangeArrowheads="1"/>
                      </wps:cNvSpPr>
                      <wps:spPr bwMode="auto">
                        <a:xfrm>
                          <a:off x="0" y="0"/>
                          <a:ext cx="866775" cy="198120"/>
                        </a:xfrm>
                        <a:prstGeom prst="rect">
                          <a:avLst/>
                        </a:prstGeom>
                        <a:solidFill>
                          <a:srgbClr val="FFFFFF"/>
                        </a:solidFill>
                        <a:ln>
                          <a:noFill/>
                        </a:ln>
                      </wps:spPr>
                      <wps:bodyPr rot="0" vert="horz" wrap="square" lIns="91440" tIns="45720" rIns="91440" bIns="45720" anchor="t" anchorCtr="0" upright="1">
                        <a:noAutofit/>
                      </wps:bodyPr>
                    </wps:wsp>
                  </a:graphicData>
                </a:graphic>
              </wp:anchor>
            </w:drawing>
          </mc:Choice>
          <mc:Fallback>
            <w:pict>
              <v:rect id="BAH" o:spid="_x0000_s1026" o:spt="1" style="position:absolute;left:0pt;margin-left:-5.25pt;margin-top:55.95pt;height:15.6pt;width:68.25pt;z-index:-251655168;mso-width-relative:page;mso-height-relative:page;" fillcolor="#FFFFFF" filled="t" stroked="f" coordsize="21600,21600" o:gfxdata="UEsDBAoAAAAAAIdO4kAAAAAAAAAAAAAAAAAEAAAAZHJzL1BLAwQUAAAACACHTuJAlKzIM9gAAAAL&#10;AQAADwAAAGRycy9kb3ducmV2LnhtbE2PzU7DMBCE70i8g7VI3Frb/YloiNMDUk/AgbYS123sJhHx&#10;OsROG96e7QluO5pPszPFdvKduLghtoEM6LkC4agKtqXawPGwmz2BiAnJYhfIGfhxEbbl/V2BuQ1X&#10;+nCXfaoFh1DM0UCTUp9LGavGeYzz0Dti7xwGj4nlUEs74JXDfScXSmXSY0v8ocHevTSu+tqP3gBm&#10;K/v9fl6+HV7HDDf1pHbrT2XM44NWzyCSm9IfDLf6XB1K7nQKI9koOgMzrdaMsqH1BsSNWGS87sTH&#10;aqlBloX8v6H8BVBLAwQUAAAACACHTuJAMsxhBw4CAAAgBAAADgAAAGRycy9lMm9Eb2MueG1srVPB&#10;jtowEL1X6j9YvpcQygIbEVYURFtp26607QcYxyFWHY87NgT69Tt2WEq3lz00h8jjGT+/92Y8vzu2&#10;hh0Ueg225PlgyJmyEiptdyX/8X3zbsaZD8JWwoBVJT8pz+8Wb9/MO1eoETRgKoWMQKwvOlfyJgRX&#10;ZJmXjWqFH4BTlpI1YCsChbjLKhQdobcmGw2Hk6wDrByCVN7T7rpP8jMivgYQ6lpLtQa5b5UNPSoq&#10;IwJJ8o12ni8S27pWMnyra68CMyUnpSH96RJab+M/W8xFsUPhGi3PFMRrKLzQ1Apt6dIL1FoEwfao&#10;/4FqtUTwUIeBhDbrhSRHSEU+fOHNYyOcSlrIau8upvv/Byu/Hh6Q6ark7zmzoqWGf1h+irZ0zheU&#10;fXQPGIV5dw/yp2cWVo2wO7VEhK5RoiIyeazP/joQA09H2bb7AhWhin2A5NCxxjYCknZ2TI04XRqh&#10;joFJ2pxNJtPpDWeSUvntLB+lRmWieD7s0IePCloWFyVH6nMCF4d7HyIZUTyXJPJgdLXRxqQAd9uV&#10;QXYQNBOb9CX+pPG6zNhYbCEe6xHjTlIZhfUGbaE6kUiEfrDoWdGiAfzNWUdDVXL/ay9QcWY+WzLq&#10;Nh+P4xSmYHwzJV0MrzPb64ywkqBKHjjrl6vQT+7eod41dFOeRFtYkrm1TsKj8T2rM1kanOTHecjj&#10;ZF7HqerPw148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JSsyDPYAAAACwEAAA8AAAAAAAAAAQAg&#10;AAAAIgAAAGRycy9kb3ducmV2LnhtbFBLAQIUABQAAAAIAIdO4kAyzGEHDgIAACAEAAAOAAAAAAAA&#10;AAEAIAAAACcBAABkcnMvZTJvRG9jLnhtbFBLBQYAAAAABgAGAFkBAACnBQAAAAA=&#10;">
                <v:fill on="t" focussize="0,0"/>
                <v:stroke on="f"/>
                <v:imagedata o:title=""/>
                <o:lock v:ext="edit" aspectratio="f"/>
              </v:rect>
            </w:pict>
          </mc:Fallback>
        </mc:AlternateContent>
      </w:r>
    </w:p>
    <w:p w14:paraId="26C4AD08">
      <w:pPr>
        <w:pStyle w:val="55"/>
        <w:rPr>
          <w:rFonts w:ascii="Times New Roman"/>
          <w:highlight w:val="none"/>
        </w:rPr>
      </w:pPr>
      <w:bookmarkStart w:id="0" w:name="_Toc55807222"/>
      <w:bookmarkStart w:id="1" w:name="_Toc82157001"/>
      <w:bookmarkStart w:id="2" w:name="_Toc26162"/>
      <w:bookmarkStart w:id="3" w:name="_Toc118281009"/>
      <w:bookmarkStart w:id="4" w:name="_Toc22075"/>
      <w:bookmarkStart w:id="5" w:name="_Toc27919"/>
      <w:bookmarkStart w:id="6" w:name="_Toc32692"/>
      <w:bookmarkStart w:id="7" w:name="_Toc5727"/>
      <w:bookmarkStart w:id="8" w:name="_Toc80887602"/>
      <w:bookmarkStart w:id="9" w:name="_Toc24389"/>
      <w:bookmarkStart w:id="10" w:name="_Toc80794396"/>
      <w:bookmarkStart w:id="11" w:name="_Toc20208"/>
      <w:bookmarkStart w:id="12" w:name="_Toc80867245"/>
      <w:bookmarkStart w:id="13" w:name="_Toc17127"/>
      <w:bookmarkStart w:id="14" w:name="_Toc25224"/>
      <w:bookmarkStart w:id="15" w:name="_Toc82684134"/>
      <w:bookmarkStart w:id="16" w:name="_Toc80953767"/>
      <w:bookmarkStart w:id="17" w:name="_Toc102992444"/>
      <w:bookmarkStart w:id="18" w:name="_Toc30742"/>
      <w:bookmarkStart w:id="19" w:name="_Toc17711"/>
      <w:bookmarkStart w:id="20" w:name="_Toc22476"/>
      <w:bookmarkStart w:id="21" w:name="_Toc80954701"/>
      <w:bookmarkStart w:id="22" w:name="_Toc16546"/>
      <w:bookmarkStart w:id="23" w:name="_Toc26809"/>
      <w:bookmarkStart w:id="24" w:name="_Toc28394"/>
      <w:bookmarkStart w:id="25" w:name="_Toc52098618"/>
      <w:r>
        <w:rPr>
          <w:rFonts w:ascii="Times New Roman"/>
          <w:highlight w:val="none"/>
        </w:rPr>
        <w:t>目</w:t>
      </w:r>
      <w:bookmarkStart w:id="26" w:name="BKML"/>
      <w:r>
        <w:rPr>
          <w:rFonts w:ascii="Times New Roman"/>
          <w:highlight w:val="none"/>
        </w:rPr>
        <w:t>  次</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p>
    <w:sdt>
      <w:sdtPr>
        <w:rPr>
          <w:szCs w:val="24"/>
          <w:highlight w:val="none"/>
        </w:rPr>
        <w:id w:val="147478139"/>
        <w15:color w:val="DBDBDB"/>
        <w:docPartObj>
          <w:docPartGallery w:val="Table of Contents"/>
          <w:docPartUnique/>
        </w:docPartObj>
      </w:sdtPr>
      <w:sdtEndPr>
        <w:rPr>
          <w:rFonts w:hint="eastAsia" w:ascii="宋体" w:hAnsi="宋体" w:eastAsia="宋体" w:cs="宋体"/>
          <w:szCs w:val="24"/>
          <w:highlight w:val="none"/>
        </w:rPr>
      </w:sdtEndPr>
      <w:sdtContent>
        <w:p w14:paraId="42B59C12">
          <w:pPr>
            <w:pStyle w:val="22"/>
            <w:keepNext w:val="0"/>
            <w:keepLines w:val="0"/>
            <w:pageBreakBefore w:val="0"/>
            <w:widowControl w:val="0"/>
            <w:tabs>
              <w:tab w:val="right" w:leader="dot" w:pos="9354"/>
              <w:tab w:val="clear" w:pos="9241"/>
            </w:tabs>
            <w:kinsoku/>
            <w:wordWrap/>
            <w:overflowPunct/>
            <w:topLinePunct w:val="0"/>
            <w:autoSpaceDE/>
            <w:autoSpaceDN/>
            <w:bidi w:val="0"/>
            <w:adjustRightInd/>
            <w:snapToGrid/>
            <w:spacing w:before="79" w:beforeLines="25" w:after="79" w:afterLines="25"/>
            <w:textAlignment w:val="auto"/>
            <w:rPr>
              <w:rFonts w:hint="eastAsia" w:ascii="宋体" w:hAnsi="宋体" w:eastAsia="宋体" w:cs="宋体"/>
              <w:highlight w:val="none"/>
            </w:rPr>
          </w:pPr>
          <w:r>
            <w:rPr>
              <w:rFonts w:hint="eastAsia" w:asciiTheme="minorEastAsia" w:hAnsiTheme="minorEastAsia" w:eastAsiaTheme="minorEastAsia" w:cstheme="minorEastAsia"/>
              <w:highlight w:val="none"/>
            </w:rPr>
            <w:fldChar w:fldCharType="begin"/>
          </w:r>
          <w:r>
            <w:rPr>
              <w:rFonts w:hint="eastAsia" w:asciiTheme="minorEastAsia" w:hAnsiTheme="minorEastAsia" w:eastAsiaTheme="minorEastAsia" w:cstheme="minorEastAsia"/>
              <w:highlight w:val="none"/>
            </w:rPr>
            <w:instrText xml:space="preserve">TOC \o "1-2" \h \u </w:instrText>
          </w:r>
          <w:r>
            <w:rPr>
              <w:rFonts w:hint="eastAsia" w:asciiTheme="minorEastAsia" w:hAnsiTheme="minorEastAsia" w:eastAsiaTheme="minorEastAsia" w:cstheme="minorEastAsia"/>
              <w:highlight w:val="none"/>
            </w:rPr>
            <w:fldChar w:fldCharType="separate"/>
          </w:r>
          <w:r>
            <w:rPr>
              <w:rFonts w:hint="eastAsia" w:ascii="宋体" w:hAnsi="宋体" w:eastAsia="宋体" w:cs="宋体"/>
              <w:highlight w:val="none"/>
            </w:rPr>
            <w:fldChar w:fldCharType="begin"/>
          </w:r>
          <w:r>
            <w:rPr>
              <w:rFonts w:hint="eastAsia" w:ascii="宋体" w:hAnsi="宋体" w:eastAsia="宋体" w:cs="宋体"/>
              <w:highlight w:val="none"/>
            </w:rPr>
            <w:instrText xml:space="preserve"> HYPERLINK \l _Toc18822 </w:instrText>
          </w:r>
          <w:r>
            <w:rPr>
              <w:rFonts w:hint="eastAsia" w:ascii="宋体" w:hAnsi="宋体" w:eastAsia="宋体" w:cs="宋体"/>
              <w:highlight w:val="none"/>
            </w:rPr>
            <w:fldChar w:fldCharType="separate"/>
          </w:r>
          <w:r>
            <w:rPr>
              <w:rFonts w:hint="eastAsia" w:ascii="宋体" w:hAnsi="宋体" w:eastAsia="宋体" w:cs="宋体"/>
              <w:highlight w:val="none"/>
            </w:rPr>
            <w:t>前言</w:t>
          </w:r>
          <w:r>
            <w:rPr>
              <w:rFonts w:hint="eastAsia" w:ascii="宋体" w:hAnsi="宋体" w:eastAsia="宋体" w:cs="宋体"/>
              <w:highlight w:val="none"/>
            </w:rPr>
            <w:tab/>
          </w:r>
          <w:r>
            <w:rPr>
              <w:rFonts w:hint="eastAsia" w:ascii="宋体" w:hAnsi="宋体" w:eastAsia="宋体" w:cs="宋体"/>
              <w:highlight w:val="none"/>
            </w:rPr>
            <w:fldChar w:fldCharType="begin"/>
          </w:r>
          <w:r>
            <w:rPr>
              <w:rFonts w:hint="eastAsia" w:ascii="宋体" w:hAnsi="宋体" w:eastAsia="宋体" w:cs="宋体"/>
              <w:highlight w:val="none"/>
            </w:rPr>
            <w:instrText xml:space="preserve"> PAGEREF _Toc18822 \h </w:instrText>
          </w:r>
          <w:r>
            <w:rPr>
              <w:rFonts w:hint="eastAsia" w:ascii="宋体" w:hAnsi="宋体" w:eastAsia="宋体" w:cs="宋体"/>
              <w:highlight w:val="none"/>
            </w:rPr>
            <w:fldChar w:fldCharType="separate"/>
          </w:r>
          <w:r>
            <w:rPr>
              <w:rFonts w:hint="eastAsia" w:ascii="宋体" w:hAnsi="宋体" w:eastAsia="宋体" w:cs="宋体"/>
              <w:highlight w:val="none"/>
            </w:rPr>
            <w:t>II</w:t>
          </w:r>
          <w:r>
            <w:rPr>
              <w:rFonts w:hint="eastAsia" w:ascii="宋体" w:hAnsi="宋体" w:eastAsia="宋体" w:cs="宋体"/>
              <w:highlight w:val="none"/>
            </w:rPr>
            <w:fldChar w:fldCharType="end"/>
          </w:r>
          <w:r>
            <w:rPr>
              <w:rFonts w:hint="eastAsia" w:ascii="宋体" w:hAnsi="宋体" w:eastAsia="宋体" w:cs="宋体"/>
              <w:highlight w:val="none"/>
            </w:rPr>
            <w:fldChar w:fldCharType="end"/>
          </w:r>
        </w:p>
        <w:p w14:paraId="2C288C67">
          <w:pPr>
            <w:pStyle w:val="22"/>
            <w:keepNext w:val="0"/>
            <w:keepLines w:val="0"/>
            <w:pageBreakBefore w:val="0"/>
            <w:widowControl w:val="0"/>
            <w:tabs>
              <w:tab w:val="right" w:leader="dot" w:pos="9354"/>
              <w:tab w:val="clear" w:pos="9241"/>
            </w:tabs>
            <w:kinsoku/>
            <w:wordWrap/>
            <w:overflowPunct/>
            <w:topLinePunct w:val="0"/>
            <w:autoSpaceDE/>
            <w:autoSpaceDN/>
            <w:bidi w:val="0"/>
            <w:adjustRightInd/>
            <w:snapToGrid/>
            <w:textAlignment w:val="auto"/>
            <w:rPr>
              <w:rFonts w:hint="eastAsia" w:ascii="宋体" w:hAnsi="宋体" w:eastAsia="宋体" w:cs="宋体"/>
              <w:highlight w:val="none"/>
            </w:rPr>
          </w:pPr>
          <w:r>
            <w:rPr>
              <w:rFonts w:hint="eastAsia" w:ascii="宋体" w:hAnsi="宋体" w:eastAsia="宋体" w:cs="宋体"/>
              <w:highlight w:val="none"/>
            </w:rPr>
            <w:fldChar w:fldCharType="begin"/>
          </w:r>
          <w:r>
            <w:rPr>
              <w:rFonts w:hint="eastAsia" w:ascii="宋体" w:hAnsi="宋体" w:eastAsia="宋体" w:cs="宋体"/>
              <w:highlight w:val="none"/>
            </w:rPr>
            <w:instrText xml:space="preserve"> HYPERLINK \l _Toc16338 </w:instrText>
          </w:r>
          <w:r>
            <w:rPr>
              <w:rFonts w:hint="eastAsia" w:ascii="宋体" w:hAnsi="宋体" w:eastAsia="宋体" w:cs="宋体"/>
              <w:highlight w:val="none"/>
            </w:rPr>
            <w:fldChar w:fldCharType="separate"/>
          </w:r>
          <w:r>
            <w:rPr>
              <w:rFonts w:hint="eastAsia" w:ascii="宋体" w:hAnsi="宋体" w:eastAsia="宋体" w:cs="宋体"/>
              <w:i w:val="0"/>
              <w:szCs w:val="21"/>
              <w:highlight w:val="none"/>
            </w:rPr>
            <w:t xml:space="preserve">1 </w:t>
          </w:r>
          <w:r>
            <w:rPr>
              <w:rFonts w:hint="eastAsia" w:ascii="宋体" w:hAnsi="宋体" w:eastAsia="宋体" w:cs="宋体"/>
              <w:i w:val="0"/>
              <w:szCs w:val="21"/>
              <w:highlight w:val="none"/>
              <w:lang w:val="en-US" w:eastAsia="zh-CN"/>
            </w:rPr>
            <w:t xml:space="preserve"> </w:t>
          </w:r>
          <w:r>
            <w:rPr>
              <w:rFonts w:hint="eastAsia" w:ascii="宋体" w:hAnsi="宋体" w:eastAsia="宋体" w:cs="宋体"/>
              <w:highlight w:val="none"/>
            </w:rPr>
            <w:t>范围</w:t>
          </w:r>
          <w:r>
            <w:rPr>
              <w:rFonts w:hint="eastAsia" w:ascii="宋体" w:hAnsi="宋体" w:eastAsia="宋体" w:cs="宋体"/>
              <w:highlight w:val="none"/>
            </w:rPr>
            <w:tab/>
          </w:r>
          <w:r>
            <w:rPr>
              <w:rFonts w:hint="eastAsia" w:ascii="宋体" w:hAnsi="宋体" w:eastAsia="宋体" w:cs="宋体"/>
              <w:highlight w:val="none"/>
            </w:rPr>
            <w:fldChar w:fldCharType="begin"/>
          </w:r>
          <w:r>
            <w:rPr>
              <w:rFonts w:hint="eastAsia" w:ascii="宋体" w:hAnsi="宋体" w:eastAsia="宋体" w:cs="宋体"/>
              <w:highlight w:val="none"/>
            </w:rPr>
            <w:instrText xml:space="preserve"> PAGEREF _Toc16338 \h </w:instrText>
          </w:r>
          <w:r>
            <w:rPr>
              <w:rFonts w:hint="eastAsia" w:ascii="宋体" w:hAnsi="宋体" w:eastAsia="宋体" w:cs="宋体"/>
              <w:highlight w:val="none"/>
            </w:rPr>
            <w:fldChar w:fldCharType="separate"/>
          </w:r>
          <w:r>
            <w:rPr>
              <w:rFonts w:hint="eastAsia" w:ascii="宋体" w:hAnsi="宋体" w:eastAsia="宋体" w:cs="宋体"/>
              <w:highlight w:val="none"/>
            </w:rPr>
            <w:t>1</w:t>
          </w:r>
          <w:r>
            <w:rPr>
              <w:rFonts w:hint="eastAsia" w:ascii="宋体" w:hAnsi="宋体" w:eastAsia="宋体" w:cs="宋体"/>
              <w:highlight w:val="none"/>
            </w:rPr>
            <w:fldChar w:fldCharType="end"/>
          </w:r>
          <w:r>
            <w:rPr>
              <w:rFonts w:hint="eastAsia" w:ascii="宋体" w:hAnsi="宋体" w:eastAsia="宋体" w:cs="宋体"/>
              <w:highlight w:val="none"/>
            </w:rPr>
            <w:fldChar w:fldCharType="end"/>
          </w:r>
        </w:p>
        <w:p w14:paraId="04581719">
          <w:pPr>
            <w:pStyle w:val="22"/>
            <w:keepNext w:val="0"/>
            <w:keepLines w:val="0"/>
            <w:pageBreakBefore w:val="0"/>
            <w:widowControl w:val="0"/>
            <w:tabs>
              <w:tab w:val="right" w:leader="dot" w:pos="9354"/>
              <w:tab w:val="clear" w:pos="9241"/>
            </w:tabs>
            <w:kinsoku/>
            <w:wordWrap/>
            <w:overflowPunct/>
            <w:topLinePunct w:val="0"/>
            <w:autoSpaceDE/>
            <w:autoSpaceDN/>
            <w:bidi w:val="0"/>
            <w:adjustRightInd/>
            <w:snapToGrid/>
            <w:textAlignment w:val="auto"/>
            <w:rPr>
              <w:rFonts w:hint="eastAsia" w:ascii="宋体" w:hAnsi="宋体" w:eastAsia="宋体" w:cs="宋体"/>
              <w:highlight w:val="none"/>
            </w:rPr>
          </w:pPr>
          <w:r>
            <w:rPr>
              <w:rFonts w:hint="eastAsia" w:ascii="宋体" w:hAnsi="宋体" w:eastAsia="宋体" w:cs="宋体"/>
              <w:highlight w:val="none"/>
            </w:rPr>
            <w:fldChar w:fldCharType="begin"/>
          </w:r>
          <w:r>
            <w:rPr>
              <w:rFonts w:hint="eastAsia" w:ascii="宋体" w:hAnsi="宋体" w:eastAsia="宋体" w:cs="宋体"/>
              <w:highlight w:val="none"/>
            </w:rPr>
            <w:instrText xml:space="preserve"> HYPERLINK \l _Toc7071 </w:instrText>
          </w:r>
          <w:r>
            <w:rPr>
              <w:rFonts w:hint="eastAsia" w:ascii="宋体" w:hAnsi="宋体" w:eastAsia="宋体" w:cs="宋体"/>
              <w:highlight w:val="none"/>
            </w:rPr>
            <w:fldChar w:fldCharType="separate"/>
          </w:r>
          <w:r>
            <w:rPr>
              <w:rFonts w:hint="eastAsia" w:ascii="宋体" w:hAnsi="宋体" w:eastAsia="宋体" w:cs="宋体"/>
              <w:i w:val="0"/>
              <w:szCs w:val="21"/>
              <w:highlight w:val="none"/>
            </w:rPr>
            <w:t xml:space="preserve">2 </w:t>
          </w:r>
          <w:r>
            <w:rPr>
              <w:rFonts w:hint="eastAsia" w:ascii="宋体" w:hAnsi="宋体" w:eastAsia="宋体" w:cs="宋体"/>
              <w:i w:val="0"/>
              <w:szCs w:val="21"/>
              <w:highlight w:val="none"/>
              <w:lang w:val="en-US" w:eastAsia="zh-CN"/>
            </w:rPr>
            <w:t xml:space="preserve"> </w:t>
          </w:r>
          <w:r>
            <w:rPr>
              <w:rFonts w:hint="eastAsia" w:ascii="宋体" w:hAnsi="宋体" w:eastAsia="宋体" w:cs="宋体"/>
              <w:highlight w:val="none"/>
            </w:rPr>
            <w:t>规范性引用文件</w:t>
          </w:r>
          <w:r>
            <w:rPr>
              <w:rFonts w:hint="eastAsia" w:ascii="宋体" w:hAnsi="宋体" w:eastAsia="宋体" w:cs="宋体"/>
              <w:highlight w:val="none"/>
            </w:rPr>
            <w:tab/>
          </w:r>
          <w:r>
            <w:rPr>
              <w:rFonts w:hint="eastAsia" w:ascii="宋体" w:hAnsi="宋体" w:eastAsia="宋体" w:cs="宋体"/>
              <w:highlight w:val="none"/>
            </w:rPr>
            <w:fldChar w:fldCharType="begin"/>
          </w:r>
          <w:r>
            <w:rPr>
              <w:rFonts w:hint="eastAsia" w:ascii="宋体" w:hAnsi="宋体" w:eastAsia="宋体" w:cs="宋体"/>
              <w:highlight w:val="none"/>
            </w:rPr>
            <w:instrText xml:space="preserve"> PAGEREF _Toc7071 \h </w:instrText>
          </w:r>
          <w:r>
            <w:rPr>
              <w:rFonts w:hint="eastAsia" w:ascii="宋体" w:hAnsi="宋体" w:eastAsia="宋体" w:cs="宋体"/>
              <w:highlight w:val="none"/>
            </w:rPr>
            <w:fldChar w:fldCharType="separate"/>
          </w:r>
          <w:r>
            <w:rPr>
              <w:rFonts w:hint="eastAsia" w:ascii="宋体" w:hAnsi="宋体" w:eastAsia="宋体" w:cs="宋体"/>
              <w:highlight w:val="none"/>
            </w:rPr>
            <w:t>1</w:t>
          </w:r>
          <w:r>
            <w:rPr>
              <w:rFonts w:hint="eastAsia" w:ascii="宋体" w:hAnsi="宋体" w:eastAsia="宋体" w:cs="宋体"/>
              <w:highlight w:val="none"/>
            </w:rPr>
            <w:fldChar w:fldCharType="end"/>
          </w:r>
          <w:r>
            <w:rPr>
              <w:rFonts w:hint="eastAsia" w:ascii="宋体" w:hAnsi="宋体" w:eastAsia="宋体" w:cs="宋体"/>
              <w:highlight w:val="none"/>
            </w:rPr>
            <w:fldChar w:fldCharType="end"/>
          </w:r>
        </w:p>
        <w:p w14:paraId="240E7364">
          <w:pPr>
            <w:pStyle w:val="22"/>
            <w:keepNext w:val="0"/>
            <w:keepLines w:val="0"/>
            <w:pageBreakBefore w:val="0"/>
            <w:widowControl w:val="0"/>
            <w:tabs>
              <w:tab w:val="right" w:leader="dot" w:pos="9354"/>
              <w:tab w:val="clear" w:pos="9241"/>
            </w:tabs>
            <w:kinsoku/>
            <w:wordWrap/>
            <w:overflowPunct/>
            <w:topLinePunct w:val="0"/>
            <w:autoSpaceDE/>
            <w:autoSpaceDN/>
            <w:bidi w:val="0"/>
            <w:adjustRightInd/>
            <w:snapToGrid/>
            <w:textAlignment w:val="auto"/>
            <w:rPr>
              <w:rFonts w:hint="eastAsia" w:ascii="宋体" w:hAnsi="宋体" w:eastAsia="宋体" w:cs="宋体"/>
              <w:highlight w:val="none"/>
            </w:rPr>
          </w:pPr>
          <w:r>
            <w:rPr>
              <w:rFonts w:hint="eastAsia" w:ascii="宋体" w:hAnsi="宋体" w:eastAsia="宋体" w:cs="宋体"/>
              <w:highlight w:val="none"/>
            </w:rPr>
            <w:fldChar w:fldCharType="begin"/>
          </w:r>
          <w:r>
            <w:rPr>
              <w:rFonts w:hint="eastAsia" w:ascii="宋体" w:hAnsi="宋体" w:eastAsia="宋体" w:cs="宋体"/>
              <w:highlight w:val="none"/>
            </w:rPr>
            <w:instrText xml:space="preserve"> HYPERLINK \l _Toc10089 </w:instrText>
          </w:r>
          <w:r>
            <w:rPr>
              <w:rFonts w:hint="eastAsia" w:ascii="宋体" w:hAnsi="宋体" w:eastAsia="宋体" w:cs="宋体"/>
              <w:highlight w:val="none"/>
            </w:rPr>
            <w:fldChar w:fldCharType="separate"/>
          </w:r>
          <w:r>
            <w:rPr>
              <w:rFonts w:hint="eastAsia" w:ascii="宋体" w:hAnsi="宋体" w:eastAsia="宋体" w:cs="宋体"/>
              <w:i w:val="0"/>
              <w:szCs w:val="21"/>
              <w:highlight w:val="none"/>
            </w:rPr>
            <w:t xml:space="preserve">3 </w:t>
          </w:r>
          <w:r>
            <w:rPr>
              <w:rFonts w:hint="eastAsia" w:ascii="宋体" w:hAnsi="宋体" w:eastAsia="宋体" w:cs="宋体"/>
              <w:i w:val="0"/>
              <w:szCs w:val="21"/>
              <w:highlight w:val="none"/>
              <w:lang w:val="en-US" w:eastAsia="zh-CN"/>
            </w:rPr>
            <w:t xml:space="preserve"> </w:t>
          </w:r>
          <w:r>
            <w:rPr>
              <w:rFonts w:hint="eastAsia" w:ascii="宋体" w:hAnsi="宋体" w:eastAsia="宋体" w:cs="宋体"/>
              <w:highlight w:val="none"/>
            </w:rPr>
            <w:t>术语和定义</w:t>
          </w:r>
          <w:r>
            <w:rPr>
              <w:rFonts w:hint="eastAsia" w:ascii="宋体" w:hAnsi="宋体" w:eastAsia="宋体" w:cs="宋体"/>
              <w:highlight w:val="none"/>
            </w:rPr>
            <w:tab/>
          </w:r>
          <w:r>
            <w:rPr>
              <w:rFonts w:hint="eastAsia" w:ascii="宋体" w:hAnsi="宋体" w:eastAsia="宋体" w:cs="宋体"/>
              <w:highlight w:val="none"/>
            </w:rPr>
            <w:fldChar w:fldCharType="begin"/>
          </w:r>
          <w:r>
            <w:rPr>
              <w:rFonts w:hint="eastAsia" w:ascii="宋体" w:hAnsi="宋体" w:eastAsia="宋体" w:cs="宋体"/>
              <w:highlight w:val="none"/>
            </w:rPr>
            <w:instrText xml:space="preserve"> PAGEREF _Toc10089 \h </w:instrText>
          </w:r>
          <w:r>
            <w:rPr>
              <w:rFonts w:hint="eastAsia" w:ascii="宋体" w:hAnsi="宋体" w:eastAsia="宋体" w:cs="宋体"/>
              <w:highlight w:val="none"/>
            </w:rPr>
            <w:fldChar w:fldCharType="separate"/>
          </w:r>
          <w:r>
            <w:rPr>
              <w:rFonts w:hint="eastAsia" w:ascii="宋体" w:hAnsi="宋体" w:eastAsia="宋体" w:cs="宋体"/>
              <w:highlight w:val="none"/>
            </w:rPr>
            <w:t>1</w:t>
          </w:r>
          <w:r>
            <w:rPr>
              <w:rFonts w:hint="eastAsia" w:ascii="宋体" w:hAnsi="宋体" w:eastAsia="宋体" w:cs="宋体"/>
              <w:highlight w:val="none"/>
            </w:rPr>
            <w:fldChar w:fldCharType="end"/>
          </w:r>
          <w:r>
            <w:rPr>
              <w:rFonts w:hint="eastAsia" w:ascii="宋体" w:hAnsi="宋体" w:eastAsia="宋体" w:cs="宋体"/>
              <w:highlight w:val="none"/>
            </w:rPr>
            <w:fldChar w:fldCharType="end"/>
          </w:r>
        </w:p>
        <w:p w14:paraId="1DDF6AC7">
          <w:pPr>
            <w:pStyle w:val="22"/>
            <w:keepNext w:val="0"/>
            <w:keepLines w:val="0"/>
            <w:pageBreakBefore w:val="0"/>
            <w:widowControl w:val="0"/>
            <w:tabs>
              <w:tab w:val="right" w:leader="dot" w:pos="9354"/>
              <w:tab w:val="clear" w:pos="9241"/>
            </w:tabs>
            <w:kinsoku/>
            <w:wordWrap/>
            <w:overflowPunct/>
            <w:topLinePunct w:val="0"/>
            <w:autoSpaceDE/>
            <w:autoSpaceDN/>
            <w:bidi w:val="0"/>
            <w:adjustRightInd/>
            <w:snapToGrid/>
            <w:textAlignment w:val="auto"/>
            <w:rPr>
              <w:rFonts w:hint="eastAsia" w:ascii="宋体" w:hAnsi="宋体" w:eastAsia="宋体" w:cs="宋体"/>
              <w:highlight w:val="none"/>
            </w:rPr>
          </w:pPr>
          <w:r>
            <w:rPr>
              <w:rFonts w:hint="eastAsia" w:ascii="宋体" w:hAnsi="宋体" w:eastAsia="宋体" w:cs="宋体"/>
              <w:highlight w:val="none"/>
            </w:rPr>
            <w:fldChar w:fldCharType="begin"/>
          </w:r>
          <w:r>
            <w:rPr>
              <w:rFonts w:hint="eastAsia" w:ascii="宋体" w:hAnsi="宋体" w:eastAsia="宋体" w:cs="宋体"/>
              <w:highlight w:val="none"/>
            </w:rPr>
            <w:instrText xml:space="preserve"> HYPERLINK \l _Toc24233 </w:instrText>
          </w:r>
          <w:r>
            <w:rPr>
              <w:rFonts w:hint="eastAsia" w:ascii="宋体" w:hAnsi="宋体" w:eastAsia="宋体" w:cs="宋体"/>
              <w:highlight w:val="none"/>
            </w:rPr>
            <w:fldChar w:fldCharType="separate"/>
          </w:r>
          <w:r>
            <w:rPr>
              <w:rFonts w:hint="eastAsia" w:ascii="宋体" w:hAnsi="宋体" w:eastAsia="宋体" w:cs="宋体"/>
              <w:i w:val="0"/>
              <w:szCs w:val="21"/>
              <w:highlight w:val="none"/>
            </w:rPr>
            <w:t xml:space="preserve">4 </w:t>
          </w:r>
          <w:r>
            <w:rPr>
              <w:rFonts w:hint="eastAsia" w:ascii="宋体" w:hAnsi="宋体" w:eastAsia="宋体" w:cs="宋体"/>
              <w:i w:val="0"/>
              <w:szCs w:val="21"/>
              <w:highlight w:val="none"/>
              <w:lang w:val="en-US" w:eastAsia="zh-CN"/>
            </w:rPr>
            <w:t xml:space="preserve"> </w:t>
          </w:r>
          <w:r>
            <w:rPr>
              <w:rFonts w:hint="eastAsia" w:ascii="宋体" w:hAnsi="宋体" w:eastAsia="宋体" w:cs="宋体"/>
              <w:highlight w:val="none"/>
            </w:rPr>
            <w:t>评价</w:t>
          </w:r>
          <w:r>
            <w:rPr>
              <w:rFonts w:hint="eastAsia" w:ascii="宋体" w:hAnsi="宋体" w:eastAsia="宋体" w:cs="宋体"/>
              <w:highlight w:val="none"/>
              <w:lang w:val="en-US" w:eastAsia="zh-CN"/>
            </w:rPr>
            <w:t>原</w:t>
          </w:r>
          <w:r>
            <w:rPr>
              <w:rFonts w:hint="eastAsia" w:ascii="宋体" w:hAnsi="宋体" w:eastAsia="宋体" w:cs="宋体"/>
              <w:highlight w:val="none"/>
            </w:rPr>
            <w:t>则</w:t>
          </w:r>
          <w:r>
            <w:rPr>
              <w:rFonts w:hint="eastAsia" w:ascii="宋体" w:hAnsi="宋体" w:eastAsia="宋体" w:cs="宋体"/>
              <w:highlight w:val="none"/>
            </w:rPr>
            <w:tab/>
          </w:r>
          <w:r>
            <w:rPr>
              <w:rFonts w:hint="eastAsia" w:ascii="宋体" w:hAnsi="宋体" w:eastAsia="宋体" w:cs="宋体"/>
              <w:highlight w:val="none"/>
            </w:rPr>
            <w:fldChar w:fldCharType="begin"/>
          </w:r>
          <w:r>
            <w:rPr>
              <w:rFonts w:hint="eastAsia" w:ascii="宋体" w:hAnsi="宋体" w:eastAsia="宋体" w:cs="宋体"/>
              <w:highlight w:val="none"/>
            </w:rPr>
            <w:instrText xml:space="preserve"> PAGEREF _Toc24233 \h </w:instrText>
          </w:r>
          <w:r>
            <w:rPr>
              <w:rFonts w:hint="eastAsia" w:ascii="宋体" w:hAnsi="宋体" w:eastAsia="宋体" w:cs="宋体"/>
              <w:highlight w:val="none"/>
            </w:rPr>
            <w:fldChar w:fldCharType="separate"/>
          </w:r>
          <w:r>
            <w:rPr>
              <w:rFonts w:hint="eastAsia" w:ascii="宋体" w:hAnsi="宋体" w:eastAsia="宋体" w:cs="宋体"/>
              <w:highlight w:val="none"/>
            </w:rPr>
            <w:t>2</w:t>
          </w:r>
          <w:r>
            <w:rPr>
              <w:rFonts w:hint="eastAsia" w:ascii="宋体" w:hAnsi="宋体" w:eastAsia="宋体" w:cs="宋体"/>
              <w:highlight w:val="none"/>
            </w:rPr>
            <w:fldChar w:fldCharType="end"/>
          </w:r>
          <w:r>
            <w:rPr>
              <w:rFonts w:hint="eastAsia" w:ascii="宋体" w:hAnsi="宋体" w:eastAsia="宋体" w:cs="宋体"/>
              <w:highlight w:val="none"/>
            </w:rPr>
            <w:fldChar w:fldCharType="end"/>
          </w:r>
        </w:p>
        <w:p w14:paraId="65D73B2D">
          <w:pPr>
            <w:pStyle w:val="22"/>
            <w:keepNext w:val="0"/>
            <w:keepLines w:val="0"/>
            <w:pageBreakBefore w:val="0"/>
            <w:widowControl w:val="0"/>
            <w:tabs>
              <w:tab w:val="right" w:leader="dot" w:pos="9354"/>
              <w:tab w:val="clear" w:pos="9241"/>
            </w:tabs>
            <w:kinsoku/>
            <w:wordWrap/>
            <w:overflowPunct/>
            <w:topLinePunct w:val="0"/>
            <w:autoSpaceDE/>
            <w:autoSpaceDN/>
            <w:bidi w:val="0"/>
            <w:adjustRightInd/>
            <w:snapToGrid/>
            <w:textAlignment w:val="auto"/>
            <w:rPr>
              <w:rFonts w:hint="eastAsia" w:ascii="宋体" w:hAnsi="宋体" w:eastAsia="宋体" w:cs="宋体"/>
              <w:highlight w:val="none"/>
            </w:rPr>
          </w:pPr>
          <w:r>
            <w:rPr>
              <w:rFonts w:hint="eastAsia" w:ascii="宋体" w:hAnsi="宋体" w:eastAsia="宋体" w:cs="宋体"/>
              <w:highlight w:val="none"/>
            </w:rPr>
            <w:fldChar w:fldCharType="begin"/>
          </w:r>
          <w:r>
            <w:rPr>
              <w:rFonts w:hint="eastAsia" w:ascii="宋体" w:hAnsi="宋体" w:eastAsia="宋体" w:cs="宋体"/>
              <w:highlight w:val="none"/>
            </w:rPr>
            <w:instrText xml:space="preserve"> HYPERLINK \l _Toc16509 </w:instrText>
          </w:r>
          <w:r>
            <w:rPr>
              <w:rFonts w:hint="eastAsia" w:ascii="宋体" w:hAnsi="宋体" w:eastAsia="宋体" w:cs="宋体"/>
              <w:highlight w:val="none"/>
            </w:rPr>
            <w:fldChar w:fldCharType="separate"/>
          </w:r>
          <w:r>
            <w:rPr>
              <w:rFonts w:hint="eastAsia" w:ascii="宋体" w:hAnsi="宋体" w:eastAsia="宋体" w:cs="宋体"/>
              <w:i w:val="0"/>
              <w:szCs w:val="21"/>
              <w:highlight w:val="none"/>
            </w:rPr>
            <w:t xml:space="preserve">5 </w:t>
          </w:r>
          <w:r>
            <w:rPr>
              <w:rFonts w:hint="eastAsia" w:ascii="宋体" w:hAnsi="宋体" w:eastAsia="宋体" w:cs="宋体"/>
              <w:i w:val="0"/>
              <w:szCs w:val="21"/>
              <w:highlight w:val="none"/>
              <w:lang w:val="en-US" w:eastAsia="zh-CN"/>
            </w:rPr>
            <w:t xml:space="preserve"> </w:t>
          </w:r>
          <w:r>
            <w:rPr>
              <w:rFonts w:hint="eastAsia" w:ascii="宋体" w:hAnsi="宋体" w:eastAsia="宋体" w:cs="宋体"/>
              <w:highlight w:val="none"/>
              <w:lang w:val="en-US" w:eastAsia="zh-CN"/>
            </w:rPr>
            <w:t>绿色低碳产业企业</w:t>
          </w:r>
          <w:r>
            <w:rPr>
              <w:rFonts w:hint="eastAsia" w:ascii="宋体" w:hAnsi="宋体" w:eastAsia="宋体" w:cs="宋体"/>
              <w:highlight w:val="none"/>
            </w:rPr>
            <w:t>评价</w:t>
          </w:r>
          <w:r>
            <w:rPr>
              <w:rFonts w:hint="eastAsia" w:ascii="宋体" w:hAnsi="宋体" w:eastAsia="宋体" w:cs="宋体"/>
              <w:highlight w:val="none"/>
            </w:rPr>
            <w:tab/>
          </w:r>
          <w:r>
            <w:rPr>
              <w:rFonts w:hint="eastAsia" w:ascii="宋体" w:hAnsi="宋体" w:eastAsia="宋体" w:cs="宋体"/>
              <w:highlight w:val="none"/>
            </w:rPr>
            <w:fldChar w:fldCharType="begin"/>
          </w:r>
          <w:r>
            <w:rPr>
              <w:rFonts w:hint="eastAsia" w:ascii="宋体" w:hAnsi="宋体" w:eastAsia="宋体" w:cs="宋体"/>
              <w:highlight w:val="none"/>
            </w:rPr>
            <w:instrText xml:space="preserve"> PAGEREF _Toc16509 \h </w:instrText>
          </w:r>
          <w:r>
            <w:rPr>
              <w:rFonts w:hint="eastAsia" w:ascii="宋体" w:hAnsi="宋体" w:eastAsia="宋体" w:cs="宋体"/>
              <w:highlight w:val="none"/>
            </w:rPr>
            <w:fldChar w:fldCharType="separate"/>
          </w:r>
          <w:r>
            <w:rPr>
              <w:rFonts w:hint="eastAsia" w:ascii="宋体" w:hAnsi="宋体" w:eastAsia="宋体" w:cs="宋体"/>
              <w:highlight w:val="none"/>
            </w:rPr>
            <w:t>2</w:t>
          </w:r>
          <w:r>
            <w:rPr>
              <w:rFonts w:hint="eastAsia" w:ascii="宋体" w:hAnsi="宋体" w:eastAsia="宋体" w:cs="宋体"/>
              <w:highlight w:val="none"/>
            </w:rPr>
            <w:fldChar w:fldCharType="end"/>
          </w:r>
          <w:r>
            <w:rPr>
              <w:rFonts w:hint="eastAsia" w:ascii="宋体" w:hAnsi="宋体" w:eastAsia="宋体" w:cs="宋体"/>
              <w:highlight w:val="none"/>
            </w:rPr>
            <w:fldChar w:fldCharType="end"/>
          </w:r>
        </w:p>
        <w:p w14:paraId="10104359">
          <w:pPr>
            <w:pStyle w:val="31"/>
            <w:tabs>
              <w:tab w:val="right" w:leader="dot" w:pos="9354"/>
              <w:tab w:val="clear" w:pos="9241"/>
            </w:tabs>
            <w:ind w:firstLine="210" w:firstLineChars="100"/>
            <w:rPr>
              <w:rFonts w:hint="eastAsia" w:ascii="宋体" w:hAnsi="宋体" w:eastAsia="宋体" w:cs="宋体"/>
              <w:highlight w:val="none"/>
            </w:rPr>
          </w:pPr>
          <w:r>
            <w:rPr>
              <w:rFonts w:hint="eastAsia" w:ascii="宋体" w:hAnsi="宋体" w:eastAsia="宋体" w:cs="宋体"/>
              <w:highlight w:val="none"/>
            </w:rPr>
            <w:fldChar w:fldCharType="begin"/>
          </w:r>
          <w:r>
            <w:rPr>
              <w:rFonts w:hint="eastAsia" w:ascii="宋体" w:hAnsi="宋体" w:eastAsia="宋体" w:cs="宋体"/>
              <w:highlight w:val="none"/>
            </w:rPr>
            <w:instrText xml:space="preserve"> HYPERLINK \l _Toc32249 </w:instrText>
          </w:r>
          <w:r>
            <w:rPr>
              <w:rFonts w:hint="eastAsia" w:ascii="宋体" w:hAnsi="宋体" w:eastAsia="宋体" w:cs="宋体"/>
              <w:highlight w:val="none"/>
            </w:rPr>
            <w:fldChar w:fldCharType="separate"/>
          </w:r>
          <w:r>
            <w:rPr>
              <w:rFonts w:hint="eastAsia" w:ascii="宋体" w:hAnsi="宋体" w:eastAsia="宋体" w:cs="宋体"/>
              <w:bCs w:val="0"/>
              <w:i w:val="0"/>
              <w:iCs w:val="0"/>
              <w:caps w:val="0"/>
              <w:strike w:val="0"/>
              <w:dstrike w:val="0"/>
              <w:vanish w:val="0"/>
              <w:spacing w:val="0"/>
              <w:kern w:val="0"/>
              <w:position w:val="0"/>
              <w:szCs w:val="21"/>
              <w:highlight w:val="none"/>
              <w:vertAlign w:val="baseline"/>
              <w14:shadow w14:blurRad="0" w14:dist="0" w14:dir="0" w14:sx="0" w14:sy="0" w14:kx="0" w14:ky="0" w14:algn="none">
                <w14:srgbClr w14:val="000000"/>
              </w14:shadow>
            </w:rPr>
            <w:t xml:space="preserve">5.1 </w:t>
          </w:r>
          <w:r>
            <w:rPr>
              <w:rFonts w:hint="eastAsia" w:ascii="宋体" w:hAnsi="宋体" w:eastAsia="宋体" w:cs="宋体"/>
              <w:bCs w:val="0"/>
              <w:i w:val="0"/>
              <w:iCs w:val="0"/>
              <w:caps w:val="0"/>
              <w:strike w:val="0"/>
              <w:dstrike w:val="0"/>
              <w:vanish w:val="0"/>
              <w:spacing w:val="0"/>
              <w:kern w:val="0"/>
              <w:position w:val="0"/>
              <w:szCs w:val="21"/>
              <w:highlight w:val="none"/>
              <w:vertAlign w:val="baseline"/>
              <w:lang w:val="en-US" w:eastAsia="zh-CN"/>
              <w14:shadow w14:blurRad="0" w14:dist="0" w14:dir="0" w14:sx="0" w14:sy="0" w14:kx="0" w14:ky="0" w14:algn="none">
                <w14:srgbClr w14:val="000000"/>
              </w14:shadow>
            </w:rPr>
            <w:t xml:space="preserve"> </w:t>
          </w:r>
          <w:r>
            <w:rPr>
              <w:rFonts w:hint="eastAsia" w:ascii="宋体" w:hAnsi="宋体" w:eastAsia="宋体" w:cs="宋体"/>
              <w:highlight w:val="none"/>
            </w:rPr>
            <w:t>符合性评价</w:t>
          </w:r>
          <w:r>
            <w:rPr>
              <w:rFonts w:hint="eastAsia" w:ascii="宋体" w:hAnsi="宋体" w:eastAsia="宋体" w:cs="宋体"/>
              <w:highlight w:val="none"/>
            </w:rPr>
            <w:tab/>
          </w:r>
          <w:r>
            <w:rPr>
              <w:rFonts w:hint="eastAsia" w:ascii="宋体" w:hAnsi="宋体" w:eastAsia="宋体" w:cs="宋体"/>
              <w:highlight w:val="none"/>
            </w:rPr>
            <w:fldChar w:fldCharType="begin"/>
          </w:r>
          <w:r>
            <w:rPr>
              <w:rFonts w:hint="eastAsia" w:ascii="宋体" w:hAnsi="宋体" w:eastAsia="宋体" w:cs="宋体"/>
              <w:highlight w:val="none"/>
            </w:rPr>
            <w:instrText xml:space="preserve"> PAGEREF _Toc32249 \h </w:instrText>
          </w:r>
          <w:r>
            <w:rPr>
              <w:rFonts w:hint="eastAsia" w:ascii="宋体" w:hAnsi="宋体" w:eastAsia="宋体" w:cs="宋体"/>
              <w:highlight w:val="none"/>
            </w:rPr>
            <w:fldChar w:fldCharType="separate"/>
          </w:r>
          <w:r>
            <w:rPr>
              <w:rFonts w:hint="eastAsia" w:ascii="宋体" w:hAnsi="宋体" w:eastAsia="宋体" w:cs="宋体"/>
              <w:highlight w:val="none"/>
            </w:rPr>
            <w:t>2</w:t>
          </w:r>
          <w:r>
            <w:rPr>
              <w:rFonts w:hint="eastAsia" w:ascii="宋体" w:hAnsi="宋体" w:eastAsia="宋体" w:cs="宋体"/>
              <w:highlight w:val="none"/>
            </w:rPr>
            <w:fldChar w:fldCharType="end"/>
          </w:r>
          <w:r>
            <w:rPr>
              <w:rFonts w:hint="eastAsia" w:ascii="宋体" w:hAnsi="宋体" w:eastAsia="宋体" w:cs="宋体"/>
              <w:highlight w:val="none"/>
            </w:rPr>
            <w:fldChar w:fldCharType="end"/>
          </w:r>
        </w:p>
        <w:p w14:paraId="18B295BC">
          <w:pPr>
            <w:pStyle w:val="31"/>
            <w:tabs>
              <w:tab w:val="right" w:leader="dot" w:pos="9354"/>
              <w:tab w:val="clear" w:pos="9241"/>
            </w:tabs>
            <w:ind w:firstLine="210" w:firstLineChars="100"/>
            <w:rPr>
              <w:rFonts w:hint="eastAsia" w:ascii="宋体" w:hAnsi="宋体" w:eastAsia="宋体" w:cs="宋体"/>
              <w:highlight w:val="none"/>
            </w:rPr>
          </w:pPr>
          <w:r>
            <w:rPr>
              <w:rFonts w:hint="eastAsia" w:ascii="宋体" w:hAnsi="宋体" w:eastAsia="宋体" w:cs="宋体"/>
              <w:highlight w:val="none"/>
            </w:rPr>
            <w:fldChar w:fldCharType="begin"/>
          </w:r>
          <w:r>
            <w:rPr>
              <w:rFonts w:hint="eastAsia" w:ascii="宋体" w:hAnsi="宋体" w:eastAsia="宋体" w:cs="宋体"/>
              <w:highlight w:val="none"/>
            </w:rPr>
            <w:instrText xml:space="preserve"> HYPERLINK \l _Toc28557 </w:instrText>
          </w:r>
          <w:r>
            <w:rPr>
              <w:rFonts w:hint="eastAsia" w:ascii="宋体" w:hAnsi="宋体" w:eastAsia="宋体" w:cs="宋体"/>
              <w:highlight w:val="none"/>
            </w:rPr>
            <w:fldChar w:fldCharType="separate"/>
          </w:r>
          <w:r>
            <w:rPr>
              <w:rFonts w:hint="eastAsia" w:ascii="宋体" w:hAnsi="宋体" w:eastAsia="宋体" w:cs="宋体"/>
              <w:bCs w:val="0"/>
              <w:i w:val="0"/>
              <w:iCs w:val="0"/>
              <w:caps w:val="0"/>
              <w:strike w:val="0"/>
              <w:dstrike w:val="0"/>
              <w:vanish w:val="0"/>
              <w:spacing w:val="0"/>
              <w:kern w:val="0"/>
              <w:position w:val="0"/>
              <w:szCs w:val="21"/>
              <w:highlight w:val="none"/>
              <w:vertAlign w:val="baseline"/>
              <w14:shadow w14:blurRad="0" w14:dist="0" w14:dir="0" w14:sx="0" w14:sy="0" w14:kx="0" w14:ky="0" w14:algn="none">
                <w14:srgbClr w14:val="000000"/>
              </w14:shadow>
            </w:rPr>
            <w:t xml:space="preserve">5.2 </w:t>
          </w:r>
          <w:r>
            <w:rPr>
              <w:rFonts w:hint="eastAsia" w:ascii="宋体" w:hAnsi="宋体" w:eastAsia="宋体" w:cs="宋体"/>
              <w:bCs w:val="0"/>
              <w:i w:val="0"/>
              <w:iCs w:val="0"/>
              <w:caps w:val="0"/>
              <w:strike w:val="0"/>
              <w:dstrike w:val="0"/>
              <w:vanish w:val="0"/>
              <w:spacing w:val="0"/>
              <w:kern w:val="0"/>
              <w:position w:val="0"/>
              <w:szCs w:val="21"/>
              <w:highlight w:val="none"/>
              <w:vertAlign w:val="baseline"/>
              <w:lang w:val="en-US" w:eastAsia="zh-CN"/>
              <w14:shadow w14:blurRad="0" w14:dist="0" w14:dir="0" w14:sx="0" w14:sy="0" w14:kx="0" w14:ky="0" w14:algn="none">
                <w14:srgbClr w14:val="000000"/>
              </w14:shadow>
            </w:rPr>
            <w:t xml:space="preserve"> </w:t>
          </w:r>
          <w:r>
            <w:rPr>
              <w:rFonts w:hint="eastAsia" w:ascii="宋体" w:hAnsi="宋体" w:eastAsia="宋体" w:cs="宋体"/>
              <w:highlight w:val="none"/>
            </w:rPr>
            <w:t>综合评价</w:t>
          </w:r>
          <w:r>
            <w:rPr>
              <w:rFonts w:hint="eastAsia" w:ascii="宋体" w:hAnsi="宋体" w:eastAsia="宋体" w:cs="宋体"/>
              <w:highlight w:val="none"/>
            </w:rPr>
            <w:tab/>
          </w:r>
          <w:r>
            <w:rPr>
              <w:rFonts w:hint="eastAsia" w:ascii="宋体" w:hAnsi="宋体" w:eastAsia="宋体" w:cs="宋体"/>
              <w:highlight w:val="none"/>
            </w:rPr>
            <w:fldChar w:fldCharType="begin"/>
          </w:r>
          <w:r>
            <w:rPr>
              <w:rFonts w:hint="eastAsia" w:ascii="宋体" w:hAnsi="宋体" w:eastAsia="宋体" w:cs="宋体"/>
              <w:highlight w:val="none"/>
            </w:rPr>
            <w:instrText xml:space="preserve"> PAGEREF _Toc28557 \h </w:instrText>
          </w:r>
          <w:r>
            <w:rPr>
              <w:rFonts w:hint="eastAsia" w:ascii="宋体" w:hAnsi="宋体" w:eastAsia="宋体" w:cs="宋体"/>
              <w:highlight w:val="none"/>
            </w:rPr>
            <w:fldChar w:fldCharType="separate"/>
          </w:r>
          <w:r>
            <w:rPr>
              <w:rFonts w:hint="eastAsia" w:ascii="宋体" w:hAnsi="宋体" w:eastAsia="宋体" w:cs="宋体"/>
              <w:highlight w:val="none"/>
            </w:rPr>
            <w:t>2</w:t>
          </w:r>
          <w:r>
            <w:rPr>
              <w:rFonts w:hint="eastAsia" w:ascii="宋体" w:hAnsi="宋体" w:eastAsia="宋体" w:cs="宋体"/>
              <w:highlight w:val="none"/>
            </w:rPr>
            <w:fldChar w:fldCharType="end"/>
          </w:r>
          <w:r>
            <w:rPr>
              <w:rFonts w:hint="eastAsia" w:ascii="宋体" w:hAnsi="宋体" w:eastAsia="宋体" w:cs="宋体"/>
              <w:highlight w:val="none"/>
            </w:rPr>
            <w:fldChar w:fldCharType="end"/>
          </w:r>
        </w:p>
        <w:p w14:paraId="23F89108">
          <w:pPr>
            <w:pStyle w:val="22"/>
            <w:tabs>
              <w:tab w:val="right" w:leader="dot" w:pos="9354"/>
              <w:tab w:val="clear" w:pos="9241"/>
            </w:tabs>
            <w:rPr>
              <w:rFonts w:hint="eastAsia" w:ascii="宋体" w:hAnsi="宋体" w:eastAsia="宋体" w:cs="宋体"/>
              <w:highlight w:val="none"/>
            </w:rPr>
          </w:pPr>
          <w:r>
            <w:rPr>
              <w:rFonts w:hint="eastAsia" w:ascii="宋体" w:hAnsi="宋体" w:eastAsia="宋体" w:cs="宋体"/>
              <w:highlight w:val="none"/>
            </w:rPr>
            <w:fldChar w:fldCharType="begin"/>
          </w:r>
          <w:r>
            <w:rPr>
              <w:rFonts w:hint="eastAsia" w:ascii="宋体" w:hAnsi="宋体" w:eastAsia="宋体" w:cs="宋体"/>
              <w:highlight w:val="none"/>
            </w:rPr>
            <w:instrText xml:space="preserve"> HYPERLINK \l _Toc25576 </w:instrText>
          </w:r>
          <w:r>
            <w:rPr>
              <w:rFonts w:hint="eastAsia" w:ascii="宋体" w:hAnsi="宋体" w:eastAsia="宋体" w:cs="宋体"/>
              <w:highlight w:val="none"/>
            </w:rPr>
            <w:fldChar w:fldCharType="separate"/>
          </w:r>
          <w:r>
            <w:rPr>
              <w:rFonts w:hint="eastAsia" w:ascii="宋体" w:hAnsi="宋体" w:eastAsia="宋体" w:cs="宋体"/>
              <w:i w:val="0"/>
              <w:szCs w:val="21"/>
              <w:highlight w:val="none"/>
            </w:rPr>
            <w:t xml:space="preserve">6 </w:t>
          </w:r>
          <w:r>
            <w:rPr>
              <w:rFonts w:hint="eastAsia" w:ascii="宋体" w:hAnsi="宋体" w:eastAsia="宋体" w:cs="宋体"/>
              <w:i w:val="0"/>
              <w:szCs w:val="21"/>
              <w:highlight w:val="none"/>
              <w:lang w:val="en-US" w:eastAsia="zh-CN"/>
            </w:rPr>
            <w:t xml:space="preserve"> </w:t>
          </w:r>
          <w:r>
            <w:rPr>
              <w:rFonts w:hint="eastAsia" w:ascii="宋体" w:hAnsi="宋体" w:eastAsia="宋体" w:cs="宋体"/>
              <w:highlight w:val="none"/>
              <w:lang w:val="en-US" w:eastAsia="zh-CN"/>
            </w:rPr>
            <w:t>绿色低碳产业项目评价</w:t>
          </w:r>
          <w:r>
            <w:rPr>
              <w:rFonts w:hint="eastAsia" w:ascii="宋体" w:hAnsi="宋体" w:eastAsia="宋体" w:cs="宋体"/>
              <w:highlight w:val="none"/>
            </w:rPr>
            <w:tab/>
          </w:r>
          <w:r>
            <w:rPr>
              <w:rFonts w:hint="eastAsia" w:ascii="宋体" w:hAnsi="宋体" w:eastAsia="宋体" w:cs="宋体"/>
              <w:highlight w:val="none"/>
            </w:rPr>
            <w:fldChar w:fldCharType="begin"/>
          </w:r>
          <w:r>
            <w:rPr>
              <w:rFonts w:hint="eastAsia" w:ascii="宋体" w:hAnsi="宋体" w:eastAsia="宋体" w:cs="宋体"/>
              <w:highlight w:val="none"/>
            </w:rPr>
            <w:instrText xml:space="preserve"> PAGEREF _Toc25576 \h </w:instrText>
          </w:r>
          <w:r>
            <w:rPr>
              <w:rFonts w:hint="eastAsia" w:ascii="宋体" w:hAnsi="宋体" w:eastAsia="宋体" w:cs="宋体"/>
              <w:highlight w:val="none"/>
            </w:rPr>
            <w:fldChar w:fldCharType="separate"/>
          </w:r>
          <w:r>
            <w:rPr>
              <w:rFonts w:hint="eastAsia" w:ascii="宋体" w:hAnsi="宋体" w:eastAsia="宋体" w:cs="宋体"/>
              <w:highlight w:val="none"/>
            </w:rPr>
            <w:t>8</w:t>
          </w:r>
          <w:r>
            <w:rPr>
              <w:rFonts w:hint="eastAsia" w:ascii="宋体" w:hAnsi="宋体" w:eastAsia="宋体" w:cs="宋体"/>
              <w:highlight w:val="none"/>
            </w:rPr>
            <w:fldChar w:fldCharType="end"/>
          </w:r>
          <w:r>
            <w:rPr>
              <w:rFonts w:hint="eastAsia" w:ascii="宋体" w:hAnsi="宋体" w:eastAsia="宋体" w:cs="宋体"/>
              <w:highlight w:val="none"/>
            </w:rPr>
            <w:fldChar w:fldCharType="end"/>
          </w:r>
        </w:p>
        <w:p w14:paraId="16D8C7F7">
          <w:pPr>
            <w:pStyle w:val="31"/>
            <w:tabs>
              <w:tab w:val="right" w:leader="dot" w:pos="9354"/>
              <w:tab w:val="clear" w:pos="9241"/>
            </w:tabs>
            <w:ind w:firstLine="210" w:firstLineChars="100"/>
            <w:rPr>
              <w:rFonts w:hint="eastAsia" w:ascii="宋体" w:hAnsi="宋体" w:eastAsia="宋体" w:cs="宋体"/>
              <w:highlight w:val="none"/>
            </w:rPr>
          </w:pPr>
          <w:r>
            <w:rPr>
              <w:rFonts w:hint="eastAsia" w:ascii="宋体" w:hAnsi="宋体" w:eastAsia="宋体" w:cs="宋体"/>
              <w:highlight w:val="none"/>
            </w:rPr>
            <w:fldChar w:fldCharType="begin"/>
          </w:r>
          <w:r>
            <w:rPr>
              <w:rFonts w:hint="eastAsia" w:ascii="宋体" w:hAnsi="宋体" w:eastAsia="宋体" w:cs="宋体"/>
              <w:highlight w:val="none"/>
            </w:rPr>
            <w:instrText xml:space="preserve"> HYPERLINK \l _Toc5632 </w:instrText>
          </w:r>
          <w:r>
            <w:rPr>
              <w:rFonts w:hint="eastAsia" w:ascii="宋体" w:hAnsi="宋体" w:eastAsia="宋体" w:cs="宋体"/>
              <w:highlight w:val="none"/>
            </w:rPr>
            <w:fldChar w:fldCharType="separate"/>
          </w:r>
          <w:r>
            <w:rPr>
              <w:rFonts w:hint="eastAsia" w:ascii="宋体" w:hAnsi="宋体" w:eastAsia="宋体" w:cs="宋体"/>
              <w:bCs w:val="0"/>
              <w:i w:val="0"/>
              <w:iCs w:val="0"/>
              <w:caps w:val="0"/>
              <w:strike w:val="0"/>
              <w:dstrike w:val="0"/>
              <w:vanish w:val="0"/>
              <w:spacing w:val="0"/>
              <w:kern w:val="0"/>
              <w:position w:val="0"/>
              <w:szCs w:val="21"/>
              <w:highlight w:val="none"/>
              <w:vertAlign w:val="baseline"/>
              <w:lang w:val="en-US" w:eastAsia="zh-CN"/>
              <w14:shadow w14:blurRad="0" w14:dist="0" w14:dir="0" w14:sx="0" w14:sy="0" w14:kx="0" w14:ky="0" w14:algn="none">
                <w14:srgbClr w14:val="000000"/>
              </w14:shadow>
            </w:rPr>
            <w:t xml:space="preserve">6.1  </w:t>
          </w:r>
          <w:r>
            <w:rPr>
              <w:rFonts w:hint="eastAsia" w:ascii="宋体" w:hAnsi="宋体" w:eastAsia="宋体" w:cs="宋体"/>
              <w:highlight w:val="none"/>
              <w:lang w:val="en-US" w:eastAsia="zh-CN"/>
            </w:rPr>
            <w:t>符合性评价</w:t>
          </w:r>
          <w:r>
            <w:rPr>
              <w:rFonts w:hint="eastAsia" w:ascii="宋体" w:hAnsi="宋体" w:eastAsia="宋体" w:cs="宋体"/>
              <w:highlight w:val="none"/>
            </w:rPr>
            <w:tab/>
          </w:r>
          <w:r>
            <w:rPr>
              <w:rFonts w:hint="eastAsia" w:ascii="宋体" w:hAnsi="宋体" w:eastAsia="宋体" w:cs="宋体"/>
              <w:highlight w:val="none"/>
            </w:rPr>
            <w:fldChar w:fldCharType="begin"/>
          </w:r>
          <w:r>
            <w:rPr>
              <w:rFonts w:hint="eastAsia" w:ascii="宋体" w:hAnsi="宋体" w:eastAsia="宋体" w:cs="宋体"/>
              <w:highlight w:val="none"/>
            </w:rPr>
            <w:instrText xml:space="preserve"> PAGEREF _Toc5632 \h </w:instrText>
          </w:r>
          <w:r>
            <w:rPr>
              <w:rFonts w:hint="eastAsia" w:ascii="宋体" w:hAnsi="宋体" w:eastAsia="宋体" w:cs="宋体"/>
              <w:highlight w:val="none"/>
            </w:rPr>
            <w:fldChar w:fldCharType="separate"/>
          </w:r>
          <w:r>
            <w:rPr>
              <w:rFonts w:hint="eastAsia" w:ascii="宋体" w:hAnsi="宋体" w:eastAsia="宋体" w:cs="宋体"/>
              <w:highlight w:val="none"/>
            </w:rPr>
            <w:t>8</w:t>
          </w:r>
          <w:r>
            <w:rPr>
              <w:rFonts w:hint="eastAsia" w:ascii="宋体" w:hAnsi="宋体" w:eastAsia="宋体" w:cs="宋体"/>
              <w:highlight w:val="none"/>
            </w:rPr>
            <w:fldChar w:fldCharType="end"/>
          </w:r>
          <w:r>
            <w:rPr>
              <w:rFonts w:hint="eastAsia" w:ascii="宋体" w:hAnsi="宋体" w:eastAsia="宋体" w:cs="宋体"/>
              <w:highlight w:val="none"/>
            </w:rPr>
            <w:fldChar w:fldCharType="end"/>
          </w:r>
        </w:p>
        <w:p w14:paraId="66DBE3F3">
          <w:pPr>
            <w:pStyle w:val="31"/>
            <w:tabs>
              <w:tab w:val="right" w:leader="dot" w:pos="9354"/>
              <w:tab w:val="clear" w:pos="9241"/>
            </w:tabs>
            <w:ind w:firstLine="210" w:firstLineChars="100"/>
            <w:rPr>
              <w:rFonts w:hint="eastAsia" w:ascii="宋体" w:hAnsi="宋体" w:eastAsia="宋体" w:cs="宋体"/>
              <w:highlight w:val="none"/>
            </w:rPr>
          </w:pPr>
          <w:r>
            <w:rPr>
              <w:rFonts w:hint="eastAsia" w:ascii="宋体" w:hAnsi="宋体" w:eastAsia="宋体" w:cs="宋体"/>
              <w:highlight w:val="none"/>
            </w:rPr>
            <w:fldChar w:fldCharType="begin"/>
          </w:r>
          <w:r>
            <w:rPr>
              <w:rFonts w:hint="eastAsia" w:ascii="宋体" w:hAnsi="宋体" w:eastAsia="宋体" w:cs="宋体"/>
              <w:highlight w:val="none"/>
            </w:rPr>
            <w:instrText xml:space="preserve"> HYPERLINK \l _Toc21232 </w:instrText>
          </w:r>
          <w:r>
            <w:rPr>
              <w:rFonts w:hint="eastAsia" w:ascii="宋体" w:hAnsi="宋体" w:eastAsia="宋体" w:cs="宋体"/>
              <w:highlight w:val="none"/>
            </w:rPr>
            <w:fldChar w:fldCharType="separate"/>
          </w:r>
          <w:r>
            <w:rPr>
              <w:rFonts w:hint="eastAsia" w:ascii="宋体" w:hAnsi="宋体" w:eastAsia="宋体" w:cs="宋体"/>
              <w:bCs w:val="0"/>
              <w:i w:val="0"/>
              <w:iCs w:val="0"/>
              <w:caps w:val="0"/>
              <w:strike w:val="0"/>
              <w:dstrike w:val="0"/>
              <w:vanish w:val="0"/>
              <w:spacing w:val="0"/>
              <w:kern w:val="0"/>
              <w:position w:val="0"/>
              <w:szCs w:val="21"/>
              <w:highlight w:val="none"/>
              <w:vertAlign w:val="baseline"/>
              <w:lang w:val="en-US" w:eastAsia="zh-CN"/>
              <w14:shadow w14:blurRad="0" w14:dist="0" w14:dir="0" w14:sx="0" w14:sy="0" w14:kx="0" w14:ky="0" w14:algn="none">
                <w14:srgbClr w14:val="000000"/>
              </w14:shadow>
            </w:rPr>
            <w:t xml:space="preserve">6.2  </w:t>
          </w:r>
          <w:r>
            <w:rPr>
              <w:rFonts w:hint="eastAsia" w:ascii="宋体" w:hAnsi="宋体" w:eastAsia="宋体" w:cs="宋体"/>
              <w:highlight w:val="none"/>
              <w:lang w:val="en-US" w:eastAsia="zh-CN"/>
            </w:rPr>
            <w:t>综合评价</w:t>
          </w:r>
          <w:r>
            <w:rPr>
              <w:rFonts w:hint="eastAsia" w:ascii="宋体" w:hAnsi="宋体" w:eastAsia="宋体" w:cs="宋体"/>
              <w:highlight w:val="none"/>
            </w:rPr>
            <w:tab/>
          </w:r>
          <w:r>
            <w:rPr>
              <w:rFonts w:hint="eastAsia" w:ascii="宋体" w:hAnsi="宋体" w:eastAsia="宋体" w:cs="宋体"/>
              <w:highlight w:val="none"/>
            </w:rPr>
            <w:fldChar w:fldCharType="begin"/>
          </w:r>
          <w:r>
            <w:rPr>
              <w:rFonts w:hint="eastAsia" w:ascii="宋体" w:hAnsi="宋体" w:eastAsia="宋体" w:cs="宋体"/>
              <w:highlight w:val="none"/>
            </w:rPr>
            <w:instrText xml:space="preserve"> PAGEREF _Toc21232 \h </w:instrText>
          </w:r>
          <w:r>
            <w:rPr>
              <w:rFonts w:hint="eastAsia" w:ascii="宋体" w:hAnsi="宋体" w:eastAsia="宋体" w:cs="宋体"/>
              <w:highlight w:val="none"/>
            </w:rPr>
            <w:fldChar w:fldCharType="separate"/>
          </w:r>
          <w:r>
            <w:rPr>
              <w:rFonts w:hint="eastAsia" w:ascii="宋体" w:hAnsi="宋体" w:eastAsia="宋体" w:cs="宋体"/>
              <w:highlight w:val="none"/>
            </w:rPr>
            <w:t>9</w:t>
          </w:r>
          <w:r>
            <w:rPr>
              <w:rFonts w:hint="eastAsia" w:ascii="宋体" w:hAnsi="宋体" w:eastAsia="宋体" w:cs="宋体"/>
              <w:highlight w:val="none"/>
            </w:rPr>
            <w:fldChar w:fldCharType="end"/>
          </w:r>
          <w:r>
            <w:rPr>
              <w:rFonts w:hint="eastAsia" w:ascii="宋体" w:hAnsi="宋体" w:eastAsia="宋体" w:cs="宋体"/>
              <w:highlight w:val="none"/>
            </w:rPr>
            <w:fldChar w:fldCharType="end"/>
          </w:r>
        </w:p>
        <w:p w14:paraId="3373F20B">
          <w:pPr>
            <w:pStyle w:val="22"/>
            <w:tabs>
              <w:tab w:val="right" w:leader="dot" w:pos="9354"/>
              <w:tab w:val="clear" w:pos="9241"/>
            </w:tabs>
            <w:rPr>
              <w:rFonts w:hint="eastAsia" w:ascii="宋体" w:hAnsi="宋体" w:eastAsia="宋体" w:cs="宋体"/>
              <w:highlight w:val="none"/>
            </w:rPr>
          </w:pPr>
          <w:r>
            <w:rPr>
              <w:rFonts w:hint="eastAsia" w:ascii="宋体" w:hAnsi="宋体" w:eastAsia="宋体" w:cs="宋体"/>
              <w:highlight w:val="none"/>
            </w:rPr>
            <w:fldChar w:fldCharType="begin"/>
          </w:r>
          <w:r>
            <w:rPr>
              <w:rFonts w:hint="eastAsia" w:ascii="宋体" w:hAnsi="宋体" w:eastAsia="宋体" w:cs="宋体"/>
              <w:highlight w:val="none"/>
            </w:rPr>
            <w:instrText xml:space="preserve"> HYPERLINK \l _Toc24683 </w:instrText>
          </w:r>
          <w:r>
            <w:rPr>
              <w:rFonts w:hint="eastAsia" w:ascii="宋体" w:hAnsi="宋体" w:eastAsia="宋体" w:cs="宋体"/>
              <w:highlight w:val="none"/>
            </w:rPr>
            <w:fldChar w:fldCharType="separate"/>
          </w:r>
          <w:r>
            <w:rPr>
              <w:rFonts w:hint="eastAsia" w:ascii="宋体" w:hAnsi="宋体" w:eastAsia="宋体" w:cs="宋体"/>
              <w:i w:val="0"/>
              <w:szCs w:val="21"/>
              <w:highlight w:val="none"/>
            </w:rPr>
            <w:t xml:space="preserve">7 </w:t>
          </w:r>
          <w:r>
            <w:rPr>
              <w:rFonts w:hint="eastAsia" w:ascii="宋体" w:hAnsi="宋体" w:eastAsia="宋体" w:cs="宋体"/>
              <w:i w:val="0"/>
              <w:szCs w:val="21"/>
              <w:highlight w:val="none"/>
              <w:lang w:val="en-US" w:eastAsia="zh-CN"/>
            </w:rPr>
            <w:t xml:space="preserve"> </w:t>
          </w:r>
          <w:r>
            <w:rPr>
              <w:rFonts w:hint="eastAsia" w:ascii="宋体" w:hAnsi="宋体" w:eastAsia="宋体" w:cs="宋体"/>
              <w:highlight w:val="none"/>
            </w:rPr>
            <w:t>评价程序</w:t>
          </w:r>
          <w:r>
            <w:rPr>
              <w:rFonts w:hint="eastAsia" w:ascii="宋体" w:hAnsi="宋体" w:eastAsia="宋体" w:cs="宋体"/>
              <w:highlight w:val="none"/>
            </w:rPr>
            <w:tab/>
          </w:r>
          <w:r>
            <w:rPr>
              <w:rFonts w:hint="eastAsia" w:ascii="宋体" w:hAnsi="宋体" w:eastAsia="宋体" w:cs="宋体"/>
              <w:highlight w:val="none"/>
            </w:rPr>
            <w:fldChar w:fldCharType="begin"/>
          </w:r>
          <w:r>
            <w:rPr>
              <w:rFonts w:hint="eastAsia" w:ascii="宋体" w:hAnsi="宋体" w:eastAsia="宋体" w:cs="宋体"/>
              <w:highlight w:val="none"/>
            </w:rPr>
            <w:instrText xml:space="preserve"> PAGEREF _Toc24683 \h </w:instrText>
          </w:r>
          <w:r>
            <w:rPr>
              <w:rFonts w:hint="eastAsia" w:ascii="宋体" w:hAnsi="宋体" w:eastAsia="宋体" w:cs="宋体"/>
              <w:highlight w:val="none"/>
            </w:rPr>
            <w:fldChar w:fldCharType="separate"/>
          </w:r>
          <w:r>
            <w:rPr>
              <w:rFonts w:hint="eastAsia" w:ascii="宋体" w:hAnsi="宋体" w:eastAsia="宋体" w:cs="宋体"/>
              <w:highlight w:val="none"/>
            </w:rPr>
            <w:t>10</w:t>
          </w:r>
          <w:r>
            <w:rPr>
              <w:rFonts w:hint="eastAsia" w:ascii="宋体" w:hAnsi="宋体" w:eastAsia="宋体" w:cs="宋体"/>
              <w:highlight w:val="none"/>
            </w:rPr>
            <w:fldChar w:fldCharType="end"/>
          </w:r>
          <w:r>
            <w:rPr>
              <w:rFonts w:hint="eastAsia" w:ascii="宋体" w:hAnsi="宋体" w:eastAsia="宋体" w:cs="宋体"/>
              <w:highlight w:val="none"/>
            </w:rPr>
            <w:fldChar w:fldCharType="end"/>
          </w:r>
        </w:p>
        <w:p w14:paraId="32529A31">
          <w:pPr>
            <w:pStyle w:val="31"/>
            <w:tabs>
              <w:tab w:val="right" w:leader="dot" w:pos="9354"/>
              <w:tab w:val="clear" w:pos="9241"/>
            </w:tabs>
            <w:ind w:firstLine="210" w:firstLineChars="100"/>
            <w:rPr>
              <w:rFonts w:hint="eastAsia" w:ascii="宋体" w:hAnsi="宋体" w:eastAsia="宋体" w:cs="宋体"/>
              <w:highlight w:val="none"/>
            </w:rPr>
          </w:pPr>
          <w:r>
            <w:rPr>
              <w:rFonts w:hint="eastAsia" w:ascii="宋体" w:hAnsi="宋体" w:eastAsia="宋体" w:cs="宋体"/>
              <w:highlight w:val="none"/>
            </w:rPr>
            <w:fldChar w:fldCharType="begin"/>
          </w:r>
          <w:r>
            <w:rPr>
              <w:rFonts w:hint="eastAsia" w:ascii="宋体" w:hAnsi="宋体" w:eastAsia="宋体" w:cs="宋体"/>
              <w:highlight w:val="none"/>
            </w:rPr>
            <w:instrText xml:space="preserve"> HYPERLINK \l _Toc28998 </w:instrText>
          </w:r>
          <w:r>
            <w:rPr>
              <w:rFonts w:hint="eastAsia" w:ascii="宋体" w:hAnsi="宋体" w:eastAsia="宋体" w:cs="宋体"/>
              <w:highlight w:val="none"/>
            </w:rPr>
            <w:fldChar w:fldCharType="separate"/>
          </w:r>
          <w:r>
            <w:rPr>
              <w:rFonts w:hint="eastAsia" w:ascii="宋体" w:hAnsi="宋体" w:eastAsia="宋体" w:cs="宋体"/>
              <w:bCs w:val="0"/>
              <w:i w:val="0"/>
              <w:iCs w:val="0"/>
              <w:caps w:val="0"/>
              <w:strike w:val="0"/>
              <w:dstrike w:val="0"/>
              <w:vanish w:val="0"/>
              <w:spacing w:val="0"/>
              <w:kern w:val="0"/>
              <w:position w:val="0"/>
              <w:szCs w:val="21"/>
              <w:highlight w:val="none"/>
              <w:vertAlign w:val="baseline"/>
              <w14:shadow w14:blurRad="0" w14:dist="0" w14:dir="0" w14:sx="0" w14:sy="0" w14:kx="0" w14:ky="0" w14:algn="none">
                <w14:srgbClr w14:val="000000"/>
              </w14:shadow>
            </w:rPr>
            <w:t xml:space="preserve">7.1 </w:t>
          </w:r>
          <w:r>
            <w:rPr>
              <w:rFonts w:hint="eastAsia" w:ascii="宋体" w:hAnsi="宋体" w:eastAsia="宋体" w:cs="宋体"/>
              <w:bCs w:val="0"/>
              <w:i w:val="0"/>
              <w:iCs w:val="0"/>
              <w:caps w:val="0"/>
              <w:strike w:val="0"/>
              <w:dstrike w:val="0"/>
              <w:vanish w:val="0"/>
              <w:spacing w:val="0"/>
              <w:kern w:val="0"/>
              <w:position w:val="0"/>
              <w:szCs w:val="21"/>
              <w:highlight w:val="none"/>
              <w:vertAlign w:val="baseline"/>
              <w:lang w:val="en-US" w:eastAsia="zh-CN"/>
              <w14:shadow w14:blurRad="0" w14:dist="0" w14:dir="0" w14:sx="0" w14:sy="0" w14:kx="0" w14:ky="0" w14:algn="none">
                <w14:srgbClr w14:val="000000"/>
              </w14:shadow>
            </w:rPr>
            <w:t xml:space="preserve"> </w:t>
          </w:r>
          <w:r>
            <w:rPr>
              <w:rFonts w:hint="eastAsia" w:ascii="宋体" w:hAnsi="宋体" w:eastAsia="宋体" w:cs="宋体"/>
              <w:highlight w:val="none"/>
            </w:rPr>
            <w:t>成立工作组</w:t>
          </w:r>
          <w:r>
            <w:rPr>
              <w:rFonts w:hint="eastAsia" w:ascii="宋体" w:hAnsi="宋体" w:eastAsia="宋体" w:cs="宋体"/>
              <w:highlight w:val="none"/>
            </w:rPr>
            <w:tab/>
          </w:r>
          <w:r>
            <w:rPr>
              <w:rFonts w:hint="eastAsia" w:ascii="宋体" w:hAnsi="宋体" w:eastAsia="宋体" w:cs="宋体"/>
              <w:highlight w:val="none"/>
            </w:rPr>
            <w:fldChar w:fldCharType="begin"/>
          </w:r>
          <w:r>
            <w:rPr>
              <w:rFonts w:hint="eastAsia" w:ascii="宋体" w:hAnsi="宋体" w:eastAsia="宋体" w:cs="宋体"/>
              <w:highlight w:val="none"/>
            </w:rPr>
            <w:instrText xml:space="preserve"> PAGEREF _Toc28998 \h </w:instrText>
          </w:r>
          <w:r>
            <w:rPr>
              <w:rFonts w:hint="eastAsia" w:ascii="宋体" w:hAnsi="宋体" w:eastAsia="宋体" w:cs="宋体"/>
              <w:highlight w:val="none"/>
            </w:rPr>
            <w:fldChar w:fldCharType="separate"/>
          </w:r>
          <w:r>
            <w:rPr>
              <w:rFonts w:hint="eastAsia" w:ascii="宋体" w:hAnsi="宋体" w:eastAsia="宋体" w:cs="宋体"/>
              <w:highlight w:val="none"/>
            </w:rPr>
            <w:t>10</w:t>
          </w:r>
          <w:r>
            <w:rPr>
              <w:rFonts w:hint="eastAsia" w:ascii="宋体" w:hAnsi="宋体" w:eastAsia="宋体" w:cs="宋体"/>
              <w:highlight w:val="none"/>
            </w:rPr>
            <w:fldChar w:fldCharType="end"/>
          </w:r>
          <w:r>
            <w:rPr>
              <w:rFonts w:hint="eastAsia" w:ascii="宋体" w:hAnsi="宋体" w:eastAsia="宋体" w:cs="宋体"/>
              <w:highlight w:val="none"/>
            </w:rPr>
            <w:fldChar w:fldCharType="end"/>
          </w:r>
        </w:p>
        <w:p w14:paraId="0EAD69F4">
          <w:pPr>
            <w:pStyle w:val="31"/>
            <w:tabs>
              <w:tab w:val="right" w:leader="dot" w:pos="9354"/>
              <w:tab w:val="clear" w:pos="9241"/>
            </w:tabs>
            <w:ind w:firstLine="210" w:firstLineChars="100"/>
            <w:rPr>
              <w:rFonts w:hint="eastAsia" w:ascii="宋体" w:hAnsi="宋体" w:eastAsia="宋体" w:cs="宋体"/>
              <w:highlight w:val="none"/>
            </w:rPr>
          </w:pPr>
          <w:r>
            <w:rPr>
              <w:rFonts w:hint="eastAsia" w:ascii="宋体" w:hAnsi="宋体" w:eastAsia="宋体" w:cs="宋体"/>
              <w:highlight w:val="none"/>
            </w:rPr>
            <w:fldChar w:fldCharType="begin"/>
          </w:r>
          <w:r>
            <w:rPr>
              <w:rFonts w:hint="eastAsia" w:ascii="宋体" w:hAnsi="宋体" w:eastAsia="宋体" w:cs="宋体"/>
              <w:highlight w:val="none"/>
            </w:rPr>
            <w:instrText xml:space="preserve"> HYPERLINK \l _Toc16448 </w:instrText>
          </w:r>
          <w:r>
            <w:rPr>
              <w:rFonts w:hint="eastAsia" w:ascii="宋体" w:hAnsi="宋体" w:eastAsia="宋体" w:cs="宋体"/>
              <w:highlight w:val="none"/>
            </w:rPr>
            <w:fldChar w:fldCharType="separate"/>
          </w:r>
          <w:r>
            <w:rPr>
              <w:rFonts w:hint="eastAsia" w:ascii="宋体" w:hAnsi="宋体" w:eastAsia="宋体" w:cs="宋体"/>
              <w:bCs w:val="0"/>
              <w:i w:val="0"/>
              <w:iCs w:val="0"/>
              <w:caps w:val="0"/>
              <w:strike w:val="0"/>
              <w:dstrike w:val="0"/>
              <w:vanish w:val="0"/>
              <w:spacing w:val="0"/>
              <w:kern w:val="0"/>
              <w:position w:val="0"/>
              <w:szCs w:val="21"/>
              <w:highlight w:val="none"/>
              <w:vertAlign w:val="baseline"/>
              <w14:shadow w14:blurRad="0" w14:dist="0" w14:dir="0" w14:sx="0" w14:sy="0" w14:kx="0" w14:ky="0" w14:algn="none">
                <w14:srgbClr w14:val="000000"/>
              </w14:shadow>
            </w:rPr>
            <w:t xml:space="preserve">7.2 </w:t>
          </w:r>
          <w:r>
            <w:rPr>
              <w:rFonts w:hint="eastAsia" w:ascii="宋体" w:hAnsi="宋体" w:eastAsia="宋体" w:cs="宋体"/>
              <w:bCs w:val="0"/>
              <w:i w:val="0"/>
              <w:iCs w:val="0"/>
              <w:caps w:val="0"/>
              <w:strike w:val="0"/>
              <w:dstrike w:val="0"/>
              <w:vanish w:val="0"/>
              <w:spacing w:val="0"/>
              <w:kern w:val="0"/>
              <w:position w:val="0"/>
              <w:szCs w:val="21"/>
              <w:highlight w:val="none"/>
              <w:vertAlign w:val="baseline"/>
              <w:lang w:val="en-US" w:eastAsia="zh-CN"/>
              <w14:shadow w14:blurRad="0" w14:dist="0" w14:dir="0" w14:sx="0" w14:sy="0" w14:kx="0" w14:ky="0" w14:algn="none">
                <w14:srgbClr w14:val="000000"/>
              </w14:shadow>
            </w:rPr>
            <w:t xml:space="preserve"> </w:t>
          </w:r>
          <w:r>
            <w:rPr>
              <w:rFonts w:hint="eastAsia" w:ascii="宋体" w:hAnsi="宋体" w:eastAsia="宋体" w:cs="宋体"/>
              <w:highlight w:val="none"/>
            </w:rPr>
            <w:t>收集材料</w:t>
          </w:r>
          <w:r>
            <w:rPr>
              <w:rFonts w:hint="eastAsia" w:ascii="宋体" w:hAnsi="宋体" w:eastAsia="宋体" w:cs="宋体"/>
              <w:highlight w:val="none"/>
            </w:rPr>
            <w:tab/>
          </w:r>
          <w:r>
            <w:rPr>
              <w:rFonts w:hint="eastAsia" w:ascii="宋体" w:hAnsi="宋体" w:eastAsia="宋体" w:cs="宋体"/>
              <w:highlight w:val="none"/>
            </w:rPr>
            <w:fldChar w:fldCharType="begin"/>
          </w:r>
          <w:r>
            <w:rPr>
              <w:rFonts w:hint="eastAsia" w:ascii="宋体" w:hAnsi="宋体" w:eastAsia="宋体" w:cs="宋体"/>
              <w:highlight w:val="none"/>
            </w:rPr>
            <w:instrText xml:space="preserve"> PAGEREF _Toc16448 \h </w:instrText>
          </w:r>
          <w:r>
            <w:rPr>
              <w:rFonts w:hint="eastAsia" w:ascii="宋体" w:hAnsi="宋体" w:eastAsia="宋体" w:cs="宋体"/>
              <w:highlight w:val="none"/>
            </w:rPr>
            <w:fldChar w:fldCharType="separate"/>
          </w:r>
          <w:r>
            <w:rPr>
              <w:rFonts w:hint="eastAsia" w:ascii="宋体" w:hAnsi="宋体" w:eastAsia="宋体" w:cs="宋体"/>
              <w:highlight w:val="none"/>
            </w:rPr>
            <w:t>11</w:t>
          </w:r>
          <w:r>
            <w:rPr>
              <w:rFonts w:hint="eastAsia" w:ascii="宋体" w:hAnsi="宋体" w:eastAsia="宋体" w:cs="宋体"/>
              <w:highlight w:val="none"/>
            </w:rPr>
            <w:fldChar w:fldCharType="end"/>
          </w:r>
          <w:r>
            <w:rPr>
              <w:rFonts w:hint="eastAsia" w:ascii="宋体" w:hAnsi="宋体" w:eastAsia="宋体" w:cs="宋体"/>
              <w:highlight w:val="none"/>
            </w:rPr>
            <w:fldChar w:fldCharType="end"/>
          </w:r>
        </w:p>
        <w:p w14:paraId="7D6DED49">
          <w:pPr>
            <w:pStyle w:val="31"/>
            <w:tabs>
              <w:tab w:val="right" w:leader="dot" w:pos="9354"/>
              <w:tab w:val="clear" w:pos="9241"/>
            </w:tabs>
            <w:ind w:firstLine="210" w:firstLineChars="100"/>
            <w:rPr>
              <w:rFonts w:hint="eastAsia" w:ascii="宋体" w:hAnsi="宋体" w:eastAsia="宋体" w:cs="宋体"/>
              <w:highlight w:val="none"/>
            </w:rPr>
          </w:pPr>
          <w:r>
            <w:rPr>
              <w:rFonts w:hint="eastAsia" w:ascii="宋体" w:hAnsi="宋体" w:eastAsia="宋体" w:cs="宋体"/>
              <w:highlight w:val="none"/>
            </w:rPr>
            <w:fldChar w:fldCharType="begin"/>
          </w:r>
          <w:r>
            <w:rPr>
              <w:rFonts w:hint="eastAsia" w:ascii="宋体" w:hAnsi="宋体" w:eastAsia="宋体" w:cs="宋体"/>
              <w:highlight w:val="none"/>
            </w:rPr>
            <w:instrText xml:space="preserve"> HYPERLINK \l _Toc1635 </w:instrText>
          </w:r>
          <w:r>
            <w:rPr>
              <w:rFonts w:hint="eastAsia" w:ascii="宋体" w:hAnsi="宋体" w:eastAsia="宋体" w:cs="宋体"/>
              <w:highlight w:val="none"/>
            </w:rPr>
            <w:fldChar w:fldCharType="separate"/>
          </w:r>
          <w:r>
            <w:rPr>
              <w:rFonts w:hint="eastAsia" w:ascii="宋体" w:hAnsi="宋体" w:eastAsia="宋体" w:cs="宋体"/>
              <w:bCs w:val="0"/>
              <w:i w:val="0"/>
              <w:iCs w:val="0"/>
              <w:caps w:val="0"/>
              <w:strike w:val="0"/>
              <w:dstrike w:val="0"/>
              <w:vanish w:val="0"/>
              <w:spacing w:val="0"/>
              <w:kern w:val="0"/>
              <w:position w:val="0"/>
              <w:szCs w:val="21"/>
              <w:highlight w:val="none"/>
              <w:vertAlign w:val="baseline"/>
              <w14:shadow w14:blurRad="0" w14:dist="0" w14:dir="0" w14:sx="0" w14:sy="0" w14:kx="0" w14:ky="0" w14:algn="none">
                <w14:srgbClr w14:val="000000"/>
              </w14:shadow>
            </w:rPr>
            <w:t xml:space="preserve">7.3 </w:t>
          </w:r>
          <w:r>
            <w:rPr>
              <w:rFonts w:hint="eastAsia" w:ascii="宋体" w:hAnsi="宋体" w:eastAsia="宋体" w:cs="宋体"/>
              <w:bCs w:val="0"/>
              <w:i w:val="0"/>
              <w:iCs w:val="0"/>
              <w:caps w:val="0"/>
              <w:strike w:val="0"/>
              <w:dstrike w:val="0"/>
              <w:vanish w:val="0"/>
              <w:spacing w:val="0"/>
              <w:kern w:val="0"/>
              <w:position w:val="0"/>
              <w:szCs w:val="21"/>
              <w:highlight w:val="none"/>
              <w:vertAlign w:val="baseline"/>
              <w:lang w:val="en-US" w:eastAsia="zh-CN"/>
              <w14:shadow w14:blurRad="0" w14:dist="0" w14:dir="0" w14:sx="0" w14:sy="0" w14:kx="0" w14:ky="0" w14:algn="none">
                <w14:srgbClr w14:val="000000"/>
              </w14:shadow>
            </w:rPr>
            <w:t xml:space="preserve"> </w:t>
          </w:r>
          <w:r>
            <w:rPr>
              <w:rFonts w:hint="eastAsia" w:ascii="宋体" w:hAnsi="宋体" w:eastAsia="宋体" w:cs="宋体"/>
              <w:highlight w:val="none"/>
            </w:rPr>
            <w:t>编制报告</w:t>
          </w:r>
          <w:r>
            <w:rPr>
              <w:rFonts w:hint="eastAsia" w:ascii="宋体" w:hAnsi="宋体" w:eastAsia="宋体" w:cs="宋体"/>
              <w:highlight w:val="none"/>
            </w:rPr>
            <w:tab/>
          </w:r>
          <w:r>
            <w:rPr>
              <w:rFonts w:hint="eastAsia" w:ascii="宋体" w:hAnsi="宋体" w:eastAsia="宋体" w:cs="宋体"/>
              <w:highlight w:val="none"/>
            </w:rPr>
            <w:fldChar w:fldCharType="begin"/>
          </w:r>
          <w:r>
            <w:rPr>
              <w:rFonts w:hint="eastAsia" w:ascii="宋体" w:hAnsi="宋体" w:eastAsia="宋体" w:cs="宋体"/>
              <w:highlight w:val="none"/>
            </w:rPr>
            <w:instrText xml:space="preserve"> PAGEREF _Toc1635 \h </w:instrText>
          </w:r>
          <w:r>
            <w:rPr>
              <w:rFonts w:hint="eastAsia" w:ascii="宋体" w:hAnsi="宋体" w:eastAsia="宋体" w:cs="宋体"/>
              <w:highlight w:val="none"/>
            </w:rPr>
            <w:fldChar w:fldCharType="separate"/>
          </w:r>
          <w:r>
            <w:rPr>
              <w:rFonts w:hint="eastAsia" w:ascii="宋体" w:hAnsi="宋体" w:eastAsia="宋体" w:cs="宋体"/>
              <w:highlight w:val="none"/>
            </w:rPr>
            <w:t>12</w:t>
          </w:r>
          <w:r>
            <w:rPr>
              <w:rFonts w:hint="eastAsia" w:ascii="宋体" w:hAnsi="宋体" w:eastAsia="宋体" w:cs="宋体"/>
              <w:highlight w:val="none"/>
            </w:rPr>
            <w:fldChar w:fldCharType="end"/>
          </w:r>
          <w:r>
            <w:rPr>
              <w:rFonts w:hint="eastAsia" w:ascii="宋体" w:hAnsi="宋体" w:eastAsia="宋体" w:cs="宋体"/>
              <w:highlight w:val="none"/>
            </w:rPr>
            <w:fldChar w:fldCharType="end"/>
          </w:r>
        </w:p>
        <w:p w14:paraId="76860E13">
          <w:pPr>
            <w:pStyle w:val="31"/>
            <w:tabs>
              <w:tab w:val="right" w:leader="dot" w:pos="9354"/>
              <w:tab w:val="clear" w:pos="9241"/>
            </w:tabs>
            <w:ind w:firstLine="210" w:firstLineChars="100"/>
            <w:rPr>
              <w:rFonts w:hint="eastAsia" w:ascii="宋体" w:hAnsi="宋体" w:eastAsia="宋体" w:cs="宋体"/>
              <w:highlight w:val="none"/>
            </w:rPr>
          </w:pPr>
          <w:r>
            <w:rPr>
              <w:rFonts w:hint="eastAsia" w:ascii="宋体" w:hAnsi="宋体" w:eastAsia="宋体" w:cs="宋体"/>
              <w:highlight w:val="none"/>
            </w:rPr>
            <w:fldChar w:fldCharType="begin"/>
          </w:r>
          <w:r>
            <w:rPr>
              <w:rFonts w:hint="eastAsia" w:ascii="宋体" w:hAnsi="宋体" w:eastAsia="宋体" w:cs="宋体"/>
              <w:highlight w:val="none"/>
            </w:rPr>
            <w:instrText xml:space="preserve"> HYPERLINK \l _Toc13238 </w:instrText>
          </w:r>
          <w:r>
            <w:rPr>
              <w:rFonts w:hint="eastAsia" w:ascii="宋体" w:hAnsi="宋体" w:eastAsia="宋体" w:cs="宋体"/>
              <w:highlight w:val="none"/>
            </w:rPr>
            <w:fldChar w:fldCharType="separate"/>
          </w:r>
          <w:r>
            <w:rPr>
              <w:rFonts w:hint="eastAsia" w:ascii="宋体" w:hAnsi="宋体" w:eastAsia="宋体" w:cs="宋体"/>
              <w:bCs w:val="0"/>
              <w:i w:val="0"/>
              <w:iCs w:val="0"/>
              <w:caps w:val="0"/>
              <w:strike w:val="0"/>
              <w:dstrike w:val="0"/>
              <w:vanish w:val="0"/>
              <w:spacing w:val="0"/>
              <w:kern w:val="0"/>
              <w:position w:val="0"/>
              <w:szCs w:val="21"/>
              <w:highlight w:val="none"/>
              <w:vertAlign w:val="baseline"/>
              <w14:shadow w14:blurRad="0" w14:dist="0" w14:dir="0" w14:sx="0" w14:sy="0" w14:kx="0" w14:ky="0" w14:algn="none">
                <w14:srgbClr w14:val="000000"/>
              </w14:shadow>
            </w:rPr>
            <w:t xml:space="preserve">7.4 </w:t>
          </w:r>
          <w:r>
            <w:rPr>
              <w:rFonts w:hint="eastAsia" w:ascii="宋体" w:hAnsi="宋体" w:eastAsia="宋体" w:cs="宋体"/>
              <w:bCs w:val="0"/>
              <w:i w:val="0"/>
              <w:iCs w:val="0"/>
              <w:caps w:val="0"/>
              <w:strike w:val="0"/>
              <w:dstrike w:val="0"/>
              <w:vanish w:val="0"/>
              <w:spacing w:val="0"/>
              <w:kern w:val="0"/>
              <w:position w:val="0"/>
              <w:szCs w:val="21"/>
              <w:highlight w:val="none"/>
              <w:vertAlign w:val="baseline"/>
              <w:lang w:val="en-US" w:eastAsia="zh-CN"/>
              <w14:shadow w14:blurRad="0" w14:dist="0" w14:dir="0" w14:sx="0" w14:sy="0" w14:kx="0" w14:ky="0" w14:algn="none">
                <w14:srgbClr w14:val="000000"/>
              </w14:shadow>
            </w:rPr>
            <w:t xml:space="preserve"> </w:t>
          </w:r>
          <w:r>
            <w:rPr>
              <w:rFonts w:hint="eastAsia" w:ascii="宋体" w:hAnsi="宋体" w:eastAsia="宋体" w:cs="宋体"/>
              <w:highlight w:val="none"/>
            </w:rPr>
            <w:t>认定</w:t>
          </w:r>
          <w:r>
            <w:rPr>
              <w:rFonts w:hint="eastAsia" w:ascii="宋体" w:hAnsi="宋体" w:eastAsia="宋体" w:cs="宋体"/>
              <w:highlight w:val="none"/>
              <w:lang w:val="en-US" w:eastAsia="zh-CN"/>
            </w:rPr>
            <w:t>评审</w:t>
          </w:r>
          <w:r>
            <w:rPr>
              <w:rFonts w:hint="eastAsia" w:ascii="宋体" w:hAnsi="宋体" w:eastAsia="宋体" w:cs="宋体"/>
              <w:highlight w:val="none"/>
            </w:rPr>
            <w:tab/>
          </w:r>
          <w:r>
            <w:rPr>
              <w:rFonts w:hint="eastAsia" w:ascii="宋体" w:hAnsi="宋体" w:eastAsia="宋体" w:cs="宋体"/>
              <w:highlight w:val="none"/>
            </w:rPr>
            <w:fldChar w:fldCharType="begin"/>
          </w:r>
          <w:r>
            <w:rPr>
              <w:rFonts w:hint="eastAsia" w:ascii="宋体" w:hAnsi="宋体" w:eastAsia="宋体" w:cs="宋体"/>
              <w:highlight w:val="none"/>
            </w:rPr>
            <w:instrText xml:space="preserve"> PAGEREF _Toc13238 \h </w:instrText>
          </w:r>
          <w:r>
            <w:rPr>
              <w:rFonts w:hint="eastAsia" w:ascii="宋体" w:hAnsi="宋体" w:eastAsia="宋体" w:cs="宋体"/>
              <w:highlight w:val="none"/>
            </w:rPr>
            <w:fldChar w:fldCharType="separate"/>
          </w:r>
          <w:r>
            <w:rPr>
              <w:rFonts w:hint="eastAsia" w:ascii="宋体" w:hAnsi="宋体" w:eastAsia="宋体" w:cs="宋体"/>
              <w:highlight w:val="none"/>
            </w:rPr>
            <w:t>12</w:t>
          </w:r>
          <w:r>
            <w:rPr>
              <w:rFonts w:hint="eastAsia" w:ascii="宋体" w:hAnsi="宋体" w:eastAsia="宋体" w:cs="宋体"/>
              <w:highlight w:val="none"/>
            </w:rPr>
            <w:fldChar w:fldCharType="end"/>
          </w:r>
          <w:r>
            <w:rPr>
              <w:rFonts w:hint="eastAsia" w:ascii="宋体" w:hAnsi="宋体" w:eastAsia="宋体" w:cs="宋体"/>
              <w:highlight w:val="none"/>
            </w:rPr>
            <w:fldChar w:fldCharType="end"/>
          </w:r>
        </w:p>
        <w:p w14:paraId="1E9B6F4A">
          <w:pPr>
            <w:pStyle w:val="22"/>
            <w:tabs>
              <w:tab w:val="right" w:leader="dot" w:pos="9354"/>
              <w:tab w:val="clear" w:pos="9241"/>
            </w:tabs>
            <w:rPr>
              <w:rFonts w:hint="eastAsia" w:ascii="宋体" w:hAnsi="宋体" w:eastAsia="宋体" w:cs="宋体"/>
              <w:highlight w:val="none"/>
            </w:rPr>
          </w:pPr>
          <w:r>
            <w:rPr>
              <w:rFonts w:hint="eastAsia" w:ascii="宋体" w:hAnsi="宋体" w:eastAsia="宋体" w:cs="宋体"/>
              <w:highlight w:val="none"/>
            </w:rPr>
            <w:fldChar w:fldCharType="begin"/>
          </w:r>
          <w:r>
            <w:rPr>
              <w:rFonts w:hint="eastAsia" w:ascii="宋体" w:hAnsi="宋体" w:eastAsia="宋体" w:cs="宋体"/>
              <w:highlight w:val="none"/>
            </w:rPr>
            <w:instrText xml:space="preserve"> HYPERLINK \l _Toc8634 </w:instrText>
          </w:r>
          <w:r>
            <w:rPr>
              <w:rFonts w:hint="eastAsia" w:ascii="宋体" w:hAnsi="宋体" w:eastAsia="宋体" w:cs="宋体"/>
              <w:highlight w:val="none"/>
            </w:rPr>
            <w:fldChar w:fldCharType="separate"/>
          </w:r>
          <w:r>
            <w:rPr>
              <w:rFonts w:hint="eastAsia" w:ascii="宋体" w:hAnsi="宋体" w:eastAsia="宋体" w:cs="宋体"/>
              <w:i w:val="0"/>
              <w:spacing w:val="0"/>
              <w:w w:val="100"/>
              <w:highlight w:val="none"/>
            </w:rPr>
            <w:t>附录A</w:t>
          </w:r>
          <w:r>
            <w:rPr>
              <w:rFonts w:hint="eastAsia" w:ascii="宋体" w:hAnsi="宋体" w:eastAsia="宋体" w:cs="宋体"/>
              <w:highlight w:val="none"/>
            </w:rPr>
            <w:t>（</w:t>
          </w:r>
          <w:r>
            <w:rPr>
              <w:rFonts w:hint="eastAsia" w:ascii="宋体" w:hAnsi="宋体" w:eastAsia="宋体" w:cs="宋体"/>
              <w:highlight w:val="none"/>
              <w:lang w:val="en-US" w:eastAsia="zh-CN"/>
            </w:rPr>
            <w:t>规范性</w:t>
          </w:r>
          <w:r>
            <w:rPr>
              <w:rFonts w:hint="eastAsia" w:ascii="宋体" w:hAnsi="宋体" w:eastAsia="宋体" w:cs="宋体"/>
              <w:highlight w:val="none"/>
            </w:rPr>
            <w:t xml:space="preserve">） </w:t>
          </w:r>
          <w:r>
            <w:rPr>
              <w:rFonts w:hint="eastAsia" w:ascii="宋体" w:hAnsi="宋体" w:eastAsia="宋体" w:cs="宋体"/>
              <w:highlight w:val="none"/>
              <w:lang w:val="en-US" w:eastAsia="zh-CN"/>
            </w:rPr>
            <w:t xml:space="preserve"> 温室气体控制领域</w:t>
          </w:r>
          <w:r>
            <w:rPr>
              <w:rFonts w:hint="eastAsia" w:ascii="宋体" w:hAnsi="宋体" w:eastAsia="宋体" w:cs="宋体"/>
              <w:highlight w:val="none"/>
              <w:lang w:eastAsia="zh-CN"/>
            </w:rPr>
            <w:t>绿色低碳产业</w:t>
          </w:r>
          <w:r>
            <w:rPr>
              <w:rFonts w:hint="eastAsia" w:ascii="宋体" w:hAnsi="宋体" w:eastAsia="宋体" w:cs="宋体"/>
              <w:highlight w:val="none"/>
            </w:rPr>
            <w:t>关键技术先进性</w:t>
          </w:r>
          <w:r>
            <w:rPr>
              <w:rFonts w:hint="eastAsia" w:ascii="宋体" w:hAnsi="宋体" w:eastAsia="宋体" w:cs="宋体"/>
              <w:highlight w:val="none"/>
              <w:lang w:val="en-US" w:eastAsia="zh-CN"/>
            </w:rPr>
            <w:t>评价指标</w:t>
          </w:r>
          <w:r>
            <w:rPr>
              <w:rFonts w:hint="eastAsia" w:ascii="宋体" w:hAnsi="宋体" w:eastAsia="宋体" w:cs="宋体"/>
              <w:highlight w:val="none"/>
            </w:rPr>
            <w:tab/>
          </w:r>
          <w:r>
            <w:rPr>
              <w:rFonts w:hint="eastAsia" w:ascii="宋体" w:hAnsi="宋体" w:eastAsia="宋体" w:cs="宋体"/>
              <w:highlight w:val="none"/>
            </w:rPr>
            <w:fldChar w:fldCharType="begin"/>
          </w:r>
          <w:r>
            <w:rPr>
              <w:rFonts w:hint="eastAsia" w:ascii="宋体" w:hAnsi="宋体" w:eastAsia="宋体" w:cs="宋体"/>
              <w:highlight w:val="none"/>
            </w:rPr>
            <w:instrText xml:space="preserve"> PAGEREF _Toc8634 \h </w:instrText>
          </w:r>
          <w:r>
            <w:rPr>
              <w:rFonts w:hint="eastAsia" w:ascii="宋体" w:hAnsi="宋体" w:eastAsia="宋体" w:cs="宋体"/>
              <w:highlight w:val="none"/>
            </w:rPr>
            <w:fldChar w:fldCharType="separate"/>
          </w:r>
          <w:r>
            <w:rPr>
              <w:rFonts w:hint="eastAsia" w:ascii="宋体" w:hAnsi="宋体" w:eastAsia="宋体" w:cs="宋体"/>
              <w:highlight w:val="none"/>
            </w:rPr>
            <w:t>14</w:t>
          </w:r>
          <w:r>
            <w:rPr>
              <w:rFonts w:hint="eastAsia" w:ascii="宋体" w:hAnsi="宋体" w:eastAsia="宋体" w:cs="宋体"/>
              <w:highlight w:val="none"/>
            </w:rPr>
            <w:fldChar w:fldCharType="end"/>
          </w:r>
          <w:r>
            <w:rPr>
              <w:rFonts w:hint="eastAsia" w:ascii="宋体" w:hAnsi="宋体" w:eastAsia="宋体" w:cs="宋体"/>
              <w:highlight w:val="none"/>
            </w:rPr>
            <w:fldChar w:fldCharType="end"/>
          </w:r>
        </w:p>
        <w:p w14:paraId="2D6320E2">
          <w:pPr>
            <w:pStyle w:val="22"/>
            <w:tabs>
              <w:tab w:val="right" w:leader="dot" w:pos="9354"/>
              <w:tab w:val="clear" w:pos="9241"/>
            </w:tabs>
            <w:rPr>
              <w:rFonts w:hint="eastAsia" w:ascii="宋体" w:hAnsi="宋体" w:eastAsia="宋体" w:cs="宋体"/>
              <w:highlight w:val="none"/>
            </w:rPr>
          </w:pPr>
          <w:r>
            <w:rPr>
              <w:rFonts w:hint="eastAsia" w:ascii="宋体" w:hAnsi="宋体" w:eastAsia="宋体" w:cs="宋体"/>
              <w:highlight w:val="none"/>
            </w:rPr>
            <w:fldChar w:fldCharType="begin"/>
          </w:r>
          <w:r>
            <w:rPr>
              <w:rFonts w:hint="eastAsia" w:ascii="宋体" w:hAnsi="宋体" w:eastAsia="宋体" w:cs="宋体"/>
              <w:highlight w:val="none"/>
            </w:rPr>
            <w:instrText xml:space="preserve"> HYPERLINK \l _Toc22055 </w:instrText>
          </w:r>
          <w:r>
            <w:rPr>
              <w:rFonts w:hint="eastAsia" w:ascii="宋体" w:hAnsi="宋体" w:eastAsia="宋体" w:cs="宋体"/>
              <w:highlight w:val="none"/>
            </w:rPr>
            <w:fldChar w:fldCharType="separate"/>
          </w:r>
          <w:r>
            <w:rPr>
              <w:rFonts w:hint="eastAsia" w:ascii="宋体" w:hAnsi="宋体" w:eastAsia="宋体" w:cs="宋体"/>
              <w:i w:val="0"/>
              <w:spacing w:val="0"/>
              <w:w w:val="100"/>
              <w:highlight w:val="none"/>
            </w:rPr>
            <w:t>附录B</w:t>
          </w:r>
          <w:r>
            <w:rPr>
              <w:rFonts w:hint="eastAsia" w:ascii="宋体" w:hAnsi="宋体" w:eastAsia="宋体" w:cs="宋体"/>
              <w:highlight w:val="none"/>
            </w:rPr>
            <w:t xml:space="preserve">（资料性） </w:t>
          </w:r>
          <w:r>
            <w:rPr>
              <w:rFonts w:hint="eastAsia" w:ascii="宋体" w:hAnsi="宋体" w:eastAsia="宋体" w:cs="宋体"/>
              <w:highlight w:val="none"/>
              <w:lang w:val="en-US" w:eastAsia="zh-CN"/>
            </w:rPr>
            <w:t xml:space="preserve"> 温室气体控制领域环境效益指标及测算方法示例</w:t>
          </w:r>
          <w:r>
            <w:rPr>
              <w:rFonts w:hint="eastAsia" w:ascii="宋体" w:hAnsi="宋体" w:eastAsia="宋体" w:cs="宋体"/>
              <w:highlight w:val="none"/>
            </w:rPr>
            <w:tab/>
          </w:r>
          <w:r>
            <w:rPr>
              <w:rFonts w:hint="eastAsia" w:ascii="宋体" w:hAnsi="宋体" w:eastAsia="宋体" w:cs="宋体"/>
              <w:highlight w:val="none"/>
            </w:rPr>
            <w:fldChar w:fldCharType="begin"/>
          </w:r>
          <w:r>
            <w:rPr>
              <w:rFonts w:hint="eastAsia" w:ascii="宋体" w:hAnsi="宋体" w:eastAsia="宋体" w:cs="宋体"/>
              <w:highlight w:val="none"/>
            </w:rPr>
            <w:instrText xml:space="preserve"> PAGEREF _Toc22055 \h </w:instrText>
          </w:r>
          <w:r>
            <w:rPr>
              <w:rFonts w:hint="eastAsia" w:ascii="宋体" w:hAnsi="宋体" w:eastAsia="宋体" w:cs="宋体"/>
              <w:highlight w:val="none"/>
            </w:rPr>
            <w:fldChar w:fldCharType="separate"/>
          </w:r>
          <w:r>
            <w:rPr>
              <w:rFonts w:hint="eastAsia" w:ascii="宋体" w:hAnsi="宋体" w:eastAsia="宋体" w:cs="宋体"/>
              <w:highlight w:val="none"/>
            </w:rPr>
            <w:t>16</w:t>
          </w:r>
          <w:r>
            <w:rPr>
              <w:rFonts w:hint="eastAsia" w:ascii="宋体" w:hAnsi="宋体" w:eastAsia="宋体" w:cs="宋体"/>
              <w:highlight w:val="none"/>
            </w:rPr>
            <w:fldChar w:fldCharType="end"/>
          </w:r>
          <w:r>
            <w:rPr>
              <w:rFonts w:hint="eastAsia" w:ascii="宋体" w:hAnsi="宋体" w:eastAsia="宋体" w:cs="宋体"/>
              <w:highlight w:val="none"/>
            </w:rPr>
            <w:fldChar w:fldCharType="end"/>
          </w:r>
        </w:p>
        <w:p w14:paraId="610FD645">
          <w:pPr>
            <w:pStyle w:val="22"/>
            <w:tabs>
              <w:tab w:val="right" w:leader="dot" w:pos="9354"/>
              <w:tab w:val="clear" w:pos="9241"/>
            </w:tabs>
            <w:rPr>
              <w:rFonts w:hint="eastAsia" w:ascii="宋体" w:hAnsi="宋体" w:eastAsia="宋体" w:cs="宋体"/>
              <w:highlight w:val="none"/>
            </w:rPr>
          </w:pPr>
          <w:r>
            <w:rPr>
              <w:rFonts w:hint="eastAsia" w:ascii="宋体" w:hAnsi="宋体" w:eastAsia="宋体" w:cs="宋体"/>
              <w:highlight w:val="none"/>
            </w:rPr>
            <w:fldChar w:fldCharType="begin"/>
          </w:r>
          <w:r>
            <w:rPr>
              <w:rFonts w:hint="eastAsia" w:ascii="宋体" w:hAnsi="宋体" w:eastAsia="宋体" w:cs="宋体"/>
              <w:highlight w:val="none"/>
            </w:rPr>
            <w:instrText xml:space="preserve"> HYPERLINK \l _Toc23591 </w:instrText>
          </w:r>
          <w:r>
            <w:rPr>
              <w:rFonts w:hint="eastAsia" w:ascii="宋体" w:hAnsi="宋体" w:eastAsia="宋体" w:cs="宋体"/>
              <w:highlight w:val="none"/>
            </w:rPr>
            <w:fldChar w:fldCharType="separate"/>
          </w:r>
          <w:r>
            <w:rPr>
              <w:rFonts w:hint="eastAsia" w:ascii="宋体" w:hAnsi="宋体" w:eastAsia="宋体" w:cs="宋体"/>
              <w:i w:val="0"/>
              <w:spacing w:val="0"/>
              <w:w w:val="100"/>
              <w:highlight w:val="none"/>
            </w:rPr>
            <w:t>附录C</w:t>
          </w:r>
          <w:r>
            <w:rPr>
              <w:rFonts w:hint="eastAsia" w:ascii="宋体" w:hAnsi="宋体" w:eastAsia="宋体" w:cs="宋体"/>
              <w:highlight w:val="none"/>
            </w:rPr>
            <w:t xml:space="preserve">（资料性） </w:t>
          </w:r>
          <w:r>
            <w:rPr>
              <w:rFonts w:hint="eastAsia" w:ascii="宋体" w:hAnsi="宋体" w:eastAsia="宋体" w:cs="宋体"/>
              <w:highlight w:val="none"/>
              <w:lang w:val="en-US" w:eastAsia="zh-CN"/>
            </w:rPr>
            <w:t xml:space="preserve"> 温室气体控制领域</w:t>
          </w:r>
          <w:r>
            <w:rPr>
              <w:rFonts w:hint="eastAsia" w:ascii="宋体" w:hAnsi="宋体" w:eastAsia="宋体" w:cs="宋体"/>
              <w:highlight w:val="none"/>
              <w:lang w:eastAsia="zh-CN"/>
            </w:rPr>
            <w:t>绿色低碳产业</w:t>
          </w:r>
          <w:r>
            <w:rPr>
              <w:rFonts w:hint="eastAsia" w:ascii="宋体" w:hAnsi="宋体" w:eastAsia="宋体" w:cs="宋体"/>
              <w:highlight w:val="none"/>
              <w:lang w:val="en-US" w:eastAsia="zh-CN"/>
            </w:rPr>
            <w:t>企业</w:t>
          </w:r>
          <w:r>
            <w:rPr>
              <w:rFonts w:hint="eastAsia" w:ascii="宋体" w:hAnsi="宋体" w:eastAsia="宋体" w:cs="宋体"/>
              <w:highlight w:val="none"/>
            </w:rPr>
            <w:t>认定评价报告模板</w:t>
          </w:r>
          <w:r>
            <w:rPr>
              <w:rFonts w:hint="eastAsia" w:ascii="宋体" w:hAnsi="宋体" w:eastAsia="宋体" w:cs="宋体"/>
              <w:highlight w:val="none"/>
            </w:rPr>
            <w:tab/>
          </w:r>
          <w:r>
            <w:rPr>
              <w:rFonts w:hint="eastAsia" w:ascii="宋体" w:hAnsi="宋体" w:eastAsia="宋体" w:cs="宋体"/>
              <w:highlight w:val="none"/>
            </w:rPr>
            <w:fldChar w:fldCharType="begin"/>
          </w:r>
          <w:r>
            <w:rPr>
              <w:rFonts w:hint="eastAsia" w:ascii="宋体" w:hAnsi="宋体" w:eastAsia="宋体" w:cs="宋体"/>
              <w:highlight w:val="none"/>
            </w:rPr>
            <w:instrText xml:space="preserve"> PAGEREF _Toc23591 \h </w:instrText>
          </w:r>
          <w:r>
            <w:rPr>
              <w:rFonts w:hint="eastAsia" w:ascii="宋体" w:hAnsi="宋体" w:eastAsia="宋体" w:cs="宋体"/>
              <w:highlight w:val="none"/>
            </w:rPr>
            <w:fldChar w:fldCharType="separate"/>
          </w:r>
          <w:r>
            <w:rPr>
              <w:rFonts w:hint="eastAsia" w:ascii="宋体" w:hAnsi="宋体" w:eastAsia="宋体" w:cs="宋体"/>
              <w:highlight w:val="none"/>
            </w:rPr>
            <w:t>18</w:t>
          </w:r>
          <w:r>
            <w:rPr>
              <w:rFonts w:hint="eastAsia" w:ascii="宋体" w:hAnsi="宋体" w:eastAsia="宋体" w:cs="宋体"/>
              <w:highlight w:val="none"/>
            </w:rPr>
            <w:fldChar w:fldCharType="end"/>
          </w:r>
          <w:r>
            <w:rPr>
              <w:rFonts w:hint="eastAsia" w:ascii="宋体" w:hAnsi="宋体" w:eastAsia="宋体" w:cs="宋体"/>
              <w:highlight w:val="none"/>
            </w:rPr>
            <w:fldChar w:fldCharType="end"/>
          </w:r>
        </w:p>
        <w:p w14:paraId="157FDB97">
          <w:pPr>
            <w:pStyle w:val="22"/>
            <w:tabs>
              <w:tab w:val="right" w:leader="dot" w:pos="9354"/>
              <w:tab w:val="clear" w:pos="9241"/>
            </w:tabs>
            <w:rPr>
              <w:rFonts w:hint="eastAsia" w:ascii="宋体" w:hAnsi="宋体" w:eastAsia="宋体" w:cs="宋体"/>
              <w:highlight w:val="none"/>
            </w:rPr>
          </w:pPr>
          <w:r>
            <w:rPr>
              <w:rFonts w:hint="eastAsia" w:ascii="宋体" w:hAnsi="宋体" w:eastAsia="宋体" w:cs="宋体"/>
              <w:highlight w:val="none"/>
            </w:rPr>
            <w:fldChar w:fldCharType="begin"/>
          </w:r>
          <w:r>
            <w:rPr>
              <w:rFonts w:hint="eastAsia" w:ascii="宋体" w:hAnsi="宋体" w:eastAsia="宋体" w:cs="宋体"/>
              <w:highlight w:val="none"/>
            </w:rPr>
            <w:instrText xml:space="preserve"> HYPERLINK \l _Toc17470 </w:instrText>
          </w:r>
          <w:r>
            <w:rPr>
              <w:rFonts w:hint="eastAsia" w:ascii="宋体" w:hAnsi="宋体" w:eastAsia="宋体" w:cs="宋体"/>
              <w:highlight w:val="none"/>
            </w:rPr>
            <w:fldChar w:fldCharType="separate"/>
          </w:r>
          <w:r>
            <w:rPr>
              <w:rFonts w:hint="eastAsia" w:ascii="宋体" w:hAnsi="宋体" w:eastAsia="宋体" w:cs="宋体"/>
              <w:i w:val="0"/>
              <w:spacing w:val="0"/>
              <w:w w:val="100"/>
              <w:szCs w:val="20"/>
              <w:highlight w:val="none"/>
            </w:rPr>
            <w:t>附录D</w:t>
          </w:r>
          <w:r>
            <w:rPr>
              <w:rFonts w:hint="eastAsia" w:ascii="宋体" w:hAnsi="宋体" w:eastAsia="宋体" w:cs="宋体"/>
              <w:szCs w:val="20"/>
              <w:highlight w:val="none"/>
            </w:rPr>
            <w:t xml:space="preserve">（资料性） </w:t>
          </w:r>
          <w:r>
            <w:rPr>
              <w:rFonts w:hint="eastAsia" w:ascii="宋体" w:hAnsi="宋体" w:eastAsia="宋体" w:cs="宋体"/>
              <w:szCs w:val="20"/>
              <w:highlight w:val="none"/>
              <w:lang w:val="en-US" w:eastAsia="zh-CN"/>
            </w:rPr>
            <w:t xml:space="preserve"> 温室气体控制领域</w:t>
          </w:r>
          <w:r>
            <w:rPr>
              <w:rFonts w:hint="eastAsia" w:ascii="宋体" w:hAnsi="宋体" w:eastAsia="宋体" w:cs="宋体"/>
              <w:szCs w:val="20"/>
              <w:highlight w:val="none"/>
            </w:rPr>
            <w:t>绿色低碳产业项目认定评价报告模板</w:t>
          </w:r>
          <w:r>
            <w:rPr>
              <w:rFonts w:hint="eastAsia" w:ascii="宋体" w:hAnsi="宋体" w:eastAsia="宋体" w:cs="宋体"/>
              <w:highlight w:val="none"/>
            </w:rPr>
            <w:tab/>
          </w:r>
          <w:r>
            <w:rPr>
              <w:rFonts w:hint="eastAsia" w:ascii="宋体" w:hAnsi="宋体" w:eastAsia="宋体" w:cs="宋体"/>
              <w:highlight w:val="none"/>
            </w:rPr>
            <w:fldChar w:fldCharType="begin"/>
          </w:r>
          <w:r>
            <w:rPr>
              <w:rFonts w:hint="eastAsia" w:ascii="宋体" w:hAnsi="宋体" w:eastAsia="宋体" w:cs="宋体"/>
              <w:highlight w:val="none"/>
            </w:rPr>
            <w:instrText xml:space="preserve"> PAGEREF _Toc17470 \h </w:instrText>
          </w:r>
          <w:r>
            <w:rPr>
              <w:rFonts w:hint="eastAsia" w:ascii="宋体" w:hAnsi="宋体" w:eastAsia="宋体" w:cs="宋体"/>
              <w:highlight w:val="none"/>
            </w:rPr>
            <w:fldChar w:fldCharType="separate"/>
          </w:r>
          <w:r>
            <w:rPr>
              <w:rFonts w:hint="eastAsia" w:ascii="宋体" w:hAnsi="宋体" w:eastAsia="宋体" w:cs="宋体"/>
              <w:highlight w:val="none"/>
            </w:rPr>
            <w:t>22</w:t>
          </w:r>
          <w:r>
            <w:rPr>
              <w:rFonts w:hint="eastAsia" w:ascii="宋体" w:hAnsi="宋体" w:eastAsia="宋体" w:cs="宋体"/>
              <w:highlight w:val="none"/>
            </w:rPr>
            <w:fldChar w:fldCharType="end"/>
          </w:r>
          <w:r>
            <w:rPr>
              <w:rFonts w:hint="eastAsia" w:ascii="宋体" w:hAnsi="宋体" w:eastAsia="宋体" w:cs="宋体"/>
              <w:highlight w:val="none"/>
            </w:rPr>
            <w:fldChar w:fldCharType="end"/>
          </w:r>
        </w:p>
        <w:p w14:paraId="4660F75F">
          <w:pPr>
            <w:pStyle w:val="22"/>
            <w:tabs>
              <w:tab w:val="right" w:leader="dot" w:pos="9354"/>
              <w:tab w:val="clear" w:pos="9241"/>
            </w:tabs>
            <w:rPr>
              <w:rFonts w:hint="eastAsia" w:ascii="宋体" w:hAnsi="宋体" w:eastAsia="宋体" w:cs="宋体"/>
              <w:highlight w:val="none"/>
            </w:rPr>
          </w:pPr>
          <w:r>
            <w:rPr>
              <w:rFonts w:hint="eastAsia" w:ascii="宋体" w:hAnsi="宋体" w:eastAsia="宋体" w:cs="宋体"/>
              <w:highlight w:val="none"/>
            </w:rPr>
            <w:fldChar w:fldCharType="begin"/>
          </w:r>
          <w:r>
            <w:rPr>
              <w:rFonts w:hint="eastAsia" w:ascii="宋体" w:hAnsi="宋体" w:eastAsia="宋体" w:cs="宋体"/>
              <w:highlight w:val="none"/>
            </w:rPr>
            <w:instrText xml:space="preserve"> HYPERLINK \l _Toc12772 </w:instrText>
          </w:r>
          <w:r>
            <w:rPr>
              <w:rFonts w:hint="eastAsia" w:ascii="宋体" w:hAnsi="宋体" w:eastAsia="宋体" w:cs="宋体"/>
              <w:highlight w:val="none"/>
            </w:rPr>
            <w:fldChar w:fldCharType="separate"/>
          </w:r>
          <w:r>
            <w:rPr>
              <w:rFonts w:hint="eastAsia" w:ascii="宋体" w:hAnsi="宋体" w:eastAsia="宋体" w:cs="宋体"/>
              <w:i w:val="0"/>
              <w:spacing w:val="0"/>
              <w:w w:val="100"/>
              <w:highlight w:val="none"/>
            </w:rPr>
            <w:t>附录E</w:t>
          </w:r>
          <w:r>
            <w:rPr>
              <w:rFonts w:hint="eastAsia" w:ascii="宋体" w:hAnsi="宋体" w:eastAsia="宋体" w:cs="宋体"/>
              <w:highlight w:val="none"/>
            </w:rPr>
            <w:t xml:space="preserve">（资料性） </w:t>
          </w:r>
          <w:r>
            <w:rPr>
              <w:rFonts w:hint="eastAsia" w:ascii="宋体" w:hAnsi="宋体" w:eastAsia="宋体" w:cs="宋体"/>
              <w:highlight w:val="none"/>
              <w:lang w:val="en-US" w:eastAsia="zh-CN"/>
            </w:rPr>
            <w:t xml:space="preserve"> 温室气体控制领域</w:t>
          </w:r>
          <w:r>
            <w:rPr>
              <w:rFonts w:hint="eastAsia" w:ascii="宋体" w:hAnsi="宋体" w:eastAsia="宋体" w:cs="宋体"/>
              <w:highlight w:val="none"/>
              <w:lang w:eastAsia="zh-CN"/>
            </w:rPr>
            <w:t>绿色低碳产业</w:t>
          </w:r>
          <w:r>
            <w:rPr>
              <w:rFonts w:hint="eastAsia" w:ascii="宋体" w:hAnsi="宋体" w:eastAsia="宋体" w:cs="宋体"/>
              <w:highlight w:val="none"/>
            </w:rPr>
            <w:t>认定评价指标表</w:t>
          </w:r>
          <w:r>
            <w:rPr>
              <w:rFonts w:hint="eastAsia" w:ascii="宋体" w:hAnsi="宋体" w:eastAsia="宋体" w:cs="宋体"/>
              <w:highlight w:val="none"/>
            </w:rPr>
            <w:tab/>
          </w:r>
          <w:r>
            <w:rPr>
              <w:rFonts w:hint="eastAsia" w:ascii="宋体" w:hAnsi="宋体" w:eastAsia="宋体" w:cs="宋体"/>
              <w:highlight w:val="none"/>
            </w:rPr>
            <w:fldChar w:fldCharType="begin"/>
          </w:r>
          <w:r>
            <w:rPr>
              <w:rFonts w:hint="eastAsia" w:ascii="宋体" w:hAnsi="宋体" w:eastAsia="宋体" w:cs="宋体"/>
              <w:highlight w:val="none"/>
            </w:rPr>
            <w:instrText xml:space="preserve"> PAGEREF _Toc12772 \h </w:instrText>
          </w:r>
          <w:r>
            <w:rPr>
              <w:rFonts w:hint="eastAsia" w:ascii="宋体" w:hAnsi="宋体" w:eastAsia="宋体" w:cs="宋体"/>
              <w:highlight w:val="none"/>
            </w:rPr>
            <w:fldChar w:fldCharType="separate"/>
          </w:r>
          <w:r>
            <w:rPr>
              <w:rFonts w:hint="eastAsia" w:ascii="宋体" w:hAnsi="宋体" w:eastAsia="宋体" w:cs="宋体"/>
              <w:highlight w:val="none"/>
            </w:rPr>
            <w:t>26</w:t>
          </w:r>
          <w:r>
            <w:rPr>
              <w:rFonts w:hint="eastAsia" w:ascii="宋体" w:hAnsi="宋体" w:eastAsia="宋体" w:cs="宋体"/>
              <w:highlight w:val="none"/>
            </w:rPr>
            <w:fldChar w:fldCharType="end"/>
          </w:r>
          <w:r>
            <w:rPr>
              <w:rFonts w:hint="eastAsia" w:ascii="宋体" w:hAnsi="宋体" w:eastAsia="宋体" w:cs="宋体"/>
              <w:highlight w:val="none"/>
            </w:rPr>
            <w:fldChar w:fldCharType="end"/>
          </w:r>
        </w:p>
        <w:p w14:paraId="0B2DD102">
          <w:pPr>
            <w:pStyle w:val="22"/>
            <w:tabs>
              <w:tab w:val="right" w:leader="dot" w:pos="9354"/>
              <w:tab w:val="clear" w:pos="9241"/>
            </w:tabs>
            <w:rPr>
              <w:highlight w:val="none"/>
            </w:rPr>
          </w:pPr>
          <w:r>
            <w:rPr>
              <w:rFonts w:hint="eastAsia" w:ascii="宋体" w:hAnsi="宋体" w:eastAsia="宋体" w:cs="宋体"/>
              <w:highlight w:val="none"/>
            </w:rPr>
            <w:fldChar w:fldCharType="begin"/>
          </w:r>
          <w:r>
            <w:rPr>
              <w:rFonts w:hint="eastAsia" w:ascii="宋体" w:hAnsi="宋体" w:eastAsia="宋体" w:cs="宋体"/>
              <w:highlight w:val="none"/>
            </w:rPr>
            <w:instrText xml:space="preserve"> HYPERLINK \l _Toc31397 </w:instrText>
          </w:r>
          <w:r>
            <w:rPr>
              <w:rFonts w:hint="eastAsia" w:ascii="宋体" w:hAnsi="宋体" w:eastAsia="宋体" w:cs="宋体"/>
              <w:highlight w:val="none"/>
            </w:rPr>
            <w:fldChar w:fldCharType="separate"/>
          </w:r>
          <w:r>
            <w:rPr>
              <w:rFonts w:hint="eastAsia" w:ascii="宋体" w:hAnsi="宋体" w:eastAsia="宋体" w:cs="宋体"/>
              <w:highlight w:val="none"/>
            </w:rPr>
            <w:t>参考文献</w:t>
          </w:r>
          <w:r>
            <w:rPr>
              <w:rFonts w:hint="eastAsia" w:ascii="宋体" w:hAnsi="宋体" w:eastAsia="宋体" w:cs="宋体"/>
              <w:highlight w:val="none"/>
            </w:rPr>
            <w:tab/>
          </w:r>
          <w:r>
            <w:rPr>
              <w:rFonts w:hint="eastAsia" w:ascii="宋体" w:hAnsi="宋体" w:eastAsia="宋体" w:cs="宋体"/>
              <w:highlight w:val="none"/>
            </w:rPr>
            <w:fldChar w:fldCharType="begin"/>
          </w:r>
          <w:r>
            <w:rPr>
              <w:rFonts w:hint="eastAsia" w:ascii="宋体" w:hAnsi="宋体" w:eastAsia="宋体" w:cs="宋体"/>
              <w:highlight w:val="none"/>
            </w:rPr>
            <w:instrText xml:space="preserve"> PAGEREF _Toc31397 \h </w:instrText>
          </w:r>
          <w:r>
            <w:rPr>
              <w:rFonts w:hint="eastAsia" w:ascii="宋体" w:hAnsi="宋体" w:eastAsia="宋体" w:cs="宋体"/>
              <w:highlight w:val="none"/>
            </w:rPr>
            <w:fldChar w:fldCharType="separate"/>
          </w:r>
          <w:r>
            <w:rPr>
              <w:rFonts w:hint="eastAsia" w:ascii="宋体" w:hAnsi="宋体" w:eastAsia="宋体" w:cs="宋体"/>
              <w:highlight w:val="none"/>
            </w:rPr>
            <w:t>32</w:t>
          </w:r>
          <w:r>
            <w:rPr>
              <w:rFonts w:hint="eastAsia" w:ascii="宋体" w:hAnsi="宋体" w:eastAsia="宋体" w:cs="宋体"/>
              <w:highlight w:val="none"/>
            </w:rPr>
            <w:fldChar w:fldCharType="end"/>
          </w:r>
          <w:r>
            <w:rPr>
              <w:rFonts w:hint="eastAsia" w:ascii="宋体" w:hAnsi="宋体" w:eastAsia="宋体" w:cs="宋体"/>
              <w:highlight w:val="none"/>
            </w:rPr>
            <w:fldChar w:fldCharType="end"/>
          </w:r>
        </w:p>
        <w:p w14:paraId="69C0610F">
          <w:pPr>
            <w:pStyle w:val="22"/>
            <w:keepNext w:val="0"/>
            <w:keepLines w:val="0"/>
            <w:pageBreakBefore w:val="0"/>
            <w:widowControl w:val="0"/>
            <w:tabs>
              <w:tab w:val="right" w:leader="dot" w:pos="9354"/>
              <w:tab w:val="clear" w:pos="9241"/>
            </w:tabs>
            <w:kinsoku/>
            <w:wordWrap/>
            <w:overflowPunct/>
            <w:topLinePunct w:val="0"/>
            <w:autoSpaceDE/>
            <w:autoSpaceDN/>
            <w:bidi w:val="0"/>
            <w:adjustRightInd/>
            <w:snapToGrid/>
            <w:spacing w:before="79" w:beforeLines="25" w:after="79" w:afterLines="25"/>
            <w:textAlignment w:val="auto"/>
            <w:rPr>
              <w:rFonts w:hint="eastAsia" w:ascii="宋体" w:hAnsi="宋体" w:eastAsia="宋体" w:cs="宋体"/>
              <w:highlight w:val="none"/>
            </w:rPr>
          </w:pPr>
          <w:r>
            <w:rPr>
              <w:rFonts w:hint="eastAsia" w:asciiTheme="minorEastAsia" w:hAnsiTheme="minorEastAsia" w:eastAsiaTheme="minorEastAsia" w:cstheme="minorEastAsia"/>
              <w:b/>
              <w:highlight w:val="none"/>
            </w:rPr>
            <w:fldChar w:fldCharType="end"/>
          </w:r>
        </w:p>
      </w:sdtContent>
    </w:sdt>
    <w:p w14:paraId="6B02B809">
      <w:pPr>
        <w:pStyle w:val="117"/>
        <w:rPr>
          <w:rFonts w:ascii="Times New Roman"/>
          <w:highlight w:val="none"/>
        </w:rPr>
      </w:pPr>
      <w:bookmarkStart w:id="27" w:name="_Toc24032"/>
      <w:bookmarkStart w:id="28" w:name="_Toc18822"/>
      <w:r>
        <w:rPr>
          <w:rFonts w:ascii="Times New Roman"/>
          <w:highlight w:val="none"/>
        </w:rPr>
        <w:t>前</w:t>
      </w:r>
      <w:bookmarkStart w:id="29" w:name="BKQY"/>
      <w:r>
        <w:rPr>
          <w:rFonts w:ascii="Times New Roman"/>
          <w:highlight w:val="none"/>
        </w:rPr>
        <w:t>  言</w:t>
      </w:r>
      <w:bookmarkEnd w:id="27"/>
      <w:bookmarkEnd w:id="28"/>
      <w:bookmarkEnd w:id="29"/>
    </w:p>
    <w:p w14:paraId="13E7ABDF">
      <w:pPr>
        <w:pStyle w:val="26"/>
        <w:rPr>
          <w:rFonts w:hAnsi="宋体" w:cs="宋体"/>
          <w:highlight w:val="none"/>
        </w:rPr>
      </w:pPr>
      <w:r>
        <w:rPr>
          <w:rFonts w:hint="eastAsia" w:hAnsi="宋体" w:cs="宋体"/>
          <w:highlight w:val="none"/>
        </w:rPr>
        <w:t>本文件按照GB/T 1.1—2020《标准化工作导则  第1部分：标准化文件的结构和起草规则》的规定起草。</w:t>
      </w:r>
    </w:p>
    <w:p w14:paraId="5A0027DD">
      <w:pPr>
        <w:pStyle w:val="26"/>
        <w:rPr>
          <w:rFonts w:hAnsi="宋体" w:cs="宋体"/>
          <w:highlight w:val="none"/>
        </w:rPr>
      </w:pPr>
      <w:r>
        <w:rPr>
          <w:rFonts w:hint="eastAsia" w:hAnsi="宋体" w:cs="宋体"/>
          <w:highlight w:val="none"/>
        </w:rPr>
        <w:t>本文件由深圳市深圳标准促进会</w:t>
      </w:r>
      <w:r>
        <w:rPr>
          <w:rFonts w:hint="eastAsia" w:hAnsi="宋体" w:cs="宋体"/>
          <w:highlight w:val="none"/>
          <w:lang w:val="en-US" w:eastAsia="zh-CN"/>
        </w:rPr>
        <w:t>提出并</w:t>
      </w:r>
      <w:r>
        <w:rPr>
          <w:rFonts w:hint="eastAsia" w:hAnsi="宋体" w:cs="宋体"/>
          <w:highlight w:val="none"/>
        </w:rPr>
        <w:t>归口。</w:t>
      </w:r>
    </w:p>
    <w:p w14:paraId="37E1502C">
      <w:pPr>
        <w:pStyle w:val="26"/>
        <w:rPr>
          <w:rFonts w:hAnsi="宋体" w:cs="宋体"/>
          <w:highlight w:val="none"/>
        </w:rPr>
      </w:pPr>
      <w:r>
        <w:rPr>
          <w:rFonts w:hint="eastAsia" w:hAnsi="宋体" w:cs="宋体"/>
          <w:highlight w:val="none"/>
        </w:rPr>
        <w:t>本文件起草单位：深圳市生态环境局、深圳市发展和改革委员会、深圳市市场监督管理局、深圳市标准技术研究院、深圳国家高技术产业创新中心</w:t>
      </w:r>
      <w:r>
        <w:rPr>
          <w:rFonts w:hint="eastAsia" w:hAnsi="宋体" w:cs="宋体"/>
          <w:highlight w:val="none"/>
          <w:lang w:eastAsia="zh-CN"/>
        </w:rPr>
        <w:t>、</w:t>
      </w:r>
      <w:r>
        <w:rPr>
          <w:rFonts w:hint="eastAsia" w:hAnsi="宋体" w:cs="宋体"/>
          <w:highlight w:val="none"/>
        </w:rPr>
        <w:t>粤港澳大湾区（深港）计量检测认证发展促进联盟</w:t>
      </w:r>
      <w:r>
        <w:rPr>
          <w:rFonts w:hint="eastAsia" w:hAnsi="宋体" w:cs="宋体"/>
          <w:highlight w:val="none"/>
          <w:lang w:eastAsia="zh-CN"/>
        </w:rPr>
        <w:t>、深圳市计量质量检测研究院、一带一路环境技术交流与转移中心（深圳）、深圳市深汕特别合作区华润电力有限公司、深碳科技（深圳）有限公司、中海石油(中国)有限公司深圳分公司、深圳市环境科学研究院、南方科技大学、深港产学研基地（北京大学香港科技大学深圳研修院）、绿鹏环境科技(深圳)有限公司、维谛技术有限公司、深圳市燃气集团股份有限公司</w:t>
      </w:r>
      <w:r>
        <w:rPr>
          <w:rFonts w:hint="eastAsia" w:hAnsi="宋体" w:cs="宋体"/>
          <w:highlight w:val="none"/>
        </w:rPr>
        <w:t>。</w:t>
      </w:r>
    </w:p>
    <w:p w14:paraId="59BDC104">
      <w:pPr>
        <w:pStyle w:val="26"/>
        <w:rPr>
          <w:rFonts w:ascii="Times New Roman"/>
          <w:highlight w:val="none"/>
        </w:rPr>
      </w:pPr>
      <w:r>
        <w:rPr>
          <w:rFonts w:hint="eastAsia" w:hAnsi="宋体" w:cs="宋体"/>
          <w:highlight w:val="none"/>
        </w:rPr>
        <w:t>本文件主要起草人：。</w:t>
      </w:r>
    </w:p>
    <w:p w14:paraId="7C49E38A">
      <w:pPr>
        <w:pStyle w:val="55"/>
        <w:jc w:val="both"/>
        <w:rPr>
          <w:rFonts w:ascii="Times New Roman"/>
          <w:highlight w:val="none"/>
        </w:rPr>
        <w:sectPr>
          <w:headerReference r:id="rId5" w:type="default"/>
          <w:footerReference r:id="rId6" w:type="default"/>
          <w:footerReference r:id="rId7" w:type="even"/>
          <w:pgSz w:w="11906" w:h="16838"/>
          <w:pgMar w:top="567" w:right="1134" w:bottom="1134" w:left="1418" w:header="1418" w:footer="1134" w:gutter="0"/>
          <w:pgBorders>
            <w:top w:val="none" w:sz="0" w:space="0"/>
            <w:left w:val="none" w:sz="0" w:space="0"/>
            <w:bottom w:val="none" w:sz="0" w:space="0"/>
            <w:right w:val="none" w:sz="0" w:space="0"/>
          </w:pgBorders>
          <w:pgNumType w:fmt="upperRoman" w:start="1"/>
          <w:cols w:space="425" w:num="1"/>
          <w:formProt w:val="0"/>
          <w:docGrid w:type="lines" w:linePitch="312" w:charSpace="0"/>
        </w:sectPr>
      </w:pPr>
      <w:bookmarkStart w:id="30" w:name="_Toc80887605"/>
      <w:bookmarkStart w:id="31" w:name="_Toc80954704"/>
      <w:bookmarkStart w:id="32" w:name="_Toc80953770"/>
      <w:bookmarkStart w:id="33" w:name="_Toc80690485"/>
      <w:bookmarkStart w:id="34" w:name="_Toc80867248"/>
      <w:bookmarkStart w:id="35" w:name="_Toc82157004"/>
      <w:bookmarkStart w:id="36" w:name="_Toc82626056"/>
      <w:bookmarkStart w:id="37" w:name="_Toc19299"/>
      <w:bookmarkStart w:id="38" w:name="_Toc14800"/>
      <w:bookmarkStart w:id="39" w:name="_Toc24880"/>
      <w:bookmarkStart w:id="40" w:name="_Toc52091808"/>
    </w:p>
    <w:p w14:paraId="53E42CF5">
      <w:pPr>
        <w:pStyle w:val="55"/>
        <w:keepNext/>
        <w:keepLines w:val="0"/>
        <w:pageBreakBefore/>
        <w:widowControl/>
        <w:kinsoku/>
        <w:wordWrap/>
        <w:overflowPunct/>
        <w:topLinePunct w:val="0"/>
        <w:autoSpaceDE/>
        <w:autoSpaceDN/>
        <w:bidi w:val="0"/>
        <w:adjustRightInd/>
        <w:snapToGrid/>
        <w:textAlignment w:val="auto"/>
        <w:outlineLvl w:val="9"/>
        <w:rPr>
          <w:rFonts w:hint="default" w:ascii="Times New Roman" w:eastAsia="黑体"/>
          <w:highlight w:val="none"/>
          <w:lang w:val="en-US" w:eastAsia="zh-CN"/>
        </w:rPr>
      </w:pPr>
      <w:bookmarkStart w:id="41" w:name="_Toc13551"/>
      <w:bookmarkStart w:id="42" w:name="_Toc12075"/>
      <w:bookmarkStart w:id="43" w:name="_Toc25444"/>
      <w:bookmarkStart w:id="44" w:name="_Toc22650"/>
      <w:bookmarkStart w:id="45" w:name="_Toc118281011"/>
      <w:bookmarkStart w:id="46" w:name="_Toc24830"/>
      <w:bookmarkStart w:id="47" w:name="_Toc14138"/>
      <w:bookmarkStart w:id="48" w:name="_Toc711"/>
      <w:bookmarkStart w:id="49" w:name="_Toc8525"/>
      <w:bookmarkStart w:id="50" w:name="_Toc30596"/>
      <w:bookmarkStart w:id="51" w:name="_Toc18917"/>
      <w:r>
        <w:rPr>
          <w:rFonts w:hint="eastAsia" w:ascii="Times New Roman"/>
          <w:highlight w:val="none"/>
          <w:lang w:eastAsia="zh-CN"/>
        </w:rPr>
        <w:t>绿色低碳产业</w:t>
      </w:r>
      <w:r>
        <w:rPr>
          <w:rFonts w:ascii="Times New Roman"/>
          <w:highlight w:val="none"/>
        </w:rPr>
        <w:t>认定</w:t>
      </w:r>
      <w:bookmarkEnd w:id="30"/>
      <w:bookmarkEnd w:id="31"/>
      <w:bookmarkEnd w:id="32"/>
      <w:bookmarkEnd w:id="33"/>
      <w:bookmarkEnd w:id="34"/>
      <w:bookmarkEnd w:id="35"/>
      <w:r>
        <w:rPr>
          <w:rFonts w:ascii="Times New Roman"/>
          <w:highlight w:val="none"/>
        </w:rPr>
        <w:t xml:space="preserve">行业技术规范 </w:t>
      </w:r>
      <w:bookmarkEnd w:id="36"/>
      <w:bookmarkEnd w:id="37"/>
      <w:bookmarkEnd w:id="38"/>
      <w:bookmarkEnd w:id="39"/>
      <w:bookmarkEnd w:id="41"/>
      <w:bookmarkEnd w:id="42"/>
      <w:bookmarkEnd w:id="43"/>
      <w:bookmarkEnd w:id="44"/>
      <w:bookmarkEnd w:id="45"/>
      <w:bookmarkEnd w:id="46"/>
      <w:bookmarkEnd w:id="47"/>
      <w:bookmarkEnd w:id="48"/>
      <w:bookmarkEnd w:id="49"/>
      <w:bookmarkEnd w:id="50"/>
      <w:r>
        <w:rPr>
          <w:rFonts w:hint="eastAsia" w:ascii="Times New Roman"/>
          <w:highlight w:val="none"/>
          <w:lang w:val="en-US" w:eastAsia="zh-CN"/>
        </w:rPr>
        <w:t>温室气体控制</w:t>
      </w:r>
      <w:bookmarkEnd w:id="51"/>
    </w:p>
    <w:p w14:paraId="4EFE2189">
      <w:pPr>
        <w:pStyle w:val="50"/>
        <w:outlineLvl w:val="0"/>
        <w:rPr>
          <w:rFonts w:ascii="Times New Roman"/>
          <w:highlight w:val="none"/>
        </w:rPr>
      </w:pPr>
      <w:bookmarkStart w:id="52" w:name="_Toc20861"/>
      <w:bookmarkStart w:id="53" w:name="_Toc16338"/>
      <w:bookmarkStart w:id="54" w:name="_Toc102992448"/>
      <w:r>
        <w:rPr>
          <w:rFonts w:ascii="Times New Roman"/>
          <w:highlight w:val="none"/>
        </w:rPr>
        <w:t>范围</w:t>
      </w:r>
      <w:bookmarkEnd w:id="40"/>
      <w:bookmarkEnd w:id="52"/>
      <w:bookmarkEnd w:id="53"/>
      <w:bookmarkEnd w:id="54"/>
    </w:p>
    <w:p w14:paraId="6ECA6E03">
      <w:pPr>
        <w:pStyle w:val="26"/>
        <w:rPr>
          <w:rFonts w:ascii="Times New Roman"/>
          <w:highlight w:val="none"/>
        </w:rPr>
      </w:pPr>
      <w:r>
        <w:rPr>
          <w:rFonts w:ascii="Times New Roman"/>
          <w:highlight w:val="none"/>
        </w:rPr>
        <w:t>本文件规定了</w:t>
      </w:r>
      <w:r>
        <w:rPr>
          <w:rFonts w:hint="eastAsia" w:ascii="Times New Roman"/>
          <w:highlight w:val="none"/>
          <w:lang w:val="en-US" w:eastAsia="zh-CN"/>
        </w:rPr>
        <w:t>温室气体控制领域</w:t>
      </w:r>
      <w:r>
        <w:rPr>
          <w:rFonts w:ascii="Times New Roman"/>
          <w:highlight w:val="none"/>
        </w:rPr>
        <w:t>绿色</w:t>
      </w:r>
      <w:r>
        <w:rPr>
          <w:rFonts w:hint="eastAsia" w:ascii="Times New Roman"/>
          <w:highlight w:val="none"/>
          <w:lang w:val="en-US" w:eastAsia="zh-CN"/>
        </w:rPr>
        <w:t>低碳</w:t>
      </w:r>
      <w:r>
        <w:rPr>
          <w:rFonts w:ascii="Times New Roman"/>
          <w:highlight w:val="none"/>
        </w:rPr>
        <w:t>产业认定评价的</w:t>
      </w:r>
      <w:r>
        <w:rPr>
          <w:rFonts w:hint="eastAsia" w:ascii="Times New Roman"/>
          <w:highlight w:val="none"/>
        </w:rPr>
        <w:t>评价原则</w:t>
      </w:r>
      <w:r>
        <w:rPr>
          <w:rFonts w:hint="eastAsia" w:ascii="Times New Roman"/>
          <w:highlight w:val="none"/>
          <w:lang w:eastAsia="zh-CN"/>
        </w:rPr>
        <w:t>、</w:t>
      </w:r>
      <w:r>
        <w:rPr>
          <w:rFonts w:hint="eastAsia" w:ascii="Times New Roman"/>
          <w:highlight w:val="none"/>
          <w:lang w:val="en-US" w:eastAsia="zh-CN"/>
        </w:rPr>
        <w:t>评价方法</w:t>
      </w:r>
      <w:r>
        <w:rPr>
          <w:rFonts w:hint="eastAsia" w:ascii="Times New Roman"/>
          <w:highlight w:val="none"/>
        </w:rPr>
        <w:t>、</w:t>
      </w:r>
      <w:r>
        <w:rPr>
          <w:rFonts w:ascii="Times New Roman"/>
          <w:highlight w:val="none"/>
        </w:rPr>
        <w:t>评价指标</w:t>
      </w:r>
      <w:r>
        <w:rPr>
          <w:rFonts w:hint="eastAsia" w:ascii="Times New Roman"/>
          <w:highlight w:val="none"/>
          <w:lang w:val="en-US" w:eastAsia="zh-CN"/>
        </w:rPr>
        <w:t>及</w:t>
      </w:r>
      <w:r>
        <w:rPr>
          <w:rFonts w:ascii="Times New Roman"/>
          <w:highlight w:val="none"/>
        </w:rPr>
        <w:t>评价程序。</w:t>
      </w:r>
    </w:p>
    <w:p w14:paraId="07092E8F">
      <w:pPr>
        <w:pStyle w:val="26"/>
        <w:rPr>
          <w:rFonts w:ascii="Times New Roman"/>
          <w:highlight w:val="none"/>
        </w:rPr>
      </w:pPr>
      <w:r>
        <w:rPr>
          <w:rFonts w:ascii="Times New Roman"/>
          <w:highlight w:val="none"/>
        </w:rPr>
        <w:t>本文件适用于</w:t>
      </w:r>
      <w:r>
        <w:rPr>
          <w:rFonts w:hint="eastAsia" w:ascii="Times New Roman"/>
          <w:highlight w:val="none"/>
          <w:lang w:val="en-US" w:eastAsia="zh-CN"/>
        </w:rPr>
        <w:t>温室气体控制领域相关企事业单位或项目</w:t>
      </w:r>
      <w:r>
        <w:rPr>
          <w:rFonts w:ascii="Times New Roman"/>
          <w:highlight w:val="none"/>
        </w:rPr>
        <w:t>的</w:t>
      </w:r>
      <w:r>
        <w:rPr>
          <w:rFonts w:hint="eastAsia" w:ascii="Times New Roman"/>
          <w:highlight w:val="none"/>
          <w:lang w:eastAsia="zh-CN"/>
        </w:rPr>
        <w:t>绿色低碳产业</w:t>
      </w:r>
      <w:r>
        <w:rPr>
          <w:rFonts w:ascii="Times New Roman"/>
          <w:highlight w:val="none"/>
        </w:rPr>
        <w:t>认定评价。</w:t>
      </w:r>
    </w:p>
    <w:p w14:paraId="3315826F">
      <w:pPr>
        <w:pStyle w:val="50"/>
        <w:outlineLvl w:val="0"/>
        <w:rPr>
          <w:rFonts w:ascii="Times New Roman"/>
          <w:highlight w:val="none"/>
        </w:rPr>
      </w:pPr>
      <w:bookmarkStart w:id="55" w:name="_Toc102992449"/>
      <w:bookmarkStart w:id="56" w:name="_Toc7988"/>
      <w:bookmarkStart w:id="57" w:name="_Toc52091809"/>
      <w:bookmarkStart w:id="58" w:name="_Toc7071"/>
      <w:r>
        <w:rPr>
          <w:rFonts w:ascii="Times New Roman"/>
          <w:highlight w:val="none"/>
        </w:rPr>
        <w:t>规范性引用文件</w:t>
      </w:r>
      <w:bookmarkEnd w:id="55"/>
      <w:bookmarkEnd w:id="56"/>
      <w:bookmarkEnd w:id="57"/>
      <w:bookmarkEnd w:id="58"/>
    </w:p>
    <w:p w14:paraId="372F0450">
      <w:pPr>
        <w:autoSpaceDE w:val="0"/>
        <w:autoSpaceDN w:val="0"/>
        <w:ind w:firstLine="420" w:firstLineChars="200"/>
        <w:rPr>
          <w:rFonts w:ascii="宋体" w:hAnsi="宋体" w:cs="宋体"/>
          <w:highlight w:val="none"/>
        </w:rPr>
      </w:pPr>
      <w:r>
        <w:rPr>
          <w:rFonts w:hint="eastAsia" w:ascii="宋体" w:hAnsi="宋体" w:cs="宋体"/>
          <w:highlight w:val="none"/>
        </w:rPr>
        <w:t>下列文件中的内容通过文中的规范性引用而构成本文件必不可少的条款。其中，注日期的引用文件，仅该日期对应的版本适用于本文件；不注日期的引用文件，其最新版本（包括所有的修改单）适用于本文件。</w:t>
      </w:r>
    </w:p>
    <w:p w14:paraId="69C836E2">
      <w:pPr>
        <w:autoSpaceDE w:val="0"/>
        <w:autoSpaceDN w:val="0"/>
        <w:ind w:firstLine="420" w:firstLineChars="200"/>
        <w:rPr>
          <w:rFonts w:hint="default" w:ascii="宋体" w:hAnsi="宋体" w:cs="宋体"/>
          <w:highlight w:val="none"/>
          <w:lang w:val="en-US" w:eastAsia="zh-CN"/>
        </w:rPr>
      </w:pPr>
      <w:r>
        <w:rPr>
          <w:rFonts w:hint="eastAsia" w:ascii="宋体" w:hAnsi="宋体" w:cs="宋体"/>
          <w:highlight w:val="none"/>
          <w:lang w:val="en-US" w:eastAsia="zh-CN"/>
        </w:rPr>
        <w:t>GB/T 150-2011  压力容器</w:t>
      </w:r>
    </w:p>
    <w:p w14:paraId="4349C014">
      <w:pPr>
        <w:autoSpaceDE w:val="0"/>
        <w:autoSpaceDN w:val="0"/>
        <w:ind w:firstLine="420" w:firstLineChars="200"/>
        <w:rPr>
          <w:rFonts w:hint="default" w:ascii="宋体" w:hAnsi="宋体" w:cs="宋体"/>
          <w:highlight w:val="none"/>
          <w:lang w:val="en-US" w:eastAsia="zh-CN"/>
        </w:rPr>
      </w:pPr>
      <w:r>
        <w:rPr>
          <w:rFonts w:hint="eastAsia" w:ascii="宋体" w:hAnsi="宋体" w:cs="宋体"/>
          <w:highlight w:val="none"/>
          <w:lang w:val="en-US" w:eastAsia="zh-CN"/>
        </w:rPr>
        <w:t>GB/T 4975-2018  容积式压缩机术语 总则</w:t>
      </w:r>
    </w:p>
    <w:p w14:paraId="41FA2F28">
      <w:pPr>
        <w:autoSpaceDE w:val="0"/>
        <w:autoSpaceDN w:val="0"/>
        <w:ind w:firstLine="420" w:firstLineChars="200"/>
        <w:rPr>
          <w:rFonts w:hint="default" w:ascii="宋体" w:hAnsi="宋体" w:cs="宋体"/>
          <w:highlight w:val="none"/>
          <w:lang w:val="en-US" w:eastAsia="zh-CN"/>
        </w:rPr>
      </w:pPr>
      <w:r>
        <w:rPr>
          <w:rFonts w:hint="eastAsia" w:ascii="宋体" w:hAnsi="宋体" w:cs="宋体"/>
          <w:highlight w:val="none"/>
          <w:lang w:val="en-US" w:eastAsia="zh-CN"/>
        </w:rPr>
        <w:t>GB/T 32150  工业企业温室气体排放核算和报告通则</w:t>
      </w:r>
    </w:p>
    <w:p w14:paraId="3310029E">
      <w:pPr>
        <w:autoSpaceDE w:val="0"/>
        <w:autoSpaceDN w:val="0"/>
        <w:ind w:firstLine="420" w:firstLineChars="200"/>
        <w:rPr>
          <w:rFonts w:hint="default" w:ascii="宋体" w:hAnsi="宋体" w:cs="宋体"/>
          <w:highlight w:val="none"/>
          <w:lang w:val="en-US" w:eastAsia="zh-CN"/>
        </w:rPr>
      </w:pPr>
      <w:r>
        <w:rPr>
          <w:rFonts w:hint="eastAsia" w:ascii="宋体" w:hAnsi="宋体" w:cs="宋体"/>
          <w:highlight w:val="none"/>
          <w:lang w:val="en-US" w:eastAsia="zh-CN"/>
        </w:rPr>
        <w:t>GB/T 45121—2024  火力发电厂烟气二氧化碳捕集系统能耗测定技术规范</w:t>
      </w:r>
    </w:p>
    <w:p w14:paraId="655C1803">
      <w:pPr>
        <w:autoSpaceDE w:val="0"/>
        <w:autoSpaceDN w:val="0"/>
        <w:ind w:firstLine="420" w:firstLineChars="200"/>
        <w:rPr>
          <w:rFonts w:hint="default" w:ascii="宋体" w:hAnsi="宋体" w:cs="宋体"/>
          <w:highlight w:val="none"/>
          <w:lang w:val="en-US" w:eastAsia="zh-CN"/>
        </w:rPr>
      </w:pPr>
      <w:r>
        <w:rPr>
          <w:rFonts w:hint="eastAsia" w:ascii="宋体" w:hAnsi="宋体" w:cs="宋体"/>
          <w:highlight w:val="none"/>
          <w:lang w:val="en-US" w:eastAsia="zh-CN"/>
        </w:rPr>
        <w:t>GB/T 51316-2018  烟气二氧化碳捕集纯化工程设计标准</w:t>
      </w:r>
    </w:p>
    <w:p w14:paraId="22E71B6A">
      <w:pPr>
        <w:autoSpaceDE w:val="0"/>
        <w:autoSpaceDN w:val="0"/>
        <w:ind w:firstLine="420" w:firstLineChars="200"/>
        <w:rPr>
          <w:rFonts w:hint="default" w:ascii="宋体" w:hAnsi="宋体" w:cs="宋体"/>
          <w:highlight w:val="none"/>
          <w:lang w:val="en-US" w:eastAsia="zh-CN"/>
        </w:rPr>
      </w:pPr>
      <w:r>
        <w:rPr>
          <w:rFonts w:hint="eastAsia" w:ascii="宋体" w:hAnsi="宋体" w:cs="宋体"/>
          <w:highlight w:val="none"/>
          <w:lang w:val="en-US" w:eastAsia="zh-CN"/>
        </w:rPr>
        <w:t>SZDB/Z 69  组织的温室气体排放 量化和报告指南</w:t>
      </w:r>
    </w:p>
    <w:p w14:paraId="2F95AE3A">
      <w:pPr>
        <w:autoSpaceDE w:val="0"/>
        <w:autoSpaceDN w:val="0"/>
        <w:ind w:firstLine="420" w:firstLineChars="200"/>
        <w:rPr>
          <w:rFonts w:hint="eastAsia" w:ascii="宋体" w:hAnsi="宋体" w:cs="宋体"/>
          <w:highlight w:val="none"/>
          <w:lang w:val="en-US" w:eastAsia="zh-CN"/>
        </w:rPr>
      </w:pPr>
      <w:r>
        <w:rPr>
          <w:rFonts w:hint="eastAsia" w:ascii="宋体" w:hAnsi="宋体" w:cs="宋体"/>
          <w:highlight w:val="none"/>
          <w:lang w:val="en-US" w:eastAsia="zh-CN"/>
        </w:rPr>
        <w:t>DB4403/T 391—2023  绿色低碳产业认定评价导则</w:t>
      </w:r>
    </w:p>
    <w:p w14:paraId="16B6C783">
      <w:pPr>
        <w:pStyle w:val="50"/>
        <w:outlineLvl w:val="0"/>
        <w:rPr>
          <w:rFonts w:ascii="Times New Roman"/>
          <w:highlight w:val="none"/>
        </w:rPr>
      </w:pPr>
      <w:bookmarkStart w:id="59" w:name="_Toc102992450"/>
      <w:bookmarkStart w:id="60" w:name="_Toc29220"/>
      <w:bookmarkStart w:id="61" w:name="_Toc10089"/>
      <w:r>
        <w:rPr>
          <w:rFonts w:ascii="Times New Roman"/>
          <w:highlight w:val="none"/>
        </w:rPr>
        <w:t>术语和定义</w:t>
      </w:r>
      <w:bookmarkEnd w:id="59"/>
      <w:bookmarkEnd w:id="60"/>
      <w:bookmarkEnd w:id="61"/>
    </w:p>
    <w:p w14:paraId="1F1DCD5C">
      <w:pPr>
        <w:pStyle w:val="26"/>
        <w:rPr>
          <w:rFonts w:ascii="Times New Roman"/>
          <w:highlight w:val="none"/>
        </w:rPr>
      </w:pPr>
      <w:bookmarkStart w:id="62" w:name="_Toc55807229"/>
      <w:bookmarkEnd w:id="62"/>
      <w:bookmarkStart w:id="63" w:name="_Toc52098625"/>
      <w:bookmarkEnd w:id="63"/>
      <w:r>
        <w:rPr>
          <w:rFonts w:ascii="Times New Roman"/>
          <w:highlight w:val="none"/>
        </w:rPr>
        <w:t>下列术语和定义适用于本文件。</w:t>
      </w:r>
    </w:p>
    <w:p w14:paraId="613C3A75">
      <w:pPr>
        <w:pStyle w:val="47"/>
        <w:spacing w:before="0" w:beforeLines="0" w:after="0" w:afterLines="0"/>
        <w:rPr>
          <w:rFonts w:ascii="Times New Roman"/>
          <w:highlight w:val="none"/>
        </w:rPr>
      </w:pPr>
    </w:p>
    <w:p w14:paraId="548DDB5E">
      <w:pPr>
        <w:pStyle w:val="26"/>
        <w:rPr>
          <w:rFonts w:ascii="Times New Roman" w:eastAsia="黑体"/>
          <w:highlight w:val="none"/>
        </w:rPr>
      </w:pPr>
      <w:r>
        <w:rPr>
          <w:rFonts w:hint="eastAsia" w:ascii="黑体" w:hAnsi="黑体" w:eastAsia="黑体" w:cs="黑体"/>
          <w:highlight w:val="none"/>
          <w:lang w:eastAsia="zh-CN"/>
        </w:rPr>
        <w:t xml:space="preserve">绿色低碳产业  </w:t>
      </w:r>
      <w:r>
        <w:rPr>
          <w:rFonts w:hint="eastAsia" w:ascii="黑体" w:hAnsi="黑体" w:eastAsia="黑体" w:cs="黑体"/>
          <w:highlight w:val="none"/>
          <w:lang w:val="en-US" w:eastAsia="zh-CN"/>
        </w:rPr>
        <w:t>g</w:t>
      </w:r>
      <w:r>
        <w:rPr>
          <w:rFonts w:hint="eastAsia" w:ascii="黑体" w:hAnsi="黑体" w:eastAsia="黑体" w:cs="黑体"/>
          <w:highlight w:val="none"/>
          <w:lang w:eastAsia="zh-CN"/>
        </w:rPr>
        <w:t>reen and low-carbon industr</w:t>
      </w:r>
      <w:r>
        <w:rPr>
          <w:rFonts w:hint="eastAsia" w:ascii="黑体" w:hAnsi="黑体" w:eastAsia="黑体" w:cs="黑体"/>
          <w:highlight w:val="none"/>
          <w:lang w:val="en-US" w:eastAsia="zh-CN"/>
        </w:rPr>
        <w:t>ies</w:t>
      </w:r>
    </w:p>
    <w:p w14:paraId="7F09D20E">
      <w:pPr>
        <w:pStyle w:val="26"/>
        <w:rPr>
          <w:rFonts w:ascii="Times New Roman"/>
          <w:highlight w:val="none"/>
        </w:rPr>
      </w:pPr>
      <w:r>
        <w:rPr>
          <w:rFonts w:hint="eastAsia" w:ascii="Times New Roman"/>
          <w:highlight w:val="none"/>
          <w:lang w:val="en-US" w:eastAsia="zh-CN"/>
        </w:rPr>
        <w:t>以低能耗、低排放和低污染为基础，</w:t>
      </w:r>
      <w:r>
        <w:rPr>
          <w:rFonts w:ascii="Times New Roman"/>
          <w:highlight w:val="none"/>
        </w:rPr>
        <w:t>提供有利于资源节约</w:t>
      </w:r>
      <w:r>
        <w:rPr>
          <w:rFonts w:hint="eastAsia" w:asciiTheme="minorEastAsia" w:hAnsiTheme="minorEastAsia" w:eastAsiaTheme="minorEastAsia" w:cstheme="minorEastAsia"/>
          <w:highlight w:val="none"/>
        </w:rPr>
        <w:t>、环境友好、生态良好</w:t>
      </w:r>
      <w:r>
        <w:rPr>
          <w:rFonts w:ascii="Times New Roman"/>
          <w:highlight w:val="none"/>
        </w:rPr>
        <w:t>的产品或服务的企事业单位</w:t>
      </w:r>
      <w:r>
        <w:rPr>
          <w:rFonts w:hint="eastAsia" w:ascii="Times New Roman"/>
          <w:highlight w:val="none"/>
          <w:lang w:val="en-US" w:eastAsia="zh-CN"/>
        </w:rPr>
        <w:t>及项目</w:t>
      </w:r>
      <w:r>
        <w:rPr>
          <w:rFonts w:ascii="Times New Roman"/>
          <w:highlight w:val="none"/>
        </w:rPr>
        <w:t>的集合体。</w:t>
      </w:r>
    </w:p>
    <w:p w14:paraId="238B73DE">
      <w:pPr>
        <w:pStyle w:val="47"/>
        <w:spacing w:before="0" w:beforeLines="0" w:after="0" w:afterLines="0"/>
        <w:rPr>
          <w:rFonts w:ascii="Times New Roman"/>
          <w:highlight w:val="none"/>
        </w:rPr>
      </w:pPr>
    </w:p>
    <w:p w14:paraId="689E3A70">
      <w:pPr>
        <w:pStyle w:val="26"/>
        <w:rPr>
          <w:rFonts w:ascii="Times New Roman" w:eastAsia="黑体"/>
          <w:highlight w:val="none"/>
        </w:rPr>
      </w:pPr>
      <w:r>
        <w:rPr>
          <w:rFonts w:hint="eastAsia" w:ascii="黑体" w:hAnsi="黑体" w:eastAsia="黑体" w:cs="黑体"/>
          <w:highlight w:val="none"/>
          <w:lang w:eastAsia="zh-CN"/>
        </w:rPr>
        <w:t>绿色低碳产业</w:t>
      </w:r>
      <w:r>
        <w:rPr>
          <w:rFonts w:hint="eastAsia" w:ascii="黑体" w:hAnsi="黑体" w:eastAsia="黑体" w:cs="黑体"/>
          <w:highlight w:val="none"/>
        </w:rPr>
        <w:t xml:space="preserve">企业  </w:t>
      </w:r>
      <w:r>
        <w:rPr>
          <w:rFonts w:hint="eastAsia" w:ascii="黑体" w:hAnsi="黑体" w:eastAsia="黑体" w:cs="黑体"/>
          <w:spacing w:val="-11"/>
          <w:highlight w:val="none"/>
        </w:rPr>
        <w:t>enterprises and institutions recognized as green and low-carbon industr</w:t>
      </w:r>
      <w:r>
        <w:rPr>
          <w:rFonts w:hint="eastAsia" w:ascii="黑体" w:hAnsi="黑体" w:eastAsia="黑体" w:cs="黑体"/>
          <w:spacing w:val="-11"/>
          <w:highlight w:val="none"/>
          <w:lang w:val="en-US" w:eastAsia="zh-CN"/>
        </w:rPr>
        <w:t>ies</w:t>
      </w:r>
    </w:p>
    <w:p w14:paraId="3FD0B380">
      <w:pPr>
        <w:pStyle w:val="26"/>
        <w:rPr>
          <w:rFonts w:ascii="Times New Roman"/>
          <w:highlight w:val="none"/>
        </w:rPr>
      </w:pPr>
      <w:r>
        <w:rPr>
          <w:rFonts w:ascii="Times New Roman"/>
          <w:highlight w:val="none"/>
        </w:rPr>
        <w:t>经营范围</w:t>
      </w:r>
      <w:r>
        <w:rPr>
          <w:rFonts w:hint="eastAsia" w:ascii="Times New Roman"/>
          <w:highlight w:val="none"/>
        </w:rPr>
        <w:t>属于相关政府职能部门发布的绿色低碳</w:t>
      </w:r>
      <w:r>
        <w:rPr>
          <w:rFonts w:hint="eastAsia" w:ascii="宋体" w:hAnsi="宋体" w:eastAsia="宋体" w:cs="宋体"/>
          <w:highlight w:val="none"/>
        </w:rPr>
        <w:t>产业（3.1）相</w:t>
      </w:r>
      <w:r>
        <w:rPr>
          <w:rFonts w:hint="eastAsia" w:ascii="Times New Roman"/>
          <w:highlight w:val="none"/>
        </w:rPr>
        <w:t>关指导目录所涵盖的产业类别</w:t>
      </w:r>
      <w:r>
        <w:rPr>
          <w:rFonts w:ascii="Times New Roman"/>
          <w:highlight w:val="none"/>
        </w:rPr>
        <w:t>，</w:t>
      </w:r>
      <w:r>
        <w:rPr>
          <w:rFonts w:hint="eastAsia" w:ascii="Times New Roman"/>
          <w:highlight w:val="none"/>
        </w:rPr>
        <w:t>且</w:t>
      </w:r>
      <w:r>
        <w:rPr>
          <w:rFonts w:ascii="Times New Roman"/>
          <w:highlight w:val="none"/>
        </w:rPr>
        <w:t>通过绿色</w:t>
      </w:r>
      <w:r>
        <w:rPr>
          <w:rFonts w:hint="eastAsia" w:ascii="Times New Roman"/>
          <w:highlight w:val="none"/>
        </w:rPr>
        <w:t>低碳</w:t>
      </w:r>
      <w:r>
        <w:rPr>
          <w:rFonts w:ascii="Times New Roman"/>
          <w:highlight w:val="none"/>
        </w:rPr>
        <w:t>产业认定的企事业单位。</w:t>
      </w:r>
    </w:p>
    <w:p w14:paraId="39CA9C0A">
      <w:pPr>
        <w:numPr>
          <w:ilvl w:val="1"/>
          <w:numId w:val="2"/>
        </w:numPr>
        <w:spacing w:before="0" w:beforeLines="0" w:after="0" w:afterLines="0"/>
        <w:outlineLvl w:val="2"/>
        <w:rPr>
          <w:rFonts w:ascii="Times New Roman" w:hAnsi="Times New Roman" w:eastAsia="黑体" w:cs="Times New Roman"/>
          <w:sz w:val="21"/>
          <w:szCs w:val="21"/>
          <w:highlight w:val="none"/>
          <w:lang w:val="en-US" w:eastAsia="zh-CN" w:bidi="ar-SA"/>
        </w:rPr>
      </w:pPr>
    </w:p>
    <w:p w14:paraId="6A6B83B3">
      <w:pPr>
        <w:autoSpaceDE w:val="0"/>
        <w:autoSpaceDN w:val="0"/>
        <w:ind w:firstLine="420" w:firstLineChars="200"/>
        <w:jc w:val="both"/>
        <w:rPr>
          <w:rFonts w:hint="eastAsia" w:ascii="Times New Roman" w:hAnsi="Times New Roman" w:eastAsia="黑体" w:cs="Times New Roman"/>
          <w:sz w:val="21"/>
          <w:highlight w:val="none"/>
          <w:lang w:val="en-US" w:eastAsia="zh-CN" w:bidi="ar-SA"/>
        </w:rPr>
      </w:pPr>
      <w:r>
        <w:rPr>
          <w:rFonts w:hint="eastAsia" w:ascii="黑体" w:hAnsi="黑体" w:eastAsia="黑体" w:cs="黑体"/>
          <w:sz w:val="21"/>
          <w:highlight w:val="none"/>
          <w:lang w:val="en-US" w:eastAsia="zh-CN" w:bidi="ar-SA"/>
        </w:rPr>
        <w:t xml:space="preserve">绿色低碳产业项目  projects </w:t>
      </w:r>
      <w:r>
        <w:rPr>
          <w:rFonts w:hint="eastAsia" w:ascii="黑体" w:hAnsi="黑体" w:eastAsia="黑体" w:cs="黑体"/>
          <w:spacing w:val="-11"/>
          <w:sz w:val="21"/>
          <w:highlight w:val="none"/>
          <w:lang w:val="en-US" w:eastAsia="zh-CN" w:bidi="ar-SA"/>
        </w:rPr>
        <w:t>recognized as green and low-carbon industries</w:t>
      </w:r>
    </w:p>
    <w:p w14:paraId="1B3D1717">
      <w:pPr>
        <w:pStyle w:val="26"/>
        <w:rPr>
          <w:rFonts w:hint="eastAsia" w:ascii="Times New Roman" w:hAnsi="Times New Roman" w:eastAsia="宋体" w:cs="Times New Roman"/>
          <w:sz w:val="21"/>
          <w:highlight w:val="none"/>
          <w:lang w:val="en-US" w:eastAsia="zh-CN" w:bidi="ar-SA"/>
        </w:rPr>
      </w:pPr>
      <w:r>
        <w:rPr>
          <w:rFonts w:hint="eastAsia" w:ascii="Times New Roman" w:cs="Times New Roman"/>
          <w:sz w:val="21"/>
          <w:highlight w:val="none"/>
          <w:lang w:val="en-US" w:eastAsia="zh-CN" w:bidi="ar-SA"/>
        </w:rPr>
        <w:t>属于相关政府职能部门发布的绿色低碳产</w:t>
      </w:r>
      <w:r>
        <w:rPr>
          <w:rFonts w:hint="eastAsia" w:ascii="宋体" w:hAnsi="宋体" w:eastAsia="宋体" w:cs="宋体"/>
          <w:sz w:val="21"/>
          <w:highlight w:val="none"/>
          <w:lang w:val="en-US" w:eastAsia="zh-CN" w:bidi="ar-SA"/>
        </w:rPr>
        <w:t>业（3.1）相关</w:t>
      </w:r>
      <w:r>
        <w:rPr>
          <w:rFonts w:hint="eastAsia" w:ascii="Times New Roman" w:cs="Times New Roman"/>
          <w:sz w:val="21"/>
          <w:highlight w:val="none"/>
          <w:lang w:val="en-US" w:eastAsia="zh-CN" w:bidi="ar-SA"/>
        </w:rPr>
        <w:t>指导目录所涵盖的产业类别，且通过绿色低碳产业认定的项目。</w:t>
      </w:r>
    </w:p>
    <w:p w14:paraId="61D1A91C">
      <w:pPr>
        <w:pStyle w:val="47"/>
        <w:spacing w:before="0" w:beforeLines="0" w:after="0" w:afterLines="0"/>
        <w:rPr>
          <w:rFonts w:ascii="Times New Roman"/>
          <w:highlight w:val="none"/>
        </w:rPr>
      </w:pPr>
    </w:p>
    <w:p w14:paraId="3D567FDD">
      <w:pPr>
        <w:pStyle w:val="26"/>
        <w:rPr>
          <w:rFonts w:ascii="Times New Roman" w:eastAsia="黑体"/>
          <w:highlight w:val="none"/>
        </w:rPr>
      </w:pPr>
      <w:r>
        <w:rPr>
          <w:rFonts w:hint="eastAsia" w:ascii="黑体" w:hAnsi="黑体" w:eastAsia="黑体" w:cs="黑体"/>
          <w:highlight w:val="none"/>
        </w:rPr>
        <w:t>绿色业务  green business</w:t>
      </w:r>
    </w:p>
    <w:p w14:paraId="1BF2B4F4">
      <w:pPr>
        <w:pStyle w:val="26"/>
        <w:rPr>
          <w:rFonts w:ascii="Times New Roman"/>
          <w:highlight w:val="none"/>
        </w:rPr>
      </w:pPr>
      <w:r>
        <w:rPr>
          <w:rFonts w:ascii="Times New Roman"/>
          <w:highlight w:val="none"/>
        </w:rPr>
        <w:t>提供</w:t>
      </w:r>
      <w:r>
        <w:rPr>
          <w:rFonts w:hint="eastAsia" w:ascii="Times New Roman"/>
          <w:highlight w:val="none"/>
        </w:rPr>
        <w:t>相关政府职能部门发布的绿色低碳产</w:t>
      </w:r>
      <w:r>
        <w:rPr>
          <w:rFonts w:hint="eastAsia" w:ascii="宋体" w:hAnsi="宋体" w:eastAsia="宋体" w:cs="宋体"/>
          <w:highlight w:val="none"/>
        </w:rPr>
        <w:t>业（3.1）相</w:t>
      </w:r>
      <w:r>
        <w:rPr>
          <w:rFonts w:hint="eastAsia" w:ascii="Times New Roman"/>
          <w:highlight w:val="none"/>
        </w:rPr>
        <w:t>关指导目录所涵盖的产业类别的</w:t>
      </w:r>
      <w:r>
        <w:rPr>
          <w:rFonts w:ascii="Times New Roman"/>
          <w:highlight w:val="none"/>
        </w:rPr>
        <w:t>产品或服务的经营活动。</w:t>
      </w:r>
    </w:p>
    <w:p w14:paraId="0F6DFA18">
      <w:pPr>
        <w:pStyle w:val="47"/>
        <w:spacing w:before="0" w:beforeLines="0" w:after="0" w:afterLines="0"/>
        <w:rPr>
          <w:rFonts w:ascii="Times New Roman"/>
          <w:highlight w:val="none"/>
        </w:rPr>
      </w:pPr>
    </w:p>
    <w:p w14:paraId="1E6E9214">
      <w:pPr>
        <w:kinsoku w:val="0"/>
        <w:overflowPunct w:val="0"/>
        <w:autoSpaceDE w:val="0"/>
        <w:autoSpaceDN w:val="0"/>
        <w:adjustRightInd w:val="0"/>
        <w:snapToGrid w:val="0"/>
        <w:spacing w:line="300" w:lineRule="auto"/>
        <w:ind w:firstLine="420" w:firstLineChars="200"/>
        <w:jc w:val="left"/>
        <w:textAlignment w:val="baseline"/>
        <w:rPr>
          <w:rFonts w:hint="default" w:ascii="黑体" w:hAnsi="黑体" w:eastAsia="黑体" w:cs="黑体"/>
          <w:kern w:val="0"/>
          <w:sz w:val="21"/>
          <w:szCs w:val="20"/>
          <w:highlight w:val="none"/>
          <w:lang w:val="en-US" w:eastAsia="zh-CN" w:bidi="ar-SA"/>
        </w:rPr>
      </w:pPr>
      <w:r>
        <w:rPr>
          <w:rFonts w:hint="eastAsia" w:eastAsia="黑体"/>
          <w:highlight w:val="none"/>
          <w:lang w:val="en-US" w:eastAsia="zh-CN"/>
        </w:rPr>
        <w:t>优质中小企业</w:t>
      </w:r>
      <w:r>
        <w:rPr>
          <w:rFonts w:hint="eastAsia" w:eastAsia="黑体"/>
          <w:highlight w:val="none"/>
        </w:rPr>
        <w:t xml:space="preserve"> </w:t>
      </w:r>
      <w:r>
        <w:rPr>
          <w:rFonts w:hint="eastAsia" w:ascii="黑体" w:hAnsi="黑体" w:eastAsia="黑体" w:cs="黑体"/>
          <w:highlight w:val="none"/>
        </w:rPr>
        <w:t xml:space="preserve"> </w:t>
      </w:r>
      <w:r>
        <w:rPr>
          <w:rFonts w:hint="eastAsia" w:ascii="黑体" w:hAnsi="黑体" w:eastAsia="黑体" w:cs="黑体"/>
          <w:kern w:val="0"/>
          <w:sz w:val="21"/>
          <w:szCs w:val="20"/>
          <w:highlight w:val="none"/>
          <w:lang w:val="en-US" w:eastAsia="zh-CN" w:bidi="ar-SA"/>
        </w:rPr>
        <w:t>high quality small and medium-sized enterprises</w:t>
      </w:r>
    </w:p>
    <w:p w14:paraId="2BB77F64">
      <w:pPr>
        <w:autoSpaceDE w:val="0"/>
        <w:autoSpaceDN w:val="0"/>
        <w:ind w:firstLine="420" w:firstLineChars="200"/>
        <w:jc w:val="both"/>
        <w:rPr>
          <w:rFonts w:ascii="Times New Roman" w:hAnsi="Times New Roman" w:eastAsia="宋体" w:cs="Times New Roman"/>
          <w:sz w:val="21"/>
          <w:highlight w:val="none"/>
          <w:lang w:val="en-US" w:eastAsia="zh-CN" w:bidi="ar-SA"/>
        </w:rPr>
      </w:pPr>
      <w:r>
        <w:rPr>
          <w:rFonts w:hint="eastAsia" w:ascii="Times New Roman" w:hAnsi="Times New Roman" w:eastAsia="宋体" w:cs="Times New Roman"/>
          <w:sz w:val="21"/>
          <w:highlight w:val="none"/>
          <w:lang w:val="en-US" w:eastAsia="zh-CN" w:bidi="ar-SA"/>
        </w:rPr>
        <w:t>在产品、技术、管理、模式等方面创新能力强、专注细分市场、成长性好的中小企业。</w:t>
      </w:r>
    </w:p>
    <w:p w14:paraId="4E27B84E">
      <w:pPr>
        <w:widowControl w:val="0"/>
        <w:numPr>
          <w:ilvl w:val="0"/>
          <w:numId w:val="6"/>
        </w:numPr>
        <w:autoSpaceDE w:val="0"/>
        <w:autoSpaceDN w:val="0"/>
        <w:ind w:left="0" w:firstLine="360" w:firstLineChars="200"/>
        <w:jc w:val="both"/>
        <w:rPr>
          <w:rFonts w:ascii="Times New Roman" w:hAnsi="Times New Roman" w:eastAsia="宋体" w:cs="Times New Roman"/>
          <w:sz w:val="18"/>
          <w:szCs w:val="18"/>
          <w:highlight w:val="none"/>
          <w:lang w:val="en-US" w:eastAsia="zh-CN" w:bidi="ar-SA"/>
        </w:rPr>
      </w:pPr>
      <w:r>
        <w:rPr>
          <w:rFonts w:hint="eastAsia" w:ascii="宋体" w:hAnsi="Times New Roman" w:eastAsia="宋体" w:cs="Times New Roman"/>
          <w:sz w:val="18"/>
          <w:szCs w:val="18"/>
          <w:highlight w:val="none"/>
          <w:lang w:val="en-US" w:eastAsia="zh-CN" w:bidi="ar-SA"/>
        </w:rPr>
        <w:t>优质中小企业由创新型中小企业、专精特新中小企业和专精特新“小巨人”企业三个层次组成</w:t>
      </w:r>
      <w:r>
        <w:rPr>
          <w:rFonts w:ascii="宋体" w:hAnsi="Times New Roman" w:eastAsia="宋体" w:cs="Times New Roman"/>
          <w:sz w:val="18"/>
          <w:szCs w:val="18"/>
          <w:highlight w:val="none"/>
          <w:lang w:val="en-US" w:eastAsia="zh-CN" w:bidi="ar-SA"/>
        </w:rPr>
        <w:t>。</w:t>
      </w:r>
    </w:p>
    <w:p w14:paraId="63101D7E">
      <w:pPr>
        <w:pStyle w:val="47"/>
        <w:spacing w:before="0" w:beforeLines="0" w:after="0" w:afterLines="0"/>
        <w:rPr>
          <w:rFonts w:ascii="Times New Roman"/>
          <w:highlight w:val="none"/>
        </w:rPr>
      </w:pPr>
    </w:p>
    <w:p w14:paraId="46E10228">
      <w:pPr>
        <w:kinsoku w:val="0"/>
        <w:overflowPunct w:val="0"/>
        <w:autoSpaceDE w:val="0"/>
        <w:autoSpaceDN w:val="0"/>
        <w:adjustRightInd w:val="0"/>
        <w:snapToGrid w:val="0"/>
        <w:spacing w:line="300" w:lineRule="auto"/>
        <w:ind w:firstLine="420" w:firstLineChars="200"/>
        <w:jc w:val="left"/>
        <w:textAlignment w:val="baseline"/>
        <w:rPr>
          <w:rFonts w:eastAsia="黑体"/>
          <w:highlight w:val="none"/>
        </w:rPr>
      </w:pPr>
      <w:r>
        <w:rPr>
          <w:rFonts w:hint="eastAsia" w:eastAsia="黑体"/>
          <w:highlight w:val="none"/>
          <w:lang w:val="en-US" w:eastAsia="zh-CN"/>
        </w:rPr>
        <w:t>温室气体控制</w:t>
      </w:r>
      <w:r>
        <w:rPr>
          <w:rFonts w:hint="eastAsia" w:eastAsia="黑体"/>
          <w:highlight w:val="none"/>
        </w:rPr>
        <w:t xml:space="preserve"> </w:t>
      </w:r>
      <w:r>
        <w:rPr>
          <w:rFonts w:hint="eastAsia" w:ascii="黑体" w:hAnsi="黑体" w:eastAsia="黑体" w:cs="黑体"/>
          <w:highlight w:val="none"/>
        </w:rPr>
        <w:t xml:space="preserve"> </w:t>
      </w:r>
      <w:r>
        <w:rPr>
          <w:rFonts w:hint="eastAsia" w:ascii="黑体" w:hAnsi="黑体" w:eastAsia="黑体" w:cs="黑体"/>
          <w:highlight w:val="none"/>
          <w:lang w:val="en-US" w:eastAsia="zh-CN"/>
        </w:rPr>
        <w:t>greenhouse gas control</w:t>
      </w:r>
    </w:p>
    <w:p w14:paraId="68AED816">
      <w:pPr>
        <w:pStyle w:val="26"/>
        <w:rPr>
          <w:rFonts w:ascii="Times New Roman"/>
          <w:highlight w:val="none"/>
        </w:rPr>
      </w:pPr>
      <w:r>
        <w:rPr>
          <w:rFonts w:hint="eastAsia" w:ascii="Times New Roman"/>
          <w:highlight w:val="none"/>
        </w:rPr>
        <w:t>属于</w:t>
      </w:r>
      <w:r>
        <w:rPr>
          <w:rFonts w:hint="eastAsia" w:ascii="Times New Roman"/>
          <w:highlight w:val="none"/>
          <w:lang w:val="en-US" w:eastAsia="zh-CN"/>
        </w:rPr>
        <w:t>相关政府职能部门发布的绿色低碳产</w:t>
      </w:r>
      <w:r>
        <w:rPr>
          <w:rFonts w:hint="eastAsia" w:ascii="宋体" w:hAnsi="宋体" w:eastAsia="宋体" w:cs="宋体"/>
          <w:highlight w:val="none"/>
          <w:lang w:val="en-US" w:eastAsia="zh-CN"/>
        </w:rPr>
        <w:t>业（3.1）相</w:t>
      </w:r>
      <w:r>
        <w:rPr>
          <w:rFonts w:hint="eastAsia" w:ascii="Times New Roman"/>
          <w:highlight w:val="none"/>
          <w:lang w:val="en-US" w:eastAsia="zh-CN"/>
        </w:rPr>
        <w:t>关指导目录中</w:t>
      </w:r>
      <w:r>
        <w:rPr>
          <w:rFonts w:hint="eastAsia" w:ascii="Times New Roman"/>
          <w:highlight w:val="none"/>
        </w:rPr>
        <w:t>“</w:t>
      </w:r>
      <w:r>
        <w:rPr>
          <w:rFonts w:hint="eastAsia" w:ascii="Times New Roman"/>
          <w:highlight w:val="none"/>
          <w:lang w:val="en-US" w:eastAsia="zh-CN"/>
        </w:rPr>
        <w:t>温室气体控制</w:t>
      </w:r>
      <w:r>
        <w:rPr>
          <w:rFonts w:hint="eastAsia" w:ascii="Times New Roman"/>
          <w:highlight w:val="none"/>
        </w:rPr>
        <w:t>”</w:t>
      </w:r>
      <w:r>
        <w:rPr>
          <w:rFonts w:hint="eastAsia" w:ascii="Times New Roman"/>
          <w:highlight w:val="none"/>
          <w:lang w:val="en-US" w:eastAsia="zh-CN"/>
        </w:rPr>
        <w:t>列明的行业</w:t>
      </w:r>
      <w:r>
        <w:rPr>
          <w:rFonts w:ascii="Times New Roman"/>
          <w:highlight w:val="none"/>
        </w:rPr>
        <w:t>。</w:t>
      </w:r>
    </w:p>
    <w:p w14:paraId="2553014D">
      <w:pPr>
        <w:pStyle w:val="50"/>
        <w:outlineLvl w:val="0"/>
        <w:rPr>
          <w:rFonts w:ascii="Times New Roman"/>
          <w:highlight w:val="none"/>
        </w:rPr>
      </w:pPr>
      <w:bookmarkStart w:id="64" w:name="_Toc102992453"/>
      <w:bookmarkEnd w:id="64"/>
      <w:bookmarkStart w:id="65" w:name="_Toc82684143"/>
      <w:bookmarkEnd w:id="65"/>
      <w:bookmarkStart w:id="66" w:name="_Toc52098628"/>
      <w:bookmarkEnd w:id="66"/>
      <w:bookmarkStart w:id="67" w:name="_Toc55807233"/>
      <w:bookmarkEnd w:id="67"/>
      <w:bookmarkStart w:id="68" w:name="_Toc52098629"/>
      <w:bookmarkEnd w:id="68"/>
      <w:bookmarkStart w:id="69" w:name="_Toc55807232"/>
      <w:bookmarkEnd w:id="69"/>
      <w:bookmarkStart w:id="70" w:name="_Toc102992454"/>
      <w:bookmarkEnd w:id="70"/>
      <w:bookmarkStart w:id="71" w:name="_Toc24233"/>
      <w:bookmarkStart w:id="72" w:name="_Toc69"/>
      <w:r>
        <w:rPr>
          <w:rFonts w:ascii="Times New Roman"/>
          <w:highlight w:val="none"/>
        </w:rPr>
        <w:t>评价</w:t>
      </w:r>
      <w:r>
        <w:rPr>
          <w:rFonts w:hint="eastAsia" w:ascii="Times New Roman"/>
          <w:highlight w:val="none"/>
          <w:lang w:val="en-US" w:eastAsia="zh-CN"/>
        </w:rPr>
        <w:t>原</w:t>
      </w:r>
      <w:r>
        <w:rPr>
          <w:rFonts w:hint="eastAsia" w:ascii="Times New Roman"/>
          <w:highlight w:val="none"/>
        </w:rPr>
        <w:t>则</w:t>
      </w:r>
      <w:bookmarkEnd w:id="71"/>
      <w:bookmarkEnd w:id="72"/>
      <w:bookmarkStart w:id="73" w:name="_Toc52098632"/>
    </w:p>
    <w:p w14:paraId="6CE539C7">
      <w:pPr>
        <w:pStyle w:val="26"/>
        <w:rPr>
          <w:rFonts w:hAnsi="宋体" w:cs="宋体"/>
          <w:highlight w:val="none"/>
        </w:rPr>
      </w:pPr>
      <w:r>
        <w:rPr>
          <w:rFonts w:hint="eastAsia" w:hAnsi="宋体" w:cs="宋体"/>
          <w:highlight w:val="none"/>
          <w:lang w:eastAsia="zh-CN"/>
        </w:rPr>
        <w:t>绿色低碳产业</w:t>
      </w:r>
      <w:r>
        <w:rPr>
          <w:rFonts w:hint="eastAsia" w:hAnsi="宋体" w:cs="宋体"/>
          <w:highlight w:val="none"/>
        </w:rPr>
        <w:t>认定评价遵循以下原则：</w:t>
      </w:r>
    </w:p>
    <w:p w14:paraId="10ABD01D">
      <w:pPr>
        <w:pStyle w:val="26"/>
        <w:ind w:left="840" w:leftChars="200" w:hanging="420" w:hangingChars="200"/>
        <w:rPr>
          <w:rFonts w:hint="eastAsia" w:hAnsi="宋体" w:eastAsia="宋体" w:cs="宋体"/>
          <w:highlight w:val="none"/>
          <w:lang w:eastAsia="zh-CN"/>
        </w:rPr>
      </w:pPr>
      <w:r>
        <w:rPr>
          <w:rFonts w:hint="eastAsia" w:hAnsi="宋体" w:cs="宋体"/>
          <w:highlight w:val="none"/>
        </w:rPr>
        <w:t>——科学性。评价过程根据</w:t>
      </w:r>
      <w:r>
        <w:rPr>
          <w:rFonts w:hint="eastAsia" w:hAnsi="宋体" w:cs="宋体"/>
          <w:highlight w:val="none"/>
          <w:lang w:val="en-US" w:eastAsia="zh-CN"/>
        </w:rPr>
        <w:t>温室气体控制领域</w:t>
      </w:r>
      <w:r>
        <w:rPr>
          <w:rFonts w:hint="eastAsia" w:hAnsi="宋体" w:cs="宋体"/>
          <w:highlight w:val="none"/>
        </w:rPr>
        <w:t>特点和各子行业差异性，采用科学的方法，全面、客观地评价企事业单位</w:t>
      </w:r>
      <w:r>
        <w:rPr>
          <w:rFonts w:hint="eastAsia" w:hAnsi="宋体" w:cs="宋体"/>
          <w:highlight w:val="none"/>
          <w:lang w:val="en-US" w:eastAsia="zh-CN"/>
        </w:rPr>
        <w:t>或项目的</w:t>
      </w:r>
      <w:r>
        <w:rPr>
          <w:rFonts w:hint="eastAsia" w:hAnsi="宋体" w:cs="宋体"/>
          <w:highlight w:val="none"/>
        </w:rPr>
        <w:t>实际情况，给出评价结论</w:t>
      </w:r>
      <w:r>
        <w:rPr>
          <w:rFonts w:hint="eastAsia" w:hAnsi="宋体" w:cs="宋体"/>
          <w:highlight w:val="none"/>
          <w:lang w:eastAsia="zh-CN"/>
        </w:rPr>
        <w:t>；</w:t>
      </w:r>
    </w:p>
    <w:p w14:paraId="22F2594A">
      <w:pPr>
        <w:pStyle w:val="26"/>
        <w:rPr>
          <w:rFonts w:hAnsi="宋体" w:cs="宋体"/>
          <w:highlight w:val="none"/>
        </w:rPr>
      </w:pPr>
      <w:r>
        <w:rPr>
          <w:rFonts w:hint="eastAsia" w:hAnsi="宋体" w:cs="宋体"/>
          <w:highlight w:val="none"/>
        </w:rPr>
        <w:t>——可验证性。详细记录评价材料、数据、文件等的获取途径、渠道，保留原始的测试数据、材</w:t>
      </w:r>
    </w:p>
    <w:p w14:paraId="5E5245E2">
      <w:pPr>
        <w:pStyle w:val="26"/>
        <w:ind w:firstLine="840" w:firstLineChars="400"/>
        <w:rPr>
          <w:rFonts w:hint="eastAsia" w:ascii="Times New Roman" w:eastAsia="宋体"/>
          <w:highlight w:val="none"/>
          <w:lang w:eastAsia="zh-CN"/>
        </w:rPr>
      </w:pPr>
      <w:r>
        <w:rPr>
          <w:rFonts w:hint="eastAsia" w:hAnsi="宋体" w:cs="宋体"/>
          <w:highlight w:val="none"/>
        </w:rPr>
        <w:t>料，保证数据、材料的可溯源性和可验证性</w:t>
      </w:r>
      <w:r>
        <w:rPr>
          <w:rFonts w:hint="eastAsia" w:hAnsi="宋体" w:cs="宋体"/>
          <w:highlight w:val="none"/>
          <w:lang w:eastAsia="zh-CN"/>
        </w:rPr>
        <w:t>；</w:t>
      </w:r>
    </w:p>
    <w:p w14:paraId="40DDE23E">
      <w:pPr>
        <w:pStyle w:val="26"/>
        <w:ind w:left="840" w:leftChars="200" w:hanging="420" w:hangingChars="200"/>
        <w:rPr>
          <w:rFonts w:ascii="Times New Roman"/>
          <w:highlight w:val="none"/>
        </w:rPr>
      </w:pPr>
      <w:r>
        <w:rPr>
          <w:rFonts w:hint="eastAsia" w:hAnsi="宋体" w:cs="宋体"/>
          <w:highlight w:val="none"/>
        </w:rPr>
        <w:t>——审慎性。评价报告给出谨慎的评价意见，对于基础数据不全、信息不完整的企事业单位</w:t>
      </w:r>
      <w:r>
        <w:rPr>
          <w:rFonts w:hint="eastAsia" w:hAnsi="宋体" w:cs="宋体"/>
          <w:highlight w:val="none"/>
          <w:lang w:val="en-US" w:eastAsia="zh-CN"/>
        </w:rPr>
        <w:t>或项目</w:t>
      </w:r>
      <w:r>
        <w:rPr>
          <w:rFonts w:hint="eastAsia" w:hAnsi="宋体" w:cs="宋体"/>
          <w:highlight w:val="none"/>
        </w:rPr>
        <w:t>，说明由于条件不具备无法给出评价结论。</w:t>
      </w:r>
      <w:bookmarkEnd w:id="73"/>
    </w:p>
    <w:p w14:paraId="4C96CD22">
      <w:pPr>
        <w:pStyle w:val="50"/>
        <w:outlineLvl w:val="0"/>
        <w:rPr>
          <w:rFonts w:ascii="Times New Roman"/>
          <w:highlight w:val="none"/>
        </w:rPr>
      </w:pPr>
      <w:bookmarkStart w:id="74" w:name="_Toc16509"/>
      <w:bookmarkStart w:id="75" w:name="_Toc80690492"/>
      <w:bookmarkStart w:id="76" w:name="_Toc102992458"/>
      <w:bookmarkStart w:id="77" w:name="_Toc26006"/>
      <w:r>
        <w:rPr>
          <w:rFonts w:hint="eastAsia" w:ascii="Times New Roman"/>
          <w:highlight w:val="none"/>
          <w:lang w:val="en-US" w:eastAsia="zh-CN"/>
        </w:rPr>
        <w:t>绿色低碳产业企业</w:t>
      </w:r>
      <w:r>
        <w:rPr>
          <w:rFonts w:ascii="Times New Roman"/>
          <w:highlight w:val="none"/>
        </w:rPr>
        <w:t>评价</w:t>
      </w:r>
      <w:bookmarkEnd w:id="74"/>
      <w:bookmarkEnd w:id="75"/>
      <w:bookmarkEnd w:id="76"/>
      <w:bookmarkEnd w:id="77"/>
    </w:p>
    <w:p w14:paraId="06C1E486">
      <w:pPr>
        <w:pStyle w:val="47"/>
        <w:outlineLvl w:val="1"/>
        <w:rPr>
          <w:rFonts w:ascii="Times New Roman"/>
          <w:highlight w:val="none"/>
        </w:rPr>
      </w:pPr>
      <w:bookmarkStart w:id="78" w:name="_Toc32249"/>
      <w:bookmarkStart w:id="79" w:name="_Toc27843"/>
      <w:bookmarkStart w:id="80" w:name="_Toc102992460"/>
      <w:r>
        <w:rPr>
          <w:rFonts w:ascii="Times New Roman"/>
          <w:highlight w:val="none"/>
        </w:rPr>
        <w:t>符合性评价</w:t>
      </w:r>
      <w:bookmarkEnd w:id="78"/>
      <w:bookmarkEnd w:id="79"/>
      <w:bookmarkEnd w:id="80"/>
    </w:p>
    <w:p w14:paraId="6D6ECA6D">
      <w:pPr>
        <w:pStyle w:val="51"/>
        <w:spacing w:before="156" w:after="156"/>
        <w:rPr>
          <w:rFonts w:ascii="Times New Roman"/>
          <w:highlight w:val="none"/>
        </w:rPr>
      </w:pPr>
      <w:r>
        <w:rPr>
          <w:rFonts w:ascii="Times New Roman"/>
          <w:highlight w:val="none"/>
        </w:rPr>
        <w:t>目录符合</w:t>
      </w:r>
    </w:p>
    <w:p w14:paraId="495356BA">
      <w:pPr>
        <w:pStyle w:val="26"/>
        <w:keepNext w:val="0"/>
        <w:keepLines w:val="0"/>
        <w:pageBreakBefore w:val="0"/>
        <w:widowControl w:val="0"/>
        <w:kinsoku/>
        <w:wordWrap/>
        <w:overflowPunct/>
        <w:topLinePunct w:val="0"/>
        <w:autoSpaceDE w:val="0"/>
        <w:autoSpaceDN w:val="0"/>
        <w:bidi w:val="0"/>
        <w:adjustRightInd/>
        <w:snapToGrid/>
        <w:textAlignment w:val="auto"/>
        <w:rPr>
          <w:rFonts w:ascii="Times New Roman"/>
          <w:highlight w:val="none"/>
        </w:rPr>
      </w:pPr>
      <w:r>
        <w:rPr>
          <w:rFonts w:hint="eastAsia" w:ascii="宋体" w:hAnsi="宋体" w:eastAsia="宋体" w:cs="宋体"/>
          <w:highlight w:val="none"/>
        </w:rPr>
        <w:t>申报认定评价的</w:t>
      </w:r>
      <w:r>
        <w:rPr>
          <w:rFonts w:hint="eastAsia" w:ascii="宋体" w:hAnsi="宋体" w:eastAsia="宋体" w:cs="宋体"/>
          <w:highlight w:val="none"/>
          <w:lang w:val="en-US" w:eastAsia="zh-CN"/>
        </w:rPr>
        <w:t>绿色业务</w:t>
      </w:r>
      <w:r>
        <w:rPr>
          <w:rFonts w:hint="eastAsia" w:ascii="宋体" w:hAnsi="宋体" w:eastAsia="宋体" w:cs="宋体"/>
          <w:highlight w:val="none"/>
        </w:rPr>
        <w:t>属于</w:t>
      </w:r>
      <w:r>
        <w:rPr>
          <w:rFonts w:hint="eastAsia" w:hAnsi="宋体" w:cs="宋体"/>
          <w:highlight w:val="none"/>
          <w:lang w:val="en-US" w:eastAsia="zh-CN"/>
        </w:rPr>
        <w:t>温室气体控制</w:t>
      </w:r>
      <w:r>
        <w:rPr>
          <w:rFonts w:hint="eastAsia" w:ascii="宋体" w:hAnsi="宋体" w:eastAsia="宋体" w:cs="宋体"/>
          <w:highlight w:val="none"/>
          <w:lang w:val="en-US" w:eastAsia="zh-CN"/>
        </w:rPr>
        <w:t>领域</w:t>
      </w:r>
      <w:r>
        <w:rPr>
          <w:rFonts w:hint="eastAsia" w:ascii="宋体" w:hAnsi="宋体" w:eastAsia="宋体" w:cs="宋体"/>
          <w:highlight w:val="none"/>
        </w:rPr>
        <w:t>，且其</w:t>
      </w:r>
      <w:r>
        <w:rPr>
          <w:rFonts w:hint="eastAsia" w:hAnsi="宋体" w:cs="宋体"/>
          <w:highlight w:val="none"/>
          <w:lang w:val="en-US" w:eastAsia="zh-CN"/>
        </w:rPr>
        <w:t>温室气体控制领域</w:t>
      </w:r>
      <w:r>
        <w:rPr>
          <w:rFonts w:hint="eastAsia" w:ascii="宋体" w:hAnsi="宋体" w:eastAsia="宋体" w:cs="宋体"/>
          <w:highlight w:val="none"/>
        </w:rPr>
        <w:t>绿色业务占比达到50%</w:t>
      </w:r>
      <w:r>
        <w:rPr>
          <w:rFonts w:hint="eastAsia" w:hAnsi="宋体" w:cs="宋体"/>
          <w:highlight w:val="none"/>
          <w:lang w:val="en-US" w:eastAsia="zh-CN"/>
        </w:rPr>
        <w:t>及</w:t>
      </w:r>
      <w:r>
        <w:rPr>
          <w:rFonts w:hint="eastAsia" w:ascii="宋体" w:hAnsi="宋体" w:eastAsia="宋体" w:cs="宋体"/>
          <w:highlight w:val="none"/>
        </w:rPr>
        <w:t>以上</w:t>
      </w:r>
      <w:r>
        <w:rPr>
          <w:rFonts w:hint="eastAsia" w:ascii="宋体" w:hAnsi="宋体" w:eastAsia="宋体" w:cs="宋体"/>
          <w:highlight w:val="none"/>
          <w:lang w:eastAsia="zh-CN"/>
        </w:rPr>
        <w:t>，</w:t>
      </w:r>
      <w:r>
        <w:rPr>
          <w:rFonts w:hint="eastAsia" w:ascii="宋体" w:hAnsi="宋体" w:eastAsia="宋体" w:cs="宋体"/>
          <w:highlight w:val="none"/>
        </w:rPr>
        <w:t>或</w:t>
      </w:r>
      <w:r>
        <w:rPr>
          <w:rFonts w:hint="eastAsia" w:ascii="宋体" w:hAnsi="宋体" w:eastAsia="宋体" w:cs="宋体"/>
          <w:highlight w:val="none"/>
          <w:lang w:val="en-US" w:eastAsia="zh-CN"/>
        </w:rPr>
        <w:t>绿色业务</w:t>
      </w:r>
      <w:r>
        <w:rPr>
          <w:rFonts w:hint="eastAsia" w:ascii="宋体" w:hAnsi="宋体" w:eastAsia="宋体" w:cs="宋体"/>
          <w:highlight w:val="none"/>
        </w:rPr>
        <w:t>规模达到1亿元</w:t>
      </w:r>
      <w:r>
        <w:rPr>
          <w:rFonts w:hint="eastAsia" w:hAnsi="宋体" w:cs="宋体"/>
          <w:highlight w:val="none"/>
          <w:lang w:eastAsia="zh-CN"/>
        </w:rPr>
        <w:t>；</w:t>
      </w:r>
      <w:r>
        <w:rPr>
          <w:rFonts w:hint="eastAsia" w:ascii="宋体" w:hAnsi="宋体" w:eastAsia="宋体" w:cs="宋体"/>
          <w:highlight w:val="none"/>
        </w:rPr>
        <w:t>或在</w:t>
      </w:r>
      <w:r>
        <w:rPr>
          <w:rFonts w:hint="eastAsia" w:hAnsi="宋体" w:cs="宋体"/>
          <w:highlight w:val="none"/>
          <w:lang w:val="en-US" w:eastAsia="zh-CN"/>
        </w:rPr>
        <w:t>当地</w:t>
      </w:r>
      <w:r>
        <w:rPr>
          <w:rFonts w:hint="eastAsia" w:ascii="宋体" w:hAnsi="宋体" w:eastAsia="宋体" w:cs="宋体"/>
          <w:highlight w:val="none"/>
        </w:rPr>
        <w:t>具备一定市场规模</w:t>
      </w:r>
      <w:r>
        <w:rPr>
          <w:rFonts w:hint="eastAsia" w:hAnsi="宋体" w:cs="宋体"/>
          <w:highlight w:val="none"/>
          <w:lang w:eastAsia="zh-CN"/>
        </w:rPr>
        <w:t>、</w:t>
      </w:r>
      <w:r>
        <w:rPr>
          <w:rFonts w:hint="eastAsia" w:ascii="宋体" w:hAnsi="宋体" w:eastAsia="宋体" w:cs="宋体"/>
          <w:highlight w:val="none"/>
        </w:rPr>
        <w:t>经</w:t>
      </w:r>
      <w:r>
        <w:rPr>
          <w:rFonts w:hint="eastAsia" w:ascii="宋体" w:hAnsi="宋体" w:eastAsia="宋体" w:cs="宋体"/>
          <w:highlight w:val="none"/>
          <w:lang w:val="en-US" w:eastAsia="zh-CN"/>
        </w:rPr>
        <w:t>相关政府职能部门</w:t>
      </w:r>
      <w:r>
        <w:rPr>
          <w:rFonts w:hint="eastAsia" w:ascii="宋体" w:hAnsi="宋体" w:eastAsia="宋体" w:cs="宋体"/>
          <w:highlight w:val="none"/>
        </w:rPr>
        <w:t>认可的相关行业。</w:t>
      </w:r>
    </w:p>
    <w:p w14:paraId="053300D2">
      <w:pPr>
        <w:pStyle w:val="51"/>
        <w:spacing w:before="156" w:after="156"/>
        <w:rPr>
          <w:rFonts w:ascii="Times New Roman"/>
          <w:highlight w:val="none"/>
        </w:rPr>
      </w:pPr>
      <w:r>
        <w:rPr>
          <w:rFonts w:ascii="Times New Roman"/>
          <w:highlight w:val="none"/>
        </w:rPr>
        <w:t>技术符合</w:t>
      </w:r>
    </w:p>
    <w:p w14:paraId="7285BF28">
      <w:pPr>
        <w:pStyle w:val="26"/>
        <w:rPr>
          <w:rFonts w:ascii="Times New Roman"/>
          <w:highlight w:val="none"/>
        </w:rPr>
      </w:pPr>
      <w:r>
        <w:rPr>
          <w:rFonts w:ascii="Times New Roman"/>
          <w:highlight w:val="none"/>
        </w:rPr>
        <w:t>提供的产品或服务应符合国家、广东省及深圳市相关主管部门发布文件列明的有关设计、能效、性能、安全、贮存、回收、标识、验收、管理</w:t>
      </w:r>
      <w:r>
        <w:rPr>
          <w:rFonts w:hint="eastAsia" w:ascii="Times New Roman"/>
          <w:highlight w:val="none"/>
        </w:rPr>
        <w:t>和</w:t>
      </w:r>
      <w:r>
        <w:rPr>
          <w:rFonts w:ascii="Times New Roman"/>
          <w:highlight w:val="none"/>
        </w:rPr>
        <w:t>运维等技术要求。</w:t>
      </w:r>
    </w:p>
    <w:p w14:paraId="4AC8CBAF">
      <w:pPr>
        <w:pStyle w:val="62"/>
        <w:rPr>
          <w:rFonts w:ascii="Times New Roman"/>
          <w:highlight w:val="none"/>
        </w:rPr>
      </w:pPr>
      <w:r>
        <w:rPr>
          <w:rFonts w:hint="eastAsia"/>
          <w:highlight w:val="none"/>
          <w:lang w:val="en-US" w:eastAsia="zh-CN"/>
        </w:rPr>
        <w:t>“绿色服务”类企事业单位不参评“技术符合”指标。</w:t>
      </w:r>
    </w:p>
    <w:p w14:paraId="62FF92E6">
      <w:pPr>
        <w:pStyle w:val="47"/>
        <w:outlineLvl w:val="1"/>
        <w:rPr>
          <w:rFonts w:ascii="Times New Roman"/>
          <w:highlight w:val="none"/>
        </w:rPr>
      </w:pPr>
      <w:bookmarkStart w:id="81" w:name="_Toc82684150"/>
      <w:bookmarkEnd w:id="81"/>
      <w:bookmarkStart w:id="82" w:name="_Toc6092"/>
      <w:bookmarkStart w:id="83" w:name="_Toc102992461"/>
      <w:bookmarkStart w:id="84" w:name="_Toc28557"/>
      <w:r>
        <w:rPr>
          <w:rFonts w:ascii="Times New Roman"/>
          <w:highlight w:val="none"/>
        </w:rPr>
        <w:t>综合评价</w:t>
      </w:r>
      <w:bookmarkEnd w:id="82"/>
      <w:bookmarkEnd w:id="83"/>
      <w:bookmarkEnd w:id="84"/>
    </w:p>
    <w:p w14:paraId="0905AE42">
      <w:pPr>
        <w:pStyle w:val="51"/>
        <w:spacing w:before="156" w:after="156"/>
        <w:rPr>
          <w:rFonts w:ascii="Times New Roman"/>
          <w:highlight w:val="none"/>
        </w:rPr>
      </w:pPr>
      <w:r>
        <w:rPr>
          <w:rFonts w:ascii="Times New Roman"/>
          <w:highlight w:val="none"/>
        </w:rPr>
        <w:t>技术表现</w:t>
      </w:r>
    </w:p>
    <w:p w14:paraId="4A6184E4">
      <w:pPr>
        <w:pStyle w:val="56"/>
        <w:numPr>
          <w:ilvl w:val="3"/>
          <w:numId w:val="2"/>
        </w:numPr>
        <w:spacing w:before="156" w:after="156"/>
        <w:rPr>
          <w:rFonts w:ascii="Times New Roman"/>
          <w:highlight w:val="none"/>
        </w:rPr>
      </w:pPr>
      <w:r>
        <w:rPr>
          <w:rFonts w:ascii="Times New Roman"/>
          <w:highlight w:val="none"/>
        </w:rPr>
        <w:t>先进性</w:t>
      </w:r>
    </w:p>
    <w:p w14:paraId="748B5700">
      <w:pPr>
        <w:pStyle w:val="60"/>
        <w:spacing w:before="156" w:after="156"/>
        <w:rPr>
          <w:rFonts w:ascii="Times New Roman"/>
          <w:highlight w:val="none"/>
        </w:rPr>
      </w:pPr>
      <w:r>
        <w:rPr>
          <w:rFonts w:ascii="Times New Roman"/>
          <w:highlight w:val="none"/>
        </w:rPr>
        <w:t>有效知识产权</w:t>
      </w:r>
    </w:p>
    <w:p w14:paraId="3C70EA14">
      <w:pPr>
        <w:pStyle w:val="26"/>
        <w:rPr>
          <w:rFonts w:hint="eastAsia" w:hAnsi="宋体" w:eastAsia="宋体" w:cs="宋体"/>
          <w:highlight w:val="none"/>
          <w:lang w:eastAsia="zh-CN"/>
        </w:rPr>
      </w:pPr>
      <w:r>
        <w:rPr>
          <w:rFonts w:hint="eastAsia" w:ascii="宋体" w:hAnsi="宋体" w:cs="宋体"/>
          <w:highlight w:val="none"/>
        </w:rPr>
        <w:t>采用加权法计算有效知识产权数量，基于知识产权类别和知识产权获得形式进行折算，计算方法见公式（</w:t>
      </w:r>
      <w:r>
        <w:rPr>
          <w:rFonts w:hint="eastAsia" w:ascii="宋体" w:hAnsi="宋体" w:cs="宋体"/>
          <w:highlight w:val="none"/>
          <w:lang w:val="en-US" w:eastAsia="zh-CN"/>
        </w:rPr>
        <w:t>1</w:t>
      </w:r>
      <w:r>
        <w:rPr>
          <w:rFonts w:hint="eastAsia" w:ascii="宋体" w:hAnsi="宋体" w:cs="宋体"/>
          <w:highlight w:val="none"/>
        </w:rPr>
        <w:t>），具体评分规则见表</w:t>
      </w:r>
      <w:r>
        <w:rPr>
          <w:rFonts w:hint="eastAsia" w:hAnsi="宋体" w:cs="宋体"/>
          <w:highlight w:val="none"/>
          <w:lang w:val="en-US" w:eastAsia="zh-CN"/>
        </w:rPr>
        <w:t>1</w:t>
      </w:r>
      <w:r>
        <w:rPr>
          <w:rFonts w:hint="eastAsia" w:ascii="宋体" w:hAnsi="宋体" w:cs="宋体"/>
          <w:highlight w:val="none"/>
        </w:rPr>
        <w:t>。优质中小企业在实际得分基础上增加</w:t>
      </w:r>
      <w:r>
        <w:rPr>
          <w:rFonts w:ascii="宋体" w:hAnsi="宋体" w:cs="宋体"/>
          <w:highlight w:val="none"/>
        </w:rPr>
        <w:t>15%的得分，最高得分不超过</w:t>
      </w:r>
      <w:r>
        <w:rPr>
          <w:rFonts w:hint="eastAsia" w:ascii="宋体" w:hAnsi="宋体" w:cs="宋体"/>
          <w:highlight w:val="none"/>
        </w:rPr>
        <w:t>该项指标总</w:t>
      </w:r>
      <w:r>
        <w:rPr>
          <w:rFonts w:ascii="宋体" w:hAnsi="宋体" w:cs="宋体"/>
          <w:highlight w:val="none"/>
        </w:rPr>
        <w:t>分</w:t>
      </w:r>
      <w:r>
        <w:rPr>
          <w:rFonts w:hint="eastAsia" w:ascii="宋体" w:hAnsi="宋体" w:cs="宋体"/>
          <w:highlight w:val="none"/>
        </w:rPr>
        <w:t>。</w:t>
      </w:r>
    </w:p>
    <w:p w14:paraId="2B762175">
      <w:pPr>
        <w:pStyle w:val="26"/>
        <w:keepNext w:val="0"/>
        <w:keepLines w:val="0"/>
        <w:pageBreakBefore w:val="0"/>
        <w:widowControl/>
        <w:tabs>
          <w:tab w:val="center" w:leader="middleDot" w:pos="5040"/>
          <w:tab w:val="clear" w:pos="4201"/>
        </w:tabs>
        <w:kinsoku/>
        <w:wordWrap/>
        <w:overflowPunct/>
        <w:topLinePunct w:val="0"/>
        <w:autoSpaceDE/>
        <w:autoSpaceDN/>
        <w:bidi w:val="0"/>
        <w:adjustRightInd/>
        <w:snapToGrid/>
        <w:spacing w:line="480" w:lineRule="auto"/>
        <w:ind w:firstLine="0" w:firstLineChars="0"/>
        <w:jc w:val="right"/>
        <w:textAlignment w:val="auto"/>
        <w:rPr>
          <w:rFonts w:hAnsi="宋体" w:cs="宋体"/>
          <w:highlight w:val="none"/>
        </w:rPr>
      </w:pPr>
      <m:oMath>
        <w:bookmarkStart w:id="85" w:name="OLE_LINK1"/>
        <m:r>
          <m:rPr/>
          <w:rPr>
            <w:rFonts w:hint="default" w:ascii="Cambria Math" w:hAnsi="Cambria Math" w:cs="宋体"/>
            <w:highlight w:val="none"/>
          </w:rPr>
          <m:t>N</m:t>
        </m:r>
        <m:r>
          <m:rPr/>
          <w:rPr>
            <w:rFonts w:hint="eastAsia" w:ascii="Cambria Math" w:hAnsi="Cambria Math" w:cs="宋体"/>
            <w:highlight w:val="none"/>
          </w:rPr>
          <m:t>=</m:t>
        </m:r>
        <m:nary>
          <m:naryPr>
            <m:chr m:val="∑"/>
            <m:limLoc m:val="undOvr"/>
            <m:ctrlPr>
              <w:rPr>
                <w:rFonts w:hint="eastAsia" w:ascii="Cambria Math" w:hAnsi="Cambria Math" w:cs="宋体"/>
                <w:i/>
                <w:iCs/>
                <w:highlight w:val="none"/>
              </w:rPr>
            </m:ctrlPr>
          </m:naryPr>
          <m:sub>
            <m:r>
              <m:rPr/>
              <w:rPr>
                <w:rFonts w:hint="default" w:ascii="Cambria Math" w:hAnsi="Cambria Math" w:cs="宋体"/>
                <w:highlight w:val="none"/>
              </w:rPr>
              <m:t>i=1</m:t>
            </m:r>
            <m:ctrlPr>
              <w:rPr>
                <w:rFonts w:hint="eastAsia" w:ascii="Cambria Math" w:hAnsi="Cambria Math" w:cs="宋体"/>
                <w:i/>
                <w:iCs/>
                <w:highlight w:val="none"/>
              </w:rPr>
            </m:ctrlPr>
          </m:sub>
          <m:sup>
            <m:r>
              <m:rPr/>
              <w:rPr>
                <w:rFonts w:hint="default" w:ascii="Cambria Math" w:hAnsi="Cambria Math" w:cs="宋体"/>
                <w:highlight w:val="none"/>
              </w:rPr>
              <m:t>n</m:t>
            </m:r>
            <m:ctrlPr>
              <w:rPr>
                <w:rFonts w:hint="eastAsia" w:ascii="Cambria Math" w:hAnsi="Cambria Math" w:cs="宋体"/>
                <w:i/>
                <w:iCs/>
                <w:highlight w:val="none"/>
              </w:rPr>
            </m:ctrlPr>
          </m:sup>
          <m:e>
            <m:sSub>
              <m:sSubPr>
                <m:ctrlPr>
                  <w:rPr>
                    <w:rFonts w:hint="eastAsia" w:ascii="Cambria Math" w:hAnsi="Cambria Math" w:cs="宋体"/>
                    <w:i/>
                    <w:iCs/>
                    <w:highlight w:val="none"/>
                  </w:rPr>
                </m:ctrlPr>
              </m:sSubPr>
              <m:e>
                <m:r>
                  <m:rPr/>
                  <w:rPr>
                    <w:rFonts w:hint="default" w:ascii="Cambria Math" w:hAnsi="Cambria Math" w:cs="宋体"/>
                    <w:highlight w:val="none"/>
                  </w:rPr>
                  <m:t>T</m:t>
                </m:r>
                <m:ctrlPr>
                  <w:rPr>
                    <w:rFonts w:hint="eastAsia" w:ascii="Cambria Math" w:hAnsi="Cambria Math" w:cs="宋体"/>
                    <w:i/>
                    <w:iCs/>
                    <w:highlight w:val="none"/>
                  </w:rPr>
                </m:ctrlPr>
              </m:e>
              <m:sub>
                <m:r>
                  <m:rPr/>
                  <w:rPr>
                    <w:rFonts w:hint="default" w:ascii="Cambria Math" w:hAnsi="Cambria Math" w:cs="宋体"/>
                    <w:highlight w:val="none"/>
                  </w:rPr>
                  <m:t>i</m:t>
                </m:r>
                <m:ctrlPr>
                  <w:rPr>
                    <w:rFonts w:hint="eastAsia" w:ascii="Cambria Math" w:hAnsi="Cambria Math" w:cs="宋体"/>
                    <w:i/>
                    <w:iCs/>
                    <w:highlight w:val="none"/>
                  </w:rPr>
                </m:ctrlPr>
              </m:sub>
            </m:sSub>
            <m:r>
              <m:rPr/>
              <w:rPr>
                <w:rFonts w:hint="eastAsia" w:ascii="Cambria Math" w:hAnsi="Cambria Math" w:cs="宋体"/>
                <w:highlight w:val="none"/>
              </w:rPr>
              <m:t>×</m:t>
            </m:r>
            <m:sSub>
              <m:sSubPr>
                <m:ctrlPr>
                  <w:rPr>
                    <w:rFonts w:hint="eastAsia" w:ascii="Cambria Math" w:hAnsi="Cambria Math" w:cs="宋体"/>
                    <w:i/>
                    <w:iCs/>
                    <w:highlight w:val="none"/>
                  </w:rPr>
                </m:ctrlPr>
              </m:sSubPr>
              <m:e>
                <m:r>
                  <m:rPr/>
                  <w:rPr>
                    <w:rFonts w:hint="default" w:ascii="Cambria Math" w:hAnsi="Cambria Math" w:cs="宋体"/>
                    <w:highlight w:val="none"/>
                  </w:rPr>
                  <m:t>G</m:t>
                </m:r>
                <m:ctrlPr>
                  <w:rPr>
                    <w:rFonts w:hint="eastAsia" w:ascii="Cambria Math" w:hAnsi="Cambria Math" w:cs="宋体"/>
                    <w:i/>
                    <w:iCs/>
                    <w:highlight w:val="none"/>
                  </w:rPr>
                </m:ctrlPr>
              </m:e>
              <m:sub>
                <m:r>
                  <m:rPr/>
                  <w:rPr>
                    <w:rFonts w:hint="default" w:ascii="Cambria Math" w:hAnsi="Cambria Math" w:cs="宋体"/>
                    <w:highlight w:val="none"/>
                  </w:rPr>
                  <m:t>i</m:t>
                </m:r>
                <m:ctrlPr>
                  <w:rPr>
                    <w:rFonts w:hint="eastAsia" w:ascii="Cambria Math" w:hAnsi="Cambria Math" w:cs="宋体"/>
                    <w:i/>
                    <w:iCs/>
                    <w:highlight w:val="none"/>
                  </w:rPr>
                </m:ctrlPr>
              </m:sub>
            </m:sSub>
            <m:ctrlPr>
              <w:rPr>
                <w:rFonts w:hint="eastAsia" w:ascii="Cambria Math" w:hAnsi="Cambria Math" w:cs="宋体"/>
                <w:i/>
                <w:iCs/>
                <w:highlight w:val="none"/>
              </w:rPr>
            </m:ctrlPr>
          </m:e>
        </m:nary>
      </m:oMath>
      <w:r>
        <w:rPr>
          <w:rFonts w:hint="eastAsia" w:ascii="Times New Roman" w:hAnsi="Cambria Math" w:eastAsia="宋体" w:cs="宋体"/>
          <w:kern w:val="2"/>
          <w:szCs w:val="21"/>
          <w:highlight w:val="none"/>
        </w:rPr>
        <w:tab/>
      </w:r>
      <w:r>
        <w:rPr>
          <w:rFonts w:hint="eastAsia" w:ascii="Times New Roman" w:hAnsi="Cambria Math" w:cs="宋体"/>
          <w:kern w:val="2"/>
          <w:szCs w:val="21"/>
          <w:highlight w:val="none"/>
          <w:lang w:eastAsia="zh-CN"/>
        </w:rPr>
        <w:t>（</w:t>
      </w:r>
      <w:r>
        <w:rPr>
          <w:rFonts w:hint="eastAsia" w:ascii="Times New Roman" w:hAnsi="Cambria Math" w:cs="宋体"/>
          <w:kern w:val="2"/>
          <w:szCs w:val="21"/>
          <w:highlight w:val="none"/>
          <w:lang w:val="en-US" w:eastAsia="zh-CN"/>
        </w:rPr>
        <w:t>1</w:t>
      </w:r>
      <w:r>
        <w:rPr>
          <w:rFonts w:hint="eastAsia" w:ascii="Times New Roman" w:hAnsi="Cambria Math" w:cs="宋体"/>
          <w:kern w:val="2"/>
          <w:szCs w:val="21"/>
          <w:highlight w:val="none"/>
          <w:lang w:eastAsia="zh-CN"/>
        </w:rPr>
        <w:t>）</w:t>
      </w:r>
    </w:p>
    <w:p w14:paraId="08A48A22">
      <w:pPr>
        <w:pStyle w:val="26"/>
        <w:rPr>
          <w:rFonts w:hAnsi="宋体" w:cs="宋体"/>
          <w:highlight w:val="none"/>
        </w:rPr>
      </w:pPr>
      <w:r>
        <w:rPr>
          <w:rFonts w:hint="eastAsia" w:hAnsi="宋体" w:cs="宋体"/>
          <w:highlight w:val="none"/>
        </w:rPr>
        <w:t>式中：</w:t>
      </w:r>
    </w:p>
    <w:p w14:paraId="495401D7">
      <w:pPr>
        <w:pStyle w:val="26"/>
        <w:rPr>
          <w:rFonts w:hAnsi="宋体" w:cs="宋体"/>
          <w:highlight w:val="none"/>
        </w:rPr>
      </w:pPr>
      <m:oMath>
        <m:r>
          <m:rPr/>
          <w:rPr>
            <w:rFonts w:hint="default" w:ascii="Cambria Math" w:hAnsi="Cambria Math" w:cs="宋体"/>
            <w:highlight w:val="none"/>
          </w:rPr>
          <m:t>N</m:t>
        </m:r>
      </m:oMath>
      <w:r>
        <w:rPr>
          <w:rFonts w:hint="eastAsia" w:hAnsi="Cambria Math" w:cs="宋体"/>
          <w:b w:val="0"/>
          <w:i w:val="0"/>
          <w:iCs/>
          <w:spacing w:val="-45"/>
          <w:sz w:val="21"/>
          <w:highlight w:val="none"/>
          <w:lang w:val="en-US" w:eastAsia="zh-CN"/>
        </w:rPr>
        <w:t xml:space="preserve"> </w:t>
      </w:r>
      <w:r>
        <w:rPr>
          <w:rFonts w:hint="eastAsia" w:hAnsi="宋体" w:cs="宋体"/>
          <w:highlight w:val="none"/>
        </w:rPr>
        <w:t>——有效知识产权数量；</w:t>
      </w:r>
    </w:p>
    <w:p w14:paraId="67861127">
      <w:pPr>
        <w:pStyle w:val="26"/>
        <w:rPr>
          <w:rFonts w:hAnsi="宋体" w:cs="宋体"/>
          <w:highlight w:val="none"/>
        </w:rPr>
      </w:pPr>
      <m:oMath>
        <m:sSub>
          <m:sSubPr>
            <m:ctrlPr>
              <w:rPr>
                <w:rFonts w:hint="eastAsia" w:ascii="Cambria Math" w:hAnsi="Cambria Math" w:cs="宋体"/>
                <w:i/>
                <w:iCs/>
                <w:highlight w:val="none"/>
              </w:rPr>
            </m:ctrlPr>
          </m:sSubPr>
          <m:e>
            <m:r>
              <m:rPr/>
              <w:rPr>
                <w:rFonts w:hint="default" w:ascii="Cambria Math" w:hAnsi="Cambria Math" w:cs="宋体"/>
                <w:highlight w:val="none"/>
              </w:rPr>
              <m:t>T</m:t>
            </m:r>
            <m:ctrlPr>
              <w:rPr>
                <w:rFonts w:hint="eastAsia" w:ascii="Cambria Math" w:hAnsi="Cambria Math" w:cs="宋体"/>
                <w:i/>
                <w:iCs/>
                <w:highlight w:val="none"/>
              </w:rPr>
            </m:ctrlPr>
          </m:e>
          <m:sub>
            <m:r>
              <m:rPr/>
              <w:rPr>
                <w:rFonts w:hint="default" w:ascii="Cambria Math" w:hAnsi="Cambria Math" w:cs="宋体"/>
                <w:highlight w:val="none"/>
              </w:rPr>
              <m:t>i</m:t>
            </m:r>
            <m:ctrlPr>
              <w:rPr>
                <w:rFonts w:hint="eastAsia" w:ascii="Cambria Math" w:hAnsi="Cambria Math" w:cs="宋体"/>
                <w:i/>
                <w:iCs/>
                <w:highlight w:val="none"/>
              </w:rPr>
            </m:ctrlPr>
          </m:sub>
        </m:sSub>
      </m:oMath>
      <w:r>
        <w:rPr>
          <w:rFonts w:hint="eastAsia" w:hAnsi="宋体" w:cs="宋体"/>
          <w:highlight w:val="none"/>
        </w:rPr>
        <w:t>——第i个知识产权的类别折算系数；</w:t>
      </w:r>
    </w:p>
    <w:p w14:paraId="568C9101">
      <w:pPr>
        <w:pStyle w:val="26"/>
        <w:rPr>
          <w:rFonts w:hint="eastAsia" w:hAnsi="宋体" w:cs="宋体"/>
          <w:highlight w:val="none"/>
        </w:rPr>
      </w:pPr>
      <m:oMath>
        <m:sSub>
          <m:sSubPr>
            <m:ctrlPr>
              <w:rPr>
                <w:rFonts w:hint="eastAsia" w:ascii="Cambria Math" w:hAnsi="Cambria Math" w:cs="宋体"/>
                <w:i/>
                <w:iCs/>
                <w:highlight w:val="none"/>
              </w:rPr>
            </m:ctrlPr>
          </m:sSubPr>
          <m:e>
            <m:r>
              <m:rPr/>
              <w:rPr>
                <w:rFonts w:hint="default" w:ascii="Cambria Math" w:hAnsi="Cambria Math" w:cs="宋体"/>
                <w:highlight w:val="none"/>
              </w:rPr>
              <m:t>G</m:t>
            </m:r>
            <m:ctrlPr>
              <w:rPr>
                <w:rFonts w:hint="eastAsia" w:ascii="Cambria Math" w:hAnsi="Cambria Math" w:cs="宋体"/>
                <w:i/>
                <w:iCs/>
                <w:highlight w:val="none"/>
              </w:rPr>
            </m:ctrlPr>
          </m:e>
          <m:sub>
            <m:r>
              <m:rPr/>
              <w:rPr>
                <w:rFonts w:hint="default" w:ascii="Cambria Math" w:hAnsi="Cambria Math" w:cs="宋体"/>
                <w:highlight w:val="none"/>
              </w:rPr>
              <m:t>i</m:t>
            </m:r>
            <m:ctrlPr>
              <w:rPr>
                <w:rFonts w:hint="eastAsia" w:ascii="Cambria Math" w:hAnsi="Cambria Math" w:cs="宋体"/>
                <w:i/>
                <w:iCs/>
                <w:highlight w:val="none"/>
              </w:rPr>
            </m:ctrlPr>
          </m:sub>
        </m:sSub>
      </m:oMath>
      <w:r>
        <w:rPr>
          <w:rFonts w:hint="eastAsia" w:hAnsi="宋体" w:cs="宋体"/>
          <w:highlight w:val="none"/>
        </w:rPr>
        <w:t>——第i个知识产权的获得形式折算系数。</w:t>
      </w:r>
    </w:p>
    <w:p w14:paraId="68C7F0A5">
      <w:pPr>
        <w:pStyle w:val="63"/>
        <w:bidi w:val="0"/>
        <w:ind w:left="856" w:leftChars="0" w:hanging="436" w:firstLineChars="0"/>
        <w:rPr>
          <w:rFonts w:hint="eastAsia"/>
          <w:highlight w:val="none"/>
        </w:rPr>
      </w:pPr>
      <w:r>
        <w:rPr>
          <w:rFonts w:hint="eastAsia"/>
          <w:highlight w:val="none"/>
        </w:rPr>
        <w:t>有效知识产权是</w:t>
      </w:r>
      <w:r>
        <w:rPr>
          <w:rFonts w:hint="eastAsia"/>
          <w:highlight w:val="none"/>
          <w:lang w:val="en-US" w:eastAsia="zh-CN"/>
        </w:rPr>
        <w:t>在温室气体控制领域</w:t>
      </w:r>
      <w:r>
        <w:rPr>
          <w:rFonts w:hint="eastAsia"/>
          <w:highlight w:val="none"/>
        </w:rPr>
        <w:t>，通过自主研发、受让、受赠、并购等方式，获得在有效期内的发明专利、实用新型、软件著作权。</w:t>
      </w:r>
    </w:p>
    <w:p w14:paraId="2390130B">
      <w:pPr>
        <w:pStyle w:val="63"/>
        <w:bidi w:val="0"/>
        <w:ind w:left="856" w:leftChars="0" w:hanging="436" w:firstLineChars="0"/>
        <w:rPr>
          <w:rFonts w:hint="eastAsia"/>
          <w:highlight w:val="none"/>
        </w:rPr>
      </w:pPr>
      <w:r>
        <w:rPr>
          <w:rFonts w:hint="eastAsia"/>
          <w:highlight w:val="none"/>
        </w:rPr>
        <w:t>知识产权类别以发明专利为折算基数，实用新型专利折算系数</w:t>
      </w:r>
      <w:r>
        <w:rPr>
          <w:rFonts w:hint="eastAsia"/>
          <w:highlight w:val="none"/>
          <w:lang w:val="en-US" w:eastAsia="zh-CN"/>
        </w:rPr>
        <w:t>为</w:t>
      </w:r>
      <w:r>
        <w:rPr>
          <w:rFonts w:hint="eastAsia"/>
          <w:highlight w:val="none"/>
        </w:rPr>
        <w:t>0.2</w:t>
      </w:r>
      <w:r>
        <w:rPr>
          <w:rFonts w:hint="eastAsia"/>
          <w:highlight w:val="none"/>
          <w:lang w:eastAsia="zh-CN"/>
        </w:rPr>
        <w:t>，</w:t>
      </w:r>
      <w:r>
        <w:rPr>
          <w:rFonts w:hint="eastAsia"/>
          <w:highlight w:val="none"/>
        </w:rPr>
        <w:t>软件著作权、外观设计专利折算系数</w:t>
      </w:r>
      <w:r>
        <w:rPr>
          <w:rFonts w:hint="eastAsia"/>
          <w:highlight w:val="none"/>
          <w:lang w:val="en-US" w:eastAsia="zh-CN"/>
        </w:rPr>
        <w:t>为</w:t>
      </w:r>
      <w:r>
        <w:rPr>
          <w:rFonts w:hint="eastAsia"/>
          <w:highlight w:val="none"/>
        </w:rPr>
        <w:t>0.1。</w:t>
      </w:r>
    </w:p>
    <w:p w14:paraId="0571F3A3">
      <w:pPr>
        <w:pStyle w:val="63"/>
        <w:bidi w:val="0"/>
        <w:ind w:left="856" w:leftChars="0" w:hanging="436" w:firstLineChars="0"/>
        <w:rPr>
          <w:rFonts w:hint="eastAsia"/>
          <w:highlight w:val="none"/>
        </w:rPr>
      </w:pPr>
      <w:r>
        <w:rPr>
          <w:rFonts w:hint="eastAsia"/>
          <w:highlight w:val="none"/>
        </w:rPr>
        <w:t>知识产权获得形式以自主研发为折算基数，通过受让、受赠、并购方式获取其所有权的折算系数</w:t>
      </w:r>
      <w:r>
        <w:rPr>
          <w:rFonts w:hint="eastAsia"/>
          <w:highlight w:val="none"/>
          <w:lang w:val="en-US" w:eastAsia="zh-CN"/>
        </w:rPr>
        <w:t>为</w:t>
      </w:r>
      <w:r>
        <w:rPr>
          <w:rFonts w:hint="eastAsia"/>
          <w:highlight w:val="none"/>
        </w:rPr>
        <w:t>0.5。</w:t>
      </w:r>
    </w:p>
    <w:bookmarkEnd w:id="85"/>
    <w:p w14:paraId="21E5552F">
      <w:pPr>
        <w:pStyle w:val="131"/>
        <w:ind w:left="0" w:firstLine="0"/>
        <w:rPr>
          <w:rFonts w:ascii="Times New Roman"/>
          <w:highlight w:val="none"/>
        </w:rPr>
      </w:pPr>
      <w:r>
        <w:rPr>
          <w:rFonts w:ascii="Times New Roman"/>
          <w:highlight w:val="none"/>
        </w:rPr>
        <w:t>有效知识产权评分规则</w:t>
      </w:r>
    </w:p>
    <w:tbl>
      <w:tblPr>
        <w:tblStyle w:val="36"/>
        <w:tblW w:w="4996"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4781"/>
        <w:gridCol w:w="4781"/>
      </w:tblGrid>
      <w:tr w14:paraId="21B0E68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2500" w:type="pct"/>
            <w:tcBorders>
              <w:bottom w:val="single" w:color="auto" w:sz="12" w:space="0"/>
            </w:tcBorders>
            <w:vAlign w:val="center"/>
          </w:tcPr>
          <w:p w14:paraId="1F236CC8">
            <w:pPr>
              <w:pStyle w:val="26"/>
              <w:keepNext w:val="0"/>
              <w:keepLines w:val="0"/>
              <w:widowControl/>
              <w:suppressLineNumbers w:val="0"/>
              <w:spacing w:before="0" w:beforeAutospacing="0" w:after="0" w:afterAutospacing="0"/>
              <w:ind w:left="0" w:right="0" w:firstLine="0" w:firstLineChars="0"/>
              <w:jc w:val="center"/>
              <w:rPr>
                <w:rFonts w:hint="eastAsia" w:ascii="Times New Roman" w:eastAsia="宋体"/>
                <w:b/>
                <w:bCs/>
                <w:sz w:val="18"/>
                <w:szCs w:val="16"/>
                <w:highlight w:val="none"/>
                <w:lang w:eastAsia="zh-CN"/>
              </w:rPr>
            </w:pPr>
            <w:r>
              <w:rPr>
                <w:rFonts w:hint="eastAsia" w:ascii="Times New Roman"/>
                <w:b/>
                <w:bCs/>
                <w:sz w:val="18"/>
                <w:szCs w:val="16"/>
                <w:highlight w:val="none"/>
                <w:lang w:val="en-US" w:eastAsia="zh-CN"/>
              </w:rPr>
              <w:t>评分规则</w:t>
            </w:r>
          </w:p>
        </w:tc>
        <w:tc>
          <w:tcPr>
            <w:tcW w:w="2500" w:type="pct"/>
            <w:tcBorders>
              <w:bottom w:val="single" w:color="auto" w:sz="12" w:space="0"/>
            </w:tcBorders>
            <w:vAlign w:val="center"/>
          </w:tcPr>
          <w:p w14:paraId="4DF90332">
            <w:pPr>
              <w:pStyle w:val="26"/>
              <w:keepNext w:val="0"/>
              <w:keepLines w:val="0"/>
              <w:widowControl/>
              <w:suppressLineNumbers w:val="0"/>
              <w:spacing w:before="0" w:beforeAutospacing="0" w:after="0" w:afterAutospacing="0"/>
              <w:ind w:left="0" w:right="0" w:firstLine="0" w:firstLineChars="0"/>
              <w:jc w:val="center"/>
              <w:rPr>
                <w:rFonts w:hint="default" w:ascii="Times New Roman"/>
                <w:b/>
                <w:bCs/>
                <w:sz w:val="18"/>
                <w:szCs w:val="16"/>
                <w:highlight w:val="none"/>
              </w:rPr>
            </w:pPr>
            <w:r>
              <w:rPr>
                <w:rFonts w:hint="default" w:ascii="Times New Roman"/>
                <w:b/>
                <w:bCs/>
                <w:sz w:val="18"/>
                <w:szCs w:val="16"/>
                <w:highlight w:val="none"/>
              </w:rPr>
              <w:t>分值</w:t>
            </w:r>
            <w:r>
              <w:rPr>
                <w:rFonts w:hint="eastAsia" w:ascii="Times New Roman"/>
                <w:b/>
                <w:bCs/>
                <w:sz w:val="18"/>
                <w:szCs w:val="16"/>
                <w:highlight w:val="none"/>
              </w:rPr>
              <w:t>（分）</w:t>
            </w:r>
          </w:p>
        </w:tc>
      </w:tr>
      <w:tr w14:paraId="2CB3513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90" w:hRule="atLeast"/>
          <w:jc w:val="center"/>
        </w:trPr>
        <w:tc>
          <w:tcPr>
            <w:tcW w:w="2500" w:type="pct"/>
            <w:tcBorders>
              <w:top w:val="single" w:color="auto" w:sz="12" w:space="0"/>
              <w:tl2br w:val="nil"/>
              <w:tr2bl w:val="nil"/>
            </w:tcBorders>
            <w:vAlign w:val="center"/>
          </w:tcPr>
          <w:p w14:paraId="34B6464E">
            <w:pPr>
              <w:pStyle w:val="26"/>
              <w:keepNext w:val="0"/>
              <w:keepLines w:val="0"/>
              <w:widowControl/>
              <w:suppressLineNumbers w:val="0"/>
              <w:spacing w:before="0" w:beforeAutospacing="0" w:after="0" w:afterAutospacing="0"/>
              <w:ind w:left="0" w:right="0" w:firstLine="0" w:firstLineChars="0"/>
              <w:jc w:val="center"/>
              <w:rPr>
                <w:rFonts w:hint="default" w:hAnsi="宋体" w:eastAsia="宋体" w:cs="宋体"/>
                <w:sz w:val="18"/>
                <w:szCs w:val="16"/>
                <w:highlight w:val="none"/>
                <w:lang w:val="en-US" w:eastAsia="zh-CN"/>
              </w:rPr>
            </w:pPr>
            <w:r>
              <w:rPr>
                <w:rFonts w:hint="eastAsia" w:hAnsi="宋体" w:cs="宋体"/>
                <w:sz w:val="18"/>
                <w:szCs w:val="16"/>
                <w:highlight w:val="none"/>
              </w:rPr>
              <w:t>采用加权法计算后有效知识产权数量乘以0.</w:t>
            </w:r>
            <w:r>
              <w:rPr>
                <w:rFonts w:hint="eastAsia" w:hAnsi="宋体" w:cs="宋体"/>
                <w:sz w:val="18"/>
                <w:szCs w:val="16"/>
                <w:highlight w:val="none"/>
                <w:lang w:val="en-US" w:eastAsia="zh-CN"/>
              </w:rPr>
              <w:t>4</w:t>
            </w:r>
            <w:r>
              <w:rPr>
                <w:rFonts w:hint="eastAsia" w:hAnsi="宋体" w:cs="宋体"/>
                <w:sz w:val="18"/>
                <w:szCs w:val="16"/>
                <w:highlight w:val="none"/>
              </w:rPr>
              <w:t>分</w:t>
            </w:r>
          </w:p>
        </w:tc>
        <w:tc>
          <w:tcPr>
            <w:tcW w:w="2500" w:type="pct"/>
            <w:tcBorders>
              <w:top w:val="single" w:color="auto" w:sz="12" w:space="0"/>
              <w:tl2br w:val="nil"/>
              <w:tr2bl w:val="nil"/>
            </w:tcBorders>
            <w:vAlign w:val="center"/>
          </w:tcPr>
          <w:p w14:paraId="75B066C0">
            <w:pPr>
              <w:pStyle w:val="26"/>
              <w:keepNext w:val="0"/>
              <w:keepLines w:val="0"/>
              <w:widowControl/>
              <w:suppressLineNumbers w:val="0"/>
              <w:spacing w:before="0" w:beforeAutospacing="0" w:after="0" w:afterAutospacing="0"/>
              <w:ind w:left="0" w:right="0" w:firstLine="0" w:firstLineChars="0"/>
              <w:jc w:val="center"/>
              <w:rPr>
                <w:rFonts w:hint="default" w:hAnsi="宋体" w:cs="宋体"/>
                <w:sz w:val="18"/>
                <w:szCs w:val="16"/>
                <w:highlight w:val="none"/>
              </w:rPr>
            </w:pPr>
            <w:r>
              <w:rPr>
                <w:rFonts w:hint="eastAsia" w:hAnsi="宋体" w:cs="宋体"/>
                <w:sz w:val="18"/>
                <w:szCs w:val="16"/>
                <w:highlight w:val="none"/>
              </w:rPr>
              <w:t>4</w:t>
            </w:r>
          </w:p>
        </w:tc>
      </w:tr>
    </w:tbl>
    <w:p w14:paraId="024D58DC">
      <w:pPr>
        <w:pStyle w:val="60"/>
        <w:spacing w:before="156" w:after="156"/>
        <w:rPr>
          <w:rFonts w:ascii="Times New Roman"/>
          <w:highlight w:val="none"/>
        </w:rPr>
      </w:pPr>
      <w:r>
        <w:rPr>
          <w:rFonts w:ascii="Times New Roman"/>
          <w:highlight w:val="none"/>
        </w:rPr>
        <w:t>制修订标准</w:t>
      </w:r>
    </w:p>
    <w:p w14:paraId="730E1839">
      <w:pPr>
        <w:pStyle w:val="26"/>
        <w:keepNext w:val="0"/>
        <w:keepLines w:val="0"/>
        <w:pageBreakBefore w:val="0"/>
        <w:widowControl w:val="0"/>
        <w:kinsoku/>
        <w:wordWrap/>
        <w:overflowPunct/>
        <w:topLinePunct w:val="0"/>
        <w:autoSpaceDE w:val="0"/>
        <w:autoSpaceDN w:val="0"/>
        <w:bidi w:val="0"/>
        <w:adjustRightInd/>
        <w:snapToGrid/>
        <w:textAlignment w:val="auto"/>
        <w:rPr>
          <w:rFonts w:hint="eastAsia" w:hAnsi="宋体" w:eastAsia="宋体" w:cs="宋体"/>
          <w:highlight w:val="none"/>
          <w:lang w:eastAsia="zh-CN"/>
        </w:rPr>
      </w:pPr>
      <w:r>
        <w:rPr>
          <w:rFonts w:hint="eastAsia" w:hAnsi="宋体" w:cs="宋体"/>
          <w:highlight w:val="none"/>
        </w:rPr>
        <w:t>采用加权法计算制修订标准数量，基于标准类别、标准编制形式和标准制修订程度进行折算，计算方法见公式（</w:t>
      </w:r>
      <w:r>
        <w:rPr>
          <w:rFonts w:hint="eastAsia" w:hAnsi="宋体" w:cs="宋体"/>
          <w:highlight w:val="none"/>
          <w:lang w:val="en-US" w:eastAsia="zh-CN"/>
        </w:rPr>
        <w:t>2</w:t>
      </w:r>
      <w:r>
        <w:rPr>
          <w:rFonts w:hint="eastAsia" w:hAnsi="宋体" w:cs="宋体"/>
          <w:highlight w:val="none"/>
        </w:rPr>
        <w:t>），具体评分规则见表</w:t>
      </w:r>
      <w:r>
        <w:rPr>
          <w:rFonts w:hint="eastAsia" w:hAnsi="宋体" w:cs="宋体"/>
          <w:highlight w:val="none"/>
          <w:lang w:val="en-US" w:eastAsia="zh-CN"/>
        </w:rPr>
        <w:t>2</w:t>
      </w:r>
      <w:r>
        <w:rPr>
          <w:rFonts w:hint="eastAsia" w:hAnsi="宋体" w:cs="宋体"/>
          <w:highlight w:val="none"/>
        </w:rPr>
        <w:t>。优质中小企业在实际得分基础上增加15%的得分，</w:t>
      </w:r>
      <w:r>
        <w:rPr>
          <w:rFonts w:hAnsi="宋体" w:cs="宋体"/>
          <w:highlight w:val="none"/>
        </w:rPr>
        <w:t>最高得分不超过</w:t>
      </w:r>
      <w:r>
        <w:rPr>
          <w:rFonts w:hint="eastAsia" w:hAnsi="宋体" w:cs="宋体"/>
          <w:highlight w:val="none"/>
        </w:rPr>
        <w:t>该项指标总</w:t>
      </w:r>
      <w:r>
        <w:rPr>
          <w:rFonts w:hAnsi="宋体" w:cs="宋体"/>
          <w:highlight w:val="none"/>
        </w:rPr>
        <w:t>分</w:t>
      </w:r>
      <w:r>
        <w:rPr>
          <w:rFonts w:hint="eastAsia" w:hAnsi="宋体" w:cs="宋体"/>
          <w:highlight w:val="none"/>
          <w:lang w:eastAsia="zh-CN"/>
        </w:rPr>
        <w:t>。</w:t>
      </w:r>
    </w:p>
    <w:p w14:paraId="2962FAF8">
      <w:pPr>
        <w:pStyle w:val="26"/>
        <w:keepNext w:val="0"/>
        <w:keepLines w:val="0"/>
        <w:pageBreakBefore w:val="0"/>
        <w:widowControl/>
        <w:tabs>
          <w:tab w:val="left" w:leader="middleDot" w:pos="5260"/>
          <w:tab w:val="right" w:leader="middleDot" w:pos="9298"/>
          <w:tab w:val="clear" w:pos="4201"/>
        </w:tabs>
        <w:kinsoku/>
        <w:wordWrap/>
        <w:overflowPunct/>
        <w:topLinePunct w:val="0"/>
        <w:autoSpaceDE w:val="0"/>
        <w:autoSpaceDN w:val="0"/>
        <w:bidi w:val="0"/>
        <w:adjustRightInd/>
        <w:snapToGrid/>
        <w:spacing w:line="480" w:lineRule="auto"/>
        <w:jc w:val="right"/>
        <w:textAlignment w:val="auto"/>
        <w:rPr>
          <w:rFonts w:hint="eastAsia" w:hAnsi="宋体" w:eastAsia="宋体" w:cs="宋体"/>
          <w:highlight w:val="none"/>
          <w:lang w:eastAsia="zh-CN"/>
        </w:rPr>
      </w:pPr>
      <m:oMath>
        <m:r>
          <m:rPr/>
          <w:rPr>
            <w:rFonts w:hint="default" w:ascii="Cambria Math" w:hAnsi="Cambria Math" w:cs="宋体"/>
            <w:highlight w:val="none"/>
          </w:rPr>
          <m:t>N=</m:t>
        </m:r>
        <m:nary>
          <m:naryPr>
            <m:chr m:val="∑"/>
            <m:limLoc m:val="undOvr"/>
            <m:ctrlPr>
              <w:rPr>
                <w:rFonts w:hint="eastAsia" w:ascii="Cambria Math" w:hAnsi="Cambria Math" w:cs="宋体"/>
                <w:i/>
                <w:iCs/>
                <w:highlight w:val="none"/>
              </w:rPr>
            </m:ctrlPr>
          </m:naryPr>
          <m:sub>
            <m:r>
              <m:rPr/>
              <w:rPr>
                <w:rFonts w:hint="default" w:ascii="Cambria Math" w:hAnsi="Cambria Math" w:cs="宋体"/>
                <w:highlight w:val="none"/>
              </w:rPr>
              <m:t>i=1</m:t>
            </m:r>
            <m:ctrlPr>
              <w:rPr>
                <w:rFonts w:hint="eastAsia" w:ascii="Cambria Math" w:hAnsi="Cambria Math" w:cs="宋体"/>
                <w:i/>
                <w:iCs/>
                <w:highlight w:val="none"/>
              </w:rPr>
            </m:ctrlPr>
          </m:sub>
          <m:sup>
            <m:r>
              <m:rPr/>
              <w:rPr>
                <w:rFonts w:hint="default" w:ascii="Cambria Math" w:hAnsi="Cambria Math" w:cs="宋体"/>
                <w:highlight w:val="none"/>
              </w:rPr>
              <m:t>n</m:t>
            </m:r>
            <m:ctrlPr>
              <w:rPr>
                <w:rFonts w:hint="eastAsia" w:ascii="Cambria Math" w:hAnsi="Cambria Math" w:cs="宋体"/>
                <w:i/>
                <w:iCs/>
                <w:highlight w:val="none"/>
              </w:rPr>
            </m:ctrlPr>
          </m:sup>
          <m:e>
            <m:sSub>
              <m:sSubPr>
                <m:ctrlPr>
                  <w:rPr>
                    <w:rFonts w:hint="eastAsia" w:ascii="Cambria Math" w:hAnsi="Cambria Math" w:cs="宋体"/>
                    <w:i/>
                    <w:iCs/>
                    <w:highlight w:val="none"/>
                  </w:rPr>
                </m:ctrlPr>
              </m:sSubPr>
              <m:e>
                <m:r>
                  <m:rPr/>
                  <w:rPr>
                    <w:rFonts w:hint="default" w:ascii="Cambria Math" w:hAnsi="Cambria Math" w:cs="宋体"/>
                    <w:highlight w:val="none"/>
                  </w:rPr>
                  <m:t>F</m:t>
                </m:r>
                <m:ctrlPr>
                  <w:rPr>
                    <w:rFonts w:hint="eastAsia" w:ascii="Cambria Math" w:hAnsi="Cambria Math" w:cs="宋体"/>
                    <w:i/>
                    <w:iCs/>
                    <w:highlight w:val="none"/>
                  </w:rPr>
                </m:ctrlPr>
              </m:e>
              <m:sub>
                <m:r>
                  <m:rPr/>
                  <w:rPr>
                    <w:rFonts w:hint="default" w:ascii="Cambria Math" w:hAnsi="Cambria Math" w:cs="宋体"/>
                    <w:highlight w:val="none"/>
                  </w:rPr>
                  <m:t>i</m:t>
                </m:r>
                <m:ctrlPr>
                  <w:rPr>
                    <w:rFonts w:hint="eastAsia" w:ascii="Cambria Math" w:hAnsi="Cambria Math" w:cs="宋体"/>
                    <w:i/>
                    <w:iCs/>
                    <w:highlight w:val="none"/>
                  </w:rPr>
                </m:ctrlPr>
              </m:sub>
            </m:sSub>
            <m:r>
              <m:rPr/>
              <w:rPr>
                <w:rFonts w:hint="eastAsia" w:ascii="Cambria Math" w:hAnsi="Cambria Math" w:cs="宋体"/>
                <w:highlight w:val="none"/>
              </w:rPr>
              <m:t>×</m:t>
            </m:r>
            <m:sSub>
              <m:sSubPr>
                <m:ctrlPr>
                  <w:rPr>
                    <w:rFonts w:hint="eastAsia" w:ascii="Cambria Math" w:hAnsi="Cambria Math" w:cs="宋体"/>
                    <w:i/>
                    <w:iCs/>
                    <w:highlight w:val="none"/>
                  </w:rPr>
                </m:ctrlPr>
              </m:sSubPr>
              <m:e>
                <m:r>
                  <m:rPr/>
                  <w:rPr>
                    <w:rFonts w:hint="default" w:ascii="Cambria Math" w:hAnsi="Cambria Math" w:cs="宋体"/>
                    <w:highlight w:val="none"/>
                  </w:rPr>
                  <m:t>D</m:t>
                </m:r>
                <m:ctrlPr>
                  <w:rPr>
                    <w:rFonts w:hint="eastAsia" w:ascii="Cambria Math" w:hAnsi="Cambria Math" w:cs="宋体"/>
                    <w:i/>
                    <w:iCs/>
                    <w:highlight w:val="none"/>
                  </w:rPr>
                </m:ctrlPr>
              </m:e>
              <m:sub>
                <m:r>
                  <m:rPr/>
                  <w:rPr>
                    <w:rFonts w:hint="default" w:ascii="Cambria Math" w:hAnsi="Cambria Math" w:cs="宋体"/>
                    <w:highlight w:val="none"/>
                  </w:rPr>
                  <m:t>i</m:t>
                </m:r>
                <m:ctrlPr>
                  <w:rPr>
                    <w:rFonts w:hint="eastAsia" w:ascii="Cambria Math" w:hAnsi="Cambria Math" w:cs="宋体"/>
                    <w:i/>
                    <w:iCs/>
                    <w:highlight w:val="none"/>
                  </w:rPr>
                </m:ctrlPr>
              </m:sub>
            </m:sSub>
            <m:r>
              <m:rPr/>
              <w:rPr>
                <w:rFonts w:hint="eastAsia" w:ascii="Cambria Math" w:hAnsi="Cambria Math" w:cs="宋体"/>
                <w:highlight w:val="none"/>
              </w:rPr>
              <m:t>×</m:t>
            </m:r>
            <m:sSub>
              <m:sSubPr>
                <m:ctrlPr>
                  <w:rPr>
                    <w:rFonts w:hint="eastAsia" w:ascii="Cambria Math" w:hAnsi="Cambria Math" w:cs="宋体"/>
                    <w:i/>
                    <w:iCs/>
                    <w:highlight w:val="none"/>
                  </w:rPr>
                </m:ctrlPr>
              </m:sSubPr>
              <m:e>
                <m:r>
                  <m:rPr/>
                  <w:rPr>
                    <w:rFonts w:hint="default" w:ascii="Cambria Math" w:hAnsi="Cambria Math" w:cs="宋体"/>
                    <w:highlight w:val="none"/>
                  </w:rPr>
                  <m:t>T</m:t>
                </m:r>
                <m:ctrlPr>
                  <w:rPr>
                    <w:rFonts w:hint="eastAsia" w:ascii="Cambria Math" w:hAnsi="Cambria Math" w:cs="宋体"/>
                    <w:i/>
                    <w:iCs/>
                    <w:highlight w:val="none"/>
                  </w:rPr>
                </m:ctrlPr>
              </m:e>
              <m:sub>
                <m:r>
                  <m:rPr/>
                  <w:rPr>
                    <w:rFonts w:hint="default" w:ascii="Cambria Math" w:hAnsi="Cambria Math" w:cs="宋体"/>
                    <w:highlight w:val="none"/>
                  </w:rPr>
                  <m:t>i</m:t>
                </m:r>
                <m:ctrlPr>
                  <w:rPr>
                    <w:rFonts w:hint="eastAsia" w:ascii="Cambria Math" w:hAnsi="Cambria Math" w:cs="宋体"/>
                    <w:i/>
                    <w:iCs/>
                    <w:highlight w:val="none"/>
                  </w:rPr>
                </m:ctrlPr>
              </m:sub>
            </m:sSub>
            <m:ctrlPr>
              <w:rPr>
                <w:rFonts w:hint="eastAsia" w:ascii="Cambria Math" w:hAnsi="Cambria Math" w:cs="宋体"/>
                <w:i/>
                <w:iCs/>
                <w:highlight w:val="none"/>
              </w:rPr>
            </m:ctrlPr>
          </m:e>
        </m:nary>
      </m:oMath>
      <w:r>
        <w:rPr>
          <w:rFonts w:hint="eastAsia" w:ascii="Times New Roman" w:hAnsi="Cambria Math" w:eastAsia="宋体" w:cs="宋体"/>
          <w:kern w:val="2"/>
          <w:szCs w:val="21"/>
          <w:highlight w:val="none"/>
        </w:rPr>
        <w:tab/>
      </w:r>
      <w:r>
        <w:rPr>
          <w:rFonts w:hint="eastAsia" w:hAnsi="宋体" w:cs="宋体"/>
          <w:color w:val="auto"/>
          <w:szCs w:val="21"/>
          <w:highlight w:val="none"/>
          <w:lang w:eastAsia="zh-CN"/>
        </w:rPr>
        <w:t>（</w:t>
      </w:r>
      <w:r>
        <w:rPr>
          <w:rFonts w:hint="eastAsia" w:hAnsi="宋体" w:cs="宋体"/>
          <w:color w:val="auto"/>
          <w:szCs w:val="21"/>
          <w:highlight w:val="none"/>
          <w:lang w:val="en-US" w:eastAsia="zh-CN"/>
        </w:rPr>
        <w:t>2</w:t>
      </w:r>
      <w:r>
        <w:rPr>
          <w:rFonts w:hint="eastAsia" w:hAnsi="宋体" w:cs="宋体"/>
          <w:color w:val="auto"/>
          <w:szCs w:val="21"/>
          <w:highlight w:val="none"/>
          <w:lang w:eastAsia="zh-CN"/>
        </w:rPr>
        <w:t>）</w:t>
      </w:r>
    </w:p>
    <w:p w14:paraId="7AE2CC59">
      <w:pPr>
        <w:pStyle w:val="26"/>
        <w:rPr>
          <w:rFonts w:hint="eastAsia" w:hAnsi="宋体" w:cs="宋体"/>
          <w:highlight w:val="none"/>
        </w:rPr>
      </w:pPr>
      <w:r>
        <w:rPr>
          <w:rFonts w:hint="eastAsia" w:hAnsi="宋体" w:cs="宋体"/>
          <w:highlight w:val="none"/>
        </w:rPr>
        <w:t>式中：</w:t>
      </w:r>
    </w:p>
    <w:p w14:paraId="3EB37001">
      <w:pPr>
        <w:pStyle w:val="26"/>
        <w:rPr>
          <w:rFonts w:hint="eastAsia" w:hAnsi="宋体" w:cs="宋体"/>
          <w:highlight w:val="none"/>
        </w:rPr>
      </w:pPr>
      <m:oMath>
        <m:r>
          <m:rPr/>
          <w:rPr>
            <w:rFonts w:hint="default" w:ascii="Cambria Math" w:hAnsi="Cambria Math" w:cs="宋体"/>
            <w:highlight w:val="none"/>
          </w:rPr>
          <m:t>N</m:t>
        </m:r>
      </m:oMath>
      <w:r>
        <w:rPr>
          <w:rFonts w:hint="eastAsia" w:hAnsi="Cambria Math" w:cs="宋体"/>
          <w:b w:val="0"/>
          <w:i w:val="0"/>
          <w:spacing w:val="-20"/>
          <w:sz w:val="21"/>
          <w:highlight w:val="none"/>
          <w:lang w:val="en-US" w:eastAsia="zh-CN"/>
        </w:rPr>
        <w:t xml:space="preserve"> </w:t>
      </w:r>
      <w:r>
        <w:rPr>
          <w:rFonts w:hint="eastAsia" w:hAnsi="宋体" w:cs="宋体"/>
          <w:highlight w:val="none"/>
        </w:rPr>
        <w:t>——制修订标准数量；</w:t>
      </w:r>
    </w:p>
    <w:p w14:paraId="3C4BFBF7">
      <w:pPr>
        <w:pStyle w:val="26"/>
        <w:rPr>
          <w:rFonts w:hint="eastAsia" w:hAnsi="宋体" w:cs="宋体"/>
          <w:highlight w:val="none"/>
        </w:rPr>
      </w:pPr>
      <m:oMath>
        <m:sSub>
          <m:sSubPr>
            <m:ctrlPr>
              <w:rPr>
                <w:rFonts w:hint="eastAsia" w:ascii="Cambria Math" w:hAnsi="Cambria Math" w:cs="宋体"/>
                <w:i/>
                <w:iCs/>
                <w:highlight w:val="none"/>
              </w:rPr>
            </m:ctrlPr>
          </m:sSubPr>
          <m:e>
            <m:r>
              <m:rPr/>
              <w:rPr>
                <w:rFonts w:hint="default" w:ascii="Cambria Math" w:hAnsi="Cambria Math" w:cs="宋体"/>
                <w:highlight w:val="none"/>
              </w:rPr>
              <m:t>F</m:t>
            </m:r>
            <m:ctrlPr>
              <w:rPr>
                <w:rFonts w:hint="eastAsia" w:ascii="Cambria Math" w:hAnsi="Cambria Math" w:cs="宋体"/>
                <w:i/>
                <w:iCs/>
                <w:highlight w:val="none"/>
              </w:rPr>
            </m:ctrlPr>
          </m:e>
          <m:sub>
            <m:r>
              <m:rPr/>
              <w:rPr>
                <w:rFonts w:hint="default" w:ascii="Cambria Math" w:hAnsi="Cambria Math" w:cs="宋体"/>
                <w:highlight w:val="none"/>
              </w:rPr>
              <m:t>i</m:t>
            </m:r>
            <m:ctrlPr>
              <w:rPr>
                <w:rFonts w:hint="eastAsia" w:ascii="Cambria Math" w:hAnsi="Cambria Math" w:cs="宋体"/>
                <w:i/>
                <w:iCs/>
                <w:highlight w:val="none"/>
              </w:rPr>
            </m:ctrlPr>
          </m:sub>
        </m:sSub>
      </m:oMath>
      <w:r>
        <w:rPr>
          <w:rFonts w:hint="eastAsia" w:hAnsi="Cambria Math" w:cs="宋体"/>
          <w:i w:val="0"/>
          <w:spacing w:val="-34"/>
          <w:sz w:val="21"/>
          <w:highlight w:val="none"/>
          <w:lang w:val="en-US" w:eastAsia="zh-CN"/>
        </w:rPr>
        <w:t xml:space="preserve"> </w:t>
      </w:r>
      <w:r>
        <w:rPr>
          <w:rFonts w:hint="eastAsia" w:hAnsi="宋体" w:cs="宋体"/>
          <w:highlight w:val="none"/>
        </w:rPr>
        <w:t>——第i个标准的编制形式折算系数；</w:t>
      </w:r>
    </w:p>
    <w:p w14:paraId="2AEFD4DC">
      <w:pPr>
        <w:pStyle w:val="26"/>
        <w:rPr>
          <w:rFonts w:hint="eastAsia" w:hAnsi="宋体" w:cs="宋体"/>
          <w:highlight w:val="none"/>
        </w:rPr>
      </w:pPr>
      <m:oMath>
        <m:sSub>
          <m:sSubPr>
            <m:ctrlPr>
              <w:rPr>
                <w:rFonts w:hint="eastAsia" w:ascii="Cambria Math" w:hAnsi="Cambria Math" w:cs="宋体"/>
                <w:i/>
                <w:iCs/>
                <w:highlight w:val="none"/>
              </w:rPr>
            </m:ctrlPr>
          </m:sSubPr>
          <m:e>
            <m:r>
              <m:rPr/>
              <w:rPr>
                <w:rFonts w:hint="default" w:ascii="Cambria Math" w:hAnsi="Cambria Math" w:cs="宋体"/>
                <w:highlight w:val="none"/>
              </w:rPr>
              <m:t>D</m:t>
            </m:r>
            <m:ctrlPr>
              <w:rPr>
                <w:rFonts w:hint="eastAsia" w:ascii="Cambria Math" w:hAnsi="Cambria Math" w:cs="宋体"/>
                <w:i/>
                <w:iCs/>
                <w:highlight w:val="none"/>
              </w:rPr>
            </m:ctrlPr>
          </m:e>
          <m:sub>
            <m:r>
              <m:rPr/>
              <w:rPr>
                <w:rFonts w:hint="default" w:ascii="Cambria Math" w:hAnsi="Cambria Math" w:cs="宋体"/>
                <w:highlight w:val="none"/>
              </w:rPr>
              <m:t>i</m:t>
            </m:r>
            <m:ctrlPr>
              <w:rPr>
                <w:rFonts w:hint="eastAsia" w:ascii="Cambria Math" w:hAnsi="Cambria Math" w:cs="宋体"/>
                <w:i/>
                <w:iCs/>
                <w:highlight w:val="none"/>
              </w:rPr>
            </m:ctrlPr>
          </m:sub>
        </m:sSub>
      </m:oMath>
      <w:r>
        <w:rPr>
          <w:rFonts w:hint="eastAsia" w:hAnsi="宋体" w:cs="宋体"/>
          <w:highlight w:val="none"/>
        </w:rPr>
        <w:t>——第i个标准的制修订参与程度折算系数；</w:t>
      </w:r>
    </w:p>
    <w:p w14:paraId="08581E3D">
      <w:pPr>
        <w:pStyle w:val="26"/>
        <w:rPr>
          <w:rFonts w:hint="eastAsia" w:hAnsi="宋体" w:cs="宋体"/>
          <w:highlight w:val="none"/>
        </w:rPr>
      </w:pPr>
      <m:oMath>
        <m:sSub>
          <m:sSubPr>
            <m:ctrlPr>
              <w:rPr>
                <w:rFonts w:hint="eastAsia" w:ascii="Cambria Math" w:hAnsi="Cambria Math" w:cs="宋体"/>
                <w:i/>
                <w:iCs/>
                <w:highlight w:val="none"/>
              </w:rPr>
            </m:ctrlPr>
          </m:sSubPr>
          <m:e>
            <m:r>
              <m:rPr/>
              <w:rPr>
                <w:rFonts w:hint="default" w:ascii="Cambria Math" w:hAnsi="Cambria Math" w:cs="宋体"/>
                <w:highlight w:val="none"/>
              </w:rPr>
              <m:t>T</m:t>
            </m:r>
            <m:ctrlPr>
              <w:rPr>
                <w:rFonts w:hint="eastAsia" w:ascii="Cambria Math" w:hAnsi="Cambria Math" w:cs="宋体"/>
                <w:i/>
                <w:iCs/>
                <w:highlight w:val="none"/>
              </w:rPr>
            </m:ctrlPr>
          </m:e>
          <m:sub>
            <m:r>
              <m:rPr/>
              <w:rPr>
                <w:rFonts w:hint="default" w:ascii="Cambria Math" w:hAnsi="Cambria Math" w:cs="宋体"/>
                <w:highlight w:val="none"/>
              </w:rPr>
              <m:t>i</m:t>
            </m:r>
            <m:ctrlPr>
              <w:rPr>
                <w:rFonts w:hint="eastAsia" w:ascii="Cambria Math" w:hAnsi="Cambria Math" w:cs="宋体"/>
                <w:i/>
                <w:iCs/>
                <w:highlight w:val="none"/>
              </w:rPr>
            </m:ctrlPr>
          </m:sub>
        </m:sSub>
      </m:oMath>
      <w:r>
        <w:rPr>
          <w:rFonts w:hint="eastAsia" w:hAnsi="Cambria Math" w:cs="宋体"/>
          <w:i w:val="0"/>
          <w:spacing w:val="-45"/>
          <w:sz w:val="21"/>
          <w:highlight w:val="none"/>
          <w:lang w:val="en-US" w:eastAsia="zh-CN"/>
        </w:rPr>
        <w:t xml:space="preserve"> </w:t>
      </w:r>
      <w:r>
        <w:rPr>
          <w:rFonts w:hint="eastAsia" w:hAnsi="宋体" w:cs="宋体"/>
          <w:highlight w:val="none"/>
        </w:rPr>
        <w:t>——第i个标准的类别折算系数。</w:t>
      </w:r>
    </w:p>
    <w:p w14:paraId="0CFD3594">
      <w:pPr>
        <w:pStyle w:val="63"/>
        <w:keepNext w:val="0"/>
        <w:keepLines w:val="0"/>
        <w:pageBreakBefore w:val="0"/>
        <w:widowControl w:val="0"/>
        <w:numPr>
          <w:ilvl w:val="0"/>
          <w:numId w:val="19"/>
        </w:numPr>
        <w:tabs>
          <w:tab w:val="left" w:pos="840"/>
        </w:tabs>
        <w:kinsoku/>
        <w:wordWrap/>
        <w:overflowPunct/>
        <w:topLinePunct w:val="0"/>
        <w:autoSpaceDE w:val="0"/>
        <w:autoSpaceDN w:val="0"/>
        <w:bidi w:val="0"/>
        <w:adjustRightInd/>
        <w:snapToGrid/>
        <w:ind w:left="809" w:leftChars="171" w:hanging="450" w:hangingChars="250"/>
        <w:textAlignment w:val="auto"/>
        <w:rPr>
          <w:rFonts w:hint="eastAsia"/>
          <w:highlight w:val="none"/>
        </w:rPr>
      </w:pPr>
      <w:r>
        <w:rPr>
          <w:rFonts w:hint="eastAsia"/>
          <w:highlight w:val="none"/>
        </w:rPr>
        <w:t>制修订标准是</w:t>
      </w:r>
      <w:r>
        <w:rPr>
          <w:rFonts w:hint="eastAsia"/>
          <w:highlight w:val="none"/>
          <w:lang w:val="en-US" w:eastAsia="zh-CN"/>
        </w:rPr>
        <w:t>在温室气体控制领域</w:t>
      </w:r>
      <w:r>
        <w:rPr>
          <w:rFonts w:hint="eastAsia"/>
          <w:highlight w:val="none"/>
        </w:rPr>
        <w:t>，近五年内已正式发布的国际标准、国家标准、行业标准、地方标准</w:t>
      </w:r>
      <w:r>
        <w:rPr>
          <w:rFonts w:hint="eastAsia"/>
          <w:highlight w:val="none"/>
          <w:lang w:eastAsia="zh-CN"/>
        </w:rPr>
        <w:t>、</w:t>
      </w:r>
      <w:r>
        <w:rPr>
          <w:rFonts w:hint="eastAsia"/>
          <w:highlight w:val="none"/>
          <w:lang w:val="en-US" w:eastAsia="zh-CN"/>
        </w:rPr>
        <w:t>团体标准</w:t>
      </w:r>
      <w:r>
        <w:rPr>
          <w:rFonts w:hint="eastAsia"/>
          <w:highlight w:val="none"/>
        </w:rPr>
        <w:t>。</w:t>
      </w:r>
    </w:p>
    <w:p w14:paraId="60577F24">
      <w:pPr>
        <w:pStyle w:val="63"/>
        <w:keepNext w:val="0"/>
        <w:keepLines w:val="0"/>
        <w:pageBreakBefore w:val="0"/>
        <w:widowControl w:val="0"/>
        <w:numPr>
          <w:ilvl w:val="0"/>
          <w:numId w:val="19"/>
        </w:numPr>
        <w:tabs>
          <w:tab w:val="left" w:pos="840"/>
        </w:tabs>
        <w:kinsoku/>
        <w:wordWrap/>
        <w:overflowPunct/>
        <w:topLinePunct w:val="0"/>
        <w:autoSpaceDE w:val="0"/>
        <w:autoSpaceDN w:val="0"/>
        <w:bidi w:val="0"/>
        <w:adjustRightInd/>
        <w:snapToGrid/>
        <w:ind w:left="809" w:leftChars="171" w:hanging="450" w:hangingChars="250"/>
        <w:textAlignment w:val="auto"/>
        <w:rPr>
          <w:rFonts w:hint="eastAsia"/>
          <w:highlight w:val="none"/>
        </w:rPr>
      </w:pPr>
      <w:r>
        <w:rPr>
          <w:rFonts w:hint="eastAsia"/>
          <w:highlight w:val="none"/>
        </w:rPr>
        <w:t>标准类别以国家标准及行业标准为折算基数，国际标准按折算系数</w:t>
      </w:r>
      <w:r>
        <w:rPr>
          <w:rFonts w:hint="eastAsia"/>
          <w:highlight w:val="none"/>
          <w:lang w:val="en-US" w:eastAsia="zh-CN"/>
        </w:rPr>
        <w:t>为</w:t>
      </w:r>
      <w:r>
        <w:rPr>
          <w:rFonts w:hint="eastAsia"/>
          <w:highlight w:val="none"/>
        </w:rPr>
        <w:t>1.2，地方标准折算系数</w:t>
      </w:r>
      <w:r>
        <w:rPr>
          <w:rFonts w:hint="eastAsia"/>
          <w:highlight w:val="none"/>
          <w:lang w:val="en-US" w:eastAsia="zh-CN"/>
        </w:rPr>
        <w:t>为</w:t>
      </w:r>
      <w:r>
        <w:rPr>
          <w:rFonts w:hint="eastAsia"/>
          <w:highlight w:val="none"/>
        </w:rPr>
        <w:t>0.5</w:t>
      </w:r>
      <w:r>
        <w:rPr>
          <w:rFonts w:hint="eastAsia"/>
          <w:highlight w:val="none"/>
          <w:lang w:eastAsia="zh-CN"/>
        </w:rPr>
        <w:t>，</w:t>
      </w:r>
      <w:r>
        <w:rPr>
          <w:rFonts w:hint="eastAsia"/>
          <w:highlight w:val="none"/>
          <w:lang w:val="en-US" w:eastAsia="zh-CN"/>
        </w:rPr>
        <w:t>团体</w:t>
      </w:r>
      <w:r>
        <w:rPr>
          <w:rFonts w:hint="eastAsia"/>
          <w:highlight w:val="none"/>
          <w:lang w:eastAsia="zh-CN"/>
        </w:rPr>
        <w:t>标准折算系数</w:t>
      </w:r>
      <w:r>
        <w:rPr>
          <w:rFonts w:hint="eastAsia"/>
          <w:highlight w:val="none"/>
          <w:lang w:val="en-US" w:eastAsia="zh-CN"/>
        </w:rPr>
        <w:t>为</w:t>
      </w:r>
      <w:r>
        <w:rPr>
          <w:rFonts w:hint="eastAsia"/>
          <w:highlight w:val="none"/>
          <w:lang w:eastAsia="zh-CN"/>
        </w:rPr>
        <w:t>0.</w:t>
      </w:r>
      <w:r>
        <w:rPr>
          <w:rFonts w:hint="eastAsia"/>
          <w:highlight w:val="none"/>
          <w:lang w:val="en-US" w:eastAsia="zh-CN"/>
        </w:rPr>
        <w:t>2</w:t>
      </w:r>
      <w:r>
        <w:rPr>
          <w:rFonts w:hint="eastAsia"/>
          <w:highlight w:val="none"/>
        </w:rPr>
        <w:t>。</w:t>
      </w:r>
    </w:p>
    <w:p w14:paraId="4640D049">
      <w:pPr>
        <w:pStyle w:val="63"/>
        <w:keepNext w:val="0"/>
        <w:keepLines w:val="0"/>
        <w:pageBreakBefore w:val="0"/>
        <w:widowControl w:val="0"/>
        <w:numPr>
          <w:ilvl w:val="0"/>
          <w:numId w:val="19"/>
        </w:numPr>
        <w:tabs>
          <w:tab w:val="left" w:pos="840"/>
        </w:tabs>
        <w:kinsoku/>
        <w:wordWrap/>
        <w:overflowPunct/>
        <w:topLinePunct w:val="0"/>
        <w:autoSpaceDE w:val="0"/>
        <w:autoSpaceDN w:val="0"/>
        <w:bidi w:val="0"/>
        <w:adjustRightInd/>
        <w:snapToGrid/>
        <w:ind w:left="809" w:leftChars="171" w:hanging="450" w:hangingChars="250"/>
        <w:textAlignment w:val="auto"/>
        <w:rPr>
          <w:rFonts w:hint="eastAsia"/>
          <w:highlight w:val="none"/>
        </w:rPr>
      </w:pPr>
      <w:r>
        <w:rPr>
          <w:rFonts w:hint="eastAsia"/>
          <w:highlight w:val="none"/>
        </w:rPr>
        <w:t>标准编制形式以制定标准为折算基数，修订标准折算系数</w:t>
      </w:r>
      <w:r>
        <w:rPr>
          <w:rFonts w:hint="eastAsia"/>
          <w:highlight w:val="none"/>
          <w:lang w:val="en-US" w:eastAsia="zh-CN"/>
        </w:rPr>
        <w:t>为</w:t>
      </w:r>
      <w:r>
        <w:rPr>
          <w:rFonts w:hint="eastAsia"/>
          <w:highlight w:val="none"/>
        </w:rPr>
        <w:t>0.5。</w:t>
      </w:r>
    </w:p>
    <w:p w14:paraId="00C95275">
      <w:pPr>
        <w:pStyle w:val="63"/>
        <w:keepNext w:val="0"/>
        <w:keepLines w:val="0"/>
        <w:pageBreakBefore w:val="0"/>
        <w:widowControl w:val="0"/>
        <w:numPr>
          <w:ilvl w:val="0"/>
          <w:numId w:val="19"/>
        </w:numPr>
        <w:kinsoku/>
        <w:wordWrap/>
        <w:overflowPunct/>
        <w:topLinePunct w:val="0"/>
        <w:autoSpaceDE w:val="0"/>
        <w:autoSpaceDN w:val="0"/>
        <w:bidi w:val="0"/>
        <w:adjustRightInd/>
        <w:snapToGrid/>
        <w:ind w:left="809" w:leftChars="171" w:hanging="450" w:hangingChars="250"/>
        <w:textAlignment w:val="auto"/>
        <w:rPr>
          <w:rFonts w:hint="eastAsia"/>
          <w:highlight w:val="none"/>
        </w:rPr>
      </w:pPr>
      <w:r>
        <w:rPr>
          <w:rFonts w:hint="eastAsia"/>
          <w:highlight w:val="none"/>
        </w:rPr>
        <w:t>在标准文本“主要起草单位”中排名前两名，视为主导制定起草单位；在标准文本“主要起草单位”中排名第三到第五名，视为参与制定标准单位。如排名前五名的起草单位中有行政机关单位的，名次可相应顺延。</w:t>
      </w:r>
      <w:r>
        <w:rPr>
          <w:rFonts w:hint="eastAsia"/>
          <w:highlight w:val="none"/>
          <w:lang w:val="en-US" w:eastAsia="zh-CN"/>
        </w:rPr>
        <w:t>若标准中明确起草单位排名不分先后，均视为主导制定起草单位。标准制修订参与程度以主导制定起草单位为折算基数，参与制定标准单位折算系数为0.2。</w:t>
      </w:r>
    </w:p>
    <w:p w14:paraId="59F5C615">
      <w:pPr>
        <w:pStyle w:val="131"/>
        <w:rPr>
          <w:rFonts w:ascii="Times New Roman"/>
          <w:highlight w:val="none"/>
        </w:rPr>
      </w:pPr>
      <w:r>
        <w:rPr>
          <w:rFonts w:ascii="Times New Roman"/>
          <w:highlight w:val="none"/>
        </w:rPr>
        <w:t>制修订标准评分规则</w:t>
      </w:r>
    </w:p>
    <w:tbl>
      <w:tblPr>
        <w:tblStyle w:val="36"/>
        <w:tblW w:w="4996"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4781"/>
        <w:gridCol w:w="4781"/>
      </w:tblGrid>
      <w:tr w14:paraId="6739703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1" w:hRule="atLeast"/>
          <w:jc w:val="center"/>
        </w:trPr>
        <w:tc>
          <w:tcPr>
            <w:tcW w:w="2500" w:type="pct"/>
            <w:tcBorders>
              <w:bottom w:val="single" w:color="auto" w:sz="12" w:space="0"/>
            </w:tcBorders>
            <w:vAlign w:val="center"/>
          </w:tcPr>
          <w:p w14:paraId="6B67CB5F">
            <w:pPr>
              <w:pStyle w:val="26"/>
              <w:keepNext w:val="0"/>
              <w:keepLines w:val="0"/>
              <w:widowControl/>
              <w:suppressLineNumbers w:val="0"/>
              <w:spacing w:before="0" w:beforeAutospacing="0" w:after="0" w:afterAutospacing="0"/>
              <w:ind w:left="0" w:right="0" w:firstLine="0" w:firstLineChars="0"/>
              <w:jc w:val="center"/>
              <w:rPr>
                <w:rFonts w:hint="eastAsia" w:ascii="Times New Roman" w:eastAsia="宋体"/>
                <w:b/>
                <w:bCs/>
                <w:sz w:val="18"/>
                <w:szCs w:val="16"/>
                <w:highlight w:val="none"/>
                <w:lang w:eastAsia="zh-CN"/>
              </w:rPr>
            </w:pPr>
            <w:r>
              <w:rPr>
                <w:rFonts w:hint="eastAsia" w:ascii="Times New Roman"/>
                <w:b/>
                <w:bCs/>
                <w:sz w:val="18"/>
                <w:szCs w:val="16"/>
                <w:highlight w:val="none"/>
                <w:lang w:val="en-US" w:eastAsia="zh-CN"/>
              </w:rPr>
              <w:t>评分规则</w:t>
            </w:r>
          </w:p>
        </w:tc>
        <w:tc>
          <w:tcPr>
            <w:tcW w:w="2500" w:type="pct"/>
            <w:tcBorders>
              <w:bottom w:val="single" w:color="auto" w:sz="12" w:space="0"/>
            </w:tcBorders>
            <w:vAlign w:val="center"/>
          </w:tcPr>
          <w:p w14:paraId="7FCAAD44">
            <w:pPr>
              <w:pStyle w:val="26"/>
              <w:keepNext w:val="0"/>
              <w:keepLines w:val="0"/>
              <w:widowControl/>
              <w:suppressLineNumbers w:val="0"/>
              <w:spacing w:before="0" w:beforeAutospacing="0" w:after="0" w:afterAutospacing="0"/>
              <w:ind w:left="0" w:right="0" w:firstLine="0" w:firstLineChars="0"/>
              <w:jc w:val="center"/>
              <w:rPr>
                <w:rFonts w:hint="default" w:ascii="Times New Roman"/>
                <w:b/>
                <w:bCs/>
                <w:sz w:val="18"/>
                <w:szCs w:val="16"/>
                <w:highlight w:val="none"/>
              </w:rPr>
            </w:pPr>
            <w:r>
              <w:rPr>
                <w:rFonts w:hint="default" w:ascii="Times New Roman"/>
                <w:b/>
                <w:bCs/>
                <w:sz w:val="18"/>
                <w:szCs w:val="16"/>
                <w:highlight w:val="none"/>
              </w:rPr>
              <w:t>分值</w:t>
            </w:r>
            <w:r>
              <w:rPr>
                <w:rFonts w:hint="eastAsia" w:ascii="Times New Roman"/>
                <w:b/>
                <w:bCs/>
                <w:sz w:val="18"/>
                <w:szCs w:val="16"/>
                <w:highlight w:val="none"/>
              </w:rPr>
              <w:t>（分）</w:t>
            </w:r>
          </w:p>
        </w:tc>
      </w:tr>
      <w:tr w14:paraId="7409754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76" w:hRule="atLeast"/>
          <w:jc w:val="center"/>
        </w:trPr>
        <w:tc>
          <w:tcPr>
            <w:tcW w:w="2500" w:type="pct"/>
            <w:tcBorders>
              <w:top w:val="single" w:color="auto" w:sz="12" w:space="0"/>
              <w:tl2br w:val="nil"/>
              <w:tr2bl w:val="nil"/>
            </w:tcBorders>
            <w:vAlign w:val="center"/>
          </w:tcPr>
          <w:p w14:paraId="134D8AAD">
            <w:pPr>
              <w:pStyle w:val="26"/>
              <w:keepNext w:val="0"/>
              <w:keepLines w:val="0"/>
              <w:widowControl/>
              <w:suppressLineNumbers w:val="0"/>
              <w:spacing w:before="0" w:beforeAutospacing="0" w:after="0" w:afterAutospacing="0"/>
              <w:ind w:left="0" w:right="0" w:firstLine="0" w:firstLineChars="0"/>
              <w:jc w:val="center"/>
              <w:rPr>
                <w:rFonts w:hint="default" w:hAnsi="宋体" w:cs="宋体"/>
                <w:sz w:val="18"/>
                <w:szCs w:val="16"/>
                <w:highlight w:val="none"/>
              </w:rPr>
            </w:pPr>
            <w:r>
              <w:rPr>
                <w:rFonts w:hint="eastAsia" w:hAnsi="宋体" w:cs="宋体"/>
                <w:sz w:val="18"/>
                <w:szCs w:val="16"/>
                <w:highlight w:val="none"/>
              </w:rPr>
              <w:t>采用加权法计算后制修订标准数量乘以2分</w:t>
            </w:r>
          </w:p>
        </w:tc>
        <w:tc>
          <w:tcPr>
            <w:tcW w:w="2500" w:type="pct"/>
            <w:tcBorders>
              <w:top w:val="single" w:color="auto" w:sz="12" w:space="0"/>
              <w:tl2br w:val="nil"/>
              <w:tr2bl w:val="nil"/>
            </w:tcBorders>
            <w:vAlign w:val="center"/>
          </w:tcPr>
          <w:p w14:paraId="0CE15D72">
            <w:pPr>
              <w:pStyle w:val="26"/>
              <w:keepNext w:val="0"/>
              <w:keepLines w:val="0"/>
              <w:widowControl/>
              <w:suppressLineNumbers w:val="0"/>
              <w:spacing w:before="0" w:beforeAutospacing="0" w:after="0" w:afterAutospacing="0"/>
              <w:ind w:left="0" w:right="0" w:firstLine="0" w:firstLineChars="0"/>
              <w:jc w:val="center"/>
              <w:rPr>
                <w:rFonts w:hint="default" w:hAnsi="宋体" w:cs="宋体"/>
                <w:sz w:val="18"/>
                <w:szCs w:val="16"/>
                <w:highlight w:val="none"/>
              </w:rPr>
            </w:pPr>
            <w:r>
              <w:rPr>
                <w:rFonts w:hint="eastAsia" w:hAnsi="宋体" w:cs="宋体"/>
                <w:sz w:val="18"/>
                <w:szCs w:val="16"/>
                <w:highlight w:val="none"/>
              </w:rPr>
              <w:t>4</w:t>
            </w:r>
          </w:p>
        </w:tc>
      </w:tr>
    </w:tbl>
    <w:p w14:paraId="5AD61D25">
      <w:pPr>
        <w:pStyle w:val="60"/>
        <w:spacing w:before="156" w:after="156"/>
        <w:rPr>
          <w:szCs w:val="21"/>
          <w:highlight w:val="none"/>
        </w:rPr>
      </w:pPr>
      <w:r>
        <w:rPr>
          <w:rFonts w:ascii="Times New Roman"/>
          <w:highlight w:val="none"/>
        </w:rPr>
        <w:t>关键技术先进性</w:t>
      </w:r>
    </w:p>
    <w:p w14:paraId="105268A4">
      <w:pPr>
        <w:autoSpaceDE w:val="0"/>
        <w:autoSpaceDN w:val="0"/>
        <w:ind w:firstLine="420" w:firstLineChars="200"/>
        <w:rPr>
          <w:szCs w:val="21"/>
          <w:highlight w:val="none"/>
        </w:rPr>
      </w:pPr>
      <w:r>
        <w:rPr>
          <w:rFonts w:hint="eastAsia" w:ascii="宋体" w:hAnsi="宋体" w:cs="宋体"/>
          <w:szCs w:val="21"/>
          <w:highlight w:val="none"/>
          <w:lang w:bidi="ar"/>
        </w:rPr>
        <w:t>根据不同子行业、不同设备</w:t>
      </w:r>
      <w:r>
        <w:rPr>
          <w:rFonts w:hint="eastAsia" w:ascii="宋体" w:hAnsi="宋体" w:cs="宋体"/>
          <w:szCs w:val="21"/>
          <w:highlight w:val="none"/>
          <w:lang w:val="en-US" w:eastAsia="zh-CN" w:bidi="ar"/>
        </w:rPr>
        <w:t>类型</w:t>
      </w:r>
      <w:r>
        <w:rPr>
          <w:rFonts w:hint="eastAsia" w:ascii="宋体" w:hAnsi="宋体" w:cs="宋体"/>
          <w:szCs w:val="21"/>
          <w:highlight w:val="none"/>
          <w:lang w:bidi="ar"/>
        </w:rPr>
        <w:t>选取不同评价指标，具体评分规则见表</w:t>
      </w:r>
      <w:r>
        <w:rPr>
          <w:rFonts w:hint="eastAsia" w:ascii="宋体" w:hAnsi="宋体" w:cs="宋体"/>
          <w:szCs w:val="21"/>
          <w:highlight w:val="none"/>
          <w:lang w:val="en-US" w:eastAsia="zh-CN" w:bidi="ar"/>
        </w:rPr>
        <w:t>3</w:t>
      </w:r>
      <w:r>
        <w:rPr>
          <w:rFonts w:hint="eastAsia" w:ascii="宋体" w:hAnsi="宋体" w:cs="宋体"/>
          <w:szCs w:val="21"/>
          <w:highlight w:val="none"/>
          <w:lang w:eastAsia="zh-CN" w:bidi="ar"/>
        </w:rPr>
        <w:t>，</w:t>
      </w:r>
      <w:r>
        <w:rPr>
          <w:rFonts w:hint="eastAsia" w:ascii="宋体" w:hAnsi="宋体" w:cs="宋体"/>
          <w:szCs w:val="21"/>
          <w:highlight w:val="none"/>
          <w:lang w:bidi="ar"/>
        </w:rPr>
        <w:t>具体评价内容及评价方法见</w:t>
      </w:r>
      <w:r>
        <w:rPr>
          <w:rFonts w:hint="eastAsia" w:ascii="宋体" w:hAnsi="宋体" w:cs="宋体"/>
          <w:szCs w:val="21"/>
          <w:highlight w:val="none"/>
          <w:lang w:val="en-US" w:eastAsia="zh-CN" w:bidi="ar"/>
        </w:rPr>
        <w:t>附录A</w:t>
      </w:r>
      <w:r>
        <w:rPr>
          <w:rFonts w:hint="eastAsia" w:ascii="宋体" w:hAnsi="宋体" w:cs="宋体"/>
          <w:szCs w:val="21"/>
          <w:highlight w:val="none"/>
          <w:lang w:bidi="ar"/>
        </w:rPr>
        <w:t>。</w:t>
      </w:r>
    </w:p>
    <w:p w14:paraId="2D8DED2E">
      <w:pPr>
        <w:pStyle w:val="131"/>
        <w:rPr>
          <w:rFonts w:ascii="Times New Roman"/>
          <w:kern w:val="2"/>
          <w:szCs w:val="21"/>
          <w:highlight w:val="none"/>
        </w:rPr>
      </w:pPr>
      <w:r>
        <w:rPr>
          <w:rFonts w:hint="eastAsia" w:hAnsi="宋体" w:cs="黑体"/>
          <w:kern w:val="2"/>
          <w:szCs w:val="21"/>
          <w:highlight w:val="none"/>
          <w:lang w:val="en-US" w:eastAsia="zh-CN" w:bidi="ar"/>
        </w:rPr>
        <w:t>关键</w:t>
      </w:r>
      <w:r>
        <w:rPr>
          <w:rFonts w:hint="eastAsia" w:hAnsi="宋体" w:cs="黑体"/>
          <w:kern w:val="2"/>
          <w:szCs w:val="21"/>
          <w:highlight w:val="none"/>
          <w:lang w:bidi="ar"/>
        </w:rPr>
        <w:t>技术先进水平评分规则</w:t>
      </w:r>
    </w:p>
    <w:tbl>
      <w:tblPr>
        <w:tblStyle w:val="36"/>
        <w:tblW w:w="4998"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7006"/>
        <w:gridCol w:w="2560"/>
      </w:tblGrid>
      <w:tr w14:paraId="011A5DD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1" w:hRule="atLeast"/>
          <w:jc w:val="center"/>
        </w:trPr>
        <w:tc>
          <w:tcPr>
            <w:tcW w:w="3661" w:type="pct"/>
            <w:tcBorders>
              <w:bottom w:val="single" w:color="auto" w:sz="12" w:space="0"/>
            </w:tcBorders>
            <w:shd w:val="clear" w:color="auto" w:fill="auto"/>
            <w:vAlign w:val="center"/>
          </w:tcPr>
          <w:p w14:paraId="090B14EF">
            <w:pPr>
              <w:keepNext w:val="0"/>
              <w:keepLines w:val="0"/>
              <w:suppressLineNumbers w:val="0"/>
              <w:autoSpaceDE w:val="0"/>
              <w:autoSpaceDN w:val="0"/>
              <w:spacing w:before="0" w:beforeAutospacing="0" w:after="0" w:afterAutospacing="0"/>
              <w:ind w:left="0" w:right="0"/>
              <w:jc w:val="center"/>
              <w:rPr>
                <w:rFonts w:hint="default"/>
                <w:b/>
                <w:bCs/>
                <w:sz w:val="18"/>
                <w:szCs w:val="18"/>
                <w:highlight w:val="none"/>
              </w:rPr>
            </w:pPr>
            <w:r>
              <w:rPr>
                <w:rFonts w:hint="eastAsia" w:ascii="宋体" w:hAnsi="宋体" w:cs="宋体"/>
                <w:b/>
                <w:bCs/>
                <w:sz w:val="18"/>
                <w:szCs w:val="18"/>
                <w:highlight w:val="none"/>
                <w:lang w:val="en-US" w:eastAsia="zh-CN" w:bidi="ar"/>
              </w:rPr>
              <w:t>关键</w:t>
            </w:r>
            <w:r>
              <w:rPr>
                <w:rFonts w:hint="eastAsia" w:ascii="宋体" w:hAnsi="宋体" w:cs="宋体"/>
                <w:b/>
                <w:bCs/>
                <w:sz w:val="18"/>
                <w:szCs w:val="18"/>
                <w:highlight w:val="none"/>
                <w:lang w:bidi="ar"/>
              </w:rPr>
              <w:t>技术先进水平</w:t>
            </w:r>
          </w:p>
        </w:tc>
        <w:tc>
          <w:tcPr>
            <w:tcW w:w="1338" w:type="pct"/>
            <w:tcBorders>
              <w:bottom w:val="single" w:color="auto" w:sz="12" w:space="0"/>
            </w:tcBorders>
            <w:shd w:val="clear" w:color="auto" w:fill="auto"/>
            <w:vAlign w:val="center"/>
          </w:tcPr>
          <w:p w14:paraId="7FD57BAD">
            <w:pPr>
              <w:keepNext w:val="0"/>
              <w:keepLines w:val="0"/>
              <w:suppressLineNumbers w:val="0"/>
              <w:autoSpaceDE w:val="0"/>
              <w:autoSpaceDN w:val="0"/>
              <w:spacing w:before="0" w:beforeAutospacing="0" w:after="0" w:afterAutospacing="0"/>
              <w:ind w:left="0" w:right="0"/>
              <w:jc w:val="center"/>
              <w:rPr>
                <w:rFonts w:hint="default"/>
                <w:b/>
                <w:bCs/>
                <w:sz w:val="18"/>
                <w:szCs w:val="18"/>
                <w:highlight w:val="none"/>
              </w:rPr>
            </w:pPr>
            <w:r>
              <w:rPr>
                <w:rFonts w:hint="eastAsia" w:ascii="宋体" w:hAnsi="宋体" w:cs="宋体"/>
                <w:b/>
                <w:bCs/>
                <w:sz w:val="18"/>
                <w:szCs w:val="18"/>
                <w:highlight w:val="none"/>
                <w:lang w:bidi="ar"/>
              </w:rPr>
              <w:t>分值（分）</w:t>
            </w:r>
          </w:p>
        </w:tc>
      </w:tr>
      <w:tr w14:paraId="2447946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8" w:hRule="atLeast"/>
          <w:jc w:val="center"/>
        </w:trPr>
        <w:tc>
          <w:tcPr>
            <w:tcW w:w="7006" w:type="dxa"/>
            <w:tcBorders>
              <w:top w:val="single" w:color="auto" w:sz="12" w:space="0"/>
              <w:tl2br w:val="nil"/>
              <w:tr2bl w:val="nil"/>
            </w:tcBorders>
            <w:shd w:val="clear" w:color="auto" w:fill="auto"/>
            <w:vAlign w:val="center"/>
          </w:tcPr>
          <w:p w14:paraId="59DD2189">
            <w:pPr>
              <w:keepNext w:val="0"/>
              <w:keepLines w:val="0"/>
              <w:suppressLineNumbers w:val="0"/>
              <w:autoSpaceDE w:val="0"/>
              <w:autoSpaceDN w:val="0"/>
              <w:spacing w:before="0" w:beforeAutospacing="0" w:after="0" w:afterAutospacing="0"/>
              <w:ind w:left="0" w:right="0"/>
              <w:jc w:val="left"/>
              <w:rPr>
                <w:rFonts w:hint="default" w:ascii="宋体" w:hAnsi="宋体" w:cs="宋体"/>
                <w:sz w:val="18"/>
                <w:szCs w:val="18"/>
                <w:highlight w:val="none"/>
              </w:rPr>
            </w:pPr>
            <w:r>
              <w:rPr>
                <w:rFonts w:hint="eastAsia" w:ascii="宋体" w:hAnsi="宋体" w:cs="宋体"/>
                <w:sz w:val="18"/>
                <w:szCs w:val="18"/>
                <w:highlight w:val="none"/>
                <w:lang w:bidi="ar"/>
              </w:rPr>
              <w:t>处于行业领先水平，对产业（行业）具有显著技术引领作用</w:t>
            </w:r>
          </w:p>
        </w:tc>
        <w:tc>
          <w:tcPr>
            <w:tcW w:w="2560" w:type="dxa"/>
            <w:tcBorders>
              <w:top w:val="single" w:color="auto" w:sz="12" w:space="0"/>
              <w:tl2br w:val="nil"/>
              <w:tr2bl w:val="nil"/>
            </w:tcBorders>
            <w:shd w:val="clear" w:color="auto" w:fill="auto"/>
            <w:vAlign w:val="center"/>
          </w:tcPr>
          <w:p w14:paraId="05DF4C3D">
            <w:pPr>
              <w:keepNext w:val="0"/>
              <w:keepLines w:val="0"/>
              <w:suppressLineNumbers w:val="0"/>
              <w:autoSpaceDE w:val="0"/>
              <w:autoSpaceDN w:val="0"/>
              <w:spacing w:before="0" w:beforeAutospacing="0" w:after="0" w:afterAutospacing="0"/>
              <w:ind w:left="0" w:right="0"/>
              <w:jc w:val="center"/>
              <w:rPr>
                <w:rFonts w:hint="default" w:ascii="宋体" w:hAnsi="宋体" w:cs="宋体"/>
                <w:sz w:val="18"/>
                <w:szCs w:val="18"/>
                <w:highlight w:val="none"/>
              </w:rPr>
            </w:pPr>
            <w:r>
              <w:rPr>
                <w:rFonts w:hint="eastAsia" w:ascii="宋体" w:hAnsi="宋体" w:cs="宋体"/>
                <w:sz w:val="18"/>
                <w:szCs w:val="18"/>
                <w:highlight w:val="none"/>
                <w:lang w:bidi="ar"/>
              </w:rPr>
              <w:t>(8,12]</w:t>
            </w:r>
          </w:p>
        </w:tc>
      </w:tr>
      <w:tr w14:paraId="2519E36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70" w:hRule="atLeast"/>
          <w:jc w:val="center"/>
        </w:trPr>
        <w:tc>
          <w:tcPr>
            <w:tcW w:w="7006" w:type="dxa"/>
            <w:tcBorders>
              <w:tl2br w:val="nil"/>
              <w:tr2bl w:val="nil"/>
            </w:tcBorders>
            <w:shd w:val="clear" w:color="auto" w:fill="auto"/>
            <w:vAlign w:val="center"/>
          </w:tcPr>
          <w:p w14:paraId="674CBF24">
            <w:pPr>
              <w:keepNext w:val="0"/>
              <w:keepLines w:val="0"/>
              <w:suppressLineNumbers w:val="0"/>
              <w:autoSpaceDE w:val="0"/>
              <w:autoSpaceDN w:val="0"/>
              <w:spacing w:before="0" w:beforeAutospacing="0" w:after="0" w:afterAutospacing="0"/>
              <w:ind w:left="0" w:right="0"/>
              <w:jc w:val="left"/>
              <w:rPr>
                <w:rFonts w:hint="default" w:ascii="宋体" w:hAnsi="宋体" w:cs="宋体"/>
                <w:sz w:val="18"/>
                <w:szCs w:val="18"/>
                <w:highlight w:val="none"/>
              </w:rPr>
            </w:pPr>
            <w:r>
              <w:rPr>
                <w:rFonts w:hint="eastAsia" w:ascii="宋体" w:hAnsi="宋体" w:cs="宋体"/>
                <w:sz w:val="18"/>
                <w:szCs w:val="18"/>
                <w:highlight w:val="none"/>
                <w:lang w:bidi="ar"/>
              </w:rPr>
              <w:t>处于行业较好水平，对产业（行业）具有一定技术推动作用</w:t>
            </w:r>
          </w:p>
        </w:tc>
        <w:tc>
          <w:tcPr>
            <w:tcW w:w="2560" w:type="dxa"/>
            <w:tcBorders>
              <w:tl2br w:val="nil"/>
              <w:tr2bl w:val="nil"/>
            </w:tcBorders>
            <w:shd w:val="clear" w:color="auto" w:fill="auto"/>
            <w:vAlign w:val="center"/>
          </w:tcPr>
          <w:p w14:paraId="31A118D7">
            <w:pPr>
              <w:keepNext w:val="0"/>
              <w:keepLines w:val="0"/>
              <w:suppressLineNumbers w:val="0"/>
              <w:autoSpaceDE w:val="0"/>
              <w:autoSpaceDN w:val="0"/>
              <w:spacing w:before="0" w:beforeAutospacing="0" w:after="0" w:afterAutospacing="0"/>
              <w:ind w:left="0" w:right="0"/>
              <w:jc w:val="center"/>
              <w:rPr>
                <w:rFonts w:hint="default" w:ascii="宋体" w:hAnsi="宋体" w:cs="宋体"/>
                <w:sz w:val="18"/>
                <w:szCs w:val="18"/>
                <w:highlight w:val="none"/>
              </w:rPr>
            </w:pPr>
            <w:r>
              <w:rPr>
                <w:rFonts w:hint="eastAsia" w:ascii="宋体" w:hAnsi="宋体" w:cs="宋体"/>
                <w:sz w:val="18"/>
                <w:szCs w:val="18"/>
                <w:highlight w:val="none"/>
                <w:lang w:bidi="ar"/>
              </w:rPr>
              <w:t>(4,8]</w:t>
            </w:r>
          </w:p>
        </w:tc>
      </w:tr>
      <w:tr w14:paraId="0BBEAA2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70" w:hRule="atLeast"/>
          <w:jc w:val="center"/>
        </w:trPr>
        <w:tc>
          <w:tcPr>
            <w:tcW w:w="7006" w:type="dxa"/>
            <w:tcBorders>
              <w:tl2br w:val="nil"/>
              <w:tr2bl w:val="nil"/>
            </w:tcBorders>
            <w:shd w:val="clear" w:color="auto" w:fill="auto"/>
            <w:vAlign w:val="center"/>
          </w:tcPr>
          <w:p w14:paraId="1B000F20">
            <w:pPr>
              <w:keepNext w:val="0"/>
              <w:keepLines w:val="0"/>
              <w:suppressLineNumbers w:val="0"/>
              <w:autoSpaceDE w:val="0"/>
              <w:autoSpaceDN w:val="0"/>
              <w:spacing w:before="0" w:beforeAutospacing="0" w:after="0" w:afterAutospacing="0"/>
              <w:ind w:left="0" w:right="0"/>
              <w:jc w:val="left"/>
              <w:rPr>
                <w:rFonts w:hint="default" w:ascii="宋体" w:hAnsi="宋体" w:cs="宋体"/>
                <w:sz w:val="18"/>
                <w:szCs w:val="18"/>
                <w:highlight w:val="none"/>
              </w:rPr>
            </w:pPr>
            <w:r>
              <w:rPr>
                <w:rFonts w:hint="eastAsia" w:ascii="宋体" w:hAnsi="宋体" w:cs="宋体"/>
                <w:sz w:val="18"/>
                <w:szCs w:val="18"/>
                <w:highlight w:val="none"/>
                <w:lang w:bidi="ar"/>
              </w:rPr>
              <w:t>处于行业平均水平</w:t>
            </w:r>
          </w:p>
        </w:tc>
        <w:tc>
          <w:tcPr>
            <w:tcW w:w="2560" w:type="dxa"/>
            <w:tcBorders>
              <w:tl2br w:val="nil"/>
              <w:tr2bl w:val="nil"/>
            </w:tcBorders>
            <w:shd w:val="clear" w:color="auto" w:fill="auto"/>
            <w:vAlign w:val="center"/>
          </w:tcPr>
          <w:p w14:paraId="1499BE74">
            <w:pPr>
              <w:keepNext w:val="0"/>
              <w:keepLines w:val="0"/>
              <w:suppressLineNumbers w:val="0"/>
              <w:autoSpaceDE w:val="0"/>
              <w:autoSpaceDN w:val="0"/>
              <w:spacing w:before="0" w:beforeAutospacing="0" w:after="0" w:afterAutospacing="0"/>
              <w:ind w:left="0" w:right="0"/>
              <w:jc w:val="center"/>
              <w:rPr>
                <w:rFonts w:hint="default" w:ascii="宋体" w:hAnsi="宋体" w:cs="宋体"/>
                <w:sz w:val="18"/>
                <w:szCs w:val="18"/>
                <w:highlight w:val="none"/>
              </w:rPr>
            </w:pPr>
            <w:r>
              <w:rPr>
                <w:rFonts w:hint="eastAsia" w:ascii="宋体" w:hAnsi="宋体" w:cs="宋体"/>
                <w:sz w:val="18"/>
                <w:szCs w:val="18"/>
                <w:highlight w:val="none"/>
                <w:lang w:bidi="ar"/>
              </w:rPr>
              <w:t>(0,4]</w:t>
            </w:r>
          </w:p>
        </w:tc>
      </w:tr>
      <w:tr w14:paraId="18686E6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7" w:hRule="atLeast"/>
          <w:jc w:val="center"/>
        </w:trPr>
        <w:tc>
          <w:tcPr>
            <w:tcW w:w="7006" w:type="dxa"/>
            <w:tcBorders>
              <w:tl2br w:val="nil"/>
              <w:tr2bl w:val="nil"/>
            </w:tcBorders>
            <w:shd w:val="clear" w:color="auto" w:fill="auto"/>
            <w:vAlign w:val="center"/>
          </w:tcPr>
          <w:p w14:paraId="44CFEEAB">
            <w:pPr>
              <w:keepNext w:val="0"/>
              <w:keepLines w:val="0"/>
              <w:suppressLineNumbers w:val="0"/>
              <w:autoSpaceDE w:val="0"/>
              <w:autoSpaceDN w:val="0"/>
              <w:spacing w:before="0" w:beforeAutospacing="0" w:after="0" w:afterAutospacing="0"/>
              <w:ind w:left="0" w:right="0"/>
              <w:jc w:val="left"/>
              <w:rPr>
                <w:rFonts w:hint="default" w:ascii="宋体" w:hAnsi="宋体" w:cs="宋体"/>
                <w:sz w:val="18"/>
                <w:szCs w:val="18"/>
                <w:highlight w:val="none"/>
              </w:rPr>
            </w:pPr>
            <w:r>
              <w:rPr>
                <w:rFonts w:hint="eastAsia" w:ascii="宋体" w:hAnsi="宋体" w:cs="宋体"/>
                <w:sz w:val="18"/>
                <w:szCs w:val="18"/>
                <w:highlight w:val="none"/>
                <w:lang w:bidi="ar"/>
              </w:rPr>
              <w:t>未满足上述任何一项</w:t>
            </w:r>
          </w:p>
        </w:tc>
        <w:tc>
          <w:tcPr>
            <w:tcW w:w="2560" w:type="dxa"/>
            <w:tcBorders>
              <w:tl2br w:val="nil"/>
              <w:tr2bl w:val="nil"/>
            </w:tcBorders>
            <w:shd w:val="clear" w:color="auto" w:fill="auto"/>
            <w:vAlign w:val="center"/>
          </w:tcPr>
          <w:p w14:paraId="4D6B7A97">
            <w:pPr>
              <w:keepNext w:val="0"/>
              <w:keepLines w:val="0"/>
              <w:suppressLineNumbers w:val="0"/>
              <w:autoSpaceDE w:val="0"/>
              <w:autoSpaceDN w:val="0"/>
              <w:spacing w:before="0" w:beforeAutospacing="0" w:after="0" w:afterAutospacing="0"/>
              <w:ind w:left="0" w:right="0"/>
              <w:jc w:val="center"/>
              <w:rPr>
                <w:rFonts w:hint="default" w:ascii="宋体" w:hAnsi="宋体" w:cs="宋体"/>
                <w:sz w:val="18"/>
                <w:szCs w:val="18"/>
                <w:highlight w:val="none"/>
              </w:rPr>
            </w:pPr>
            <w:r>
              <w:rPr>
                <w:rFonts w:hint="eastAsia" w:ascii="宋体" w:hAnsi="宋体" w:cs="宋体"/>
                <w:sz w:val="18"/>
                <w:szCs w:val="18"/>
                <w:highlight w:val="none"/>
                <w:lang w:bidi="ar"/>
              </w:rPr>
              <w:t>0</w:t>
            </w:r>
          </w:p>
        </w:tc>
      </w:tr>
    </w:tbl>
    <w:p w14:paraId="658C45F3">
      <w:pPr>
        <w:pStyle w:val="56"/>
        <w:numPr>
          <w:ilvl w:val="3"/>
          <w:numId w:val="2"/>
        </w:numPr>
        <w:spacing w:before="156" w:after="156"/>
        <w:rPr>
          <w:rFonts w:ascii="Times New Roman"/>
          <w:highlight w:val="none"/>
        </w:rPr>
      </w:pPr>
      <w:r>
        <w:rPr>
          <w:rFonts w:ascii="Times New Roman"/>
          <w:highlight w:val="none"/>
        </w:rPr>
        <w:t>环境效益</w:t>
      </w:r>
    </w:p>
    <w:p w14:paraId="586E1CCD">
      <w:pPr>
        <w:autoSpaceDE w:val="0"/>
        <w:autoSpaceDN w:val="0"/>
        <w:ind w:firstLine="420" w:firstLineChars="200"/>
        <w:rPr>
          <w:rFonts w:hint="eastAsia" w:ascii="宋体" w:hAnsi="宋体" w:cs="宋体"/>
          <w:highlight w:val="none"/>
        </w:rPr>
      </w:pPr>
      <w:r>
        <w:rPr>
          <w:rFonts w:hint="eastAsia" w:ascii="宋体" w:hAnsi="宋体" w:cs="宋体"/>
          <w:highlight w:val="none"/>
          <w:lang w:val="en-US" w:eastAsia="zh-CN"/>
        </w:rPr>
        <w:t>评估采购方应用温室气体控制领域相关产品或服务产生的资源节约、环境友好、生态良好等环境效益贡献量和涉及的环境效益种类数量，环境效益种类包括</w:t>
      </w:r>
      <w:r>
        <w:rPr>
          <w:rFonts w:hint="eastAsia" w:ascii="宋体" w:hAnsi="宋体" w:cs="宋体"/>
          <w:highlight w:val="none"/>
        </w:rPr>
        <w:t>降碳效益、</w:t>
      </w:r>
      <w:r>
        <w:rPr>
          <w:rFonts w:hint="eastAsia" w:ascii="宋体" w:hAnsi="宋体" w:cs="宋体"/>
          <w:highlight w:val="none"/>
          <w:lang w:val="en-US" w:eastAsia="zh-CN"/>
        </w:rPr>
        <w:t>其他</w:t>
      </w:r>
      <w:r>
        <w:rPr>
          <w:rFonts w:hint="eastAsia" w:ascii="宋体" w:hAnsi="宋体" w:cs="宋体"/>
          <w:highlight w:val="none"/>
        </w:rPr>
        <w:t>效益，</w:t>
      </w:r>
      <w:r>
        <w:rPr>
          <w:rFonts w:hint="eastAsia" w:ascii="宋体" w:hAnsi="宋体" w:cs="宋体"/>
          <w:highlight w:val="none"/>
          <w:lang w:val="en-US" w:eastAsia="zh-CN"/>
        </w:rPr>
        <w:t>不同子行业选取的环境效益指标见表4</w:t>
      </w:r>
      <w:r>
        <w:rPr>
          <w:rFonts w:hint="eastAsia" w:ascii="宋体" w:hAnsi="宋体" w:cs="宋体"/>
          <w:highlight w:val="none"/>
          <w:lang w:eastAsia="zh-CN"/>
        </w:rPr>
        <w:t>，</w:t>
      </w:r>
      <w:r>
        <w:rPr>
          <w:rFonts w:hint="eastAsia" w:ascii="宋体" w:hAnsi="宋体" w:cs="宋体"/>
          <w:highlight w:val="none"/>
          <w:lang w:val="en-US" w:eastAsia="zh-CN"/>
        </w:rPr>
        <w:t>环境效益</w:t>
      </w:r>
      <w:r>
        <w:rPr>
          <w:rFonts w:hint="eastAsia" w:ascii="宋体" w:hAnsi="宋体" w:cs="宋体"/>
          <w:highlight w:val="none"/>
          <w:lang w:eastAsia="zh-CN"/>
        </w:rPr>
        <w:t>评分规则见表</w:t>
      </w:r>
      <w:r>
        <w:rPr>
          <w:rFonts w:hint="eastAsia" w:ascii="宋体" w:hAnsi="宋体" w:cs="宋体"/>
          <w:highlight w:val="none"/>
          <w:lang w:val="en-US" w:eastAsia="zh-CN"/>
        </w:rPr>
        <w:t>5</w:t>
      </w:r>
      <w:r>
        <w:rPr>
          <w:rFonts w:hint="eastAsia" w:ascii="宋体" w:hAnsi="宋体" w:cs="宋体"/>
          <w:highlight w:val="none"/>
          <w:lang w:eastAsia="zh-CN"/>
        </w:rPr>
        <w:t>。</w:t>
      </w:r>
      <w:r>
        <w:rPr>
          <w:rFonts w:hint="eastAsia" w:ascii="宋体" w:hAnsi="宋体" w:cs="宋体"/>
          <w:highlight w:val="none"/>
          <w:lang w:val="en-US" w:eastAsia="zh-CN"/>
        </w:rPr>
        <w:t>环境效益贡献量</w:t>
      </w:r>
      <w:r>
        <w:rPr>
          <w:rFonts w:hint="eastAsia" w:ascii="宋体" w:hAnsi="宋体" w:cs="宋体"/>
          <w:highlight w:val="none"/>
        </w:rPr>
        <w:t>以</w:t>
      </w:r>
      <w:r>
        <w:rPr>
          <w:rFonts w:hint="eastAsia" w:ascii="宋体" w:hAnsi="宋体" w:cs="宋体"/>
          <w:highlight w:val="none"/>
          <w:lang w:val="en-US" w:eastAsia="zh-CN"/>
        </w:rPr>
        <w:t>温室气体控制领域</w:t>
      </w:r>
      <w:r>
        <w:rPr>
          <w:rFonts w:hint="eastAsia" w:ascii="宋体" w:hAnsi="宋体" w:cs="宋体"/>
          <w:highlight w:val="none"/>
        </w:rPr>
        <w:t>相关产品或服务应用前为基准线</w:t>
      </w:r>
      <w:r>
        <w:rPr>
          <w:rFonts w:hint="eastAsia" w:ascii="宋体" w:hAnsi="宋体" w:cs="宋体"/>
          <w:highlight w:val="none"/>
          <w:lang w:val="en-US" w:eastAsia="zh-CN"/>
        </w:rPr>
        <w:t>情景</w:t>
      </w:r>
      <w:r>
        <w:rPr>
          <w:rFonts w:hint="eastAsia" w:ascii="宋体" w:hAnsi="宋体" w:cs="宋体"/>
          <w:highlight w:val="none"/>
        </w:rPr>
        <w:t>，按年度评估其应用后带来的有利影响增量或不利影响减量</w:t>
      </w:r>
      <w:r>
        <w:rPr>
          <w:rFonts w:hint="eastAsia" w:ascii="宋体" w:hAnsi="宋体" w:cs="宋体"/>
          <w:highlight w:val="none"/>
          <w:lang w:eastAsia="zh-CN"/>
        </w:rPr>
        <w:t>，</w:t>
      </w:r>
      <w:r>
        <w:rPr>
          <w:rFonts w:hint="eastAsia" w:ascii="宋体" w:hAnsi="宋体" w:cs="宋体"/>
          <w:highlight w:val="none"/>
          <w:lang w:val="en-US" w:eastAsia="zh-CN"/>
        </w:rPr>
        <w:t>环境效益指标及测算方法见附录B</w:t>
      </w:r>
      <w:r>
        <w:rPr>
          <w:rFonts w:hint="eastAsia" w:ascii="宋体" w:hAnsi="宋体" w:cs="宋体"/>
          <w:highlight w:val="none"/>
        </w:rPr>
        <w:t>。</w:t>
      </w:r>
    </w:p>
    <w:p w14:paraId="1441D45E">
      <w:pPr>
        <w:pStyle w:val="62"/>
        <w:bidi w:val="0"/>
        <w:rPr>
          <w:highlight w:val="none"/>
        </w:rPr>
      </w:pPr>
      <w:r>
        <w:rPr>
          <w:rFonts w:hint="eastAsia"/>
          <w:highlight w:val="none"/>
          <w:lang w:val="en-US" w:eastAsia="zh-CN"/>
        </w:rPr>
        <w:t>“绿色服务”类企事业单位不参评“环境效益”指标。</w:t>
      </w:r>
    </w:p>
    <w:p w14:paraId="4D65A3BD">
      <w:pPr>
        <w:pStyle w:val="131"/>
        <w:ind w:left="0" w:firstLine="0"/>
        <w:rPr>
          <w:rFonts w:ascii="Times New Roman"/>
          <w:highlight w:val="none"/>
        </w:rPr>
      </w:pPr>
      <w:r>
        <w:rPr>
          <w:rFonts w:hint="eastAsia" w:ascii="Times New Roman"/>
          <w:highlight w:val="none"/>
          <w:lang w:val="en-US" w:eastAsia="zh-CN"/>
        </w:rPr>
        <w:t>环境效益指标</w:t>
      </w:r>
    </w:p>
    <w:tbl>
      <w:tblPr>
        <w:tblStyle w:val="36"/>
        <w:tblW w:w="4994"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2987"/>
        <w:gridCol w:w="1211"/>
        <w:gridCol w:w="5361"/>
      </w:tblGrid>
      <w:tr w14:paraId="131CEB8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1" w:hRule="atLeast"/>
          <w:jc w:val="center"/>
        </w:trPr>
        <w:tc>
          <w:tcPr>
            <w:tcW w:w="1562" w:type="pct"/>
            <w:tcBorders>
              <w:bottom w:val="single" w:color="auto" w:sz="12" w:space="0"/>
            </w:tcBorders>
            <w:vAlign w:val="center"/>
          </w:tcPr>
          <w:p w14:paraId="02DD94F2">
            <w:pPr>
              <w:keepNext w:val="0"/>
              <w:keepLines w:val="0"/>
              <w:suppressLineNumbers w:val="0"/>
              <w:autoSpaceDE w:val="0"/>
              <w:autoSpaceDN w:val="0"/>
              <w:spacing w:before="0" w:beforeAutospacing="0" w:after="0" w:afterAutospacing="0"/>
              <w:ind w:left="0" w:right="0"/>
              <w:jc w:val="center"/>
              <w:rPr>
                <w:rFonts w:hint="default" w:eastAsia="宋体"/>
                <w:b/>
                <w:bCs/>
                <w:sz w:val="18"/>
                <w:szCs w:val="16"/>
                <w:highlight w:val="none"/>
                <w:lang w:val="en-US" w:eastAsia="zh-CN"/>
              </w:rPr>
            </w:pPr>
            <w:r>
              <w:rPr>
                <w:rFonts w:hint="eastAsia"/>
                <w:b/>
                <w:bCs/>
                <w:sz w:val="18"/>
                <w:szCs w:val="16"/>
                <w:highlight w:val="none"/>
                <w:lang w:val="en-US" w:eastAsia="zh-CN"/>
              </w:rPr>
              <w:t>子行业</w:t>
            </w:r>
          </w:p>
        </w:tc>
        <w:tc>
          <w:tcPr>
            <w:tcW w:w="633" w:type="pct"/>
            <w:tcBorders>
              <w:bottom w:val="single" w:color="auto" w:sz="12" w:space="0"/>
            </w:tcBorders>
            <w:vAlign w:val="center"/>
          </w:tcPr>
          <w:p w14:paraId="04AFB08C">
            <w:pPr>
              <w:keepNext w:val="0"/>
              <w:keepLines w:val="0"/>
              <w:suppressLineNumbers w:val="0"/>
              <w:autoSpaceDE w:val="0"/>
              <w:autoSpaceDN w:val="0"/>
              <w:spacing w:before="0" w:beforeAutospacing="0" w:after="0" w:afterAutospacing="0"/>
              <w:ind w:left="0" w:right="0"/>
              <w:jc w:val="center"/>
              <w:rPr>
                <w:rFonts w:hint="default" w:eastAsia="宋体"/>
                <w:b/>
                <w:bCs/>
                <w:sz w:val="18"/>
                <w:szCs w:val="16"/>
                <w:highlight w:val="none"/>
                <w:lang w:val="en-US" w:eastAsia="zh-CN"/>
              </w:rPr>
            </w:pPr>
            <w:r>
              <w:rPr>
                <w:rFonts w:hint="eastAsia"/>
                <w:b/>
                <w:bCs/>
                <w:sz w:val="18"/>
                <w:szCs w:val="16"/>
                <w:highlight w:val="none"/>
                <w:lang w:val="en-US" w:eastAsia="zh-CN"/>
              </w:rPr>
              <w:t>环境效益</w:t>
            </w:r>
          </w:p>
        </w:tc>
        <w:tc>
          <w:tcPr>
            <w:tcW w:w="2803" w:type="pct"/>
            <w:tcBorders>
              <w:bottom w:val="single" w:color="auto" w:sz="12" w:space="0"/>
            </w:tcBorders>
            <w:vAlign w:val="center"/>
          </w:tcPr>
          <w:p w14:paraId="178E7FA2">
            <w:pPr>
              <w:keepNext w:val="0"/>
              <w:keepLines w:val="0"/>
              <w:suppressLineNumbers w:val="0"/>
              <w:autoSpaceDE w:val="0"/>
              <w:autoSpaceDN w:val="0"/>
              <w:spacing w:before="0" w:beforeAutospacing="0" w:after="0" w:afterAutospacing="0"/>
              <w:ind w:left="0" w:right="0"/>
              <w:jc w:val="center"/>
              <w:rPr>
                <w:rFonts w:hint="default" w:eastAsia="宋体"/>
                <w:b/>
                <w:bCs/>
                <w:sz w:val="18"/>
                <w:szCs w:val="16"/>
                <w:highlight w:val="none"/>
                <w:lang w:val="en-US" w:eastAsia="zh-CN"/>
              </w:rPr>
            </w:pPr>
            <w:r>
              <w:rPr>
                <w:rFonts w:hint="eastAsia"/>
                <w:b/>
                <w:bCs/>
                <w:sz w:val="18"/>
                <w:szCs w:val="16"/>
                <w:highlight w:val="none"/>
                <w:lang w:val="en-US" w:eastAsia="zh-CN"/>
              </w:rPr>
              <w:t>具体指标</w:t>
            </w:r>
          </w:p>
        </w:tc>
      </w:tr>
      <w:tr w14:paraId="5500454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1562" w:type="pct"/>
            <w:tcBorders>
              <w:top w:val="single" w:color="auto" w:sz="12" w:space="0"/>
              <w:tl2br w:val="nil"/>
              <w:tr2bl w:val="nil"/>
            </w:tcBorders>
            <w:vAlign w:val="center"/>
          </w:tcPr>
          <w:p w14:paraId="079AC4E4">
            <w:pPr>
              <w:keepNext w:val="0"/>
              <w:keepLines w:val="0"/>
              <w:suppressLineNumbers w:val="0"/>
              <w:autoSpaceDE w:val="0"/>
              <w:autoSpaceDN w:val="0"/>
              <w:spacing w:before="0" w:beforeAutospacing="0" w:after="0" w:afterAutospacing="0"/>
              <w:ind w:left="0" w:right="0"/>
              <w:jc w:val="left"/>
              <w:rPr>
                <w:rFonts w:hint="default" w:ascii="宋体" w:hAnsi="宋体" w:cs="宋体"/>
                <w:sz w:val="18"/>
                <w:szCs w:val="16"/>
                <w:highlight w:val="none"/>
                <w:lang w:val="en-US"/>
              </w:rPr>
            </w:pPr>
            <w:r>
              <w:rPr>
                <w:rFonts w:hint="eastAsia" w:ascii="宋体" w:hAnsi="宋体" w:cs="宋体"/>
                <w:sz w:val="18"/>
                <w:szCs w:val="16"/>
                <w:highlight w:val="none"/>
                <w:lang w:val="en-US" w:eastAsia="zh-CN"/>
              </w:rPr>
              <w:t>碳捕集、利用与封存</w:t>
            </w:r>
          </w:p>
        </w:tc>
        <w:tc>
          <w:tcPr>
            <w:tcW w:w="633" w:type="pct"/>
            <w:tcBorders>
              <w:top w:val="single" w:color="auto" w:sz="12" w:space="0"/>
              <w:tl2br w:val="nil"/>
              <w:tr2bl w:val="nil"/>
            </w:tcBorders>
            <w:vAlign w:val="center"/>
          </w:tcPr>
          <w:p w14:paraId="3B587E21">
            <w:pPr>
              <w:keepNext w:val="0"/>
              <w:keepLines w:val="0"/>
              <w:suppressLineNumbers w:val="0"/>
              <w:autoSpaceDE w:val="0"/>
              <w:autoSpaceDN w:val="0"/>
              <w:spacing w:before="0" w:beforeAutospacing="0" w:after="0" w:afterAutospacing="0"/>
              <w:ind w:left="0" w:right="0"/>
              <w:jc w:val="left"/>
              <w:rPr>
                <w:rFonts w:hint="default" w:ascii="宋体" w:hAnsi="宋体" w:eastAsia="宋体" w:cs="宋体"/>
                <w:sz w:val="18"/>
                <w:szCs w:val="16"/>
                <w:highlight w:val="none"/>
                <w:lang w:val="en-US" w:eastAsia="zh-CN"/>
              </w:rPr>
            </w:pPr>
            <w:r>
              <w:rPr>
                <w:rFonts w:hint="eastAsia" w:ascii="宋体" w:hAnsi="宋体" w:cs="宋体"/>
                <w:sz w:val="18"/>
                <w:szCs w:val="16"/>
                <w:highlight w:val="none"/>
                <w:lang w:val="en-US" w:eastAsia="zh-CN"/>
              </w:rPr>
              <w:t>降碳效益</w:t>
            </w:r>
          </w:p>
        </w:tc>
        <w:tc>
          <w:tcPr>
            <w:tcW w:w="2803" w:type="pct"/>
            <w:tcBorders>
              <w:top w:val="single" w:color="auto" w:sz="12" w:space="0"/>
              <w:tl2br w:val="nil"/>
              <w:tr2bl w:val="nil"/>
            </w:tcBorders>
            <w:vAlign w:val="center"/>
          </w:tcPr>
          <w:p w14:paraId="2527D35B">
            <w:pPr>
              <w:keepNext w:val="0"/>
              <w:keepLines w:val="0"/>
              <w:suppressLineNumbers w:val="0"/>
              <w:autoSpaceDE w:val="0"/>
              <w:autoSpaceDN w:val="0"/>
              <w:spacing w:before="0" w:beforeAutospacing="0" w:after="0" w:afterAutospacing="0"/>
              <w:ind w:left="0" w:right="0"/>
              <w:jc w:val="left"/>
              <w:rPr>
                <w:rFonts w:hint="default" w:ascii="宋体" w:hAnsi="宋体" w:eastAsia="宋体" w:cs="宋体"/>
                <w:sz w:val="18"/>
                <w:szCs w:val="16"/>
                <w:highlight w:val="none"/>
                <w:lang w:val="en-US" w:eastAsia="zh-CN"/>
              </w:rPr>
            </w:pPr>
            <w:r>
              <w:rPr>
                <w:rFonts w:hint="eastAsia" w:ascii="宋体" w:hAnsi="宋体" w:cs="宋体"/>
                <w:sz w:val="18"/>
                <w:szCs w:val="16"/>
                <w:highlight w:val="none"/>
                <w:lang w:val="en-US" w:eastAsia="zh-CN"/>
              </w:rPr>
              <w:t>碳减排量</w:t>
            </w:r>
          </w:p>
        </w:tc>
      </w:tr>
      <w:tr w14:paraId="7585CBC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87" w:hRule="atLeast"/>
          <w:jc w:val="center"/>
        </w:trPr>
        <w:tc>
          <w:tcPr>
            <w:tcW w:w="1562" w:type="pct"/>
            <w:tcBorders>
              <w:tl2br w:val="nil"/>
              <w:tr2bl w:val="nil"/>
            </w:tcBorders>
            <w:vAlign w:val="center"/>
          </w:tcPr>
          <w:p w14:paraId="382BC0E1">
            <w:pPr>
              <w:keepNext w:val="0"/>
              <w:keepLines w:val="0"/>
              <w:suppressLineNumbers w:val="0"/>
              <w:autoSpaceDE w:val="0"/>
              <w:autoSpaceDN w:val="0"/>
              <w:spacing w:before="0" w:beforeAutospacing="0" w:after="0" w:afterAutospacing="0"/>
              <w:ind w:left="0" w:right="0"/>
              <w:jc w:val="left"/>
              <w:rPr>
                <w:rFonts w:hint="default" w:ascii="宋体" w:hAnsi="宋体" w:cs="宋体"/>
                <w:sz w:val="18"/>
                <w:szCs w:val="16"/>
                <w:highlight w:val="none"/>
                <w:lang w:val="en-US"/>
              </w:rPr>
            </w:pPr>
            <w:r>
              <w:rPr>
                <w:rFonts w:hint="eastAsia" w:ascii="宋体" w:hAnsi="宋体" w:cs="宋体"/>
                <w:sz w:val="18"/>
                <w:szCs w:val="16"/>
                <w:highlight w:val="none"/>
                <w:lang w:val="en-US" w:eastAsia="zh-CN"/>
              </w:rPr>
              <w:t>油气田甲烷采收利用</w:t>
            </w:r>
          </w:p>
        </w:tc>
        <w:tc>
          <w:tcPr>
            <w:tcW w:w="633" w:type="pct"/>
            <w:tcBorders>
              <w:tl2br w:val="nil"/>
              <w:tr2bl w:val="nil"/>
            </w:tcBorders>
            <w:vAlign w:val="center"/>
          </w:tcPr>
          <w:p w14:paraId="5EAE82AF">
            <w:pPr>
              <w:keepNext w:val="0"/>
              <w:keepLines w:val="0"/>
              <w:suppressLineNumbers w:val="0"/>
              <w:autoSpaceDE w:val="0"/>
              <w:autoSpaceDN w:val="0"/>
              <w:spacing w:before="0" w:beforeAutospacing="0" w:after="0" w:afterAutospacing="0"/>
              <w:ind w:left="0" w:right="0"/>
              <w:jc w:val="left"/>
              <w:rPr>
                <w:rFonts w:hint="default" w:ascii="宋体" w:hAnsi="宋体" w:cs="宋体"/>
                <w:sz w:val="18"/>
                <w:szCs w:val="16"/>
                <w:highlight w:val="none"/>
              </w:rPr>
            </w:pPr>
            <w:r>
              <w:rPr>
                <w:rFonts w:hint="eastAsia" w:ascii="宋体" w:hAnsi="宋体" w:cs="宋体"/>
                <w:sz w:val="18"/>
                <w:szCs w:val="16"/>
                <w:highlight w:val="none"/>
                <w:lang w:val="en-US" w:eastAsia="zh-CN"/>
              </w:rPr>
              <w:t>降碳效益</w:t>
            </w:r>
          </w:p>
        </w:tc>
        <w:tc>
          <w:tcPr>
            <w:tcW w:w="2803" w:type="pct"/>
            <w:tcBorders>
              <w:tl2br w:val="nil"/>
              <w:tr2bl w:val="nil"/>
            </w:tcBorders>
            <w:vAlign w:val="center"/>
          </w:tcPr>
          <w:p w14:paraId="4A206036">
            <w:pPr>
              <w:keepNext w:val="0"/>
              <w:keepLines w:val="0"/>
              <w:suppressLineNumbers w:val="0"/>
              <w:autoSpaceDE w:val="0"/>
              <w:autoSpaceDN w:val="0"/>
              <w:spacing w:before="0" w:beforeAutospacing="0" w:after="0" w:afterAutospacing="0"/>
              <w:ind w:left="0" w:right="0"/>
              <w:jc w:val="left"/>
              <w:rPr>
                <w:rFonts w:hint="default" w:ascii="宋体" w:hAnsi="宋体" w:eastAsia="宋体" w:cs="宋体"/>
                <w:sz w:val="18"/>
                <w:szCs w:val="16"/>
                <w:highlight w:val="none"/>
                <w:lang w:val="en-US" w:eastAsia="zh-CN"/>
              </w:rPr>
            </w:pPr>
            <w:r>
              <w:rPr>
                <w:rFonts w:hint="eastAsia" w:ascii="宋体" w:hAnsi="宋体" w:cs="宋体"/>
                <w:sz w:val="18"/>
                <w:szCs w:val="16"/>
                <w:highlight w:val="none"/>
                <w:lang w:val="en-US" w:eastAsia="zh-CN"/>
              </w:rPr>
              <w:t>碳减排量、节能量</w:t>
            </w:r>
          </w:p>
        </w:tc>
      </w:tr>
      <w:tr w14:paraId="6B46F7E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8" w:hRule="atLeast"/>
          <w:jc w:val="center"/>
        </w:trPr>
        <w:tc>
          <w:tcPr>
            <w:tcW w:w="1562" w:type="pct"/>
            <w:tcBorders>
              <w:tl2br w:val="nil"/>
              <w:tr2bl w:val="nil"/>
            </w:tcBorders>
            <w:vAlign w:val="center"/>
          </w:tcPr>
          <w:p w14:paraId="5F84E9BE">
            <w:pPr>
              <w:keepNext w:val="0"/>
              <w:keepLines w:val="0"/>
              <w:suppressLineNumbers w:val="0"/>
              <w:autoSpaceDE w:val="0"/>
              <w:autoSpaceDN w:val="0"/>
              <w:spacing w:before="0" w:beforeAutospacing="0" w:after="0" w:afterAutospacing="0"/>
              <w:ind w:left="0" w:right="0"/>
              <w:jc w:val="left"/>
              <w:rPr>
                <w:rFonts w:hint="default" w:ascii="宋体" w:hAnsi="宋体" w:cs="宋体"/>
                <w:sz w:val="18"/>
                <w:szCs w:val="16"/>
                <w:highlight w:val="none"/>
                <w:lang w:val="en-US"/>
              </w:rPr>
            </w:pPr>
            <w:r>
              <w:rPr>
                <w:rFonts w:hint="eastAsia" w:ascii="宋体" w:hAnsi="宋体" w:cs="宋体"/>
                <w:sz w:val="18"/>
                <w:szCs w:val="16"/>
                <w:highlight w:val="none"/>
                <w:lang w:val="en-US" w:eastAsia="zh-CN"/>
              </w:rPr>
              <w:t>消耗臭氧层物质替代品开发与利用</w:t>
            </w:r>
          </w:p>
        </w:tc>
        <w:tc>
          <w:tcPr>
            <w:tcW w:w="633" w:type="pct"/>
            <w:tcBorders>
              <w:tl2br w:val="nil"/>
              <w:tr2bl w:val="nil"/>
            </w:tcBorders>
            <w:vAlign w:val="center"/>
          </w:tcPr>
          <w:p w14:paraId="54C908F4">
            <w:pPr>
              <w:keepNext w:val="0"/>
              <w:keepLines w:val="0"/>
              <w:suppressLineNumbers w:val="0"/>
              <w:autoSpaceDE w:val="0"/>
              <w:autoSpaceDN w:val="0"/>
              <w:spacing w:before="0" w:beforeAutospacing="0" w:after="0" w:afterAutospacing="0"/>
              <w:ind w:left="0" w:right="0"/>
              <w:jc w:val="left"/>
              <w:rPr>
                <w:rFonts w:hint="default" w:ascii="宋体" w:hAnsi="宋体" w:eastAsia="宋体" w:cs="宋体"/>
                <w:sz w:val="18"/>
                <w:szCs w:val="16"/>
                <w:highlight w:val="none"/>
                <w:lang w:val="en-US" w:eastAsia="zh-CN"/>
              </w:rPr>
            </w:pPr>
            <w:r>
              <w:rPr>
                <w:rFonts w:hint="eastAsia" w:ascii="宋体" w:hAnsi="宋体" w:cs="宋体"/>
                <w:sz w:val="18"/>
                <w:szCs w:val="16"/>
                <w:highlight w:val="none"/>
                <w:lang w:val="en-US" w:eastAsia="zh-CN"/>
              </w:rPr>
              <w:t>降碳效益</w:t>
            </w:r>
          </w:p>
        </w:tc>
        <w:tc>
          <w:tcPr>
            <w:tcW w:w="2803" w:type="pct"/>
            <w:tcBorders>
              <w:tl2br w:val="nil"/>
              <w:tr2bl w:val="nil"/>
            </w:tcBorders>
            <w:vAlign w:val="center"/>
          </w:tcPr>
          <w:p w14:paraId="286A5B73">
            <w:pPr>
              <w:keepNext w:val="0"/>
              <w:keepLines w:val="0"/>
              <w:suppressLineNumbers w:val="0"/>
              <w:autoSpaceDE w:val="0"/>
              <w:autoSpaceDN w:val="0"/>
              <w:spacing w:before="0" w:beforeAutospacing="0" w:after="0" w:afterAutospacing="0"/>
              <w:ind w:left="0" w:right="0"/>
              <w:jc w:val="left"/>
              <w:rPr>
                <w:rFonts w:hint="default" w:ascii="宋体" w:hAnsi="宋体" w:eastAsia="宋体" w:cs="宋体"/>
                <w:sz w:val="18"/>
                <w:szCs w:val="16"/>
                <w:highlight w:val="none"/>
                <w:lang w:val="en-US" w:eastAsia="zh-CN"/>
              </w:rPr>
            </w:pPr>
            <w:r>
              <w:rPr>
                <w:rFonts w:hint="eastAsia" w:ascii="宋体" w:hAnsi="宋体" w:cs="宋体"/>
                <w:sz w:val="18"/>
                <w:szCs w:val="16"/>
                <w:highlight w:val="none"/>
                <w:lang w:val="en-US" w:eastAsia="zh-CN"/>
              </w:rPr>
              <w:t>碳减排量（氢氟碳化物替代）、物质替代量（消耗臭氧层物质替代）</w:t>
            </w:r>
          </w:p>
        </w:tc>
      </w:tr>
      <w:tr w14:paraId="4116A98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88" w:hRule="atLeast"/>
          <w:jc w:val="center"/>
        </w:trPr>
        <w:tc>
          <w:tcPr>
            <w:tcW w:w="1562" w:type="pct"/>
            <w:tcBorders>
              <w:tl2br w:val="nil"/>
              <w:tr2bl w:val="nil"/>
            </w:tcBorders>
            <w:vAlign w:val="center"/>
          </w:tcPr>
          <w:p w14:paraId="0092E9CB">
            <w:pPr>
              <w:keepNext w:val="0"/>
              <w:keepLines w:val="0"/>
              <w:suppressLineNumbers w:val="0"/>
              <w:autoSpaceDE w:val="0"/>
              <w:autoSpaceDN w:val="0"/>
              <w:spacing w:before="0" w:beforeAutospacing="0" w:after="0" w:afterAutospacing="0"/>
              <w:ind w:left="0" w:right="0"/>
              <w:jc w:val="left"/>
              <w:rPr>
                <w:rFonts w:hint="default" w:ascii="宋体" w:hAnsi="宋体" w:eastAsia="宋体" w:cs="宋体"/>
                <w:kern w:val="2"/>
                <w:sz w:val="18"/>
                <w:szCs w:val="16"/>
                <w:highlight w:val="none"/>
                <w:lang w:val="en-US" w:eastAsia="zh-CN" w:bidi="ar-SA"/>
              </w:rPr>
            </w:pPr>
            <w:r>
              <w:rPr>
                <w:rFonts w:hint="eastAsia" w:ascii="宋体" w:hAnsi="宋体" w:cs="宋体"/>
                <w:kern w:val="2"/>
                <w:sz w:val="18"/>
                <w:szCs w:val="16"/>
                <w:highlight w:val="none"/>
                <w:lang w:val="en-US" w:eastAsia="zh-CN" w:bidi="ar-SA"/>
              </w:rPr>
              <w:t>工业生产过程温室气体减排</w:t>
            </w:r>
          </w:p>
        </w:tc>
        <w:tc>
          <w:tcPr>
            <w:tcW w:w="633" w:type="pct"/>
            <w:tcBorders>
              <w:tl2br w:val="nil"/>
              <w:tr2bl w:val="nil"/>
            </w:tcBorders>
            <w:vAlign w:val="center"/>
          </w:tcPr>
          <w:p w14:paraId="75C0DFF3">
            <w:pPr>
              <w:keepNext w:val="0"/>
              <w:keepLines w:val="0"/>
              <w:suppressLineNumbers w:val="0"/>
              <w:autoSpaceDE w:val="0"/>
              <w:autoSpaceDN w:val="0"/>
              <w:spacing w:before="0" w:beforeAutospacing="0" w:after="0" w:afterAutospacing="0"/>
              <w:ind w:left="0" w:right="0"/>
              <w:jc w:val="left"/>
              <w:rPr>
                <w:rFonts w:hint="eastAsia" w:ascii="宋体" w:hAnsi="宋体" w:eastAsia="宋体" w:cs="宋体"/>
                <w:kern w:val="2"/>
                <w:sz w:val="18"/>
                <w:szCs w:val="16"/>
                <w:highlight w:val="none"/>
                <w:lang w:val="en-US" w:eastAsia="zh-CN" w:bidi="ar-SA"/>
              </w:rPr>
            </w:pPr>
            <w:r>
              <w:rPr>
                <w:rFonts w:hint="eastAsia" w:ascii="宋体" w:hAnsi="宋体" w:eastAsia="宋体" w:cs="宋体"/>
                <w:kern w:val="2"/>
                <w:sz w:val="18"/>
                <w:szCs w:val="16"/>
                <w:highlight w:val="none"/>
                <w:lang w:val="en-US" w:eastAsia="zh-CN" w:bidi="ar-SA"/>
              </w:rPr>
              <w:t>降碳效益</w:t>
            </w:r>
          </w:p>
        </w:tc>
        <w:tc>
          <w:tcPr>
            <w:tcW w:w="2803" w:type="pct"/>
            <w:tcBorders>
              <w:tl2br w:val="nil"/>
              <w:tr2bl w:val="nil"/>
            </w:tcBorders>
            <w:vAlign w:val="center"/>
          </w:tcPr>
          <w:p w14:paraId="58845C2B">
            <w:pPr>
              <w:keepNext w:val="0"/>
              <w:keepLines w:val="0"/>
              <w:suppressLineNumbers w:val="0"/>
              <w:autoSpaceDE w:val="0"/>
              <w:autoSpaceDN w:val="0"/>
              <w:spacing w:before="0" w:beforeAutospacing="0" w:after="0" w:afterAutospacing="0"/>
              <w:ind w:left="0" w:right="0"/>
              <w:jc w:val="left"/>
              <w:rPr>
                <w:rFonts w:hint="eastAsia" w:ascii="宋体" w:hAnsi="宋体" w:eastAsia="宋体" w:cs="宋体"/>
                <w:kern w:val="2"/>
                <w:sz w:val="18"/>
                <w:szCs w:val="16"/>
                <w:highlight w:val="none"/>
                <w:lang w:val="en-US" w:eastAsia="zh-CN" w:bidi="ar-SA"/>
              </w:rPr>
            </w:pPr>
            <w:r>
              <w:rPr>
                <w:rFonts w:hint="eastAsia" w:ascii="宋体" w:hAnsi="宋体" w:eastAsia="宋体" w:cs="宋体"/>
                <w:kern w:val="2"/>
                <w:sz w:val="18"/>
                <w:szCs w:val="16"/>
                <w:highlight w:val="none"/>
                <w:lang w:val="en-US" w:eastAsia="zh-CN" w:bidi="ar-SA"/>
              </w:rPr>
              <w:t>碳减排量</w:t>
            </w:r>
          </w:p>
        </w:tc>
      </w:tr>
      <w:tr w14:paraId="1188377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34" w:hRule="atLeast"/>
          <w:jc w:val="center"/>
        </w:trPr>
        <w:tc>
          <w:tcPr>
            <w:tcW w:w="1562" w:type="pct"/>
            <w:tcBorders>
              <w:tl2br w:val="nil"/>
              <w:tr2bl w:val="nil"/>
            </w:tcBorders>
            <w:vAlign w:val="center"/>
          </w:tcPr>
          <w:p w14:paraId="6F67CCCF">
            <w:pPr>
              <w:keepNext w:val="0"/>
              <w:keepLines w:val="0"/>
              <w:suppressLineNumbers w:val="0"/>
              <w:autoSpaceDE w:val="0"/>
              <w:autoSpaceDN w:val="0"/>
              <w:spacing w:before="0" w:beforeAutospacing="0" w:after="0" w:afterAutospacing="0"/>
              <w:ind w:left="0" w:right="0"/>
              <w:jc w:val="left"/>
              <w:rPr>
                <w:rFonts w:hint="eastAsia" w:ascii="宋体" w:hAnsi="宋体" w:eastAsia="宋体" w:cs="宋体"/>
                <w:kern w:val="2"/>
                <w:sz w:val="18"/>
                <w:szCs w:val="16"/>
                <w:highlight w:val="none"/>
                <w:lang w:val="en-US" w:eastAsia="zh-CN" w:bidi="ar-SA"/>
              </w:rPr>
            </w:pPr>
            <w:r>
              <w:rPr>
                <w:rFonts w:hint="eastAsia" w:ascii="宋体" w:hAnsi="宋体" w:cs="宋体"/>
                <w:sz w:val="18"/>
                <w:szCs w:val="16"/>
                <w:highlight w:val="none"/>
                <w:lang w:val="en-US" w:eastAsia="zh-CN"/>
              </w:rPr>
              <w:t>温室气体监测评估</w:t>
            </w:r>
          </w:p>
        </w:tc>
        <w:tc>
          <w:tcPr>
            <w:tcW w:w="633" w:type="pct"/>
            <w:tcBorders>
              <w:tl2br w:val="nil"/>
              <w:tr2bl w:val="nil"/>
            </w:tcBorders>
            <w:vAlign w:val="center"/>
          </w:tcPr>
          <w:p w14:paraId="055B1DF3">
            <w:pPr>
              <w:keepNext w:val="0"/>
              <w:keepLines w:val="0"/>
              <w:suppressLineNumbers w:val="0"/>
              <w:autoSpaceDE w:val="0"/>
              <w:autoSpaceDN w:val="0"/>
              <w:spacing w:before="0" w:beforeAutospacing="0" w:after="0" w:afterAutospacing="0"/>
              <w:ind w:left="0" w:right="0"/>
              <w:jc w:val="left"/>
              <w:rPr>
                <w:rFonts w:hint="eastAsia" w:ascii="宋体" w:hAnsi="宋体" w:eastAsia="宋体" w:cs="宋体"/>
                <w:kern w:val="2"/>
                <w:sz w:val="18"/>
                <w:szCs w:val="16"/>
                <w:highlight w:val="none"/>
                <w:lang w:val="en-US" w:eastAsia="zh-CN" w:bidi="ar-SA"/>
              </w:rPr>
            </w:pPr>
            <w:r>
              <w:rPr>
                <w:rFonts w:hint="eastAsia" w:ascii="宋体" w:hAnsi="宋体" w:eastAsia="宋体" w:cs="宋体"/>
                <w:kern w:val="2"/>
                <w:sz w:val="18"/>
                <w:szCs w:val="16"/>
                <w:highlight w:val="none"/>
                <w:lang w:val="en-US" w:eastAsia="zh-CN" w:bidi="ar-SA"/>
              </w:rPr>
              <w:t>其他效益</w:t>
            </w:r>
          </w:p>
        </w:tc>
        <w:tc>
          <w:tcPr>
            <w:tcW w:w="2803" w:type="pct"/>
            <w:tcBorders>
              <w:tl2br w:val="nil"/>
              <w:tr2bl w:val="nil"/>
            </w:tcBorders>
            <w:vAlign w:val="center"/>
          </w:tcPr>
          <w:p w14:paraId="3C3B8058">
            <w:pPr>
              <w:keepNext w:val="0"/>
              <w:keepLines w:val="0"/>
              <w:suppressLineNumbers w:val="0"/>
              <w:autoSpaceDE w:val="0"/>
              <w:autoSpaceDN w:val="0"/>
              <w:spacing w:before="0" w:beforeAutospacing="0" w:after="0" w:afterAutospacing="0"/>
              <w:ind w:left="0" w:right="0"/>
              <w:jc w:val="left"/>
              <w:rPr>
                <w:rFonts w:hint="eastAsia" w:ascii="宋体" w:hAnsi="宋体" w:eastAsia="宋体" w:cs="宋体"/>
                <w:kern w:val="2"/>
                <w:sz w:val="18"/>
                <w:szCs w:val="16"/>
                <w:highlight w:val="none"/>
                <w:lang w:val="en-US" w:eastAsia="zh-CN" w:bidi="ar-SA"/>
              </w:rPr>
            </w:pPr>
            <w:r>
              <w:rPr>
                <w:rFonts w:hint="eastAsia" w:ascii="宋体" w:hAnsi="宋体" w:eastAsia="宋体" w:cs="宋体"/>
                <w:kern w:val="2"/>
                <w:sz w:val="18"/>
                <w:szCs w:val="16"/>
                <w:highlight w:val="none"/>
                <w:lang w:val="en-US" w:eastAsia="zh-CN" w:bidi="ar-SA"/>
              </w:rPr>
              <w:t>项目环境效益描述</w:t>
            </w:r>
          </w:p>
        </w:tc>
      </w:tr>
    </w:tbl>
    <w:p w14:paraId="0E1CECF6">
      <w:pPr>
        <w:pStyle w:val="131"/>
        <w:rPr>
          <w:rFonts w:hint="eastAsia" w:ascii="Times New Roman"/>
          <w:highlight w:val="none"/>
        </w:rPr>
      </w:pPr>
      <w:r>
        <w:rPr>
          <w:rFonts w:hint="eastAsia" w:ascii="Times New Roman"/>
          <w:highlight w:val="none"/>
        </w:rPr>
        <w:t>环境效益评分规则</w:t>
      </w:r>
    </w:p>
    <w:tbl>
      <w:tblPr>
        <w:tblStyle w:val="36"/>
        <w:tblW w:w="4995"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6605"/>
        <w:gridCol w:w="2955"/>
      </w:tblGrid>
      <w:tr w14:paraId="43DDB1A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84" w:hRule="atLeast"/>
          <w:jc w:val="center"/>
        </w:trPr>
        <w:tc>
          <w:tcPr>
            <w:tcW w:w="3454" w:type="pct"/>
            <w:tcBorders>
              <w:bottom w:val="single" w:color="auto" w:sz="12" w:space="0"/>
            </w:tcBorders>
            <w:vAlign w:val="center"/>
          </w:tcPr>
          <w:p w14:paraId="0A9A918C">
            <w:pPr>
              <w:keepNext w:val="0"/>
              <w:keepLines w:val="0"/>
              <w:suppressLineNumbers w:val="0"/>
              <w:autoSpaceDE w:val="0"/>
              <w:autoSpaceDN w:val="0"/>
              <w:spacing w:before="0" w:beforeAutospacing="0" w:after="0" w:afterAutospacing="0"/>
              <w:ind w:left="0" w:right="0"/>
              <w:jc w:val="center"/>
              <w:rPr>
                <w:rFonts w:hint="default"/>
                <w:b/>
                <w:bCs/>
                <w:sz w:val="18"/>
                <w:szCs w:val="16"/>
                <w:highlight w:val="none"/>
              </w:rPr>
            </w:pPr>
            <w:r>
              <w:rPr>
                <w:rFonts w:hint="eastAsia"/>
                <w:b/>
                <w:bCs/>
                <w:sz w:val="18"/>
                <w:szCs w:val="16"/>
                <w:highlight w:val="none"/>
              </w:rPr>
              <w:t>环境效益</w:t>
            </w:r>
            <w:r>
              <w:rPr>
                <w:rFonts w:hint="default"/>
                <w:b/>
                <w:bCs/>
                <w:sz w:val="18"/>
                <w:szCs w:val="16"/>
                <w:highlight w:val="none"/>
              </w:rPr>
              <w:t>水平</w:t>
            </w:r>
          </w:p>
        </w:tc>
        <w:tc>
          <w:tcPr>
            <w:tcW w:w="1545" w:type="pct"/>
            <w:tcBorders>
              <w:bottom w:val="single" w:color="auto" w:sz="12" w:space="0"/>
            </w:tcBorders>
            <w:vAlign w:val="center"/>
          </w:tcPr>
          <w:p w14:paraId="00EDCA65">
            <w:pPr>
              <w:keepNext w:val="0"/>
              <w:keepLines w:val="0"/>
              <w:suppressLineNumbers w:val="0"/>
              <w:autoSpaceDE w:val="0"/>
              <w:autoSpaceDN w:val="0"/>
              <w:spacing w:before="0" w:beforeAutospacing="0" w:after="0" w:afterAutospacing="0"/>
              <w:ind w:left="0" w:right="0"/>
              <w:jc w:val="center"/>
              <w:rPr>
                <w:rFonts w:hint="default"/>
                <w:b/>
                <w:bCs/>
                <w:sz w:val="18"/>
                <w:szCs w:val="16"/>
                <w:highlight w:val="none"/>
              </w:rPr>
            </w:pPr>
            <w:r>
              <w:rPr>
                <w:rFonts w:hint="eastAsia"/>
                <w:b/>
                <w:bCs/>
                <w:sz w:val="18"/>
                <w:szCs w:val="16"/>
                <w:highlight w:val="none"/>
                <w:lang w:val="en-US" w:eastAsia="zh-CN"/>
              </w:rPr>
              <w:t>分值</w:t>
            </w:r>
            <w:r>
              <w:rPr>
                <w:rFonts w:hint="eastAsia"/>
                <w:b/>
                <w:bCs/>
                <w:sz w:val="18"/>
                <w:szCs w:val="16"/>
                <w:highlight w:val="none"/>
              </w:rPr>
              <w:t>（分）</w:t>
            </w:r>
          </w:p>
        </w:tc>
      </w:tr>
      <w:tr w14:paraId="44B4DD3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84" w:hRule="atLeast"/>
          <w:jc w:val="center"/>
        </w:trPr>
        <w:tc>
          <w:tcPr>
            <w:tcW w:w="3454" w:type="pct"/>
            <w:tcBorders>
              <w:top w:val="single" w:color="auto" w:sz="12" w:space="0"/>
              <w:tl2br w:val="nil"/>
              <w:tr2bl w:val="nil"/>
            </w:tcBorders>
            <w:vAlign w:val="center"/>
          </w:tcPr>
          <w:p w14:paraId="6D9E0CE6">
            <w:pPr>
              <w:keepNext w:val="0"/>
              <w:keepLines w:val="0"/>
              <w:suppressLineNumbers w:val="0"/>
              <w:autoSpaceDE w:val="0"/>
              <w:autoSpaceDN w:val="0"/>
              <w:spacing w:before="0" w:beforeAutospacing="0" w:after="0" w:afterAutospacing="0"/>
              <w:ind w:left="0" w:right="0"/>
              <w:jc w:val="left"/>
              <w:rPr>
                <w:rFonts w:hint="eastAsia" w:ascii="宋体" w:hAnsi="宋体" w:eastAsia="宋体" w:cs="宋体"/>
                <w:sz w:val="18"/>
                <w:szCs w:val="16"/>
                <w:highlight w:val="none"/>
                <w:lang w:eastAsia="zh-CN"/>
              </w:rPr>
            </w:pPr>
            <w:r>
              <w:rPr>
                <w:rFonts w:hint="eastAsia"/>
                <w:sz w:val="18"/>
                <w:szCs w:val="16"/>
                <w:highlight w:val="none"/>
              </w:rPr>
              <w:t>涉及环境效益种类较多，产生实际环境效益贡献量较</w:t>
            </w:r>
            <w:r>
              <w:rPr>
                <w:rFonts w:hint="eastAsia"/>
                <w:sz w:val="18"/>
                <w:szCs w:val="16"/>
                <w:highlight w:val="none"/>
                <w:lang w:val="en-US" w:eastAsia="zh-CN"/>
              </w:rPr>
              <w:t>多</w:t>
            </w:r>
          </w:p>
        </w:tc>
        <w:tc>
          <w:tcPr>
            <w:tcW w:w="1545" w:type="pct"/>
            <w:tcBorders>
              <w:top w:val="single" w:color="auto" w:sz="12" w:space="0"/>
              <w:tl2br w:val="nil"/>
              <w:tr2bl w:val="nil"/>
            </w:tcBorders>
            <w:vAlign w:val="center"/>
          </w:tcPr>
          <w:p w14:paraId="1320629D">
            <w:pPr>
              <w:keepNext w:val="0"/>
              <w:keepLines w:val="0"/>
              <w:suppressLineNumbers w:val="0"/>
              <w:autoSpaceDE w:val="0"/>
              <w:autoSpaceDN w:val="0"/>
              <w:spacing w:before="0" w:beforeAutospacing="0" w:after="0" w:afterAutospacing="0"/>
              <w:ind w:left="0" w:right="0"/>
              <w:jc w:val="center"/>
              <w:rPr>
                <w:rFonts w:hint="default" w:ascii="宋体" w:hAnsi="宋体" w:cs="宋体"/>
                <w:sz w:val="18"/>
                <w:szCs w:val="16"/>
                <w:highlight w:val="none"/>
              </w:rPr>
            </w:pPr>
            <w:r>
              <w:rPr>
                <w:rFonts w:hint="eastAsia" w:ascii="宋体" w:hAnsi="宋体" w:cs="宋体"/>
                <w:sz w:val="18"/>
                <w:szCs w:val="16"/>
                <w:highlight w:val="none"/>
              </w:rPr>
              <w:t>(</w:t>
            </w:r>
            <w:r>
              <w:rPr>
                <w:rFonts w:hint="eastAsia" w:ascii="宋体" w:hAnsi="宋体" w:cs="宋体"/>
                <w:sz w:val="18"/>
                <w:szCs w:val="16"/>
                <w:highlight w:val="none"/>
                <w:lang w:val="en-US" w:eastAsia="zh-CN"/>
              </w:rPr>
              <w:t>14</w:t>
            </w:r>
            <w:r>
              <w:rPr>
                <w:rFonts w:hint="eastAsia" w:ascii="宋体" w:hAnsi="宋体" w:cs="宋体"/>
                <w:sz w:val="18"/>
                <w:szCs w:val="16"/>
                <w:highlight w:val="none"/>
              </w:rPr>
              <w:t>,</w:t>
            </w:r>
            <w:r>
              <w:rPr>
                <w:rFonts w:hint="eastAsia" w:ascii="宋体" w:hAnsi="宋体" w:cs="宋体"/>
                <w:sz w:val="18"/>
                <w:szCs w:val="16"/>
                <w:highlight w:val="none"/>
                <w:lang w:val="en-US" w:eastAsia="zh-CN"/>
              </w:rPr>
              <w:t>2</w:t>
            </w:r>
            <w:r>
              <w:rPr>
                <w:rFonts w:hint="eastAsia" w:ascii="宋体" w:hAnsi="宋体" w:cs="宋体"/>
                <w:sz w:val="18"/>
                <w:szCs w:val="16"/>
                <w:highlight w:val="none"/>
              </w:rPr>
              <w:t>0]</w:t>
            </w:r>
          </w:p>
        </w:tc>
      </w:tr>
      <w:tr w14:paraId="56BA418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84" w:hRule="atLeast"/>
          <w:jc w:val="center"/>
        </w:trPr>
        <w:tc>
          <w:tcPr>
            <w:tcW w:w="3454" w:type="pct"/>
            <w:tcBorders>
              <w:tl2br w:val="nil"/>
              <w:tr2bl w:val="nil"/>
            </w:tcBorders>
            <w:vAlign w:val="center"/>
          </w:tcPr>
          <w:p w14:paraId="04509BAF">
            <w:pPr>
              <w:keepNext w:val="0"/>
              <w:keepLines w:val="0"/>
              <w:suppressLineNumbers w:val="0"/>
              <w:autoSpaceDE w:val="0"/>
              <w:autoSpaceDN w:val="0"/>
              <w:spacing w:before="0" w:beforeAutospacing="0" w:after="0" w:afterAutospacing="0"/>
              <w:ind w:left="0" w:right="0"/>
              <w:jc w:val="left"/>
              <w:rPr>
                <w:rFonts w:hint="default" w:ascii="宋体" w:hAnsi="宋体" w:cs="宋体"/>
                <w:sz w:val="18"/>
                <w:szCs w:val="16"/>
                <w:highlight w:val="none"/>
              </w:rPr>
            </w:pPr>
            <w:r>
              <w:rPr>
                <w:rFonts w:hint="eastAsia" w:ascii="宋体" w:hAnsi="宋体" w:cs="宋体"/>
                <w:sz w:val="18"/>
                <w:szCs w:val="16"/>
                <w:highlight w:val="none"/>
              </w:rPr>
              <w:t>涉及环境效益种类一般，产生实际环境效益贡献量一般</w:t>
            </w:r>
          </w:p>
        </w:tc>
        <w:tc>
          <w:tcPr>
            <w:tcW w:w="1545" w:type="pct"/>
            <w:tcBorders>
              <w:tl2br w:val="nil"/>
              <w:tr2bl w:val="nil"/>
            </w:tcBorders>
            <w:vAlign w:val="center"/>
          </w:tcPr>
          <w:p w14:paraId="6DCD4113">
            <w:pPr>
              <w:keepNext w:val="0"/>
              <w:keepLines w:val="0"/>
              <w:suppressLineNumbers w:val="0"/>
              <w:autoSpaceDE w:val="0"/>
              <w:autoSpaceDN w:val="0"/>
              <w:spacing w:before="0" w:beforeAutospacing="0" w:after="0" w:afterAutospacing="0"/>
              <w:ind w:left="0" w:right="0"/>
              <w:jc w:val="center"/>
              <w:rPr>
                <w:rFonts w:hint="default" w:ascii="宋体" w:hAnsi="宋体" w:cs="宋体"/>
                <w:sz w:val="18"/>
                <w:szCs w:val="16"/>
                <w:highlight w:val="none"/>
              </w:rPr>
            </w:pPr>
            <w:r>
              <w:rPr>
                <w:rFonts w:hint="eastAsia" w:ascii="宋体" w:hAnsi="宋体" w:cs="宋体"/>
                <w:sz w:val="18"/>
                <w:szCs w:val="16"/>
                <w:highlight w:val="none"/>
              </w:rPr>
              <w:t>(</w:t>
            </w:r>
            <w:r>
              <w:rPr>
                <w:rFonts w:hint="eastAsia" w:ascii="宋体" w:hAnsi="宋体" w:cs="宋体"/>
                <w:sz w:val="18"/>
                <w:szCs w:val="16"/>
                <w:highlight w:val="none"/>
                <w:lang w:val="en-US" w:eastAsia="zh-CN"/>
              </w:rPr>
              <w:t>6</w:t>
            </w:r>
            <w:r>
              <w:rPr>
                <w:rFonts w:hint="eastAsia" w:ascii="宋体" w:hAnsi="宋体" w:cs="宋体"/>
                <w:sz w:val="18"/>
                <w:szCs w:val="16"/>
                <w:highlight w:val="none"/>
              </w:rPr>
              <w:t>,</w:t>
            </w:r>
            <w:r>
              <w:rPr>
                <w:rFonts w:hint="eastAsia" w:ascii="宋体" w:hAnsi="宋体" w:cs="宋体"/>
                <w:sz w:val="18"/>
                <w:szCs w:val="16"/>
                <w:highlight w:val="none"/>
                <w:lang w:val="en-US" w:eastAsia="zh-CN"/>
              </w:rPr>
              <w:t>14</w:t>
            </w:r>
            <w:r>
              <w:rPr>
                <w:rFonts w:hint="eastAsia" w:ascii="宋体" w:hAnsi="宋体" w:cs="宋体"/>
                <w:sz w:val="18"/>
                <w:szCs w:val="16"/>
                <w:highlight w:val="none"/>
              </w:rPr>
              <w:t>]</w:t>
            </w:r>
          </w:p>
        </w:tc>
      </w:tr>
      <w:tr w14:paraId="061845B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56" w:hRule="atLeast"/>
          <w:jc w:val="center"/>
        </w:trPr>
        <w:tc>
          <w:tcPr>
            <w:tcW w:w="3454" w:type="pct"/>
            <w:tcBorders>
              <w:bottom w:val="single" w:color="auto" w:sz="4" w:space="0"/>
              <w:tl2br w:val="nil"/>
              <w:tr2bl w:val="nil"/>
            </w:tcBorders>
            <w:vAlign w:val="center"/>
          </w:tcPr>
          <w:p w14:paraId="12FD2FB6">
            <w:pPr>
              <w:keepNext w:val="0"/>
              <w:keepLines w:val="0"/>
              <w:suppressLineNumbers w:val="0"/>
              <w:autoSpaceDE w:val="0"/>
              <w:autoSpaceDN w:val="0"/>
              <w:spacing w:before="0" w:beforeAutospacing="0" w:after="0" w:afterAutospacing="0"/>
              <w:ind w:left="0" w:right="0"/>
              <w:jc w:val="left"/>
              <w:rPr>
                <w:rFonts w:hint="default" w:ascii="宋体" w:hAnsi="宋体" w:cs="宋体"/>
                <w:sz w:val="18"/>
                <w:szCs w:val="16"/>
                <w:highlight w:val="none"/>
              </w:rPr>
            </w:pPr>
            <w:r>
              <w:rPr>
                <w:rFonts w:hint="eastAsia" w:ascii="宋体" w:hAnsi="宋体" w:cs="宋体"/>
                <w:sz w:val="18"/>
                <w:szCs w:val="16"/>
                <w:highlight w:val="none"/>
              </w:rPr>
              <w:t>涉及环境效益种类较少，产生实际环境效益贡献量较少</w:t>
            </w:r>
          </w:p>
        </w:tc>
        <w:tc>
          <w:tcPr>
            <w:tcW w:w="1545" w:type="pct"/>
            <w:tcBorders>
              <w:bottom w:val="single" w:color="auto" w:sz="4" w:space="0"/>
              <w:tl2br w:val="nil"/>
              <w:tr2bl w:val="nil"/>
            </w:tcBorders>
            <w:vAlign w:val="center"/>
          </w:tcPr>
          <w:p w14:paraId="4346DA42">
            <w:pPr>
              <w:keepNext w:val="0"/>
              <w:keepLines w:val="0"/>
              <w:suppressLineNumbers w:val="0"/>
              <w:autoSpaceDE w:val="0"/>
              <w:autoSpaceDN w:val="0"/>
              <w:spacing w:before="0" w:beforeAutospacing="0" w:after="0" w:afterAutospacing="0"/>
              <w:ind w:left="0" w:right="0"/>
              <w:jc w:val="center"/>
              <w:rPr>
                <w:rFonts w:hint="default" w:ascii="宋体" w:hAnsi="宋体" w:cs="宋体"/>
                <w:sz w:val="18"/>
                <w:szCs w:val="16"/>
                <w:highlight w:val="none"/>
              </w:rPr>
            </w:pPr>
            <w:r>
              <w:rPr>
                <w:rFonts w:hint="eastAsia" w:ascii="宋体" w:hAnsi="宋体" w:cs="宋体"/>
                <w:sz w:val="18"/>
                <w:szCs w:val="16"/>
                <w:highlight w:val="none"/>
              </w:rPr>
              <w:t>(0,</w:t>
            </w:r>
            <w:r>
              <w:rPr>
                <w:rFonts w:hint="eastAsia" w:ascii="宋体" w:hAnsi="宋体" w:cs="宋体"/>
                <w:sz w:val="18"/>
                <w:szCs w:val="16"/>
                <w:highlight w:val="none"/>
                <w:lang w:val="en-US" w:eastAsia="zh-CN"/>
              </w:rPr>
              <w:t>6</w:t>
            </w:r>
            <w:r>
              <w:rPr>
                <w:rFonts w:hint="eastAsia" w:ascii="宋体" w:hAnsi="宋体" w:cs="宋体"/>
                <w:sz w:val="18"/>
                <w:szCs w:val="16"/>
                <w:highlight w:val="none"/>
              </w:rPr>
              <w:t>]</w:t>
            </w:r>
          </w:p>
        </w:tc>
      </w:tr>
      <w:tr w14:paraId="5254E60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9" w:hRule="atLeast"/>
          <w:jc w:val="center"/>
        </w:trPr>
        <w:tc>
          <w:tcPr>
            <w:tcW w:w="3454" w:type="pct"/>
            <w:tcBorders>
              <w:top w:val="single" w:color="auto" w:sz="4" w:space="0"/>
            </w:tcBorders>
            <w:vAlign w:val="center"/>
          </w:tcPr>
          <w:p w14:paraId="247E52D3">
            <w:pPr>
              <w:keepNext w:val="0"/>
              <w:keepLines w:val="0"/>
              <w:suppressLineNumbers w:val="0"/>
              <w:autoSpaceDE w:val="0"/>
              <w:autoSpaceDN w:val="0"/>
              <w:spacing w:before="0" w:beforeAutospacing="0" w:after="0" w:afterAutospacing="0"/>
              <w:ind w:left="0" w:right="0"/>
              <w:jc w:val="left"/>
              <w:rPr>
                <w:rFonts w:hint="default" w:ascii="宋体" w:hAnsi="宋体" w:cs="宋体"/>
                <w:sz w:val="18"/>
                <w:szCs w:val="16"/>
                <w:highlight w:val="none"/>
              </w:rPr>
            </w:pPr>
            <w:r>
              <w:rPr>
                <w:rFonts w:hint="eastAsia" w:ascii="宋体" w:hAnsi="宋体" w:cs="宋体"/>
                <w:sz w:val="18"/>
                <w:szCs w:val="16"/>
                <w:highlight w:val="none"/>
              </w:rPr>
              <w:t>未产生实际环境效益</w:t>
            </w:r>
          </w:p>
        </w:tc>
        <w:tc>
          <w:tcPr>
            <w:tcW w:w="1545" w:type="pct"/>
            <w:tcBorders>
              <w:top w:val="single" w:color="auto" w:sz="4" w:space="0"/>
            </w:tcBorders>
            <w:vAlign w:val="center"/>
          </w:tcPr>
          <w:p w14:paraId="723F1247">
            <w:pPr>
              <w:keepNext w:val="0"/>
              <w:keepLines w:val="0"/>
              <w:suppressLineNumbers w:val="0"/>
              <w:autoSpaceDE w:val="0"/>
              <w:autoSpaceDN w:val="0"/>
              <w:spacing w:before="0" w:beforeAutospacing="0" w:after="0" w:afterAutospacing="0"/>
              <w:ind w:left="0" w:right="0"/>
              <w:jc w:val="center"/>
              <w:rPr>
                <w:rFonts w:hint="default" w:ascii="宋体" w:hAnsi="宋体" w:cs="宋体"/>
                <w:sz w:val="18"/>
                <w:szCs w:val="16"/>
                <w:highlight w:val="none"/>
              </w:rPr>
            </w:pPr>
            <w:r>
              <w:rPr>
                <w:rFonts w:hint="eastAsia" w:ascii="宋体" w:hAnsi="宋体" w:cs="宋体"/>
                <w:sz w:val="18"/>
                <w:szCs w:val="16"/>
                <w:highlight w:val="none"/>
              </w:rPr>
              <w:t>0</w:t>
            </w:r>
          </w:p>
        </w:tc>
      </w:tr>
    </w:tbl>
    <w:p w14:paraId="4AFF2448">
      <w:pPr>
        <w:pStyle w:val="51"/>
        <w:spacing w:before="156" w:after="156"/>
        <w:rPr>
          <w:rFonts w:ascii="Times New Roman"/>
          <w:highlight w:val="none"/>
        </w:rPr>
      </w:pPr>
      <w:r>
        <w:rPr>
          <w:rFonts w:ascii="Times New Roman"/>
          <w:highlight w:val="none"/>
        </w:rPr>
        <w:t>业务表现</w:t>
      </w:r>
    </w:p>
    <w:p w14:paraId="15027DA0">
      <w:pPr>
        <w:pStyle w:val="56"/>
        <w:numPr>
          <w:ilvl w:val="3"/>
          <w:numId w:val="2"/>
        </w:numPr>
        <w:spacing w:before="156" w:after="156"/>
        <w:rPr>
          <w:rFonts w:ascii="Times New Roman"/>
          <w:highlight w:val="none"/>
        </w:rPr>
      </w:pPr>
      <w:r>
        <w:rPr>
          <w:rFonts w:ascii="Times New Roman"/>
          <w:highlight w:val="none"/>
        </w:rPr>
        <w:t>发展能力</w:t>
      </w:r>
    </w:p>
    <w:p w14:paraId="458167A9">
      <w:pPr>
        <w:pStyle w:val="60"/>
        <w:spacing w:before="156" w:after="156"/>
        <w:rPr>
          <w:rFonts w:ascii="Times New Roman"/>
          <w:highlight w:val="none"/>
        </w:rPr>
      </w:pPr>
      <w:r>
        <w:rPr>
          <w:rFonts w:ascii="Times New Roman"/>
          <w:highlight w:val="none"/>
        </w:rPr>
        <w:t>团队技术实力</w:t>
      </w:r>
    </w:p>
    <w:p w14:paraId="40EF56D3">
      <w:pPr>
        <w:pStyle w:val="26"/>
        <w:rPr>
          <w:rFonts w:hint="eastAsia" w:hAnsi="宋体" w:cs="宋体"/>
          <w:highlight w:val="none"/>
        </w:rPr>
      </w:pPr>
      <w:r>
        <w:rPr>
          <w:rFonts w:hint="eastAsia" w:hAnsi="宋体" w:cs="宋体"/>
          <w:highlight w:val="none"/>
        </w:rPr>
        <w:t>从专业覆盖面、学历职称、相关工作年限等方面进行综合评价，具体评分规则见表</w:t>
      </w:r>
      <w:r>
        <w:rPr>
          <w:rFonts w:hint="eastAsia" w:hAnsi="宋体" w:cs="宋体"/>
          <w:highlight w:val="none"/>
          <w:lang w:val="en-US" w:eastAsia="zh-CN"/>
        </w:rPr>
        <w:t>6</w:t>
      </w:r>
      <w:r>
        <w:rPr>
          <w:rFonts w:hint="eastAsia" w:hAnsi="宋体" w:cs="宋体"/>
          <w:highlight w:val="none"/>
        </w:rPr>
        <w:t>。优质中小企业在实际得分基础上增加15%的得分，最高得分不超过该项指标总分。</w:t>
      </w:r>
    </w:p>
    <w:p w14:paraId="14A6F9CD">
      <w:pPr>
        <w:pStyle w:val="131"/>
        <w:rPr>
          <w:rFonts w:ascii="Times New Roman"/>
          <w:highlight w:val="none"/>
        </w:rPr>
      </w:pPr>
      <w:r>
        <w:rPr>
          <w:rFonts w:ascii="Times New Roman"/>
          <w:highlight w:val="none"/>
        </w:rPr>
        <w:t>团队技术实力评分规则</w:t>
      </w:r>
    </w:p>
    <w:tbl>
      <w:tblPr>
        <w:tblStyle w:val="36"/>
        <w:tblW w:w="4994"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4982"/>
        <w:gridCol w:w="944"/>
        <w:gridCol w:w="969"/>
        <w:gridCol w:w="2664"/>
      </w:tblGrid>
      <w:tr w14:paraId="02877B7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2606" w:type="pct"/>
            <w:tcBorders>
              <w:bottom w:val="single" w:color="auto" w:sz="12" w:space="0"/>
            </w:tcBorders>
            <w:vAlign w:val="center"/>
          </w:tcPr>
          <w:p w14:paraId="20A5D583">
            <w:pPr>
              <w:pStyle w:val="26"/>
              <w:keepNext w:val="0"/>
              <w:keepLines w:val="0"/>
              <w:widowControl/>
              <w:suppressLineNumbers w:val="0"/>
              <w:spacing w:before="0" w:beforeAutospacing="0" w:after="0" w:afterAutospacing="0"/>
              <w:ind w:left="0" w:right="0" w:firstLine="0" w:firstLineChars="0"/>
              <w:jc w:val="center"/>
              <w:rPr>
                <w:rFonts w:hint="default" w:ascii="Times New Roman"/>
                <w:b/>
                <w:bCs/>
                <w:sz w:val="18"/>
                <w:szCs w:val="18"/>
                <w:highlight w:val="none"/>
              </w:rPr>
            </w:pPr>
            <w:r>
              <w:rPr>
                <w:rFonts w:hint="default" w:ascii="Times New Roman"/>
                <w:b/>
                <w:bCs/>
                <w:sz w:val="18"/>
                <w:szCs w:val="18"/>
                <w:highlight w:val="none"/>
              </w:rPr>
              <w:t>团队技术实力</w:t>
            </w:r>
          </w:p>
        </w:tc>
        <w:tc>
          <w:tcPr>
            <w:tcW w:w="494" w:type="pct"/>
            <w:tcBorders>
              <w:bottom w:val="single" w:color="auto" w:sz="12" w:space="0"/>
            </w:tcBorders>
            <w:vAlign w:val="center"/>
          </w:tcPr>
          <w:p w14:paraId="4FC8E6D4">
            <w:pPr>
              <w:pStyle w:val="26"/>
              <w:keepNext w:val="0"/>
              <w:keepLines w:val="0"/>
              <w:widowControl/>
              <w:suppressLineNumbers w:val="0"/>
              <w:spacing w:before="0" w:beforeAutospacing="0" w:after="0" w:afterAutospacing="0"/>
              <w:ind w:left="0" w:right="0" w:firstLine="0" w:firstLineChars="0"/>
              <w:jc w:val="center"/>
              <w:rPr>
                <w:rFonts w:hint="default" w:ascii="Times New Roman"/>
                <w:b/>
                <w:bCs/>
                <w:sz w:val="18"/>
                <w:szCs w:val="18"/>
                <w:highlight w:val="none"/>
              </w:rPr>
            </w:pPr>
            <w:r>
              <w:rPr>
                <w:rFonts w:hint="default" w:ascii="Times New Roman"/>
                <w:b/>
                <w:bCs/>
                <w:sz w:val="18"/>
                <w:szCs w:val="18"/>
                <w:highlight w:val="none"/>
              </w:rPr>
              <w:t>基础分值</w:t>
            </w:r>
            <w:r>
              <w:rPr>
                <w:rFonts w:hint="eastAsia" w:ascii="Times New Roman"/>
                <w:b/>
                <w:bCs/>
                <w:sz w:val="18"/>
                <w:szCs w:val="18"/>
                <w:highlight w:val="none"/>
              </w:rPr>
              <w:t>（分）</w:t>
            </w:r>
          </w:p>
        </w:tc>
        <w:tc>
          <w:tcPr>
            <w:tcW w:w="507" w:type="pct"/>
            <w:tcBorders>
              <w:bottom w:val="single" w:color="auto" w:sz="12" w:space="0"/>
            </w:tcBorders>
            <w:vAlign w:val="center"/>
          </w:tcPr>
          <w:p w14:paraId="111B4FC5">
            <w:pPr>
              <w:pStyle w:val="26"/>
              <w:keepNext w:val="0"/>
              <w:keepLines w:val="0"/>
              <w:widowControl/>
              <w:suppressLineNumbers w:val="0"/>
              <w:spacing w:before="0" w:beforeAutospacing="0" w:after="0" w:afterAutospacing="0"/>
              <w:ind w:left="0" w:right="0" w:firstLine="0" w:firstLineChars="0"/>
              <w:jc w:val="center"/>
              <w:rPr>
                <w:rFonts w:hint="default" w:ascii="Times New Roman"/>
                <w:b/>
                <w:bCs/>
                <w:sz w:val="18"/>
                <w:szCs w:val="18"/>
                <w:highlight w:val="none"/>
              </w:rPr>
            </w:pPr>
            <w:r>
              <w:rPr>
                <w:rFonts w:hint="default" w:ascii="Times New Roman"/>
                <w:b/>
                <w:bCs/>
                <w:sz w:val="18"/>
                <w:szCs w:val="18"/>
                <w:highlight w:val="none"/>
              </w:rPr>
              <w:t>最高分值</w:t>
            </w:r>
            <w:r>
              <w:rPr>
                <w:rFonts w:hint="eastAsia" w:ascii="Times New Roman"/>
                <w:b/>
                <w:bCs/>
                <w:sz w:val="18"/>
                <w:szCs w:val="18"/>
                <w:highlight w:val="none"/>
              </w:rPr>
              <w:t>（分）</w:t>
            </w:r>
          </w:p>
        </w:tc>
        <w:tc>
          <w:tcPr>
            <w:tcW w:w="1390" w:type="pct"/>
            <w:tcBorders>
              <w:bottom w:val="single" w:color="auto" w:sz="12" w:space="0"/>
            </w:tcBorders>
            <w:vAlign w:val="center"/>
          </w:tcPr>
          <w:p w14:paraId="62C4EB3E">
            <w:pPr>
              <w:pStyle w:val="26"/>
              <w:keepNext w:val="0"/>
              <w:keepLines w:val="0"/>
              <w:widowControl/>
              <w:suppressLineNumbers w:val="0"/>
              <w:spacing w:before="0" w:beforeAutospacing="0" w:after="0" w:afterAutospacing="0"/>
              <w:ind w:left="0" w:right="0" w:firstLine="0" w:firstLineChars="0"/>
              <w:jc w:val="center"/>
              <w:rPr>
                <w:rFonts w:hint="default" w:ascii="Times New Roman"/>
                <w:b/>
                <w:bCs/>
                <w:sz w:val="18"/>
                <w:szCs w:val="18"/>
                <w:highlight w:val="none"/>
              </w:rPr>
            </w:pPr>
            <w:r>
              <w:rPr>
                <w:rFonts w:hint="default" w:ascii="Times New Roman"/>
                <w:b/>
                <w:bCs/>
                <w:sz w:val="18"/>
                <w:szCs w:val="18"/>
                <w:highlight w:val="none"/>
              </w:rPr>
              <w:t>加分规则</w:t>
            </w:r>
          </w:p>
        </w:tc>
      </w:tr>
      <w:tr w14:paraId="52B817A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009" w:hRule="atLeast"/>
          <w:jc w:val="center"/>
        </w:trPr>
        <w:tc>
          <w:tcPr>
            <w:tcW w:w="2606" w:type="pct"/>
            <w:tcBorders>
              <w:top w:val="single" w:color="auto" w:sz="12" w:space="0"/>
              <w:tl2br w:val="nil"/>
              <w:tr2bl w:val="nil"/>
            </w:tcBorders>
            <w:vAlign w:val="center"/>
          </w:tcPr>
          <w:p w14:paraId="2AA9F1D5">
            <w:pPr>
              <w:pStyle w:val="26"/>
              <w:keepNext w:val="0"/>
              <w:keepLines w:val="0"/>
              <w:widowControl/>
              <w:suppressLineNumbers w:val="0"/>
              <w:spacing w:before="0" w:beforeAutospacing="0" w:after="0" w:afterAutospacing="0"/>
              <w:ind w:left="0" w:right="0" w:firstLine="0" w:firstLineChars="0"/>
              <w:rPr>
                <w:rFonts w:hint="default" w:hAnsi="宋体" w:cs="宋体"/>
                <w:sz w:val="18"/>
                <w:szCs w:val="18"/>
                <w:highlight w:val="none"/>
              </w:rPr>
            </w:pPr>
            <w:r>
              <w:rPr>
                <w:rFonts w:hint="eastAsia" w:hAnsi="宋体" w:cs="宋体"/>
                <w:sz w:val="18"/>
                <w:szCs w:val="18"/>
                <w:highlight w:val="none"/>
              </w:rPr>
              <w:t>人员配置合理，涵盖所需专业，研发部门中30%以上科研人员从事</w:t>
            </w:r>
            <w:r>
              <w:rPr>
                <w:rFonts w:hint="eastAsia" w:hAnsi="宋体" w:cs="宋体"/>
                <w:sz w:val="18"/>
                <w:szCs w:val="18"/>
                <w:highlight w:val="none"/>
                <w:lang w:val="en-US" w:eastAsia="zh-CN"/>
              </w:rPr>
              <w:t>温室气体控制领域</w:t>
            </w:r>
            <w:r>
              <w:rPr>
                <w:rFonts w:hint="eastAsia" w:hAnsi="宋体" w:cs="宋体"/>
                <w:sz w:val="18"/>
                <w:szCs w:val="18"/>
                <w:highlight w:val="none"/>
              </w:rPr>
              <w:t>相关工作达3年或以上年限，至少配备一名高级职称或博士技术人员</w:t>
            </w:r>
          </w:p>
        </w:tc>
        <w:tc>
          <w:tcPr>
            <w:tcW w:w="494" w:type="pct"/>
            <w:tcBorders>
              <w:top w:val="single" w:color="auto" w:sz="12" w:space="0"/>
              <w:tl2br w:val="nil"/>
              <w:tr2bl w:val="nil"/>
            </w:tcBorders>
            <w:vAlign w:val="center"/>
          </w:tcPr>
          <w:p w14:paraId="46B86D1C">
            <w:pPr>
              <w:pStyle w:val="26"/>
              <w:keepNext w:val="0"/>
              <w:keepLines w:val="0"/>
              <w:widowControl/>
              <w:suppressLineNumbers w:val="0"/>
              <w:spacing w:before="0" w:beforeAutospacing="0" w:after="0" w:afterAutospacing="0"/>
              <w:ind w:left="0" w:right="0" w:firstLine="0" w:firstLineChars="0"/>
              <w:jc w:val="center"/>
              <w:rPr>
                <w:rFonts w:hint="default" w:hAnsi="宋体" w:cs="宋体"/>
                <w:sz w:val="18"/>
                <w:szCs w:val="18"/>
                <w:highlight w:val="none"/>
              </w:rPr>
            </w:pPr>
            <w:r>
              <w:rPr>
                <w:rFonts w:hint="eastAsia" w:hAnsi="宋体" w:cs="宋体"/>
                <w:sz w:val="18"/>
                <w:szCs w:val="18"/>
                <w:highlight w:val="none"/>
              </w:rPr>
              <w:t>4</w:t>
            </w:r>
          </w:p>
        </w:tc>
        <w:tc>
          <w:tcPr>
            <w:tcW w:w="507" w:type="pct"/>
            <w:tcBorders>
              <w:top w:val="single" w:color="auto" w:sz="12" w:space="0"/>
              <w:tl2br w:val="nil"/>
              <w:tr2bl w:val="nil"/>
            </w:tcBorders>
            <w:vAlign w:val="center"/>
          </w:tcPr>
          <w:p w14:paraId="7B7EFCDD">
            <w:pPr>
              <w:pStyle w:val="26"/>
              <w:keepNext w:val="0"/>
              <w:keepLines w:val="0"/>
              <w:widowControl/>
              <w:suppressLineNumbers w:val="0"/>
              <w:spacing w:before="0" w:beforeAutospacing="0" w:after="0" w:afterAutospacing="0"/>
              <w:ind w:left="0" w:right="0" w:firstLine="0" w:firstLineChars="0"/>
              <w:jc w:val="center"/>
              <w:rPr>
                <w:rFonts w:hint="default" w:hAnsi="宋体" w:cs="宋体"/>
                <w:sz w:val="18"/>
                <w:szCs w:val="18"/>
                <w:highlight w:val="none"/>
              </w:rPr>
            </w:pPr>
            <w:r>
              <w:rPr>
                <w:rFonts w:hint="eastAsia" w:hAnsi="宋体" w:cs="宋体"/>
                <w:sz w:val="18"/>
                <w:szCs w:val="18"/>
                <w:highlight w:val="none"/>
              </w:rPr>
              <w:t>8</w:t>
            </w:r>
          </w:p>
        </w:tc>
        <w:tc>
          <w:tcPr>
            <w:tcW w:w="1390" w:type="pct"/>
            <w:vMerge w:val="restart"/>
            <w:tcBorders>
              <w:top w:val="single" w:color="auto" w:sz="12" w:space="0"/>
              <w:tl2br w:val="nil"/>
              <w:tr2bl w:val="nil"/>
            </w:tcBorders>
            <w:vAlign w:val="center"/>
          </w:tcPr>
          <w:p w14:paraId="1349FD9D">
            <w:pPr>
              <w:pStyle w:val="26"/>
              <w:keepNext w:val="0"/>
              <w:keepLines w:val="0"/>
              <w:widowControl/>
              <w:suppressLineNumbers w:val="0"/>
              <w:spacing w:before="0" w:beforeAutospacing="0" w:after="0" w:afterAutospacing="0"/>
              <w:ind w:left="0" w:right="0" w:firstLine="0" w:firstLineChars="0"/>
              <w:rPr>
                <w:rFonts w:hint="default" w:hAnsi="宋体" w:cs="宋体"/>
                <w:sz w:val="18"/>
                <w:szCs w:val="18"/>
                <w:highlight w:val="none"/>
              </w:rPr>
            </w:pPr>
            <w:r>
              <w:rPr>
                <w:rFonts w:hint="eastAsia" w:hAnsi="宋体" w:cs="宋体"/>
                <w:sz w:val="18"/>
                <w:szCs w:val="18"/>
                <w:highlight w:val="none"/>
                <w:lang w:eastAsia="zh-CN"/>
              </w:rPr>
              <w:t>（</w:t>
            </w:r>
            <w:r>
              <w:rPr>
                <w:rFonts w:hint="eastAsia" w:hAnsi="宋体" w:cs="宋体"/>
                <w:sz w:val="18"/>
                <w:szCs w:val="18"/>
                <w:highlight w:val="none"/>
                <w:lang w:val="en-US" w:eastAsia="zh-CN"/>
              </w:rPr>
              <w:t>1</w:t>
            </w:r>
            <w:r>
              <w:rPr>
                <w:rFonts w:hint="eastAsia" w:hAnsi="宋体" w:cs="宋体"/>
                <w:sz w:val="18"/>
                <w:szCs w:val="18"/>
                <w:highlight w:val="none"/>
                <w:lang w:eastAsia="zh-CN"/>
              </w:rPr>
              <w:t>）</w:t>
            </w:r>
            <w:r>
              <w:rPr>
                <w:rFonts w:hint="eastAsia" w:hAnsi="宋体" w:cs="宋体"/>
                <w:sz w:val="18"/>
                <w:szCs w:val="18"/>
                <w:highlight w:val="none"/>
              </w:rPr>
              <w:t>每增加一名从事</w:t>
            </w:r>
            <w:r>
              <w:rPr>
                <w:rFonts w:hint="eastAsia" w:hAnsi="宋体" w:cs="宋体"/>
                <w:sz w:val="18"/>
                <w:szCs w:val="18"/>
                <w:highlight w:val="none"/>
                <w:lang w:val="en-US" w:eastAsia="zh-CN"/>
              </w:rPr>
              <w:t>温室气体控制领域</w:t>
            </w:r>
            <w:r>
              <w:rPr>
                <w:rFonts w:hint="eastAsia" w:hAnsi="宋体" w:cs="宋体"/>
                <w:sz w:val="18"/>
                <w:szCs w:val="18"/>
                <w:highlight w:val="none"/>
              </w:rPr>
              <w:t>相关技术领域的高级职称或博士技术人员，加0.5分</w:t>
            </w:r>
          </w:p>
          <w:p w14:paraId="798EA173">
            <w:pPr>
              <w:pStyle w:val="26"/>
              <w:keepNext w:val="0"/>
              <w:keepLines w:val="0"/>
              <w:widowControl/>
              <w:suppressLineNumbers w:val="0"/>
              <w:spacing w:before="0" w:beforeAutospacing="0" w:after="0" w:afterAutospacing="0"/>
              <w:ind w:left="0" w:right="0" w:firstLine="0" w:firstLineChars="0"/>
              <w:rPr>
                <w:rFonts w:hint="default" w:hAnsi="宋体" w:cs="宋体"/>
                <w:sz w:val="18"/>
                <w:szCs w:val="18"/>
                <w:highlight w:val="none"/>
              </w:rPr>
            </w:pPr>
            <w:r>
              <w:rPr>
                <w:rFonts w:hint="eastAsia" w:hAnsi="宋体" w:cs="宋体"/>
                <w:sz w:val="18"/>
                <w:szCs w:val="18"/>
                <w:highlight w:val="none"/>
                <w:lang w:eastAsia="zh-CN"/>
              </w:rPr>
              <w:t>（</w:t>
            </w:r>
            <w:r>
              <w:rPr>
                <w:rFonts w:hint="eastAsia" w:hAnsi="宋体" w:cs="宋体"/>
                <w:sz w:val="18"/>
                <w:szCs w:val="18"/>
                <w:highlight w:val="none"/>
                <w:lang w:val="en-US" w:eastAsia="zh-CN"/>
              </w:rPr>
              <w:t>2</w:t>
            </w:r>
            <w:r>
              <w:rPr>
                <w:rFonts w:hint="eastAsia" w:hAnsi="宋体" w:cs="宋体"/>
                <w:sz w:val="18"/>
                <w:szCs w:val="18"/>
                <w:highlight w:val="none"/>
                <w:lang w:eastAsia="zh-CN"/>
              </w:rPr>
              <w:t>）</w:t>
            </w:r>
            <w:r>
              <w:rPr>
                <w:rFonts w:hint="eastAsia" w:hAnsi="宋体" w:cs="宋体"/>
                <w:sz w:val="18"/>
                <w:szCs w:val="18"/>
                <w:highlight w:val="none"/>
              </w:rPr>
              <w:t>每增加5%从事</w:t>
            </w:r>
            <w:r>
              <w:rPr>
                <w:rFonts w:hint="eastAsia" w:hAnsi="宋体" w:cs="宋体"/>
                <w:sz w:val="18"/>
                <w:szCs w:val="18"/>
                <w:highlight w:val="none"/>
                <w:lang w:val="en-US" w:eastAsia="zh-CN"/>
              </w:rPr>
              <w:t>温室气体控制领域</w:t>
            </w:r>
            <w:r>
              <w:rPr>
                <w:rFonts w:hint="eastAsia" w:hAnsi="宋体" w:cs="宋体"/>
                <w:sz w:val="18"/>
                <w:szCs w:val="18"/>
                <w:highlight w:val="none"/>
              </w:rPr>
              <w:t>相关工作达3年或以上年限的团队人员，加0.5分</w:t>
            </w:r>
          </w:p>
        </w:tc>
      </w:tr>
      <w:tr w14:paraId="40E44F0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82" w:hRule="atLeast"/>
          <w:jc w:val="center"/>
        </w:trPr>
        <w:tc>
          <w:tcPr>
            <w:tcW w:w="2606" w:type="pct"/>
            <w:tcBorders>
              <w:tl2br w:val="nil"/>
              <w:tr2bl w:val="nil"/>
            </w:tcBorders>
            <w:vAlign w:val="center"/>
          </w:tcPr>
          <w:p w14:paraId="4A23B9DF">
            <w:pPr>
              <w:pStyle w:val="26"/>
              <w:keepNext w:val="0"/>
              <w:keepLines w:val="0"/>
              <w:widowControl/>
              <w:suppressLineNumbers w:val="0"/>
              <w:spacing w:before="0" w:beforeAutospacing="0" w:after="0" w:afterAutospacing="0"/>
              <w:ind w:left="0" w:right="0" w:firstLine="0" w:firstLineChars="0"/>
              <w:rPr>
                <w:rFonts w:hint="default" w:hAnsi="宋体" w:cs="宋体"/>
                <w:sz w:val="18"/>
                <w:szCs w:val="18"/>
                <w:highlight w:val="none"/>
              </w:rPr>
            </w:pPr>
            <w:r>
              <w:rPr>
                <w:rFonts w:hint="eastAsia" w:hAnsi="宋体" w:cs="宋体"/>
                <w:sz w:val="18"/>
                <w:szCs w:val="18"/>
                <w:highlight w:val="none"/>
              </w:rPr>
              <w:t>人员配置基本合理，涵盖所需专业，研发部门中20%以上科研人员从事</w:t>
            </w:r>
            <w:r>
              <w:rPr>
                <w:rFonts w:hint="eastAsia" w:hAnsi="宋体" w:cs="宋体"/>
                <w:sz w:val="18"/>
                <w:szCs w:val="18"/>
                <w:highlight w:val="none"/>
                <w:lang w:val="en-US" w:eastAsia="zh-CN"/>
              </w:rPr>
              <w:t>温室气体控制领域</w:t>
            </w:r>
            <w:r>
              <w:rPr>
                <w:rFonts w:hint="eastAsia" w:hAnsi="宋体" w:cs="宋体"/>
                <w:sz w:val="18"/>
                <w:szCs w:val="18"/>
                <w:highlight w:val="none"/>
              </w:rPr>
              <w:t>相关工作达3年或以上年限，至少配备一名高级职称或博士技术人员</w:t>
            </w:r>
          </w:p>
        </w:tc>
        <w:tc>
          <w:tcPr>
            <w:tcW w:w="494" w:type="pct"/>
            <w:tcBorders>
              <w:tl2br w:val="nil"/>
              <w:tr2bl w:val="nil"/>
            </w:tcBorders>
            <w:vAlign w:val="center"/>
          </w:tcPr>
          <w:p w14:paraId="51A4CD71">
            <w:pPr>
              <w:pStyle w:val="26"/>
              <w:keepNext w:val="0"/>
              <w:keepLines w:val="0"/>
              <w:widowControl/>
              <w:suppressLineNumbers w:val="0"/>
              <w:spacing w:before="0" w:beforeAutospacing="0" w:after="0" w:afterAutospacing="0"/>
              <w:ind w:left="0" w:right="0" w:firstLine="0" w:firstLineChars="0"/>
              <w:jc w:val="center"/>
              <w:rPr>
                <w:rFonts w:hint="default" w:hAnsi="宋体" w:cs="宋体"/>
                <w:sz w:val="18"/>
                <w:szCs w:val="18"/>
                <w:highlight w:val="none"/>
              </w:rPr>
            </w:pPr>
            <w:r>
              <w:rPr>
                <w:rFonts w:hint="eastAsia" w:hAnsi="宋体" w:cs="宋体"/>
                <w:sz w:val="18"/>
                <w:szCs w:val="18"/>
                <w:highlight w:val="none"/>
              </w:rPr>
              <w:t>3</w:t>
            </w:r>
          </w:p>
        </w:tc>
        <w:tc>
          <w:tcPr>
            <w:tcW w:w="507" w:type="pct"/>
            <w:tcBorders>
              <w:tl2br w:val="nil"/>
              <w:tr2bl w:val="nil"/>
            </w:tcBorders>
            <w:vAlign w:val="center"/>
          </w:tcPr>
          <w:p w14:paraId="62B30AD9">
            <w:pPr>
              <w:pStyle w:val="26"/>
              <w:keepNext w:val="0"/>
              <w:keepLines w:val="0"/>
              <w:widowControl/>
              <w:suppressLineNumbers w:val="0"/>
              <w:spacing w:before="0" w:beforeAutospacing="0" w:after="0" w:afterAutospacing="0"/>
              <w:ind w:left="0" w:right="0" w:firstLine="0" w:firstLineChars="0"/>
              <w:jc w:val="center"/>
              <w:rPr>
                <w:rFonts w:hint="default" w:hAnsi="宋体" w:cs="宋体"/>
                <w:sz w:val="18"/>
                <w:szCs w:val="18"/>
                <w:highlight w:val="none"/>
              </w:rPr>
            </w:pPr>
            <w:r>
              <w:rPr>
                <w:rFonts w:hint="eastAsia" w:hAnsi="宋体" w:cs="宋体"/>
                <w:sz w:val="18"/>
                <w:szCs w:val="18"/>
                <w:highlight w:val="none"/>
              </w:rPr>
              <w:t>7</w:t>
            </w:r>
          </w:p>
        </w:tc>
        <w:tc>
          <w:tcPr>
            <w:tcW w:w="1390" w:type="pct"/>
            <w:vMerge w:val="continue"/>
            <w:tcBorders>
              <w:tl2br w:val="nil"/>
              <w:tr2bl w:val="nil"/>
            </w:tcBorders>
            <w:vAlign w:val="center"/>
          </w:tcPr>
          <w:p w14:paraId="59646AA0">
            <w:pPr>
              <w:pStyle w:val="26"/>
              <w:keepNext w:val="0"/>
              <w:keepLines w:val="0"/>
              <w:widowControl/>
              <w:suppressLineNumbers w:val="0"/>
              <w:spacing w:before="0" w:beforeAutospacing="0" w:after="0" w:afterAutospacing="0"/>
              <w:ind w:left="0" w:right="0" w:firstLine="0" w:firstLineChars="0"/>
              <w:rPr>
                <w:rFonts w:hint="default" w:hAnsi="宋体" w:cs="宋体"/>
                <w:sz w:val="18"/>
                <w:szCs w:val="18"/>
                <w:highlight w:val="none"/>
              </w:rPr>
            </w:pPr>
          </w:p>
        </w:tc>
      </w:tr>
      <w:tr w14:paraId="57F021F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2606" w:type="pct"/>
            <w:tcBorders>
              <w:tl2br w:val="nil"/>
              <w:tr2bl w:val="nil"/>
            </w:tcBorders>
            <w:vAlign w:val="center"/>
          </w:tcPr>
          <w:p w14:paraId="6B39560E">
            <w:pPr>
              <w:pStyle w:val="26"/>
              <w:keepNext w:val="0"/>
              <w:keepLines w:val="0"/>
              <w:widowControl/>
              <w:suppressLineNumbers w:val="0"/>
              <w:spacing w:before="0" w:beforeAutospacing="0" w:after="0" w:afterAutospacing="0"/>
              <w:ind w:left="0" w:right="0" w:firstLine="0" w:firstLineChars="0"/>
              <w:rPr>
                <w:rFonts w:hint="default" w:hAnsi="宋体" w:cs="宋体"/>
                <w:sz w:val="18"/>
                <w:szCs w:val="18"/>
                <w:highlight w:val="none"/>
              </w:rPr>
            </w:pPr>
            <w:r>
              <w:rPr>
                <w:rFonts w:hint="eastAsia" w:hAnsi="宋体" w:cs="宋体"/>
                <w:sz w:val="18"/>
                <w:szCs w:val="18"/>
                <w:highlight w:val="none"/>
              </w:rPr>
              <w:t>人员配置未完全覆盖所需专业，团队实力一般</w:t>
            </w:r>
          </w:p>
        </w:tc>
        <w:tc>
          <w:tcPr>
            <w:tcW w:w="494" w:type="pct"/>
            <w:tcBorders>
              <w:tl2br w:val="nil"/>
              <w:tr2bl w:val="nil"/>
            </w:tcBorders>
            <w:vAlign w:val="center"/>
          </w:tcPr>
          <w:p w14:paraId="432455C9">
            <w:pPr>
              <w:pStyle w:val="26"/>
              <w:keepNext w:val="0"/>
              <w:keepLines w:val="0"/>
              <w:widowControl/>
              <w:suppressLineNumbers w:val="0"/>
              <w:spacing w:before="0" w:beforeAutospacing="0" w:after="0" w:afterAutospacing="0"/>
              <w:ind w:left="0" w:right="0" w:firstLine="0" w:firstLineChars="0"/>
              <w:jc w:val="center"/>
              <w:rPr>
                <w:rFonts w:hint="default" w:hAnsi="宋体" w:cs="宋体"/>
                <w:sz w:val="18"/>
                <w:szCs w:val="18"/>
                <w:highlight w:val="none"/>
              </w:rPr>
            </w:pPr>
            <w:r>
              <w:rPr>
                <w:rFonts w:hint="eastAsia" w:hAnsi="宋体" w:cs="宋体"/>
                <w:sz w:val="18"/>
                <w:szCs w:val="18"/>
                <w:highlight w:val="none"/>
              </w:rPr>
              <w:t>0</w:t>
            </w:r>
          </w:p>
        </w:tc>
        <w:tc>
          <w:tcPr>
            <w:tcW w:w="507" w:type="pct"/>
            <w:tcBorders>
              <w:tl2br w:val="nil"/>
              <w:tr2bl w:val="nil"/>
            </w:tcBorders>
            <w:vAlign w:val="center"/>
          </w:tcPr>
          <w:p w14:paraId="49B3363F">
            <w:pPr>
              <w:pStyle w:val="26"/>
              <w:keepNext w:val="0"/>
              <w:keepLines w:val="0"/>
              <w:widowControl/>
              <w:suppressLineNumbers w:val="0"/>
              <w:spacing w:before="0" w:beforeAutospacing="0" w:after="0" w:afterAutospacing="0"/>
              <w:ind w:left="0" w:right="0" w:firstLine="0" w:firstLineChars="0"/>
              <w:jc w:val="center"/>
              <w:rPr>
                <w:rFonts w:hint="default" w:hAnsi="宋体" w:cs="宋体"/>
                <w:sz w:val="18"/>
                <w:szCs w:val="18"/>
                <w:highlight w:val="none"/>
              </w:rPr>
            </w:pPr>
            <w:r>
              <w:rPr>
                <w:rFonts w:hint="eastAsia" w:hAnsi="宋体" w:cs="宋体"/>
                <w:sz w:val="18"/>
                <w:szCs w:val="18"/>
                <w:highlight w:val="none"/>
              </w:rPr>
              <w:t>3</w:t>
            </w:r>
          </w:p>
        </w:tc>
        <w:tc>
          <w:tcPr>
            <w:tcW w:w="1390" w:type="pct"/>
            <w:vMerge w:val="continue"/>
            <w:tcBorders>
              <w:tl2br w:val="nil"/>
              <w:tr2bl w:val="nil"/>
            </w:tcBorders>
            <w:vAlign w:val="center"/>
          </w:tcPr>
          <w:p w14:paraId="5EC800E7">
            <w:pPr>
              <w:pStyle w:val="26"/>
              <w:keepNext w:val="0"/>
              <w:keepLines w:val="0"/>
              <w:widowControl/>
              <w:suppressLineNumbers w:val="0"/>
              <w:spacing w:before="0" w:beforeAutospacing="0" w:after="0" w:afterAutospacing="0"/>
              <w:ind w:left="0" w:right="0" w:firstLine="0" w:firstLineChars="0"/>
              <w:rPr>
                <w:rFonts w:hint="default" w:hAnsi="宋体" w:cs="宋体"/>
                <w:sz w:val="18"/>
                <w:szCs w:val="18"/>
                <w:highlight w:val="none"/>
              </w:rPr>
            </w:pPr>
          </w:p>
        </w:tc>
      </w:tr>
      <w:tr w14:paraId="19538BD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9" w:hRule="atLeast"/>
          <w:jc w:val="center"/>
        </w:trPr>
        <w:tc>
          <w:tcPr>
            <w:tcW w:w="5000" w:type="pct"/>
            <w:gridSpan w:val="4"/>
            <w:tcBorders>
              <w:tl2br w:val="nil"/>
              <w:tr2bl w:val="nil"/>
            </w:tcBorders>
            <w:vAlign w:val="center"/>
          </w:tcPr>
          <w:p w14:paraId="37D93D96">
            <w:pPr>
              <w:pStyle w:val="62"/>
              <w:keepNext w:val="0"/>
              <w:keepLines w:val="0"/>
              <w:suppressLineNumbers w:val="0"/>
              <w:bidi w:val="0"/>
              <w:spacing w:before="0" w:beforeAutospacing="0" w:after="0" w:afterAutospacing="0"/>
              <w:ind w:left="0" w:right="0"/>
              <w:rPr>
                <w:rFonts w:hint="default" w:hAnsi="宋体" w:cs="宋体"/>
                <w:szCs w:val="18"/>
                <w:highlight w:val="none"/>
              </w:rPr>
            </w:pPr>
            <w:r>
              <w:rPr>
                <w:rFonts w:hint="eastAsia"/>
                <w:highlight w:val="none"/>
              </w:rPr>
              <w:t>科研人员是直接从事研发和相关技术创新活动，以及专门从事上述活动的管理或提供直接技术服务的，累计实际工作时间在183天以上的人员，包括在职、兼职和临时聘用人员。在职人员通过企事业单位是否签订了劳动合同或缴纳社会保险费来鉴别；兼职、临时聘用人员通过是否全年在企事业单位累计工作183天以上来鉴别。</w:t>
            </w:r>
          </w:p>
        </w:tc>
      </w:tr>
    </w:tbl>
    <w:p w14:paraId="25EF6A5E">
      <w:pPr>
        <w:pStyle w:val="60"/>
        <w:spacing w:before="156" w:after="156"/>
        <w:rPr>
          <w:rFonts w:ascii="Times New Roman"/>
          <w:highlight w:val="none"/>
        </w:rPr>
      </w:pPr>
      <w:r>
        <w:rPr>
          <w:rFonts w:ascii="Times New Roman"/>
          <w:highlight w:val="none"/>
        </w:rPr>
        <w:t>研发投入</w:t>
      </w:r>
    </w:p>
    <w:p w14:paraId="1E5671DE">
      <w:pPr>
        <w:pStyle w:val="26"/>
        <w:rPr>
          <w:rFonts w:hint="eastAsia" w:hAnsi="宋体" w:cs="宋体"/>
          <w:highlight w:val="none"/>
        </w:rPr>
      </w:pPr>
      <w:r>
        <w:rPr>
          <w:rFonts w:hint="eastAsia" w:hAnsi="宋体" w:cs="宋体"/>
          <w:highlight w:val="none"/>
        </w:rPr>
        <w:t>从</w:t>
      </w:r>
      <w:r>
        <w:rPr>
          <w:rFonts w:hint="eastAsia" w:hAnsi="宋体" w:cs="宋体"/>
          <w:highlight w:val="none"/>
          <w:lang w:val="en-US" w:eastAsia="zh-CN"/>
        </w:rPr>
        <w:t>温室气体控制领域</w:t>
      </w:r>
      <w:r>
        <w:rPr>
          <w:rFonts w:hint="eastAsia" w:hAnsi="宋体" w:cs="宋体"/>
          <w:highlight w:val="none"/>
        </w:rPr>
        <w:t>的研发投入占比或研发投入金额等方面进行综合评价，具体评分规则见表</w:t>
      </w:r>
      <w:r>
        <w:rPr>
          <w:rFonts w:hint="eastAsia" w:hAnsi="宋体" w:cs="宋体"/>
          <w:highlight w:val="none"/>
          <w:lang w:val="en-US" w:eastAsia="zh-CN"/>
        </w:rPr>
        <w:t>7</w:t>
      </w:r>
      <w:r>
        <w:rPr>
          <w:rFonts w:hint="eastAsia" w:hAnsi="宋体" w:cs="宋体"/>
          <w:highlight w:val="none"/>
        </w:rPr>
        <w:t>。</w:t>
      </w:r>
    </w:p>
    <w:p w14:paraId="7D85D22F">
      <w:pPr>
        <w:pStyle w:val="62"/>
        <w:bidi w:val="0"/>
        <w:rPr>
          <w:rFonts w:hint="eastAsia" w:hAnsi="宋体" w:cs="宋体"/>
          <w:highlight w:val="none"/>
        </w:rPr>
      </w:pPr>
      <w:r>
        <w:rPr>
          <w:rFonts w:hint="eastAsia"/>
          <w:highlight w:val="none"/>
          <w:lang w:val="en-US" w:eastAsia="zh-CN"/>
        </w:rPr>
        <w:t>温室气体控制领域</w:t>
      </w:r>
      <w:r>
        <w:rPr>
          <w:rFonts w:hint="eastAsia"/>
          <w:highlight w:val="none"/>
        </w:rPr>
        <w:t>的研发投入占比是上一个会计年度（实际经营期不满一年的，按实际经营时间计算）的</w:t>
      </w:r>
      <w:r>
        <w:rPr>
          <w:rFonts w:hint="eastAsia"/>
          <w:highlight w:val="none"/>
          <w:lang w:val="en-US" w:eastAsia="zh-CN"/>
        </w:rPr>
        <w:t>温室气体控制领域相关</w:t>
      </w:r>
      <w:r>
        <w:rPr>
          <w:rFonts w:hint="eastAsia"/>
          <w:highlight w:val="none"/>
        </w:rPr>
        <w:t>绿色业务研究开发费用总额与同期绿色业务营业收入总额的比值。其中，研究开发费用包含研发人员人工费用、直接投入费用、折旧费用与长期待摊费用、无形资产摊销费用、设计费用、装备调试费用与试验费用、委托外部研究开发费用等。</w:t>
      </w:r>
    </w:p>
    <w:p w14:paraId="0A39EECC">
      <w:pPr>
        <w:pStyle w:val="131"/>
        <w:rPr>
          <w:rFonts w:ascii="Times New Roman"/>
          <w:highlight w:val="none"/>
        </w:rPr>
      </w:pPr>
      <w:r>
        <w:rPr>
          <w:rFonts w:ascii="Times New Roman"/>
          <w:highlight w:val="none"/>
        </w:rPr>
        <w:t>研发投入评分规则</w:t>
      </w:r>
    </w:p>
    <w:tbl>
      <w:tblPr>
        <w:tblStyle w:val="36"/>
        <w:tblW w:w="4994"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7922"/>
        <w:gridCol w:w="1637"/>
      </w:tblGrid>
      <w:tr w14:paraId="0609413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143" w:type="pct"/>
            <w:tcBorders>
              <w:bottom w:val="single" w:color="auto" w:sz="12" w:space="0"/>
            </w:tcBorders>
            <w:vAlign w:val="center"/>
          </w:tcPr>
          <w:p w14:paraId="5E3B22D9">
            <w:pPr>
              <w:pStyle w:val="26"/>
              <w:keepNext w:val="0"/>
              <w:keepLines w:val="0"/>
              <w:widowControl/>
              <w:suppressLineNumbers w:val="0"/>
              <w:spacing w:before="0" w:beforeAutospacing="0" w:after="0" w:afterAutospacing="0"/>
              <w:ind w:left="0" w:right="0" w:firstLine="0" w:firstLineChars="0"/>
              <w:jc w:val="center"/>
              <w:rPr>
                <w:rFonts w:hint="default" w:ascii="Times New Roman" w:eastAsia="宋体"/>
                <w:b/>
                <w:bCs/>
                <w:sz w:val="18"/>
                <w:szCs w:val="18"/>
                <w:highlight w:val="none"/>
                <w:lang w:val="en-US" w:eastAsia="zh-CN"/>
              </w:rPr>
            </w:pPr>
            <w:r>
              <w:rPr>
                <w:rFonts w:hint="default" w:ascii="Times New Roman"/>
                <w:b/>
                <w:bCs/>
                <w:sz w:val="18"/>
                <w:szCs w:val="18"/>
                <w:highlight w:val="none"/>
              </w:rPr>
              <w:t>研发投入占比</w:t>
            </w:r>
            <w:r>
              <w:rPr>
                <w:rFonts w:hint="eastAsia" w:ascii="Times New Roman"/>
                <w:b/>
                <w:bCs/>
                <w:sz w:val="18"/>
                <w:szCs w:val="18"/>
                <w:highlight w:val="none"/>
                <w:lang w:val="en-US" w:eastAsia="zh-CN"/>
              </w:rPr>
              <w:t>/金额</w:t>
            </w:r>
          </w:p>
        </w:tc>
        <w:tc>
          <w:tcPr>
            <w:tcW w:w="856" w:type="pct"/>
            <w:tcBorders>
              <w:bottom w:val="single" w:color="auto" w:sz="12" w:space="0"/>
            </w:tcBorders>
            <w:vAlign w:val="center"/>
          </w:tcPr>
          <w:p w14:paraId="16A1F52F">
            <w:pPr>
              <w:pStyle w:val="26"/>
              <w:keepNext w:val="0"/>
              <w:keepLines w:val="0"/>
              <w:widowControl/>
              <w:suppressLineNumbers w:val="0"/>
              <w:spacing w:before="0" w:beforeAutospacing="0" w:after="0" w:afterAutospacing="0"/>
              <w:ind w:left="0" w:right="0" w:firstLine="0" w:firstLineChars="0"/>
              <w:jc w:val="center"/>
              <w:rPr>
                <w:rFonts w:hint="default" w:ascii="Times New Roman"/>
                <w:b/>
                <w:bCs/>
                <w:sz w:val="18"/>
                <w:szCs w:val="18"/>
                <w:highlight w:val="none"/>
              </w:rPr>
            </w:pPr>
            <w:r>
              <w:rPr>
                <w:rFonts w:hint="default" w:ascii="Times New Roman"/>
                <w:b/>
                <w:bCs/>
                <w:sz w:val="18"/>
                <w:szCs w:val="18"/>
                <w:highlight w:val="none"/>
              </w:rPr>
              <w:t>分值</w:t>
            </w:r>
            <w:r>
              <w:rPr>
                <w:rFonts w:hint="eastAsia" w:ascii="Times New Roman"/>
                <w:b/>
                <w:bCs/>
                <w:sz w:val="18"/>
                <w:szCs w:val="18"/>
                <w:highlight w:val="none"/>
              </w:rPr>
              <w:t>（分）</w:t>
            </w:r>
          </w:p>
        </w:tc>
      </w:tr>
      <w:tr w14:paraId="2627CDE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143" w:type="pct"/>
            <w:tcBorders>
              <w:top w:val="single" w:color="auto" w:sz="12" w:space="0"/>
              <w:tl2br w:val="nil"/>
              <w:tr2bl w:val="nil"/>
            </w:tcBorders>
            <w:vAlign w:val="center"/>
          </w:tcPr>
          <w:p w14:paraId="0318C527">
            <w:pPr>
              <w:pStyle w:val="26"/>
              <w:keepNext w:val="0"/>
              <w:keepLines w:val="0"/>
              <w:widowControl/>
              <w:suppressLineNumbers w:val="0"/>
              <w:spacing w:before="0" w:beforeAutospacing="0" w:after="0" w:afterAutospacing="0"/>
              <w:ind w:left="0" w:right="0" w:firstLine="0" w:firstLineChars="0"/>
              <w:rPr>
                <w:rFonts w:hint="default" w:hAnsi="宋体" w:cs="宋体"/>
                <w:sz w:val="18"/>
                <w:szCs w:val="18"/>
                <w:highlight w:val="none"/>
              </w:rPr>
            </w:pPr>
            <w:r>
              <w:rPr>
                <w:rFonts w:hint="eastAsia" w:hAnsi="宋体" w:cs="宋体"/>
                <w:sz w:val="18"/>
                <w:szCs w:val="18"/>
                <w:highlight w:val="none"/>
              </w:rPr>
              <w:t>最近一年</w:t>
            </w:r>
            <w:r>
              <w:rPr>
                <w:rFonts w:hint="eastAsia" w:hAnsi="宋体" w:cs="宋体"/>
                <w:sz w:val="18"/>
                <w:szCs w:val="18"/>
                <w:highlight w:val="none"/>
                <w:lang w:val="en-US" w:eastAsia="zh-CN"/>
              </w:rPr>
              <w:t>营业</w:t>
            </w:r>
            <w:r>
              <w:rPr>
                <w:rFonts w:hint="eastAsia" w:hAnsi="宋体" w:cs="宋体"/>
                <w:sz w:val="18"/>
                <w:szCs w:val="18"/>
                <w:highlight w:val="none"/>
              </w:rPr>
              <w:t>收入在2亿元以上的企事业单位，比例不低于3%</w:t>
            </w:r>
            <w:r>
              <w:rPr>
                <w:rFonts w:hint="eastAsia" w:hAnsi="宋体" w:cs="宋体"/>
                <w:sz w:val="18"/>
                <w:szCs w:val="18"/>
                <w:highlight w:val="none"/>
                <w:lang w:eastAsia="zh-CN"/>
              </w:rPr>
              <w:t>，</w:t>
            </w:r>
            <w:r>
              <w:rPr>
                <w:rFonts w:hint="eastAsia" w:hAnsi="宋体" w:cs="宋体"/>
                <w:sz w:val="18"/>
                <w:szCs w:val="18"/>
                <w:highlight w:val="none"/>
                <w:lang w:val="en-US" w:eastAsia="zh-CN"/>
              </w:rPr>
              <w:t>或不低于600万元</w:t>
            </w:r>
          </w:p>
        </w:tc>
        <w:tc>
          <w:tcPr>
            <w:tcW w:w="856" w:type="pct"/>
            <w:vMerge w:val="restart"/>
            <w:tcBorders>
              <w:top w:val="single" w:color="auto" w:sz="12" w:space="0"/>
              <w:tl2br w:val="nil"/>
              <w:tr2bl w:val="nil"/>
            </w:tcBorders>
            <w:vAlign w:val="center"/>
          </w:tcPr>
          <w:p w14:paraId="049AF913">
            <w:pPr>
              <w:pStyle w:val="26"/>
              <w:keepNext w:val="0"/>
              <w:keepLines w:val="0"/>
              <w:widowControl/>
              <w:suppressLineNumbers w:val="0"/>
              <w:spacing w:before="0" w:beforeAutospacing="0" w:after="0" w:afterAutospacing="0"/>
              <w:ind w:left="0" w:right="0" w:firstLine="0" w:firstLineChars="0"/>
              <w:jc w:val="center"/>
              <w:rPr>
                <w:rFonts w:hint="default" w:hAnsi="宋体" w:cs="宋体"/>
                <w:sz w:val="18"/>
                <w:szCs w:val="18"/>
                <w:highlight w:val="none"/>
              </w:rPr>
            </w:pPr>
            <w:r>
              <w:rPr>
                <w:rFonts w:hint="eastAsia" w:hAnsi="宋体" w:cs="宋体"/>
                <w:sz w:val="18"/>
                <w:szCs w:val="18"/>
                <w:highlight w:val="none"/>
              </w:rPr>
              <w:t>6</w:t>
            </w:r>
          </w:p>
        </w:tc>
      </w:tr>
      <w:tr w14:paraId="0DAE275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143" w:type="pct"/>
            <w:tcBorders>
              <w:tl2br w:val="nil"/>
              <w:tr2bl w:val="nil"/>
            </w:tcBorders>
            <w:vAlign w:val="center"/>
          </w:tcPr>
          <w:p w14:paraId="0A936227">
            <w:pPr>
              <w:pStyle w:val="26"/>
              <w:keepNext w:val="0"/>
              <w:keepLines w:val="0"/>
              <w:widowControl/>
              <w:suppressLineNumbers w:val="0"/>
              <w:spacing w:before="0" w:beforeAutospacing="0" w:after="0" w:afterAutospacing="0"/>
              <w:ind w:left="0" w:right="0" w:firstLine="0" w:firstLineChars="0"/>
              <w:rPr>
                <w:rFonts w:hint="default" w:hAnsi="宋体" w:cs="宋体"/>
                <w:sz w:val="18"/>
                <w:szCs w:val="18"/>
                <w:highlight w:val="none"/>
              </w:rPr>
            </w:pPr>
            <w:r>
              <w:rPr>
                <w:rFonts w:hint="eastAsia" w:hAnsi="宋体" w:cs="宋体"/>
                <w:sz w:val="18"/>
                <w:szCs w:val="18"/>
                <w:highlight w:val="none"/>
              </w:rPr>
              <w:t>最近一年</w:t>
            </w:r>
            <w:r>
              <w:rPr>
                <w:rFonts w:hint="eastAsia" w:hAnsi="宋体" w:cs="宋体"/>
                <w:sz w:val="18"/>
                <w:szCs w:val="18"/>
                <w:highlight w:val="none"/>
                <w:lang w:val="en-US" w:eastAsia="zh-CN"/>
              </w:rPr>
              <w:t>营业</w:t>
            </w:r>
            <w:r>
              <w:rPr>
                <w:rFonts w:hint="eastAsia" w:hAnsi="宋体" w:cs="宋体"/>
                <w:sz w:val="18"/>
                <w:szCs w:val="18"/>
                <w:highlight w:val="none"/>
              </w:rPr>
              <w:t>收入在5000万元至2亿元（含）的企事业单位，比例不低于4%</w:t>
            </w:r>
            <w:r>
              <w:rPr>
                <w:rFonts w:hint="eastAsia" w:hAnsi="宋体" w:cs="宋体"/>
                <w:sz w:val="18"/>
                <w:szCs w:val="18"/>
                <w:highlight w:val="none"/>
                <w:lang w:eastAsia="zh-CN"/>
              </w:rPr>
              <w:t>，</w:t>
            </w:r>
            <w:r>
              <w:rPr>
                <w:rFonts w:hint="eastAsia" w:hAnsi="宋体" w:cs="宋体"/>
                <w:sz w:val="18"/>
                <w:szCs w:val="18"/>
                <w:highlight w:val="none"/>
                <w:lang w:val="en-US" w:eastAsia="zh-CN"/>
              </w:rPr>
              <w:t>或不低于400万元</w:t>
            </w:r>
          </w:p>
        </w:tc>
        <w:tc>
          <w:tcPr>
            <w:tcW w:w="856" w:type="pct"/>
            <w:vMerge w:val="continue"/>
            <w:tcBorders>
              <w:tl2br w:val="nil"/>
              <w:tr2bl w:val="nil"/>
            </w:tcBorders>
            <w:vAlign w:val="center"/>
          </w:tcPr>
          <w:p w14:paraId="32989703">
            <w:pPr>
              <w:pStyle w:val="26"/>
              <w:keepNext w:val="0"/>
              <w:keepLines w:val="0"/>
              <w:widowControl/>
              <w:suppressLineNumbers w:val="0"/>
              <w:spacing w:before="0" w:beforeAutospacing="0" w:after="0" w:afterAutospacing="0"/>
              <w:ind w:left="0" w:right="0" w:firstLine="0" w:firstLineChars="0"/>
              <w:jc w:val="center"/>
              <w:rPr>
                <w:rFonts w:hint="default" w:hAnsi="宋体" w:cs="宋体"/>
                <w:sz w:val="18"/>
                <w:szCs w:val="18"/>
                <w:highlight w:val="none"/>
              </w:rPr>
            </w:pPr>
          </w:p>
        </w:tc>
      </w:tr>
      <w:tr w14:paraId="4AA3C27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143" w:type="pct"/>
            <w:tcBorders>
              <w:tl2br w:val="nil"/>
              <w:tr2bl w:val="nil"/>
            </w:tcBorders>
            <w:vAlign w:val="center"/>
          </w:tcPr>
          <w:p w14:paraId="47088DEE">
            <w:pPr>
              <w:pStyle w:val="26"/>
              <w:keepNext w:val="0"/>
              <w:keepLines w:val="0"/>
              <w:widowControl/>
              <w:suppressLineNumbers w:val="0"/>
              <w:spacing w:before="0" w:beforeAutospacing="0" w:after="0" w:afterAutospacing="0"/>
              <w:ind w:left="0" w:right="0" w:firstLine="0" w:firstLineChars="0"/>
              <w:rPr>
                <w:rFonts w:hint="default" w:hAnsi="宋体" w:cs="宋体"/>
                <w:sz w:val="18"/>
                <w:szCs w:val="18"/>
                <w:highlight w:val="none"/>
              </w:rPr>
            </w:pPr>
            <w:r>
              <w:rPr>
                <w:rFonts w:hint="eastAsia" w:hAnsi="宋体" w:cs="宋体"/>
                <w:sz w:val="18"/>
                <w:szCs w:val="18"/>
                <w:highlight w:val="none"/>
              </w:rPr>
              <w:t>最近一年</w:t>
            </w:r>
            <w:r>
              <w:rPr>
                <w:rFonts w:hint="eastAsia" w:hAnsi="宋体" w:cs="宋体"/>
                <w:sz w:val="18"/>
                <w:szCs w:val="18"/>
                <w:highlight w:val="none"/>
                <w:lang w:val="en-US" w:eastAsia="zh-CN"/>
              </w:rPr>
              <w:t>营业</w:t>
            </w:r>
            <w:r>
              <w:rPr>
                <w:rFonts w:hint="eastAsia" w:hAnsi="宋体" w:cs="宋体"/>
                <w:sz w:val="18"/>
                <w:szCs w:val="18"/>
                <w:highlight w:val="none"/>
              </w:rPr>
              <w:t>收入小于5000万元（含）的企事业单位，比例不低于5%</w:t>
            </w:r>
            <w:r>
              <w:rPr>
                <w:rFonts w:hint="eastAsia" w:hAnsi="宋体" w:cs="宋体"/>
                <w:sz w:val="18"/>
                <w:szCs w:val="18"/>
                <w:highlight w:val="none"/>
                <w:lang w:eastAsia="zh-CN"/>
              </w:rPr>
              <w:t>，</w:t>
            </w:r>
            <w:r>
              <w:rPr>
                <w:rFonts w:hint="eastAsia" w:hAnsi="宋体" w:cs="宋体"/>
                <w:sz w:val="18"/>
                <w:szCs w:val="18"/>
                <w:highlight w:val="none"/>
                <w:lang w:val="en-US" w:eastAsia="zh-CN"/>
              </w:rPr>
              <w:t>或不低于250万元</w:t>
            </w:r>
          </w:p>
        </w:tc>
        <w:tc>
          <w:tcPr>
            <w:tcW w:w="856" w:type="pct"/>
            <w:vMerge w:val="continue"/>
            <w:tcBorders>
              <w:tl2br w:val="nil"/>
              <w:tr2bl w:val="nil"/>
            </w:tcBorders>
            <w:vAlign w:val="center"/>
          </w:tcPr>
          <w:p w14:paraId="63BAECBA">
            <w:pPr>
              <w:pStyle w:val="26"/>
              <w:keepNext w:val="0"/>
              <w:keepLines w:val="0"/>
              <w:widowControl/>
              <w:suppressLineNumbers w:val="0"/>
              <w:spacing w:before="0" w:beforeAutospacing="0" w:after="0" w:afterAutospacing="0"/>
              <w:ind w:left="0" w:right="0" w:firstLine="0" w:firstLineChars="0"/>
              <w:jc w:val="center"/>
              <w:rPr>
                <w:rFonts w:hint="default" w:hAnsi="宋体" w:cs="宋体"/>
                <w:sz w:val="18"/>
                <w:szCs w:val="18"/>
                <w:highlight w:val="none"/>
              </w:rPr>
            </w:pPr>
          </w:p>
        </w:tc>
      </w:tr>
      <w:tr w14:paraId="67A5A70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143" w:type="pct"/>
            <w:tcBorders>
              <w:tl2br w:val="nil"/>
              <w:tr2bl w:val="nil"/>
            </w:tcBorders>
            <w:vAlign w:val="center"/>
          </w:tcPr>
          <w:p w14:paraId="6F3B187D">
            <w:pPr>
              <w:pStyle w:val="26"/>
              <w:keepNext w:val="0"/>
              <w:keepLines w:val="0"/>
              <w:widowControl/>
              <w:suppressLineNumbers w:val="0"/>
              <w:spacing w:before="0" w:beforeAutospacing="0" w:after="0" w:afterAutospacing="0"/>
              <w:ind w:left="0" w:right="0" w:firstLine="0" w:firstLineChars="0"/>
              <w:rPr>
                <w:rFonts w:hint="default" w:hAnsi="宋体" w:eastAsia="宋体" w:cs="宋体"/>
                <w:sz w:val="18"/>
                <w:szCs w:val="18"/>
                <w:highlight w:val="none"/>
                <w:lang w:val="en-US" w:eastAsia="zh-CN"/>
              </w:rPr>
            </w:pPr>
            <w:r>
              <w:rPr>
                <w:rFonts w:hint="eastAsia" w:hAnsi="宋体" w:cs="宋体"/>
                <w:sz w:val="18"/>
                <w:szCs w:val="18"/>
                <w:highlight w:val="none"/>
                <w:lang w:val="en-US" w:eastAsia="zh-CN"/>
              </w:rPr>
              <w:t>未满足上述任何一项</w:t>
            </w:r>
          </w:p>
        </w:tc>
        <w:tc>
          <w:tcPr>
            <w:tcW w:w="856" w:type="pct"/>
            <w:tcBorders>
              <w:tl2br w:val="nil"/>
              <w:tr2bl w:val="nil"/>
            </w:tcBorders>
            <w:vAlign w:val="center"/>
          </w:tcPr>
          <w:p w14:paraId="591230C5">
            <w:pPr>
              <w:pStyle w:val="26"/>
              <w:keepNext w:val="0"/>
              <w:keepLines w:val="0"/>
              <w:widowControl/>
              <w:suppressLineNumbers w:val="0"/>
              <w:spacing w:before="0" w:beforeAutospacing="0" w:after="0" w:afterAutospacing="0"/>
              <w:ind w:left="0" w:right="0" w:firstLine="0" w:firstLineChars="0"/>
              <w:jc w:val="center"/>
              <w:rPr>
                <w:rFonts w:hint="eastAsia" w:hAnsi="宋体" w:eastAsia="宋体" w:cs="宋体"/>
                <w:sz w:val="18"/>
                <w:szCs w:val="18"/>
                <w:highlight w:val="none"/>
                <w:lang w:eastAsia="zh-CN"/>
              </w:rPr>
            </w:pPr>
            <w:r>
              <w:rPr>
                <w:rFonts w:hint="eastAsia" w:hAnsi="宋体" w:cs="宋体"/>
                <w:sz w:val="18"/>
                <w:szCs w:val="18"/>
                <w:highlight w:val="none"/>
                <w:lang w:val="en-US" w:eastAsia="zh-CN"/>
              </w:rPr>
              <w:t>0</w:t>
            </w:r>
          </w:p>
        </w:tc>
      </w:tr>
    </w:tbl>
    <w:p w14:paraId="68FCC439">
      <w:pPr>
        <w:numPr>
          <w:ilvl w:val="4"/>
          <w:numId w:val="2"/>
        </w:numPr>
        <w:spacing w:before="156" w:beforeLines="50" w:after="156" w:afterLines="50"/>
        <w:outlineLvl w:val="5"/>
        <w:rPr>
          <w:rFonts w:eastAsia="黑体"/>
          <w:szCs w:val="21"/>
          <w:highlight w:val="none"/>
        </w:rPr>
      </w:pPr>
      <w:r>
        <w:rPr>
          <w:rFonts w:hint="eastAsia" w:eastAsia="黑体"/>
          <w:szCs w:val="21"/>
          <w:highlight w:val="none"/>
          <w:lang w:val="en-US" w:eastAsia="zh-CN"/>
        </w:rPr>
        <w:t>运营效益水平</w:t>
      </w:r>
    </w:p>
    <w:p w14:paraId="0B2D50E1">
      <w:pPr>
        <w:autoSpaceDE w:val="0"/>
        <w:autoSpaceDN w:val="0"/>
        <w:ind w:firstLine="420" w:firstLineChars="200"/>
        <w:jc w:val="both"/>
        <w:rPr>
          <w:rFonts w:ascii="宋体" w:hAnsi="宋体" w:eastAsia="宋体" w:cs="宋体"/>
          <w:sz w:val="21"/>
          <w:highlight w:val="none"/>
          <w:lang w:val="en-US" w:eastAsia="zh-CN" w:bidi="ar-SA"/>
        </w:rPr>
      </w:pPr>
      <w:r>
        <w:rPr>
          <w:rFonts w:hint="eastAsia" w:ascii="宋体" w:hAnsi="宋体" w:eastAsia="宋体" w:cs="宋体"/>
          <w:sz w:val="21"/>
          <w:highlight w:val="none"/>
          <w:lang w:val="en-US" w:eastAsia="zh-CN" w:bidi="ar-SA"/>
        </w:rPr>
        <w:t>从业务增长率进行评价，采用近三年平均值进行评估（实际经营期不满三年的，按实际经营时间计算），具体评分规则见表</w:t>
      </w:r>
      <w:r>
        <w:rPr>
          <w:rFonts w:hint="eastAsia" w:ascii="宋体" w:hAnsi="宋体" w:cs="宋体"/>
          <w:sz w:val="21"/>
          <w:highlight w:val="none"/>
          <w:lang w:val="en-US" w:eastAsia="zh-CN" w:bidi="ar-SA"/>
        </w:rPr>
        <w:t>8</w:t>
      </w:r>
      <w:r>
        <w:rPr>
          <w:rFonts w:hint="eastAsia" w:ascii="宋体" w:hAnsi="宋体" w:eastAsia="宋体" w:cs="宋体"/>
          <w:sz w:val="21"/>
          <w:highlight w:val="none"/>
          <w:lang w:val="en-US" w:eastAsia="zh-CN" w:bidi="ar-SA"/>
        </w:rPr>
        <w:t>。</w:t>
      </w:r>
    </w:p>
    <w:p w14:paraId="05FD77BA">
      <w:pPr>
        <w:widowControl w:val="0"/>
        <w:numPr>
          <w:ilvl w:val="0"/>
          <w:numId w:val="20"/>
        </w:numPr>
        <w:autoSpaceDE w:val="0"/>
        <w:autoSpaceDN w:val="0"/>
        <w:ind w:left="780" w:leftChars="200" w:hanging="360" w:hangingChars="200"/>
        <w:jc w:val="both"/>
        <w:rPr>
          <w:rFonts w:ascii="宋体" w:hAnsi="Times New Roman" w:eastAsia="宋体" w:cs="Times New Roman"/>
          <w:sz w:val="18"/>
          <w:szCs w:val="18"/>
          <w:highlight w:val="none"/>
          <w:lang w:val="en-US" w:eastAsia="zh-CN" w:bidi="ar-SA"/>
        </w:rPr>
      </w:pPr>
      <w:r>
        <w:rPr>
          <w:rFonts w:hint="eastAsia" w:ascii="宋体" w:hAnsi="Times New Roman" w:eastAsia="宋体" w:cs="Times New Roman"/>
          <w:sz w:val="18"/>
          <w:szCs w:val="18"/>
          <w:highlight w:val="none"/>
          <w:lang w:val="en-US" w:eastAsia="zh-CN" w:bidi="ar-SA"/>
        </w:rPr>
        <w:t>业务增长率是当年主营业务收入增长额与上年主营业务收入总额的比值。</w:t>
      </w:r>
    </w:p>
    <w:p w14:paraId="3B49B8BE">
      <w:pPr>
        <w:numPr>
          <w:ilvl w:val="0"/>
          <w:numId w:val="17"/>
        </w:numPr>
        <w:spacing w:before="156" w:beforeLines="50" w:after="156" w:afterLines="50"/>
        <w:jc w:val="center"/>
        <w:rPr>
          <w:rFonts w:ascii="Times New Roman" w:hAnsi="Times New Roman" w:eastAsia="黑体" w:cs="Times New Roman"/>
          <w:sz w:val="21"/>
          <w:highlight w:val="none"/>
          <w:lang w:val="en-US" w:eastAsia="zh-CN" w:bidi="ar-SA"/>
        </w:rPr>
      </w:pPr>
      <w:r>
        <w:rPr>
          <w:rFonts w:hint="eastAsia" w:ascii="Times New Roman" w:hAnsi="Times New Roman" w:eastAsia="黑体" w:cs="Times New Roman"/>
          <w:sz w:val="21"/>
          <w:highlight w:val="none"/>
          <w:lang w:val="en-US" w:eastAsia="zh-CN" w:bidi="ar-SA"/>
        </w:rPr>
        <w:t>运营效益水平</w:t>
      </w:r>
      <w:r>
        <w:rPr>
          <w:rFonts w:ascii="Times New Roman" w:hAnsi="Times New Roman" w:eastAsia="黑体" w:cs="Times New Roman"/>
          <w:sz w:val="21"/>
          <w:highlight w:val="none"/>
          <w:lang w:val="en-US" w:eastAsia="zh-CN" w:bidi="ar-SA"/>
        </w:rPr>
        <w:t>评分规则</w:t>
      </w:r>
    </w:p>
    <w:tbl>
      <w:tblPr>
        <w:tblStyle w:val="36"/>
        <w:tblW w:w="4999"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4783"/>
        <w:gridCol w:w="4785"/>
      </w:tblGrid>
      <w:tr w14:paraId="27CB1CA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2499" w:type="pct"/>
            <w:tcBorders>
              <w:bottom w:val="single" w:color="auto" w:sz="12" w:space="0"/>
            </w:tcBorders>
            <w:vAlign w:val="center"/>
          </w:tcPr>
          <w:p w14:paraId="6F04CDD4">
            <w:pPr>
              <w:keepNext w:val="0"/>
              <w:keepLines w:val="0"/>
              <w:suppressLineNumbers w:val="0"/>
              <w:autoSpaceDE w:val="0"/>
              <w:autoSpaceDN w:val="0"/>
              <w:spacing w:before="0" w:beforeAutospacing="0" w:after="0" w:afterAutospacing="0"/>
              <w:ind w:left="0" w:right="0" w:firstLine="0" w:firstLineChars="0"/>
              <w:jc w:val="center"/>
              <w:rPr>
                <w:rFonts w:hint="default" w:ascii="宋体" w:hAnsi="宋体" w:eastAsia="宋体" w:cs="宋体"/>
                <w:b/>
                <w:bCs/>
                <w:sz w:val="18"/>
                <w:szCs w:val="18"/>
                <w:highlight w:val="none"/>
                <w:lang w:val="en-US" w:eastAsia="zh-CN" w:bidi="ar-SA"/>
              </w:rPr>
            </w:pPr>
            <w:r>
              <w:rPr>
                <w:rFonts w:hint="eastAsia" w:ascii="宋体" w:hAnsi="宋体" w:eastAsia="宋体" w:cs="宋体"/>
                <w:b/>
                <w:bCs/>
                <w:sz w:val="18"/>
                <w:szCs w:val="18"/>
                <w:highlight w:val="none"/>
                <w:lang w:val="en-US" w:eastAsia="zh-CN" w:bidi="ar-SA"/>
              </w:rPr>
              <w:t>业务增长率（%）</w:t>
            </w:r>
          </w:p>
        </w:tc>
        <w:tc>
          <w:tcPr>
            <w:tcW w:w="2500" w:type="pct"/>
            <w:tcBorders>
              <w:bottom w:val="single" w:color="auto" w:sz="12" w:space="0"/>
            </w:tcBorders>
            <w:vAlign w:val="center"/>
          </w:tcPr>
          <w:p w14:paraId="4B8C3A31">
            <w:pPr>
              <w:keepNext w:val="0"/>
              <w:keepLines w:val="0"/>
              <w:suppressLineNumbers w:val="0"/>
              <w:autoSpaceDE w:val="0"/>
              <w:autoSpaceDN w:val="0"/>
              <w:spacing w:before="0" w:beforeAutospacing="0" w:after="0" w:afterAutospacing="0"/>
              <w:ind w:left="0" w:right="0" w:firstLine="0" w:firstLineChars="0"/>
              <w:jc w:val="center"/>
              <w:rPr>
                <w:rFonts w:hint="default" w:ascii="宋体" w:hAnsi="宋体" w:eastAsia="宋体" w:cs="宋体"/>
                <w:b/>
                <w:bCs/>
                <w:sz w:val="18"/>
                <w:szCs w:val="18"/>
                <w:highlight w:val="none"/>
                <w:lang w:val="en-US" w:eastAsia="zh-CN" w:bidi="ar-SA"/>
              </w:rPr>
            </w:pPr>
            <w:r>
              <w:rPr>
                <w:rFonts w:hint="eastAsia" w:ascii="宋体" w:hAnsi="宋体" w:eastAsia="宋体" w:cs="宋体"/>
                <w:b/>
                <w:bCs/>
                <w:sz w:val="18"/>
                <w:szCs w:val="18"/>
                <w:highlight w:val="none"/>
                <w:lang w:val="en-US" w:eastAsia="zh-CN" w:bidi="ar-SA"/>
              </w:rPr>
              <w:t>单项分值（分）</w:t>
            </w:r>
          </w:p>
        </w:tc>
      </w:tr>
      <w:tr w14:paraId="3E2A6F7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2499" w:type="pct"/>
            <w:tcBorders>
              <w:top w:val="single" w:color="auto" w:sz="12" w:space="0"/>
              <w:tl2br w:val="nil"/>
              <w:tr2bl w:val="nil"/>
            </w:tcBorders>
            <w:vAlign w:val="center"/>
          </w:tcPr>
          <w:p w14:paraId="1BF9B396">
            <w:pPr>
              <w:keepNext w:val="0"/>
              <w:keepLines w:val="0"/>
              <w:suppressLineNumbers w:val="0"/>
              <w:autoSpaceDE w:val="0"/>
              <w:autoSpaceDN w:val="0"/>
              <w:spacing w:before="0" w:beforeAutospacing="0" w:after="0" w:afterAutospacing="0"/>
              <w:ind w:left="0" w:right="0"/>
              <w:jc w:val="center"/>
              <w:rPr>
                <w:rFonts w:hint="default" w:ascii="宋体" w:hAnsi="宋体" w:eastAsia="宋体" w:cs="宋体"/>
                <w:sz w:val="18"/>
                <w:szCs w:val="18"/>
                <w:highlight w:val="none"/>
                <w:lang w:val="en-US" w:eastAsia="zh-CN" w:bidi="ar-SA"/>
              </w:rPr>
            </w:pPr>
            <w:r>
              <w:rPr>
                <w:rFonts w:hint="eastAsia" w:ascii="宋体" w:hAnsi="宋体" w:cs="宋体"/>
                <w:sz w:val="18"/>
                <w:szCs w:val="18"/>
                <w:highlight w:val="none"/>
              </w:rPr>
              <w:t>≥10</w:t>
            </w:r>
          </w:p>
        </w:tc>
        <w:tc>
          <w:tcPr>
            <w:tcW w:w="2500" w:type="pct"/>
            <w:tcBorders>
              <w:top w:val="single" w:color="auto" w:sz="12" w:space="0"/>
              <w:tl2br w:val="nil"/>
              <w:tr2bl w:val="nil"/>
            </w:tcBorders>
            <w:vAlign w:val="center"/>
          </w:tcPr>
          <w:p w14:paraId="4692899F">
            <w:pPr>
              <w:keepNext w:val="0"/>
              <w:keepLines w:val="0"/>
              <w:suppressLineNumbers w:val="0"/>
              <w:autoSpaceDE w:val="0"/>
              <w:autoSpaceDN w:val="0"/>
              <w:spacing w:before="0" w:beforeAutospacing="0" w:after="0" w:afterAutospacing="0"/>
              <w:ind w:left="0" w:right="0"/>
              <w:jc w:val="center"/>
              <w:rPr>
                <w:rFonts w:hint="eastAsia" w:ascii="宋体" w:hAnsi="宋体" w:eastAsia="宋体" w:cs="宋体"/>
                <w:sz w:val="18"/>
                <w:szCs w:val="18"/>
                <w:highlight w:val="none"/>
                <w:lang w:val="en-US" w:eastAsia="zh-CN" w:bidi="ar-SA"/>
              </w:rPr>
            </w:pPr>
            <w:r>
              <w:rPr>
                <w:rFonts w:hint="eastAsia" w:ascii="宋体" w:hAnsi="宋体" w:cs="宋体"/>
                <w:sz w:val="18"/>
                <w:szCs w:val="18"/>
                <w:highlight w:val="none"/>
                <w:lang w:val="en-US" w:eastAsia="zh-CN"/>
              </w:rPr>
              <w:t>4</w:t>
            </w:r>
          </w:p>
        </w:tc>
      </w:tr>
      <w:tr w14:paraId="092A95A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2499" w:type="pct"/>
            <w:tcBorders>
              <w:tl2br w:val="nil"/>
              <w:tr2bl w:val="nil"/>
            </w:tcBorders>
            <w:vAlign w:val="center"/>
          </w:tcPr>
          <w:p w14:paraId="122F937F">
            <w:pPr>
              <w:keepNext w:val="0"/>
              <w:keepLines w:val="0"/>
              <w:suppressLineNumbers w:val="0"/>
              <w:autoSpaceDE w:val="0"/>
              <w:autoSpaceDN w:val="0"/>
              <w:spacing w:before="0" w:beforeAutospacing="0" w:after="0" w:afterAutospacing="0"/>
              <w:ind w:left="0" w:right="0"/>
              <w:jc w:val="center"/>
              <w:rPr>
                <w:rFonts w:hint="eastAsia" w:ascii="宋体" w:hAnsi="宋体" w:eastAsia="宋体" w:cs="宋体"/>
                <w:sz w:val="18"/>
                <w:szCs w:val="18"/>
                <w:highlight w:val="none"/>
                <w:lang w:val="en-US" w:eastAsia="zh-CN" w:bidi="ar-SA"/>
              </w:rPr>
            </w:pPr>
            <w:r>
              <w:rPr>
                <w:rFonts w:hint="eastAsia" w:ascii="宋体" w:hAnsi="宋体" w:cs="宋体"/>
                <w:sz w:val="18"/>
                <w:szCs w:val="18"/>
                <w:highlight w:val="none"/>
              </w:rPr>
              <w:t>[5,10)</w:t>
            </w:r>
          </w:p>
        </w:tc>
        <w:tc>
          <w:tcPr>
            <w:tcW w:w="2500" w:type="pct"/>
            <w:tcBorders>
              <w:tl2br w:val="nil"/>
              <w:tr2bl w:val="nil"/>
            </w:tcBorders>
            <w:vAlign w:val="center"/>
          </w:tcPr>
          <w:p w14:paraId="161845B7">
            <w:pPr>
              <w:keepNext w:val="0"/>
              <w:keepLines w:val="0"/>
              <w:suppressLineNumbers w:val="0"/>
              <w:autoSpaceDE w:val="0"/>
              <w:autoSpaceDN w:val="0"/>
              <w:spacing w:before="0" w:beforeAutospacing="0" w:after="0" w:afterAutospacing="0"/>
              <w:ind w:left="0" w:right="0"/>
              <w:jc w:val="center"/>
              <w:rPr>
                <w:rFonts w:hint="eastAsia" w:ascii="宋体" w:hAnsi="宋体" w:eastAsia="宋体" w:cs="宋体"/>
                <w:sz w:val="18"/>
                <w:szCs w:val="18"/>
                <w:highlight w:val="none"/>
                <w:lang w:val="en-US" w:eastAsia="zh-CN" w:bidi="ar-SA"/>
              </w:rPr>
            </w:pPr>
            <w:r>
              <w:rPr>
                <w:rFonts w:hint="eastAsia" w:ascii="宋体" w:hAnsi="宋体" w:cs="宋体"/>
                <w:sz w:val="18"/>
                <w:szCs w:val="18"/>
                <w:highlight w:val="none"/>
                <w:lang w:val="en-US" w:eastAsia="zh-CN"/>
              </w:rPr>
              <w:t>2</w:t>
            </w:r>
          </w:p>
        </w:tc>
      </w:tr>
      <w:tr w14:paraId="2CB196A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2499" w:type="pct"/>
            <w:tcBorders>
              <w:tl2br w:val="nil"/>
              <w:tr2bl w:val="nil"/>
            </w:tcBorders>
            <w:vAlign w:val="center"/>
          </w:tcPr>
          <w:p w14:paraId="55F09BDB">
            <w:pPr>
              <w:keepNext w:val="0"/>
              <w:keepLines w:val="0"/>
              <w:suppressLineNumbers w:val="0"/>
              <w:autoSpaceDE w:val="0"/>
              <w:autoSpaceDN w:val="0"/>
              <w:spacing w:before="0" w:beforeAutospacing="0" w:after="0" w:afterAutospacing="0"/>
              <w:ind w:left="0" w:right="0"/>
              <w:jc w:val="center"/>
              <w:rPr>
                <w:rFonts w:hint="default" w:ascii="宋体" w:hAnsi="宋体" w:eastAsia="宋体" w:cs="宋体"/>
                <w:sz w:val="18"/>
                <w:szCs w:val="18"/>
                <w:highlight w:val="none"/>
                <w:lang w:val="en-US" w:eastAsia="zh-CN" w:bidi="ar-SA"/>
              </w:rPr>
            </w:pPr>
            <w:r>
              <w:rPr>
                <w:rFonts w:hint="eastAsia" w:ascii="宋体" w:hAnsi="宋体" w:cs="宋体"/>
                <w:sz w:val="18"/>
                <w:szCs w:val="18"/>
                <w:highlight w:val="none"/>
              </w:rPr>
              <w:t>[0,5)</w:t>
            </w:r>
          </w:p>
        </w:tc>
        <w:tc>
          <w:tcPr>
            <w:tcW w:w="2500" w:type="pct"/>
            <w:tcBorders>
              <w:tl2br w:val="nil"/>
              <w:tr2bl w:val="nil"/>
            </w:tcBorders>
            <w:vAlign w:val="center"/>
          </w:tcPr>
          <w:p w14:paraId="05FF0468">
            <w:pPr>
              <w:keepNext w:val="0"/>
              <w:keepLines w:val="0"/>
              <w:suppressLineNumbers w:val="0"/>
              <w:autoSpaceDE w:val="0"/>
              <w:autoSpaceDN w:val="0"/>
              <w:spacing w:before="0" w:beforeAutospacing="0" w:after="0" w:afterAutospacing="0"/>
              <w:ind w:left="0" w:right="0"/>
              <w:jc w:val="center"/>
              <w:rPr>
                <w:rFonts w:hint="eastAsia" w:ascii="宋体" w:hAnsi="宋体" w:eastAsia="宋体" w:cs="宋体"/>
                <w:sz w:val="18"/>
                <w:szCs w:val="18"/>
                <w:highlight w:val="none"/>
                <w:lang w:val="en-US" w:eastAsia="zh-CN" w:bidi="ar-SA"/>
              </w:rPr>
            </w:pPr>
            <w:r>
              <w:rPr>
                <w:rFonts w:hint="eastAsia" w:ascii="宋体" w:hAnsi="宋体" w:cs="宋体"/>
                <w:sz w:val="18"/>
                <w:szCs w:val="18"/>
                <w:highlight w:val="none"/>
                <w:lang w:val="en-US" w:eastAsia="zh-CN"/>
              </w:rPr>
              <w:t>1</w:t>
            </w:r>
          </w:p>
        </w:tc>
      </w:tr>
      <w:tr w14:paraId="693DE1B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2499" w:type="pct"/>
            <w:tcBorders>
              <w:tl2br w:val="nil"/>
              <w:tr2bl w:val="nil"/>
            </w:tcBorders>
            <w:vAlign w:val="center"/>
          </w:tcPr>
          <w:p w14:paraId="27E5C8A5">
            <w:pPr>
              <w:keepNext w:val="0"/>
              <w:keepLines w:val="0"/>
              <w:suppressLineNumbers w:val="0"/>
              <w:autoSpaceDE w:val="0"/>
              <w:autoSpaceDN w:val="0"/>
              <w:spacing w:before="0" w:beforeAutospacing="0" w:after="0" w:afterAutospacing="0"/>
              <w:ind w:left="0" w:right="0"/>
              <w:jc w:val="center"/>
              <w:rPr>
                <w:rFonts w:hint="eastAsia" w:ascii="宋体" w:hAnsi="宋体" w:eastAsia="宋体" w:cs="宋体"/>
                <w:sz w:val="18"/>
                <w:szCs w:val="18"/>
                <w:highlight w:val="none"/>
                <w:lang w:val="en-US" w:eastAsia="zh-CN" w:bidi="ar-SA"/>
              </w:rPr>
            </w:pPr>
            <w:r>
              <w:rPr>
                <w:rFonts w:hint="eastAsia" w:ascii="宋体" w:hAnsi="宋体" w:cs="宋体"/>
                <w:sz w:val="18"/>
                <w:szCs w:val="18"/>
                <w:highlight w:val="none"/>
              </w:rPr>
              <w:t>＜0</w:t>
            </w:r>
          </w:p>
        </w:tc>
        <w:tc>
          <w:tcPr>
            <w:tcW w:w="2500" w:type="pct"/>
            <w:tcBorders>
              <w:tl2br w:val="nil"/>
              <w:tr2bl w:val="nil"/>
            </w:tcBorders>
            <w:vAlign w:val="center"/>
          </w:tcPr>
          <w:p w14:paraId="2864AEAE">
            <w:pPr>
              <w:keepNext w:val="0"/>
              <w:keepLines w:val="0"/>
              <w:suppressLineNumbers w:val="0"/>
              <w:autoSpaceDE w:val="0"/>
              <w:autoSpaceDN w:val="0"/>
              <w:spacing w:before="0" w:beforeAutospacing="0" w:after="0" w:afterAutospacing="0"/>
              <w:ind w:left="0" w:right="0"/>
              <w:jc w:val="center"/>
              <w:rPr>
                <w:rFonts w:hint="eastAsia" w:ascii="宋体" w:hAnsi="宋体" w:eastAsia="宋体" w:cs="宋体"/>
                <w:sz w:val="18"/>
                <w:szCs w:val="18"/>
                <w:highlight w:val="none"/>
                <w:lang w:val="en-US" w:eastAsia="zh-CN" w:bidi="ar-SA"/>
              </w:rPr>
            </w:pPr>
            <w:r>
              <w:rPr>
                <w:rFonts w:hint="eastAsia" w:ascii="宋体" w:hAnsi="宋体" w:cs="宋体"/>
                <w:sz w:val="18"/>
                <w:szCs w:val="18"/>
                <w:highlight w:val="none"/>
              </w:rPr>
              <w:t>0</w:t>
            </w:r>
          </w:p>
        </w:tc>
      </w:tr>
    </w:tbl>
    <w:p w14:paraId="51A22480">
      <w:pPr>
        <w:pStyle w:val="56"/>
        <w:numPr>
          <w:ilvl w:val="3"/>
          <w:numId w:val="2"/>
        </w:numPr>
        <w:spacing w:before="156" w:after="156"/>
        <w:rPr>
          <w:rFonts w:ascii="Times New Roman"/>
          <w:highlight w:val="none"/>
        </w:rPr>
      </w:pPr>
      <w:r>
        <w:rPr>
          <w:rFonts w:ascii="Times New Roman"/>
          <w:highlight w:val="none"/>
        </w:rPr>
        <w:t>市场影响</w:t>
      </w:r>
    </w:p>
    <w:p w14:paraId="46FC7ECE">
      <w:pPr>
        <w:pStyle w:val="60"/>
        <w:spacing w:before="156" w:after="156"/>
        <w:rPr>
          <w:rFonts w:ascii="Times New Roman"/>
          <w:highlight w:val="none"/>
        </w:rPr>
      </w:pPr>
      <w:r>
        <w:rPr>
          <w:rFonts w:ascii="Times New Roman"/>
          <w:highlight w:val="none"/>
        </w:rPr>
        <w:t>市场竞争力</w:t>
      </w:r>
    </w:p>
    <w:p w14:paraId="62001904">
      <w:pPr>
        <w:pStyle w:val="26"/>
        <w:rPr>
          <w:rFonts w:ascii="Times New Roman"/>
          <w:highlight w:val="none"/>
        </w:rPr>
      </w:pPr>
      <w:r>
        <w:rPr>
          <w:rFonts w:hint="eastAsia" w:hAnsi="宋体" w:cs="宋体"/>
          <w:highlight w:val="none"/>
        </w:rPr>
        <w:t>从</w:t>
      </w:r>
      <w:r>
        <w:rPr>
          <w:rFonts w:hint="eastAsia" w:hAnsi="宋体" w:cs="宋体"/>
          <w:highlight w:val="none"/>
          <w:lang w:val="en-US" w:eastAsia="zh-CN"/>
        </w:rPr>
        <w:t>温室气体控制领域相关产品或服务</w:t>
      </w:r>
      <w:r>
        <w:rPr>
          <w:rFonts w:hint="eastAsia" w:hAnsi="宋体" w:cs="宋体"/>
          <w:highlight w:val="none"/>
        </w:rPr>
        <w:t>的市场占有率、稳定提供</w:t>
      </w:r>
      <w:r>
        <w:rPr>
          <w:rFonts w:hint="eastAsia" w:hAnsi="宋体" w:cs="宋体"/>
          <w:highlight w:val="none"/>
          <w:lang w:val="en-US" w:eastAsia="zh-CN"/>
        </w:rPr>
        <w:t>温室气体控制领域</w:t>
      </w:r>
      <w:r>
        <w:rPr>
          <w:rFonts w:hint="eastAsia" w:hAnsi="宋体" w:cs="宋体"/>
          <w:highlight w:val="none"/>
        </w:rPr>
        <w:t>相关产品或服务的年限等方面进行综合评价，具体评分规则见表</w:t>
      </w:r>
      <w:r>
        <w:rPr>
          <w:rFonts w:hint="eastAsia" w:hAnsi="宋体" w:cs="宋体"/>
          <w:highlight w:val="none"/>
          <w:lang w:val="en-US" w:eastAsia="zh-CN"/>
        </w:rPr>
        <w:t>9</w:t>
      </w:r>
      <w:r>
        <w:rPr>
          <w:rFonts w:hint="eastAsia" w:hAnsi="宋体" w:cs="宋体"/>
          <w:highlight w:val="none"/>
        </w:rPr>
        <w:t>。优质中小企业在实际得分基础上增加15%的得分，最高得分不超过该项指标总分。</w:t>
      </w:r>
    </w:p>
    <w:p w14:paraId="0F6E8399">
      <w:pPr>
        <w:pStyle w:val="131"/>
        <w:rPr>
          <w:rFonts w:ascii="Times New Roman"/>
          <w:highlight w:val="none"/>
        </w:rPr>
      </w:pPr>
      <w:r>
        <w:rPr>
          <w:rFonts w:ascii="Times New Roman"/>
          <w:highlight w:val="none"/>
        </w:rPr>
        <w:t>市场竞争力评分规则</w:t>
      </w:r>
    </w:p>
    <w:tbl>
      <w:tblPr>
        <w:tblStyle w:val="36"/>
        <w:tblW w:w="4994"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2942"/>
        <w:gridCol w:w="1511"/>
        <w:gridCol w:w="2301"/>
        <w:gridCol w:w="1588"/>
        <w:gridCol w:w="1217"/>
      </w:tblGrid>
      <w:tr w14:paraId="48DE8BB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538" w:type="pct"/>
            <w:tcBorders>
              <w:bottom w:val="single" w:color="auto" w:sz="12" w:space="0"/>
            </w:tcBorders>
            <w:vAlign w:val="center"/>
          </w:tcPr>
          <w:p w14:paraId="5106964D">
            <w:pPr>
              <w:pStyle w:val="26"/>
              <w:keepNext w:val="0"/>
              <w:keepLines w:val="0"/>
              <w:widowControl/>
              <w:suppressLineNumbers w:val="0"/>
              <w:adjustRightInd w:val="0"/>
              <w:spacing w:before="0" w:beforeAutospacing="0" w:after="0" w:afterAutospacing="0"/>
              <w:ind w:left="0" w:right="0" w:firstLine="0" w:firstLineChars="0"/>
              <w:jc w:val="center"/>
              <w:rPr>
                <w:rFonts w:hint="default" w:ascii="Times New Roman"/>
                <w:b/>
                <w:bCs/>
                <w:sz w:val="18"/>
                <w:szCs w:val="18"/>
                <w:highlight w:val="none"/>
              </w:rPr>
            </w:pPr>
            <w:r>
              <w:rPr>
                <w:rFonts w:hint="default" w:ascii="Times New Roman"/>
                <w:b/>
                <w:bCs/>
                <w:sz w:val="18"/>
                <w:szCs w:val="18"/>
                <w:highlight w:val="none"/>
              </w:rPr>
              <w:t>市场占有</w:t>
            </w:r>
            <w:r>
              <w:rPr>
                <w:rFonts w:hint="eastAsia" w:ascii="Times New Roman"/>
                <w:b/>
                <w:bCs/>
                <w:sz w:val="18"/>
                <w:szCs w:val="18"/>
                <w:highlight w:val="none"/>
              </w:rPr>
              <w:t>率</w:t>
            </w:r>
          </w:p>
        </w:tc>
        <w:tc>
          <w:tcPr>
            <w:tcW w:w="790" w:type="pct"/>
            <w:tcBorders>
              <w:bottom w:val="single" w:color="auto" w:sz="12" w:space="0"/>
            </w:tcBorders>
            <w:vAlign w:val="center"/>
          </w:tcPr>
          <w:p w14:paraId="24701183">
            <w:pPr>
              <w:pStyle w:val="26"/>
              <w:keepNext w:val="0"/>
              <w:keepLines w:val="0"/>
              <w:widowControl/>
              <w:suppressLineNumbers w:val="0"/>
              <w:adjustRightInd w:val="0"/>
              <w:spacing w:before="0" w:beforeAutospacing="0" w:after="0" w:afterAutospacing="0"/>
              <w:ind w:left="0" w:right="0" w:firstLine="0" w:firstLineChars="0"/>
              <w:jc w:val="center"/>
              <w:rPr>
                <w:rFonts w:hint="default" w:ascii="Times New Roman"/>
                <w:b/>
                <w:bCs/>
                <w:sz w:val="18"/>
                <w:szCs w:val="18"/>
                <w:highlight w:val="none"/>
              </w:rPr>
            </w:pPr>
            <w:r>
              <w:rPr>
                <w:rFonts w:hint="default" w:ascii="Times New Roman"/>
                <w:b/>
                <w:bCs/>
                <w:sz w:val="18"/>
                <w:szCs w:val="18"/>
                <w:highlight w:val="none"/>
              </w:rPr>
              <w:t>单项分值</w:t>
            </w:r>
            <w:r>
              <w:rPr>
                <w:rFonts w:hint="eastAsia" w:ascii="Times New Roman"/>
                <w:b/>
                <w:bCs/>
                <w:sz w:val="18"/>
                <w:szCs w:val="18"/>
                <w:highlight w:val="none"/>
              </w:rPr>
              <w:t>（分）</w:t>
            </w:r>
          </w:p>
        </w:tc>
        <w:tc>
          <w:tcPr>
            <w:tcW w:w="1203" w:type="pct"/>
            <w:tcBorders>
              <w:bottom w:val="single" w:color="auto" w:sz="12" w:space="0"/>
            </w:tcBorders>
            <w:vAlign w:val="center"/>
          </w:tcPr>
          <w:p w14:paraId="62C49857">
            <w:pPr>
              <w:pStyle w:val="26"/>
              <w:keepNext w:val="0"/>
              <w:keepLines w:val="0"/>
              <w:widowControl/>
              <w:suppressLineNumbers w:val="0"/>
              <w:adjustRightInd w:val="0"/>
              <w:spacing w:before="0" w:beforeAutospacing="0" w:after="0" w:afterAutospacing="0"/>
              <w:ind w:left="0" w:right="0" w:firstLine="0" w:firstLineChars="0"/>
              <w:jc w:val="center"/>
              <w:rPr>
                <w:rFonts w:hint="default" w:ascii="Times New Roman"/>
                <w:b/>
                <w:bCs/>
                <w:sz w:val="18"/>
                <w:szCs w:val="18"/>
                <w:highlight w:val="none"/>
              </w:rPr>
            </w:pPr>
            <w:r>
              <w:rPr>
                <w:rFonts w:hint="default" w:ascii="Times New Roman"/>
                <w:b/>
                <w:bCs/>
                <w:sz w:val="18"/>
                <w:szCs w:val="18"/>
                <w:highlight w:val="none"/>
              </w:rPr>
              <w:t>稳定提供产品或服务年限</w:t>
            </w:r>
          </w:p>
        </w:tc>
        <w:tc>
          <w:tcPr>
            <w:tcW w:w="830" w:type="pct"/>
            <w:tcBorders>
              <w:bottom w:val="single" w:color="auto" w:sz="12" w:space="0"/>
            </w:tcBorders>
            <w:vAlign w:val="center"/>
          </w:tcPr>
          <w:p w14:paraId="0CB5FEF8">
            <w:pPr>
              <w:pStyle w:val="26"/>
              <w:keepNext w:val="0"/>
              <w:keepLines w:val="0"/>
              <w:widowControl/>
              <w:suppressLineNumbers w:val="0"/>
              <w:adjustRightInd w:val="0"/>
              <w:spacing w:before="0" w:beforeAutospacing="0" w:after="0" w:afterAutospacing="0"/>
              <w:ind w:left="0" w:right="0" w:firstLine="0" w:firstLineChars="0"/>
              <w:jc w:val="center"/>
              <w:rPr>
                <w:rFonts w:hint="default" w:ascii="Times New Roman"/>
                <w:b/>
                <w:bCs/>
                <w:sz w:val="18"/>
                <w:szCs w:val="18"/>
                <w:highlight w:val="none"/>
              </w:rPr>
            </w:pPr>
            <w:r>
              <w:rPr>
                <w:rFonts w:hint="default" w:ascii="Times New Roman"/>
                <w:b/>
                <w:bCs/>
                <w:sz w:val="18"/>
                <w:szCs w:val="18"/>
                <w:highlight w:val="none"/>
              </w:rPr>
              <w:t>单项分值</w:t>
            </w:r>
            <w:r>
              <w:rPr>
                <w:rFonts w:hint="eastAsia" w:ascii="Times New Roman"/>
                <w:b/>
                <w:bCs/>
                <w:sz w:val="18"/>
                <w:szCs w:val="18"/>
                <w:highlight w:val="none"/>
              </w:rPr>
              <w:t>（分）</w:t>
            </w:r>
          </w:p>
        </w:tc>
        <w:tc>
          <w:tcPr>
            <w:tcW w:w="636" w:type="pct"/>
            <w:tcBorders>
              <w:bottom w:val="single" w:color="auto" w:sz="12" w:space="0"/>
            </w:tcBorders>
            <w:vAlign w:val="center"/>
          </w:tcPr>
          <w:p w14:paraId="2FCC257C">
            <w:pPr>
              <w:pStyle w:val="26"/>
              <w:keepNext w:val="0"/>
              <w:keepLines w:val="0"/>
              <w:widowControl/>
              <w:suppressLineNumbers w:val="0"/>
              <w:adjustRightInd w:val="0"/>
              <w:spacing w:before="0" w:beforeAutospacing="0" w:after="0" w:afterAutospacing="0"/>
              <w:ind w:left="0" w:right="0" w:firstLine="0" w:firstLineChars="0"/>
              <w:jc w:val="center"/>
              <w:rPr>
                <w:rFonts w:hint="default" w:ascii="Times New Roman"/>
                <w:b/>
                <w:bCs/>
                <w:sz w:val="18"/>
                <w:szCs w:val="18"/>
                <w:highlight w:val="none"/>
              </w:rPr>
            </w:pPr>
            <w:r>
              <w:rPr>
                <w:rFonts w:hint="default" w:ascii="Times New Roman"/>
                <w:b/>
                <w:bCs/>
                <w:sz w:val="18"/>
                <w:szCs w:val="18"/>
                <w:highlight w:val="none"/>
              </w:rPr>
              <w:t>分值</w:t>
            </w:r>
            <w:r>
              <w:rPr>
                <w:rFonts w:hint="eastAsia" w:ascii="Times New Roman"/>
                <w:b/>
                <w:bCs/>
                <w:sz w:val="18"/>
                <w:szCs w:val="18"/>
                <w:highlight w:val="none"/>
              </w:rPr>
              <w:t>（分）</w:t>
            </w:r>
          </w:p>
        </w:tc>
      </w:tr>
      <w:tr w14:paraId="5A6BE6C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538" w:type="pct"/>
            <w:tcBorders>
              <w:top w:val="single" w:color="auto" w:sz="12" w:space="0"/>
              <w:tl2br w:val="nil"/>
              <w:tr2bl w:val="nil"/>
            </w:tcBorders>
            <w:vAlign w:val="center"/>
          </w:tcPr>
          <w:p w14:paraId="68BCD836">
            <w:pPr>
              <w:pStyle w:val="26"/>
              <w:keepNext w:val="0"/>
              <w:keepLines w:val="0"/>
              <w:widowControl/>
              <w:suppressLineNumbers w:val="0"/>
              <w:adjustRightInd w:val="0"/>
              <w:spacing w:before="0" w:beforeAutospacing="0" w:after="0" w:afterAutospacing="0"/>
              <w:ind w:left="0" w:right="0" w:firstLine="0" w:firstLineChars="0"/>
              <w:jc w:val="center"/>
              <w:rPr>
                <w:rFonts w:hint="default" w:hAnsi="宋体" w:cs="宋体"/>
                <w:color w:val="auto"/>
                <w:sz w:val="18"/>
                <w:szCs w:val="18"/>
                <w:highlight w:val="none"/>
              </w:rPr>
            </w:pPr>
            <w:r>
              <w:rPr>
                <w:rFonts w:hint="eastAsia" w:hAnsi="宋体" w:cs="宋体"/>
                <w:color w:val="auto"/>
                <w:sz w:val="18"/>
                <w:szCs w:val="18"/>
                <w:highlight w:val="none"/>
              </w:rPr>
              <w:t>行业内市场占有率处于较高水平</w:t>
            </w:r>
          </w:p>
        </w:tc>
        <w:tc>
          <w:tcPr>
            <w:tcW w:w="790" w:type="pct"/>
            <w:tcBorders>
              <w:top w:val="single" w:color="auto" w:sz="12" w:space="0"/>
              <w:tl2br w:val="nil"/>
              <w:tr2bl w:val="nil"/>
            </w:tcBorders>
            <w:vAlign w:val="center"/>
          </w:tcPr>
          <w:p w14:paraId="3DDC871A">
            <w:pPr>
              <w:pStyle w:val="26"/>
              <w:keepNext w:val="0"/>
              <w:keepLines w:val="0"/>
              <w:widowControl/>
              <w:suppressLineNumbers w:val="0"/>
              <w:adjustRightInd w:val="0"/>
              <w:spacing w:before="0" w:beforeAutospacing="0" w:after="0" w:afterAutospacing="0"/>
              <w:ind w:left="0" w:right="0" w:firstLine="0" w:firstLineChars="0"/>
              <w:jc w:val="center"/>
              <w:rPr>
                <w:rFonts w:hint="default" w:hAnsi="宋体" w:cs="宋体"/>
                <w:sz w:val="18"/>
                <w:szCs w:val="18"/>
                <w:highlight w:val="none"/>
              </w:rPr>
            </w:pPr>
            <w:r>
              <w:rPr>
                <w:rFonts w:hint="eastAsia" w:hAnsi="宋体" w:cs="宋体"/>
                <w:sz w:val="18"/>
                <w:szCs w:val="18"/>
                <w:highlight w:val="none"/>
              </w:rPr>
              <w:t>(3,5]</w:t>
            </w:r>
          </w:p>
        </w:tc>
        <w:tc>
          <w:tcPr>
            <w:tcW w:w="1203" w:type="pct"/>
            <w:tcBorders>
              <w:top w:val="single" w:color="auto" w:sz="12" w:space="0"/>
              <w:tl2br w:val="nil"/>
              <w:tr2bl w:val="nil"/>
            </w:tcBorders>
            <w:vAlign w:val="center"/>
          </w:tcPr>
          <w:p w14:paraId="12AB586B">
            <w:pPr>
              <w:pStyle w:val="26"/>
              <w:keepNext w:val="0"/>
              <w:keepLines w:val="0"/>
              <w:widowControl/>
              <w:suppressLineNumbers w:val="0"/>
              <w:adjustRightInd w:val="0"/>
              <w:spacing w:before="0" w:beforeAutospacing="0" w:after="0" w:afterAutospacing="0"/>
              <w:ind w:left="0" w:right="0" w:firstLine="0" w:firstLineChars="0"/>
              <w:jc w:val="center"/>
              <w:rPr>
                <w:rFonts w:hint="eastAsia" w:hAnsi="宋体" w:eastAsia="宋体" w:cs="宋体"/>
                <w:sz w:val="18"/>
                <w:szCs w:val="18"/>
                <w:highlight w:val="none"/>
                <w:lang w:eastAsia="zh-CN"/>
              </w:rPr>
            </w:pPr>
            <w:r>
              <w:rPr>
                <w:rFonts w:hint="eastAsia" w:hAnsi="宋体" w:cs="宋体"/>
                <w:sz w:val="18"/>
                <w:szCs w:val="18"/>
                <w:highlight w:val="none"/>
              </w:rPr>
              <w:t>＞</w:t>
            </w:r>
            <w:r>
              <w:rPr>
                <w:rFonts w:hint="eastAsia" w:hAnsi="宋体" w:cs="宋体"/>
                <w:sz w:val="18"/>
                <w:szCs w:val="18"/>
                <w:highlight w:val="none"/>
                <w:lang w:val="en-US" w:eastAsia="zh-CN"/>
              </w:rPr>
              <w:t>5</w:t>
            </w:r>
          </w:p>
        </w:tc>
        <w:tc>
          <w:tcPr>
            <w:tcW w:w="830" w:type="pct"/>
            <w:tcBorders>
              <w:top w:val="single" w:color="auto" w:sz="12" w:space="0"/>
              <w:tl2br w:val="nil"/>
              <w:tr2bl w:val="nil"/>
            </w:tcBorders>
            <w:vAlign w:val="center"/>
          </w:tcPr>
          <w:p w14:paraId="6AF53CDB">
            <w:pPr>
              <w:pStyle w:val="26"/>
              <w:keepNext w:val="0"/>
              <w:keepLines w:val="0"/>
              <w:widowControl/>
              <w:suppressLineNumbers w:val="0"/>
              <w:adjustRightInd w:val="0"/>
              <w:spacing w:before="0" w:beforeAutospacing="0" w:after="0" w:afterAutospacing="0"/>
              <w:ind w:left="0" w:right="0" w:firstLine="0" w:firstLineChars="0"/>
              <w:jc w:val="center"/>
              <w:rPr>
                <w:rFonts w:hint="default" w:hAnsi="宋体" w:cs="宋体"/>
                <w:sz w:val="18"/>
                <w:szCs w:val="18"/>
                <w:highlight w:val="none"/>
              </w:rPr>
            </w:pPr>
            <w:r>
              <w:rPr>
                <w:rFonts w:hint="eastAsia" w:hAnsi="宋体" w:cs="宋体"/>
                <w:sz w:val="18"/>
                <w:szCs w:val="18"/>
                <w:highlight w:val="none"/>
              </w:rPr>
              <w:t>3</w:t>
            </w:r>
          </w:p>
        </w:tc>
        <w:tc>
          <w:tcPr>
            <w:tcW w:w="636" w:type="pct"/>
            <w:vMerge w:val="restart"/>
            <w:tcBorders>
              <w:top w:val="single" w:color="auto" w:sz="12" w:space="0"/>
              <w:tl2br w:val="nil"/>
              <w:tr2bl w:val="nil"/>
            </w:tcBorders>
            <w:vAlign w:val="center"/>
          </w:tcPr>
          <w:p w14:paraId="529A27E8">
            <w:pPr>
              <w:pStyle w:val="26"/>
              <w:keepNext w:val="0"/>
              <w:keepLines w:val="0"/>
              <w:widowControl/>
              <w:suppressLineNumbers w:val="0"/>
              <w:adjustRightInd w:val="0"/>
              <w:spacing w:before="0" w:beforeAutospacing="0" w:after="0" w:afterAutospacing="0"/>
              <w:ind w:left="0" w:right="0" w:firstLine="0" w:firstLineChars="0"/>
              <w:rPr>
                <w:rFonts w:hint="default" w:hAnsi="宋体" w:cs="宋体"/>
                <w:sz w:val="18"/>
                <w:szCs w:val="18"/>
                <w:highlight w:val="none"/>
              </w:rPr>
            </w:pPr>
            <w:r>
              <w:rPr>
                <w:rFonts w:hint="eastAsia" w:hAnsi="宋体" w:cs="宋体"/>
                <w:sz w:val="18"/>
                <w:szCs w:val="18"/>
                <w:highlight w:val="none"/>
              </w:rPr>
              <w:t>该项得分为两项指标累计得分</w:t>
            </w:r>
          </w:p>
        </w:tc>
      </w:tr>
      <w:tr w14:paraId="3B7FEBF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538" w:type="pct"/>
            <w:tcBorders>
              <w:tl2br w:val="nil"/>
              <w:tr2bl w:val="nil"/>
            </w:tcBorders>
            <w:vAlign w:val="center"/>
          </w:tcPr>
          <w:p w14:paraId="49A12A7A">
            <w:pPr>
              <w:pStyle w:val="26"/>
              <w:keepNext w:val="0"/>
              <w:keepLines w:val="0"/>
              <w:widowControl/>
              <w:suppressLineNumbers w:val="0"/>
              <w:adjustRightInd w:val="0"/>
              <w:spacing w:before="0" w:beforeAutospacing="0" w:after="0" w:afterAutospacing="0"/>
              <w:ind w:left="0" w:right="0" w:firstLine="0" w:firstLineChars="0"/>
              <w:jc w:val="center"/>
              <w:rPr>
                <w:rFonts w:hint="default" w:hAnsi="宋体" w:cs="宋体"/>
                <w:color w:val="auto"/>
                <w:sz w:val="18"/>
                <w:szCs w:val="18"/>
                <w:highlight w:val="none"/>
              </w:rPr>
            </w:pPr>
            <w:r>
              <w:rPr>
                <w:rFonts w:hint="eastAsia" w:hAnsi="宋体" w:cs="宋体"/>
                <w:color w:val="auto"/>
                <w:sz w:val="18"/>
                <w:szCs w:val="18"/>
                <w:highlight w:val="none"/>
              </w:rPr>
              <w:t>行业内市场占有率处于中等水平</w:t>
            </w:r>
          </w:p>
        </w:tc>
        <w:tc>
          <w:tcPr>
            <w:tcW w:w="790" w:type="pct"/>
            <w:tcBorders>
              <w:tl2br w:val="nil"/>
              <w:tr2bl w:val="nil"/>
            </w:tcBorders>
            <w:vAlign w:val="center"/>
          </w:tcPr>
          <w:p w14:paraId="0BB86693">
            <w:pPr>
              <w:pStyle w:val="26"/>
              <w:keepNext w:val="0"/>
              <w:keepLines w:val="0"/>
              <w:widowControl/>
              <w:suppressLineNumbers w:val="0"/>
              <w:adjustRightInd w:val="0"/>
              <w:spacing w:before="0" w:beforeAutospacing="0" w:after="0" w:afterAutospacing="0"/>
              <w:ind w:left="0" w:right="0" w:firstLine="0" w:firstLineChars="0"/>
              <w:jc w:val="center"/>
              <w:rPr>
                <w:rFonts w:hint="default" w:hAnsi="宋体" w:cs="宋体"/>
                <w:sz w:val="18"/>
                <w:szCs w:val="18"/>
                <w:highlight w:val="none"/>
              </w:rPr>
            </w:pPr>
            <w:r>
              <w:rPr>
                <w:rFonts w:hint="eastAsia" w:hAnsi="宋体" w:cs="宋体"/>
                <w:sz w:val="18"/>
                <w:szCs w:val="18"/>
                <w:highlight w:val="none"/>
              </w:rPr>
              <w:t>(1,3]</w:t>
            </w:r>
          </w:p>
        </w:tc>
        <w:tc>
          <w:tcPr>
            <w:tcW w:w="1203" w:type="pct"/>
            <w:tcBorders>
              <w:tl2br w:val="nil"/>
              <w:tr2bl w:val="nil"/>
            </w:tcBorders>
            <w:vAlign w:val="center"/>
          </w:tcPr>
          <w:p w14:paraId="0B60B807">
            <w:pPr>
              <w:pStyle w:val="26"/>
              <w:keepNext w:val="0"/>
              <w:keepLines w:val="0"/>
              <w:widowControl/>
              <w:suppressLineNumbers w:val="0"/>
              <w:adjustRightInd w:val="0"/>
              <w:spacing w:before="0" w:beforeAutospacing="0" w:after="0" w:afterAutospacing="0"/>
              <w:ind w:left="0" w:right="0" w:firstLine="0" w:firstLineChars="0"/>
              <w:jc w:val="center"/>
              <w:rPr>
                <w:rFonts w:hint="default" w:hAnsi="宋体" w:cs="宋体"/>
                <w:sz w:val="18"/>
                <w:szCs w:val="18"/>
                <w:highlight w:val="none"/>
              </w:rPr>
            </w:pPr>
            <w:r>
              <w:rPr>
                <w:rFonts w:hint="eastAsia" w:hAnsi="宋体" w:cs="宋体"/>
                <w:sz w:val="18"/>
                <w:szCs w:val="18"/>
                <w:highlight w:val="none"/>
              </w:rPr>
              <w:t>(</w:t>
            </w:r>
            <w:r>
              <w:rPr>
                <w:rFonts w:hint="eastAsia" w:hAnsi="宋体" w:cs="宋体"/>
                <w:sz w:val="18"/>
                <w:szCs w:val="18"/>
                <w:highlight w:val="none"/>
                <w:lang w:val="en-US" w:eastAsia="zh-CN"/>
              </w:rPr>
              <w:t>2</w:t>
            </w:r>
            <w:r>
              <w:rPr>
                <w:rFonts w:hint="eastAsia" w:hAnsi="宋体" w:cs="宋体"/>
                <w:sz w:val="18"/>
                <w:szCs w:val="18"/>
                <w:highlight w:val="none"/>
              </w:rPr>
              <w:t>,</w:t>
            </w:r>
            <w:r>
              <w:rPr>
                <w:rFonts w:hint="eastAsia" w:hAnsi="宋体" w:cs="宋体"/>
                <w:sz w:val="18"/>
                <w:szCs w:val="18"/>
                <w:highlight w:val="none"/>
                <w:lang w:val="en-US" w:eastAsia="zh-CN"/>
              </w:rPr>
              <w:t>5</w:t>
            </w:r>
            <w:r>
              <w:rPr>
                <w:rFonts w:hint="eastAsia" w:hAnsi="宋体" w:cs="宋体"/>
                <w:sz w:val="18"/>
                <w:szCs w:val="18"/>
                <w:highlight w:val="none"/>
              </w:rPr>
              <w:t>]</w:t>
            </w:r>
          </w:p>
        </w:tc>
        <w:tc>
          <w:tcPr>
            <w:tcW w:w="830" w:type="pct"/>
            <w:tcBorders>
              <w:tl2br w:val="nil"/>
              <w:tr2bl w:val="nil"/>
            </w:tcBorders>
            <w:vAlign w:val="center"/>
          </w:tcPr>
          <w:p w14:paraId="60A690BA">
            <w:pPr>
              <w:pStyle w:val="26"/>
              <w:keepNext w:val="0"/>
              <w:keepLines w:val="0"/>
              <w:widowControl/>
              <w:suppressLineNumbers w:val="0"/>
              <w:adjustRightInd w:val="0"/>
              <w:spacing w:before="0" w:beforeAutospacing="0" w:after="0" w:afterAutospacing="0"/>
              <w:ind w:left="0" w:right="0" w:firstLine="0" w:firstLineChars="0"/>
              <w:jc w:val="center"/>
              <w:rPr>
                <w:rFonts w:hint="default" w:hAnsi="宋体" w:cs="宋体"/>
                <w:sz w:val="18"/>
                <w:szCs w:val="18"/>
                <w:highlight w:val="none"/>
              </w:rPr>
            </w:pPr>
            <w:r>
              <w:rPr>
                <w:rFonts w:hint="eastAsia" w:hAnsi="宋体" w:cs="宋体"/>
                <w:sz w:val="18"/>
                <w:szCs w:val="18"/>
                <w:highlight w:val="none"/>
              </w:rPr>
              <w:t>2</w:t>
            </w:r>
          </w:p>
        </w:tc>
        <w:tc>
          <w:tcPr>
            <w:tcW w:w="636" w:type="pct"/>
            <w:vMerge w:val="continue"/>
            <w:tcBorders>
              <w:tl2br w:val="nil"/>
              <w:tr2bl w:val="nil"/>
            </w:tcBorders>
            <w:vAlign w:val="center"/>
          </w:tcPr>
          <w:p w14:paraId="4B61CB16">
            <w:pPr>
              <w:pStyle w:val="26"/>
              <w:keepNext w:val="0"/>
              <w:keepLines w:val="0"/>
              <w:widowControl/>
              <w:suppressLineNumbers w:val="0"/>
              <w:adjustRightInd w:val="0"/>
              <w:spacing w:before="0" w:beforeAutospacing="0" w:after="0" w:afterAutospacing="0"/>
              <w:ind w:left="0" w:right="0" w:firstLine="0" w:firstLineChars="0"/>
              <w:rPr>
                <w:rFonts w:hint="default" w:hAnsi="宋体" w:cs="宋体"/>
                <w:sz w:val="18"/>
                <w:szCs w:val="18"/>
                <w:highlight w:val="none"/>
              </w:rPr>
            </w:pPr>
          </w:p>
        </w:tc>
      </w:tr>
      <w:tr w14:paraId="4B5ACEF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538" w:type="pct"/>
            <w:tcBorders>
              <w:tl2br w:val="nil"/>
              <w:tr2bl w:val="nil"/>
            </w:tcBorders>
            <w:vAlign w:val="center"/>
          </w:tcPr>
          <w:p w14:paraId="300226EC">
            <w:pPr>
              <w:pStyle w:val="26"/>
              <w:keepNext w:val="0"/>
              <w:keepLines w:val="0"/>
              <w:widowControl/>
              <w:suppressLineNumbers w:val="0"/>
              <w:adjustRightInd w:val="0"/>
              <w:spacing w:before="0" w:beforeAutospacing="0" w:after="0" w:afterAutospacing="0"/>
              <w:ind w:left="0" w:right="0" w:firstLine="0" w:firstLineChars="0"/>
              <w:jc w:val="center"/>
              <w:rPr>
                <w:rFonts w:hint="default" w:hAnsi="宋体" w:cs="宋体"/>
                <w:color w:val="auto"/>
                <w:sz w:val="18"/>
                <w:szCs w:val="18"/>
                <w:highlight w:val="none"/>
              </w:rPr>
            </w:pPr>
            <w:r>
              <w:rPr>
                <w:rFonts w:hint="eastAsia" w:hAnsi="宋体" w:cs="宋体"/>
                <w:color w:val="auto"/>
                <w:sz w:val="18"/>
                <w:szCs w:val="18"/>
                <w:highlight w:val="none"/>
              </w:rPr>
              <w:t>行业内市场占有率处于一般水平</w:t>
            </w:r>
          </w:p>
        </w:tc>
        <w:tc>
          <w:tcPr>
            <w:tcW w:w="790" w:type="pct"/>
            <w:tcBorders>
              <w:tl2br w:val="nil"/>
              <w:tr2bl w:val="nil"/>
            </w:tcBorders>
            <w:vAlign w:val="center"/>
          </w:tcPr>
          <w:p w14:paraId="24328F33">
            <w:pPr>
              <w:pStyle w:val="26"/>
              <w:keepNext w:val="0"/>
              <w:keepLines w:val="0"/>
              <w:widowControl/>
              <w:suppressLineNumbers w:val="0"/>
              <w:adjustRightInd w:val="0"/>
              <w:spacing w:before="0" w:beforeAutospacing="0" w:after="0" w:afterAutospacing="0"/>
              <w:ind w:left="0" w:right="0" w:firstLine="0" w:firstLineChars="0"/>
              <w:jc w:val="center"/>
              <w:rPr>
                <w:rFonts w:hint="default" w:hAnsi="宋体" w:cs="宋体"/>
                <w:sz w:val="18"/>
                <w:szCs w:val="18"/>
                <w:highlight w:val="none"/>
              </w:rPr>
            </w:pPr>
            <w:r>
              <w:rPr>
                <w:rFonts w:hint="eastAsia" w:hAnsi="宋体" w:cs="宋体"/>
                <w:sz w:val="18"/>
                <w:szCs w:val="18"/>
                <w:highlight w:val="none"/>
              </w:rPr>
              <w:t>[0,1]</w:t>
            </w:r>
          </w:p>
        </w:tc>
        <w:tc>
          <w:tcPr>
            <w:tcW w:w="1203" w:type="pct"/>
            <w:tcBorders>
              <w:tl2br w:val="nil"/>
              <w:tr2bl w:val="nil"/>
            </w:tcBorders>
            <w:vAlign w:val="center"/>
          </w:tcPr>
          <w:p w14:paraId="3A389F66">
            <w:pPr>
              <w:pStyle w:val="26"/>
              <w:keepNext w:val="0"/>
              <w:keepLines w:val="0"/>
              <w:widowControl/>
              <w:suppressLineNumbers w:val="0"/>
              <w:adjustRightInd w:val="0"/>
              <w:spacing w:before="0" w:beforeAutospacing="0" w:after="0" w:afterAutospacing="0"/>
              <w:ind w:left="0" w:right="0" w:firstLine="0" w:firstLineChars="0"/>
              <w:jc w:val="center"/>
              <w:rPr>
                <w:rFonts w:hint="default" w:hAnsi="宋体" w:cs="宋体"/>
                <w:sz w:val="18"/>
                <w:szCs w:val="18"/>
                <w:highlight w:val="none"/>
              </w:rPr>
            </w:pPr>
            <w:r>
              <w:rPr>
                <w:rFonts w:hint="eastAsia" w:hAnsi="宋体" w:cs="宋体"/>
                <w:sz w:val="18"/>
                <w:szCs w:val="18"/>
                <w:highlight w:val="none"/>
              </w:rPr>
              <w:t>(</w:t>
            </w:r>
            <w:r>
              <w:rPr>
                <w:rFonts w:hint="eastAsia" w:hAnsi="宋体" w:cs="宋体"/>
                <w:sz w:val="18"/>
                <w:szCs w:val="18"/>
                <w:highlight w:val="none"/>
                <w:lang w:val="en-US" w:eastAsia="zh-CN"/>
              </w:rPr>
              <w:t>1</w:t>
            </w:r>
            <w:r>
              <w:rPr>
                <w:rFonts w:hint="eastAsia" w:hAnsi="宋体" w:cs="宋体"/>
                <w:sz w:val="18"/>
                <w:szCs w:val="18"/>
                <w:highlight w:val="none"/>
              </w:rPr>
              <w:t>,</w:t>
            </w:r>
            <w:r>
              <w:rPr>
                <w:rFonts w:hint="eastAsia" w:hAnsi="宋体" w:cs="宋体"/>
                <w:sz w:val="18"/>
                <w:szCs w:val="18"/>
                <w:highlight w:val="none"/>
                <w:lang w:val="en-US" w:eastAsia="zh-CN"/>
              </w:rPr>
              <w:t>2</w:t>
            </w:r>
            <w:r>
              <w:rPr>
                <w:rFonts w:hint="eastAsia" w:hAnsi="宋体" w:cs="宋体"/>
                <w:sz w:val="18"/>
                <w:szCs w:val="18"/>
                <w:highlight w:val="none"/>
              </w:rPr>
              <w:t>]</w:t>
            </w:r>
          </w:p>
        </w:tc>
        <w:tc>
          <w:tcPr>
            <w:tcW w:w="830" w:type="pct"/>
            <w:tcBorders>
              <w:tl2br w:val="nil"/>
              <w:tr2bl w:val="nil"/>
            </w:tcBorders>
            <w:vAlign w:val="center"/>
          </w:tcPr>
          <w:p w14:paraId="19617656">
            <w:pPr>
              <w:pStyle w:val="26"/>
              <w:keepNext w:val="0"/>
              <w:keepLines w:val="0"/>
              <w:widowControl/>
              <w:suppressLineNumbers w:val="0"/>
              <w:adjustRightInd w:val="0"/>
              <w:spacing w:before="0" w:beforeAutospacing="0" w:after="0" w:afterAutospacing="0"/>
              <w:ind w:left="0" w:right="0" w:firstLine="0" w:firstLineChars="0"/>
              <w:jc w:val="center"/>
              <w:rPr>
                <w:rFonts w:hint="default" w:hAnsi="宋体" w:cs="宋体"/>
                <w:sz w:val="18"/>
                <w:szCs w:val="18"/>
                <w:highlight w:val="none"/>
              </w:rPr>
            </w:pPr>
            <w:r>
              <w:rPr>
                <w:rFonts w:hint="eastAsia" w:hAnsi="宋体" w:cs="宋体"/>
                <w:sz w:val="18"/>
                <w:szCs w:val="18"/>
                <w:highlight w:val="none"/>
              </w:rPr>
              <w:t>1</w:t>
            </w:r>
          </w:p>
        </w:tc>
        <w:tc>
          <w:tcPr>
            <w:tcW w:w="636" w:type="pct"/>
            <w:vMerge w:val="continue"/>
            <w:tcBorders>
              <w:tl2br w:val="nil"/>
              <w:tr2bl w:val="nil"/>
            </w:tcBorders>
            <w:vAlign w:val="center"/>
          </w:tcPr>
          <w:p w14:paraId="7BF0DEEF">
            <w:pPr>
              <w:pStyle w:val="26"/>
              <w:keepNext w:val="0"/>
              <w:keepLines w:val="0"/>
              <w:widowControl/>
              <w:suppressLineNumbers w:val="0"/>
              <w:adjustRightInd w:val="0"/>
              <w:spacing w:before="0" w:beforeAutospacing="0" w:after="0" w:afterAutospacing="0"/>
              <w:ind w:left="0" w:right="0" w:firstLine="0" w:firstLineChars="0"/>
              <w:rPr>
                <w:rFonts w:hint="default" w:hAnsi="宋体" w:cs="宋体"/>
                <w:sz w:val="18"/>
                <w:szCs w:val="18"/>
                <w:highlight w:val="none"/>
              </w:rPr>
            </w:pPr>
          </w:p>
        </w:tc>
      </w:tr>
    </w:tbl>
    <w:p w14:paraId="52430575">
      <w:pPr>
        <w:pStyle w:val="60"/>
        <w:spacing w:before="156" w:after="156"/>
        <w:rPr>
          <w:rFonts w:ascii="Times New Roman"/>
          <w:highlight w:val="none"/>
        </w:rPr>
      </w:pPr>
      <w:r>
        <w:rPr>
          <w:rFonts w:ascii="Times New Roman"/>
          <w:highlight w:val="none"/>
        </w:rPr>
        <w:t>产业影响力</w:t>
      </w:r>
    </w:p>
    <w:p w14:paraId="32D44849">
      <w:pPr>
        <w:pStyle w:val="26"/>
        <w:rPr>
          <w:rFonts w:hint="eastAsia" w:hAnsi="宋体" w:cs="宋体"/>
          <w:highlight w:val="none"/>
        </w:rPr>
      </w:pPr>
      <w:r>
        <w:rPr>
          <w:rFonts w:hint="eastAsia" w:hAnsi="宋体" w:cs="宋体"/>
          <w:highlight w:val="none"/>
        </w:rPr>
        <w:t>从</w:t>
      </w:r>
      <w:r>
        <w:rPr>
          <w:rFonts w:hint="eastAsia" w:hAnsi="宋体" w:cs="宋体"/>
          <w:highlight w:val="none"/>
          <w:lang w:val="en-US" w:eastAsia="zh-CN"/>
        </w:rPr>
        <w:t>温室气体控制领域</w:t>
      </w:r>
      <w:r>
        <w:rPr>
          <w:rFonts w:hint="eastAsia" w:hAnsi="宋体" w:cs="宋体"/>
          <w:highlight w:val="none"/>
        </w:rPr>
        <w:t>的</w:t>
      </w:r>
      <w:r>
        <w:rPr>
          <w:rFonts w:hint="eastAsia" w:hAnsi="宋体" w:cs="宋体"/>
          <w:highlight w:val="none"/>
          <w:lang w:val="en-US" w:eastAsia="zh-CN"/>
        </w:rPr>
        <w:t>相</w:t>
      </w:r>
      <w:r>
        <w:rPr>
          <w:rFonts w:hint="eastAsia" w:hAnsi="宋体" w:cs="宋体"/>
          <w:highlight w:val="none"/>
        </w:rPr>
        <w:t>关产品或服务引领绿色低碳产业技术创新或市场发展的影响能力等方面进行综合评价，如在产业链关键环节及领域取得“补短板”“锻长链”“填空白”的实际技术突破，或有助于新产业、新业态、新商业模式的培育壮大等，具体评分规则见表</w:t>
      </w:r>
      <w:r>
        <w:rPr>
          <w:rFonts w:hint="eastAsia" w:hAnsi="宋体" w:cs="宋体"/>
          <w:highlight w:val="none"/>
          <w:lang w:val="en-US" w:eastAsia="zh-CN"/>
        </w:rPr>
        <w:t>10</w:t>
      </w:r>
      <w:r>
        <w:rPr>
          <w:rFonts w:hint="eastAsia" w:hAnsi="宋体" w:cs="宋体"/>
          <w:highlight w:val="none"/>
        </w:rPr>
        <w:t>。优质中小企业在实际得分基础上增加15%的得分，最高得分不超过该项指标总分。</w:t>
      </w:r>
    </w:p>
    <w:p w14:paraId="4796EBE0">
      <w:pPr>
        <w:pStyle w:val="62"/>
        <w:bidi w:val="0"/>
        <w:rPr>
          <w:rFonts w:hint="eastAsia"/>
          <w:highlight w:val="none"/>
          <w:lang w:val="en-US" w:eastAsia="zh-CN"/>
        </w:rPr>
      </w:pPr>
      <w:r>
        <w:rPr>
          <w:rFonts w:hint="eastAsia"/>
          <w:highlight w:val="none"/>
          <w:lang w:val="en-US" w:eastAsia="zh-CN"/>
        </w:rPr>
        <w:t>温室气体控制产业链关键环节及领域包括但不限于固废二氧化碳捕集、二氧化碳高值化化学利用、二氧化碳生物利用、二氧化碳矿化封存、碳集中储存转运、海洋生态负排放等前沿技术基础研究和布局。</w:t>
      </w:r>
    </w:p>
    <w:p w14:paraId="3E8D5D12">
      <w:pPr>
        <w:pStyle w:val="131"/>
        <w:rPr>
          <w:rFonts w:ascii="Times New Roman"/>
          <w:highlight w:val="none"/>
        </w:rPr>
      </w:pPr>
      <w:r>
        <w:rPr>
          <w:rFonts w:ascii="Times New Roman"/>
          <w:highlight w:val="none"/>
        </w:rPr>
        <w:t>产业影响力评分规则</w:t>
      </w:r>
    </w:p>
    <w:tbl>
      <w:tblPr>
        <w:tblStyle w:val="36"/>
        <w:tblW w:w="4998"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6954"/>
        <w:gridCol w:w="2612"/>
      </w:tblGrid>
      <w:tr w14:paraId="1543A1D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3634" w:type="pct"/>
            <w:tcBorders>
              <w:bottom w:val="single" w:color="auto" w:sz="12" w:space="0"/>
            </w:tcBorders>
          </w:tcPr>
          <w:p w14:paraId="6C59DDB6">
            <w:pPr>
              <w:pStyle w:val="26"/>
              <w:keepNext w:val="0"/>
              <w:keepLines w:val="0"/>
              <w:widowControl/>
              <w:suppressLineNumbers w:val="0"/>
              <w:spacing w:before="0" w:beforeAutospacing="0" w:after="0" w:afterAutospacing="0"/>
              <w:ind w:left="0" w:right="0" w:firstLine="0" w:firstLineChars="0"/>
              <w:jc w:val="center"/>
              <w:rPr>
                <w:rFonts w:hint="default" w:ascii="Times New Roman"/>
                <w:b/>
                <w:bCs/>
                <w:sz w:val="18"/>
                <w:szCs w:val="18"/>
                <w:highlight w:val="none"/>
              </w:rPr>
            </w:pPr>
            <w:r>
              <w:rPr>
                <w:rFonts w:hint="default" w:ascii="Times New Roman"/>
                <w:b/>
                <w:bCs/>
                <w:sz w:val="18"/>
                <w:szCs w:val="18"/>
                <w:highlight w:val="none"/>
              </w:rPr>
              <w:t>产业影响力水平</w:t>
            </w:r>
          </w:p>
        </w:tc>
        <w:tc>
          <w:tcPr>
            <w:tcW w:w="1365" w:type="pct"/>
            <w:tcBorders>
              <w:bottom w:val="single" w:color="auto" w:sz="12" w:space="0"/>
            </w:tcBorders>
          </w:tcPr>
          <w:p w14:paraId="3FC2AC6F">
            <w:pPr>
              <w:pStyle w:val="26"/>
              <w:keepNext w:val="0"/>
              <w:keepLines w:val="0"/>
              <w:widowControl/>
              <w:suppressLineNumbers w:val="0"/>
              <w:spacing w:before="0" w:beforeAutospacing="0" w:after="0" w:afterAutospacing="0"/>
              <w:ind w:left="0" w:right="0" w:firstLine="0" w:firstLineChars="0"/>
              <w:jc w:val="center"/>
              <w:rPr>
                <w:rFonts w:hint="default" w:ascii="Times New Roman"/>
                <w:b/>
                <w:bCs/>
                <w:sz w:val="18"/>
                <w:szCs w:val="18"/>
                <w:highlight w:val="none"/>
              </w:rPr>
            </w:pPr>
            <w:r>
              <w:rPr>
                <w:rFonts w:hint="default" w:ascii="Times New Roman"/>
                <w:b/>
                <w:bCs/>
                <w:sz w:val="18"/>
                <w:szCs w:val="18"/>
                <w:highlight w:val="none"/>
              </w:rPr>
              <w:t>分值</w:t>
            </w:r>
            <w:r>
              <w:rPr>
                <w:rFonts w:hint="eastAsia" w:ascii="Times New Roman"/>
                <w:b/>
                <w:bCs/>
                <w:sz w:val="18"/>
                <w:szCs w:val="18"/>
                <w:highlight w:val="none"/>
              </w:rPr>
              <w:t>（分）</w:t>
            </w:r>
          </w:p>
        </w:tc>
      </w:tr>
      <w:tr w14:paraId="4C14C98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3634" w:type="pct"/>
            <w:tcBorders>
              <w:top w:val="single" w:color="auto" w:sz="12" w:space="0"/>
              <w:tl2br w:val="nil"/>
              <w:tr2bl w:val="nil"/>
            </w:tcBorders>
          </w:tcPr>
          <w:p w14:paraId="5FF3B90F">
            <w:pPr>
              <w:pStyle w:val="26"/>
              <w:keepNext w:val="0"/>
              <w:keepLines w:val="0"/>
              <w:widowControl/>
              <w:suppressLineNumbers w:val="0"/>
              <w:spacing w:before="0" w:beforeAutospacing="0" w:after="0" w:afterAutospacing="0"/>
              <w:ind w:left="0" w:right="0" w:firstLine="0" w:firstLineChars="0"/>
              <w:rPr>
                <w:rFonts w:hint="default" w:hAnsi="宋体" w:cs="宋体"/>
                <w:sz w:val="18"/>
                <w:szCs w:val="18"/>
                <w:highlight w:val="none"/>
              </w:rPr>
            </w:pPr>
            <w:r>
              <w:rPr>
                <w:rFonts w:hint="eastAsia" w:hAnsi="宋体" w:cs="宋体"/>
                <w:sz w:val="18"/>
                <w:szCs w:val="18"/>
                <w:highlight w:val="none"/>
              </w:rPr>
              <w:t>具有显著的引领</w:t>
            </w:r>
            <w:r>
              <w:rPr>
                <w:rFonts w:hint="eastAsia" w:hAnsi="宋体" w:cs="宋体"/>
                <w:sz w:val="18"/>
                <w:szCs w:val="18"/>
                <w:highlight w:val="none"/>
                <w:lang w:eastAsia="zh-CN"/>
              </w:rPr>
              <w:t>绿色低碳产业</w:t>
            </w:r>
            <w:r>
              <w:rPr>
                <w:rFonts w:hint="eastAsia" w:hAnsi="宋体" w:cs="宋体"/>
                <w:sz w:val="18"/>
                <w:szCs w:val="18"/>
                <w:highlight w:val="none"/>
              </w:rPr>
              <w:t>技术</w:t>
            </w:r>
            <w:r>
              <w:rPr>
                <w:rFonts w:hint="eastAsia" w:hAnsi="宋体" w:cs="宋体"/>
                <w:sz w:val="18"/>
                <w:szCs w:val="18"/>
                <w:highlight w:val="none"/>
                <w:lang w:val="en-US" w:eastAsia="zh-CN"/>
              </w:rPr>
              <w:t>创新</w:t>
            </w:r>
            <w:r>
              <w:rPr>
                <w:rFonts w:hint="eastAsia" w:hAnsi="宋体" w:cs="宋体"/>
                <w:sz w:val="18"/>
                <w:szCs w:val="18"/>
                <w:highlight w:val="none"/>
              </w:rPr>
              <w:t>或市场发展的影响能力</w:t>
            </w:r>
          </w:p>
        </w:tc>
        <w:tc>
          <w:tcPr>
            <w:tcW w:w="1365" w:type="pct"/>
            <w:tcBorders>
              <w:top w:val="single" w:color="auto" w:sz="12" w:space="0"/>
              <w:tl2br w:val="nil"/>
              <w:tr2bl w:val="nil"/>
            </w:tcBorders>
            <w:vAlign w:val="center"/>
          </w:tcPr>
          <w:p w14:paraId="0BD5258E">
            <w:pPr>
              <w:pStyle w:val="26"/>
              <w:keepNext w:val="0"/>
              <w:keepLines w:val="0"/>
              <w:widowControl/>
              <w:suppressLineNumbers w:val="0"/>
              <w:spacing w:before="0" w:beforeAutospacing="0" w:after="0" w:afterAutospacing="0"/>
              <w:ind w:left="0" w:right="0" w:firstLine="0" w:firstLineChars="0"/>
              <w:jc w:val="center"/>
              <w:rPr>
                <w:rFonts w:hint="default" w:hAnsi="宋体" w:cs="宋体"/>
                <w:sz w:val="18"/>
                <w:szCs w:val="18"/>
                <w:highlight w:val="none"/>
              </w:rPr>
            </w:pPr>
            <w:r>
              <w:rPr>
                <w:rFonts w:hint="eastAsia" w:hAnsi="宋体" w:cs="宋体"/>
                <w:sz w:val="18"/>
                <w:szCs w:val="18"/>
                <w:highlight w:val="none"/>
              </w:rPr>
              <w:t>(5,7]</w:t>
            </w:r>
          </w:p>
        </w:tc>
      </w:tr>
      <w:tr w14:paraId="321F3EA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3634" w:type="pct"/>
            <w:tcBorders>
              <w:tl2br w:val="nil"/>
              <w:tr2bl w:val="nil"/>
            </w:tcBorders>
          </w:tcPr>
          <w:p w14:paraId="64F31945">
            <w:pPr>
              <w:pStyle w:val="26"/>
              <w:keepNext w:val="0"/>
              <w:keepLines w:val="0"/>
              <w:widowControl/>
              <w:suppressLineNumbers w:val="0"/>
              <w:spacing w:before="0" w:beforeAutospacing="0" w:after="0" w:afterAutospacing="0"/>
              <w:ind w:left="0" w:right="0" w:firstLine="0" w:firstLineChars="0"/>
              <w:rPr>
                <w:rFonts w:hint="default" w:hAnsi="宋体" w:cs="宋体"/>
                <w:sz w:val="18"/>
                <w:szCs w:val="18"/>
                <w:highlight w:val="none"/>
              </w:rPr>
            </w:pPr>
            <w:r>
              <w:rPr>
                <w:rFonts w:hint="eastAsia" w:hAnsi="宋体" w:cs="宋体"/>
                <w:sz w:val="18"/>
                <w:szCs w:val="18"/>
                <w:highlight w:val="none"/>
              </w:rPr>
              <w:t>具有较强的引领</w:t>
            </w:r>
            <w:r>
              <w:rPr>
                <w:rFonts w:hint="eastAsia" w:hAnsi="宋体" w:cs="宋体"/>
                <w:sz w:val="18"/>
                <w:szCs w:val="18"/>
                <w:highlight w:val="none"/>
                <w:lang w:eastAsia="zh-CN"/>
              </w:rPr>
              <w:t>绿色低碳产业</w:t>
            </w:r>
            <w:r>
              <w:rPr>
                <w:rFonts w:hint="eastAsia" w:hAnsi="宋体" w:cs="宋体"/>
                <w:sz w:val="18"/>
                <w:szCs w:val="18"/>
                <w:highlight w:val="none"/>
              </w:rPr>
              <w:t>技术</w:t>
            </w:r>
            <w:r>
              <w:rPr>
                <w:rFonts w:hint="eastAsia" w:hAnsi="宋体" w:cs="宋体"/>
                <w:sz w:val="18"/>
                <w:szCs w:val="18"/>
                <w:highlight w:val="none"/>
                <w:lang w:val="en-US" w:eastAsia="zh-CN"/>
              </w:rPr>
              <w:t>创新</w:t>
            </w:r>
            <w:r>
              <w:rPr>
                <w:rFonts w:hint="eastAsia" w:hAnsi="宋体" w:cs="宋体"/>
                <w:sz w:val="18"/>
                <w:szCs w:val="18"/>
                <w:highlight w:val="none"/>
              </w:rPr>
              <w:t>或市场发展的影响能力</w:t>
            </w:r>
          </w:p>
        </w:tc>
        <w:tc>
          <w:tcPr>
            <w:tcW w:w="1365" w:type="pct"/>
            <w:tcBorders>
              <w:tl2br w:val="nil"/>
              <w:tr2bl w:val="nil"/>
            </w:tcBorders>
            <w:vAlign w:val="center"/>
          </w:tcPr>
          <w:p w14:paraId="32ECA613">
            <w:pPr>
              <w:pStyle w:val="26"/>
              <w:keepNext w:val="0"/>
              <w:keepLines w:val="0"/>
              <w:widowControl/>
              <w:suppressLineNumbers w:val="0"/>
              <w:spacing w:before="0" w:beforeAutospacing="0" w:after="0" w:afterAutospacing="0"/>
              <w:ind w:left="0" w:right="0" w:firstLine="0" w:firstLineChars="0"/>
              <w:jc w:val="center"/>
              <w:rPr>
                <w:rFonts w:hint="default" w:hAnsi="宋体" w:cs="宋体"/>
                <w:sz w:val="18"/>
                <w:szCs w:val="18"/>
                <w:highlight w:val="none"/>
              </w:rPr>
            </w:pPr>
            <w:r>
              <w:rPr>
                <w:rFonts w:hint="eastAsia" w:hAnsi="宋体" w:cs="宋体"/>
                <w:sz w:val="18"/>
                <w:szCs w:val="18"/>
                <w:highlight w:val="none"/>
              </w:rPr>
              <w:t>(3,5]</w:t>
            </w:r>
          </w:p>
        </w:tc>
      </w:tr>
      <w:tr w14:paraId="38A4F39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3634" w:type="pct"/>
            <w:tcBorders>
              <w:tl2br w:val="nil"/>
              <w:tr2bl w:val="nil"/>
            </w:tcBorders>
          </w:tcPr>
          <w:p w14:paraId="58003551">
            <w:pPr>
              <w:pStyle w:val="26"/>
              <w:keepNext w:val="0"/>
              <w:keepLines w:val="0"/>
              <w:widowControl/>
              <w:suppressLineNumbers w:val="0"/>
              <w:spacing w:before="0" w:beforeAutospacing="0" w:after="0" w:afterAutospacing="0"/>
              <w:ind w:left="0" w:right="0" w:firstLine="0" w:firstLineChars="0"/>
              <w:rPr>
                <w:rFonts w:hint="default" w:hAnsi="宋体" w:cs="宋体"/>
                <w:sz w:val="18"/>
                <w:szCs w:val="18"/>
                <w:highlight w:val="none"/>
              </w:rPr>
            </w:pPr>
            <w:r>
              <w:rPr>
                <w:rFonts w:hint="eastAsia" w:hAnsi="宋体" w:cs="宋体"/>
                <w:sz w:val="18"/>
                <w:szCs w:val="18"/>
                <w:highlight w:val="none"/>
              </w:rPr>
              <w:t>具有一定的引领</w:t>
            </w:r>
            <w:r>
              <w:rPr>
                <w:rFonts w:hint="eastAsia" w:hAnsi="宋体" w:cs="宋体"/>
                <w:sz w:val="18"/>
                <w:szCs w:val="18"/>
                <w:highlight w:val="none"/>
                <w:lang w:eastAsia="zh-CN"/>
              </w:rPr>
              <w:t>绿色低碳产业</w:t>
            </w:r>
            <w:r>
              <w:rPr>
                <w:rFonts w:hint="eastAsia" w:hAnsi="宋体" w:cs="宋体"/>
                <w:sz w:val="18"/>
                <w:szCs w:val="18"/>
                <w:highlight w:val="none"/>
              </w:rPr>
              <w:t>技术</w:t>
            </w:r>
            <w:r>
              <w:rPr>
                <w:rFonts w:hint="eastAsia" w:hAnsi="宋体" w:cs="宋体"/>
                <w:sz w:val="18"/>
                <w:szCs w:val="18"/>
                <w:highlight w:val="none"/>
                <w:lang w:val="en-US" w:eastAsia="zh-CN"/>
              </w:rPr>
              <w:t>创新</w:t>
            </w:r>
            <w:r>
              <w:rPr>
                <w:rFonts w:hint="eastAsia" w:hAnsi="宋体" w:cs="宋体"/>
                <w:sz w:val="18"/>
                <w:szCs w:val="18"/>
                <w:highlight w:val="none"/>
              </w:rPr>
              <w:t>或市场发展的影响能力</w:t>
            </w:r>
          </w:p>
        </w:tc>
        <w:tc>
          <w:tcPr>
            <w:tcW w:w="1365" w:type="pct"/>
            <w:tcBorders>
              <w:tl2br w:val="nil"/>
              <w:tr2bl w:val="nil"/>
            </w:tcBorders>
            <w:vAlign w:val="center"/>
          </w:tcPr>
          <w:p w14:paraId="43A30299">
            <w:pPr>
              <w:pStyle w:val="26"/>
              <w:keepNext w:val="0"/>
              <w:keepLines w:val="0"/>
              <w:widowControl/>
              <w:suppressLineNumbers w:val="0"/>
              <w:spacing w:before="0" w:beforeAutospacing="0" w:after="0" w:afterAutospacing="0"/>
              <w:ind w:left="0" w:right="0" w:firstLine="0" w:firstLineChars="0"/>
              <w:jc w:val="center"/>
              <w:rPr>
                <w:rFonts w:hint="default" w:hAnsi="宋体" w:cs="宋体"/>
                <w:sz w:val="18"/>
                <w:szCs w:val="18"/>
                <w:highlight w:val="none"/>
              </w:rPr>
            </w:pPr>
            <w:r>
              <w:rPr>
                <w:rFonts w:hint="eastAsia" w:hAnsi="宋体" w:cs="宋体"/>
                <w:sz w:val="18"/>
                <w:szCs w:val="18"/>
                <w:highlight w:val="none"/>
              </w:rPr>
              <w:t>(0,3]</w:t>
            </w:r>
          </w:p>
        </w:tc>
      </w:tr>
      <w:tr w14:paraId="4875CF6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3634" w:type="pct"/>
            <w:tcBorders>
              <w:tl2br w:val="nil"/>
              <w:tr2bl w:val="nil"/>
            </w:tcBorders>
          </w:tcPr>
          <w:p w14:paraId="64A916B2">
            <w:pPr>
              <w:pStyle w:val="26"/>
              <w:keepNext w:val="0"/>
              <w:keepLines w:val="0"/>
              <w:widowControl/>
              <w:suppressLineNumbers w:val="0"/>
              <w:spacing w:before="0" w:beforeAutospacing="0" w:after="0" w:afterAutospacing="0"/>
              <w:ind w:left="0" w:right="0" w:firstLine="0" w:firstLineChars="0"/>
              <w:rPr>
                <w:rFonts w:hint="default" w:hAnsi="宋体" w:cs="宋体"/>
                <w:sz w:val="18"/>
                <w:szCs w:val="18"/>
                <w:highlight w:val="none"/>
              </w:rPr>
            </w:pPr>
            <w:r>
              <w:rPr>
                <w:rFonts w:hint="eastAsia" w:hAnsi="宋体" w:cs="宋体"/>
                <w:sz w:val="18"/>
                <w:szCs w:val="18"/>
                <w:highlight w:val="none"/>
              </w:rPr>
              <w:t>未产生明显产业影响力</w:t>
            </w:r>
          </w:p>
        </w:tc>
        <w:tc>
          <w:tcPr>
            <w:tcW w:w="1365" w:type="pct"/>
            <w:tcBorders>
              <w:tl2br w:val="nil"/>
              <w:tr2bl w:val="nil"/>
            </w:tcBorders>
            <w:vAlign w:val="center"/>
          </w:tcPr>
          <w:p w14:paraId="2C6FE474">
            <w:pPr>
              <w:pStyle w:val="26"/>
              <w:keepNext w:val="0"/>
              <w:keepLines w:val="0"/>
              <w:widowControl/>
              <w:suppressLineNumbers w:val="0"/>
              <w:spacing w:before="0" w:beforeAutospacing="0" w:after="0" w:afterAutospacing="0"/>
              <w:ind w:left="0" w:right="0" w:firstLine="0" w:firstLineChars="0"/>
              <w:jc w:val="center"/>
              <w:rPr>
                <w:rFonts w:hint="default" w:hAnsi="宋体" w:cs="宋体"/>
                <w:sz w:val="18"/>
                <w:szCs w:val="18"/>
                <w:highlight w:val="none"/>
              </w:rPr>
            </w:pPr>
            <w:r>
              <w:rPr>
                <w:rFonts w:hint="eastAsia" w:hAnsi="宋体" w:cs="宋体"/>
                <w:sz w:val="18"/>
                <w:szCs w:val="18"/>
                <w:highlight w:val="none"/>
              </w:rPr>
              <w:t>0</w:t>
            </w:r>
          </w:p>
        </w:tc>
      </w:tr>
    </w:tbl>
    <w:p w14:paraId="23F846E9">
      <w:pPr>
        <w:pStyle w:val="60"/>
        <w:spacing w:before="156" w:after="156"/>
        <w:rPr>
          <w:rFonts w:ascii="Times New Roman"/>
          <w:highlight w:val="none"/>
        </w:rPr>
      </w:pPr>
      <w:r>
        <w:rPr>
          <w:rFonts w:ascii="Times New Roman"/>
          <w:highlight w:val="none"/>
        </w:rPr>
        <w:t>行业资质荣誉</w:t>
      </w:r>
    </w:p>
    <w:p w14:paraId="60691F8E">
      <w:pPr>
        <w:pStyle w:val="26"/>
        <w:rPr>
          <w:rFonts w:hint="eastAsia" w:hAnsi="宋体" w:cs="宋体"/>
          <w:highlight w:val="none"/>
          <w:lang w:eastAsia="zh-CN"/>
        </w:rPr>
      </w:pPr>
      <w:r>
        <w:rPr>
          <w:rFonts w:hint="eastAsia" w:hAnsi="宋体" w:cs="宋体"/>
          <w:highlight w:val="none"/>
        </w:rPr>
        <w:t>在</w:t>
      </w:r>
      <w:r>
        <w:rPr>
          <w:rFonts w:hint="eastAsia" w:hAnsi="宋体" w:cs="宋体"/>
          <w:highlight w:val="none"/>
          <w:lang w:val="en-US" w:eastAsia="zh-CN"/>
        </w:rPr>
        <w:t>温室气体控制领域</w:t>
      </w:r>
      <w:r>
        <w:rPr>
          <w:rFonts w:hint="eastAsia" w:hAnsi="宋体" w:cs="宋体"/>
          <w:highlight w:val="none"/>
        </w:rPr>
        <w:t>获得的国家级、省部级、市级或区级奖项、资质、荣誉、认定及证书的情况，具体评分规则见表</w:t>
      </w:r>
      <w:r>
        <w:rPr>
          <w:rFonts w:hint="eastAsia" w:hAnsi="宋体" w:cs="宋体"/>
          <w:highlight w:val="none"/>
          <w:lang w:val="en-US" w:eastAsia="zh-CN"/>
        </w:rPr>
        <w:t>11</w:t>
      </w:r>
      <w:r>
        <w:rPr>
          <w:rFonts w:hint="eastAsia" w:hAnsi="宋体" w:cs="宋体"/>
          <w:highlight w:val="none"/>
        </w:rPr>
        <w:t>。优质中小企业在实际得分基础上增加15%的得分，最高得分不超过该项指标总分。</w:t>
      </w:r>
    </w:p>
    <w:p w14:paraId="5CC37B22">
      <w:pPr>
        <w:pStyle w:val="63"/>
        <w:keepNext w:val="0"/>
        <w:keepLines w:val="0"/>
        <w:pageBreakBefore w:val="0"/>
        <w:widowControl w:val="0"/>
        <w:numPr>
          <w:ilvl w:val="0"/>
          <w:numId w:val="21"/>
        </w:numPr>
        <w:kinsoku/>
        <w:wordWrap/>
        <w:overflowPunct/>
        <w:topLinePunct w:val="0"/>
        <w:autoSpaceDE w:val="0"/>
        <w:autoSpaceDN w:val="0"/>
        <w:bidi w:val="0"/>
        <w:adjustRightInd/>
        <w:snapToGrid/>
        <w:ind w:left="0" w:leftChars="0" w:firstLine="360" w:firstLineChars="200"/>
        <w:textAlignment w:val="auto"/>
        <w:rPr>
          <w:rFonts w:hint="eastAsia"/>
          <w:highlight w:val="none"/>
          <w:lang w:eastAsia="zh-CN"/>
        </w:rPr>
      </w:pPr>
      <w:r>
        <w:rPr>
          <w:rFonts w:hint="eastAsia"/>
          <w:highlight w:val="none"/>
          <w:lang w:eastAsia="zh-CN"/>
        </w:rPr>
        <w:t>国家级行业协会颁发的相关资质、荣誉、认定或证书视为省部级。</w:t>
      </w:r>
    </w:p>
    <w:p w14:paraId="0EAB680E">
      <w:pPr>
        <w:pStyle w:val="63"/>
        <w:keepNext w:val="0"/>
        <w:keepLines w:val="0"/>
        <w:pageBreakBefore w:val="0"/>
        <w:widowControl w:val="0"/>
        <w:numPr>
          <w:ilvl w:val="0"/>
          <w:numId w:val="21"/>
        </w:numPr>
        <w:kinsoku/>
        <w:wordWrap/>
        <w:overflowPunct/>
        <w:topLinePunct w:val="0"/>
        <w:autoSpaceDE w:val="0"/>
        <w:autoSpaceDN w:val="0"/>
        <w:bidi w:val="0"/>
        <w:adjustRightInd/>
        <w:snapToGrid/>
        <w:ind w:left="0" w:leftChars="0" w:firstLine="360" w:firstLineChars="200"/>
        <w:textAlignment w:val="auto"/>
        <w:rPr>
          <w:rFonts w:hint="eastAsia"/>
          <w:highlight w:val="none"/>
          <w:lang w:eastAsia="zh-CN"/>
        </w:rPr>
      </w:pPr>
      <w:r>
        <w:rPr>
          <w:rFonts w:hint="eastAsia"/>
          <w:highlight w:val="none"/>
          <w:lang w:val="en-US" w:eastAsia="zh-CN"/>
        </w:rPr>
        <w:t>在国际上获得行业认可的同等级别行业资质荣誉，按对应等级行业资质荣誉得分。</w:t>
      </w:r>
    </w:p>
    <w:p w14:paraId="707299B3">
      <w:pPr>
        <w:pStyle w:val="131"/>
        <w:rPr>
          <w:rFonts w:ascii="Times New Roman"/>
          <w:highlight w:val="none"/>
        </w:rPr>
      </w:pPr>
      <w:r>
        <w:rPr>
          <w:rFonts w:ascii="Times New Roman"/>
          <w:highlight w:val="none"/>
        </w:rPr>
        <w:t>行业资质荣誉评分规则</w:t>
      </w:r>
    </w:p>
    <w:tbl>
      <w:tblPr>
        <w:tblStyle w:val="36"/>
        <w:tblW w:w="4994"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5350"/>
        <w:gridCol w:w="3190"/>
        <w:gridCol w:w="1019"/>
      </w:tblGrid>
      <w:tr w14:paraId="79158A0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49" w:hRule="atLeast"/>
          <w:jc w:val="center"/>
        </w:trPr>
        <w:tc>
          <w:tcPr>
            <w:tcW w:w="2798" w:type="pct"/>
            <w:tcBorders>
              <w:bottom w:val="single" w:color="auto" w:sz="12" w:space="0"/>
            </w:tcBorders>
            <w:vAlign w:val="center"/>
          </w:tcPr>
          <w:p w14:paraId="42BA9603">
            <w:pPr>
              <w:pStyle w:val="26"/>
              <w:keepNext w:val="0"/>
              <w:keepLines w:val="0"/>
              <w:widowControl/>
              <w:suppressLineNumbers w:val="0"/>
              <w:spacing w:before="0" w:beforeAutospacing="0" w:after="0" w:afterAutospacing="0"/>
              <w:ind w:left="0" w:right="0" w:firstLine="0" w:firstLineChars="0"/>
              <w:jc w:val="center"/>
              <w:rPr>
                <w:rFonts w:hint="default" w:ascii="Times New Roman"/>
                <w:b/>
                <w:bCs/>
                <w:sz w:val="18"/>
                <w:szCs w:val="18"/>
                <w:highlight w:val="none"/>
              </w:rPr>
            </w:pPr>
            <w:r>
              <w:rPr>
                <w:rFonts w:hint="eastAsia" w:ascii="Times New Roman"/>
                <w:b/>
                <w:bCs/>
                <w:sz w:val="18"/>
                <w:szCs w:val="18"/>
                <w:highlight w:val="none"/>
              </w:rPr>
              <w:t>行业资质荣誉</w:t>
            </w:r>
          </w:p>
        </w:tc>
        <w:tc>
          <w:tcPr>
            <w:tcW w:w="1668" w:type="pct"/>
            <w:tcBorders>
              <w:bottom w:val="single" w:color="auto" w:sz="12" w:space="0"/>
            </w:tcBorders>
            <w:vAlign w:val="center"/>
          </w:tcPr>
          <w:p w14:paraId="61F11752">
            <w:pPr>
              <w:pStyle w:val="26"/>
              <w:keepNext w:val="0"/>
              <w:keepLines w:val="0"/>
              <w:widowControl/>
              <w:suppressLineNumbers w:val="0"/>
              <w:spacing w:before="0" w:beforeAutospacing="0" w:after="0" w:afterAutospacing="0"/>
              <w:ind w:left="0" w:right="0" w:firstLine="0" w:firstLineChars="0"/>
              <w:jc w:val="center"/>
              <w:rPr>
                <w:rFonts w:hint="default" w:ascii="Times New Roman"/>
                <w:b/>
                <w:bCs/>
                <w:sz w:val="18"/>
                <w:szCs w:val="18"/>
                <w:highlight w:val="none"/>
              </w:rPr>
            </w:pPr>
            <w:r>
              <w:rPr>
                <w:rFonts w:hint="default" w:ascii="Times New Roman"/>
                <w:b/>
                <w:bCs/>
                <w:sz w:val="18"/>
                <w:szCs w:val="18"/>
                <w:highlight w:val="none"/>
              </w:rPr>
              <w:t>加分规则</w:t>
            </w:r>
          </w:p>
        </w:tc>
        <w:tc>
          <w:tcPr>
            <w:tcW w:w="533" w:type="pct"/>
            <w:tcBorders>
              <w:bottom w:val="single" w:color="auto" w:sz="12" w:space="0"/>
            </w:tcBorders>
            <w:vAlign w:val="center"/>
          </w:tcPr>
          <w:p w14:paraId="14B93D88">
            <w:pPr>
              <w:pStyle w:val="26"/>
              <w:keepNext w:val="0"/>
              <w:keepLines w:val="0"/>
              <w:widowControl/>
              <w:suppressLineNumbers w:val="0"/>
              <w:spacing w:before="0" w:beforeAutospacing="0" w:after="0" w:afterAutospacing="0"/>
              <w:ind w:left="0" w:right="0" w:firstLine="0" w:firstLineChars="0"/>
              <w:jc w:val="center"/>
              <w:rPr>
                <w:rFonts w:hint="default" w:ascii="Times New Roman"/>
                <w:b/>
                <w:bCs/>
                <w:sz w:val="18"/>
                <w:szCs w:val="18"/>
                <w:highlight w:val="none"/>
              </w:rPr>
            </w:pPr>
            <w:r>
              <w:rPr>
                <w:rFonts w:hint="default" w:ascii="Times New Roman"/>
                <w:b/>
                <w:bCs/>
                <w:sz w:val="18"/>
                <w:szCs w:val="18"/>
                <w:highlight w:val="none"/>
              </w:rPr>
              <w:t>分值</w:t>
            </w:r>
            <w:r>
              <w:rPr>
                <w:rFonts w:hint="eastAsia" w:ascii="Times New Roman"/>
                <w:b/>
                <w:bCs/>
                <w:sz w:val="18"/>
                <w:szCs w:val="18"/>
                <w:highlight w:val="none"/>
              </w:rPr>
              <w:t>（分）</w:t>
            </w:r>
          </w:p>
        </w:tc>
      </w:tr>
      <w:tr w14:paraId="18E7E66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74" w:hRule="atLeast"/>
          <w:jc w:val="center"/>
        </w:trPr>
        <w:tc>
          <w:tcPr>
            <w:tcW w:w="2798" w:type="pct"/>
            <w:tcBorders>
              <w:top w:val="single" w:color="auto" w:sz="12" w:space="0"/>
              <w:tl2br w:val="nil"/>
              <w:tr2bl w:val="nil"/>
            </w:tcBorders>
            <w:vAlign w:val="center"/>
          </w:tcPr>
          <w:p w14:paraId="64A72B5F">
            <w:pPr>
              <w:pStyle w:val="26"/>
              <w:keepNext w:val="0"/>
              <w:keepLines w:val="0"/>
              <w:widowControl/>
              <w:suppressLineNumbers w:val="0"/>
              <w:spacing w:before="0" w:beforeAutospacing="0" w:after="0" w:afterAutospacing="0"/>
              <w:ind w:left="0" w:right="0" w:firstLine="0" w:firstLineChars="0"/>
              <w:rPr>
                <w:rFonts w:hint="default" w:hAnsi="宋体" w:cs="宋体"/>
                <w:sz w:val="18"/>
                <w:szCs w:val="18"/>
                <w:highlight w:val="none"/>
              </w:rPr>
            </w:pPr>
            <w:r>
              <w:rPr>
                <w:rFonts w:hint="eastAsia" w:hAnsi="宋体" w:cs="宋体"/>
                <w:sz w:val="18"/>
                <w:szCs w:val="18"/>
                <w:highlight w:val="none"/>
              </w:rPr>
              <w:t>以获得的一项最高级别行业资质荣誉为评价标准，国家级、省部级、市级</w:t>
            </w:r>
            <w:r>
              <w:rPr>
                <w:rFonts w:hint="eastAsia" w:hAnsi="宋体" w:cs="宋体"/>
                <w:sz w:val="18"/>
                <w:szCs w:val="18"/>
                <w:highlight w:val="none"/>
                <w:lang w:eastAsia="zh-CN"/>
              </w:rPr>
              <w:t>、</w:t>
            </w:r>
            <w:r>
              <w:rPr>
                <w:rFonts w:hint="eastAsia" w:hAnsi="宋体" w:cs="宋体"/>
                <w:sz w:val="18"/>
                <w:szCs w:val="18"/>
                <w:highlight w:val="none"/>
                <w:lang w:val="en-US" w:eastAsia="zh-CN"/>
              </w:rPr>
              <w:t>区级</w:t>
            </w:r>
            <w:r>
              <w:rPr>
                <w:rFonts w:hint="eastAsia" w:hAnsi="宋体" w:cs="宋体"/>
                <w:sz w:val="18"/>
                <w:szCs w:val="18"/>
                <w:highlight w:val="none"/>
              </w:rPr>
              <w:t>行业资质荣誉分别得</w:t>
            </w:r>
            <w:r>
              <w:rPr>
                <w:rFonts w:hint="eastAsia" w:hAnsi="宋体" w:cs="宋体"/>
                <w:sz w:val="18"/>
                <w:szCs w:val="18"/>
                <w:highlight w:val="none"/>
                <w:lang w:val="en-US" w:eastAsia="zh-CN"/>
              </w:rPr>
              <w:t>5</w:t>
            </w:r>
            <w:r>
              <w:rPr>
                <w:rFonts w:hint="eastAsia" w:hAnsi="宋体" w:cs="宋体"/>
                <w:sz w:val="18"/>
                <w:szCs w:val="18"/>
                <w:highlight w:val="none"/>
              </w:rPr>
              <w:t>分、</w:t>
            </w:r>
            <w:r>
              <w:rPr>
                <w:rFonts w:hint="eastAsia" w:hAnsi="宋体" w:cs="宋体"/>
                <w:sz w:val="18"/>
                <w:szCs w:val="18"/>
                <w:highlight w:val="none"/>
                <w:lang w:val="en-US" w:eastAsia="zh-CN"/>
              </w:rPr>
              <w:t>4</w:t>
            </w:r>
            <w:r>
              <w:rPr>
                <w:rFonts w:hint="eastAsia" w:hAnsi="宋体" w:cs="宋体"/>
                <w:sz w:val="18"/>
                <w:szCs w:val="18"/>
                <w:highlight w:val="none"/>
              </w:rPr>
              <w:t>分、</w:t>
            </w:r>
            <w:r>
              <w:rPr>
                <w:rFonts w:hint="eastAsia" w:hAnsi="宋体" w:cs="宋体"/>
                <w:sz w:val="18"/>
                <w:szCs w:val="18"/>
                <w:highlight w:val="none"/>
                <w:lang w:val="en-US" w:eastAsia="zh-CN"/>
              </w:rPr>
              <w:t>3</w:t>
            </w:r>
            <w:r>
              <w:rPr>
                <w:rFonts w:hint="eastAsia" w:hAnsi="宋体" w:cs="宋体"/>
                <w:sz w:val="18"/>
                <w:szCs w:val="18"/>
                <w:highlight w:val="none"/>
              </w:rPr>
              <w:t>分</w:t>
            </w:r>
            <w:r>
              <w:rPr>
                <w:rFonts w:hint="eastAsia" w:hAnsi="宋体" w:cs="宋体"/>
                <w:sz w:val="18"/>
                <w:szCs w:val="18"/>
                <w:highlight w:val="none"/>
                <w:lang w:val="en-US" w:eastAsia="zh-CN"/>
              </w:rPr>
              <w:t>、2分</w:t>
            </w:r>
            <w:r>
              <w:rPr>
                <w:rFonts w:hint="eastAsia" w:hAnsi="宋体" w:cs="宋体"/>
                <w:sz w:val="18"/>
                <w:szCs w:val="18"/>
                <w:highlight w:val="none"/>
              </w:rPr>
              <w:t>的基础分</w:t>
            </w:r>
          </w:p>
        </w:tc>
        <w:tc>
          <w:tcPr>
            <w:tcW w:w="1668" w:type="pct"/>
            <w:tcBorders>
              <w:top w:val="single" w:color="auto" w:sz="12" w:space="0"/>
              <w:tl2br w:val="nil"/>
              <w:tr2bl w:val="nil"/>
            </w:tcBorders>
            <w:vAlign w:val="center"/>
          </w:tcPr>
          <w:p w14:paraId="4BF36187">
            <w:pPr>
              <w:pStyle w:val="26"/>
              <w:keepNext w:val="0"/>
              <w:keepLines w:val="0"/>
              <w:widowControl/>
              <w:suppressLineNumbers w:val="0"/>
              <w:spacing w:before="0" w:beforeAutospacing="0" w:after="0" w:afterAutospacing="0"/>
              <w:ind w:left="0" w:right="0" w:firstLine="0" w:firstLineChars="0"/>
              <w:rPr>
                <w:rFonts w:hint="default" w:hAnsi="宋体" w:cs="宋体"/>
                <w:sz w:val="18"/>
                <w:szCs w:val="18"/>
                <w:highlight w:val="none"/>
              </w:rPr>
            </w:pPr>
            <w:r>
              <w:rPr>
                <w:rFonts w:hint="eastAsia" w:hAnsi="宋体" w:cs="宋体"/>
                <w:sz w:val="18"/>
                <w:szCs w:val="18"/>
                <w:highlight w:val="none"/>
              </w:rPr>
              <w:t>每多获得一项省部级、市级、区级行业资质荣誉，分别加1分、0.5分、0.3分</w:t>
            </w:r>
          </w:p>
        </w:tc>
        <w:tc>
          <w:tcPr>
            <w:tcW w:w="533" w:type="pct"/>
            <w:tcBorders>
              <w:top w:val="single" w:color="auto" w:sz="12" w:space="0"/>
              <w:tl2br w:val="nil"/>
              <w:tr2bl w:val="nil"/>
            </w:tcBorders>
            <w:vAlign w:val="center"/>
          </w:tcPr>
          <w:p w14:paraId="2CEDF07A">
            <w:pPr>
              <w:pStyle w:val="26"/>
              <w:keepNext w:val="0"/>
              <w:keepLines w:val="0"/>
              <w:widowControl/>
              <w:suppressLineNumbers w:val="0"/>
              <w:spacing w:before="0" w:beforeAutospacing="0" w:after="0" w:afterAutospacing="0"/>
              <w:ind w:left="0" w:right="0" w:firstLine="0" w:firstLineChars="0"/>
              <w:jc w:val="center"/>
              <w:rPr>
                <w:rFonts w:hint="default" w:hAnsi="宋体" w:cs="宋体"/>
                <w:sz w:val="18"/>
                <w:szCs w:val="18"/>
                <w:highlight w:val="none"/>
              </w:rPr>
            </w:pPr>
            <w:r>
              <w:rPr>
                <w:rFonts w:hint="eastAsia" w:hAnsi="宋体" w:cs="宋体"/>
                <w:sz w:val="18"/>
                <w:szCs w:val="18"/>
                <w:highlight w:val="none"/>
              </w:rPr>
              <w:t>5</w:t>
            </w:r>
          </w:p>
        </w:tc>
      </w:tr>
    </w:tbl>
    <w:p w14:paraId="0FA84E7F">
      <w:pPr>
        <w:pStyle w:val="51"/>
        <w:spacing w:before="156" w:after="156"/>
        <w:rPr>
          <w:rFonts w:ascii="Times New Roman"/>
          <w:highlight w:val="none"/>
        </w:rPr>
      </w:pPr>
      <w:r>
        <w:rPr>
          <w:rFonts w:ascii="Times New Roman"/>
          <w:highlight w:val="none"/>
        </w:rPr>
        <w:t>环境表现</w:t>
      </w:r>
    </w:p>
    <w:p w14:paraId="4F2CE506">
      <w:pPr>
        <w:numPr>
          <w:ilvl w:val="3"/>
          <w:numId w:val="2"/>
        </w:numPr>
        <w:spacing w:before="156" w:beforeLines="50" w:after="156" w:afterLines="50"/>
        <w:ind w:left="0" w:firstLine="0"/>
        <w:outlineLvl w:val="4"/>
        <w:rPr>
          <w:rFonts w:eastAsia="黑体"/>
          <w:szCs w:val="21"/>
          <w:highlight w:val="none"/>
        </w:rPr>
      </w:pPr>
      <w:r>
        <w:rPr>
          <w:rFonts w:hint="eastAsia" w:eastAsia="黑体"/>
          <w:szCs w:val="21"/>
          <w:highlight w:val="none"/>
        </w:rPr>
        <w:t>温室气体</w:t>
      </w:r>
      <w:r>
        <w:rPr>
          <w:rFonts w:eastAsia="黑体"/>
          <w:szCs w:val="21"/>
          <w:highlight w:val="none"/>
        </w:rPr>
        <w:t>排放</w:t>
      </w:r>
      <w:r>
        <w:rPr>
          <w:rFonts w:hint="eastAsia" w:eastAsia="黑体"/>
          <w:szCs w:val="21"/>
          <w:highlight w:val="none"/>
        </w:rPr>
        <w:t>水平</w:t>
      </w:r>
    </w:p>
    <w:p w14:paraId="0EFCB90B">
      <w:pPr>
        <w:autoSpaceDE w:val="0"/>
        <w:autoSpaceDN w:val="0"/>
        <w:ind w:firstLine="420" w:firstLineChars="200"/>
        <w:rPr>
          <w:rFonts w:hint="eastAsia" w:ascii="宋体" w:hAnsi="宋体" w:cs="宋体"/>
          <w:highlight w:val="none"/>
        </w:rPr>
      </w:pPr>
      <w:r>
        <w:rPr>
          <w:rFonts w:hint="eastAsia" w:ascii="宋体" w:hAnsi="宋体" w:cs="宋体"/>
          <w:highlight w:val="none"/>
        </w:rPr>
        <w:t>从企事业单位自身生产运营过程向环境排放温室气体的情况进行评价，具体评分规则见表</w:t>
      </w:r>
      <w:r>
        <w:rPr>
          <w:rFonts w:hint="eastAsia" w:ascii="宋体" w:hAnsi="宋体" w:cs="宋体"/>
          <w:highlight w:val="none"/>
          <w:lang w:val="en-US" w:eastAsia="zh-CN"/>
        </w:rPr>
        <w:t>12</w:t>
      </w:r>
      <w:r>
        <w:rPr>
          <w:rFonts w:hint="eastAsia" w:ascii="宋体" w:hAnsi="宋体" w:cs="宋体"/>
          <w:highlight w:val="none"/>
        </w:rPr>
        <w:t>。碳排放量核算方法参照</w:t>
      </w:r>
      <w:r>
        <w:rPr>
          <w:rFonts w:hint="eastAsia" w:ascii="宋体" w:hAnsi="宋体" w:cs="宋体"/>
          <w:highlight w:val="none"/>
          <w:lang w:val="en-US" w:eastAsia="zh-CN"/>
        </w:rPr>
        <w:t>GB/T 32150、</w:t>
      </w:r>
      <w:r>
        <w:rPr>
          <w:rFonts w:hint="eastAsia" w:ascii="宋体" w:hAnsi="宋体" w:cs="宋体"/>
          <w:highlight w:val="none"/>
        </w:rPr>
        <w:t>SZDB/Z 69</w:t>
      </w:r>
      <w:r>
        <w:rPr>
          <w:rFonts w:hint="eastAsia" w:ascii="宋体" w:hAnsi="宋体" w:cs="宋体"/>
          <w:highlight w:val="none"/>
          <w:lang w:val="en-US" w:eastAsia="zh-CN"/>
        </w:rPr>
        <w:t>等相关</w:t>
      </w:r>
      <w:r>
        <w:rPr>
          <w:rFonts w:hint="eastAsia" w:ascii="宋体" w:hAnsi="宋体" w:cs="宋体"/>
          <w:highlight w:val="none"/>
        </w:rPr>
        <w:t>政府职能部门印发的</w:t>
      </w:r>
      <w:r>
        <w:rPr>
          <w:rFonts w:hint="eastAsia" w:ascii="宋体" w:hAnsi="宋体" w:cs="宋体"/>
          <w:highlight w:val="none"/>
          <w:lang w:val="en-US" w:eastAsia="zh-CN"/>
        </w:rPr>
        <w:t>规范性</w:t>
      </w:r>
      <w:r>
        <w:rPr>
          <w:rFonts w:hint="eastAsia" w:ascii="宋体" w:hAnsi="宋体" w:cs="宋体"/>
          <w:highlight w:val="none"/>
        </w:rPr>
        <w:t>文件，宜以碳排放核查机构出具的报告数据为准。</w:t>
      </w:r>
    </w:p>
    <w:p w14:paraId="2F8B3BBB">
      <w:pPr>
        <w:pStyle w:val="131"/>
        <w:ind w:left="0" w:firstLine="0"/>
        <w:rPr>
          <w:rFonts w:ascii="Times New Roman"/>
          <w:highlight w:val="none"/>
        </w:rPr>
      </w:pPr>
      <w:r>
        <w:rPr>
          <w:rFonts w:hint="eastAsia" w:ascii="Times New Roman"/>
          <w:highlight w:val="none"/>
        </w:rPr>
        <w:t>温室气体</w:t>
      </w:r>
      <w:r>
        <w:rPr>
          <w:rFonts w:ascii="Times New Roman"/>
          <w:highlight w:val="none"/>
        </w:rPr>
        <w:t>排放</w:t>
      </w:r>
      <w:r>
        <w:rPr>
          <w:rFonts w:hint="eastAsia" w:ascii="Times New Roman"/>
          <w:highlight w:val="none"/>
        </w:rPr>
        <w:t>水平</w:t>
      </w:r>
      <w:r>
        <w:rPr>
          <w:rFonts w:ascii="Times New Roman"/>
          <w:highlight w:val="none"/>
        </w:rPr>
        <w:t>评分规则</w:t>
      </w:r>
    </w:p>
    <w:tbl>
      <w:tblPr>
        <w:tblStyle w:val="36"/>
        <w:tblW w:w="4998"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8238"/>
        <w:gridCol w:w="1328"/>
      </w:tblGrid>
      <w:tr w14:paraId="3EC7715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306" w:type="pct"/>
            <w:tcBorders>
              <w:bottom w:val="single" w:color="auto" w:sz="12" w:space="0"/>
            </w:tcBorders>
            <w:vAlign w:val="center"/>
          </w:tcPr>
          <w:p w14:paraId="19F2E7BC">
            <w:pPr>
              <w:keepNext w:val="0"/>
              <w:keepLines w:val="0"/>
              <w:suppressLineNumbers w:val="0"/>
              <w:autoSpaceDE w:val="0"/>
              <w:autoSpaceDN w:val="0"/>
              <w:spacing w:before="0" w:beforeAutospacing="0" w:after="0" w:afterAutospacing="0"/>
              <w:ind w:left="0" w:right="0"/>
              <w:jc w:val="center"/>
              <w:rPr>
                <w:rFonts w:hint="default"/>
                <w:b/>
                <w:bCs/>
                <w:sz w:val="18"/>
                <w:szCs w:val="18"/>
                <w:highlight w:val="none"/>
              </w:rPr>
            </w:pPr>
            <w:r>
              <w:rPr>
                <w:rFonts w:hint="default"/>
                <w:b/>
                <w:bCs/>
                <w:sz w:val="18"/>
                <w:szCs w:val="18"/>
                <w:highlight w:val="none"/>
              </w:rPr>
              <w:t>温室气体排放水平</w:t>
            </w:r>
          </w:p>
        </w:tc>
        <w:tc>
          <w:tcPr>
            <w:tcW w:w="693" w:type="pct"/>
            <w:tcBorders>
              <w:bottom w:val="single" w:color="auto" w:sz="12" w:space="0"/>
            </w:tcBorders>
            <w:vAlign w:val="center"/>
          </w:tcPr>
          <w:p w14:paraId="42E4162F">
            <w:pPr>
              <w:keepNext w:val="0"/>
              <w:keepLines w:val="0"/>
              <w:suppressLineNumbers w:val="0"/>
              <w:autoSpaceDE w:val="0"/>
              <w:autoSpaceDN w:val="0"/>
              <w:spacing w:before="0" w:beforeAutospacing="0" w:after="0" w:afterAutospacing="0"/>
              <w:ind w:left="0" w:right="0"/>
              <w:jc w:val="center"/>
              <w:rPr>
                <w:rFonts w:hint="default"/>
                <w:b/>
                <w:bCs/>
                <w:sz w:val="18"/>
                <w:szCs w:val="18"/>
                <w:highlight w:val="none"/>
              </w:rPr>
            </w:pPr>
            <w:r>
              <w:rPr>
                <w:rFonts w:hint="default"/>
                <w:b/>
                <w:bCs/>
                <w:sz w:val="18"/>
                <w:szCs w:val="18"/>
                <w:highlight w:val="none"/>
              </w:rPr>
              <w:t>分值</w:t>
            </w:r>
            <w:r>
              <w:rPr>
                <w:rFonts w:hint="eastAsia"/>
                <w:b/>
                <w:bCs/>
                <w:sz w:val="18"/>
                <w:szCs w:val="18"/>
                <w:highlight w:val="none"/>
              </w:rPr>
              <w:t>（分）</w:t>
            </w:r>
          </w:p>
        </w:tc>
      </w:tr>
      <w:tr w14:paraId="71FAB74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306" w:type="pct"/>
            <w:tcBorders>
              <w:top w:val="single" w:color="auto" w:sz="12" w:space="0"/>
              <w:tl2br w:val="nil"/>
              <w:tr2bl w:val="nil"/>
            </w:tcBorders>
            <w:vAlign w:val="center"/>
          </w:tcPr>
          <w:p w14:paraId="3C256CBB">
            <w:pPr>
              <w:keepNext w:val="0"/>
              <w:keepLines w:val="0"/>
              <w:suppressLineNumbers w:val="0"/>
              <w:autoSpaceDE w:val="0"/>
              <w:autoSpaceDN w:val="0"/>
              <w:spacing w:before="0" w:beforeAutospacing="0" w:after="0" w:afterAutospacing="0"/>
              <w:ind w:left="0" w:right="0"/>
              <w:rPr>
                <w:rFonts w:hint="default" w:ascii="宋体" w:hAnsi="宋体" w:cs="宋体"/>
                <w:sz w:val="18"/>
                <w:szCs w:val="18"/>
                <w:highlight w:val="none"/>
              </w:rPr>
            </w:pPr>
            <w:r>
              <w:rPr>
                <w:rFonts w:hint="eastAsia" w:ascii="宋体" w:hAnsi="宋体" w:cs="宋体"/>
                <w:sz w:val="18"/>
                <w:szCs w:val="18"/>
                <w:highlight w:val="none"/>
              </w:rPr>
              <w:t>生产制造类企业碳排放强度相较上一年度的下降比例</w:t>
            </w:r>
            <w:r>
              <w:rPr>
                <w:rFonts w:hint="eastAsia" w:ascii="宋体" w:hAnsi="宋体" w:cs="宋体"/>
                <w:sz w:val="18"/>
                <w:szCs w:val="18"/>
                <w:highlight w:val="none"/>
                <w:lang w:val="en-US" w:eastAsia="zh-CN"/>
              </w:rPr>
              <w:t>大于等于</w:t>
            </w:r>
            <w:r>
              <w:rPr>
                <w:rFonts w:hint="eastAsia" w:ascii="宋体" w:hAnsi="宋体" w:cs="宋体"/>
                <w:sz w:val="18"/>
                <w:szCs w:val="18"/>
                <w:highlight w:val="none"/>
              </w:rPr>
              <w:t>6%</w:t>
            </w:r>
          </w:p>
          <w:p w14:paraId="7B299183">
            <w:pPr>
              <w:keepNext w:val="0"/>
              <w:keepLines w:val="0"/>
              <w:suppressLineNumbers w:val="0"/>
              <w:autoSpaceDE w:val="0"/>
              <w:autoSpaceDN w:val="0"/>
              <w:spacing w:before="0" w:beforeAutospacing="0" w:after="0" w:afterAutospacing="0"/>
              <w:ind w:left="0" w:right="0"/>
              <w:rPr>
                <w:rFonts w:hint="default" w:ascii="宋体" w:hAnsi="宋体" w:cs="宋体"/>
                <w:sz w:val="18"/>
                <w:szCs w:val="18"/>
                <w:highlight w:val="none"/>
              </w:rPr>
            </w:pPr>
            <w:r>
              <w:rPr>
                <w:rFonts w:hint="eastAsia" w:ascii="宋体" w:hAnsi="宋体" w:cs="宋体"/>
                <w:sz w:val="18"/>
                <w:szCs w:val="18"/>
                <w:highlight w:val="none"/>
              </w:rPr>
              <w:t>建设运营类企业碳排放强度相较上一年度的下降比例</w:t>
            </w:r>
            <w:r>
              <w:rPr>
                <w:rFonts w:hint="eastAsia" w:ascii="宋体" w:hAnsi="宋体" w:cs="宋体"/>
                <w:sz w:val="18"/>
                <w:szCs w:val="18"/>
                <w:highlight w:val="none"/>
                <w:lang w:val="en-US" w:eastAsia="zh-CN"/>
              </w:rPr>
              <w:t>大于等于</w:t>
            </w:r>
            <w:r>
              <w:rPr>
                <w:rFonts w:hint="eastAsia" w:ascii="宋体" w:hAnsi="宋体" w:cs="宋体"/>
                <w:sz w:val="18"/>
                <w:szCs w:val="18"/>
                <w:highlight w:val="none"/>
              </w:rPr>
              <w:t>3%</w:t>
            </w:r>
          </w:p>
        </w:tc>
        <w:tc>
          <w:tcPr>
            <w:tcW w:w="693" w:type="pct"/>
            <w:tcBorders>
              <w:top w:val="single" w:color="auto" w:sz="12" w:space="0"/>
              <w:tl2br w:val="nil"/>
              <w:tr2bl w:val="nil"/>
            </w:tcBorders>
            <w:vAlign w:val="center"/>
          </w:tcPr>
          <w:p w14:paraId="0A086BCB">
            <w:pPr>
              <w:keepNext w:val="0"/>
              <w:keepLines w:val="0"/>
              <w:suppressLineNumbers w:val="0"/>
              <w:autoSpaceDE w:val="0"/>
              <w:autoSpaceDN w:val="0"/>
              <w:spacing w:before="0" w:beforeAutospacing="0" w:after="0" w:afterAutospacing="0"/>
              <w:ind w:left="0" w:right="0"/>
              <w:jc w:val="center"/>
              <w:rPr>
                <w:rFonts w:hint="default" w:ascii="宋体" w:hAnsi="宋体" w:cs="宋体"/>
                <w:sz w:val="18"/>
                <w:szCs w:val="18"/>
                <w:highlight w:val="none"/>
              </w:rPr>
            </w:pPr>
            <w:r>
              <w:rPr>
                <w:rFonts w:hint="eastAsia" w:ascii="宋体" w:hAnsi="宋体" w:cs="宋体"/>
                <w:sz w:val="18"/>
                <w:szCs w:val="18"/>
                <w:highlight w:val="none"/>
              </w:rPr>
              <w:t>4</w:t>
            </w:r>
          </w:p>
        </w:tc>
      </w:tr>
      <w:tr w14:paraId="72F70BE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306" w:type="pct"/>
            <w:tcBorders>
              <w:tl2br w:val="nil"/>
              <w:tr2bl w:val="nil"/>
            </w:tcBorders>
            <w:vAlign w:val="center"/>
          </w:tcPr>
          <w:p w14:paraId="5D619374">
            <w:pPr>
              <w:keepNext w:val="0"/>
              <w:keepLines w:val="0"/>
              <w:suppressLineNumbers w:val="0"/>
              <w:autoSpaceDE w:val="0"/>
              <w:autoSpaceDN w:val="0"/>
              <w:spacing w:before="0" w:beforeAutospacing="0" w:after="0" w:afterAutospacing="0"/>
              <w:ind w:left="0" w:right="0"/>
              <w:rPr>
                <w:rFonts w:hint="default" w:ascii="宋体" w:hAnsi="宋体" w:cs="宋体"/>
                <w:sz w:val="18"/>
                <w:szCs w:val="18"/>
                <w:highlight w:val="none"/>
              </w:rPr>
            </w:pPr>
            <w:r>
              <w:rPr>
                <w:rFonts w:hint="eastAsia" w:ascii="宋体" w:hAnsi="宋体" w:cs="宋体"/>
                <w:sz w:val="18"/>
                <w:szCs w:val="18"/>
                <w:highlight w:val="none"/>
              </w:rPr>
              <w:t>生产制造类企业碳排放强度相较上一年度的下降比例</w:t>
            </w:r>
            <w:r>
              <w:rPr>
                <w:rFonts w:hint="eastAsia" w:ascii="宋体" w:hAnsi="宋体" w:cs="宋体"/>
                <w:sz w:val="18"/>
                <w:szCs w:val="18"/>
                <w:highlight w:val="none"/>
                <w:lang w:val="en-US" w:eastAsia="zh-CN"/>
              </w:rPr>
              <w:t>大于等于</w:t>
            </w:r>
            <w:r>
              <w:rPr>
                <w:rFonts w:hint="eastAsia" w:ascii="宋体" w:hAnsi="宋体" w:cs="宋体"/>
                <w:sz w:val="18"/>
                <w:szCs w:val="18"/>
                <w:highlight w:val="none"/>
              </w:rPr>
              <w:t>3%、</w:t>
            </w:r>
            <w:r>
              <w:rPr>
                <w:rFonts w:hint="eastAsia" w:ascii="宋体" w:hAnsi="宋体" w:cs="宋体"/>
                <w:sz w:val="18"/>
                <w:szCs w:val="18"/>
                <w:highlight w:val="none"/>
                <w:lang w:val="en-US" w:eastAsia="zh-CN"/>
              </w:rPr>
              <w:t>小于</w:t>
            </w:r>
            <w:r>
              <w:rPr>
                <w:rFonts w:hint="eastAsia" w:ascii="宋体" w:hAnsi="宋体" w:cs="宋体"/>
                <w:sz w:val="18"/>
                <w:szCs w:val="18"/>
                <w:highlight w:val="none"/>
              </w:rPr>
              <w:t>6%</w:t>
            </w:r>
          </w:p>
          <w:p w14:paraId="31BAC76B">
            <w:pPr>
              <w:keepNext w:val="0"/>
              <w:keepLines w:val="0"/>
              <w:suppressLineNumbers w:val="0"/>
              <w:autoSpaceDE w:val="0"/>
              <w:autoSpaceDN w:val="0"/>
              <w:spacing w:before="0" w:beforeAutospacing="0" w:after="0" w:afterAutospacing="0"/>
              <w:ind w:left="0" w:right="0"/>
              <w:rPr>
                <w:rFonts w:hint="default" w:ascii="宋体" w:hAnsi="宋体" w:cs="宋体"/>
                <w:sz w:val="18"/>
                <w:szCs w:val="18"/>
                <w:highlight w:val="none"/>
              </w:rPr>
            </w:pPr>
            <w:r>
              <w:rPr>
                <w:rFonts w:hint="eastAsia" w:ascii="宋体" w:hAnsi="宋体" w:cs="宋体"/>
                <w:sz w:val="18"/>
                <w:szCs w:val="18"/>
                <w:highlight w:val="none"/>
              </w:rPr>
              <w:t>建设运营类企业碳排放强度相较上一年度的下降比例</w:t>
            </w:r>
            <w:r>
              <w:rPr>
                <w:rFonts w:hint="eastAsia" w:ascii="宋体" w:hAnsi="宋体" w:cs="宋体"/>
                <w:sz w:val="18"/>
                <w:szCs w:val="18"/>
                <w:highlight w:val="none"/>
                <w:lang w:val="en-US" w:eastAsia="zh-CN"/>
              </w:rPr>
              <w:t>大于等于</w:t>
            </w:r>
            <w:r>
              <w:rPr>
                <w:rFonts w:hint="eastAsia" w:ascii="宋体" w:hAnsi="宋体" w:cs="宋体"/>
                <w:sz w:val="18"/>
                <w:szCs w:val="18"/>
                <w:highlight w:val="none"/>
              </w:rPr>
              <w:t>1%、</w:t>
            </w:r>
            <w:r>
              <w:rPr>
                <w:rFonts w:hint="eastAsia" w:ascii="宋体" w:hAnsi="宋体" w:cs="宋体"/>
                <w:sz w:val="18"/>
                <w:szCs w:val="18"/>
                <w:highlight w:val="none"/>
                <w:lang w:val="en-US" w:eastAsia="zh-CN"/>
              </w:rPr>
              <w:t>小于</w:t>
            </w:r>
            <w:r>
              <w:rPr>
                <w:rFonts w:hint="eastAsia" w:ascii="宋体" w:hAnsi="宋体" w:cs="宋体"/>
                <w:sz w:val="18"/>
                <w:szCs w:val="18"/>
                <w:highlight w:val="none"/>
              </w:rPr>
              <w:t>3%</w:t>
            </w:r>
          </w:p>
        </w:tc>
        <w:tc>
          <w:tcPr>
            <w:tcW w:w="693" w:type="pct"/>
            <w:tcBorders>
              <w:tl2br w:val="nil"/>
              <w:tr2bl w:val="nil"/>
            </w:tcBorders>
            <w:vAlign w:val="center"/>
          </w:tcPr>
          <w:p w14:paraId="2BCCF5D0">
            <w:pPr>
              <w:keepNext w:val="0"/>
              <w:keepLines w:val="0"/>
              <w:suppressLineNumbers w:val="0"/>
              <w:autoSpaceDE w:val="0"/>
              <w:autoSpaceDN w:val="0"/>
              <w:spacing w:before="0" w:beforeAutospacing="0" w:after="0" w:afterAutospacing="0"/>
              <w:ind w:left="0" w:right="0"/>
              <w:jc w:val="center"/>
              <w:rPr>
                <w:rFonts w:hint="default" w:ascii="宋体" w:hAnsi="宋体" w:cs="宋体"/>
                <w:sz w:val="18"/>
                <w:szCs w:val="18"/>
                <w:highlight w:val="none"/>
              </w:rPr>
            </w:pPr>
            <w:r>
              <w:rPr>
                <w:rFonts w:hint="eastAsia" w:ascii="宋体" w:hAnsi="宋体" w:cs="宋体"/>
                <w:sz w:val="18"/>
                <w:szCs w:val="18"/>
                <w:highlight w:val="none"/>
              </w:rPr>
              <w:t>2</w:t>
            </w:r>
          </w:p>
        </w:tc>
      </w:tr>
      <w:tr w14:paraId="4F9D94E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306" w:type="pct"/>
            <w:tcBorders>
              <w:tl2br w:val="nil"/>
              <w:tr2bl w:val="nil"/>
            </w:tcBorders>
            <w:vAlign w:val="center"/>
          </w:tcPr>
          <w:p w14:paraId="2FE27170">
            <w:pPr>
              <w:keepNext w:val="0"/>
              <w:keepLines w:val="0"/>
              <w:suppressLineNumbers w:val="0"/>
              <w:autoSpaceDE w:val="0"/>
              <w:autoSpaceDN w:val="0"/>
              <w:spacing w:before="0" w:beforeAutospacing="0" w:after="0" w:afterAutospacing="0"/>
              <w:ind w:left="0" w:right="0"/>
              <w:rPr>
                <w:rFonts w:hint="default" w:ascii="宋体" w:hAnsi="宋体" w:cs="宋体"/>
                <w:sz w:val="18"/>
                <w:szCs w:val="18"/>
                <w:highlight w:val="none"/>
              </w:rPr>
            </w:pPr>
            <w:r>
              <w:rPr>
                <w:rFonts w:hint="eastAsia" w:ascii="宋体" w:hAnsi="宋体" w:cs="宋体"/>
                <w:sz w:val="18"/>
                <w:szCs w:val="18"/>
                <w:highlight w:val="none"/>
                <w:lang w:val="en-US" w:eastAsia="zh-CN"/>
              </w:rPr>
              <w:t>未</w:t>
            </w:r>
            <w:r>
              <w:rPr>
                <w:rFonts w:hint="eastAsia" w:ascii="宋体" w:hAnsi="宋体" w:cs="宋体"/>
                <w:sz w:val="18"/>
                <w:szCs w:val="18"/>
                <w:highlight w:val="none"/>
              </w:rPr>
              <w:t>满足上述任何一项</w:t>
            </w:r>
          </w:p>
        </w:tc>
        <w:tc>
          <w:tcPr>
            <w:tcW w:w="693" w:type="pct"/>
            <w:tcBorders>
              <w:tl2br w:val="nil"/>
              <w:tr2bl w:val="nil"/>
            </w:tcBorders>
            <w:vAlign w:val="center"/>
          </w:tcPr>
          <w:p w14:paraId="242F5764">
            <w:pPr>
              <w:keepNext w:val="0"/>
              <w:keepLines w:val="0"/>
              <w:suppressLineNumbers w:val="0"/>
              <w:autoSpaceDE w:val="0"/>
              <w:autoSpaceDN w:val="0"/>
              <w:spacing w:before="0" w:beforeAutospacing="0" w:after="0" w:afterAutospacing="0"/>
              <w:ind w:left="0" w:right="0"/>
              <w:jc w:val="center"/>
              <w:rPr>
                <w:rFonts w:hint="default" w:ascii="宋体" w:hAnsi="宋体" w:cs="宋体"/>
                <w:sz w:val="18"/>
                <w:szCs w:val="18"/>
                <w:highlight w:val="none"/>
              </w:rPr>
            </w:pPr>
            <w:r>
              <w:rPr>
                <w:rFonts w:hint="eastAsia" w:ascii="宋体" w:hAnsi="宋体" w:cs="宋体"/>
                <w:sz w:val="18"/>
                <w:szCs w:val="18"/>
                <w:highlight w:val="none"/>
              </w:rPr>
              <w:t>0</w:t>
            </w:r>
          </w:p>
        </w:tc>
      </w:tr>
      <w:tr w14:paraId="4D0F894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000" w:type="pct"/>
            <w:gridSpan w:val="2"/>
            <w:tcBorders>
              <w:tl2br w:val="nil"/>
              <w:tr2bl w:val="nil"/>
            </w:tcBorders>
            <w:vAlign w:val="center"/>
          </w:tcPr>
          <w:p w14:paraId="55908614">
            <w:pPr>
              <w:keepNext w:val="0"/>
              <w:keepLines w:val="0"/>
              <w:widowControl w:val="0"/>
              <w:numPr>
                <w:ilvl w:val="0"/>
                <w:numId w:val="22"/>
              </w:numPr>
              <w:suppressLineNumbers w:val="0"/>
              <w:autoSpaceDE w:val="0"/>
              <w:autoSpaceDN w:val="0"/>
              <w:spacing w:before="0" w:beforeAutospacing="0" w:after="0" w:afterAutospacing="0"/>
              <w:ind w:left="809" w:leftChars="171" w:right="0" w:hanging="450" w:hangingChars="250"/>
              <w:jc w:val="both"/>
              <w:rPr>
                <w:rFonts w:hint="eastAsia" w:ascii="宋体" w:hAnsi="宋体" w:cs="宋体"/>
                <w:sz w:val="18"/>
                <w:szCs w:val="18"/>
                <w:highlight w:val="none"/>
              </w:rPr>
            </w:pPr>
            <w:r>
              <w:rPr>
                <w:rFonts w:hint="eastAsia" w:ascii="宋体" w:hAnsi="Times New Roman" w:eastAsia="宋体" w:cs="Times New Roman"/>
                <w:sz w:val="18"/>
                <w:szCs w:val="18"/>
                <w:highlight w:val="none"/>
                <w:lang w:val="en-US" w:eastAsia="zh-CN" w:bidi="ar-SA"/>
              </w:rPr>
              <w:t>生产制造类企事业单位是以生产制造为主要业务，通过生产过程将原材料转化为具有特定功能和性能产品的企事业单位；建设运营类企事业单位是以建设、开发、运营和管理各类基础设施和公共设施为主营业务，为社会提供必要的公共服务和产品的企事业单位。</w:t>
            </w:r>
          </w:p>
          <w:p w14:paraId="2C6FF56D">
            <w:pPr>
              <w:keepNext w:val="0"/>
              <w:keepLines w:val="0"/>
              <w:widowControl w:val="0"/>
              <w:numPr>
                <w:ilvl w:val="0"/>
                <w:numId w:val="22"/>
              </w:numPr>
              <w:suppressLineNumbers w:val="0"/>
              <w:autoSpaceDE w:val="0"/>
              <w:autoSpaceDN w:val="0"/>
              <w:spacing w:before="0" w:beforeAutospacing="0" w:after="0" w:afterAutospacing="0"/>
              <w:ind w:left="809" w:leftChars="171" w:right="0" w:hanging="450" w:hangingChars="250"/>
              <w:jc w:val="both"/>
              <w:rPr>
                <w:rFonts w:hint="eastAsia" w:ascii="宋体" w:hAnsi="宋体" w:cs="宋体"/>
                <w:sz w:val="18"/>
                <w:szCs w:val="18"/>
                <w:highlight w:val="none"/>
              </w:rPr>
            </w:pPr>
            <w:r>
              <w:rPr>
                <w:rFonts w:hint="default" w:ascii="宋体" w:hAnsi="Times New Roman" w:eastAsia="宋体" w:cs="Times New Roman"/>
                <w:sz w:val="18"/>
                <w:szCs w:val="18"/>
                <w:highlight w:val="none"/>
                <w:lang w:val="en-US" w:eastAsia="zh-CN" w:bidi="ar-SA"/>
              </w:rPr>
              <w:t>碳排放强度为</w:t>
            </w:r>
            <w:r>
              <w:rPr>
                <w:rFonts w:hint="eastAsia" w:ascii="宋体" w:hAnsi="Times New Roman" w:eastAsia="宋体" w:cs="Times New Roman"/>
                <w:sz w:val="18"/>
                <w:szCs w:val="18"/>
                <w:highlight w:val="none"/>
                <w:lang w:val="en-US" w:eastAsia="zh-CN" w:bidi="ar-SA"/>
              </w:rPr>
              <w:t>碳排放量</w:t>
            </w:r>
            <w:r>
              <w:rPr>
                <w:rFonts w:hint="default" w:ascii="宋体" w:hAnsi="Times New Roman" w:eastAsia="宋体" w:cs="Times New Roman"/>
                <w:sz w:val="18"/>
                <w:szCs w:val="18"/>
                <w:highlight w:val="none"/>
                <w:lang w:val="en-US" w:eastAsia="zh-CN" w:bidi="ar-SA"/>
              </w:rPr>
              <w:t>与</w:t>
            </w:r>
            <w:r>
              <w:rPr>
                <w:rFonts w:hint="eastAsia" w:ascii="宋体" w:hAnsi="Times New Roman" w:eastAsia="宋体" w:cs="Times New Roman"/>
                <w:sz w:val="18"/>
                <w:szCs w:val="18"/>
                <w:highlight w:val="none"/>
                <w:lang w:val="en-US" w:eastAsia="zh-CN" w:bidi="ar-SA"/>
              </w:rPr>
              <w:t>生产活动产出数据</w:t>
            </w:r>
            <w:r>
              <w:rPr>
                <w:rFonts w:hint="default" w:ascii="宋体" w:hAnsi="Times New Roman" w:eastAsia="宋体" w:cs="Times New Roman"/>
                <w:sz w:val="18"/>
                <w:szCs w:val="18"/>
                <w:highlight w:val="none"/>
                <w:lang w:val="en-US" w:eastAsia="zh-CN" w:bidi="ar-SA"/>
              </w:rPr>
              <w:t>的比值</w:t>
            </w:r>
            <w:r>
              <w:rPr>
                <w:rFonts w:hint="eastAsia" w:ascii="宋体" w:hAnsi="Times New Roman" w:eastAsia="宋体" w:cs="Times New Roman"/>
                <w:sz w:val="18"/>
                <w:szCs w:val="18"/>
                <w:highlight w:val="none"/>
                <w:lang w:val="en-US" w:eastAsia="zh-CN" w:bidi="ar-SA"/>
              </w:rPr>
              <w:t>，生产活动产出数据根据企事业单位所属行业的不同，包括增加值等统计指标数据。</w:t>
            </w:r>
          </w:p>
        </w:tc>
      </w:tr>
    </w:tbl>
    <w:p w14:paraId="7C6CDB93">
      <w:pPr>
        <w:pStyle w:val="56"/>
        <w:numPr>
          <w:ilvl w:val="3"/>
          <w:numId w:val="2"/>
        </w:numPr>
        <w:spacing w:before="156" w:after="156"/>
        <w:rPr>
          <w:rFonts w:ascii="Times New Roman"/>
          <w:highlight w:val="none"/>
        </w:rPr>
      </w:pPr>
      <w:r>
        <w:rPr>
          <w:rFonts w:ascii="Times New Roman"/>
          <w:highlight w:val="none"/>
        </w:rPr>
        <w:t>工艺设备材料</w:t>
      </w:r>
    </w:p>
    <w:p w14:paraId="5A8BA3A8">
      <w:pPr>
        <w:pStyle w:val="26"/>
        <w:rPr>
          <w:rFonts w:hint="eastAsia" w:hAnsi="宋体" w:cs="宋体"/>
          <w:highlight w:val="none"/>
        </w:rPr>
      </w:pPr>
      <w:r>
        <w:rPr>
          <w:rFonts w:hint="eastAsia" w:hAnsi="宋体" w:cs="宋体"/>
          <w:highlight w:val="none"/>
        </w:rPr>
        <w:t>从企事业单位自身生产运营过程采用工艺、设备及原材料的绿色化水平进行综合评价，具体评分规则见表</w:t>
      </w:r>
      <w:r>
        <w:rPr>
          <w:rFonts w:hint="eastAsia" w:hAnsi="宋体" w:cs="宋体"/>
          <w:highlight w:val="none"/>
          <w:lang w:val="en-US" w:eastAsia="zh-CN"/>
        </w:rPr>
        <w:t>13</w:t>
      </w:r>
      <w:r>
        <w:rPr>
          <w:rFonts w:hint="eastAsia" w:hAnsi="宋体" w:cs="宋体"/>
          <w:highlight w:val="none"/>
        </w:rPr>
        <w:t>。工艺及设备绿色化水平宜从企事业单位选用列入</w:t>
      </w:r>
      <w:r>
        <w:rPr>
          <w:rFonts w:hint="eastAsia" w:hAnsi="宋体" w:cs="宋体"/>
          <w:highlight w:val="none"/>
          <w:lang w:val="en-US" w:eastAsia="zh-CN"/>
        </w:rPr>
        <w:t>国家节能、环保相关推荐目录的</w:t>
      </w:r>
      <w:r>
        <w:rPr>
          <w:rFonts w:hint="eastAsia" w:hAnsi="宋体" w:cs="宋体"/>
          <w:highlight w:val="none"/>
        </w:rPr>
        <w:t>工艺技术和装备设备的情况进行评价，材料绿色化水平宜从企事业单位参照《国家鼓励的有毒有害原料（产品）替代品目录》等目录实现有毒有害原材料替代的情况进行评价。</w:t>
      </w:r>
    </w:p>
    <w:p w14:paraId="4FB21E18">
      <w:pPr>
        <w:pStyle w:val="131"/>
        <w:rPr>
          <w:rFonts w:ascii="Times New Roman"/>
          <w:highlight w:val="none"/>
        </w:rPr>
      </w:pPr>
      <w:r>
        <w:rPr>
          <w:rFonts w:ascii="Times New Roman"/>
          <w:highlight w:val="none"/>
        </w:rPr>
        <w:t>工艺设备材料评分规则</w:t>
      </w:r>
    </w:p>
    <w:tbl>
      <w:tblPr>
        <w:tblStyle w:val="36"/>
        <w:tblW w:w="5087"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670"/>
        <w:gridCol w:w="1325"/>
        <w:gridCol w:w="1549"/>
        <w:gridCol w:w="1376"/>
        <w:gridCol w:w="1499"/>
        <w:gridCol w:w="1337"/>
        <w:gridCol w:w="981"/>
      </w:tblGrid>
      <w:tr w14:paraId="7179412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670" w:type="dxa"/>
            <w:tcBorders>
              <w:bottom w:val="single" w:color="auto" w:sz="12" w:space="0"/>
            </w:tcBorders>
            <w:vAlign w:val="center"/>
          </w:tcPr>
          <w:p w14:paraId="433E3159">
            <w:pPr>
              <w:pStyle w:val="26"/>
              <w:keepNext w:val="0"/>
              <w:keepLines w:val="0"/>
              <w:widowControl/>
              <w:suppressLineNumbers w:val="0"/>
              <w:spacing w:before="0" w:beforeAutospacing="0" w:after="0" w:afterAutospacing="0"/>
              <w:ind w:left="0" w:right="0" w:firstLine="0" w:firstLineChars="0"/>
              <w:jc w:val="center"/>
              <w:rPr>
                <w:rFonts w:hint="default" w:ascii="Times New Roman"/>
                <w:b/>
                <w:bCs/>
                <w:sz w:val="18"/>
                <w:szCs w:val="18"/>
                <w:highlight w:val="none"/>
              </w:rPr>
            </w:pPr>
            <w:r>
              <w:rPr>
                <w:rFonts w:hint="default" w:ascii="Times New Roman"/>
                <w:b/>
                <w:bCs/>
                <w:sz w:val="18"/>
                <w:szCs w:val="18"/>
                <w:highlight w:val="none"/>
              </w:rPr>
              <w:t>工艺绿色化水平</w:t>
            </w:r>
          </w:p>
        </w:tc>
        <w:tc>
          <w:tcPr>
            <w:tcW w:w="1325" w:type="dxa"/>
            <w:tcBorders>
              <w:bottom w:val="single" w:color="auto" w:sz="12" w:space="0"/>
            </w:tcBorders>
            <w:vAlign w:val="center"/>
          </w:tcPr>
          <w:p w14:paraId="2AA31451">
            <w:pPr>
              <w:pStyle w:val="26"/>
              <w:keepNext w:val="0"/>
              <w:keepLines w:val="0"/>
              <w:widowControl/>
              <w:suppressLineNumbers w:val="0"/>
              <w:spacing w:before="0" w:beforeAutospacing="0" w:after="0" w:afterAutospacing="0"/>
              <w:ind w:left="0" w:right="0" w:firstLine="0" w:firstLineChars="0"/>
              <w:jc w:val="center"/>
              <w:rPr>
                <w:rFonts w:hint="default" w:ascii="Times New Roman"/>
                <w:b/>
                <w:bCs/>
                <w:sz w:val="18"/>
                <w:szCs w:val="18"/>
                <w:highlight w:val="none"/>
              </w:rPr>
            </w:pPr>
            <w:r>
              <w:rPr>
                <w:rFonts w:hint="default" w:ascii="Times New Roman"/>
                <w:b/>
                <w:bCs/>
                <w:sz w:val="18"/>
                <w:szCs w:val="18"/>
                <w:highlight w:val="none"/>
              </w:rPr>
              <w:t>单项分值</w:t>
            </w:r>
            <w:r>
              <w:rPr>
                <w:rFonts w:hint="eastAsia" w:ascii="Times New Roman"/>
                <w:b/>
                <w:bCs/>
                <w:sz w:val="18"/>
                <w:szCs w:val="18"/>
                <w:highlight w:val="none"/>
              </w:rPr>
              <w:t>（分）</w:t>
            </w:r>
          </w:p>
        </w:tc>
        <w:tc>
          <w:tcPr>
            <w:tcW w:w="1549" w:type="dxa"/>
            <w:tcBorders>
              <w:bottom w:val="single" w:color="auto" w:sz="12" w:space="0"/>
            </w:tcBorders>
            <w:vAlign w:val="center"/>
          </w:tcPr>
          <w:p w14:paraId="092A52AE">
            <w:pPr>
              <w:pStyle w:val="26"/>
              <w:keepNext w:val="0"/>
              <w:keepLines w:val="0"/>
              <w:widowControl/>
              <w:suppressLineNumbers w:val="0"/>
              <w:spacing w:before="0" w:beforeAutospacing="0" w:after="0" w:afterAutospacing="0"/>
              <w:ind w:left="0" w:right="0" w:firstLine="0" w:firstLineChars="0"/>
              <w:jc w:val="center"/>
              <w:rPr>
                <w:rFonts w:hint="default" w:ascii="Times New Roman"/>
                <w:b/>
                <w:bCs/>
                <w:sz w:val="18"/>
                <w:szCs w:val="18"/>
                <w:highlight w:val="none"/>
              </w:rPr>
            </w:pPr>
            <w:r>
              <w:rPr>
                <w:rFonts w:hint="default" w:ascii="Times New Roman"/>
                <w:b/>
                <w:bCs/>
                <w:sz w:val="18"/>
                <w:szCs w:val="18"/>
                <w:highlight w:val="none"/>
              </w:rPr>
              <w:t>设备绿色化水平</w:t>
            </w:r>
          </w:p>
        </w:tc>
        <w:tc>
          <w:tcPr>
            <w:tcW w:w="1376" w:type="dxa"/>
            <w:tcBorders>
              <w:bottom w:val="single" w:color="auto" w:sz="12" w:space="0"/>
            </w:tcBorders>
            <w:vAlign w:val="center"/>
          </w:tcPr>
          <w:p w14:paraId="6A50276F">
            <w:pPr>
              <w:pStyle w:val="26"/>
              <w:keepNext w:val="0"/>
              <w:keepLines w:val="0"/>
              <w:widowControl/>
              <w:suppressLineNumbers w:val="0"/>
              <w:spacing w:before="0" w:beforeAutospacing="0" w:after="0" w:afterAutospacing="0"/>
              <w:ind w:left="0" w:right="0" w:firstLine="0" w:firstLineChars="0"/>
              <w:jc w:val="center"/>
              <w:rPr>
                <w:rFonts w:hint="default" w:ascii="Times New Roman"/>
                <w:b/>
                <w:bCs/>
                <w:sz w:val="18"/>
                <w:szCs w:val="18"/>
                <w:highlight w:val="none"/>
              </w:rPr>
            </w:pPr>
            <w:r>
              <w:rPr>
                <w:rFonts w:hint="default" w:ascii="Times New Roman"/>
                <w:b/>
                <w:bCs/>
                <w:sz w:val="18"/>
                <w:szCs w:val="18"/>
                <w:highlight w:val="none"/>
              </w:rPr>
              <w:t>单项分值</w:t>
            </w:r>
            <w:r>
              <w:rPr>
                <w:rFonts w:hint="eastAsia" w:ascii="Times New Roman"/>
                <w:b/>
                <w:bCs/>
                <w:sz w:val="18"/>
                <w:szCs w:val="18"/>
                <w:highlight w:val="none"/>
              </w:rPr>
              <w:t>（分）</w:t>
            </w:r>
          </w:p>
        </w:tc>
        <w:tc>
          <w:tcPr>
            <w:tcW w:w="1499" w:type="dxa"/>
            <w:tcBorders>
              <w:bottom w:val="single" w:color="auto" w:sz="12" w:space="0"/>
            </w:tcBorders>
            <w:vAlign w:val="center"/>
          </w:tcPr>
          <w:p w14:paraId="167FD2E0">
            <w:pPr>
              <w:pStyle w:val="26"/>
              <w:keepNext w:val="0"/>
              <w:keepLines w:val="0"/>
              <w:widowControl/>
              <w:suppressLineNumbers w:val="0"/>
              <w:spacing w:before="0" w:beforeAutospacing="0" w:after="0" w:afterAutospacing="0"/>
              <w:ind w:left="0" w:right="0" w:firstLine="0" w:firstLineChars="0"/>
              <w:jc w:val="center"/>
              <w:rPr>
                <w:rFonts w:hint="default" w:ascii="Times New Roman"/>
                <w:b/>
                <w:bCs/>
                <w:sz w:val="18"/>
                <w:szCs w:val="18"/>
                <w:highlight w:val="none"/>
              </w:rPr>
            </w:pPr>
            <w:r>
              <w:rPr>
                <w:rFonts w:hint="default" w:ascii="Times New Roman"/>
                <w:b/>
                <w:bCs/>
                <w:sz w:val="18"/>
                <w:szCs w:val="18"/>
                <w:highlight w:val="none"/>
              </w:rPr>
              <w:t>材料绿色化水平</w:t>
            </w:r>
          </w:p>
        </w:tc>
        <w:tc>
          <w:tcPr>
            <w:tcW w:w="1337" w:type="dxa"/>
            <w:tcBorders>
              <w:bottom w:val="single" w:color="auto" w:sz="12" w:space="0"/>
            </w:tcBorders>
            <w:vAlign w:val="center"/>
          </w:tcPr>
          <w:p w14:paraId="1DA2EBAE">
            <w:pPr>
              <w:pStyle w:val="26"/>
              <w:keepNext w:val="0"/>
              <w:keepLines w:val="0"/>
              <w:widowControl/>
              <w:suppressLineNumbers w:val="0"/>
              <w:spacing w:before="0" w:beforeAutospacing="0" w:after="0" w:afterAutospacing="0"/>
              <w:ind w:left="0" w:right="0" w:firstLine="0" w:firstLineChars="0"/>
              <w:jc w:val="center"/>
              <w:rPr>
                <w:rFonts w:hint="default" w:ascii="Times New Roman"/>
                <w:b/>
                <w:bCs/>
                <w:sz w:val="18"/>
                <w:szCs w:val="18"/>
                <w:highlight w:val="none"/>
              </w:rPr>
            </w:pPr>
            <w:r>
              <w:rPr>
                <w:rFonts w:hint="default" w:ascii="Times New Roman"/>
                <w:b/>
                <w:bCs/>
                <w:sz w:val="18"/>
                <w:szCs w:val="18"/>
                <w:highlight w:val="none"/>
              </w:rPr>
              <w:t>单项分值</w:t>
            </w:r>
            <w:r>
              <w:rPr>
                <w:rFonts w:hint="eastAsia" w:ascii="Times New Roman"/>
                <w:b/>
                <w:bCs/>
                <w:sz w:val="18"/>
                <w:szCs w:val="18"/>
                <w:highlight w:val="none"/>
              </w:rPr>
              <w:t>（分）</w:t>
            </w:r>
          </w:p>
        </w:tc>
        <w:tc>
          <w:tcPr>
            <w:tcW w:w="981" w:type="dxa"/>
            <w:tcBorders>
              <w:bottom w:val="single" w:color="auto" w:sz="12" w:space="0"/>
            </w:tcBorders>
            <w:vAlign w:val="center"/>
          </w:tcPr>
          <w:p w14:paraId="3E3EC79A">
            <w:pPr>
              <w:pStyle w:val="26"/>
              <w:keepNext w:val="0"/>
              <w:keepLines w:val="0"/>
              <w:widowControl/>
              <w:suppressLineNumbers w:val="0"/>
              <w:spacing w:before="0" w:beforeAutospacing="0" w:after="0" w:afterAutospacing="0"/>
              <w:ind w:left="0" w:right="0" w:firstLine="0" w:firstLineChars="0"/>
              <w:jc w:val="center"/>
              <w:rPr>
                <w:rFonts w:hint="default" w:ascii="Times New Roman"/>
                <w:b/>
                <w:bCs/>
                <w:sz w:val="18"/>
                <w:szCs w:val="18"/>
                <w:highlight w:val="none"/>
              </w:rPr>
            </w:pPr>
            <w:r>
              <w:rPr>
                <w:rFonts w:hint="default" w:ascii="Times New Roman"/>
                <w:b/>
                <w:bCs/>
                <w:sz w:val="18"/>
                <w:szCs w:val="18"/>
                <w:highlight w:val="none"/>
              </w:rPr>
              <w:t>分值</w:t>
            </w:r>
            <w:r>
              <w:rPr>
                <w:rFonts w:hint="eastAsia" w:ascii="Times New Roman"/>
                <w:b/>
                <w:bCs/>
                <w:sz w:val="18"/>
                <w:szCs w:val="18"/>
                <w:highlight w:val="none"/>
              </w:rPr>
              <w:t>（分）</w:t>
            </w:r>
          </w:p>
        </w:tc>
      </w:tr>
      <w:tr w14:paraId="2A4504F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670" w:type="dxa"/>
            <w:tcBorders>
              <w:top w:val="single" w:color="auto" w:sz="12" w:space="0"/>
              <w:tl2br w:val="nil"/>
              <w:tr2bl w:val="nil"/>
            </w:tcBorders>
            <w:vAlign w:val="center"/>
          </w:tcPr>
          <w:p w14:paraId="3AF07E6C">
            <w:pPr>
              <w:pStyle w:val="26"/>
              <w:keepNext w:val="0"/>
              <w:keepLines w:val="0"/>
              <w:widowControl/>
              <w:suppressLineNumbers w:val="0"/>
              <w:spacing w:before="0" w:beforeAutospacing="0" w:after="0" w:afterAutospacing="0"/>
              <w:ind w:left="0" w:right="0" w:firstLine="0" w:firstLineChars="0"/>
              <w:rPr>
                <w:rFonts w:hint="default" w:hAnsi="宋体" w:cs="宋体"/>
                <w:sz w:val="18"/>
                <w:szCs w:val="18"/>
                <w:highlight w:val="none"/>
              </w:rPr>
            </w:pPr>
            <w:r>
              <w:rPr>
                <w:rFonts w:hint="eastAsia" w:hAnsi="宋体" w:cs="宋体"/>
                <w:sz w:val="18"/>
                <w:szCs w:val="18"/>
                <w:highlight w:val="none"/>
              </w:rPr>
              <w:t>全部选用推荐工艺</w:t>
            </w:r>
          </w:p>
        </w:tc>
        <w:tc>
          <w:tcPr>
            <w:tcW w:w="1325" w:type="dxa"/>
            <w:tcBorders>
              <w:top w:val="single" w:color="auto" w:sz="12" w:space="0"/>
              <w:tl2br w:val="nil"/>
              <w:tr2bl w:val="nil"/>
            </w:tcBorders>
            <w:vAlign w:val="center"/>
          </w:tcPr>
          <w:p w14:paraId="475AA77C">
            <w:pPr>
              <w:pStyle w:val="26"/>
              <w:keepNext w:val="0"/>
              <w:keepLines w:val="0"/>
              <w:widowControl/>
              <w:suppressLineNumbers w:val="0"/>
              <w:spacing w:before="0" w:beforeAutospacing="0" w:after="0" w:afterAutospacing="0"/>
              <w:ind w:left="0" w:right="0" w:firstLine="0" w:firstLineChars="0"/>
              <w:jc w:val="center"/>
              <w:rPr>
                <w:rFonts w:hint="default" w:hAnsi="宋体" w:cs="宋体"/>
                <w:sz w:val="18"/>
                <w:szCs w:val="18"/>
                <w:highlight w:val="none"/>
              </w:rPr>
            </w:pPr>
            <w:r>
              <w:rPr>
                <w:rFonts w:hint="eastAsia" w:hAnsi="宋体" w:cs="宋体"/>
                <w:sz w:val="18"/>
                <w:szCs w:val="18"/>
                <w:highlight w:val="none"/>
              </w:rPr>
              <w:t>1</w:t>
            </w:r>
          </w:p>
        </w:tc>
        <w:tc>
          <w:tcPr>
            <w:tcW w:w="1549" w:type="dxa"/>
            <w:tcBorders>
              <w:top w:val="single" w:color="auto" w:sz="12" w:space="0"/>
              <w:tl2br w:val="nil"/>
              <w:tr2bl w:val="nil"/>
            </w:tcBorders>
            <w:vAlign w:val="center"/>
          </w:tcPr>
          <w:p w14:paraId="2BA21F2B">
            <w:pPr>
              <w:pStyle w:val="26"/>
              <w:keepNext w:val="0"/>
              <w:keepLines w:val="0"/>
              <w:widowControl/>
              <w:suppressLineNumbers w:val="0"/>
              <w:spacing w:before="0" w:beforeAutospacing="0" w:after="0" w:afterAutospacing="0"/>
              <w:ind w:left="0" w:right="0" w:firstLine="0" w:firstLineChars="0"/>
              <w:rPr>
                <w:rFonts w:hint="default" w:hAnsi="宋体" w:cs="宋体"/>
                <w:sz w:val="18"/>
                <w:szCs w:val="18"/>
                <w:highlight w:val="none"/>
              </w:rPr>
            </w:pPr>
            <w:r>
              <w:rPr>
                <w:rFonts w:hint="eastAsia" w:hAnsi="宋体" w:cs="宋体"/>
                <w:sz w:val="18"/>
                <w:szCs w:val="18"/>
                <w:highlight w:val="none"/>
              </w:rPr>
              <w:t>推荐目录采购比例超过50%</w:t>
            </w:r>
          </w:p>
        </w:tc>
        <w:tc>
          <w:tcPr>
            <w:tcW w:w="1376" w:type="dxa"/>
            <w:tcBorders>
              <w:top w:val="single" w:color="auto" w:sz="12" w:space="0"/>
              <w:tl2br w:val="nil"/>
              <w:tr2bl w:val="nil"/>
            </w:tcBorders>
            <w:vAlign w:val="center"/>
          </w:tcPr>
          <w:p w14:paraId="316120B0">
            <w:pPr>
              <w:pStyle w:val="26"/>
              <w:keepNext w:val="0"/>
              <w:keepLines w:val="0"/>
              <w:widowControl/>
              <w:suppressLineNumbers w:val="0"/>
              <w:spacing w:before="0" w:beforeAutospacing="0" w:after="0" w:afterAutospacing="0"/>
              <w:ind w:left="0" w:right="0" w:firstLine="0" w:firstLineChars="0"/>
              <w:jc w:val="center"/>
              <w:rPr>
                <w:rFonts w:hint="default" w:hAnsi="宋体" w:cs="宋体"/>
                <w:sz w:val="18"/>
                <w:szCs w:val="18"/>
                <w:highlight w:val="none"/>
              </w:rPr>
            </w:pPr>
            <w:r>
              <w:rPr>
                <w:rFonts w:hint="eastAsia" w:hAnsi="宋体" w:cs="宋体"/>
                <w:sz w:val="18"/>
                <w:szCs w:val="18"/>
                <w:highlight w:val="none"/>
              </w:rPr>
              <w:t>1</w:t>
            </w:r>
          </w:p>
        </w:tc>
        <w:tc>
          <w:tcPr>
            <w:tcW w:w="1499" w:type="dxa"/>
            <w:tcBorders>
              <w:top w:val="single" w:color="auto" w:sz="12" w:space="0"/>
              <w:tl2br w:val="nil"/>
              <w:tr2bl w:val="nil"/>
            </w:tcBorders>
            <w:vAlign w:val="center"/>
          </w:tcPr>
          <w:p w14:paraId="28FEED4A">
            <w:pPr>
              <w:pStyle w:val="26"/>
              <w:keepNext w:val="0"/>
              <w:keepLines w:val="0"/>
              <w:widowControl/>
              <w:suppressLineNumbers w:val="0"/>
              <w:spacing w:before="0" w:beforeAutospacing="0" w:after="0" w:afterAutospacing="0"/>
              <w:ind w:left="0" w:right="0" w:firstLine="0" w:firstLineChars="0"/>
              <w:rPr>
                <w:rFonts w:hint="default" w:hAnsi="宋体" w:cs="宋体"/>
                <w:sz w:val="18"/>
                <w:szCs w:val="18"/>
                <w:highlight w:val="none"/>
              </w:rPr>
            </w:pPr>
            <w:r>
              <w:rPr>
                <w:rFonts w:hint="eastAsia" w:hAnsi="宋体" w:cs="宋体"/>
                <w:sz w:val="18"/>
                <w:szCs w:val="18"/>
                <w:highlight w:val="none"/>
              </w:rPr>
              <w:t>全面实施无毒无害原材料替代</w:t>
            </w:r>
          </w:p>
        </w:tc>
        <w:tc>
          <w:tcPr>
            <w:tcW w:w="1337" w:type="dxa"/>
            <w:tcBorders>
              <w:top w:val="single" w:color="auto" w:sz="12" w:space="0"/>
              <w:tl2br w:val="nil"/>
              <w:tr2bl w:val="nil"/>
            </w:tcBorders>
            <w:vAlign w:val="center"/>
          </w:tcPr>
          <w:p w14:paraId="0AD7B98E">
            <w:pPr>
              <w:pStyle w:val="26"/>
              <w:keepNext w:val="0"/>
              <w:keepLines w:val="0"/>
              <w:widowControl/>
              <w:suppressLineNumbers w:val="0"/>
              <w:spacing w:before="0" w:beforeAutospacing="0" w:after="0" w:afterAutospacing="0"/>
              <w:ind w:left="0" w:right="0" w:firstLine="0" w:firstLineChars="0"/>
              <w:jc w:val="center"/>
              <w:rPr>
                <w:rFonts w:hint="default" w:hAnsi="宋体" w:cs="宋体"/>
                <w:sz w:val="18"/>
                <w:szCs w:val="18"/>
                <w:highlight w:val="none"/>
              </w:rPr>
            </w:pPr>
            <w:r>
              <w:rPr>
                <w:rFonts w:hint="eastAsia" w:hAnsi="宋体" w:cs="宋体"/>
                <w:sz w:val="18"/>
                <w:szCs w:val="18"/>
                <w:highlight w:val="none"/>
              </w:rPr>
              <w:t>1</w:t>
            </w:r>
          </w:p>
        </w:tc>
        <w:tc>
          <w:tcPr>
            <w:tcW w:w="981" w:type="dxa"/>
            <w:vMerge w:val="restart"/>
            <w:tcBorders>
              <w:top w:val="single" w:color="auto" w:sz="12" w:space="0"/>
              <w:tl2br w:val="nil"/>
              <w:tr2bl w:val="nil"/>
            </w:tcBorders>
            <w:vAlign w:val="center"/>
          </w:tcPr>
          <w:p w14:paraId="7F017507">
            <w:pPr>
              <w:pStyle w:val="26"/>
              <w:keepNext w:val="0"/>
              <w:keepLines w:val="0"/>
              <w:widowControl/>
              <w:suppressLineNumbers w:val="0"/>
              <w:spacing w:before="0" w:beforeAutospacing="0" w:after="0" w:afterAutospacing="0"/>
              <w:ind w:left="0" w:right="0" w:firstLine="0" w:firstLineChars="0"/>
              <w:rPr>
                <w:rFonts w:hint="default" w:hAnsi="宋体" w:cs="宋体"/>
                <w:sz w:val="18"/>
                <w:szCs w:val="18"/>
                <w:highlight w:val="none"/>
              </w:rPr>
            </w:pPr>
            <w:r>
              <w:rPr>
                <w:rFonts w:hint="eastAsia" w:hAnsi="宋体" w:cs="宋体"/>
                <w:sz w:val="18"/>
                <w:szCs w:val="18"/>
                <w:highlight w:val="none"/>
              </w:rPr>
              <w:t>该项得分为三项指标累计得分</w:t>
            </w:r>
          </w:p>
        </w:tc>
      </w:tr>
      <w:tr w14:paraId="2C538AD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670" w:type="dxa"/>
            <w:tcBorders>
              <w:tl2br w:val="nil"/>
              <w:tr2bl w:val="nil"/>
            </w:tcBorders>
            <w:vAlign w:val="center"/>
          </w:tcPr>
          <w:p w14:paraId="1352719D">
            <w:pPr>
              <w:pStyle w:val="26"/>
              <w:keepNext w:val="0"/>
              <w:keepLines w:val="0"/>
              <w:widowControl/>
              <w:suppressLineNumbers w:val="0"/>
              <w:spacing w:before="0" w:beforeAutospacing="0" w:after="0" w:afterAutospacing="0"/>
              <w:ind w:left="0" w:right="0" w:firstLine="0" w:firstLineChars="0"/>
              <w:rPr>
                <w:rFonts w:hint="default" w:hAnsi="宋体" w:cs="宋体"/>
                <w:sz w:val="18"/>
                <w:szCs w:val="18"/>
                <w:highlight w:val="none"/>
              </w:rPr>
            </w:pPr>
            <w:r>
              <w:rPr>
                <w:rFonts w:hint="eastAsia" w:hAnsi="宋体" w:cs="宋体"/>
                <w:sz w:val="18"/>
                <w:szCs w:val="18"/>
                <w:highlight w:val="none"/>
              </w:rPr>
              <w:t>部分选用推荐工艺</w:t>
            </w:r>
          </w:p>
        </w:tc>
        <w:tc>
          <w:tcPr>
            <w:tcW w:w="1325" w:type="dxa"/>
            <w:tcBorders>
              <w:tl2br w:val="nil"/>
              <w:tr2bl w:val="nil"/>
            </w:tcBorders>
            <w:vAlign w:val="center"/>
          </w:tcPr>
          <w:p w14:paraId="3AFE5D2C">
            <w:pPr>
              <w:pStyle w:val="26"/>
              <w:keepNext w:val="0"/>
              <w:keepLines w:val="0"/>
              <w:widowControl/>
              <w:suppressLineNumbers w:val="0"/>
              <w:spacing w:before="0" w:beforeAutospacing="0" w:after="0" w:afterAutospacing="0"/>
              <w:ind w:left="0" w:right="0" w:firstLine="0" w:firstLineChars="0"/>
              <w:jc w:val="center"/>
              <w:rPr>
                <w:rFonts w:hint="default" w:hAnsi="宋体" w:cs="宋体"/>
                <w:sz w:val="18"/>
                <w:szCs w:val="18"/>
                <w:highlight w:val="none"/>
              </w:rPr>
            </w:pPr>
            <w:r>
              <w:rPr>
                <w:rFonts w:hint="eastAsia" w:hAnsi="宋体" w:cs="宋体"/>
                <w:sz w:val="18"/>
                <w:szCs w:val="18"/>
                <w:highlight w:val="none"/>
              </w:rPr>
              <w:t>0.5</w:t>
            </w:r>
          </w:p>
        </w:tc>
        <w:tc>
          <w:tcPr>
            <w:tcW w:w="1549" w:type="dxa"/>
            <w:tcBorders>
              <w:tl2br w:val="nil"/>
              <w:tr2bl w:val="nil"/>
            </w:tcBorders>
            <w:vAlign w:val="center"/>
          </w:tcPr>
          <w:p w14:paraId="1A3B59B2">
            <w:pPr>
              <w:pStyle w:val="26"/>
              <w:keepNext w:val="0"/>
              <w:keepLines w:val="0"/>
              <w:widowControl/>
              <w:suppressLineNumbers w:val="0"/>
              <w:spacing w:before="0" w:beforeAutospacing="0" w:after="0" w:afterAutospacing="0"/>
              <w:ind w:left="0" w:right="0" w:firstLine="0" w:firstLineChars="0"/>
              <w:rPr>
                <w:rFonts w:hint="default" w:hAnsi="宋体" w:cs="宋体"/>
                <w:sz w:val="18"/>
                <w:szCs w:val="18"/>
                <w:highlight w:val="none"/>
              </w:rPr>
            </w:pPr>
            <w:r>
              <w:rPr>
                <w:rFonts w:hint="eastAsia" w:hAnsi="宋体" w:cs="宋体"/>
                <w:sz w:val="18"/>
                <w:szCs w:val="18"/>
                <w:highlight w:val="none"/>
              </w:rPr>
              <w:t>推荐目录采购比例超过30%</w:t>
            </w:r>
          </w:p>
        </w:tc>
        <w:tc>
          <w:tcPr>
            <w:tcW w:w="1376" w:type="dxa"/>
            <w:tcBorders>
              <w:tl2br w:val="nil"/>
              <w:tr2bl w:val="nil"/>
            </w:tcBorders>
            <w:vAlign w:val="center"/>
          </w:tcPr>
          <w:p w14:paraId="507C1105">
            <w:pPr>
              <w:pStyle w:val="26"/>
              <w:keepNext w:val="0"/>
              <w:keepLines w:val="0"/>
              <w:widowControl/>
              <w:suppressLineNumbers w:val="0"/>
              <w:spacing w:before="0" w:beforeAutospacing="0" w:after="0" w:afterAutospacing="0"/>
              <w:ind w:left="0" w:right="0" w:firstLine="0" w:firstLineChars="0"/>
              <w:jc w:val="center"/>
              <w:rPr>
                <w:rFonts w:hint="default" w:hAnsi="宋体" w:cs="宋体"/>
                <w:sz w:val="18"/>
                <w:szCs w:val="18"/>
                <w:highlight w:val="none"/>
              </w:rPr>
            </w:pPr>
            <w:r>
              <w:rPr>
                <w:rFonts w:hint="eastAsia" w:hAnsi="宋体" w:cs="宋体"/>
                <w:sz w:val="18"/>
                <w:szCs w:val="18"/>
                <w:highlight w:val="none"/>
              </w:rPr>
              <w:t>0.5</w:t>
            </w:r>
          </w:p>
        </w:tc>
        <w:tc>
          <w:tcPr>
            <w:tcW w:w="1499" w:type="dxa"/>
            <w:tcBorders>
              <w:tl2br w:val="nil"/>
              <w:tr2bl w:val="nil"/>
            </w:tcBorders>
            <w:vAlign w:val="center"/>
          </w:tcPr>
          <w:p w14:paraId="7B1A0F06">
            <w:pPr>
              <w:pStyle w:val="26"/>
              <w:keepNext w:val="0"/>
              <w:keepLines w:val="0"/>
              <w:widowControl/>
              <w:suppressLineNumbers w:val="0"/>
              <w:spacing w:before="0" w:beforeAutospacing="0" w:after="0" w:afterAutospacing="0"/>
              <w:ind w:left="0" w:right="0" w:firstLine="0" w:firstLineChars="0"/>
              <w:rPr>
                <w:rFonts w:hint="default" w:hAnsi="宋体" w:cs="宋体"/>
                <w:sz w:val="18"/>
                <w:szCs w:val="18"/>
                <w:highlight w:val="none"/>
              </w:rPr>
            </w:pPr>
            <w:r>
              <w:rPr>
                <w:rFonts w:hint="eastAsia" w:hAnsi="宋体" w:cs="宋体"/>
                <w:sz w:val="18"/>
                <w:szCs w:val="18"/>
                <w:highlight w:val="none"/>
              </w:rPr>
              <w:t>部分实施无毒无害原材料替代</w:t>
            </w:r>
          </w:p>
        </w:tc>
        <w:tc>
          <w:tcPr>
            <w:tcW w:w="1337" w:type="dxa"/>
            <w:tcBorders>
              <w:tl2br w:val="nil"/>
              <w:tr2bl w:val="nil"/>
            </w:tcBorders>
            <w:vAlign w:val="center"/>
          </w:tcPr>
          <w:p w14:paraId="75E4AAB6">
            <w:pPr>
              <w:pStyle w:val="26"/>
              <w:keepNext w:val="0"/>
              <w:keepLines w:val="0"/>
              <w:widowControl/>
              <w:suppressLineNumbers w:val="0"/>
              <w:spacing w:before="0" w:beforeAutospacing="0" w:after="0" w:afterAutospacing="0"/>
              <w:ind w:left="0" w:right="0" w:firstLine="0" w:firstLineChars="0"/>
              <w:jc w:val="center"/>
              <w:rPr>
                <w:rFonts w:hint="default" w:hAnsi="宋体" w:cs="宋体"/>
                <w:sz w:val="18"/>
                <w:szCs w:val="18"/>
                <w:highlight w:val="none"/>
              </w:rPr>
            </w:pPr>
            <w:r>
              <w:rPr>
                <w:rFonts w:hint="eastAsia" w:hAnsi="宋体" w:cs="宋体"/>
                <w:sz w:val="18"/>
                <w:szCs w:val="18"/>
                <w:highlight w:val="none"/>
              </w:rPr>
              <w:t>0.5</w:t>
            </w:r>
          </w:p>
        </w:tc>
        <w:tc>
          <w:tcPr>
            <w:tcW w:w="981" w:type="dxa"/>
            <w:vMerge w:val="continue"/>
            <w:tcBorders>
              <w:tl2br w:val="nil"/>
              <w:tr2bl w:val="nil"/>
            </w:tcBorders>
            <w:vAlign w:val="center"/>
          </w:tcPr>
          <w:p w14:paraId="3D783463">
            <w:pPr>
              <w:pStyle w:val="26"/>
              <w:keepNext w:val="0"/>
              <w:keepLines w:val="0"/>
              <w:widowControl/>
              <w:suppressLineNumbers w:val="0"/>
              <w:spacing w:before="0" w:beforeAutospacing="0" w:after="0" w:afterAutospacing="0"/>
              <w:ind w:left="0" w:right="0" w:firstLine="0" w:firstLineChars="0"/>
              <w:rPr>
                <w:rFonts w:hint="default" w:hAnsi="宋体" w:cs="宋体"/>
                <w:sz w:val="18"/>
                <w:szCs w:val="18"/>
                <w:highlight w:val="none"/>
              </w:rPr>
            </w:pPr>
          </w:p>
        </w:tc>
      </w:tr>
      <w:tr w14:paraId="62872E0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670" w:type="dxa"/>
            <w:tcBorders>
              <w:tl2br w:val="nil"/>
              <w:tr2bl w:val="nil"/>
            </w:tcBorders>
            <w:vAlign w:val="center"/>
          </w:tcPr>
          <w:p w14:paraId="595C5ED0">
            <w:pPr>
              <w:pStyle w:val="26"/>
              <w:keepNext w:val="0"/>
              <w:keepLines w:val="0"/>
              <w:widowControl/>
              <w:suppressLineNumbers w:val="0"/>
              <w:spacing w:before="0" w:beforeAutospacing="0" w:after="0" w:afterAutospacing="0"/>
              <w:ind w:left="0" w:right="0" w:firstLine="0" w:firstLineChars="0"/>
              <w:rPr>
                <w:rFonts w:hint="default" w:hAnsi="宋体" w:cs="宋体"/>
                <w:sz w:val="18"/>
                <w:szCs w:val="18"/>
                <w:highlight w:val="none"/>
              </w:rPr>
            </w:pPr>
            <w:r>
              <w:rPr>
                <w:rFonts w:hint="eastAsia" w:hAnsi="宋体" w:cs="宋体"/>
                <w:sz w:val="18"/>
                <w:szCs w:val="18"/>
                <w:highlight w:val="none"/>
              </w:rPr>
              <w:t>未选用推荐工艺</w:t>
            </w:r>
          </w:p>
        </w:tc>
        <w:tc>
          <w:tcPr>
            <w:tcW w:w="1325" w:type="dxa"/>
            <w:tcBorders>
              <w:tl2br w:val="nil"/>
              <w:tr2bl w:val="nil"/>
            </w:tcBorders>
            <w:vAlign w:val="center"/>
          </w:tcPr>
          <w:p w14:paraId="78851C8F">
            <w:pPr>
              <w:pStyle w:val="26"/>
              <w:keepNext w:val="0"/>
              <w:keepLines w:val="0"/>
              <w:widowControl/>
              <w:suppressLineNumbers w:val="0"/>
              <w:spacing w:before="0" w:beforeAutospacing="0" w:after="0" w:afterAutospacing="0"/>
              <w:ind w:left="0" w:right="0" w:firstLine="0" w:firstLineChars="0"/>
              <w:jc w:val="center"/>
              <w:rPr>
                <w:rFonts w:hint="default" w:hAnsi="宋体" w:cs="宋体"/>
                <w:sz w:val="18"/>
                <w:szCs w:val="18"/>
                <w:highlight w:val="none"/>
              </w:rPr>
            </w:pPr>
            <w:r>
              <w:rPr>
                <w:rFonts w:hint="eastAsia" w:hAnsi="宋体" w:cs="宋体"/>
                <w:sz w:val="18"/>
                <w:szCs w:val="18"/>
                <w:highlight w:val="none"/>
              </w:rPr>
              <w:t>0</w:t>
            </w:r>
          </w:p>
        </w:tc>
        <w:tc>
          <w:tcPr>
            <w:tcW w:w="1549" w:type="dxa"/>
            <w:tcBorders>
              <w:tl2br w:val="nil"/>
              <w:tr2bl w:val="nil"/>
            </w:tcBorders>
            <w:vAlign w:val="center"/>
          </w:tcPr>
          <w:p w14:paraId="6538E147">
            <w:pPr>
              <w:pStyle w:val="26"/>
              <w:keepNext w:val="0"/>
              <w:keepLines w:val="0"/>
              <w:widowControl/>
              <w:suppressLineNumbers w:val="0"/>
              <w:spacing w:before="0" w:beforeAutospacing="0" w:after="0" w:afterAutospacing="0"/>
              <w:ind w:left="0" w:right="0" w:firstLine="0" w:firstLineChars="0"/>
              <w:rPr>
                <w:rFonts w:hint="default" w:hAnsi="宋体" w:cs="宋体"/>
                <w:sz w:val="18"/>
                <w:szCs w:val="18"/>
                <w:highlight w:val="none"/>
              </w:rPr>
            </w:pPr>
            <w:r>
              <w:rPr>
                <w:rFonts w:hint="eastAsia" w:hAnsi="宋体" w:cs="宋体"/>
                <w:sz w:val="18"/>
                <w:szCs w:val="18"/>
                <w:highlight w:val="none"/>
              </w:rPr>
              <w:t>推荐目录采购比例未超过30%</w:t>
            </w:r>
          </w:p>
        </w:tc>
        <w:tc>
          <w:tcPr>
            <w:tcW w:w="1376" w:type="dxa"/>
            <w:tcBorders>
              <w:tl2br w:val="nil"/>
              <w:tr2bl w:val="nil"/>
            </w:tcBorders>
            <w:vAlign w:val="center"/>
          </w:tcPr>
          <w:p w14:paraId="0A161A87">
            <w:pPr>
              <w:pStyle w:val="26"/>
              <w:keepNext w:val="0"/>
              <w:keepLines w:val="0"/>
              <w:widowControl/>
              <w:suppressLineNumbers w:val="0"/>
              <w:spacing w:before="0" w:beforeAutospacing="0" w:after="0" w:afterAutospacing="0"/>
              <w:ind w:left="0" w:right="0" w:firstLine="0" w:firstLineChars="0"/>
              <w:jc w:val="center"/>
              <w:rPr>
                <w:rFonts w:hint="default" w:hAnsi="宋体" w:cs="宋体"/>
                <w:sz w:val="18"/>
                <w:szCs w:val="18"/>
                <w:highlight w:val="none"/>
              </w:rPr>
            </w:pPr>
            <w:r>
              <w:rPr>
                <w:rFonts w:hint="eastAsia" w:hAnsi="宋体" w:cs="宋体"/>
                <w:sz w:val="18"/>
                <w:szCs w:val="18"/>
                <w:highlight w:val="none"/>
              </w:rPr>
              <w:t>0</w:t>
            </w:r>
          </w:p>
        </w:tc>
        <w:tc>
          <w:tcPr>
            <w:tcW w:w="1499" w:type="dxa"/>
            <w:tcBorders>
              <w:tl2br w:val="nil"/>
              <w:tr2bl w:val="nil"/>
            </w:tcBorders>
            <w:vAlign w:val="center"/>
          </w:tcPr>
          <w:p w14:paraId="49F178F6">
            <w:pPr>
              <w:pStyle w:val="26"/>
              <w:keepNext w:val="0"/>
              <w:keepLines w:val="0"/>
              <w:widowControl/>
              <w:suppressLineNumbers w:val="0"/>
              <w:spacing w:before="0" w:beforeAutospacing="0" w:after="0" w:afterAutospacing="0"/>
              <w:ind w:left="0" w:right="0" w:firstLine="0" w:firstLineChars="0"/>
              <w:rPr>
                <w:rFonts w:hint="default" w:hAnsi="宋体" w:cs="宋体"/>
                <w:sz w:val="18"/>
                <w:szCs w:val="18"/>
                <w:highlight w:val="none"/>
              </w:rPr>
            </w:pPr>
            <w:r>
              <w:rPr>
                <w:rFonts w:hint="eastAsia" w:hAnsi="宋体" w:cs="宋体"/>
                <w:sz w:val="18"/>
                <w:szCs w:val="18"/>
                <w:highlight w:val="none"/>
              </w:rPr>
              <w:t>未实施无毒无害原材料替代</w:t>
            </w:r>
          </w:p>
        </w:tc>
        <w:tc>
          <w:tcPr>
            <w:tcW w:w="1337" w:type="dxa"/>
            <w:tcBorders>
              <w:tl2br w:val="nil"/>
              <w:tr2bl w:val="nil"/>
            </w:tcBorders>
            <w:vAlign w:val="center"/>
          </w:tcPr>
          <w:p w14:paraId="12F2DBBE">
            <w:pPr>
              <w:pStyle w:val="26"/>
              <w:keepNext w:val="0"/>
              <w:keepLines w:val="0"/>
              <w:widowControl/>
              <w:suppressLineNumbers w:val="0"/>
              <w:spacing w:before="0" w:beforeAutospacing="0" w:after="0" w:afterAutospacing="0"/>
              <w:ind w:left="0" w:right="0" w:firstLine="0" w:firstLineChars="0"/>
              <w:jc w:val="center"/>
              <w:rPr>
                <w:rFonts w:hint="default" w:hAnsi="宋体" w:cs="宋体"/>
                <w:sz w:val="18"/>
                <w:szCs w:val="18"/>
                <w:highlight w:val="none"/>
              </w:rPr>
            </w:pPr>
            <w:r>
              <w:rPr>
                <w:rFonts w:hint="eastAsia" w:hAnsi="宋体" w:cs="宋体"/>
                <w:sz w:val="18"/>
                <w:szCs w:val="18"/>
                <w:highlight w:val="none"/>
              </w:rPr>
              <w:t>0</w:t>
            </w:r>
          </w:p>
        </w:tc>
        <w:tc>
          <w:tcPr>
            <w:tcW w:w="981" w:type="dxa"/>
            <w:vMerge w:val="continue"/>
            <w:tcBorders>
              <w:tl2br w:val="nil"/>
              <w:tr2bl w:val="nil"/>
            </w:tcBorders>
            <w:vAlign w:val="center"/>
          </w:tcPr>
          <w:p w14:paraId="55EDA643">
            <w:pPr>
              <w:pStyle w:val="26"/>
              <w:keepNext w:val="0"/>
              <w:keepLines w:val="0"/>
              <w:widowControl/>
              <w:suppressLineNumbers w:val="0"/>
              <w:spacing w:before="0" w:beforeAutospacing="0" w:after="0" w:afterAutospacing="0"/>
              <w:ind w:left="0" w:right="0" w:firstLine="0" w:firstLineChars="0"/>
              <w:rPr>
                <w:rFonts w:hint="default" w:hAnsi="宋体" w:cs="宋体"/>
                <w:sz w:val="18"/>
                <w:szCs w:val="18"/>
                <w:highlight w:val="none"/>
              </w:rPr>
            </w:pPr>
          </w:p>
        </w:tc>
      </w:tr>
    </w:tbl>
    <w:p w14:paraId="005892C0">
      <w:pPr>
        <w:pStyle w:val="56"/>
        <w:numPr>
          <w:ilvl w:val="3"/>
          <w:numId w:val="2"/>
        </w:numPr>
        <w:spacing w:before="156" w:after="156"/>
        <w:rPr>
          <w:rFonts w:ascii="Times New Roman"/>
          <w:highlight w:val="none"/>
        </w:rPr>
      </w:pPr>
      <w:r>
        <w:rPr>
          <w:rFonts w:ascii="Times New Roman"/>
          <w:highlight w:val="none"/>
        </w:rPr>
        <w:t>能源资源利用</w:t>
      </w:r>
    </w:p>
    <w:p w14:paraId="1868D161">
      <w:pPr>
        <w:autoSpaceDE w:val="0"/>
        <w:autoSpaceDN w:val="0"/>
        <w:ind w:firstLine="420" w:firstLineChars="200"/>
        <w:jc w:val="both"/>
        <w:rPr>
          <w:rFonts w:ascii="宋体" w:hAnsi="宋体" w:eastAsia="宋体" w:cs="宋体"/>
          <w:sz w:val="21"/>
          <w:highlight w:val="none"/>
          <w:lang w:val="en-US" w:eastAsia="zh-CN" w:bidi="ar-SA"/>
        </w:rPr>
      </w:pPr>
      <w:r>
        <w:rPr>
          <w:rFonts w:hint="eastAsia" w:ascii="宋体" w:hAnsi="宋体" w:eastAsia="宋体" w:cs="宋体"/>
          <w:sz w:val="21"/>
          <w:highlight w:val="none"/>
          <w:lang w:val="en-US" w:eastAsia="zh-CN" w:bidi="ar-SA"/>
        </w:rPr>
        <w:t>从企事业单位自身生产运营过程的可再生能源占比、非常规水资源利用率的情况进行综合评价，具体评分规则见表</w:t>
      </w:r>
      <w:r>
        <w:rPr>
          <w:rFonts w:hint="eastAsia" w:ascii="宋体" w:hAnsi="宋体" w:cs="宋体"/>
          <w:sz w:val="21"/>
          <w:highlight w:val="none"/>
          <w:lang w:val="en-US" w:eastAsia="zh-CN" w:bidi="ar-SA"/>
        </w:rPr>
        <w:t>14</w:t>
      </w:r>
      <w:r>
        <w:rPr>
          <w:rFonts w:hint="eastAsia" w:ascii="宋体" w:hAnsi="宋体" w:eastAsia="宋体" w:cs="宋体"/>
          <w:sz w:val="21"/>
          <w:highlight w:val="none"/>
          <w:lang w:val="en-US" w:eastAsia="zh-CN" w:bidi="ar-SA"/>
        </w:rPr>
        <w:t>。</w:t>
      </w:r>
    </w:p>
    <w:p w14:paraId="4AB7177F">
      <w:pPr>
        <w:widowControl w:val="0"/>
        <w:numPr>
          <w:ilvl w:val="0"/>
          <w:numId w:val="23"/>
        </w:numPr>
        <w:autoSpaceDE w:val="0"/>
        <w:autoSpaceDN w:val="0"/>
        <w:ind w:left="0" w:firstLine="360" w:firstLineChars="200"/>
        <w:jc w:val="both"/>
        <w:rPr>
          <w:rFonts w:ascii="宋体" w:hAnsi="Times New Roman" w:eastAsia="宋体" w:cs="Times New Roman"/>
          <w:sz w:val="18"/>
          <w:szCs w:val="18"/>
          <w:highlight w:val="none"/>
          <w:lang w:val="en-US" w:eastAsia="zh-CN" w:bidi="ar-SA"/>
        </w:rPr>
      </w:pPr>
      <w:r>
        <w:rPr>
          <w:rFonts w:hint="eastAsia" w:ascii="宋体" w:hAnsi="Times New Roman" w:eastAsia="宋体" w:cs="Times New Roman"/>
          <w:sz w:val="18"/>
          <w:szCs w:val="18"/>
          <w:highlight w:val="none"/>
          <w:lang w:val="en-US" w:eastAsia="zh-CN" w:bidi="ar-SA"/>
        </w:rPr>
        <w:t>可再生能源占比是可再生能源消费量与终端能源消费总量的比值。</w:t>
      </w:r>
    </w:p>
    <w:p w14:paraId="534641F8">
      <w:pPr>
        <w:widowControl w:val="0"/>
        <w:numPr>
          <w:ilvl w:val="0"/>
          <w:numId w:val="23"/>
        </w:numPr>
        <w:autoSpaceDE w:val="0"/>
        <w:autoSpaceDN w:val="0"/>
        <w:ind w:left="0" w:firstLine="360" w:firstLineChars="200"/>
        <w:jc w:val="both"/>
        <w:rPr>
          <w:rFonts w:ascii="宋体" w:hAnsi="宋体" w:eastAsia="宋体" w:cs="宋体"/>
          <w:sz w:val="18"/>
          <w:szCs w:val="18"/>
          <w:highlight w:val="none"/>
          <w:lang w:val="en-US" w:eastAsia="zh-CN" w:bidi="ar-SA"/>
        </w:rPr>
      </w:pPr>
      <w:r>
        <w:rPr>
          <w:rFonts w:hint="eastAsia" w:ascii="宋体" w:hAnsi="Times New Roman" w:eastAsia="宋体" w:cs="Times New Roman"/>
          <w:sz w:val="18"/>
          <w:szCs w:val="18"/>
          <w:highlight w:val="none"/>
          <w:lang w:val="en-US" w:eastAsia="zh-CN" w:bidi="ar-SA"/>
        </w:rPr>
        <w:t>非常规水资源利用率是再生水、雨水、海水、矿井水、苦咸水等非常规水资源利用总量与用水总量的比值。</w:t>
      </w:r>
    </w:p>
    <w:p w14:paraId="30C985D3">
      <w:pPr>
        <w:numPr>
          <w:ilvl w:val="0"/>
          <w:numId w:val="17"/>
        </w:numPr>
        <w:spacing w:before="156" w:beforeLines="50" w:after="156" w:afterLines="50"/>
        <w:jc w:val="center"/>
        <w:rPr>
          <w:rFonts w:ascii="Times New Roman" w:hAnsi="Times New Roman" w:eastAsia="黑体" w:cs="Times New Roman"/>
          <w:sz w:val="21"/>
          <w:highlight w:val="none"/>
          <w:lang w:val="en-US" w:eastAsia="zh-CN" w:bidi="ar-SA"/>
        </w:rPr>
      </w:pPr>
      <w:r>
        <w:rPr>
          <w:rFonts w:hint="eastAsia" w:ascii="Times New Roman" w:hAnsi="Times New Roman" w:eastAsia="黑体" w:cs="Times New Roman"/>
          <w:sz w:val="21"/>
          <w:highlight w:val="none"/>
          <w:lang w:val="en-US" w:eastAsia="zh-CN" w:bidi="ar-SA"/>
        </w:rPr>
        <w:t>能源资源利用</w:t>
      </w:r>
      <w:r>
        <w:rPr>
          <w:rFonts w:ascii="Times New Roman" w:hAnsi="Times New Roman" w:eastAsia="黑体" w:cs="Times New Roman"/>
          <w:sz w:val="21"/>
          <w:highlight w:val="none"/>
          <w:lang w:val="en-US" w:eastAsia="zh-CN" w:bidi="ar-SA"/>
        </w:rPr>
        <w:t>评分规则</w:t>
      </w:r>
    </w:p>
    <w:tbl>
      <w:tblPr>
        <w:tblStyle w:val="37"/>
        <w:tblW w:w="4994"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1928"/>
        <w:gridCol w:w="1657"/>
        <w:gridCol w:w="2200"/>
        <w:gridCol w:w="1928"/>
        <w:gridCol w:w="1846"/>
      </w:tblGrid>
      <w:tr w14:paraId="5F35731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008" w:type="pct"/>
            <w:tcBorders>
              <w:bottom w:val="single" w:color="auto" w:sz="12" w:space="0"/>
            </w:tcBorders>
            <w:vAlign w:val="center"/>
          </w:tcPr>
          <w:p w14:paraId="31EE74CB">
            <w:pPr>
              <w:keepNext w:val="0"/>
              <w:keepLines w:val="0"/>
              <w:suppressLineNumbers w:val="0"/>
              <w:autoSpaceDE w:val="0"/>
              <w:autoSpaceDN w:val="0"/>
              <w:spacing w:before="0" w:beforeAutospacing="0" w:after="0" w:afterAutospacing="0"/>
              <w:ind w:left="0" w:right="0" w:firstLine="0" w:firstLineChars="0"/>
              <w:jc w:val="center"/>
              <w:rPr>
                <w:rFonts w:hint="default" w:ascii="Times New Roman" w:hAnsi="Times New Roman" w:eastAsia="宋体" w:cs="Times New Roman"/>
                <w:b/>
                <w:bCs/>
                <w:sz w:val="18"/>
                <w:szCs w:val="18"/>
                <w:highlight w:val="none"/>
                <w:lang w:val="en-US" w:eastAsia="zh-CN" w:bidi="ar-SA"/>
              </w:rPr>
            </w:pPr>
            <w:r>
              <w:rPr>
                <w:rFonts w:hint="eastAsia" w:ascii="Times New Roman" w:hAnsi="Times New Roman" w:eastAsia="宋体" w:cs="Times New Roman"/>
                <w:b/>
                <w:bCs/>
                <w:sz w:val="18"/>
                <w:szCs w:val="18"/>
                <w:highlight w:val="none"/>
                <w:lang w:val="en-US" w:eastAsia="zh-CN" w:bidi="ar-SA"/>
              </w:rPr>
              <w:t>可再生能源占比</w:t>
            </w:r>
            <w:r>
              <w:rPr>
                <w:rFonts w:hint="eastAsia" w:ascii="宋体" w:hAnsi="宋体" w:eastAsia="宋体" w:cs="宋体"/>
                <w:b/>
                <w:bCs/>
                <w:sz w:val="18"/>
                <w:szCs w:val="18"/>
                <w:highlight w:val="none"/>
                <w:lang w:val="en-US" w:eastAsia="zh-CN" w:bidi="ar-SA"/>
              </w:rPr>
              <w:t>（%）</w:t>
            </w:r>
          </w:p>
        </w:tc>
        <w:tc>
          <w:tcPr>
            <w:tcW w:w="866" w:type="pct"/>
            <w:tcBorders>
              <w:bottom w:val="single" w:color="auto" w:sz="12" w:space="0"/>
            </w:tcBorders>
            <w:vAlign w:val="center"/>
          </w:tcPr>
          <w:p w14:paraId="4E27EC0D">
            <w:pPr>
              <w:keepNext w:val="0"/>
              <w:keepLines w:val="0"/>
              <w:suppressLineNumbers w:val="0"/>
              <w:autoSpaceDE w:val="0"/>
              <w:autoSpaceDN w:val="0"/>
              <w:spacing w:before="0" w:beforeAutospacing="0" w:after="0" w:afterAutospacing="0"/>
              <w:ind w:left="0" w:right="0" w:firstLine="0" w:firstLineChars="0"/>
              <w:jc w:val="center"/>
              <w:rPr>
                <w:rFonts w:hint="default" w:ascii="Times New Roman" w:hAnsi="Times New Roman" w:eastAsia="宋体" w:cs="Times New Roman"/>
                <w:b/>
                <w:bCs/>
                <w:sz w:val="18"/>
                <w:szCs w:val="18"/>
                <w:highlight w:val="none"/>
                <w:lang w:val="en-US" w:eastAsia="zh-CN" w:bidi="ar-SA"/>
              </w:rPr>
            </w:pPr>
            <w:r>
              <w:rPr>
                <w:rFonts w:hint="eastAsia" w:ascii="Times New Roman" w:hAnsi="Times New Roman" w:eastAsia="宋体" w:cs="Times New Roman"/>
                <w:b/>
                <w:bCs/>
                <w:sz w:val="18"/>
                <w:szCs w:val="18"/>
                <w:highlight w:val="none"/>
                <w:lang w:val="en-US" w:eastAsia="zh-CN" w:bidi="ar-SA"/>
              </w:rPr>
              <w:t>单项</w:t>
            </w:r>
            <w:r>
              <w:rPr>
                <w:rFonts w:hint="default" w:ascii="Times New Roman" w:hAnsi="Times New Roman" w:eastAsia="宋体" w:cs="Times New Roman"/>
                <w:b/>
                <w:bCs/>
                <w:sz w:val="18"/>
                <w:szCs w:val="18"/>
                <w:highlight w:val="none"/>
                <w:lang w:val="en-US" w:eastAsia="zh-CN" w:bidi="ar-SA"/>
              </w:rPr>
              <w:t>分值</w:t>
            </w:r>
            <w:r>
              <w:rPr>
                <w:rFonts w:hint="eastAsia" w:ascii="Times New Roman" w:hAnsi="Times New Roman" w:eastAsia="宋体" w:cs="Times New Roman"/>
                <w:b/>
                <w:bCs/>
                <w:sz w:val="18"/>
                <w:szCs w:val="18"/>
                <w:highlight w:val="none"/>
                <w:lang w:val="en-US" w:eastAsia="zh-CN" w:bidi="ar-SA"/>
              </w:rPr>
              <w:t>（分）</w:t>
            </w:r>
          </w:p>
        </w:tc>
        <w:tc>
          <w:tcPr>
            <w:tcW w:w="1150" w:type="pct"/>
            <w:tcBorders>
              <w:bottom w:val="single" w:color="auto" w:sz="12" w:space="0"/>
            </w:tcBorders>
            <w:vAlign w:val="center"/>
          </w:tcPr>
          <w:p w14:paraId="544F5D92">
            <w:pPr>
              <w:keepNext w:val="0"/>
              <w:keepLines w:val="0"/>
              <w:suppressLineNumbers w:val="0"/>
              <w:autoSpaceDE w:val="0"/>
              <w:autoSpaceDN w:val="0"/>
              <w:spacing w:before="0" w:beforeAutospacing="0" w:after="0" w:afterAutospacing="0"/>
              <w:ind w:left="0" w:right="0" w:firstLine="0" w:firstLineChars="0"/>
              <w:jc w:val="center"/>
              <w:rPr>
                <w:rFonts w:hint="default" w:ascii="宋体" w:hAnsi="宋体" w:eastAsia="宋体" w:cs="宋体"/>
                <w:b/>
                <w:bCs/>
                <w:sz w:val="18"/>
                <w:szCs w:val="18"/>
                <w:highlight w:val="none"/>
                <w:lang w:val="en-US" w:eastAsia="zh-CN" w:bidi="ar-SA"/>
              </w:rPr>
            </w:pPr>
            <w:r>
              <w:rPr>
                <w:rFonts w:hint="eastAsia" w:ascii="宋体" w:hAnsi="宋体" w:eastAsia="宋体" w:cs="宋体"/>
                <w:b/>
                <w:bCs/>
                <w:sz w:val="18"/>
                <w:szCs w:val="18"/>
                <w:highlight w:val="none"/>
                <w:lang w:val="en-US" w:eastAsia="zh-CN" w:bidi="ar-SA"/>
              </w:rPr>
              <w:t>非常规水资源利用率（%）</w:t>
            </w:r>
          </w:p>
        </w:tc>
        <w:tc>
          <w:tcPr>
            <w:tcW w:w="1008" w:type="pct"/>
            <w:tcBorders>
              <w:bottom w:val="single" w:color="auto" w:sz="12" w:space="0"/>
            </w:tcBorders>
            <w:vAlign w:val="center"/>
          </w:tcPr>
          <w:p w14:paraId="3B023B5D">
            <w:pPr>
              <w:keepNext w:val="0"/>
              <w:keepLines w:val="0"/>
              <w:suppressLineNumbers w:val="0"/>
              <w:autoSpaceDE w:val="0"/>
              <w:autoSpaceDN w:val="0"/>
              <w:spacing w:before="0" w:beforeAutospacing="0" w:after="0" w:afterAutospacing="0"/>
              <w:ind w:left="0" w:right="0" w:firstLine="0" w:firstLineChars="0"/>
              <w:jc w:val="center"/>
              <w:rPr>
                <w:rFonts w:hint="default" w:ascii="宋体" w:hAnsi="宋体" w:eastAsia="宋体" w:cs="宋体"/>
                <w:b/>
                <w:bCs/>
                <w:sz w:val="18"/>
                <w:szCs w:val="18"/>
                <w:highlight w:val="none"/>
                <w:lang w:val="en-US" w:eastAsia="zh-CN" w:bidi="ar-SA"/>
              </w:rPr>
            </w:pPr>
            <w:r>
              <w:rPr>
                <w:rFonts w:hint="eastAsia" w:ascii="宋体" w:hAnsi="宋体" w:eastAsia="宋体" w:cs="宋体"/>
                <w:b/>
                <w:bCs/>
                <w:sz w:val="18"/>
                <w:szCs w:val="18"/>
                <w:highlight w:val="none"/>
                <w:lang w:val="en-US" w:eastAsia="zh-CN" w:bidi="ar-SA"/>
              </w:rPr>
              <w:t>单项分值（分）</w:t>
            </w:r>
          </w:p>
        </w:tc>
        <w:tc>
          <w:tcPr>
            <w:tcW w:w="965" w:type="pct"/>
            <w:tcBorders>
              <w:bottom w:val="single" w:color="auto" w:sz="12" w:space="0"/>
            </w:tcBorders>
            <w:vAlign w:val="center"/>
          </w:tcPr>
          <w:p w14:paraId="7F773B86">
            <w:pPr>
              <w:keepNext w:val="0"/>
              <w:keepLines w:val="0"/>
              <w:suppressLineNumbers w:val="0"/>
              <w:autoSpaceDE w:val="0"/>
              <w:autoSpaceDN w:val="0"/>
              <w:spacing w:before="0" w:beforeAutospacing="0" w:after="0" w:afterAutospacing="0"/>
              <w:ind w:left="0" w:right="0" w:firstLine="0" w:firstLineChars="0"/>
              <w:jc w:val="center"/>
              <w:rPr>
                <w:rFonts w:hint="default" w:ascii="Times New Roman" w:hAnsi="Times New Roman" w:eastAsia="宋体" w:cs="Times New Roman"/>
                <w:b/>
                <w:bCs/>
                <w:sz w:val="18"/>
                <w:szCs w:val="18"/>
                <w:highlight w:val="none"/>
                <w:lang w:val="en-US" w:eastAsia="zh-CN" w:bidi="ar-SA"/>
              </w:rPr>
            </w:pPr>
            <w:r>
              <w:rPr>
                <w:rFonts w:hint="eastAsia" w:ascii="Times New Roman" w:hAnsi="Times New Roman" w:eastAsia="宋体" w:cs="Times New Roman"/>
                <w:b/>
                <w:bCs/>
                <w:sz w:val="18"/>
                <w:szCs w:val="18"/>
                <w:highlight w:val="none"/>
                <w:lang w:val="en-US" w:eastAsia="zh-CN" w:bidi="ar-SA"/>
              </w:rPr>
              <w:t>总分值（分）</w:t>
            </w:r>
          </w:p>
        </w:tc>
      </w:tr>
      <w:tr w14:paraId="3013AD6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008" w:type="pct"/>
            <w:tcBorders>
              <w:top w:val="single" w:color="auto" w:sz="12" w:space="0"/>
              <w:tl2br w:val="nil"/>
              <w:tr2bl w:val="nil"/>
            </w:tcBorders>
            <w:vAlign w:val="center"/>
          </w:tcPr>
          <w:p w14:paraId="4B7F618A">
            <w:pPr>
              <w:keepNext w:val="0"/>
              <w:keepLines w:val="0"/>
              <w:suppressLineNumbers w:val="0"/>
              <w:autoSpaceDE w:val="0"/>
              <w:autoSpaceDN w:val="0"/>
              <w:spacing w:before="0" w:beforeAutospacing="0" w:after="0" w:afterAutospacing="0"/>
              <w:ind w:left="0" w:right="0" w:firstLine="0" w:firstLineChars="0"/>
              <w:jc w:val="center"/>
              <w:rPr>
                <w:rFonts w:hint="default" w:ascii="宋体" w:hAnsi="宋体" w:eastAsia="宋体" w:cs="宋体"/>
                <w:sz w:val="18"/>
                <w:szCs w:val="18"/>
                <w:highlight w:val="none"/>
                <w:lang w:val="en-US" w:eastAsia="zh-CN" w:bidi="ar-SA"/>
              </w:rPr>
            </w:pPr>
            <w:r>
              <w:rPr>
                <w:rFonts w:hint="eastAsia" w:ascii="宋体" w:hAnsi="宋体" w:eastAsia="宋体" w:cs="宋体"/>
                <w:sz w:val="18"/>
                <w:szCs w:val="18"/>
                <w:highlight w:val="none"/>
                <w:lang w:val="en-US" w:eastAsia="zh-CN" w:bidi="ar-SA"/>
              </w:rPr>
              <w:t>≥10</w:t>
            </w:r>
          </w:p>
        </w:tc>
        <w:tc>
          <w:tcPr>
            <w:tcW w:w="866" w:type="pct"/>
            <w:tcBorders>
              <w:top w:val="single" w:color="auto" w:sz="12" w:space="0"/>
              <w:tl2br w:val="nil"/>
              <w:tr2bl w:val="nil"/>
            </w:tcBorders>
            <w:vAlign w:val="center"/>
          </w:tcPr>
          <w:p w14:paraId="7EEE315F">
            <w:pPr>
              <w:keepNext w:val="0"/>
              <w:keepLines w:val="0"/>
              <w:suppressLineNumbers w:val="0"/>
              <w:autoSpaceDE w:val="0"/>
              <w:autoSpaceDN w:val="0"/>
              <w:spacing w:before="0" w:beforeAutospacing="0" w:after="0" w:afterAutospacing="0"/>
              <w:ind w:left="0" w:right="0" w:firstLine="0" w:firstLineChars="0"/>
              <w:jc w:val="center"/>
              <w:rPr>
                <w:rFonts w:hint="default" w:ascii="宋体" w:hAnsi="宋体" w:eastAsia="宋体" w:cs="宋体"/>
                <w:sz w:val="18"/>
                <w:szCs w:val="18"/>
                <w:highlight w:val="none"/>
                <w:lang w:val="en-US" w:eastAsia="zh-CN" w:bidi="ar-SA"/>
              </w:rPr>
            </w:pPr>
            <w:r>
              <w:rPr>
                <w:rFonts w:hint="eastAsia" w:ascii="宋体" w:hAnsi="宋体" w:eastAsia="宋体" w:cs="宋体"/>
                <w:sz w:val="18"/>
                <w:szCs w:val="18"/>
                <w:highlight w:val="none"/>
                <w:lang w:val="en-US" w:eastAsia="zh-CN" w:bidi="ar-SA"/>
              </w:rPr>
              <w:t>3</w:t>
            </w:r>
          </w:p>
        </w:tc>
        <w:tc>
          <w:tcPr>
            <w:tcW w:w="1150" w:type="pct"/>
            <w:tcBorders>
              <w:top w:val="single" w:color="auto" w:sz="12" w:space="0"/>
              <w:tl2br w:val="nil"/>
              <w:tr2bl w:val="nil"/>
            </w:tcBorders>
            <w:vAlign w:val="center"/>
          </w:tcPr>
          <w:p w14:paraId="3ACA8E30">
            <w:pPr>
              <w:keepNext w:val="0"/>
              <w:keepLines w:val="0"/>
              <w:suppressLineNumbers w:val="0"/>
              <w:autoSpaceDE w:val="0"/>
              <w:autoSpaceDN w:val="0"/>
              <w:spacing w:before="0" w:beforeAutospacing="0" w:after="0" w:afterAutospacing="0"/>
              <w:ind w:left="0" w:right="0" w:firstLine="0" w:firstLineChars="0"/>
              <w:jc w:val="center"/>
              <w:rPr>
                <w:rFonts w:hint="default" w:ascii="宋体" w:hAnsi="宋体" w:eastAsia="宋体" w:cs="宋体"/>
                <w:sz w:val="18"/>
                <w:szCs w:val="18"/>
                <w:highlight w:val="none"/>
                <w:lang w:val="en-US" w:eastAsia="zh-CN" w:bidi="ar-SA"/>
              </w:rPr>
            </w:pPr>
            <w:r>
              <w:rPr>
                <w:rFonts w:hint="eastAsia" w:ascii="宋体" w:hAnsi="宋体" w:eastAsia="宋体" w:cs="宋体"/>
                <w:sz w:val="18"/>
                <w:szCs w:val="18"/>
                <w:highlight w:val="none"/>
                <w:lang w:val="en-US" w:eastAsia="zh-CN" w:bidi="ar-SA"/>
              </w:rPr>
              <w:t>≥60</w:t>
            </w:r>
          </w:p>
        </w:tc>
        <w:tc>
          <w:tcPr>
            <w:tcW w:w="1008" w:type="pct"/>
            <w:tcBorders>
              <w:top w:val="single" w:color="auto" w:sz="12" w:space="0"/>
              <w:tl2br w:val="nil"/>
              <w:tr2bl w:val="nil"/>
            </w:tcBorders>
            <w:vAlign w:val="center"/>
          </w:tcPr>
          <w:p w14:paraId="5060A79A">
            <w:pPr>
              <w:keepNext w:val="0"/>
              <w:keepLines w:val="0"/>
              <w:suppressLineNumbers w:val="0"/>
              <w:autoSpaceDE w:val="0"/>
              <w:autoSpaceDN w:val="0"/>
              <w:spacing w:before="0" w:beforeAutospacing="0" w:after="0" w:afterAutospacing="0"/>
              <w:ind w:left="0" w:right="0" w:firstLine="0" w:firstLineChars="0"/>
              <w:jc w:val="center"/>
              <w:rPr>
                <w:rFonts w:hint="default" w:ascii="宋体" w:hAnsi="宋体" w:eastAsia="宋体" w:cs="宋体"/>
                <w:sz w:val="18"/>
                <w:szCs w:val="18"/>
                <w:highlight w:val="none"/>
                <w:lang w:val="en-US" w:eastAsia="zh-CN" w:bidi="ar-SA"/>
              </w:rPr>
            </w:pPr>
            <w:r>
              <w:rPr>
                <w:rFonts w:hint="eastAsia" w:ascii="宋体" w:hAnsi="宋体" w:eastAsia="宋体" w:cs="宋体"/>
                <w:sz w:val="18"/>
                <w:szCs w:val="18"/>
                <w:highlight w:val="none"/>
                <w:lang w:val="en-US" w:eastAsia="zh-CN" w:bidi="ar-SA"/>
              </w:rPr>
              <w:t>1</w:t>
            </w:r>
          </w:p>
        </w:tc>
        <w:tc>
          <w:tcPr>
            <w:tcW w:w="965" w:type="pct"/>
            <w:vMerge w:val="restart"/>
            <w:tcBorders>
              <w:top w:val="single" w:color="auto" w:sz="12" w:space="0"/>
              <w:tl2br w:val="nil"/>
              <w:tr2bl w:val="nil"/>
            </w:tcBorders>
            <w:vAlign w:val="center"/>
          </w:tcPr>
          <w:p w14:paraId="4A6351CE">
            <w:pPr>
              <w:keepNext w:val="0"/>
              <w:keepLines w:val="0"/>
              <w:suppressLineNumbers w:val="0"/>
              <w:autoSpaceDE w:val="0"/>
              <w:autoSpaceDN w:val="0"/>
              <w:spacing w:before="0" w:beforeAutospacing="0" w:after="0" w:afterAutospacing="0"/>
              <w:ind w:left="0" w:right="0" w:firstLine="0" w:firstLineChars="0"/>
              <w:jc w:val="both"/>
              <w:rPr>
                <w:rFonts w:hint="default" w:ascii="宋体" w:hAnsi="宋体" w:eastAsia="宋体" w:cs="宋体"/>
                <w:sz w:val="18"/>
                <w:szCs w:val="18"/>
                <w:highlight w:val="none"/>
                <w:lang w:val="en-US" w:eastAsia="zh-CN" w:bidi="ar-SA"/>
              </w:rPr>
            </w:pPr>
            <w:r>
              <w:rPr>
                <w:rFonts w:hint="eastAsia" w:ascii="宋体" w:hAnsi="宋体" w:eastAsia="宋体" w:cs="宋体"/>
                <w:sz w:val="18"/>
                <w:szCs w:val="18"/>
                <w:highlight w:val="none"/>
                <w:lang w:val="en-US" w:eastAsia="zh-CN" w:bidi="ar-SA"/>
              </w:rPr>
              <w:t>该项得分为两项指标累计得分</w:t>
            </w:r>
          </w:p>
        </w:tc>
      </w:tr>
      <w:tr w14:paraId="2D30A0B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008" w:type="pct"/>
            <w:tcBorders>
              <w:tl2br w:val="nil"/>
              <w:tr2bl w:val="nil"/>
            </w:tcBorders>
            <w:vAlign w:val="center"/>
          </w:tcPr>
          <w:p w14:paraId="64208E73">
            <w:pPr>
              <w:keepNext w:val="0"/>
              <w:keepLines w:val="0"/>
              <w:suppressLineNumbers w:val="0"/>
              <w:autoSpaceDE w:val="0"/>
              <w:autoSpaceDN w:val="0"/>
              <w:spacing w:before="0" w:beforeAutospacing="0" w:after="0" w:afterAutospacing="0"/>
              <w:ind w:left="0" w:right="0" w:firstLine="0" w:firstLineChars="0"/>
              <w:jc w:val="center"/>
              <w:rPr>
                <w:rFonts w:hint="default" w:ascii="宋体" w:hAnsi="宋体" w:eastAsia="宋体" w:cs="宋体"/>
                <w:sz w:val="18"/>
                <w:szCs w:val="18"/>
                <w:highlight w:val="none"/>
                <w:lang w:val="en-US" w:eastAsia="zh-CN" w:bidi="ar-SA"/>
              </w:rPr>
            </w:pPr>
            <w:r>
              <w:rPr>
                <w:rFonts w:hint="eastAsia" w:ascii="宋体" w:hAnsi="宋体" w:eastAsia="宋体" w:cs="宋体"/>
                <w:sz w:val="18"/>
                <w:szCs w:val="18"/>
                <w:highlight w:val="none"/>
                <w:lang w:val="en-US" w:eastAsia="zh-CN" w:bidi="ar-SA"/>
              </w:rPr>
              <w:t>（0，10）</w:t>
            </w:r>
          </w:p>
        </w:tc>
        <w:tc>
          <w:tcPr>
            <w:tcW w:w="866" w:type="pct"/>
            <w:tcBorders>
              <w:tl2br w:val="nil"/>
              <w:tr2bl w:val="nil"/>
            </w:tcBorders>
            <w:vAlign w:val="center"/>
          </w:tcPr>
          <w:p w14:paraId="344FC6DE">
            <w:pPr>
              <w:keepNext w:val="0"/>
              <w:keepLines w:val="0"/>
              <w:suppressLineNumbers w:val="0"/>
              <w:autoSpaceDE w:val="0"/>
              <w:autoSpaceDN w:val="0"/>
              <w:spacing w:before="0" w:beforeAutospacing="0" w:after="0" w:afterAutospacing="0"/>
              <w:ind w:left="0" w:right="0" w:firstLine="0" w:firstLineChars="0"/>
              <w:jc w:val="center"/>
              <w:rPr>
                <w:rFonts w:hint="default" w:ascii="宋体" w:hAnsi="宋体" w:eastAsia="宋体" w:cs="宋体"/>
                <w:sz w:val="18"/>
                <w:szCs w:val="18"/>
                <w:highlight w:val="none"/>
                <w:lang w:val="en-US" w:eastAsia="zh-CN" w:bidi="ar-SA"/>
              </w:rPr>
            </w:pPr>
            <w:r>
              <w:rPr>
                <w:rFonts w:hint="eastAsia" w:ascii="宋体" w:hAnsi="宋体" w:eastAsia="宋体" w:cs="宋体"/>
                <w:sz w:val="18"/>
                <w:szCs w:val="18"/>
                <w:highlight w:val="none"/>
                <w:lang w:val="en-US" w:eastAsia="zh-CN" w:bidi="ar-SA"/>
              </w:rPr>
              <w:t>1</w:t>
            </w:r>
          </w:p>
        </w:tc>
        <w:tc>
          <w:tcPr>
            <w:tcW w:w="1150" w:type="pct"/>
            <w:tcBorders>
              <w:tl2br w:val="nil"/>
              <w:tr2bl w:val="nil"/>
            </w:tcBorders>
            <w:vAlign w:val="center"/>
          </w:tcPr>
          <w:p w14:paraId="350C15AF">
            <w:pPr>
              <w:keepNext w:val="0"/>
              <w:keepLines w:val="0"/>
              <w:suppressLineNumbers w:val="0"/>
              <w:autoSpaceDE w:val="0"/>
              <w:autoSpaceDN w:val="0"/>
              <w:spacing w:before="0" w:beforeAutospacing="0" w:after="0" w:afterAutospacing="0"/>
              <w:ind w:left="0" w:right="0" w:firstLine="0" w:firstLineChars="0"/>
              <w:jc w:val="center"/>
              <w:rPr>
                <w:rFonts w:hint="default" w:ascii="宋体" w:hAnsi="宋体" w:eastAsia="宋体" w:cs="宋体"/>
                <w:sz w:val="18"/>
                <w:szCs w:val="18"/>
                <w:highlight w:val="none"/>
                <w:lang w:val="en-US" w:eastAsia="zh-CN" w:bidi="ar-SA"/>
              </w:rPr>
            </w:pPr>
            <w:r>
              <w:rPr>
                <w:rFonts w:hint="eastAsia" w:ascii="宋体" w:hAnsi="宋体" w:eastAsia="宋体" w:cs="宋体"/>
                <w:sz w:val="18"/>
                <w:szCs w:val="18"/>
                <w:highlight w:val="none"/>
                <w:lang w:val="en-US" w:eastAsia="zh-CN" w:bidi="ar-SA"/>
              </w:rPr>
              <w:t>（0，60）</w:t>
            </w:r>
          </w:p>
        </w:tc>
        <w:tc>
          <w:tcPr>
            <w:tcW w:w="1008" w:type="pct"/>
            <w:tcBorders>
              <w:tl2br w:val="nil"/>
              <w:tr2bl w:val="nil"/>
            </w:tcBorders>
            <w:vAlign w:val="center"/>
          </w:tcPr>
          <w:p w14:paraId="48476607">
            <w:pPr>
              <w:keepNext w:val="0"/>
              <w:keepLines w:val="0"/>
              <w:suppressLineNumbers w:val="0"/>
              <w:autoSpaceDE w:val="0"/>
              <w:autoSpaceDN w:val="0"/>
              <w:spacing w:before="0" w:beforeAutospacing="0" w:after="0" w:afterAutospacing="0"/>
              <w:ind w:left="0" w:right="0" w:firstLine="0" w:firstLineChars="0"/>
              <w:jc w:val="center"/>
              <w:rPr>
                <w:rFonts w:hint="default" w:ascii="宋体" w:hAnsi="宋体" w:eastAsia="宋体" w:cs="宋体"/>
                <w:sz w:val="18"/>
                <w:szCs w:val="18"/>
                <w:highlight w:val="none"/>
                <w:lang w:val="en-US" w:eastAsia="zh-CN" w:bidi="ar-SA"/>
              </w:rPr>
            </w:pPr>
            <w:r>
              <w:rPr>
                <w:rFonts w:hint="eastAsia" w:ascii="宋体" w:hAnsi="宋体" w:eastAsia="宋体" w:cs="宋体"/>
                <w:sz w:val="18"/>
                <w:szCs w:val="18"/>
                <w:highlight w:val="none"/>
                <w:lang w:val="en-US" w:eastAsia="zh-CN" w:bidi="ar-SA"/>
              </w:rPr>
              <w:t>0.5</w:t>
            </w:r>
          </w:p>
        </w:tc>
        <w:tc>
          <w:tcPr>
            <w:tcW w:w="965" w:type="pct"/>
            <w:vMerge w:val="continue"/>
            <w:tcBorders>
              <w:tl2br w:val="nil"/>
              <w:tr2bl w:val="nil"/>
            </w:tcBorders>
            <w:vAlign w:val="center"/>
          </w:tcPr>
          <w:p w14:paraId="5F545079">
            <w:pPr>
              <w:keepNext w:val="0"/>
              <w:keepLines w:val="0"/>
              <w:suppressLineNumbers w:val="0"/>
              <w:autoSpaceDE w:val="0"/>
              <w:autoSpaceDN w:val="0"/>
              <w:spacing w:before="0" w:beforeAutospacing="0" w:after="0" w:afterAutospacing="0"/>
              <w:ind w:left="0" w:right="0" w:firstLine="0" w:firstLineChars="0"/>
              <w:jc w:val="center"/>
              <w:rPr>
                <w:rFonts w:hint="default" w:ascii="宋体" w:hAnsi="宋体" w:eastAsia="宋体" w:cs="宋体"/>
                <w:sz w:val="18"/>
                <w:szCs w:val="18"/>
                <w:highlight w:val="none"/>
                <w:lang w:val="en-US" w:eastAsia="zh-CN" w:bidi="ar-SA"/>
              </w:rPr>
            </w:pPr>
          </w:p>
        </w:tc>
      </w:tr>
      <w:tr w14:paraId="1F51278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1008" w:type="pct"/>
            <w:tcBorders>
              <w:tl2br w:val="nil"/>
              <w:tr2bl w:val="nil"/>
            </w:tcBorders>
            <w:vAlign w:val="center"/>
          </w:tcPr>
          <w:p w14:paraId="7C30745C">
            <w:pPr>
              <w:keepNext w:val="0"/>
              <w:keepLines w:val="0"/>
              <w:suppressLineNumbers w:val="0"/>
              <w:autoSpaceDE w:val="0"/>
              <w:autoSpaceDN w:val="0"/>
              <w:spacing w:before="0" w:beforeAutospacing="0" w:after="0" w:afterAutospacing="0"/>
              <w:ind w:left="0" w:right="0" w:firstLine="0" w:firstLineChars="0"/>
              <w:jc w:val="center"/>
              <w:rPr>
                <w:rFonts w:hint="default" w:ascii="宋体" w:hAnsi="宋体" w:eastAsia="宋体" w:cs="宋体"/>
                <w:sz w:val="18"/>
                <w:szCs w:val="18"/>
                <w:highlight w:val="none"/>
                <w:lang w:val="en-US" w:eastAsia="zh-CN" w:bidi="ar-SA"/>
              </w:rPr>
            </w:pPr>
            <w:r>
              <w:rPr>
                <w:rFonts w:hint="eastAsia" w:ascii="宋体" w:hAnsi="宋体" w:eastAsia="宋体" w:cs="宋体"/>
                <w:sz w:val="18"/>
                <w:szCs w:val="18"/>
                <w:highlight w:val="none"/>
                <w:lang w:val="en-US" w:eastAsia="zh-CN" w:bidi="ar-SA"/>
              </w:rPr>
              <w:t>0</w:t>
            </w:r>
          </w:p>
        </w:tc>
        <w:tc>
          <w:tcPr>
            <w:tcW w:w="866" w:type="pct"/>
            <w:tcBorders>
              <w:tl2br w:val="nil"/>
              <w:tr2bl w:val="nil"/>
            </w:tcBorders>
            <w:vAlign w:val="center"/>
          </w:tcPr>
          <w:p w14:paraId="5B0056F4">
            <w:pPr>
              <w:keepNext w:val="0"/>
              <w:keepLines w:val="0"/>
              <w:suppressLineNumbers w:val="0"/>
              <w:autoSpaceDE w:val="0"/>
              <w:autoSpaceDN w:val="0"/>
              <w:spacing w:before="0" w:beforeAutospacing="0" w:after="0" w:afterAutospacing="0"/>
              <w:ind w:left="0" w:right="0" w:firstLine="0" w:firstLineChars="0"/>
              <w:jc w:val="center"/>
              <w:rPr>
                <w:rFonts w:hint="default" w:ascii="宋体" w:hAnsi="宋体" w:eastAsia="宋体" w:cs="宋体"/>
                <w:sz w:val="18"/>
                <w:szCs w:val="18"/>
                <w:highlight w:val="none"/>
                <w:lang w:val="en-US" w:eastAsia="zh-CN" w:bidi="ar-SA"/>
              </w:rPr>
            </w:pPr>
            <w:r>
              <w:rPr>
                <w:rFonts w:hint="eastAsia" w:ascii="宋体" w:hAnsi="宋体" w:eastAsia="宋体" w:cs="宋体"/>
                <w:sz w:val="18"/>
                <w:szCs w:val="18"/>
                <w:highlight w:val="none"/>
                <w:lang w:val="en-US" w:eastAsia="zh-CN" w:bidi="ar-SA"/>
              </w:rPr>
              <w:t>0</w:t>
            </w:r>
          </w:p>
        </w:tc>
        <w:tc>
          <w:tcPr>
            <w:tcW w:w="1150" w:type="pct"/>
            <w:tcBorders>
              <w:tl2br w:val="nil"/>
              <w:tr2bl w:val="nil"/>
            </w:tcBorders>
            <w:vAlign w:val="center"/>
          </w:tcPr>
          <w:p w14:paraId="3B289664">
            <w:pPr>
              <w:keepNext w:val="0"/>
              <w:keepLines w:val="0"/>
              <w:suppressLineNumbers w:val="0"/>
              <w:autoSpaceDE w:val="0"/>
              <w:autoSpaceDN w:val="0"/>
              <w:spacing w:before="0" w:beforeAutospacing="0" w:after="0" w:afterAutospacing="0"/>
              <w:ind w:left="0" w:right="0" w:firstLine="0" w:firstLineChars="0"/>
              <w:jc w:val="center"/>
              <w:rPr>
                <w:rFonts w:hint="default" w:ascii="宋体" w:hAnsi="宋体" w:eastAsia="宋体" w:cs="宋体"/>
                <w:sz w:val="18"/>
                <w:szCs w:val="18"/>
                <w:highlight w:val="none"/>
                <w:lang w:val="en-US" w:eastAsia="zh-CN" w:bidi="ar-SA"/>
              </w:rPr>
            </w:pPr>
            <w:r>
              <w:rPr>
                <w:rFonts w:hint="eastAsia" w:ascii="宋体" w:hAnsi="宋体" w:eastAsia="宋体" w:cs="宋体"/>
                <w:sz w:val="18"/>
                <w:szCs w:val="18"/>
                <w:highlight w:val="none"/>
                <w:lang w:val="en-US" w:eastAsia="zh-CN" w:bidi="ar-SA"/>
              </w:rPr>
              <w:t>0</w:t>
            </w:r>
          </w:p>
        </w:tc>
        <w:tc>
          <w:tcPr>
            <w:tcW w:w="1008" w:type="pct"/>
            <w:tcBorders>
              <w:tl2br w:val="nil"/>
              <w:tr2bl w:val="nil"/>
            </w:tcBorders>
            <w:vAlign w:val="center"/>
          </w:tcPr>
          <w:p w14:paraId="6EF3E065">
            <w:pPr>
              <w:keepNext w:val="0"/>
              <w:keepLines w:val="0"/>
              <w:suppressLineNumbers w:val="0"/>
              <w:autoSpaceDE w:val="0"/>
              <w:autoSpaceDN w:val="0"/>
              <w:spacing w:before="0" w:beforeAutospacing="0" w:after="0" w:afterAutospacing="0"/>
              <w:ind w:left="0" w:right="0" w:firstLine="0" w:firstLineChars="0"/>
              <w:jc w:val="center"/>
              <w:rPr>
                <w:rFonts w:hint="default" w:ascii="宋体" w:hAnsi="宋体" w:eastAsia="宋体" w:cs="宋体"/>
                <w:sz w:val="18"/>
                <w:szCs w:val="18"/>
                <w:highlight w:val="none"/>
                <w:lang w:val="en-US" w:eastAsia="zh-CN" w:bidi="ar-SA"/>
              </w:rPr>
            </w:pPr>
            <w:r>
              <w:rPr>
                <w:rFonts w:hint="eastAsia" w:ascii="宋体" w:hAnsi="宋体" w:eastAsia="宋体" w:cs="宋体"/>
                <w:sz w:val="18"/>
                <w:szCs w:val="18"/>
                <w:highlight w:val="none"/>
                <w:lang w:val="en-US" w:eastAsia="zh-CN" w:bidi="ar-SA"/>
              </w:rPr>
              <w:t>0</w:t>
            </w:r>
          </w:p>
        </w:tc>
        <w:tc>
          <w:tcPr>
            <w:tcW w:w="965" w:type="pct"/>
            <w:vMerge w:val="continue"/>
            <w:tcBorders>
              <w:tl2br w:val="nil"/>
              <w:tr2bl w:val="nil"/>
            </w:tcBorders>
            <w:vAlign w:val="center"/>
          </w:tcPr>
          <w:p w14:paraId="14C611A5">
            <w:pPr>
              <w:keepNext w:val="0"/>
              <w:keepLines w:val="0"/>
              <w:suppressLineNumbers w:val="0"/>
              <w:autoSpaceDE w:val="0"/>
              <w:autoSpaceDN w:val="0"/>
              <w:spacing w:before="0" w:beforeAutospacing="0" w:after="0" w:afterAutospacing="0"/>
              <w:ind w:left="0" w:right="0" w:firstLine="0" w:firstLineChars="0"/>
              <w:jc w:val="center"/>
              <w:rPr>
                <w:rFonts w:hint="default" w:ascii="宋体" w:hAnsi="宋体" w:eastAsia="宋体" w:cs="宋体"/>
                <w:sz w:val="18"/>
                <w:szCs w:val="18"/>
                <w:highlight w:val="none"/>
                <w:lang w:val="en-US" w:eastAsia="zh-CN" w:bidi="ar-SA"/>
              </w:rPr>
            </w:pPr>
          </w:p>
        </w:tc>
      </w:tr>
    </w:tbl>
    <w:p w14:paraId="59D6F60D">
      <w:pPr>
        <w:numPr>
          <w:ilvl w:val="3"/>
          <w:numId w:val="2"/>
        </w:numPr>
        <w:spacing w:before="156" w:beforeLines="50" w:after="156" w:afterLines="50"/>
        <w:outlineLvl w:val="4"/>
        <w:rPr>
          <w:rFonts w:eastAsia="黑体"/>
          <w:szCs w:val="21"/>
          <w:highlight w:val="none"/>
        </w:rPr>
      </w:pPr>
      <w:r>
        <w:rPr>
          <w:rFonts w:hint="eastAsia" w:eastAsia="黑体"/>
          <w:szCs w:val="21"/>
          <w:highlight w:val="none"/>
        </w:rPr>
        <w:t>污染物</w:t>
      </w:r>
      <w:r>
        <w:rPr>
          <w:rFonts w:eastAsia="黑体"/>
          <w:szCs w:val="21"/>
          <w:highlight w:val="none"/>
        </w:rPr>
        <w:t>排放</w:t>
      </w:r>
      <w:r>
        <w:rPr>
          <w:rFonts w:hint="eastAsia" w:eastAsia="黑体"/>
          <w:szCs w:val="21"/>
          <w:highlight w:val="none"/>
        </w:rPr>
        <w:t>水平</w:t>
      </w:r>
    </w:p>
    <w:p w14:paraId="1DF9D7A7">
      <w:pPr>
        <w:autoSpaceDE w:val="0"/>
        <w:autoSpaceDN w:val="0"/>
        <w:ind w:firstLine="420" w:firstLineChars="200"/>
        <w:rPr>
          <w:rFonts w:ascii="宋体" w:hAnsi="宋体" w:cs="宋体"/>
          <w:highlight w:val="none"/>
        </w:rPr>
      </w:pPr>
      <w:r>
        <w:rPr>
          <w:rFonts w:hint="eastAsia" w:ascii="宋体" w:hAnsi="宋体" w:cs="宋体"/>
          <w:highlight w:val="none"/>
        </w:rPr>
        <w:t>从企事业单位自身生产运营过程向环境排放污染物的情况进行评价</w:t>
      </w:r>
      <w:r>
        <w:rPr>
          <w:rFonts w:hint="eastAsia" w:ascii="宋体" w:hAnsi="宋体" w:cs="宋体"/>
          <w:highlight w:val="none"/>
          <w:lang w:eastAsia="zh-CN"/>
        </w:rPr>
        <w:t>，</w:t>
      </w:r>
      <w:r>
        <w:rPr>
          <w:rFonts w:hint="eastAsia" w:ascii="宋体" w:hAnsi="宋体" w:cs="宋体"/>
          <w:highlight w:val="none"/>
        </w:rPr>
        <w:t>具体评分规则见表</w:t>
      </w:r>
      <w:r>
        <w:rPr>
          <w:rFonts w:hint="eastAsia" w:ascii="宋体" w:hAnsi="宋体" w:cs="宋体"/>
          <w:highlight w:val="none"/>
          <w:lang w:val="en-US" w:eastAsia="zh-CN"/>
        </w:rPr>
        <w:t>15</w:t>
      </w:r>
      <w:r>
        <w:rPr>
          <w:rFonts w:hint="eastAsia" w:ascii="宋体" w:hAnsi="宋体" w:cs="宋体"/>
          <w:highlight w:val="none"/>
        </w:rPr>
        <w:t>。污染物排放水平数据宜以</w:t>
      </w:r>
      <w:r>
        <w:rPr>
          <w:rFonts w:hint="eastAsia" w:ascii="宋体" w:hAnsi="宋体" w:cs="宋体"/>
          <w:highlight w:val="none"/>
          <w:lang w:val="en-US" w:eastAsia="zh-CN"/>
        </w:rPr>
        <w:t>近一年</w:t>
      </w:r>
      <w:r>
        <w:rPr>
          <w:rFonts w:hint="eastAsia" w:ascii="宋体" w:hAnsi="宋体" w:cs="宋体"/>
          <w:highlight w:val="none"/>
        </w:rPr>
        <w:t>全国污染源监测数据管理与共享系统平台的自行监测数据为准。</w:t>
      </w:r>
    </w:p>
    <w:p w14:paraId="2BB3E7AA">
      <w:pPr>
        <w:pStyle w:val="131"/>
        <w:rPr>
          <w:rFonts w:ascii="Times New Roman"/>
          <w:highlight w:val="none"/>
        </w:rPr>
      </w:pPr>
      <w:r>
        <w:rPr>
          <w:rFonts w:hint="eastAsia" w:ascii="Times New Roman"/>
          <w:highlight w:val="none"/>
        </w:rPr>
        <w:t>污染物</w:t>
      </w:r>
      <w:r>
        <w:rPr>
          <w:rFonts w:ascii="Times New Roman"/>
          <w:highlight w:val="none"/>
        </w:rPr>
        <w:t>排放</w:t>
      </w:r>
      <w:r>
        <w:rPr>
          <w:rFonts w:hint="eastAsia" w:ascii="Times New Roman"/>
          <w:highlight w:val="none"/>
        </w:rPr>
        <w:t>水平</w:t>
      </w:r>
      <w:r>
        <w:rPr>
          <w:rFonts w:ascii="Times New Roman"/>
          <w:highlight w:val="none"/>
        </w:rPr>
        <w:t>评分规则</w:t>
      </w:r>
    </w:p>
    <w:tbl>
      <w:tblPr>
        <w:tblStyle w:val="36"/>
        <w:tblW w:w="4994"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8482"/>
        <w:gridCol w:w="1077"/>
      </w:tblGrid>
      <w:tr w14:paraId="318CB6C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436" w:type="pct"/>
            <w:tcBorders>
              <w:bottom w:val="single" w:color="auto" w:sz="12" w:space="0"/>
            </w:tcBorders>
            <w:vAlign w:val="center"/>
          </w:tcPr>
          <w:p w14:paraId="3B685046">
            <w:pPr>
              <w:keepNext w:val="0"/>
              <w:keepLines w:val="0"/>
              <w:suppressLineNumbers w:val="0"/>
              <w:autoSpaceDE w:val="0"/>
              <w:autoSpaceDN w:val="0"/>
              <w:spacing w:before="0" w:beforeAutospacing="0" w:after="0" w:afterAutospacing="0"/>
              <w:ind w:left="0" w:right="0"/>
              <w:jc w:val="center"/>
              <w:rPr>
                <w:rFonts w:hint="default"/>
                <w:b/>
                <w:bCs/>
                <w:sz w:val="18"/>
                <w:szCs w:val="18"/>
                <w:highlight w:val="none"/>
              </w:rPr>
            </w:pPr>
            <w:r>
              <w:rPr>
                <w:rFonts w:hint="default"/>
                <w:b/>
                <w:bCs/>
                <w:sz w:val="18"/>
                <w:szCs w:val="18"/>
                <w:highlight w:val="none"/>
              </w:rPr>
              <w:t>污染物排放水平</w:t>
            </w:r>
          </w:p>
        </w:tc>
        <w:tc>
          <w:tcPr>
            <w:tcW w:w="563" w:type="pct"/>
            <w:tcBorders>
              <w:bottom w:val="single" w:color="auto" w:sz="12" w:space="0"/>
            </w:tcBorders>
            <w:vAlign w:val="center"/>
          </w:tcPr>
          <w:p w14:paraId="06FDE670">
            <w:pPr>
              <w:keepNext w:val="0"/>
              <w:keepLines w:val="0"/>
              <w:suppressLineNumbers w:val="0"/>
              <w:autoSpaceDE w:val="0"/>
              <w:autoSpaceDN w:val="0"/>
              <w:spacing w:before="0" w:beforeAutospacing="0" w:after="0" w:afterAutospacing="0"/>
              <w:ind w:left="0" w:right="0"/>
              <w:jc w:val="center"/>
              <w:rPr>
                <w:rFonts w:hint="default"/>
                <w:b/>
                <w:bCs/>
                <w:sz w:val="18"/>
                <w:szCs w:val="18"/>
                <w:highlight w:val="none"/>
              </w:rPr>
            </w:pPr>
            <w:r>
              <w:rPr>
                <w:rFonts w:hint="default"/>
                <w:b/>
                <w:bCs/>
                <w:sz w:val="18"/>
                <w:szCs w:val="18"/>
                <w:highlight w:val="none"/>
              </w:rPr>
              <w:t>分值</w:t>
            </w:r>
            <w:r>
              <w:rPr>
                <w:rFonts w:hint="eastAsia"/>
                <w:b/>
                <w:bCs/>
                <w:sz w:val="18"/>
                <w:szCs w:val="18"/>
                <w:highlight w:val="none"/>
              </w:rPr>
              <w:t>（分）</w:t>
            </w:r>
          </w:p>
        </w:tc>
      </w:tr>
      <w:tr w14:paraId="08AC472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436" w:type="pct"/>
            <w:tcBorders>
              <w:top w:val="single" w:color="auto" w:sz="12" w:space="0"/>
              <w:tl2br w:val="nil"/>
              <w:tr2bl w:val="nil"/>
            </w:tcBorders>
            <w:vAlign w:val="center"/>
          </w:tcPr>
          <w:p w14:paraId="04371735">
            <w:pPr>
              <w:keepNext w:val="0"/>
              <w:keepLines w:val="0"/>
              <w:suppressLineNumbers w:val="0"/>
              <w:autoSpaceDE w:val="0"/>
              <w:autoSpaceDN w:val="0"/>
              <w:spacing w:before="0" w:beforeAutospacing="0" w:after="0" w:afterAutospacing="0"/>
              <w:ind w:left="0" w:right="0"/>
              <w:rPr>
                <w:rFonts w:hint="default" w:ascii="宋体" w:hAnsi="宋体" w:cs="宋体"/>
                <w:sz w:val="18"/>
                <w:szCs w:val="18"/>
                <w:highlight w:val="none"/>
              </w:rPr>
            </w:pPr>
            <w:r>
              <w:rPr>
                <w:rFonts w:hint="eastAsia" w:ascii="宋体" w:hAnsi="宋体" w:cs="宋体"/>
                <w:sz w:val="18"/>
                <w:szCs w:val="18"/>
                <w:highlight w:val="none"/>
              </w:rPr>
              <w:t>不排放污染物，或根据排污许可相关管理条例实行排污登记管理，或需控制的污染物有80%的种类优于排污许可证限值20%，或优于排放源所在地同类行业污染物排放限值20%</w:t>
            </w:r>
          </w:p>
        </w:tc>
        <w:tc>
          <w:tcPr>
            <w:tcW w:w="563" w:type="pct"/>
            <w:tcBorders>
              <w:top w:val="single" w:color="auto" w:sz="12" w:space="0"/>
              <w:tl2br w:val="nil"/>
              <w:tr2bl w:val="nil"/>
            </w:tcBorders>
            <w:vAlign w:val="center"/>
          </w:tcPr>
          <w:p w14:paraId="5BCE5C09">
            <w:pPr>
              <w:keepNext w:val="0"/>
              <w:keepLines w:val="0"/>
              <w:suppressLineNumbers w:val="0"/>
              <w:autoSpaceDE w:val="0"/>
              <w:autoSpaceDN w:val="0"/>
              <w:spacing w:before="0" w:beforeAutospacing="0" w:after="0" w:afterAutospacing="0"/>
              <w:ind w:left="0" w:right="0"/>
              <w:jc w:val="center"/>
              <w:rPr>
                <w:rFonts w:hint="default" w:ascii="宋体" w:hAnsi="宋体" w:cs="宋体"/>
                <w:sz w:val="18"/>
                <w:szCs w:val="18"/>
                <w:highlight w:val="none"/>
              </w:rPr>
            </w:pPr>
            <w:r>
              <w:rPr>
                <w:rFonts w:hint="eastAsia" w:ascii="宋体" w:hAnsi="宋体" w:cs="宋体"/>
                <w:sz w:val="18"/>
                <w:szCs w:val="18"/>
                <w:highlight w:val="none"/>
              </w:rPr>
              <w:t>4</w:t>
            </w:r>
          </w:p>
        </w:tc>
      </w:tr>
      <w:tr w14:paraId="02BFD63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4436" w:type="pct"/>
            <w:tcBorders>
              <w:tl2br w:val="nil"/>
              <w:tr2bl w:val="nil"/>
            </w:tcBorders>
            <w:vAlign w:val="center"/>
          </w:tcPr>
          <w:p w14:paraId="3C99CE0E">
            <w:pPr>
              <w:keepNext w:val="0"/>
              <w:keepLines w:val="0"/>
              <w:suppressLineNumbers w:val="0"/>
              <w:autoSpaceDE w:val="0"/>
              <w:autoSpaceDN w:val="0"/>
              <w:spacing w:before="0" w:beforeAutospacing="0" w:after="0" w:afterAutospacing="0"/>
              <w:ind w:left="0" w:right="0"/>
              <w:rPr>
                <w:rFonts w:hint="default" w:ascii="宋体" w:hAnsi="宋体" w:cs="宋体"/>
                <w:sz w:val="18"/>
                <w:szCs w:val="18"/>
                <w:highlight w:val="none"/>
              </w:rPr>
            </w:pPr>
            <w:r>
              <w:rPr>
                <w:rFonts w:hint="eastAsia" w:ascii="宋体" w:hAnsi="宋体" w:cs="宋体"/>
                <w:sz w:val="18"/>
                <w:szCs w:val="18"/>
                <w:highlight w:val="none"/>
              </w:rPr>
              <w:t>需控制的污染物有80%的种类优于排污许可证限值10%，或优于排放源所在地同类行业污染物排放限值10%</w:t>
            </w:r>
          </w:p>
        </w:tc>
        <w:tc>
          <w:tcPr>
            <w:tcW w:w="563" w:type="pct"/>
            <w:tcBorders>
              <w:tl2br w:val="nil"/>
              <w:tr2bl w:val="nil"/>
            </w:tcBorders>
            <w:vAlign w:val="center"/>
          </w:tcPr>
          <w:p w14:paraId="2678C82A">
            <w:pPr>
              <w:keepNext w:val="0"/>
              <w:keepLines w:val="0"/>
              <w:suppressLineNumbers w:val="0"/>
              <w:autoSpaceDE w:val="0"/>
              <w:autoSpaceDN w:val="0"/>
              <w:spacing w:before="0" w:beforeAutospacing="0" w:after="0" w:afterAutospacing="0"/>
              <w:ind w:left="0" w:right="0"/>
              <w:jc w:val="center"/>
              <w:rPr>
                <w:rFonts w:hint="default" w:ascii="宋体" w:hAnsi="宋体" w:cs="宋体"/>
                <w:sz w:val="18"/>
                <w:szCs w:val="18"/>
                <w:highlight w:val="none"/>
              </w:rPr>
            </w:pPr>
            <w:r>
              <w:rPr>
                <w:rFonts w:hint="eastAsia" w:ascii="宋体" w:hAnsi="宋体" w:cs="宋体"/>
                <w:sz w:val="18"/>
                <w:szCs w:val="18"/>
                <w:highlight w:val="none"/>
              </w:rPr>
              <w:t>2</w:t>
            </w:r>
          </w:p>
        </w:tc>
      </w:tr>
      <w:tr w14:paraId="7ED271B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436" w:type="pct"/>
            <w:tcBorders>
              <w:tl2br w:val="nil"/>
              <w:tr2bl w:val="nil"/>
            </w:tcBorders>
            <w:vAlign w:val="center"/>
          </w:tcPr>
          <w:p w14:paraId="517C5D75">
            <w:pPr>
              <w:keepNext w:val="0"/>
              <w:keepLines w:val="0"/>
              <w:suppressLineNumbers w:val="0"/>
              <w:autoSpaceDE w:val="0"/>
              <w:autoSpaceDN w:val="0"/>
              <w:spacing w:before="0" w:beforeAutospacing="0" w:after="0" w:afterAutospacing="0"/>
              <w:ind w:left="0" w:right="0"/>
              <w:rPr>
                <w:rFonts w:hint="default" w:ascii="宋体" w:hAnsi="宋体" w:cs="宋体"/>
                <w:sz w:val="18"/>
                <w:szCs w:val="18"/>
                <w:highlight w:val="none"/>
              </w:rPr>
            </w:pPr>
            <w:r>
              <w:rPr>
                <w:rFonts w:hint="eastAsia" w:ascii="宋体" w:hAnsi="宋体" w:cs="宋体"/>
                <w:sz w:val="18"/>
                <w:szCs w:val="18"/>
                <w:highlight w:val="none"/>
                <w:lang w:val="en-US" w:eastAsia="zh-CN"/>
              </w:rPr>
              <w:t>未</w:t>
            </w:r>
            <w:r>
              <w:rPr>
                <w:rFonts w:hint="eastAsia" w:ascii="宋体" w:hAnsi="宋体" w:cs="宋体"/>
                <w:sz w:val="18"/>
                <w:szCs w:val="18"/>
                <w:highlight w:val="none"/>
              </w:rPr>
              <w:t>满足上述任何一项</w:t>
            </w:r>
          </w:p>
        </w:tc>
        <w:tc>
          <w:tcPr>
            <w:tcW w:w="563" w:type="pct"/>
            <w:tcBorders>
              <w:tl2br w:val="nil"/>
              <w:tr2bl w:val="nil"/>
            </w:tcBorders>
            <w:vAlign w:val="center"/>
          </w:tcPr>
          <w:p w14:paraId="583D2C8A">
            <w:pPr>
              <w:keepNext w:val="0"/>
              <w:keepLines w:val="0"/>
              <w:suppressLineNumbers w:val="0"/>
              <w:autoSpaceDE w:val="0"/>
              <w:autoSpaceDN w:val="0"/>
              <w:spacing w:before="0" w:beforeAutospacing="0" w:after="0" w:afterAutospacing="0"/>
              <w:ind w:left="0" w:right="0"/>
              <w:jc w:val="center"/>
              <w:rPr>
                <w:rFonts w:hint="default" w:ascii="宋体" w:hAnsi="宋体" w:cs="宋体"/>
                <w:sz w:val="18"/>
                <w:szCs w:val="18"/>
                <w:highlight w:val="none"/>
              </w:rPr>
            </w:pPr>
            <w:r>
              <w:rPr>
                <w:rFonts w:hint="eastAsia" w:ascii="宋体" w:hAnsi="宋体" w:cs="宋体"/>
                <w:sz w:val="18"/>
                <w:szCs w:val="18"/>
                <w:highlight w:val="none"/>
              </w:rPr>
              <w:t>0</w:t>
            </w:r>
          </w:p>
        </w:tc>
      </w:tr>
    </w:tbl>
    <w:p w14:paraId="596AA667">
      <w:pPr>
        <w:pStyle w:val="51"/>
        <w:spacing w:before="156" w:after="156"/>
        <w:rPr>
          <w:rFonts w:ascii="Times New Roman"/>
          <w:highlight w:val="none"/>
        </w:rPr>
      </w:pPr>
      <w:r>
        <w:rPr>
          <w:rFonts w:ascii="Times New Roman"/>
          <w:highlight w:val="none"/>
        </w:rPr>
        <w:t>社会表现</w:t>
      </w:r>
    </w:p>
    <w:p w14:paraId="746BA5CA">
      <w:pPr>
        <w:pStyle w:val="56"/>
        <w:numPr>
          <w:ilvl w:val="3"/>
          <w:numId w:val="2"/>
        </w:numPr>
        <w:spacing w:before="156" w:after="156"/>
        <w:rPr>
          <w:rFonts w:ascii="Times New Roman"/>
          <w:highlight w:val="none"/>
        </w:rPr>
      </w:pPr>
      <w:r>
        <w:rPr>
          <w:rFonts w:ascii="Times New Roman"/>
          <w:highlight w:val="none"/>
        </w:rPr>
        <w:t>内部行动</w:t>
      </w:r>
    </w:p>
    <w:p w14:paraId="30626305">
      <w:pPr>
        <w:pStyle w:val="26"/>
        <w:rPr>
          <w:rFonts w:hint="eastAsia" w:hAnsi="宋体" w:cs="宋体"/>
          <w:highlight w:val="none"/>
        </w:rPr>
      </w:pPr>
      <w:r>
        <w:rPr>
          <w:rFonts w:hint="eastAsia" w:hAnsi="宋体" w:cs="宋体"/>
          <w:highlight w:val="none"/>
        </w:rPr>
        <w:t>从企事业单位开展绿色行动、信息披露</w:t>
      </w:r>
      <w:r>
        <w:rPr>
          <w:rFonts w:hint="eastAsia" w:hAnsi="宋体" w:cs="宋体"/>
          <w:highlight w:val="none"/>
          <w:lang w:eastAsia="zh-CN"/>
        </w:rPr>
        <w:t>、</w:t>
      </w:r>
      <w:r>
        <w:rPr>
          <w:rFonts w:hint="eastAsia" w:hAnsi="宋体" w:cs="宋体"/>
          <w:highlight w:val="none"/>
        </w:rPr>
        <w:t>低碳培训</w:t>
      </w:r>
      <w:r>
        <w:rPr>
          <w:rFonts w:hint="eastAsia" w:hAnsi="宋体" w:cs="宋体"/>
          <w:highlight w:val="none"/>
          <w:lang w:val="en-US" w:eastAsia="zh-CN"/>
        </w:rPr>
        <w:t>等方面</w:t>
      </w:r>
      <w:r>
        <w:rPr>
          <w:rFonts w:hint="eastAsia" w:hAnsi="宋体" w:cs="宋体"/>
          <w:highlight w:val="none"/>
        </w:rPr>
        <w:t>进行</w:t>
      </w:r>
      <w:r>
        <w:rPr>
          <w:rFonts w:hint="eastAsia" w:hAnsi="宋体" w:cs="宋体"/>
          <w:highlight w:val="none"/>
          <w:lang w:val="en-US" w:eastAsia="zh-CN"/>
        </w:rPr>
        <w:t>综合</w:t>
      </w:r>
      <w:r>
        <w:rPr>
          <w:rFonts w:hint="eastAsia" w:hAnsi="宋体" w:cs="宋体"/>
          <w:highlight w:val="none"/>
        </w:rPr>
        <w:t>评价</w:t>
      </w:r>
      <w:r>
        <w:rPr>
          <w:rFonts w:hint="eastAsia" w:hAnsi="宋体" w:cs="宋体"/>
          <w:highlight w:val="none"/>
          <w:lang w:eastAsia="zh-CN"/>
        </w:rPr>
        <w:t>，</w:t>
      </w:r>
      <w:r>
        <w:rPr>
          <w:rFonts w:hint="eastAsia" w:hAnsi="宋体" w:cs="宋体"/>
          <w:highlight w:val="none"/>
        </w:rPr>
        <w:t>具体评分规则见表</w:t>
      </w:r>
      <w:r>
        <w:rPr>
          <w:rFonts w:hint="eastAsia" w:hAnsi="宋体" w:cs="宋体"/>
          <w:highlight w:val="none"/>
          <w:lang w:val="en-US" w:eastAsia="zh-CN"/>
        </w:rPr>
        <w:t>16</w:t>
      </w:r>
      <w:r>
        <w:rPr>
          <w:rFonts w:hint="eastAsia" w:hAnsi="宋体" w:cs="宋体"/>
          <w:highlight w:val="none"/>
        </w:rPr>
        <w:t>。</w:t>
      </w:r>
    </w:p>
    <w:p w14:paraId="29631FB1">
      <w:pPr>
        <w:pStyle w:val="131"/>
        <w:rPr>
          <w:rFonts w:ascii="Times New Roman"/>
          <w:highlight w:val="none"/>
        </w:rPr>
      </w:pPr>
      <w:r>
        <w:rPr>
          <w:rFonts w:ascii="Times New Roman"/>
          <w:highlight w:val="none"/>
        </w:rPr>
        <w:t>内部行动评分规则</w:t>
      </w:r>
    </w:p>
    <w:tbl>
      <w:tblPr>
        <w:tblStyle w:val="36"/>
        <w:tblW w:w="4994"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1307"/>
        <w:gridCol w:w="5675"/>
        <w:gridCol w:w="1431"/>
        <w:gridCol w:w="1146"/>
      </w:tblGrid>
      <w:tr w14:paraId="5DA2A31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74" w:hRule="atLeast"/>
          <w:jc w:val="center"/>
        </w:trPr>
        <w:tc>
          <w:tcPr>
            <w:tcW w:w="684" w:type="pct"/>
            <w:tcBorders>
              <w:bottom w:val="single" w:color="auto" w:sz="12" w:space="0"/>
            </w:tcBorders>
            <w:vAlign w:val="center"/>
          </w:tcPr>
          <w:p w14:paraId="33CC9E10">
            <w:pPr>
              <w:pStyle w:val="26"/>
              <w:keepNext w:val="0"/>
              <w:keepLines w:val="0"/>
              <w:widowControl/>
              <w:suppressLineNumbers w:val="0"/>
              <w:spacing w:before="0" w:beforeAutospacing="0" w:after="0" w:afterAutospacing="0"/>
              <w:ind w:left="0" w:right="0" w:firstLine="0" w:firstLineChars="0"/>
              <w:jc w:val="center"/>
              <w:rPr>
                <w:rFonts w:hint="default" w:ascii="Times New Roman"/>
                <w:b/>
                <w:bCs/>
                <w:sz w:val="18"/>
                <w:szCs w:val="18"/>
                <w:highlight w:val="none"/>
              </w:rPr>
            </w:pPr>
            <w:r>
              <w:rPr>
                <w:rFonts w:hint="eastAsia" w:ascii="Times New Roman"/>
                <w:b/>
                <w:bCs/>
                <w:sz w:val="18"/>
                <w:szCs w:val="18"/>
                <w:highlight w:val="none"/>
              </w:rPr>
              <w:t>内部行动</w:t>
            </w:r>
          </w:p>
        </w:tc>
        <w:tc>
          <w:tcPr>
            <w:tcW w:w="2967" w:type="pct"/>
            <w:tcBorders>
              <w:bottom w:val="single" w:color="auto" w:sz="12" w:space="0"/>
            </w:tcBorders>
            <w:vAlign w:val="center"/>
          </w:tcPr>
          <w:p w14:paraId="7867137C">
            <w:pPr>
              <w:pStyle w:val="26"/>
              <w:keepNext w:val="0"/>
              <w:keepLines w:val="0"/>
              <w:widowControl/>
              <w:suppressLineNumbers w:val="0"/>
              <w:spacing w:before="0" w:beforeAutospacing="0" w:after="0" w:afterAutospacing="0"/>
              <w:ind w:left="0" w:right="0" w:firstLine="0" w:firstLineChars="0"/>
              <w:jc w:val="center"/>
              <w:rPr>
                <w:rFonts w:hint="default" w:ascii="Times New Roman"/>
                <w:b/>
                <w:bCs/>
                <w:sz w:val="18"/>
                <w:szCs w:val="18"/>
                <w:highlight w:val="none"/>
              </w:rPr>
            </w:pPr>
            <w:r>
              <w:rPr>
                <w:rFonts w:hint="default" w:ascii="Times New Roman"/>
                <w:b/>
                <w:bCs/>
                <w:sz w:val="18"/>
                <w:szCs w:val="18"/>
                <w:highlight w:val="none"/>
              </w:rPr>
              <w:t>开展情况</w:t>
            </w:r>
          </w:p>
        </w:tc>
        <w:tc>
          <w:tcPr>
            <w:tcW w:w="748" w:type="pct"/>
            <w:tcBorders>
              <w:bottom w:val="single" w:color="auto" w:sz="12" w:space="0"/>
            </w:tcBorders>
            <w:vAlign w:val="center"/>
          </w:tcPr>
          <w:p w14:paraId="7087E19E">
            <w:pPr>
              <w:pStyle w:val="26"/>
              <w:keepNext w:val="0"/>
              <w:keepLines w:val="0"/>
              <w:widowControl/>
              <w:suppressLineNumbers w:val="0"/>
              <w:spacing w:before="0" w:beforeAutospacing="0" w:after="0" w:afterAutospacing="0"/>
              <w:ind w:left="0" w:right="0" w:firstLine="0" w:firstLineChars="0"/>
              <w:jc w:val="center"/>
              <w:rPr>
                <w:rFonts w:hint="default" w:ascii="Times New Roman"/>
                <w:b/>
                <w:bCs/>
                <w:sz w:val="18"/>
                <w:szCs w:val="18"/>
                <w:highlight w:val="none"/>
              </w:rPr>
            </w:pPr>
            <w:r>
              <w:rPr>
                <w:rFonts w:hint="default" w:ascii="Times New Roman"/>
                <w:b/>
                <w:bCs/>
                <w:sz w:val="18"/>
                <w:szCs w:val="18"/>
                <w:highlight w:val="none"/>
              </w:rPr>
              <w:t>单项分值</w:t>
            </w:r>
            <w:r>
              <w:rPr>
                <w:rFonts w:hint="eastAsia" w:ascii="Times New Roman"/>
                <w:b/>
                <w:bCs/>
                <w:sz w:val="18"/>
                <w:szCs w:val="18"/>
                <w:highlight w:val="none"/>
              </w:rPr>
              <w:t>（分）</w:t>
            </w:r>
          </w:p>
        </w:tc>
        <w:tc>
          <w:tcPr>
            <w:tcW w:w="599" w:type="pct"/>
            <w:tcBorders>
              <w:bottom w:val="single" w:color="auto" w:sz="12" w:space="0"/>
            </w:tcBorders>
            <w:vAlign w:val="center"/>
          </w:tcPr>
          <w:p w14:paraId="17D05F07">
            <w:pPr>
              <w:pStyle w:val="26"/>
              <w:keepNext w:val="0"/>
              <w:keepLines w:val="0"/>
              <w:widowControl/>
              <w:suppressLineNumbers w:val="0"/>
              <w:spacing w:before="0" w:beforeAutospacing="0" w:after="0" w:afterAutospacing="0"/>
              <w:ind w:left="0" w:right="0" w:firstLine="0" w:firstLineChars="0"/>
              <w:jc w:val="center"/>
              <w:rPr>
                <w:rFonts w:hint="default" w:ascii="Times New Roman"/>
                <w:b/>
                <w:bCs/>
                <w:sz w:val="18"/>
                <w:szCs w:val="18"/>
                <w:highlight w:val="none"/>
              </w:rPr>
            </w:pPr>
            <w:r>
              <w:rPr>
                <w:rFonts w:hint="default" w:ascii="Times New Roman"/>
                <w:b/>
                <w:bCs/>
                <w:sz w:val="18"/>
                <w:szCs w:val="18"/>
                <w:highlight w:val="none"/>
              </w:rPr>
              <w:t>分值</w:t>
            </w:r>
            <w:r>
              <w:rPr>
                <w:rFonts w:hint="eastAsia" w:ascii="Times New Roman"/>
                <w:b/>
                <w:bCs/>
                <w:sz w:val="18"/>
                <w:szCs w:val="18"/>
                <w:highlight w:val="none"/>
              </w:rPr>
              <w:t>（分）</w:t>
            </w:r>
          </w:p>
        </w:tc>
      </w:tr>
      <w:tr w14:paraId="6E1F4C7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84" w:type="pct"/>
            <w:tcBorders>
              <w:top w:val="single" w:color="auto" w:sz="12" w:space="0"/>
              <w:tl2br w:val="nil"/>
              <w:tr2bl w:val="nil"/>
            </w:tcBorders>
            <w:vAlign w:val="center"/>
          </w:tcPr>
          <w:p w14:paraId="1E12895C">
            <w:pPr>
              <w:pStyle w:val="26"/>
              <w:keepNext w:val="0"/>
              <w:keepLines w:val="0"/>
              <w:widowControl/>
              <w:suppressLineNumbers w:val="0"/>
              <w:spacing w:before="0" w:beforeAutospacing="0" w:after="0" w:afterAutospacing="0"/>
              <w:ind w:left="0" w:right="0" w:firstLine="0" w:firstLineChars="0"/>
              <w:jc w:val="center"/>
              <w:rPr>
                <w:rFonts w:hint="default" w:hAnsi="宋体" w:cs="宋体"/>
                <w:sz w:val="18"/>
                <w:szCs w:val="18"/>
                <w:highlight w:val="none"/>
              </w:rPr>
            </w:pPr>
            <w:r>
              <w:rPr>
                <w:rFonts w:hint="eastAsia" w:hAnsi="宋体" w:cs="宋体"/>
                <w:sz w:val="18"/>
                <w:szCs w:val="18"/>
                <w:highlight w:val="none"/>
              </w:rPr>
              <w:t>绿色行动</w:t>
            </w:r>
          </w:p>
        </w:tc>
        <w:tc>
          <w:tcPr>
            <w:tcW w:w="2967" w:type="pct"/>
            <w:tcBorders>
              <w:top w:val="single" w:color="auto" w:sz="12" w:space="0"/>
              <w:tl2br w:val="nil"/>
              <w:tr2bl w:val="nil"/>
            </w:tcBorders>
            <w:vAlign w:val="center"/>
          </w:tcPr>
          <w:p w14:paraId="2FB45C28">
            <w:pPr>
              <w:pStyle w:val="26"/>
              <w:keepNext w:val="0"/>
              <w:keepLines w:val="0"/>
              <w:widowControl/>
              <w:suppressLineNumbers w:val="0"/>
              <w:spacing w:before="0" w:beforeAutospacing="0" w:after="0" w:afterAutospacing="0"/>
              <w:ind w:left="0" w:right="0" w:firstLine="0" w:firstLineChars="0"/>
              <w:rPr>
                <w:rFonts w:hint="default" w:hAnsi="宋体" w:cs="宋体"/>
                <w:sz w:val="18"/>
                <w:szCs w:val="18"/>
                <w:highlight w:val="none"/>
              </w:rPr>
            </w:pPr>
            <w:r>
              <w:rPr>
                <w:rFonts w:hint="eastAsia" w:hAnsi="宋体" w:cs="宋体"/>
                <w:sz w:val="18"/>
                <w:szCs w:val="18"/>
                <w:highlight w:val="none"/>
              </w:rPr>
              <w:t>发布碳中和规划或行动方案、创建近零碳排放试点、开展产品碳足迹核算、创建碳普惠低碳场景或实现多场大型活动碳中和等绿色行动</w:t>
            </w:r>
          </w:p>
        </w:tc>
        <w:tc>
          <w:tcPr>
            <w:tcW w:w="748" w:type="pct"/>
            <w:tcBorders>
              <w:top w:val="single" w:color="auto" w:sz="12" w:space="0"/>
              <w:tl2br w:val="nil"/>
              <w:tr2bl w:val="nil"/>
            </w:tcBorders>
            <w:vAlign w:val="center"/>
          </w:tcPr>
          <w:p w14:paraId="5DCC38B7">
            <w:pPr>
              <w:pStyle w:val="26"/>
              <w:keepNext w:val="0"/>
              <w:keepLines w:val="0"/>
              <w:widowControl/>
              <w:suppressLineNumbers w:val="0"/>
              <w:spacing w:before="0" w:beforeAutospacing="0" w:after="0" w:afterAutospacing="0"/>
              <w:ind w:left="0" w:right="0" w:firstLine="0" w:firstLineChars="0"/>
              <w:jc w:val="center"/>
              <w:rPr>
                <w:rFonts w:hint="default" w:hAnsi="宋体" w:eastAsia="宋体" w:cs="宋体"/>
                <w:sz w:val="18"/>
                <w:szCs w:val="18"/>
                <w:highlight w:val="none"/>
                <w:lang w:val="en-US" w:eastAsia="zh-CN"/>
              </w:rPr>
            </w:pPr>
            <w:r>
              <w:rPr>
                <w:rFonts w:hint="eastAsia" w:hAnsi="宋体" w:cs="宋体"/>
                <w:sz w:val="18"/>
                <w:szCs w:val="18"/>
                <w:highlight w:val="none"/>
                <w:lang w:val="en-US" w:eastAsia="zh-CN"/>
              </w:rPr>
              <w:t>2</w:t>
            </w:r>
          </w:p>
        </w:tc>
        <w:tc>
          <w:tcPr>
            <w:tcW w:w="599" w:type="pct"/>
            <w:vMerge w:val="restart"/>
            <w:tcBorders>
              <w:top w:val="single" w:color="auto" w:sz="12" w:space="0"/>
              <w:tl2br w:val="nil"/>
              <w:tr2bl w:val="nil"/>
            </w:tcBorders>
            <w:vAlign w:val="center"/>
          </w:tcPr>
          <w:p w14:paraId="2B748D0E">
            <w:pPr>
              <w:pStyle w:val="26"/>
              <w:keepNext w:val="0"/>
              <w:keepLines w:val="0"/>
              <w:widowControl/>
              <w:suppressLineNumbers w:val="0"/>
              <w:spacing w:before="0" w:beforeAutospacing="0" w:after="0" w:afterAutospacing="0"/>
              <w:ind w:left="0" w:right="0" w:firstLine="0" w:firstLineChars="0"/>
              <w:rPr>
                <w:rFonts w:hint="default" w:hAnsi="宋体" w:cs="宋体"/>
                <w:sz w:val="18"/>
                <w:szCs w:val="18"/>
                <w:highlight w:val="none"/>
              </w:rPr>
            </w:pPr>
            <w:r>
              <w:rPr>
                <w:rFonts w:hint="eastAsia" w:hAnsi="宋体" w:cs="宋体"/>
                <w:sz w:val="18"/>
                <w:szCs w:val="18"/>
                <w:highlight w:val="none"/>
              </w:rPr>
              <w:t>该项得分为三项指标累计得分</w:t>
            </w:r>
          </w:p>
        </w:tc>
      </w:tr>
      <w:tr w14:paraId="3714152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2" w:hRule="atLeast"/>
          <w:jc w:val="center"/>
        </w:trPr>
        <w:tc>
          <w:tcPr>
            <w:tcW w:w="684" w:type="pct"/>
            <w:tcBorders>
              <w:tl2br w:val="nil"/>
              <w:tr2bl w:val="nil"/>
            </w:tcBorders>
            <w:vAlign w:val="center"/>
          </w:tcPr>
          <w:p w14:paraId="6D83D83F">
            <w:pPr>
              <w:pStyle w:val="26"/>
              <w:keepNext w:val="0"/>
              <w:keepLines w:val="0"/>
              <w:widowControl/>
              <w:suppressLineNumbers w:val="0"/>
              <w:spacing w:before="0" w:beforeAutospacing="0" w:after="0" w:afterAutospacing="0"/>
              <w:ind w:left="0" w:right="0" w:firstLine="0" w:firstLineChars="0"/>
              <w:jc w:val="center"/>
              <w:rPr>
                <w:rFonts w:hint="default" w:hAnsi="宋体" w:cs="宋体"/>
                <w:sz w:val="18"/>
                <w:szCs w:val="18"/>
                <w:highlight w:val="none"/>
              </w:rPr>
            </w:pPr>
            <w:r>
              <w:rPr>
                <w:rFonts w:hint="eastAsia" w:hAnsi="宋体" w:cs="宋体"/>
                <w:sz w:val="18"/>
                <w:szCs w:val="18"/>
                <w:highlight w:val="none"/>
              </w:rPr>
              <w:t>信息披露</w:t>
            </w:r>
          </w:p>
        </w:tc>
        <w:tc>
          <w:tcPr>
            <w:tcW w:w="2967" w:type="pct"/>
            <w:tcBorders>
              <w:tl2br w:val="nil"/>
              <w:tr2bl w:val="nil"/>
            </w:tcBorders>
            <w:vAlign w:val="center"/>
          </w:tcPr>
          <w:p w14:paraId="2E0BD5BA">
            <w:pPr>
              <w:pStyle w:val="26"/>
              <w:keepNext w:val="0"/>
              <w:keepLines w:val="0"/>
              <w:widowControl/>
              <w:suppressLineNumbers w:val="0"/>
              <w:spacing w:before="0" w:beforeAutospacing="0" w:after="0" w:afterAutospacing="0"/>
              <w:ind w:left="0" w:right="0" w:firstLine="0" w:firstLineChars="0"/>
              <w:jc w:val="left"/>
              <w:rPr>
                <w:rFonts w:hint="default" w:hAnsi="宋体" w:cs="宋体"/>
                <w:sz w:val="18"/>
                <w:szCs w:val="18"/>
                <w:highlight w:val="none"/>
              </w:rPr>
            </w:pPr>
            <w:r>
              <w:rPr>
                <w:rFonts w:hint="eastAsia" w:hAnsi="宋体" w:cs="宋体"/>
                <w:sz w:val="18"/>
                <w:szCs w:val="18"/>
                <w:highlight w:val="none"/>
              </w:rPr>
              <w:t>主动依据《企业环境信息依法披露管理办法》，通过公开渠道披露产品或服务技术性能、资源能源消耗情况、环境信息等相关内容，或依法依规披露环境、社会和公司治理（ESG）情况</w:t>
            </w:r>
          </w:p>
        </w:tc>
        <w:tc>
          <w:tcPr>
            <w:tcW w:w="748" w:type="pct"/>
            <w:tcBorders>
              <w:tl2br w:val="nil"/>
              <w:tr2bl w:val="nil"/>
            </w:tcBorders>
            <w:vAlign w:val="center"/>
          </w:tcPr>
          <w:p w14:paraId="34E955E5">
            <w:pPr>
              <w:pStyle w:val="26"/>
              <w:keepNext w:val="0"/>
              <w:keepLines w:val="0"/>
              <w:widowControl/>
              <w:suppressLineNumbers w:val="0"/>
              <w:spacing w:before="0" w:beforeAutospacing="0" w:after="0" w:afterAutospacing="0"/>
              <w:ind w:left="0" w:right="0" w:firstLine="0" w:firstLineChars="0"/>
              <w:jc w:val="center"/>
              <w:rPr>
                <w:rFonts w:hint="eastAsia" w:hAnsi="宋体" w:eastAsia="宋体" w:cs="宋体"/>
                <w:sz w:val="18"/>
                <w:szCs w:val="18"/>
                <w:highlight w:val="none"/>
                <w:lang w:eastAsia="zh-CN"/>
              </w:rPr>
            </w:pPr>
            <w:r>
              <w:rPr>
                <w:rFonts w:hint="eastAsia" w:hAnsi="宋体" w:cs="宋体"/>
                <w:sz w:val="18"/>
                <w:szCs w:val="18"/>
                <w:highlight w:val="none"/>
                <w:lang w:val="en-US" w:eastAsia="zh-CN"/>
              </w:rPr>
              <w:t>2</w:t>
            </w:r>
          </w:p>
        </w:tc>
        <w:tc>
          <w:tcPr>
            <w:tcW w:w="599" w:type="pct"/>
            <w:vMerge w:val="continue"/>
            <w:tcBorders>
              <w:tl2br w:val="nil"/>
              <w:tr2bl w:val="nil"/>
            </w:tcBorders>
            <w:vAlign w:val="center"/>
          </w:tcPr>
          <w:p w14:paraId="16AFD0B7">
            <w:pPr>
              <w:pStyle w:val="26"/>
              <w:keepNext w:val="0"/>
              <w:keepLines w:val="0"/>
              <w:widowControl/>
              <w:suppressLineNumbers w:val="0"/>
              <w:spacing w:before="0" w:beforeAutospacing="0" w:after="0" w:afterAutospacing="0"/>
              <w:ind w:left="0" w:right="0" w:firstLine="0" w:firstLineChars="0"/>
              <w:jc w:val="center"/>
              <w:rPr>
                <w:rFonts w:hint="default" w:hAnsi="宋体" w:cs="宋体"/>
                <w:sz w:val="18"/>
                <w:szCs w:val="18"/>
                <w:highlight w:val="none"/>
              </w:rPr>
            </w:pPr>
          </w:p>
        </w:tc>
      </w:tr>
      <w:tr w14:paraId="0367572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25" w:hRule="atLeast"/>
          <w:jc w:val="center"/>
        </w:trPr>
        <w:tc>
          <w:tcPr>
            <w:tcW w:w="684" w:type="pct"/>
            <w:tcBorders>
              <w:tl2br w:val="nil"/>
              <w:tr2bl w:val="nil"/>
            </w:tcBorders>
            <w:vAlign w:val="center"/>
          </w:tcPr>
          <w:p w14:paraId="1834BBA0">
            <w:pPr>
              <w:pStyle w:val="26"/>
              <w:keepNext w:val="0"/>
              <w:keepLines w:val="0"/>
              <w:widowControl/>
              <w:suppressLineNumbers w:val="0"/>
              <w:spacing w:before="0" w:beforeAutospacing="0" w:after="0" w:afterAutospacing="0"/>
              <w:ind w:left="0" w:right="0" w:firstLine="0" w:firstLineChars="0"/>
              <w:jc w:val="center"/>
              <w:rPr>
                <w:rFonts w:hint="default" w:hAnsi="宋体" w:cs="宋体"/>
                <w:sz w:val="18"/>
                <w:szCs w:val="18"/>
                <w:highlight w:val="none"/>
              </w:rPr>
            </w:pPr>
            <w:r>
              <w:rPr>
                <w:rFonts w:hint="eastAsia" w:hAnsi="宋体" w:cs="宋体"/>
                <w:sz w:val="18"/>
                <w:szCs w:val="18"/>
                <w:highlight w:val="none"/>
              </w:rPr>
              <w:t>低碳培训</w:t>
            </w:r>
          </w:p>
        </w:tc>
        <w:tc>
          <w:tcPr>
            <w:tcW w:w="2967" w:type="pct"/>
            <w:tcBorders>
              <w:tl2br w:val="nil"/>
              <w:tr2bl w:val="nil"/>
            </w:tcBorders>
            <w:vAlign w:val="center"/>
          </w:tcPr>
          <w:p w14:paraId="6CF5CB57">
            <w:pPr>
              <w:pStyle w:val="26"/>
              <w:keepNext w:val="0"/>
              <w:keepLines w:val="0"/>
              <w:widowControl/>
              <w:suppressLineNumbers w:val="0"/>
              <w:spacing w:before="0" w:beforeAutospacing="0" w:after="0" w:afterAutospacing="0"/>
              <w:ind w:left="0" w:right="0" w:firstLine="0" w:firstLineChars="0"/>
              <w:jc w:val="left"/>
              <w:rPr>
                <w:rFonts w:hint="default" w:hAnsi="宋体" w:cs="宋体"/>
                <w:sz w:val="18"/>
                <w:szCs w:val="18"/>
                <w:highlight w:val="none"/>
              </w:rPr>
            </w:pPr>
            <w:r>
              <w:rPr>
                <w:rFonts w:hint="eastAsia" w:hAnsi="宋体" w:cs="宋体"/>
                <w:sz w:val="18"/>
                <w:szCs w:val="18"/>
                <w:highlight w:val="none"/>
              </w:rPr>
              <w:t>每年对员工开展2次及以上低碳环保、节能减排、循环经济等主题培训</w:t>
            </w:r>
          </w:p>
        </w:tc>
        <w:tc>
          <w:tcPr>
            <w:tcW w:w="748" w:type="pct"/>
            <w:tcBorders>
              <w:tl2br w:val="nil"/>
              <w:tr2bl w:val="nil"/>
            </w:tcBorders>
            <w:vAlign w:val="center"/>
          </w:tcPr>
          <w:p w14:paraId="098FAE34">
            <w:pPr>
              <w:pStyle w:val="26"/>
              <w:keepNext w:val="0"/>
              <w:keepLines w:val="0"/>
              <w:widowControl/>
              <w:suppressLineNumbers w:val="0"/>
              <w:spacing w:before="0" w:beforeAutospacing="0" w:after="0" w:afterAutospacing="0"/>
              <w:ind w:left="0" w:right="0" w:firstLine="0" w:firstLineChars="0"/>
              <w:jc w:val="center"/>
              <w:rPr>
                <w:rFonts w:hint="default" w:hAnsi="宋体" w:eastAsia="宋体" w:cs="宋体"/>
                <w:sz w:val="18"/>
                <w:szCs w:val="18"/>
                <w:highlight w:val="none"/>
                <w:lang w:val="en-US" w:eastAsia="zh-CN"/>
              </w:rPr>
            </w:pPr>
            <w:r>
              <w:rPr>
                <w:rFonts w:hint="eastAsia" w:hAnsi="宋体" w:cs="宋体"/>
                <w:sz w:val="18"/>
                <w:szCs w:val="18"/>
                <w:highlight w:val="none"/>
                <w:lang w:val="en-US" w:eastAsia="zh-CN"/>
              </w:rPr>
              <w:t>1</w:t>
            </w:r>
          </w:p>
        </w:tc>
        <w:tc>
          <w:tcPr>
            <w:tcW w:w="599" w:type="pct"/>
            <w:vMerge w:val="continue"/>
            <w:tcBorders>
              <w:tl2br w:val="nil"/>
              <w:tr2bl w:val="nil"/>
            </w:tcBorders>
            <w:vAlign w:val="center"/>
          </w:tcPr>
          <w:p w14:paraId="4EE4A50E">
            <w:pPr>
              <w:pStyle w:val="26"/>
              <w:keepNext w:val="0"/>
              <w:keepLines w:val="0"/>
              <w:widowControl/>
              <w:suppressLineNumbers w:val="0"/>
              <w:spacing w:before="0" w:beforeAutospacing="0" w:after="0" w:afterAutospacing="0"/>
              <w:ind w:left="0" w:right="0" w:firstLine="0" w:firstLineChars="0"/>
              <w:jc w:val="center"/>
              <w:rPr>
                <w:rFonts w:hint="default" w:hAnsi="宋体" w:cs="宋体"/>
                <w:sz w:val="18"/>
                <w:szCs w:val="18"/>
                <w:highlight w:val="none"/>
              </w:rPr>
            </w:pPr>
          </w:p>
        </w:tc>
      </w:tr>
    </w:tbl>
    <w:p w14:paraId="21978A44">
      <w:pPr>
        <w:pStyle w:val="56"/>
        <w:numPr>
          <w:ilvl w:val="3"/>
          <w:numId w:val="2"/>
        </w:numPr>
        <w:spacing w:before="156" w:after="156"/>
        <w:rPr>
          <w:rFonts w:ascii="Times New Roman"/>
          <w:highlight w:val="none"/>
        </w:rPr>
      </w:pPr>
      <w:r>
        <w:rPr>
          <w:rFonts w:ascii="Times New Roman"/>
          <w:highlight w:val="none"/>
        </w:rPr>
        <w:t>社会责任</w:t>
      </w:r>
    </w:p>
    <w:p w14:paraId="0BBF91B4">
      <w:pPr>
        <w:pStyle w:val="26"/>
        <w:rPr>
          <w:rFonts w:hint="eastAsia" w:hAnsi="宋体" w:cs="宋体"/>
          <w:highlight w:val="none"/>
        </w:rPr>
      </w:pPr>
      <w:r>
        <w:rPr>
          <w:rFonts w:hint="eastAsia" w:hAnsi="宋体" w:cs="宋体"/>
          <w:highlight w:val="none"/>
        </w:rPr>
        <w:t>从企事业单位履行公共关系和社会公益责任、实施供应链绿色管理等情况进行评价。具体评分规则见表</w:t>
      </w:r>
      <w:r>
        <w:rPr>
          <w:rFonts w:hint="eastAsia" w:hAnsi="宋体" w:cs="宋体"/>
          <w:highlight w:val="none"/>
          <w:lang w:val="en-US" w:eastAsia="zh-CN"/>
        </w:rPr>
        <w:t>17</w:t>
      </w:r>
      <w:r>
        <w:rPr>
          <w:rFonts w:hint="eastAsia" w:hAnsi="宋体" w:cs="宋体"/>
          <w:highlight w:val="none"/>
        </w:rPr>
        <w:t>。</w:t>
      </w:r>
    </w:p>
    <w:p w14:paraId="3AE85FC7">
      <w:pPr>
        <w:pStyle w:val="131"/>
        <w:rPr>
          <w:rFonts w:ascii="Times New Roman"/>
          <w:highlight w:val="none"/>
        </w:rPr>
      </w:pPr>
      <w:r>
        <w:rPr>
          <w:rFonts w:ascii="Times New Roman"/>
          <w:highlight w:val="none"/>
        </w:rPr>
        <w:t>社会责任评分规则</w:t>
      </w:r>
    </w:p>
    <w:tbl>
      <w:tblPr>
        <w:tblStyle w:val="36"/>
        <w:tblW w:w="4994"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1843"/>
        <w:gridCol w:w="4906"/>
        <w:gridCol w:w="1364"/>
        <w:gridCol w:w="1446"/>
      </w:tblGrid>
      <w:tr w14:paraId="131DB01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964" w:type="pct"/>
            <w:tcBorders>
              <w:bottom w:val="single" w:color="auto" w:sz="12" w:space="0"/>
            </w:tcBorders>
            <w:vAlign w:val="center"/>
          </w:tcPr>
          <w:p w14:paraId="149314AD">
            <w:pPr>
              <w:pStyle w:val="26"/>
              <w:keepNext w:val="0"/>
              <w:keepLines w:val="0"/>
              <w:widowControl/>
              <w:suppressLineNumbers w:val="0"/>
              <w:spacing w:before="0" w:beforeAutospacing="0" w:after="0" w:afterAutospacing="0"/>
              <w:ind w:left="0" w:right="0" w:firstLine="0" w:firstLineChars="0"/>
              <w:jc w:val="center"/>
              <w:rPr>
                <w:rFonts w:hint="default" w:ascii="Times New Roman"/>
                <w:b/>
                <w:bCs/>
                <w:sz w:val="18"/>
                <w:szCs w:val="18"/>
                <w:highlight w:val="none"/>
              </w:rPr>
            </w:pPr>
            <w:r>
              <w:rPr>
                <w:rFonts w:hint="default" w:ascii="Times New Roman"/>
                <w:b/>
                <w:bCs/>
                <w:sz w:val="18"/>
                <w:szCs w:val="18"/>
                <w:highlight w:val="none"/>
              </w:rPr>
              <w:t>社会责任</w:t>
            </w:r>
          </w:p>
        </w:tc>
        <w:tc>
          <w:tcPr>
            <w:tcW w:w="2565" w:type="pct"/>
            <w:tcBorders>
              <w:bottom w:val="single" w:color="auto" w:sz="12" w:space="0"/>
            </w:tcBorders>
            <w:vAlign w:val="center"/>
          </w:tcPr>
          <w:p w14:paraId="6A945D28">
            <w:pPr>
              <w:pStyle w:val="26"/>
              <w:keepNext w:val="0"/>
              <w:keepLines w:val="0"/>
              <w:widowControl/>
              <w:suppressLineNumbers w:val="0"/>
              <w:spacing w:before="0" w:beforeAutospacing="0" w:after="0" w:afterAutospacing="0"/>
              <w:ind w:left="0" w:right="0" w:firstLine="0" w:firstLineChars="0"/>
              <w:jc w:val="center"/>
              <w:rPr>
                <w:rFonts w:hint="default" w:ascii="Times New Roman"/>
                <w:b/>
                <w:bCs/>
                <w:sz w:val="18"/>
                <w:szCs w:val="18"/>
                <w:highlight w:val="none"/>
              </w:rPr>
            </w:pPr>
            <w:r>
              <w:rPr>
                <w:rFonts w:hint="eastAsia" w:ascii="Times New Roman"/>
                <w:b/>
                <w:bCs/>
                <w:sz w:val="18"/>
                <w:szCs w:val="18"/>
                <w:highlight w:val="none"/>
              </w:rPr>
              <w:t>开展情况</w:t>
            </w:r>
          </w:p>
        </w:tc>
        <w:tc>
          <w:tcPr>
            <w:tcW w:w="713" w:type="pct"/>
            <w:tcBorders>
              <w:bottom w:val="single" w:color="auto" w:sz="12" w:space="0"/>
            </w:tcBorders>
            <w:vAlign w:val="center"/>
          </w:tcPr>
          <w:p w14:paraId="291DF62C">
            <w:pPr>
              <w:pStyle w:val="26"/>
              <w:keepNext w:val="0"/>
              <w:keepLines w:val="0"/>
              <w:widowControl/>
              <w:suppressLineNumbers w:val="0"/>
              <w:spacing w:before="0" w:beforeAutospacing="0" w:after="0" w:afterAutospacing="0"/>
              <w:ind w:left="0" w:right="0" w:firstLine="0" w:firstLineChars="0"/>
              <w:jc w:val="center"/>
              <w:rPr>
                <w:rFonts w:hint="default" w:ascii="Times New Roman"/>
                <w:b/>
                <w:bCs/>
                <w:sz w:val="18"/>
                <w:szCs w:val="18"/>
                <w:highlight w:val="none"/>
              </w:rPr>
            </w:pPr>
            <w:r>
              <w:rPr>
                <w:rFonts w:hint="default" w:ascii="Times New Roman"/>
                <w:b/>
                <w:bCs/>
                <w:sz w:val="18"/>
                <w:szCs w:val="18"/>
                <w:highlight w:val="none"/>
              </w:rPr>
              <w:t>单项分值</w:t>
            </w:r>
            <w:r>
              <w:rPr>
                <w:rFonts w:hint="eastAsia" w:ascii="Times New Roman"/>
                <w:b/>
                <w:bCs/>
                <w:sz w:val="18"/>
                <w:szCs w:val="18"/>
                <w:highlight w:val="none"/>
              </w:rPr>
              <w:t>（分）</w:t>
            </w:r>
          </w:p>
        </w:tc>
        <w:tc>
          <w:tcPr>
            <w:tcW w:w="756" w:type="pct"/>
            <w:tcBorders>
              <w:bottom w:val="single" w:color="auto" w:sz="12" w:space="0"/>
            </w:tcBorders>
            <w:vAlign w:val="center"/>
          </w:tcPr>
          <w:p w14:paraId="570B50BA">
            <w:pPr>
              <w:pStyle w:val="26"/>
              <w:keepNext w:val="0"/>
              <w:keepLines w:val="0"/>
              <w:widowControl/>
              <w:suppressLineNumbers w:val="0"/>
              <w:spacing w:before="0" w:beforeAutospacing="0" w:after="0" w:afterAutospacing="0"/>
              <w:ind w:left="0" w:right="0" w:firstLine="0" w:firstLineChars="0"/>
              <w:jc w:val="center"/>
              <w:rPr>
                <w:rFonts w:hint="default" w:ascii="Times New Roman"/>
                <w:b/>
                <w:bCs/>
                <w:sz w:val="18"/>
                <w:szCs w:val="18"/>
                <w:highlight w:val="none"/>
              </w:rPr>
            </w:pPr>
            <w:r>
              <w:rPr>
                <w:rFonts w:hint="default" w:ascii="Times New Roman"/>
                <w:b/>
                <w:bCs/>
                <w:sz w:val="18"/>
                <w:szCs w:val="18"/>
                <w:highlight w:val="none"/>
              </w:rPr>
              <w:t>分值</w:t>
            </w:r>
            <w:r>
              <w:rPr>
                <w:rFonts w:hint="eastAsia" w:ascii="Times New Roman"/>
                <w:b/>
                <w:bCs/>
                <w:sz w:val="18"/>
                <w:szCs w:val="18"/>
                <w:highlight w:val="none"/>
              </w:rPr>
              <w:t>（分）</w:t>
            </w:r>
          </w:p>
        </w:tc>
      </w:tr>
      <w:tr w14:paraId="3601802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964" w:type="pct"/>
            <w:tcBorders>
              <w:top w:val="single" w:color="auto" w:sz="12" w:space="0"/>
              <w:tl2br w:val="nil"/>
              <w:tr2bl w:val="nil"/>
            </w:tcBorders>
            <w:vAlign w:val="center"/>
          </w:tcPr>
          <w:p w14:paraId="067D019E">
            <w:pPr>
              <w:pStyle w:val="26"/>
              <w:keepNext w:val="0"/>
              <w:keepLines w:val="0"/>
              <w:widowControl/>
              <w:suppressLineNumbers w:val="0"/>
              <w:spacing w:before="0" w:beforeAutospacing="0" w:after="0" w:afterAutospacing="0"/>
              <w:ind w:left="0" w:right="0" w:firstLine="0" w:firstLineChars="0"/>
              <w:rPr>
                <w:rFonts w:hint="default" w:hAnsi="宋体" w:cs="宋体"/>
                <w:sz w:val="18"/>
                <w:szCs w:val="18"/>
                <w:highlight w:val="none"/>
              </w:rPr>
            </w:pPr>
            <w:r>
              <w:rPr>
                <w:rFonts w:hint="eastAsia" w:hAnsi="宋体" w:cs="宋体"/>
                <w:sz w:val="18"/>
                <w:szCs w:val="18"/>
                <w:highlight w:val="none"/>
              </w:rPr>
              <w:t>公共关系和社会公益责任</w:t>
            </w:r>
          </w:p>
        </w:tc>
        <w:tc>
          <w:tcPr>
            <w:tcW w:w="2565" w:type="pct"/>
            <w:tcBorders>
              <w:top w:val="single" w:color="auto" w:sz="12" w:space="0"/>
              <w:tl2br w:val="nil"/>
              <w:tr2bl w:val="nil"/>
            </w:tcBorders>
            <w:vAlign w:val="center"/>
          </w:tcPr>
          <w:p w14:paraId="5F74E20C">
            <w:pPr>
              <w:pStyle w:val="26"/>
              <w:keepNext w:val="0"/>
              <w:keepLines w:val="0"/>
              <w:widowControl/>
              <w:suppressLineNumbers w:val="0"/>
              <w:spacing w:before="0" w:beforeAutospacing="0" w:after="0" w:afterAutospacing="0"/>
              <w:ind w:left="0" w:right="0" w:firstLine="0" w:firstLineChars="0"/>
              <w:rPr>
                <w:rFonts w:hint="default" w:hAnsi="宋体" w:cs="宋体"/>
                <w:sz w:val="18"/>
                <w:szCs w:val="18"/>
                <w:highlight w:val="none"/>
              </w:rPr>
            </w:pPr>
            <w:r>
              <w:rPr>
                <w:rFonts w:hint="eastAsia" w:hAnsi="宋体" w:cs="宋体"/>
                <w:sz w:val="18"/>
                <w:szCs w:val="18"/>
                <w:highlight w:val="none"/>
              </w:rPr>
              <w:t>主动举办环保公益活动，或参加环境保护、教育、扶贫济困等公益活动，或积极对重大自然灾害、突发事件提供援助</w:t>
            </w:r>
          </w:p>
        </w:tc>
        <w:tc>
          <w:tcPr>
            <w:tcW w:w="713" w:type="pct"/>
            <w:tcBorders>
              <w:top w:val="single" w:color="auto" w:sz="12" w:space="0"/>
              <w:tl2br w:val="nil"/>
              <w:tr2bl w:val="nil"/>
            </w:tcBorders>
            <w:vAlign w:val="center"/>
          </w:tcPr>
          <w:p w14:paraId="64D11CA9">
            <w:pPr>
              <w:pStyle w:val="26"/>
              <w:keepNext w:val="0"/>
              <w:keepLines w:val="0"/>
              <w:widowControl/>
              <w:suppressLineNumbers w:val="0"/>
              <w:spacing w:before="0" w:beforeAutospacing="0" w:after="0" w:afterAutospacing="0"/>
              <w:ind w:left="0" w:right="0" w:firstLine="0" w:firstLineChars="0"/>
              <w:jc w:val="center"/>
              <w:rPr>
                <w:rFonts w:hint="default" w:hAnsi="宋体" w:cs="宋体"/>
                <w:sz w:val="18"/>
                <w:szCs w:val="18"/>
                <w:highlight w:val="none"/>
              </w:rPr>
            </w:pPr>
            <w:r>
              <w:rPr>
                <w:rFonts w:hint="eastAsia" w:hAnsi="宋体" w:cs="宋体"/>
                <w:sz w:val="18"/>
                <w:szCs w:val="18"/>
                <w:highlight w:val="none"/>
              </w:rPr>
              <w:t>1</w:t>
            </w:r>
          </w:p>
        </w:tc>
        <w:tc>
          <w:tcPr>
            <w:tcW w:w="756" w:type="pct"/>
            <w:vMerge w:val="restart"/>
            <w:tcBorders>
              <w:top w:val="single" w:color="auto" w:sz="12" w:space="0"/>
              <w:tl2br w:val="nil"/>
              <w:tr2bl w:val="nil"/>
            </w:tcBorders>
            <w:vAlign w:val="center"/>
          </w:tcPr>
          <w:p w14:paraId="366FCA5C">
            <w:pPr>
              <w:pStyle w:val="26"/>
              <w:keepNext w:val="0"/>
              <w:keepLines w:val="0"/>
              <w:widowControl/>
              <w:suppressLineNumbers w:val="0"/>
              <w:spacing w:before="0" w:beforeAutospacing="0" w:after="0" w:afterAutospacing="0"/>
              <w:ind w:left="0" w:right="0" w:firstLine="0" w:firstLineChars="0"/>
              <w:rPr>
                <w:rFonts w:hint="default" w:hAnsi="宋体" w:cs="宋体"/>
                <w:sz w:val="18"/>
                <w:szCs w:val="18"/>
                <w:highlight w:val="none"/>
              </w:rPr>
            </w:pPr>
            <w:r>
              <w:rPr>
                <w:rFonts w:hint="eastAsia" w:hAnsi="宋体" w:cs="宋体"/>
                <w:sz w:val="18"/>
                <w:szCs w:val="18"/>
                <w:highlight w:val="none"/>
              </w:rPr>
              <w:t>该项得分为</w:t>
            </w:r>
            <w:r>
              <w:rPr>
                <w:rFonts w:hint="eastAsia" w:hAnsi="宋体" w:cs="宋体"/>
                <w:sz w:val="18"/>
                <w:szCs w:val="18"/>
                <w:highlight w:val="none"/>
                <w:lang w:val="en-US" w:eastAsia="zh-CN"/>
              </w:rPr>
              <w:t>两</w:t>
            </w:r>
            <w:r>
              <w:rPr>
                <w:rFonts w:hint="eastAsia" w:hAnsi="宋体" w:cs="宋体"/>
                <w:sz w:val="18"/>
                <w:szCs w:val="18"/>
                <w:highlight w:val="none"/>
              </w:rPr>
              <w:t>项指标累计得分</w:t>
            </w:r>
          </w:p>
        </w:tc>
      </w:tr>
      <w:tr w14:paraId="375892B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964" w:type="pct"/>
            <w:tcBorders>
              <w:tl2br w:val="nil"/>
              <w:tr2bl w:val="nil"/>
            </w:tcBorders>
            <w:vAlign w:val="center"/>
          </w:tcPr>
          <w:p w14:paraId="388B69F3">
            <w:pPr>
              <w:pStyle w:val="26"/>
              <w:keepNext w:val="0"/>
              <w:keepLines w:val="0"/>
              <w:widowControl/>
              <w:suppressLineNumbers w:val="0"/>
              <w:spacing w:before="0" w:beforeAutospacing="0" w:after="0" w:afterAutospacing="0"/>
              <w:ind w:left="0" w:right="0" w:firstLine="0" w:firstLineChars="0"/>
              <w:rPr>
                <w:rFonts w:hint="default" w:hAnsi="宋体" w:cs="宋体"/>
                <w:sz w:val="18"/>
                <w:szCs w:val="18"/>
                <w:highlight w:val="none"/>
              </w:rPr>
            </w:pPr>
            <w:r>
              <w:rPr>
                <w:rFonts w:hint="eastAsia" w:hAnsi="宋体" w:cs="宋体"/>
                <w:sz w:val="18"/>
                <w:szCs w:val="18"/>
                <w:highlight w:val="none"/>
              </w:rPr>
              <w:t>绿色化管理</w:t>
            </w:r>
          </w:p>
        </w:tc>
        <w:tc>
          <w:tcPr>
            <w:tcW w:w="2565" w:type="pct"/>
            <w:tcBorders>
              <w:tl2br w:val="nil"/>
              <w:tr2bl w:val="nil"/>
            </w:tcBorders>
            <w:vAlign w:val="center"/>
          </w:tcPr>
          <w:p w14:paraId="03B0C8B0">
            <w:pPr>
              <w:pStyle w:val="26"/>
              <w:keepNext w:val="0"/>
              <w:keepLines w:val="0"/>
              <w:widowControl/>
              <w:suppressLineNumbers w:val="0"/>
              <w:spacing w:before="0" w:beforeAutospacing="0" w:after="0" w:afterAutospacing="0"/>
              <w:ind w:left="0" w:right="0" w:firstLine="0" w:firstLineChars="0"/>
              <w:rPr>
                <w:rFonts w:hint="default" w:hAnsi="宋体" w:cs="宋体"/>
                <w:sz w:val="18"/>
                <w:szCs w:val="18"/>
                <w:highlight w:val="none"/>
              </w:rPr>
            </w:pPr>
            <w:r>
              <w:rPr>
                <w:rFonts w:hint="eastAsia" w:hAnsi="宋体" w:cs="宋体"/>
                <w:sz w:val="18"/>
                <w:szCs w:val="18"/>
                <w:highlight w:val="none"/>
              </w:rPr>
              <w:t>获得在有效期内的质量/环境/绿色供应链管理体系认证证书，或实施供应商绿色化管理相关制度</w:t>
            </w:r>
          </w:p>
        </w:tc>
        <w:tc>
          <w:tcPr>
            <w:tcW w:w="713" w:type="pct"/>
            <w:tcBorders>
              <w:tl2br w:val="nil"/>
              <w:tr2bl w:val="nil"/>
            </w:tcBorders>
            <w:vAlign w:val="center"/>
          </w:tcPr>
          <w:p w14:paraId="7EFCFA82">
            <w:pPr>
              <w:pStyle w:val="26"/>
              <w:keepNext w:val="0"/>
              <w:keepLines w:val="0"/>
              <w:widowControl/>
              <w:suppressLineNumbers w:val="0"/>
              <w:spacing w:before="0" w:beforeAutospacing="0" w:after="0" w:afterAutospacing="0"/>
              <w:ind w:left="0" w:right="0" w:firstLine="0" w:firstLineChars="0"/>
              <w:jc w:val="center"/>
              <w:rPr>
                <w:rFonts w:hint="default" w:hAnsi="宋体" w:cs="宋体"/>
                <w:sz w:val="18"/>
                <w:szCs w:val="18"/>
                <w:highlight w:val="none"/>
              </w:rPr>
            </w:pPr>
            <w:r>
              <w:rPr>
                <w:rFonts w:hint="eastAsia" w:hAnsi="宋体" w:cs="宋体"/>
                <w:sz w:val="18"/>
                <w:szCs w:val="18"/>
                <w:highlight w:val="none"/>
              </w:rPr>
              <w:t>1</w:t>
            </w:r>
          </w:p>
        </w:tc>
        <w:tc>
          <w:tcPr>
            <w:tcW w:w="756" w:type="pct"/>
            <w:vMerge w:val="continue"/>
            <w:tcBorders>
              <w:tl2br w:val="nil"/>
              <w:tr2bl w:val="nil"/>
            </w:tcBorders>
            <w:vAlign w:val="center"/>
          </w:tcPr>
          <w:p w14:paraId="20B9CF4F">
            <w:pPr>
              <w:pStyle w:val="26"/>
              <w:keepNext w:val="0"/>
              <w:keepLines w:val="0"/>
              <w:widowControl/>
              <w:suppressLineNumbers w:val="0"/>
              <w:spacing w:before="0" w:beforeAutospacing="0" w:after="0" w:afterAutospacing="0"/>
              <w:ind w:left="0" w:right="0" w:firstLine="0" w:firstLineChars="0"/>
              <w:jc w:val="center"/>
              <w:rPr>
                <w:rFonts w:hint="default" w:hAnsi="宋体" w:cs="宋体"/>
                <w:sz w:val="18"/>
                <w:szCs w:val="18"/>
                <w:highlight w:val="none"/>
              </w:rPr>
            </w:pPr>
          </w:p>
        </w:tc>
      </w:tr>
    </w:tbl>
    <w:p w14:paraId="13989079">
      <w:pPr>
        <w:pStyle w:val="50"/>
        <w:outlineLvl w:val="0"/>
        <w:rPr>
          <w:rFonts w:ascii="Times New Roman"/>
          <w:highlight w:val="none"/>
        </w:rPr>
      </w:pPr>
      <w:bookmarkStart w:id="86" w:name="_Toc24755"/>
      <w:bookmarkStart w:id="87" w:name="_Toc25576"/>
      <w:bookmarkStart w:id="88" w:name="_Toc102992462"/>
      <w:r>
        <w:rPr>
          <w:rFonts w:hint="eastAsia" w:ascii="Times New Roman"/>
          <w:highlight w:val="none"/>
          <w:lang w:val="en-US" w:eastAsia="zh-CN"/>
        </w:rPr>
        <w:t>绿色低碳产业项目评价</w:t>
      </w:r>
      <w:bookmarkEnd w:id="86"/>
      <w:bookmarkEnd w:id="87"/>
    </w:p>
    <w:p w14:paraId="5E66A6D0">
      <w:pPr>
        <w:pStyle w:val="47"/>
        <w:keepNext w:val="0"/>
        <w:keepLines w:val="0"/>
        <w:pageBreakBefore w:val="0"/>
        <w:widowControl/>
        <w:kinsoku/>
        <w:wordWrap/>
        <w:overflowPunct/>
        <w:topLinePunct w:val="0"/>
        <w:autoSpaceDE/>
        <w:autoSpaceDN/>
        <w:bidi w:val="0"/>
        <w:adjustRightInd/>
        <w:snapToGrid/>
        <w:textAlignment w:val="auto"/>
        <w:outlineLvl w:val="1"/>
        <w:rPr>
          <w:rFonts w:hint="eastAsia"/>
          <w:highlight w:val="none"/>
          <w:lang w:val="en-US" w:eastAsia="zh-CN"/>
        </w:rPr>
      </w:pPr>
      <w:bookmarkStart w:id="89" w:name="_Toc5632"/>
      <w:r>
        <w:rPr>
          <w:rFonts w:hint="eastAsia"/>
          <w:highlight w:val="none"/>
          <w:lang w:val="en-US" w:eastAsia="zh-CN"/>
        </w:rPr>
        <w:t>符合性评价</w:t>
      </w:r>
      <w:bookmarkEnd w:id="89"/>
    </w:p>
    <w:p w14:paraId="1094C318">
      <w:pPr>
        <w:pStyle w:val="51"/>
        <w:bidi w:val="0"/>
        <w:rPr>
          <w:rFonts w:hint="eastAsia"/>
          <w:highlight w:val="none"/>
          <w:lang w:val="en-US" w:eastAsia="zh-CN"/>
        </w:rPr>
      </w:pPr>
      <w:r>
        <w:rPr>
          <w:rFonts w:hint="eastAsia"/>
          <w:highlight w:val="none"/>
          <w:lang w:val="en-US" w:eastAsia="zh-CN"/>
        </w:rPr>
        <w:t>目录符合</w:t>
      </w:r>
    </w:p>
    <w:p w14:paraId="47606370">
      <w:pPr>
        <w:pStyle w:val="26"/>
        <w:rPr>
          <w:rFonts w:hint="default"/>
          <w:highlight w:val="none"/>
          <w:lang w:val="en-US" w:eastAsia="zh-CN"/>
        </w:rPr>
      </w:pPr>
      <w:r>
        <w:rPr>
          <w:rFonts w:hint="eastAsia"/>
          <w:highlight w:val="none"/>
          <w:lang w:val="en-US" w:eastAsia="zh-CN"/>
        </w:rPr>
        <w:t>申报认定评价的项目应属于温室气体控制领域，或在当地具备一定市场规模、经相关政府职能部门认可的其他相关行业。</w:t>
      </w:r>
    </w:p>
    <w:p w14:paraId="265F6229">
      <w:pPr>
        <w:pStyle w:val="51"/>
        <w:bidi w:val="0"/>
        <w:rPr>
          <w:rFonts w:hint="eastAsia"/>
          <w:highlight w:val="none"/>
          <w:lang w:val="en-US" w:eastAsia="zh-CN"/>
        </w:rPr>
      </w:pPr>
      <w:r>
        <w:rPr>
          <w:rFonts w:hint="eastAsia"/>
          <w:highlight w:val="none"/>
          <w:lang w:val="en-US" w:eastAsia="zh-CN"/>
        </w:rPr>
        <w:t>技术符合</w:t>
      </w:r>
    </w:p>
    <w:p w14:paraId="27BCA70D">
      <w:pPr>
        <w:pStyle w:val="26"/>
        <w:rPr>
          <w:rFonts w:ascii="Times New Roman"/>
          <w:highlight w:val="none"/>
        </w:rPr>
      </w:pPr>
      <w:r>
        <w:rPr>
          <w:rFonts w:ascii="Times New Roman"/>
          <w:highlight w:val="none"/>
        </w:rPr>
        <w:t>提供的产品或服务应符合国家、广东省及深圳市相关主管部门发布文件列明的有关设计、能效、性能、安全、贮存、回收、标识、验收、管理</w:t>
      </w:r>
      <w:r>
        <w:rPr>
          <w:rFonts w:hint="eastAsia" w:ascii="Times New Roman"/>
          <w:highlight w:val="none"/>
        </w:rPr>
        <w:t>和</w:t>
      </w:r>
      <w:r>
        <w:rPr>
          <w:rFonts w:ascii="Times New Roman"/>
          <w:highlight w:val="none"/>
        </w:rPr>
        <w:t>运维等技术要求。</w:t>
      </w:r>
    </w:p>
    <w:p w14:paraId="24988890">
      <w:pPr>
        <w:pStyle w:val="62"/>
        <w:bidi w:val="0"/>
        <w:rPr>
          <w:rFonts w:hint="default" w:ascii="Times New Roman"/>
          <w:highlight w:val="none"/>
          <w:lang w:val="en-US" w:eastAsia="zh-CN"/>
        </w:rPr>
      </w:pPr>
      <w:r>
        <w:rPr>
          <w:rFonts w:hint="eastAsia"/>
          <w:highlight w:val="none"/>
          <w:lang w:val="en-US" w:eastAsia="zh-CN"/>
        </w:rPr>
        <w:t>“绿色服务”类项目不参评“技术符合”指标。</w:t>
      </w:r>
    </w:p>
    <w:p w14:paraId="58186E94">
      <w:pPr>
        <w:pStyle w:val="47"/>
        <w:keepNext w:val="0"/>
        <w:keepLines w:val="0"/>
        <w:pageBreakBefore w:val="0"/>
        <w:widowControl/>
        <w:kinsoku/>
        <w:wordWrap/>
        <w:overflowPunct/>
        <w:topLinePunct w:val="0"/>
        <w:autoSpaceDE/>
        <w:autoSpaceDN/>
        <w:bidi w:val="0"/>
        <w:adjustRightInd/>
        <w:snapToGrid/>
        <w:textAlignment w:val="auto"/>
        <w:outlineLvl w:val="1"/>
        <w:rPr>
          <w:rFonts w:hint="eastAsia"/>
          <w:highlight w:val="none"/>
          <w:lang w:val="en-US" w:eastAsia="zh-CN"/>
        </w:rPr>
      </w:pPr>
      <w:bookmarkStart w:id="90" w:name="_Toc21232"/>
      <w:r>
        <w:rPr>
          <w:rFonts w:hint="eastAsia"/>
          <w:highlight w:val="none"/>
          <w:lang w:val="en-US" w:eastAsia="zh-CN"/>
        </w:rPr>
        <w:t>综合评价</w:t>
      </w:r>
      <w:bookmarkEnd w:id="90"/>
    </w:p>
    <w:p w14:paraId="027E6CE3">
      <w:pPr>
        <w:pStyle w:val="51"/>
        <w:bidi w:val="0"/>
        <w:rPr>
          <w:rFonts w:hint="eastAsia" w:ascii="Times New Roman" w:eastAsia="宋体"/>
          <w:highlight w:val="none"/>
          <w:lang w:val="en-US" w:eastAsia="zh-CN"/>
        </w:rPr>
      </w:pPr>
      <w:r>
        <w:rPr>
          <w:rFonts w:hint="eastAsia"/>
          <w:highlight w:val="none"/>
          <w:lang w:val="en-US" w:eastAsia="zh-CN"/>
        </w:rPr>
        <w:t>技术表现</w:t>
      </w:r>
    </w:p>
    <w:p w14:paraId="4EF96D8E">
      <w:pPr>
        <w:pStyle w:val="56"/>
        <w:numPr>
          <w:ilvl w:val="3"/>
          <w:numId w:val="2"/>
        </w:numPr>
        <w:spacing w:before="156" w:after="156"/>
        <w:rPr>
          <w:rFonts w:hint="eastAsia" w:ascii="Times New Roman" w:eastAsia="宋体"/>
          <w:highlight w:val="none"/>
          <w:lang w:val="en-US" w:eastAsia="zh-CN"/>
        </w:rPr>
      </w:pPr>
      <w:r>
        <w:rPr>
          <w:rFonts w:hint="eastAsia"/>
          <w:highlight w:val="none"/>
          <w:lang w:val="en-US" w:eastAsia="zh-CN"/>
        </w:rPr>
        <w:t>有效知识产权</w:t>
      </w:r>
    </w:p>
    <w:p w14:paraId="07905060">
      <w:pPr>
        <w:pStyle w:val="60"/>
        <w:numPr>
          <w:ilvl w:val="-1"/>
          <w:numId w:val="0"/>
        </w:numPr>
        <w:adjustRightInd w:val="0"/>
        <w:ind w:firstLine="420" w:firstLineChars="200"/>
        <w:outlineLvl w:val="9"/>
        <w:rPr>
          <w:rFonts w:hint="eastAsia" w:ascii="Times New Roman" w:eastAsia="宋体"/>
          <w:highlight w:val="none"/>
          <w:lang w:val="en-US" w:eastAsia="zh-CN"/>
        </w:rPr>
      </w:pPr>
      <w:r>
        <w:rPr>
          <w:rFonts w:hint="eastAsia" w:ascii="宋体" w:hAnsi="宋体" w:eastAsia="宋体" w:cs="宋体"/>
          <w:highlight w:val="none"/>
          <w:lang w:val="en-US" w:eastAsia="zh-CN"/>
        </w:rPr>
        <w:t>从项目直接应用的、与温室气体控制领域相关的有效知识产权数量情况进行评价，具体类别及加权计算规则见5.2.1.1.1，具体评分规则见表18。</w:t>
      </w:r>
    </w:p>
    <w:p w14:paraId="6162A9A8">
      <w:pPr>
        <w:pStyle w:val="131"/>
        <w:ind w:left="0" w:firstLine="0"/>
        <w:rPr>
          <w:rFonts w:ascii="Times New Roman"/>
          <w:highlight w:val="none"/>
        </w:rPr>
      </w:pPr>
      <w:r>
        <w:rPr>
          <w:rFonts w:hint="eastAsia" w:ascii="Times New Roman"/>
          <w:highlight w:val="none"/>
          <w:lang w:val="en-US" w:eastAsia="zh-CN"/>
        </w:rPr>
        <w:t>有效知识产权</w:t>
      </w:r>
      <w:r>
        <w:rPr>
          <w:rFonts w:ascii="Times New Roman"/>
          <w:highlight w:val="none"/>
        </w:rPr>
        <w:t>评分规则</w:t>
      </w:r>
    </w:p>
    <w:tbl>
      <w:tblPr>
        <w:tblStyle w:val="36"/>
        <w:tblW w:w="4998"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6596"/>
        <w:gridCol w:w="2970"/>
      </w:tblGrid>
      <w:tr w14:paraId="0331B3F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82" w:hRule="atLeast"/>
          <w:jc w:val="center"/>
        </w:trPr>
        <w:tc>
          <w:tcPr>
            <w:tcW w:w="3447" w:type="pct"/>
            <w:tcBorders>
              <w:bottom w:val="single" w:color="auto" w:sz="12" w:space="0"/>
            </w:tcBorders>
            <w:vAlign w:val="center"/>
          </w:tcPr>
          <w:p w14:paraId="1DD541A1">
            <w:pPr>
              <w:pStyle w:val="26"/>
              <w:keepNext w:val="0"/>
              <w:keepLines w:val="0"/>
              <w:widowControl/>
              <w:suppressLineNumbers w:val="0"/>
              <w:spacing w:before="0" w:beforeAutospacing="0" w:after="0" w:afterAutospacing="0"/>
              <w:ind w:left="0" w:right="0" w:firstLine="0" w:firstLineChars="0"/>
              <w:jc w:val="center"/>
              <w:rPr>
                <w:rFonts w:hint="default" w:ascii="Times New Roman"/>
                <w:b/>
                <w:bCs/>
                <w:sz w:val="18"/>
                <w:szCs w:val="18"/>
                <w:highlight w:val="none"/>
                <w:lang w:val="en-US" w:eastAsia="zh-CN"/>
              </w:rPr>
            </w:pPr>
            <w:r>
              <w:rPr>
                <w:rFonts w:hint="eastAsia" w:ascii="Times New Roman"/>
                <w:b/>
                <w:bCs/>
                <w:sz w:val="18"/>
                <w:szCs w:val="18"/>
                <w:highlight w:val="none"/>
                <w:lang w:val="en-US" w:eastAsia="zh-CN"/>
              </w:rPr>
              <w:t>有效知识产权</w:t>
            </w:r>
          </w:p>
        </w:tc>
        <w:tc>
          <w:tcPr>
            <w:tcW w:w="1552" w:type="pct"/>
            <w:tcBorders>
              <w:bottom w:val="single" w:color="auto" w:sz="12" w:space="0"/>
            </w:tcBorders>
            <w:vAlign w:val="center"/>
          </w:tcPr>
          <w:p w14:paraId="2BF20FA0">
            <w:pPr>
              <w:pStyle w:val="26"/>
              <w:keepNext w:val="0"/>
              <w:keepLines w:val="0"/>
              <w:widowControl/>
              <w:suppressLineNumbers w:val="0"/>
              <w:spacing w:before="0" w:beforeAutospacing="0" w:after="0" w:afterAutospacing="0"/>
              <w:ind w:left="0" w:right="0" w:firstLine="0" w:firstLineChars="0"/>
              <w:jc w:val="center"/>
              <w:rPr>
                <w:rFonts w:hint="default" w:ascii="Times New Roman"/>
                <w:b/>
                <w:bCs/>
                <w:sz w:val="18"/>
                <w:szCs w:val="18"/>
                <w:highlight w:val="none"/>
                <w:lang w:val="en-US"/>
              </w:rPr>
            </w:pPr>
            <w:r>
              <w:rPr>
                <w:rFonts w:hint="eastAsia" w:ascii="Times New Roman"/>
                <w:b/>
                <w:bCs/>
                <w:sz w:val="18"/>
                <w:szCs w:val="18"/>
                <w:highlight w:val="none"/>
                <w:lang w:val="en-US" w:eastAsia="zh-CN"/>
              </w:rPr>
              <w:t>分值（分）</w:t>
            </w:r>
          </w:p>
        </w:tc>
      </w:tr>
      <w:tr w14:paraId="69BC35A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8" w:hRule="atLeast"/>
          <w:jc w:val="center"/>
        </w:trPr>
        <w:tc>
          <w:tcPr>
            <w:tcW w:w="3447" w:type="pct"/>
            <w:tcBorders>
              <w:top w:val="single" w:color="auto" w:sz="12" w:space="0"/>
              <w:tl2br w:val="nil"/>
              <w:tr2bl w:val="nil"/>
            </w:tcBorders>
            <w:vAlign w:val="center"/>
          </w:tcPr>
          <w:p w14:paraId="6D8BC5F4">
            <w:pPr>
              <w:pStyle w:val="26"/>
              <w:keepNext w:val="0"/>
              <w:keepLines w:val="0"/>
              <w:widowControl/>
              <w:suppressLineNumbers w:val="0"/>
              <w:spacing w:before="0" w:beforeAutospacing="0" w:after="0" w:afterAutospacing="0"/>
              <w:ind w:left="0" w:right="0" w:firstLine="0" w:firstLineChars="0"/>
              <w:jc w:val="center"/>
              <w:rPr>
                <w:rFonts w:hint="default" w:hAnsi="宋体" w:cs="宋体"/>
                <w:sz w:val="18"/>
                <w:szCs w:val="18"/>
                <w:highlight w:val="none"/>
                <w:lang w:val="en-US" w:eastAsia="zh-CN"/>
              </w:rPr>
            </w:pPr>
            <w:r>
              <w:rPr>
                <w:rFonts w:hint="eastAsia" w:hAnsi="宋体" w:cs="宋体"/>
                <w:sz w:val="18"/>
                <w:szCs w:val="18"/>
                <w:highlight w:val="none"/>
                <w:lang w:val="en-US" w:eastAsia="zh-CN"/>
              </w:rPr>
              <w:t>有效知识产权应用数量处于行业领先水平</w:t>
            </w:r>
          </w:p>
        </w:tc>
        <w:tc>
          <w:tcPr>
            <w:tcW w:w="1552" w:type="pct"/>
            <w:tcBorders>
              <w:top w:val="single" w:color="auto" w:sz="12" w:space="0"/>
              <w:tl2br w:val="nil"/>
              <w:tr2bl w:val="nil"/>
            </w:tcBorders>
            <w:vAlign w:val="center"/>
          </w:tcPr>
          <w:p w14:paraId="790E55FC">
            <w:pPr>
              <w:pStyle w:val="26"/>
              <w:keepNext w:val="0"/>
              <w:keepLines w:val="0"/>
              <w:widowControl/>
              <w:suppressLineNumbers w:val="0"/>
              <w:spacing w:before="0" w:beforeAutospacing="0" w:after="0" w:afterAutospacing="0"/>
              <w:ind w:left="0" w:right="0" w:firstLine="0" w:firstLineChars="0"/>
              <w:jc w:val="center"/>
              <w:rPr>
                <w:rFonts w:hint="eastAsia" w:hAnsi="宋体" w:cs="宋体"/>
                <w:sz w:val="18"/>
                <w:szCs w:val="18"/>
                <w:highlight w:val="none"/>
                <w:lang w:val="en-US" w:eastAsia="zh-CN"/>
              </w:rPr>
            </w:pPr>
            <w:r>
              <w:rPr>
                <w:rFonts w:hint="eastAsia" w:hAnsi="宋体" w:cs="宋体"/>
                <w:sz w:val="18"/>
                <w:szCs w:val="18"/>
                <w:highlight w:val="none"/>
              </w:rPr>
              <w:t>(</w:t>
            </w:r>
            <w:r>
              <w:rPr>
                <w:rFonts w:hint="eastAsia" w:hAnsi="宋体" w:cs="宋体"/>
                <w:sz w:val="18"/>
                <w:szCs w:val="18"/>
                <w:highlight w:val="none"/>
                <w:lang w:val="en-US" w:eastAsia="zh-CN"/>
              </w:rPr>
              <w:t>10</w:t>
            </w:r>
            <w:r>
              <w:rPr>
                <w:rFonts w:hint="eastAsia" w:hAnsi="宋体" w:cs="宋体"/>
                <w:sz w:val="18"/>
                <w:szCs w:val="18"/>
                <w:highlight w:val="none"/>
              </w:rPr>
              <w:t>,</w:t>
            </w:r>
            <w:r>
              <w:rPr>
                <w:rFonts w:hint="eastAsia" w:hAnsi="宋体" w:cs="宋体"/>
                <w:sz w:val="18"/>
                <w:szCs w:val="18"/>
                <w:highlight w:val="none"/>
                <w:lang w:val="en-US" w:eastAsia="zh-CN"/>
              </w:rPr>
              <w:t>15</w:t>
            </w:r>
            <w:r>
              <w:rPr>
                <w:rFonts w:hint="eastAsia" w:hAnsi="宋体" w:cs="宋体"/>
                <w:sz w:val="18"/>
                <w:szCs w:val="18"/>
                <w:highlight w:val="none"/>
              </w:rPr>
              <w:t>]</w:t>
            </w:r>
          </w:p>
        </w:tc>
      </w:tr>
      <w:tr w14:paraId="3A3A089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26" w:hRule="atLeast"/>
          <w:jc w:val="center"/>
        </w:trPr>
        <w:tc>
          <w:tcPr>
            <w:tcW w:w="3447" w:type="pct"/>
            <w:tcBorders>
              <w:tl2br w:val="nil"/>
              <w:tr2bl w:val="nil"/>
            </w:tcBorders>
            <w:vAlign w:val="center"/>
          </w:tcPr>
          <w:p w14:paraId="1CD6061E">
            <w:pPr>
              <w:pStyle w:val="26"/>
              <w:keepNext w:val="0"/>
              <w:keepLines w:val="0"/>
              <w:widowControl/>
              <w:suppressLineNumbers w:val="0"/>
              <w:spacing w:before="0" w:beforeAutospacing="0" w:after="0" w:afterAutospacing="0"/>
              <w:ind w:left="0" w:right="0" w:firstLine="0" w:firstLineChars="0"/>
              <w:jc w:val="center"/>
              <w:rPr>
                <w:rFonts w:hint="eastAsia" w:hAnsi="宋体" w:cs="宋体"/>
                <w:sz w:val="18"/>
                <w:szCs w:val="18"/>
                <w:highlight w:val="none"/>
                <w:lang w:val="en-US" w:eastAsia="zh-CN"/>
              </w:rPr>
            </w:pPr>
            <w:r>
              <w:rPr>
                <w:rFonts w:hint="eastAsia" w:hAnsi="宋体" w:cs="宋体"/>
                <w:sz w:val="18"/>
                <w:szCs w:val="18"/>
                <w:highlight w:val="none"/>
                <w:lang w:val="en-US" w:eastAsia="zh-CN"/>
              </w:rPr>
              <w:t>有效知识产权应用数量处于行业良好水平</w:t>
            </w:r>
          </w:p>
        </w:tc>
        <w:tc>
          <w:tcPr>
            <w:tcW w:w="1552" w:type="pct"/>
            <w:tcBorders>
              <w:tl2br w:val="nil"/>
              <w:tr2bl w:val="nil"/>
            </w:tcBorders>
            <w:vAlign w:val="center"/>
          </w:tcPr>
          <w:p w14:paraId="76831E9F">
            <w:pPr>
              <w:pStyle w:val="26"/>
              <w:keepNext w:val="0"/>
              <w:keepLines w:val="0"/>
              <w:widowControl/>
              <w:suppressLineNumbers w:val="0"/>
              <w:spacing w:before="0" w:beforeAutospacing="0" w:after="0" w:afterAutospacing="0"/>
              <w:ind w:left="0" w:right="0" w:firstLine="0" w:firstLineChars="0"/>
              <w:jc w:val="center"/>
              <w:rPr>
                <w:rFonts w:hint="eastAsia" w:hAnsi="宋体" w:cs="宋体"/>
                <w:sz w:val="18"/>
                <w:szCs w:val="18"/>
                <w:highlight w:val="none"/>
                <w:lang w:val="en-US" w:eastAsia="zh-CN"/>
              </w:rPr>
            </w:pPr>
            <w:r>
              <w:rPr>
                <w:rFonts w:hint="eastAsia" w:hAnsi="宋体" w:cs="宋体"/>
                <w:sz w:val="18"/>
                <w:szCs w:val="18"/>
                <w:highlight w:val="none"/>
                <w:lang w:val="en-US" w:eastAsia="zh-CN"/>
              </w:rPr>
              <w:t>(5,10]</w:t>
            </w:r>
          </w:p>
        </w:tc>
      </w:tr>
      <w:tr w14:paraId="45A6B59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58" w:hRule="atLeast"/>
          <w:jc w:val="center"/>
        </w:trPr>
        <w:tc>
          <w:tcPr>
            <w:tcW w:w="3447" w:type="pct"/>
            <w:tcBorders>
              <w:tl2br w:val="nil"/>
              <w:tr2bl w:val="nil"/>
            </w:tcBorders>
            <w:vAlign w:val="center"/>
          </w:tcPr>
          <w:p w14:paraId="10009B3A">
            <w:pPr>
              <w:pStyle w:val="26"/>
              <w:keepNext w:val="0"/>
              <w:keepLines w:val="0"/>
              <w:widowControl/>
              <w:suppressLineNumbers w:val="0"/>
              <w:spacing w:before="0" w:beforeAutospacing="0" w:after="0" w:afterAutospacing="0"/>
              <w:ind w:left="0" w:right="0" w:firstLine="0" w:firstLineChars="0"/>
              <w:jc w:val="center"/>
              <w:rPr>
                <w:rFonts w:hint="eastAsia" w:hAnsi="宋体" w:cs="宋体"/>
                <w:sz w:val="18"/>
                <w:szCs w:val="18"/>
                <w:highlight w:val="none"/>
                <w:lang w:val="en-US" w:eastAsia="zh-CN"/>
              </w:rPr>
            </w:pPr>
            <w:r>
              <w:rPr>
                <w:rFonts w:hint="eastAsia" w:hAnsi="宋体" w:cs="宋体"/>
                <w:sz w:val="18"/>
                <w:szCs w:val="18"/>
                <w:highlight w:val="none"/>
                <w:lang w:val="en-US" w:eastAsia="zh-CN"/>
              </w:rPr>
              <w:t>有效知识产权应用数量处于行业一般水平</w:t>
            </w:r>
          </w:p>
        </w:tc>
        <w:tc>
          <w:tcPr>
            <w:tcW w:w="1552" w:type="pct"/>
            <w:tcBorders>
              <w:tl2br w:val="nil"/>
              <w:tr2bl w:val="nil"/>
            </w:tcBorders>
            <w:vAlign w:val="center"/>
          </w:tcPr>
          <w:p w14:paraId="663AE895">
            <w:pPr>
              <w:pStyle w:val="26"/>
              <w:keepNext w:val="0"/>
              <w:keepLines w:val="0"/>
              <w:widowControl/>
              <w:suppressLineNumbers w:val="0"/>
              <w:spacing w:before="0" w:beforeAutospacing="0" w:after="0" w:afterAutospacing="0"/>
              <w:ind w:left="0" w:right="0" w:firstLine="0" w:firstLineChars="0"/>
              <w:jc w:val="center"/>
              <w:rPr>
                <w:rFonts w:hint="eastAsia" w:hAnsi="宋体" w:cs="宋体"/>
                <w:sz w:val="18"/>
                <w:szCs w:val="18"/>
                <w:highlight w:val="none"/>
                <w:lang w:val="en-US" w:eastAsia="zh-CN"/>
              </w:rPr>
            </w:pPr>
            <w:r>
              <w:rPr>
                <w:rFonts w:hint="eastAsia" w:hAnsi="宋体" w:cs="宋体"/>
                <w:sz w:val="18"/>
                <w:szCs w:val="18"/>
                <w:highlight w:val="none"/>
                <w:lang w:val="en-US" w:eastAsia="zh-CN"/>
              </w:rPr>
              <w:t>[0,5]</w:t>
            </w:r>
          </w:p>
        </w:tc>
      </w:tr>
    </w:tbl>
    <w:p w14:paraId="42EDDCD4">
      <w:pPr>
        <w:pStyle w:val="56"/>
        <w:numPr>
          <w:ilvl w:val="3"/>
          <w:numId w:val="2"/>
        </w:numPr>
        <w:spacing w:before="156" w:after="156"/>
        <w:rPr>
          <w:rFonts w:hint="default" w:ascii="Times New Roman" w:eastAsia="宋体"/>
          <w:highlight w:val="none"/>
          <w:lang w:val="en-US" w:eastAsia="zh-CN"/>
        </w:rPr>
      </w:pPr>
      <w:r>
        <w:rPr>
          <w:rFonts w:hint="eastAsia"/>
          <w:highlight w:val="none"/>
          <w:lang w:val="en-US" w:eastAsia="zh-CN"/>
        </w:rPr>
        <w:t>关键技术先进性</w:t>
      </w:r>
    </w:p>
    <w:p w14:paraId="3739DD6A">
      <w:pPr>
        <w:pStyle w:val="60"/>
        <w:numPr>
          <w:ilvl w:val="-1"/>
          <w:numId w:val="0"/>
        </w:numPr>
        <w:bidi w:val="0"/>
        <w:adjustRightInd w:val="0"/>
        <w:spacing w:before="156" w:after="156"/>
        <w:ind w:firstLine="420" w:firstLineChars="200"/>
        <w:outlineLvl w:val="9"/>
        <w:rPr>
          <w:rFonts w:hint="eastAsia" w:ascii="宋体" w:hAnsi="宋体" w:eastAsia="宋体" w:cs="宋体"/>
          <w:highlight w:val="none"/>
          <w:lang w:val="en-US" w:eastAsia="zh-CN"/>
        </w:rPr>
      </w:pPr>
      <w:r>
        <w:rPr>
          <w:rFonts w:hint="eastAsia" w:ascii="宋体" w:hAnsi="宋体" w:eastAsia="宋体" w:cs="宋体"/>
          <w:highlight w:val="none"/>
          <w:lang w:val="en-US" w:eastAsia="zh-CN"/>
        </w:rPr>
        <w:t>具体评价内容见5.2.1.1.3，</w:t>
      </w:r>
      <w:r>
        <w:rPr>
          <w:rFonts w:hint="eastAsia" w:ascii="Times New Roman" w:eastAsia="宋体"/>
          <w:highlight w:val="none"/>
          <w:lang w:val="en-US" w:eastAsia="zh-CN"/>
        </w:rPr>
        <w:t>具体评分规则</w:t>
      </w:r>
      <w:r>
        <w:rPr>
          <w:rFonts w:hint="eastAsia" w:ascii="宋体" w:hAnsi="宋体" w:eastAsia="宋体" w:cs="宋体"/>
          <w:highlight w:val="none"/>
          <w:lang w:val="en-US" w:eastAsia="zh-CN"/>
        </w:rPr>
        <w:t>见表19。</w:t>
      </w:r>
    </w:p>
    <w:p w14:paraId="6C14FECF">
      <w:pPr>
        <w:pStyle w:val="131"/>
        <w:ind w:left="0" w:firstLine="0"/>
        <w:rPr>
          <w:rFonts w:ascii="Times New Roman"/>
          <w:highlight w:val="none"/>
        </w:rPr>
      </w:pPr>
      <w:r>
        <w:rPr>
          <w:rFonts w:hint="eastAsia" w:ascii="Times New Roman"/>
          <w:highlight w:val="none"/>
          <w:lang w:val="en-US" w:eastAsia="zh-CN"/>
        </w:rPr>
        <w:t>关键技术先进性</w:t>
      </w:r>
      <w:r>
        <w:rPr>
          <w:rFonts w:ascii="Times New Roman"/>
          <w:highlight w:val="none"/>
        </w:rPr>
        <w:t>评分规则</w:t>
      </w:r>
    </w:p>
    <w:tbl>
      <w:tblPr>
        <w:tblStyle w:val="36"/>
        <w:tblW w:w="4998"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6609"/>
        <w:gridCol w:w="2957"/>
      </w:tblGrid>
      <w:tr w14:paraId="502DED5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3454" w:type="pct"/>
            <w:tcBorders>
              <w:bottom w:val="single" w:color="auto" w:sz="12" w:space="0"/>
            </w:tcBorders>
            <w:vAlign w:val="center"/>
          </w:tcPr>
          <w:p w14:paraId="00C5CB20">
            <w:pPr>
              <w:pStyle w:val="26"/>
              <w:keepNext w:val="0"/>
              <w:keepLines w:val="0"/>
              <w:widowControl/>
              <w:suppressLineNumbers w:val="0"/>
              <w:spacing w:before="0" w:beforeAutospacing="0" w:after="0" w:afterAutospacing="0"/>
              <w:ind w:left="0" w:right="0" w:firstLine="0" w:firstLineChars="0"/>
              <w:jc w:val="center"/>
              <w:rPr>
                <w:rFonts w:hint="default" w:ascii="Times New Roman"/>
                <w:b/>
                <w:bCs/>
                <w:sz w:val="18"/>
                <w:szCs w:val="18"/>
                <w:highlight w:val="none"/>
                <w:lang w:val="en-US" w:eastAsia="zh-CN"/>
              </w:rPr>
            </w:pPr>
            <w:r>
              <w:rPr>
                <w:rFonts w:hint="eastAsia" w:ascii="Times New Roman"/>
                <w:b/>
                <w:bCs/>
                <w:sz w:val="18"/>
                <w:szCs w:val="18"/>
                <w:highlight w:val="none"/>
                <w:lang w:val="en-US" w:eastAsia="zh-CN"/>
              </w:rPr>
              <w:t>关键技术先进性</w:t>
            </w:r>
          </w:p>
        </w:tc>
        <w:tc>
          <w:tcPr>
            <w:tcW w:w="1545" w:type="pct"/>
            <w:tcBorders>
              <w:bottom w:val="single" w:color="auto" w:sz="12" w:space="0"/>
            </w:tcBorders>
            <w:vAlign w:val="center"/>
          </w:tcPr>
          <w:p w14:paraId="4E7ECE80">
            <w:pPr>
              <w:pStyle w:val="26"/>
              <w:keepNext w:val="0"/>
              <w:keepLines w:val="0"/>
              <w:widowControl/>
              <w:suppressLineNumbers w:val="0"/>
              <w:spacing w:before="0" w:beforeAutospacing="0" w:after="0" w:afterAutospacing="0"/>
              <w:ind w:left="0" w:right="0" w:firstLine="0" w:firstLineChars="0"/>
              <w:jc w:val="center"/>
              <w:rPr>
                <w:rFonts w:hint="default" w:ascii="Times New Roman"/>
                <w:b/>
                <w:bCs/>
                <w:sz w:val="18"/>
                <w:szCs w:val="18"/>
                <w:highlight w:val="none"/>
                <w:lang w:val="en-US"/>
              </w:rPr>
            </w:pPr>
            <w:r>
              <w:rPr>
                <w:rFonts w:hint="eastAsia" w:ascii="Times New Roman"/>
                <w:b/>
                <w:bCs/>
                <w:sz w:val="18"/>
                <w:szCs w:val="18"/>
                <w:highlight w:val="none"/>
                <w:lang w:val="en-US" w:eastAsia="zh-CN"/>
              </w:rPr>
              <w:t>分值（分）</w:t>
            </w:r>
          </w:p>
        </w:tc>
      </w:tr>
      <w:tr w14:paraId="60AD337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3454" w:type="pct"/>
            <w:tcBorders>
              <w:top w:val="single" w:color="auto" w:sz="12" w:space="0"/>
              <w:tl2br w:val="nil"/>
              <w:tr2bl w:val="nil"/>
            </w:tcBorders>
            <w:vAlign w:val="center"/>
          </w:tcPr>
          <w:p w14:paraId="36ADD185">
            <w:pPr>
              <w:pStyle w:val="26"/>
              <w:keepNext w:val="0"/>
              <w:keepLines w:val="0"/>
              <w:widowControl/>
              <w:suppressLineNumbers w:val="0"/>
              <w:spacing w:before="0" w:beforeAutospacing="0" w:after="0" w:afterAutospacing="0"/>
              <w:ind w:left="0" w:right="0" w:firstLine="0" w:firstLineChars="0"/>
              <w:jc w:val="center"/>
              <w:rPr>
                <w:rFonts w:hint="default" w:hAnsi="宋体" w:cs="宋体"/>
                <w:sz w:val="18"/>
                <w:szCs w:val="18"/>
                <w:highlight w:val="none"/>
                <w:lang w:val="en-US" w:eastAsia="zh-CN"/>
              </w:rPr>
            </w:pPr>
            <w:r>
              <w:rPr>
                <w:rFonts w:hint="eastAsia" w:hAnsi="宋体" w:cs="宋体"/>
                <w:sz w:val="18"/>
                <w:szCs w:val="18"/>
                <w:highlight w:val="none"/>
                <w:lang w:val="en-US" w:eastAsia="zh-CN"/>
              </w:rPr>
              <w:t>关键技术处于行业领先水平，具有显著技术引领作用</w:t>
            </w:r>
          </w:p>
        </w:tc>
        <w:tc>
          <w:tcPr>
            <w:tcW w:w="1545" w:type="pct"/>
            <w:tcBorders>
              <w:top w:val="single" w:color="auto" w:sz="12" w:space="0"/>
              <w:tl2br w:val="nil"/>
              <w:tr2bl w:val="nil"/>
            </w:tcBorders>
            <w:vAlign w:val="center"/>
          </w:tcPr>
          <w:p w14:paraId="7A09BC84">
            <w:pPr>
              <w:pStyle w:val="26"/>
              <w:keepNext w:val="0"/>
              <w:keepLines w:val="0"/>
              <w:widowControl/>
              <w:suppressLineNumbers w:val="0"/>
              <w:spacing w:before="0" w:beforeAutospacing="0" w:after="0" w:afterAutospacing="0"/>
              <w:ind w:left="0" w:right="0" w:firstLine="0" w:firstLineChars="0"/>
              <w:jc w:val="center"/>
              <w:rPr>
                <w:rFonts w:hint="eastAsia" w:hAnsi="宋体" w:cs="宋体"/>
                <w:sz w:val="18"/>
                <w:szCs w:val="18"/>
                <w:highlight w:val="none"/>
                <w:lang w:val="en-US" w:eastAsia="zh-CN"/>
              </w:rPr>
            </w:pPr>
            <w:r>
              <w:rPr>
                <w:rFonts w:hint="eastAsia" w:hAnsi="宋体" w:cs="宋体"/>
                <w:sz w:val="18"/>
                <w:szCs w:val="18"/>
                <w:highlight w:val="none"/>
              </w:rPr>
              <w:t>(</w:t>
            </w:r>
            <w:r>
              <w:rPr>
                <w:rFonts w:hint="eastAsia" w:hAnsi="宋体" w:cs="宋体"/>
                <w:sz w:val="18"/>
                <w:szCs w:val="18"/>
                <w:highlight w:val="none"/>
                <w:lang w:val="en-US" w:eastAsia="zh-CN"/>
              </w:rPr>
              <w:t>20</w:t>
            </w:r>
            <w:r>
              <w:rPr>
                <w:rFonts w:hint="eastAsia" w:hAnsi="宋体" w:cs="宋体"/>
                <w:sz w:val="18"/>
                <w:szCs w:val="18"/>
                <w:highlight w:val="none"/>
              </w:rPr>
              <w:t>,</w:t>
            </w:r>
            <w:r>
              <w:rPr>
                <w:rFonts w:hint="eastAsia" w:hAnsi="宋体" w:cs="宋体"/>
                <w:sz w:val="18"/>
                <w:szCs w:val="18"/>
                <w:highlight w:val="none"/>
                <w:lang w:val="en-US" w:eastAsia="zh-CN"/>
              </w:rPr>
              <w:t>25</w:t>
            </w:r>
            <w:r>
              <w:rPr>
                <w:rFonts w:hint="eastAsia" w:hAnsi="宋体" w:cs="宋体"/>
                <w:sz w:val="18"/>
                <w:szCs w:val="18"/>
                <w:highlight w:val="none"/>
              </w:rPr>
              <w:t>]</w:t>
            </w:r>
          </w:p>
        </w:tc>
      </w:tr>
      <w:tr w14:paraId="6F77A15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3454" w:type="pct"/>
            <w:tcBorders>
              <w:tl2br w:val="nil"/>
              <w:tr2bl w:val="nil"/>
            </w:tcBorders>
            <w:vAlign w:val="center"/>
          </w:tcPr>
          <w:p w14:paraId="3E702CFA">
            <w:pPr>
              <w:pStyle w:val="26"/>
              <w:keepNext w:val="0"/>
              <w:keepLines w:val="0"/>
              <w:widowControl/>
              <w:suppressLineNumbers w:val="0"/>
              <w:spacing w:before="0" w:beforeAutospacing="0" w:after="0" w:afterAutospacing="0"/>
              <w:ind w:left="0" w:right="0" w:firstLine="0" w:firstLineChars="0"/>
              <w:jc w:val="center"/>
              <w:rPr>
                <w:rFonts w:hint="eastAsia" w:hAnsi="宋体" w:cs="宋体"/>
                <w:sz w:val="18"/>
                <w:szCs w:val="18"/>
                <w:highlight w:val="none"/>
                <w:lang w:val="en-US" w:eastAsia="zh-CN"/>
              </w:rPr>
            </w:pPr>
            <w:r>
              <w:rPr>
                <w:rFonts w:hint="eastAsia" w:hAnsi="宋体" w:cs="宋体"/>
                <w:sz w:val="18"/>
                <w:szCs w:val="18"/>
                <w:highlight w:val="none"/>
                <w:lang w:val="en-US" w:eastAsia="zh-CN"/>
              </w:rPr>
              <w:t>关键技术处于行业较好水平，具有一定技术推动作用</w:t>
            </w:r>
          </w:p>
        </w:tc>
        <w:tc>
          <w:tcPr>
            <w:tcW w:w="1545" w:type="pct"/>
            <w:tcBorders>
              <w:tl2br w:val="nil"/>
              <w:tr2bl w:val="nil"/>
            </w:tcBorders>
            <w:vAlign w:val="center"/>
          </w:tcPr>
          <w:p w14:paraId="76EC9B95">
            <w:pPr>
              <w:pStyle w:val="26"/>
              <w:keepNext w:val="0"/>
              <w:keepLines w:val="0"/>
              <w:widowControl/>
              <w:suppressLineNumbers w:val="0"/>
              <w:spacing w:before="0" w:beforeAutospacing="0" w:after="0" w:afterAutospacing="0"/>
              <w:ind w:left="0" w:right="0" w:firstLine="0" w:firstLineChars="0"/>
              <w:jc w:val="center"/>
              <w:rPr>
                <w:rFonts w:hint="eastAsia" w:hAnsi="宋体" w:cs="宋体"/>
                <w:sz w:val="18"/>
                <w:szCs w:val="18"/>
                <w:highlight w:val="none"/>
                <w:lang w:val="en-US" w:eastAsia="zh-CN"/>
              </w:rPr>
            </w:pPr>
            <w:r>
              <w:rPr>
                <w:rFonts w:hint="eastAsia" w:hAnsi="宋体" w:cs="宋体"/>
                <w:sz w:val="18"/>
                <w:szCs w:val="18"/>
                <w:highlight w:val="none"/>
                <w:lang w:val="en-US" w:eastAsia="zh-CN"/>
              </w:rPr>
              <w:t>(10,20]</w:t>
            </w:r>
          </w:p>
        </w:tc>
      </w:tr>
      <w:tr w14:paraId="2760C8F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3454" w:type="pct"/>
            <w:tcBorders>
              <w:tl2br w:val="nil"/>
              <w:tr2bl w:val="nil"/>
            </w:tcBorders>
            <w:vAlign w:val="center"/>
          </w:tcPr>
          <w:p w14:paraId="115FE83E">
            <w:pPr>
              <w:pStyle w:val="26"/>
              <w:keepNext w:val="0"/>
              <w:keepLines w:val="0"/>
              <w:widowControl/>
              <w:suppressLineNumbers w:val="0"/>
              <w:spacing w:before="0" w:beforeAutospacing="0" w:after="0" w:afterAutospacing="0"/>
              <w:ind w:left="0" w:right="0" w:firstLine="0" w:firstLineChars="0"/>
              <w:jc w:val="center"/>
              <w:rPr>
                <w:rFonts w:hint="eastAsia" w:hAnsi="宋体" w:cs="宋体"/>
                <w:sz w:val="18"/>
                <w:szCs w:val="18"/>
                <w:highlight w:val="none"/>
                <w:lang w:val="en-US" w:eastAsia="zh-CN"/>
              </w:rPr>
            </w:pPr>
            <w:r>
              <w:rPr>
                <w:rFonts w:hint="eastAsia" w:hAnsi="宋体" w:cs="宋体"/>
                <w:sz w:val="18"/>
                <w:szCs w:val="18"/>
                <w:highlight w:val="none"/>
                <w:lang w:val="en-US" w:eastAsia="zh-CN"/>
              </w:rPr>
              <w:t>关键技术处于行业平均水平</w:t>
            </w:r>
          </w:p>
        </w:tc>
        <w:tc>
          <w:tcPr>
            <w:tcW w:w="1545" w:type="pct"/>
            <w:tcBorders>
              <w:tl2br w:val="nil"/>
              <w:tr2bl w:val="nil"/>
            </w:tcBorders>
            <w:vAlign w:val="center"/>
          </w:tcPr>
          <w:p w14:paraId="5FA49051">
            <w:pPr>
              <w:pStyle w:val="26"/>
              <w:keepNext w:val="0"/>
              <w:keepLines w:val="0"/>
              <w:widowControl/>
              <w:suppressLineNumbers w:val="0"/>
              <w:spacing w:before="0" w:beforeAutospacing="0" w:after="0" w:afterAutospacing="0"/>
              <w:ind w:left="0" w:right="0" w:firstLine="0" w:firstLineChars="0"/>
              <w:jc w:val="center"/>
              <w:rPr>
                <w:rFonts w:hint="eastAsia" w:hAnsi="宋体" w:cs="宋体"/>
                <w:sz w:val="18"/>
                <w:szCs w:val="18"/>
                <w:highlight w:val="none"/>
                <w:lang w:val="en-US" w:eastAsia="zh-CN"/>
              </w:rPr>
            </w:pPr>
            <w:r>
              <w:rPr>
                <w:rFonts w:hint="eastAsia" w:hAnsi="宋体" w:cs="宋体"/>
                <w:sz w:val="18"/>
                <w:szCs w:val="18"/>
                <w:highlight w:val="none"/>
                <w:lang w:val="en-US" w:eastAsia="zh-CN"/>
              </w:rPr>
              <w:t>(0,10]</w:t>
            </w:r>
          </w:p>
        </w:tc>
      </w:tr>
      <w:tr w14:paraId="7D4615B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3454" w:type="pct"/>
            <w:tcBorders>
              <w:tl2br w:val="nil"/>
              <w:tr2bl w:val="nil"/>
            </w:tcBorders>
            <w:vAlign w:val="center"/>
          </w:tcPr>
          <w:p w14:paraId="067BE979">
            <w:pPr>
              <w:pStyle w:val="26"/>
              <w:keepNext w:val="0"/>
              <w:keepLines w:val="0"/>
              <w:widowControl/>
              <w:suppressLineNumbers w:val="0"/>
              <w:spacing w:before="0" w:beforeAutospacing="0" w:after="0" w:afterAutospacing="0"/>
              <w:ind w:left="0" w:right="0" w:firstLine="0" w:firstLineChars="0"/>
              <w:jc w:val="center"/>
              <w:rPr>
                <w:rFonts w:hint="eastAsia" w:hAnsi="宋体" w:cs="宋体"/>
                <w:sz w:val="18"/>
                <w:szCs w:val="18"/>
                <w:highlight w:val="none"/>
                <w:lang w:val="en-US" w:eastAsia="zh-CN"/>
              </w:rPr>
            </w:pPr>
            <w:r>
              <w:rPr>
                <w:rFonts w:hint="eastAsia" w:hAnsi="宋体" w:cs="宋体"/>
                <w:sz w:val="18"/>
                <w:szCs w:val="18"/>
                <w:highlight w:val="none"/>
                <w:lang w:val="en-US" w:eastAsia="zh-CN"/>
              </w:rPr>
              <w:t>未满足上述任何一项</w:t>
            </w:r>
          </w:p>
        </w:tc>
        <w:tc>
          <w:tcPr>
            <w:tcW w:w="1545" w:type="pct"/>
            <w:tcBorders>
              <w:tl2br w:val="nil"/>
              <w:tr2bl w:val="nil"/>
            </w:tcBorders>
            <w:vAlign w:val="center"/>
          </w:tcPr>
          <w:p w14:paraId="0427F6A2">
            <w:pPr>
              <w:pStyle w:val="26"/>
              <w:keepNext w:val="0"/>
              <w:keepLines w:val="0"/>
              <w:widowControl/>
              <w:suppressLineNumbers w:val="0"/>
              <w:spacing w:before="0" w:beforeAutospacing="0" w:after="0" w:afterAutospacing="0"/>
              <w:ind w:left="0" w:right="0" w:firstLine="0" w:firstLineChars="0"/>
              <w:jc w:val="center"/>
              <w:rPr>
                <w:rFonts w:hint="default" w:hAnsi="宋体" w:cs="宋体"/>
                <w:sz w:val="18"/>
                <w:szCs w:val="18"/>
                <w:highlight w:val="none"/>
                <w:lang w:val="en-US" w:eastAsia="zh-CN"/>
              </w:rPr>
            </w:pPr>
            <w:r>
              <w:rPr>
                <w:rFonts w:hint="eastAsia" w:hAnsi="宋体" w:cs="宋体"/>
                <w:sz w:val="18"/>
                <w:szCs w:val="18"/>
                <w:highlight w:val="none"/>
                <w:lang w:val="en-US" w:eastAsia="zh-CN"/>
              </w:rPr>
              <w:t>0</w:t>
            </w:r>
          </w:p>
        </w:tc>
      </w:tr>
    </w:tbl>
    <w:p w14:paraId="5F58C23F">
      <w:pPr>
        <w:pStyle w:val="56"/>
        <w:numPr>
          <w:ilvl w:val="3"/>
          <w:numId w:val="2"/>
        </w:numPr>
        <w:spacing w:before="156" w:after="156"/>
        <w:rPr>
          <w:rFonts w:hint="eastAsia" w:ascii="Times New Roman" w:eastAsia="宋体"/>
          <w:highlight w:val="none"/>
          <w:lang w:val="en-US" w:eastAsia="zh-CN"/>
        </w:rPr>
      </w:pPr>
      <w:r>
        <w:rPr>
          <w:rFonts w:hint="eastAsia" w:ascii="黑体" w:eastAsia="黑体"/>
          <w:highlight w:val="none"/>
          <w:lang w:val="en-US" w:eastAsia="zh-CN"/>
        </w:rPr>
        <w:t>环境效益</w:t>
      </w:r>
    </w:p>
    <w:p w14:paraId="288888C9">
      <w:pPr>
        <w:pStyle w:val="26"/>
        <w:numPr>
          <w:ilvl w:val="-1"/>
          <w:numId w:val="0"/>
        </w:numPr>
        <w:spacing w:before="156" w:after="156"/>
        <w:ind w:firstLine="420" w:firstLineChars="200"/>
        <w:rPr>
          <w:rFonts w:hint="eastAsia" w:ascii="Times New Roman" w:eastAsia="宋体"/>
          <w:highlight w:val="none"/>
          <w:lang w:val="en-US" w:eastAsia="zh-CN"/>
        </w:rPr>
      </w:pPr>
      <w:r>
        <w:rPr>
          <w:rFonts w:hint="eastAsia" w:ascii="宋体" w:hAnsi="宋体" w:eastAsia="宋体" w:cs="宋体"/>
          <w:highlight w:val="none"/>
          <w:lang w:val="en-US" w:eastAsia="zh-CN"/>
        </w:rPr>
        <w:t>具体评价内容</w:t>
      </w:r>
      <w:r>
        <w:rPr>
          <w:rFonts w:hint="eastAsia" w:hAnsi="宋体" w:cs="宋体"/>
          <w:highlight w:val="none"/>
          <w:lang w:val="en-US" w:eastAsia="zh-CN"/>
        </w:rPr>
        <w:t>见5.2.1.2，环境效益指标及测算方法见附录B</w:t>
      </w:r>
      <w:bookmarkStart w:id="138" w:name="_GoBack"/>
      <w:bookmarkEnd w:id="138"/>
      <w:r>
        <w:rPr>
          <w:rFonts w:hint="eastAsia" w:hAnsi="宋体" w:cs="宋体"/>
          <w:highlight w:val="none"/>
          <w:lang w:eastAsia="zh-CN"/>
        </w:rPr>
        <w:t>，</w:t>
      </w:r>
      <w:r>
        <w:rPr>
          <w:rFonts w:hint="eastAsia" w:ascii="宋体" w:hAnsi="宋体" w:eastAsia="宋体" w:cs="宋体"/>
          <w:highlight w:val="none"/>
          <w:lang w:val="en-US" w:eastAsia="zh-CN"/>
        </w:rPr>
        <w:t>具体评分规则见表</w:t>
      </w:r>
      <w:r>
        <w:rPr>
          <w:rFonts w:hint="eastAsia" w:hAnsi="宋体" w:cs="宋体"/>
          <w:highlight w:val="none"/>
          <w:lang w:val="en-US" w:eastAsia="zh-CN"/>
        </w:rPr>
        <w:t>20</w:t>
      </w:r>
      <w:r>
        <w:rPr>
          <w:rFonts w:hint="eastAsia" w:ascii="宋体" w:hAnsi="宋体" w:eastAsia="宋体" w:cs="宋体"/>
          <w:highlight w:val="none"/>
          <w:lang w:val="en-US" w:eastAsia="zh-CN"/>
        </w:rPr>
        <w:t>。</w:t>
      </w:r>
    </w:p>
    <w:p w14:paraId="604D7E62">
      <w:pPr>
        <w:pStyle w:val="131"/>
        <w:ind w:left="0" w:firstLine="0"/>
        <w:rPr>
          <w:rFonts w:ascii="Times New Roman"/>
          <w:highlight w:val="none"/>
        </w:rPr>
      </w:pPr>
      <w:r>
        <w:rPr>
          <w:rFonts w:hint="eastAsia" w:ascii="Times New Roman"/>
          <w:highlight w:val="none"/>
          <w:lang w:val="en-US" w:eastAsia="zh-CN"/>
        </w:rPr>
        <w:t>环境效益</w:t>
      </w:r>
      <w:r>
        <w:rPr>
          <w:rFonts w:ascii="Times New Roman"/>
          <w:highlight w:val="none"/>
        </w:rPr>
        <w:t>评分规则</w:t>
      </w:r>
    </w:p>
    <w:tbl>
      <w:tblPr>
        <w:tblStyle w:val="36"/>
        <w:tblW w:w="4998"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6636"/>
        <w:gridCol w:w="2930"/>
      </w:tblGrid>
      <w:tr w14:paraId="1A26114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3468" w:type="pct"/>
            <w:tcBorders>
              <w:bottom w:val="single" w:color="auto" w:sz="12" w:space="0"/>
            </w:tcBorders>
            <w:vAlign w:val="center"/>
          </w:tcPr>
          <w:p w14:paraId="73AC452B">
            <w:pPr>
              <w:pStyle w:val="26"/>
              <w:keepNext w:val="0"/>
              <w:keepLines w:val="0"/>
              <w:widowControl/>
              <w:suppressLineNumbers w:val="0"/>
              <w:spacing w:before="0" w:beforeAutospacing="0" w:after="0" w:afterAutospacing="0"/>
              <w:ind w:left="0" w:right="0" w:firstLine="0" w:firstLineChars="0"/>
              <w:jc w:val="center"/>
              <w:rPr>
                <w:rFonts w:hint="default" w:ascii="Times New Roman"/>
                <w:b/>
                <w:bCs/>
                <w:sz w:val="18"/>
                <w:szCs w:val="18"/>
                <w:highlight w:val="none"/>
                <w:lang w:val="en-US" w:eastAsia="zh-CN"/>
              </w:rPr>
            </w:pPr>
            <w:r>
              <w:rPr>
                <w:rFonts w:hint="eastAsia" w:ascii="Times New Roman"/>
                <w:b/>
                <w:bCs/>
                <w:sz w:val="18"/>
                <w:szCs w:val="18"/>
                <w:highlight w:val="none"/>
                <w:lang w:val="en-US" w:eastAsia="zh-CN"/>
              </w:rPr>
              <w:t>环境效益水平</w:t>
            </w:r>
          </w:p>
        </w:tc>
        <w:tc>
          <w:tcPr>
            <w:tcW w:w="1531" w:type="pct"/>
            <w:tcBorders>
              <w:bottom w:val="single" w:color="auto" w:sz="12" w:space="0"/>
            </w:tcBorders>
            <w:vAlign w:val="center"/>
          </w:tcPr>
          <w:p w14:paraId="1CB91755">
            <w:pPr>
              <w:pStyle w:val="26"/>
              <w:keepNext w:val="0"/>
              <w:keepLines w:val="0"/>
              <w:widowControl/>
              <w:suppressLineNumbers w:val="0"/>
              <w:spacing w:before="0" w:beforeAutospacing="0" w:after="0" w:afterAutospacing="0"/>
              <w:ind w:left="0" w:right="0" w:firstLine="0" w:firstLineChars="0"/>
              <w:jc w:val="center"/>
              <w:rPr>
                <w:rFonts w:hint="default" w:ascii="Times New Roman" w:eastAsia="宋体"/>
                <w:b/>
                <w:bCs/>
                <w:sz w:val="18"/>
                <w:szCs w:val="18"/>
                <w:highlight w:val="none"/>
                <w:lang w:val="en-US" w:eastAsia="zh-CN"/>
              </w:rPr>
            </w:pPr>
            <w:r>
              <w:rPr>
                <w:rFonts w:hint="eastAsia" w:ascii="Times New Roman"/>
                <w:b/>
                <w:bCs/>
                <w:sz w:val="18"/>
                <w:szCs w:val="18"/>
                <w:highlight w:val="none"/>
                <w:lang w:val="en-US" w:eastAsia="zh-CN"/>
              </w:rPr>
              <w:t>分值（分）</w:t>
            </w:r>
          </w:p>
        </w:tc>
      </w:tr>
      <w:tr w14:paraId="3DA8CFE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9" w:hRule="atLeast"/>
          <w:jc w:val="center"/>
        </w:trPr>
        <w:tc>
          <w:tcPr>
            <w:tcW w:w="3468" w:type="pct"/>
            <w:tcBorders>
              <w:top w:val="single" w:color="auto" w:sz="12" w:space="0"/>
              <w:tl2br w:val="nil"/>
              <w:tr2bl w:val="nil"/>
            </w:tcBorders>
            <w:vAlign w:val="center"/>
          </w:tcPr>
          <w:p w14:paraId="0D522D3F">
            <w:pPr>
              <w:pStyle w:val="26"/>
              <w:keepNext w:val="0"/>
              <w:keepLines w:val="0"/>
              <w:widowControl/>
              <w:suppressLineNumbers w:val="0"/>
              <w:spacing w:before="0" w:beforeAutospacing="0" w:after="0" w:afterAutospacing="0"/>
              <w:ind w:left="0" w:right="0" w:firstLine="0" w:firstLineChars="0"/>
              <w:jc w:val="center"/>
              <w:rPr>
                <w:rFonts w:hint="default" w:hAnsi="宋体" w:cs="宋体"/>
                <w:sz w:val="18"/>
                <w:szCs w:val="18"/>
                <w:highlight w:val="none"/>
                <w:lang w:val="en-US"/>
              </w:rPr>
            </w:pPr>
            <w:r>
              <w:rPr>
                <w:rFonts w:hint="eastAsia" w:hAnsi="宋体" w:cs="宋体"/>
                <w:sz w:val="18"/>
                <w:szCs w:val="18"/>
                <w:highlight w:val="none"/>
                <w:lang w:val="en-US" w:eastAsia="zh-CN"/>
              </w:rPr>
              <w:t>取得的环境效益效果显著，处于行业领先水平</w:t>
            </w:r>
          </w:p>
        </w:tc>
        <w:tc>
          <w:tcPr>
            <w:tcW w:w="1531" w:type="pct"/>
            <w:tcBorders>
              <w:top w:val="single" w:color="auto" w:sz="12" w:space="0"/>
              <w:tl2br w:val="nil"/>
              <w:tr2bl w:val="nil"/>
            </w:tcBorders>
            <w:vAlign w:val="center"/>
          </w:tcPr>
          <w:p w14:paraId="4B678537">
            <w:pPr>
              <w:pStyle w:val="26"/>
              <w:keepNext w:val="0"/>
              <w:keepLines w:val="0"/>
              <w:widowControl/>
              <w:suppressLineNumbers w:val="0"/>
              <w:spacing w:before="0" w:beforeAutospacing="0" w:after="0" w:afterAutospacing="0"/>
              <w:ind w:left="0" w:right="0" w:firstLine="0" w:firstLineChars="0"/>
              <w:jc w:val="center"/>
              <w:rPr>
                <w:rFonts w:hint="default" w:hAnsi="宋体" w:cs="宋体"/>
                <w:sz w:val="18"/>
                <w:szCs w:val="18"/>
                <w:highlight w:val="none"/>
              </w:rPr>
            </w:pPr>
            <w:r>
              <w:rPr>
                <w:rFonts w:hint="eastAsia" w:hAnsi="宋体" w:cs="宋体"/>
                <w:sz w:val="18"/>
                <w:szCs w:val="18"/>
                <w:highlight w:val="none"/>
              </w:rPr>
              <w:t>(</w:t>
            </w:r>
            <w:r>
              <w:rPr>
                <w:rFonts w:hint="eastAsia" w:hAnsi="宋体" w:cs="宋体"/>
                <w:sz w:val="18"/>
                <w:szCs w:val="18"/>
                <w:highlight w:val="none"/>
                <w:lang w:val="en-US" w:eastAsia="zh-CN"/>
              </w:rPr>
              <w:t>15</w:t>
            </w:r>
            <w:r>
              <w:rPr>
                <w:rFonts w:hint="eastAsia" w:hAnsi="宋体" w:cs="宋体"/>
                <w:sz w:val="18"/>
                <w:szCs w:val="18"/>
                <w:highlight w:val="none"/>
              </w:rPr>
              <w:t>,</w:t>
            </w:r>
            <w:r>
              <w:rPr>
                <w:rFonts w:hint="eastAsia" w:hAnsi="宋体" w:cs="宋体"/>
                <w:sz w:val="18"/>
                <w:szCs w:val="18"/>
                <w:highlight w:val="none"/>
                <w:lang w:val="en-US" w:eastAsia="zh-CN"/>
              </w:rPr>
              <w:t>20</w:t>
            </w:r>
            <w:r>
              <w:rPr>
                <w:rFonts w:hint="eastAsia" w:hAnsi="宋体" w:cs="宋体"/>
                <w:sz w:val="18"/>
                <w:szCs w:val="18"/>
                <w:highlight w:val="none"/>
              </w:rPr>
              <w:t>]</w:t>
            </w:r>
          </w:p>
        </w:tc>
      </w:tr>
      <w:tr w14:paraId="213F713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3468" w:type="pct"/>
            <w:tcBorders>
              <w:tl2br w:val="nil"/>
              <w:tr2bl w:val="nil"/>
            </w:tcBorders>
            <w:vAlign w:val="center"/>
          </w:tcPr>
          <w:p w14:paraId="219B44A9">
            <w:pPr>
              <w:pStyle w:val="26"/>
              <w:keepNext w:val="0"/>
              <w:keepLines w:val="0"/>
              <w:widowControl/>
              <w:suppressLineNumbers w:val="0"/>
              <w:spacing w:before="0" w:beforeAutospacing="0" w:after="0" w:afterAutospacing="0"/>
              <w:ind w:left="0" w:right="0" w:firstLine="0" w:firstLineChars="0"/>
              <w:jc w:val="center"/>
              <w:rPr>
                <w:rFonts w:hint="default" w:hAnsi="宋体" w:cs="宋体"/>
                <w:sz w:val="18"/>
                <w:szCs w:val="18"/>
                <w:highlight w:val="none"/>
              </w:rPr>
            </w:pPr>
            <w:r>
              <w:rPr>
                <w:rFonts w:hint="eastAsia" w:hAnsi="宋体" w:cs="宋体"/>
                <w:sz w:val="18"/>
                <w:szCs w:val="18"/>
                <w:highlight w:val="none"/>
                <w:lang w:val="en-US" w:eastAsia="zh-CN"/>
              </w:rPr>
              <w:t>取得的环境效益效果较好，处于行业良好水平</w:t>
            </w:r>
          </w:p>
        </w:tc>
        <w:tc>
          <w:tcPr>
            <w:tcW w:w="1531" w:type="pct"/>
            <w:tcBorders>
              <w:tl2br w:val="nil"/>
              <w:tr2bl w:val="nil"/>
            </w:tcBorders>
            <w:vAlign w:val="center"/>
          </w:tcPr>
          <w:p w14:paraId="6ECBFD1C">
            <w:pPr>
              <w:pStyle w:val="26"/>
              <w:keepNext w:val="0"/>
              <w:keepLines w:val="0"/>
              <w:widowControl/>
              <w:suppressLineNumbers w:val="0"/>
              <w:spacing w:before="0" w:beforeAutospacing="0" w:after="0" w:afterAutospacing="0"/>
              <w:ind w:left="0" w:right="0" w:firstLine="0" w:firstLineChars="0"/>
              <w:jc w:val="center"/>
              <w:rPr>
                <w:rFonts w:hint="default" w:hAnsi="宋体" w:cs="宋体"/>
                <w:sz w:val="18"/>
                <w:szCs w:val="18"/>
                <w:highlight w:val="none"/>
              </w:rPr>
            </w:pPr>
            <w:r>
              <w:rPr>
                <w:rFonts w:hint="eastAsia" w:hAnsi="宋体" w:cs="宋体"/>
                <w:sz w:val="18"/>
                <w:szCs w:val="18"/>
                <w:highlight w:val="none"/>
                <w:lang w:val="en-US" w:eastAsia="zh-CN"/>
              </w:rPr>
              <w:t>(10,15]</w:t>
            </w:r>
          </w:p>
        </w:tc>
      </w:tr>
      <w:tr w14:paraId="1E43610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02" w:hRule="atLeast"/>
          <w:jc w:val="center"/>
        </w:trPr>
        <w:tc>
          <w:tcPr>
            <w:tcW w:w="3468" w:type="pct"/>
            <w:tcBorders>
              <w:tl2br w:val="nil"/>
              <w:tr2bl w:val="nil"/>
            </w:tcBorders>
            <w:vAlign w:val="center"/>
          </w:tcPr>
          <w:p w14:paraId="5377758F">
            <w:pPr>
              <w:pStyle w:val="26"/>
              <w:keepNext w:val="0"/>
              <w:keepLines w:val="0"/>
              <w:widowControl/>
              <w:suppressLineNumbers w:val="0"/>
              <w:spacing w:before="0" w:beforeAutospacing="0" w:after="0" w:afterAutospacing="0"/>
              <w:ind w:left="0" w:right="0" w:firstLine="0" w:firstLineChars="0"/>
              <w:jc w:val="center"/>
              <w:rPr>
                <w:rFonts w:hint="eastAsia" w:hAnsi="宋体" w:cs="宋体"/>
                <w:sz w:val="18"/>
                <w:szCs w:val="18"/>
                <w:highlight w:val="none"/>
                <w:lang w:val="en-US" w:eastAsia="zh-CN"/>
              </w:rPr>
            </w:pPr>
            <w:r>
              <w:rPr>
                <w:rFonts w:hint="eastAsia" w:hAnsi="宋体" w:cs="宋体"/>
                <w:sz w:val="18"/>
                <w:szCs w:val="18"/>
                <w:highlight w:val="none"/>
                <w:lang w:val="en-US" w:eastAsia="zh-CN"/>
              </w:rPr>
              <w:t>取得的环境效益效果一般，处于行业一般水平</w:t>
            </w:r>
          </w:p>
        </w:tc>
        <w:tc>
          <w:tcPr>
            <w:tcW w:w="1531" w:type="pct"/>
            <w:tcBorders>
              <w:tl2br w:val="nil"/>
              <w:tr2bl w:val="nil"/>
            </w:tcBorders>
            <w:vAlign w:val="center"/>
          </w:tcPr>
          <w:p w14:paraId="27087017">
            <w:pPr>
              <w:pStyle w:val="26"/>
              <w:keepNext w:val="0"/>
              <w:keepLines w:val="0"/>
              <w:widowControl/>
              <w:suppressLineNumbers w:val="0"/>
              <w:spacing w:before="0" w:beforeAutospacing="0" w:after="0" w:afterAutospacing="0"/>
              <w:ind w:left="0" w:right="0" w:firstLine="0" w:firstLineChars="0"/>
              <w:jc w:val="center"/>
              <w:rPr>
                <w:rFonts w:hint="eastAsia" w:hAnsi="宋体" w:cs="宋体"/>
                <w:sz w:val="18"/>
                <w:szCs w:val="18"/>
                <w:highlight w:val="none"/>
                <w:lang w:val="en-US" w:eastAsia="zh-CN"/>
              </w:rPr>
            </w:pPr>
            <w:r>
              <w:rPr>
                <w:rFonts w:hint="eastAsia" w:hAnsi="宋体" w:cs="宋体"/>
                <w:sz w:val="18"/>
                <w:szCs w:val="18"/>
                <w:highlight w:val="none"/>
                <w:lang w:val="en-US" w:eastAsia="zh-CN"/>
              </w:rPr>
              <w:t>[0,10]</w:t>
            </w:r>
          </w:p>
        </w:tc>
      </w:tr>
    </w:tbl>
    <w:p w14:paraId="4C21F054">
      <w:pPr>
        <w:pStyle w:val="51"/>
        <w:bidi w:val="0"/>
        <w:rPr>
          <w:rFonts w:hint="eastAsia" w:ascii="Times New Roman" w:eastAsia="宋体"/>
          <w:highlight w:val="none"/>
          <w:lang w:val="en-US" w:eastAsia="zh-CN"/>
        </w:rPr>
      </w:pPr>
      <w:r>
        <w:rPr>
          <w:rFonts w:hint="default" w:ascii="黑体" w:eastAsia="黑体"/>
          <w:highlight w:val="none"/>
          <w:lang w:val="en-US" w:eastAsia="zh-CN"/>
        </w:rPr>
        <w:t>环境表现</w:t>
      </w:r>
    </w:p>
    <w:p w14:paraId="73C10F63">
      <w:pPr>
        <w:pStyle w:val="56"/>
        <w:numPr>
          <w:ilvl w:val="3"/>
          <w:numId w:val="2"/>
        </w:numPr>
        <w:spacing w:before="156" w:after="156"/>
        <w:ind w:left="0" w:firstLine="0"/>
        <w:rPr>
          <w:rFonts w:hint="eastAsia" w:ascii="Times New Roman" w:eastAsia="宋体"/>
          <w:highlight w:val="none"/>
          <w:lang w:val="en-US" w:eastAsia="zh-CN"/>
        </w:rPr>
      </w:pPr>
      <w:r>
        <w:rPr>
          <w:rFonts w:hint="eastAsia" w:ascii="黑体" w:eastAsia="黑体"/>
          <w:highlight w:val="none"/>
          <w:lang w:val="en-US" w:eastAsia="zh-CN"/>
        </w:rPr>
        <w:t>绿色</w:t>
      </w:r>
      <w:r>
        <w:rPr>
          <w:rFonts w:hint="eastAsia"/>
          <w:highlight w:val="none"/>
          <w:lang w:val="en-US" w:eastAsia="zh-CN"/>
        </w:rPr>
        <w:t>低碳</w:t>
      </w:r>
      <w:r>
        <w:rPr>
          <w:rFonts w:hint="eastAsia" w:ascii="黑体" w:eastAsia="黑体"/>
          <w:highlight w:val="none"/>
          <w:lang w:val="en-US" w:eastAsia="zh-CN"/>
        </w:rPr>
        <w:t>运营</w:t>
      </w:r>
    </w:p>
    <w:p w14:paraId="7644F399">
      <w:pPr>
        <w:pStyle w:val="26"/>
        <w:rPr>
          <w:rFonts w:hint="eastAsia"/>
          <w:highlight w:val="none"/>
          <w:lang w:val="en-US" w:eastAsia="zh-CN"/>
        </w:rPr>
      </w:pPr>
      <w:r>
        <w:rPr>
          <w:rFonts w:hint="eastAsia"/>
          <w:highlight w:val="none"/>
          <w:lang w:val="en-US" w:eastAsia="zh-CN"/>
        </w:rPr>
        <w:t>从单位总投资综合能耗、单位总投资用水量、单位总投资用地面积、单位总投资碳排放量、可再生能源占比等方面进行综合评估，</w:t>
      </w:r>
      <w:r>
        <w:rPr>
          <w:rFonts w:hint="eastAsia" w:hAnsi="宋体" w:cs="宋体"/>
          <w:highlight w:val="none"/>
          <w:lang w:val="en-US" w:eastAsia="zh-CN"/>
        </w:rPr>
        <w:t>具体评分规则见表21</w:t>
      </w:r>
      <w:r>
        <w:rPr>
          <w:rFonts w:hint="eastAsia"/>
          <w:highlight w:val="none"/>
          <w:lang w:val="en-US" w:eastAsia="zh-CN"/>
        </w:rPr>
        <w:t>。</w:t>
      </w:r>
    </w:p>
    <w:p w14:paraId="4FC2C074">
      <w:pPr>
        <w:widowControl w:val="0"/>
        <w:numPr>
          <w:ilvl w:val="0"/>
          <w:numId w:val="6"/>
        </w:numPr>
        <w:autoSpaceDE w:val="0"/>
        <w:autoSpaceDN w:val="0"/>
        <w:bidi w:val="0"/>
        <w:jc w:val="both"/>
        <w:rPr>
          <w:rFonts w:hint="eastAsia" w:ascii="宋体" w:hAnsi="Times New Roman" w:eastAsia="宋体" w:cs="Times New Roman"/>
          <w:sz w:val="18"/>
          <w:szCs w:val="18"/>
          <w:highlight w:val="none"/>
          <w:lang w:val="en-US" w:eastAsia="zh-CN" w:bidi="ar-SA"/>
        </w:rPr>
      </w:pPr>
      <w:r>
        <w:rPr>
          <w:rFonts w:hint="eastAsia" w:ascii="宋体" w:hAnsi="Times New Roman" w:eastAsia="宋体" w:cs="Times New Roman"/>
          <w:sz w:val="18"/>
          <w:szCs w:val="18"/>
          <w:highlight w:val="none"/>
          <w:lang w:val="en-US" w:eastAsia="zh-CN" w:bidi="ar-SA"/>
        </w:rPr>
        <w:t>单位总投资综合能耗为项目生产建设综合能耗与项目总投资额的比值，单位为吨标准煤/万元；单位总投资用水量为项目生产建设用水总量与项目总投资额的比值，单位为吨/万元；单位总投资用地面积为项目生产建设用地面积与项目总投资额的比值，单位为平方米/万元；单位总投资碳排放量为项目碳排放总量与项目总投资额的比值，单位为吨二氧化碳当量/万元；可再生能源占比具体评价内容见5.2.3.3。</w:t>
      </w:r>
    </w:p>
    <w:p w14:paraId="7DE11DC1">
      <w:pPr>
        <w:pStyle w:val="131"/>
        <w:ind w:left="0" w:firstLine="0"/>
        <w:rPr>
          <w:rFonts w:ascii="Times New Roman"/>
          <w:highlight w:val="none"/>
        </w:rPr>
      </w:pPr>
      <w:r>
        <w:rPr>
          <w:rFonts w:hint="eastAsia" w:ascii="Times New Roman"/>
          <w:highlight w:val="none"/>
          <w:lang w:val="en-US" w:eastAsia="zh-CN"/>
        </w:rPr>
        <w:t>绿色低碳运营</w:t>
      </w:r>
      <w:r>
        <w:rPr>
          <w:rFonts w:ascii="Times New Roman"/>
          <w:highlight w:val="none"/>
        </w:rPr>
        <w:t>评分规则</w:t>
      </w:r>
    </w:p>
    <w:tbl>
      <w:tblPr>
        <w:tblStyle w:val="36"/>
        <w:tblW w:w="4994"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4901"/>
        <w:gridCol w:w="4658"/>
      </w:tblGrid>
      <w:tr w14:paraId="045FD6C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2563" w:type="pct"/>
            <w:tcBorders>
              <w:bottom w:val="single" w:color="auto" w:sz="12" w:space="0"/>
            </w:tcBorders>
            <w:vAlign w:val="center"/>
          </w:tcPr>
          <w:p w14:paraId="5AC60A53">
            <w:pPr>
              <w:pStyle w:val="26"/>
              <w:keepNext w:val="0"/>
              <w:keepLines w:val="0"/>
              <w:widowControl/>
              <w:suppressLineNumbers w:val="0"/>
              <w:spacing w:before="0" w:beforeAutospacing="0" w:after="0" w:afterAutospacing="0"/>
              <w:ind w:left="0" w:right="0" w:firstLine="0" w:firstLineChars="0"/>
              <w:jc w:val="center"/>
              <w:rPr>
                <w:rFonts w:hint="default" w:ascii="Times New Roman" w:eastAsia="宋体"/>
                <w:b/>
                <w:bCs/>
                <w:sz w:val="18"/>
                <w:szCs w:val="18"/>
                <w:highlight w:val="none"/>
                <w:lang w:val="en-US" w:eastAsia="zh-CN"/>
              </w:rPr>
            </w:pPr>
            <w:r>
              <w:rPr>
                <w:rFonts w:hint="eastAsia" w:ascii="Times New Roman"/>
                <w:b/>
                <w:bCs/>
                <w:sz w:val="18"/>
                <w:szCs w:val="18"/>
                <w:highlight w:val="none"/>
                <w:lang w:val="en-US" w:eastAsia="zh-CN"/>
              </w:rPr>
              <w:t>项目投资水平</w:t>
            </w:r>
          </w:p>
        </w:tc>
        <w:tc>
          <w:tcPr>
            <w:tcW w:w="2436" w:type="pct"/>
            <w:tcBorders>
              <w:bottom w:val="single" w:color="auto" w:sz="12" w:space="0"/>
            </w:tcBorders>
            <w:vAlign w:val="center"/>
          </w:tcPr>
          <w:p w14:paraId="2AE68233">
            <w:pPr>
              <w:pStyle w:val="26"/>
              <w:keepNext w:val="0"/>
              <w:keepLines w:val="0"/>
              <w:widowControl/>
              <w:suppressLineNumbers w:val="0"/>
              <w:spacing w:before="0" w:beforeAutospacing="0" w:after="0" w:afterAutospacing="0"/>
              <w:ind w:left="0" w:right="0" w:firstLine="0" w:firstLineChars="0"/>
              <w:jc w:val="center"/>
              <w:rPr>
                <w:rFonts w:hint="default" w:ascii="Times New Roman"/>
                <w:b/>
                <w:bCs/>
                <w:sz w:val="18"/>
                <w:szCs w:val="18"/>
                <w:highlight w:val="none"/>
              </w:rPr>
            </w:pPr>
            <w:r>
              <w:rPr>
                <w:rFonts w:hint="eastAsia" w:ascii="Times New Roman"/>
                <w:b/>
                <w:bCs/>
                <w:sz w:val="18"/>
                <w:szCs w:val="18"/>
                <w:highlight w:val="none"/>
                <w:lang w:val="en-US" w:eastAsia="zh-CN"/>
              </w:rPr>
              <w:t>评分依据及分值</w:t>
            </w:r>
            <w:r>
              <w:rPr>
                <w:rFonts w:hint="eastAsia" w:ascii="Times New Roman"/>
                <w:b/>
                <w:bCs/>
                <w:sz w:val="18"/>
                <w:szCs w:val="18"/>
                <w:highlight w:val="none"/>
              </w:rPr>
              <w:t>（分）</w:t>
            </w:r>
          </w:p>
        </w:tc>
      </w:tr>
      <w:tr w14:paraId="522E3E3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2563" w:type="pct"/>
            <w:tcBorders>
              <w:top w:val="single" w:color="auto" w:sz="12" w:space="0"/>
              <w:tl2br w:val="nil"/>
              <w:tr2bl w:val="nil"/>
            </w:tcBorders>
            <w:vAlign w:val="center"/>
          </w:tcPr>
          <w:p w14:paraId="5EECC35E">
            <w:pPr>
              <w:pStyle w:val="26"/>
              <w:keepNext w:val="0"/>
              <w:keepLines w:val="0"/>
              <w:widowControl/>
              <w:suppressLineNumbers w:val="0"/>
              <w:spacing w:before="0" w:beforeAutospacing="0" w:after="0" w:afterAutospacing="0"/>
              <w:ind w:left="0" w:right="0" w:firstLine="0" w:firstLineChars="0"/>
              <w:jc w:val="center"/>
              <w:rPr>
                <w:rFonts w:hint="default" w:hAnsi="宋体" w:cs="宋体"/>
                <w:sz w:val="18"/>
                <w:szCs w:val="18"/>
                <w:highlight w:val="none"/>
              </w:rPr>
            </w:pPr>
            <w:r>
              <w:rPr>
                <w:rFonts w:hint="eastAsia" w:hAnsi="宋体" w:cs="宋体"/>
                <w:sz w:val="18"/>
                <w:szCs w:val="18"/>
                <w:highlight w:val="none"/>
                <w:lang w:val="en-US" w:eastAsia="zh-CN"/>
              </w:rPr>
              <w:t>单位总投资综合能耗</w:t>
            </w:r>
          </w:p>
        </w:tc>
        <w:tc>
          <w:tcPr>
            <w:tcW w:w="2436" w:type="pct"/>
            <w:vMerge w:val="restart"/>
            <w:tcBorders>
              <w:top w:val="single" w:color="auto" w:sz="12" w:space="0"/>
              <w:tl2br w:val="nil"/>
              <w:tr2bl w:val="nil"/>
            </w:tcBorders>
            <w:vAlign w:val="center"/>
          </w:tcPr>
          <w:p w14:paraId="3E984E79">
            <w:pPr>
              <w:pStyle w:val="26"/>
              <w:keepNext w:val="0"/>
              <w:keepLines w:val="0"/>
              <w:widowControl/>
              <w:suppressLineNumbers w:val="0"/>
              <w:spacing w:before="0" w:beforeAutospacing="0" w:after="0" w:afterAutospacing="0"/>
              <w:ind w:left="0" w:right="0" w:firstLine="0" w:firstLineChars="0"/>
              <w:jc w:val="left"/>
              <w:rPr>
                <w:rFonts w:hint="eastAsia" w:hAnsi="宋体" w:cs="宋体"/>
                <w:sz w:val="18"/>
                <w:szCs w:val="18"/>
                <w:highlight w:val="none"/>
                <w:lang w:val="en-US" w:eastAsia="zh-CN"/>
              </w:rPr>
            </w:pPr>
            <w:r>
              <w:rPr>
                <w:rFonts w:hint="eastAsia" w:hAnsi="宋体" w:cs="宋体"/>
                <w:sz w:val="18"/>
                <w:szCs w:val="18"/>
                <w:highlight w:val="none"/>
                <w:lang w:val="en-US" w:eastAsia="zh-CN"/>
              </w:rPr>
              <w:t>五项指标达到业内领先水平(16,20]</w:t>
            </w:r>
          </w:p>
          <w:p w14:paraId="096A9931">
            <w:pPr>
              <w:pStyle w:val="26"/>
              <w:keepNext w:val="0"/>
              <w:keepLines w:val="0"/>
              <w:widowControl/>
              <w:suppressLineNumbers w:val="0"/>
              <w:spacing w:before="0" w:beforeAutospacing="0" w:after="0" w:afterAutospacing="0"/>
              <w:ind w:left="0" w:right="0" w:firstLine="0" w:firstLineChars="0"/>
              <w:jc w:val="left"/>
              <w:rPr>
                <w:rFonts w:hint="eastAsia" w:hAnsi="宋体" w:cs="宋体"/>
                <w:sz w:val="18"/>
                <w:szCs w:val="18"/>
                <w:highlight w:val="none"/>
                <w:lang w:val="en-US" w:eastAsia="zh-CN"/>
              </w:rPr>
            </w:pPr>
            <w:r>
              <w:rPr>
                <w:rFonts w:hint="eastAsia" w:hAnsi="宋体" w:cs="宋体"/>
                <w:sz w:val="18"/>
                <w:szCs w:val="18"/>
                <w:highlight w:val="none"/>
                <w:lang w:val="en-US" w:eastAsia="zh-CN"/>
              </w:rPr>
              <w:t>四项指标达到业内领先水平(12,16]</w:t>
            </w:r>
          </w:p>
          <w:p w14:paraId="28C0BE90">
            <w:pPr>
              <w:pStyle w:val="26"/>
              <w:keepNext w:val="0"/>
              <w:keepLines w:val="0"/>
              <w:widowControl/>
              <w:suppressLineNumbers w:val="0"/>
              <w:spacing w:before="0" w:beforeAutospacing="0" w:after="0" w:afterAutospacing="0"/>
              <w:ind w:left="0" w:right="0" w:firstLine="0" w:firstLineChars="0"/>
              <w:jc w:val="left"/>
              <w:rPr>
                <w:rFonts w:hint="eastAsia" w:hAnsi="宋体" w:cs="宋体"/>
                <w:sz w:val="18"/>
                <w:szCs w:val="18"/>
                <w:highlight w:val="none"/>
                <w:lang w:val="en-US" w:eastAsia="zh-CN"/>
              </w:rPr>
            </w:pPr>
            <w:r>
              <w:rPr>
                <w:rFonts w:hint="eastAsia" w:hAnsi="宋体" w:cs="宋体"/>
                <w:sz w:val="18"/>
                <w:szCs w:val="18"/>
                <w:highlight w:val="none"/>
                <w:lang w:val="en-US" w:eastAsia="zh-CN"/>
              </w:rPr>
              <w:t>三项指标达到业内领先水平(8,12]</w:t>
            </w:r>
          </w:p>
          <w:p w14:paraId="77D79F07">
            <w:pPr>
              <w:pStyle w:val="26"/>
              <w:keepNext w:val="0"/>
              <w:keepLines w:val="0"/>
              <w:widowControl/>
              <w:suppressLineNumbers w:val="0"/>
              <w:spacing w:before="0" w:beforeAutospacing="0" w:after="0" w:afterAutospacing="0"/>
              <w:ind w:left="0" w:right="0" w:firstLine="0" w:firstLineChars="0"/>
              <w:jc w:val="left"/>
              <w:rPr>
                <w:rFonts w:hint="eastAsia" w:hAnsi="宋体" w:cs="宋体"/>
                <w:sz w:val="18"/>
                <w:szCs w:val="18"/>
                <w:highlight w:val="none"/>
                <w:lang w:val="en-US" w:eastAsia="zh-CN"/>
              </w:rPr>
            </w:pPr>
            <w:r>
              <w:rPr>
                <w:rFonts w:hint="eastAsia" w:hAnsi="宋体" w:cs="宋体"/>
                <w:sz w:val="18"/>
                <w:szCs w:val="18"/>
                <w:highlight w:val="none"/>
                <w:lang w:val="en-US" w:eastAsia="zh-CN"/>
              </w:rPr>
              <w:t>两项指标达到业内领先水平(4,8]</w:t>
            </w:r>
          </w:p>
          <w:p w14:paraId="78DDA063">
            <w:pPr>
              <w:pStyle w:val="26"/>
              <w:keepNext w:val="0"/>
              <w:keepLines w:val="0"/>
              <w:widowControl/>
              <w:suppressLineNumbers w:val="0"/>
              <w:spacing w:before="0" w:beforeAutospacing="0" w:after="0" w:afterAutospacing="0"/>
              <w:ind w:left="0" w:right="0" w:firstLine="0" w:firstLineChars="0"/>
              <w:jc w:val="left"/>
              <w:rPr>
                <w:rFonts w:hint="eastAsia" w:hAnsi="宋体" w:cs="宋体"/>
                <w:sz w:val="18"/>
                <w:szCs w:val="18"/>
                <w:highlight w:val="none"/>
                <w:lang w:val="en-US" w:eastAsia="zh-CN"/>
              </w:rPr>
            </w:pPr>
            <w:r>
              <w:rPr>
                <w:rFonts w:hint="eastAsia" w:hAnsi="宋体" w:cs="宋体"/>
                <w:sz w:val="18"/>
                <w:szCs w:val="18"/>
                <w:highlight w:val="none"/>
                <w:lang w:val="en-US" w:eastAsia="zh-CN"/>
              </w:rPr>
              <w:t>一项指标达到业内领先水平(0,4]</w:t>
            </w:r>
          </w:p>
        </w:tc>
      </w:tr>
      <w:tr w14:paraId="0842453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2563" w:type="pct"/>
            <w:tcBorders>
              <w:tl2br w:val="nil"/>
              <w:tr2bl w:val="nil"/>
            </w:tcBorders>
            <w:vAlign w:val="center"/>
          </w:tcPr>
          <w:p w14:paraId="74A3035C">
            <w:pPr>
              <w:pStyle w:val="26"/>
              <w:keepNext w:val="0"/>
              <w:keepLines w:val="0"/>
              <w:widowControl/>
              <w:suppressLineNumbers w:val="0"/>
              <w:spacing w:before="0" w:beforeAutospacing="0" w:after="0" w:afterAutospacing="0"/>
              <w:ind w:left="0" w:right="0" w:firstLine="0" w:firstLineChars="0"/>
              <w:jc w:val="center"/>
              <w:rPr>
                <w:rFonts w:hint="default" w:hAnsi="宋体" w:cs="宋体"/>
                <w:sz w:val="18"/>
                <w:szCs w:val="18"/>
                <w:highlight w:val="none"/>
              </w:rPr>
            </w:pPr>
            <w:r>
              <w:rPr>
                <w:rFonts w:hint="eastAsia" w:hAnsi="宋体" w:cs="宋体"/>
                <w:sz w:val="18"/>
                <w:szCs w:val="18"/>
                <w:highlight w:val="none"/>
                <w:lang w:val="en-US" w:eastAsia="zh-CN"/>
              </w:rPr>
              <w:t>单位总投资用水量</w:t>
            </w:r>
          </w:p>
        </w:tc>
        <w:tc>
          <w:tcPr>
            <w:tcW w:w="2436" w:type="pct"/>
            <w:vMerge w:val="continue"/>
            <w:tcBorders>
              <w:tl2br w:val="nil"/>
              <w:tr2bl w:val="nil"/>
            </w:tcBorders>
            <w:vAlign w:val="center"/>
          </w:tcPr>
          <w:p w14:paraId="3F6AC9DD">
            <w:pPr>
              <w:pStyle w:val="26"/>
              <w:keepNext w:val="0"/>
              <w:keepLines w:val="0"/>
              <w:widowControl/>
              <w:suppressLineNumbers w:val="0"/>
              <w:spacing w:before="0" w:beforeAutospacing="0" w:after="0" w:afterAutospacing="0"/>
              <w:ind w:left="0" w:right="0" w:firstLine="0" w:firstLineChars="0"/>
              <w:jc w:val="center"/>
              <w:rPr>
                <w:rFonts w:hint="default" w:hAnsi="宋体" w:cs="宋体"/>
                <w:sz w:val="18"/>
                <w:szCs w:val="18"/>
                <w:highlight w:val="none"/>
              </w:rPr>
            </w:pPr>
          </w:p>
        </w:tc>
      </w:tr>
      <w:tr w14:paraId="114A5E8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2563" w:type="pct"/>
            <w:tcBorders>
              <w:tl2br w:val="nil"/>
              <w:tr2bl w:val="nil"/>
            </w:tcBorders>
            <w:vAlign w:val="center"/>
          </w:tcPr>
          <w:p w14:paraId="1BA8D3DB">
            <w:pPr>
              <w:pStyle w:val="26"/>
              <w:keepNext w:val="0"/>
              <w:keepLines w:val="0"/>
              <w:widowControl/>
              <w:suppressLineNumbers w:val="0"/>
              <w:spacing w:before="0" w:beforeAutospacing="0" w:after="0" w:afterAutospacing="0"/>
              <w:ind w:left="0" w:right="0" w:firstLine="0" w:firstLineChars="0"/>
              <w:jc w:val="center"/>
              <w:rPr>
                <w:rFonts w:hint="eastAsia" w:hAnsi="宋体" w:cs="宋体"/>
                <w:sz w:val="18"/>
                <w:szCs w:val="18"/>
                <w:highlight w:val="none"/>
                <w:lang w:val="en-US" w:eastAsia="zh-CN"/>
              </w:rPr>
            </w:pPr>
            <w:r>
              <w:rPr>
                <w:rFonts w:hint="eastAsia" w:hAnsi="宋体" w:cs="宋体"/>
                <w:sz w:val="18"/>
                <w:szCs w:val="18"/>
                <w:highlight w:val="none"/>
                <w:lang w:val="en-US" w:eastAsia="zh-CN"/>
              </w:rPr>
              <w:t>单位总投资用地面积</w:t>
            </w:r>
          </w:p>
        </w:tc>
        <w:tc>
          <w:tcPr>
            <w:tcW w:w="2436" w:type="pct"/>
            <w:vMerge w:val="continue"/>
            <w:tcBorders>
              <w:tl2br w:val="nil"/>
              <w:tr2bl w:val="nil"/>
            </w:tcBorders>
            <w:vAlign w:val="center"/>
          </w:tcPr>
          <w:p w14:paraId="56C39B52">
            <w:pPr>
              <w:pStyle w:val="26"/>
              <w:keepNext w:val="0"/>
              <w:keepLines w:val="0"/>
              <w:widowControl/>
              <w:suppressLineNumbers w:val="0"/>
              <w:spacing w:before="0" w:beforeAutospacing="0" w:after="0" w:afterAutospacing="0"/>
              <w:ind w:left="0" w:right="0" w:firstLine="0" w:firstLineChars="0"/>
              <w:jc w:val="center"/>
              <w:rPr>
                <w:rFonts w:hint="eastAsia" w:hAnsi="宋体" w:cs="宋体"/>
                <w:sz w:val="18"/>
                <w:szCs w:val="18"/>
                <w:highlight w:val="none"/>
              </w:rPr>
            </w:pPr>
          </w:p>
        </w:tc>
      </w:tr>
      <w:tr w14:paraId="69A55D0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2563" w:type="pct"/>
            <w:tcBorders>
              <w:tl2br w:val="nil"/>
              <w:tr2bl w:val="nil"/>
            </w:tcBorders>
            <w:vAlign w:val="center"/>
          </w:tcPr>
          <w:p w14:paraId="2D5ACB61">
            <w:pPr>
              <w:pStyle w:val="26"/>
              <w:keepNext w:val="0"/>
              <w:keepLines w:val="0"/>
              <w:widowControl/>
              <w:suppressLineNumbers w:val="0"/>
              <w:spacing w:before="0" w:beforeAutospacing="0" w:after="0" w:afterAutospacing="0"/>
              <w:ind w:left="0" w:right="0" w:firstLine="0" w:firstLineChars="0"/>
              <w:jc w:val="center"/>
              <w:rPr>
                <w:rFonts w:hint="eastAsia" w:hAnsi="宋体" w:cs="宋体"/>
                <w:sz w:val="18"/>
                <w:szCs w:val="18"/>
                <w:highlight w:val="none"/>
                <w:lang w:val="en-US" w:eastAsia="zh-CN"/>
              </w:rPr>
            </w:pPr>
            <w:r>
              <w:rPr>
                <w:rFonts w:hint="eastAsia" w:hAnsi="宋体" w:cs="宋体"/>
                <w:sz w:val="18"/>
                <w:szCs w:val="18"/>
                <w:highlight w:val="none"/>
                <w:lang w:val="en-US" w:eastAsia="zh-CN"/>
              </w:rPr>
              <w:t>单位总投资碳排放量</w:t>
            </w:r>
          </w:p>
        </w:tc>
        <w:tc>
          <w:tcPr>
            <w:tcW w:w="2436" w:type="pct"/>
            <w:vMerge w:val="continue"/>
            <w:tcBorders>
              <w:tl2br w:val="nil"/>
              <w:tr2bl w:val="nil"/>
            </w:tcBorders>
            <w:vAlign w:val="center"/>
          </w:tcPr>
          <w:p w14:paraId="663F5013">
            <w:pPr>
              <w:pStyle w:val="26"/>
              <w:keepNext w:val="0"/>
              <w:keepLines w:val="0"/>
              <w:widowControl/>
              <w:suppressLineNumbers w:val="0"/>
              <w:spacing w:before="0" w:beforeAutospacing="0" w:after="0" w:afterAutospacing="0"/>
              <w:ind w:left="0" w:right="0" w:firstLine="0" w:firstLineChars="0"/>
              <w:jc w:val="center"/>
              <w:rPr>
                <w:rFonts w:hint="eastAsia" w:hAnsi="宋体" w:cs="宋体"/>
                <w:sz w:val="18"/>
                <w:szCs w:val="18"/>
                <w:highlight w:val="none"/>
              </w:rPr>
            </w:pPr>
          </w:p>
        </w:tc>
      </w:tr>
      <w:tr w14:paraId="6CF0FB9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2563" w:type="pct"/>
            <w:tcBorders>
              <w:tl2br w:val="nil"/>
              <w:tr2bl w:val="nil"/>
            </w:tcBorders>
            <w:vAlign w:val="center"/>
          </w:tcPr>
          <w:p w14:paraId="37E03919">
            <w:pPr>
              <w:pStyle w:val="26"/>
              <w:keepNext w:val="0"/>
              <w:keepLines w:val="0"/>
              <w:widowControl/>
              <w:suppressLineNumbers w:val="0"/>
              <w:spacing w:before="0" w:beforeAutospacing="0" w:after="0" w:afterAutospacing="0"/>
              <w:ind w:left="0" w:right="0" w:firstLine="0" w:firstLineChars="0"/>
              <w:jc w:val="center"/>
              <w:rPr>
                <w:rFonts w:hint="eastAsia" w:hAnsi="宋体" w:cs="宋体"/>
                <w:sz w:val="18"/>
                <w:szCs w:val="18"/>
                <w:highlight w:val="none"/>
                <w:lang w:val="en-US" w:eastAsia="zh-CN"/>
              </w:rPr>
            </w:pPr>
            <w:r>
              <w:rPr>
                <w:rFonts w:hint="eastAsia" w:hAnsi="宋体" w:cs="宋体"/>
                <w:sz w:val="18"/>
                <w:szCs w:val="18"/>
                <w:highlight w:val="none"/>
                <w:lang w:val="en-US" w:eastAsia="zh-CN"/>
              </w:rPr>
              <w:t>可再生能源占比</w:t>
            </w:r>
          </w:p>
        </w:tc>
        <w:tc>
          <w:tcPr>
            <w:tcW w:w="2436" w:type="pct"/>
            <w:vMerge w:val="continue"/>
            <w:tcBorders>
              <w:tl2br w:val="nil"/>
              <w:tr2bl w:val="nil"/>
            </w:tcBorders>
            <w:vAlign w:val="center"/>
          </w:tcPr>
          <w:p w14:paraId="3E0E8F25">
            <w:pPr>
              <w:pStyle w:val="26"/>
              <w:keepNext w:val="0"/>
              <w:keepLines w:val="0"/>
              <w:widowControl/>
              <w:suppressLineNumbers w:val="0"/>
              <w:spacing w:before="0" w:beforeAutospacing="0" w:after="0" w:afterAutospacing="0"/>
              <w:ind w:left="0" w:right="0" w:firstLine="0" w:firstLineChars="0"/>
              <w:jc w:val="left"/>
              <w:rPr>
                <w:rFonts w:hint="eastAsia" w:hAnsi="宋体" w:cs="宋体"/>
                <w:sz w:val="18"/>
                <w:szCs w:val="18"/>
                <w:highlight w:val="none"/>
                <w:lang w:val="en-US" w:eastAsia="zh-CN"/>
              </w:rPr>
            </w:pPr>
          </w:p>
        </w:tc>
      </w:tr>
    </w:tbl>
    <w:p w14:paraId="54B68154">
      <w:pPr>
        <w:pStyle w:val="56"/>
        <w:numPr>
          <w:ilvl w:val="3"/>
          <w:numId w:val="2"/>
        </w:numPr>
        <w:spacing w:before="156" w:after="156"/>
        <w:rPr>
          <w:rFonts w:ascii="Times New Roman"/>
          <w:highlight w:val="none"/>
        </w:rPr>
      </w:pPr>
      <w:r>
        <w:rPr>
          <w:rFonts w:ascii="Times New Roman"/>
          <w:highlight w:val="none"/>
        </w:rPr>
        <w:t>工艺设备材料</w:t>
      </w:r>
    </w:p>
    <w:p w14:paraId="2EADD739">
      <w:pPr>
        <w:pStyle w:val="26"/>
        <w:rPr>
          <w:rFonts w:ascii="Times New Roman"/>
          <w:highlight w:val="none"/>
        </w:rPr>
      </w:pPr>
      <w:r>
        <w:rPr>
          <w:rFonts w:hint="eastAsia" w:ascii="宋体" w:hAnsi="宋体" w:eastAsia="宋体" w:cs="宋体"/>
          <w:highlight w:val="none"/>
          <w:lang w:val="en-US" w:eastAsia="zh-CN"/>
        </w:rPr>
        <w:t>具体评价内容</w:t>
      </w:r>
      <w:r>
        <w:rPr>
          <w:rFonts w:hint="eastAsia" w:hAnsi="宋体" w:cs="宋体"/>
          <w:highlight w:val="none"/>
          <w:lang w:val="en-US" w:eastAsia="zh-CN"/>
        </w:rPr>
        <w:t>见5.2.3.2</w:t>
      </w:r>
      <w:r>
        <w:rPr>
          <w:rFonts w:hint="eastAsia" w:ascii="宋体" w:hAnsi="宋体" w:eastAsia="宋体" w:cs="宋体"/>
          <w:highlight w:val="none"/>
          <w:lang w:val="en-US" w:eastAsia="zh-CN"/>
        </w:rPr>
        <w:t>，</w:t>
      </w:r>
      <w:r>
        <w:rPr>
          <w:rFonts w:hint="eastAsia" w:hAnsi="宋体" w:cs="宋体"/>
          <w:highlight w:val="none"/>
        </w:rPr>
        <w:t>具体评分规则见表</w:t>
      </w:r>
      <w:r>
        <w:rPr>
          <w:rFonts w:hint="eastAsia" w:hAnsi="宋体" w:cs="宋体"/>
          <w:highlight w:val="none"/>
          <w:lang w:val="en-US" w:eastAsia="zh-CN"/>
        </w:rPr>
        <w:t>22</w:t>
      </w:r>
      <w:r>
        <w:rPr>
          <w:rFonts w:hint="eastAsia" w:hAnsi="宋体" w:cs="宋体"/>
          <w:highlight w:val="none"/>
        </w:rPr>
        <w:t>。</w:t>
      </w:r>
    </w:p>
    <w:p w14:paraId="4C384FBF">
      <w:pPr>
        <w:pStyle w:val="131"/>
        <w:ind w:left="0" w:firstLine="0"/>
        <w:rPr>
          <w:rFonts w:ascii="Times New Roman"/>
          <w:highlight w:val="none"/>
        </w:rPr>
      </w:pPr>
      <w:r>
        <w:rPr>
          <w:rFonts w:ascii="Times New Roman"/>
          <w:highlight w:val="none"/>
        </w:rPr>
        <w:t>工艺设备材料评分规则</w:t>
      </w:r>
    </w:p>
    <w:tbl>
      <w:tblPr>
        <w:tblStyle w:val="36"/>
        <w:tblW w:w="4994"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6649"/>
        <w:gridCol w:w="2910"/>
      </w:tblGrid>
      <w:tr w14:paraId="459B1A2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3477" w:type="pct"/>
            <w:tcBorders>
              <w:bottom w:val="single" w:color="auto" w:sz="12" w:space="0"/>
            </w:tcBorders>
            <w:vAlign w:val="center"/>
          </w:tcPr>
          <w:p w14:paraId="790D3302">
            <w:pPr>
              <w:pStyle w:val="26"/>
              <w:keepNext w:val="0"/>
              <w:keepLines w:val="0"/>
              <w:widowControl/>
              <w:suppressLineNumbers w:val="0"/>
              <w:spacing w:before="0" w:beforeAutospacing="0" w:after="0" w:afterAutospacing="0"/>
              <w:ind w:left="0" w:right="0" w:firstLine="0" w:firstLineChars="0"/>
              <w:jc w:val="center"/>
              <w:rPr>
                <w:rFonts w:hint="default" w:ascii="Times New Roman" w:eastAsia="宋体"/>
                <w:b/>
                <w:bCs/>
                <w:sz w:val="18"/>
                <w:szCs w:val="18"/>
                <w:highlight w:val="none"/>
                <w:lang w:val="en-US" w:eastAsia="zh-CN"/>
              </w:rPr>
            </w:pPr>
            <w:r>
              <w:rPr>
                <w:rFonts w:hint="eastAsia" w:ascii="Times New Roman"/>
                <w:b/>
                <w:bCs/>
                <w:sz w:val="18"/>
                <w:szCs w:val="18"/>
                <w:highlight w:val="none"/>
                <w:lang w:val="en-US" w:eastAsia="zh-CN"/>
              </w:rPr>
              <w:t>工艺设备材料</w:t>
            </w:r>
          </w:p>
        </w:tc>
        <w:tc>
          <w:tcPr>
            <w:tcW w:w="1522" w:type="pct"/>
            <w:tcBorders>
              <w:bottom w:val="single" w:color="auto" w:sz="12" w:space="0"/>
            </w:tcBorders>
            <w:vAlign w:val="center"/>
          </w:tcPr>
          <w:p w14:paraId="085B2F1B">
            <w:pPr>
              <w:pStyle w:val="26"/>
              <w:keepNext w:val="0"/>
              <w:keepLines w:val="0"/>
              <w:widowControl/>
              <w:suppressLineNumbers w:val="0"/>
              <w:spacing w:before="0" w:beforeAutospacing="0" w:after="0" w:afterAutospacing="0"/>
              <w:ind w:left="0" w:right="0" w:firstLine="0" w:firstLineChars="0"/>
              <w:jc w:val="center"/>
              <w:rPr>
                <w:rFonts w:hint="default" w:ascii="Times New Roman"/>
                <w:b/>
                <w:bCs/>
                <w:sz w:val="18"/>
                <w:szCs w:val="18"/>
                <w:highlight w:val="none"/>
              </w:rPr>
            </w:pPr>
            <w:r>
              <w:rPr>
                <w:rFonts w:hint="eastAsia" w:ascii="Times New Roman"/>
                <w:b/>
                <w:bCs/>
                <w:sz w:val="18"/>
                <w:szCs w:val="18"/>
                <w:highlight w:val="none"/>
                <w:lang w:val="en-US" w:eastAsia="zh-CN"/>
              </w:rPr>
              <w:t>分值</w:t>
            </w:r>
            <w:r>
              <w:rPr>
                <w:rFonts w:hint="eastAsia" w:ascii="Times New Roman"/>
                <w:b/>
                <w:bCs/>
                <w:sz w:val="18"/>
                <w:szCs w:val="18"/>
                <w:highlight w:val="none"/>
              </w:rPr>
              <w:t>（分）</w:t>
            </w:r>
          </w:p>
        </w:tc>
      </w:tr>
      <w:tr w14:paraId="5EAE13D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3477" w:type="pct"/>
            <w:tcBorders>
              <w:top w:val="single" w:color="auto" w:sz="12" w:space="0"/>
              <w:bottom w:val="single" w:color="auto" w:sz="4" w:space="0"/>
            </w:tcBorders>
            <w:vAlign w:val="center"/>
          </w:tcPr>
          <w:p w14:paraId="15E96152">
            <w:pPr>
              <w:pStyle w:val="26"/>
              <w:keepNext w:val="0"/>
              <w:keepLines w:val="0"/>
              <w:widowControl/>
              <w:suppressLineNumbers w:val="0"/>
              <w:spacing w:before="0" w:beforeAutospacing="0" w:after="0" w:afterAutospacing="0"/>
              <w:ind w:left="0" w:right="0" w:firstLine="0" w:firstLineChars="0"/>
              <w:jc w:val="center"/>
              <w:rPr>
                <w:rFonts w:hint="default" w:hAnsi="宋体" w:cs="宋体"/>
                <w:sz w:val="18"/>
                <w:szCs w:val="18"/>
                <w:highlight w:val="none"/>
                <w:lang w:val="en-US" w:eastAsia="zh-CN"/>
              </w:rPr>
            </w:pPr>
            <w:r>
              <w:rPr>
                <w:rFonts w:hint="eastAsia" w:hAnsi="宋体" w:cs="宋体"/>
                <w:sz w:val="18"/>
                <w:szCs w:val="18"/>
                <w:highlight w:val="none"/>
                <w:lang w:val="en-US" w:eastAsia="zh-CN"/>
              </w:rPr>
              <w:t>工艺设备材料绿色化程度较高</w:t>
            </w:r>
          </w:p>
        </w:tc>
        <w:tc>
          <w:tcPr>
            <w:tcW w:w="1522" w:type="pct"/>
            <w:tcBorders>
              <w:top w:val="single" w:color="auto" w:sz="12" w:space="0"/>
              <w:bottom w:val="single" w:color="auto" w:sz="4" w:space="0"/>
            </w:tcBorders>
            <w:vAlign w:val="center"/>
          </w:tcPr>
          <w:p w14:paraId="4AE569D7">
            <w:pPr>
              <w:pStyle w:val="26"/>
              <w:keepNext w:val="0"/>
              <w:keepLines w:val="0"/>
              <w:widowControl/>
              <w:suppressLineNumbers w:val="0"/>
              <w:spacing w:before="0" w:beforeAutospacing="0" w:after="0" w:afterAutospacing="0"/>
              <w:ind w:left="0" w:right="0" w:firstLine="0" w:firstLineChars="0"/>
              <w:jc w:val="center"/>
              <w:rPr>
                <w:rFonts w:hint="eastAsia" w:hAnsi="宋体" w:cs="宋体"/>
                <w:sz w:val="18"/>
                <w:szCs w:val="18"/>
                <w:highlight w:val="none"/>
              </w:rPr>
            </w:pPr>
            <w:r>
              <w:rPr>
                <w:rFonts w:hint="eastAsia" w:hAnsi="宋体" w:cs="宋体"/>
                <w:sz w:val="18"/>
                <w:szCs w:val="18"/>
                <w:highlight w:val="none"/>
                <w:lang w:val="en-US" w:eastAsia="zh-CN"/>
              </w:rPr>
              <w:t>(7,10]</w:t>
            </w:r>
          </w:p>
        </w:tc>
      </w:tr>
      <w:tr w14:paraId="2A6C160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3477" w:type="pct"/>
            <w:tcBorders>
              <w:top w:val="single" w:color="auto" w:sz="4" w:space="0"/>
              <w:bottom w:val="single" w:color="auto" w:sz="4" w:space="0"/>
            </w:tcBorders>
            <w:vAlign w:val="center"/>
          </w:tcPr>
          <w:p w14:paraId="098A4C58">
            <w:pPr>
              <w:pStyle w:val="26"/>
              <w:keepNext w:val="0"/>
              <w:keepLines w:val="0"/>
              <w:widowControl/>
              <w:suppressLineNumbers w:val="0"/>
              <w:spacing w:before="0" w:beforeAutospacing="0" w:after="0" w:afterAutospacing="0"/>
              <w:ind w:left="0" w:right="0" w:firstLine="0" w:firstLineChars="0"/>
              <w:jc w:val="center"/>
              <w:rPr>
                <w:rFonts w:hint="default" w:hAnsi="宋体" w:cs="宋体"/>
                <w:sz w:val="18"/>
                <w:szCs w:val="18"/>
                <w:highlight w:val="none"/>
                <w:lang w:val="en-US" w:eastAsia="zh-CN"/>
              </w:rPr>
            </w:pPr>
            <w:r>
              <w:rPr>
                <w:rFonts w:hint="eastAsia" w:hAnsi="宋体" w:cs="宋体"/>
                <w:sz w:val="18"/>
                <w:szCs w:val="18"/>
                <w:highlight w:val="none"/>
                <w:lang w:val="en-US" w:eastAsia="zh-CN"/>
              </w:rPr>
              <w:t>工艺设备材料绿色化程度中等</w:t>
            </w:r>
          </w:p>
        </w:tc>
        <w:tc>
          <w:tcPr>
            <w:tcW w:w="1522" w:type="pct"/>
            <w:tcBorders>
              <w:top w:val="single" w:color="auto" w:sz="4" w:space="0"/>
              <w:bottom w:val="single" w:color="auto" w:sz="4" w:space="0"/>
            </w:tcBorders>
            <w:vAlign w:val="center"/>
          </w:tcPr>
          <w:p w14:paraId="21ECC637">
            <w:pPr>
              <w:pStyle w:val="26"/>
              <w:keepNext w:val="0"/>
              <w:keepLines w:val="0"/>
              <w:widowControl/>
              <w:suppressLineNumbers w:val="0"/>
              <w:spacing w:before="0" w:beforeAutospacing="0" w:after="0" w:afterAutospacing="0"/>
              <w:ind w:left="0" w:right="0" w:firstLine="0" w:firstLineChars="0"/>
              <w:jc w:val="center"/>
              <w:rPr>
                <w:rFonts w:hint="eastAsia" w:hAnsi="宋体" w:cs="宋体"/>
                <w:sz w:val="18"/>
                <w:szCs w:val="18"/>
                <w:highlight w:val="none"/>
              </w:rPr>
            </w:pPr>
            <w:r>
              <w:rPr>
                <w:rFonts w:hint="eastAsia" w:hAnsi="宋体" w:cs="宋体"/>
                <w:sz w:val="18"/>
                <w:szCs w:val="18"/>
                <w:highlight w:val="none"/>
                <w:lang w:val="en-US" w:eastAsia="zh-CN"/>
              </w:rPr>
              <w:t>(4,7]</w:t>
            </w:r>
          </w:p>
        </w:tc>
      </w:tr>
      <w:tr w14:paraId="209D402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3477" w:type="pct"/>
            <w:tcBorders>
              <w:top w:val="single" w:color="auto" w:sz="4" w:space="0"/>
            </w:tcBorders>
            <w:vAlign w:val="center"/>
          </w:tcPr>
          <w:p w14:paraId="5B33DB04">
            <w:pPr>
              <w:pStyle w:val="26"/>
              <w:keepNext w:val="0"/>
              <w:keepLines w:val="0"/>
              <w:widowControl/>
              <w:suppressLineNumbers w:val="0"/>
              <w:spacing w:before="0" w:beforeAutospacing="0" w:after="0" w:afterAutospacing="0"/>
              <w:ind w:left="0" w:right="0" w:firstLine="0" w:firstLineChars="0"/>
              <w:jc w:val="center"/>
              <w:rPr>
                <w:rFonts w:hint="default" w:hAnsi="宋体" w:cs="宋体"/>
                <w:sz w:val="18"/>
                <w:szCs w:val="18"/>
                <w:highlight w:val="none"/>
                <w:lang w:val="en-US" w:eastAsia="zh-CN"/>
              </w:rPr>
            </w:pPr>
            <w:r>
              <w:rPr>
                <w:rFonts w:hint="eastAsia" w:hAnsi="宋体" w:cs="宋体"/>
                <w:sz w:val="18"/>
                <w:szCs w:val="18"/>
                <w:highlight w:val="none"/>
                <w:lang w:val="en-US" w:eastAsia="zh-CN"/>
              </w:rPr>
              <w:t>工艺设备材料绿色化程度一般</w:t>
            </w:r>
          </w:p>
        </w:tc>
        <w:tc>
          <w:tcPr>
            <w:tcW w:w="1522" w:type="pct"/>
            <w:tcBorders>
              <w:top w:val="single" w:color="auto" w:sz="4" w:space="0"/>
            </w:tcBorders>
            <w:vAlign w:val="center"/>
          </w:tcPr>
          <w:p w14:paraId="48481ECB">
            <w:pPr>
              <w:pStyle w:val="26"/>
              <w:keepNext w:val="0"/>
              <w:keepLines w:val="0"/>
              <w:widowControl/>
              <w:suppressLineNumbers w:val="0"/>
              <w:spacing w:before="0" w:beforeAutospacing="0" w:after="0" w:afterAutospacing="0"/>
              <w:ind w:left="0" w:right="0" w:firstLine="0" w:firstLineChars="0"/>
              <w:jc w:val="center"/>
              <w:rPr>
                <w:rFonts w:hint="eastAsia" w:hAnsi="宋体" w:cs="宋体"/>
                <w:sz w:val="18"/>
                <w:szCs w:val="18"/>
                <w:highlight w:val="none"/>
              </w:rPr>
            </w:pPr>
            <w:r>
              <w:rPr>
                <w:rFonts w:hint="eastAsia" w:hAnsi="宋体" w:cs="宋体"/>
                <w:sz w:val="18"/>
                <w:szCs w:val="18"/>
                <w:highlight w:val="none"/>
                <w:lang w:val="en-US" w:eastAsia="zh-CN"/>
              </w:rPr>
              <w:t>[0,4]</w:t>
            </w:r>
          </w:p>
        </w:tc>
      </w:tr>
    </w:tbl>
    <w:p w14:paraId="6CEDAFBD">
      <w:pPr>
        <w:pStyle w:val="56"/>
        <w:numPr>
          <w:ilvl w:val="3"/>
          <w:numId w:val="2"/>
        </w:numPr>
        <w:spacing w:before="156" w:after="156"/>
        <w:rPr>
          <w:rFonts w:ascii="Times New Roman"/>
          <w:highlight w:val="none"/>
        </w:rPr>
      </w:pPr>
      <w:r>
        <w:rPr>
          <w:rFonts w:hint="eastAsia"/>
          <w:highlight w:val="none"/>
          <w:lang w:val="en-US" w:eastAsia="zh-CN"/>
        </w:rPr>
        <w:t>污染物</w:t>
      </w:r>
      <w:r>
        <w:rPr>
          <w:highlight w:val="none"/>
        </w:rPr>
        <w:t>排放</w:t>
      </w:r>
      <w:r>
        <w:rPr>
          <w:rFonts w:hint="eastAsia"/>
          <w:highlight w:val="none"/>
        </w:rPr>
        <w:t>水平</w:t>
      </w:r>
    </w:p>
    <w:p w14:paraId="5FC903F6">
      <w:pPr>
        <w:pStyle w:val="26"/>
        <w:rPr>
          <w:rFonts w:hAnsi="宋体" w:cs="宋体"/>
          <w:highlight w:val="none"/>
        </w:rPr>
      </w:pPr>
      <w:r>
        <w:rPr>
          <w:rFonts w:hint="eastAsia" w:hAnsi="宋体" w:cs="宋体"/>
          <w:highlight w:val="none"/>
        </w:rPr>
        <w:t>从项目近一年自身生产运营过程向环境排放污染物的情况进行评价</w:t>
      </w:r>
      <w:r>
        <w:rPr>
          <w:rFonts w:hint="eastAsia" w:hAnsi="宋体" w:cs="宋体"/>
          <w:highlight w:val="none"/>
          <w:lang w:eastAsia="zh-CN"/>
        </w:rPr>
        <w:t>，</w:t>
      </w:r>
      <w:r>
        <w:rPr>
          <w:rFonts w:hint="eastAsia" w:ascii="宋体" w:hAnsi="宋体" w:eastAsia="宋体" w:cs="宋体"/>
          <w:highlight w:val="none"/>
          <w:lang w:val="en-US" w:eastAsia="zh-CN"/>
        </w:rPr>
        <w:t>具体评价内容</w:t>
      </w:r>
      <w:r>
        <w:rPr>
          <w:rFonts w:hint="eastAsia" w:hAnsi="宋体" w:cs="宋体"/>
          <w:highlight w:val="none"/>
          <w:lang w:val="en-US" w:eastAsia="zh-CN"/>
        </w:rPr>
        <w:t>见5.2.3.4，</w:t>
      </w:r>
      <w:r>
        <w:rPr>
          <w:rFonts w:hint="eastAsia" w:hAnsi="宋体" w:cs="宋体"/>
          <w:highlight w:val="none"/>
        </w:rPr>
        <w:t>具体评分规则见表</w:t>
      </w:r>
      <w:r>
        <w:rPr>
          <w:rFonts w:hint="eastAsia" w:hAnsi="宋体" w:cs="宋体"/>
          <w:highlight w:val="none"/>
          <w:lang w:val="en-US" w:eastAsia="zh-CN"/>
        </w:rPr>
        <w:t>23</w:t>
      </w:r>
      <w:r>
        <w:rPr>
          <w:rFonts w:hint="eastAsia" w:hAnsi="宋体" w:cs="宋体"/>
          <w:highlight w:val="none"/>
        </w:rPr>
        <w:t>。</w:t>
      </w:r>
    </w:p>
    <w:p w14:paraId="0C50CBF4">
      <w:pPr>
        <w:pStyle w:val="131"/>
        <w:ind w:left="0" w:firstLine="0"/>
        <w:rPr>
          <w:rFonts w:ascii="Times New Roman"/>
          <w:highlight w:val="none"/>
        </w:rPr>
      </w:pPr>
      <w:r>
        <w:rPr>
          <w:rFonts w:hint="eastAsia" w:ascii="Times New Roman"/>
          <w:highlight w:val="none"/>
        </w:rPr>
        <w:t>污染物</w:t>
      </w:r>
      <w:r>
        <w:rPr>
          <w:rFonts w:ascii="Times New Roman"/>
          <w:highlight w:val="none"/>
        </w:rPr>
        <w:t>排放</w:t>
      </w:r>
      <w:r>
        <w:rPr>
          <w:rFonts w:hint="eastAsia" w:ascii="Times New Roman"/>
          <w:highlight w:val="none"/>
        </w:rPr>
        <w:t>水平</w:t>
      </w:r>
      <w:r>
        <w:rPr>
          <w:rFonts w:ascii="Times New Roman"/>
          <w:highlight w:val="none"/>
        </w:rPr>
        <w:t>评分规则表</w:t>
      </w:r>
    </w:p>
    <w:tbl>
      <w:tblPr>
        <w:tblStyle w:val="36"/>
        <w:tblW w:w="4994"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8385"/>
        <w:gridCol w:w="1174"/>
      </w:tblGrid>
      <w:tr w14:paraId="3B2E8BE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385" w:type="pct"/>
            <w:tcBorders>
              <w:bottom w:val="single" w:color="auto" w:sz="12" w:space="0"/>
            </w:tcBorders>
            <w:vAlign w:val="center"/>
          </w:tcPr>
          <w:p w14:paraId="411F6D69">
            <w:pPr>
              <w:pStyle w:val="26"/>
              <w:keepNext w:val="0"/>
              <w:keepLines w:val="0"/>
              <w:widowControl/>
              <w:suppressLineNumbers w:val="0"/>
              <w:spacing w:before="0" w:beforeAutospacing="0" w:after="0" w:afterAutospacing="0"/>
              <w:ind w:left="0" w:right="0" w:firstLine="0" w:firstLineChars="0"/>
              <w:jc w:val="center"/>
              <w:rPr>
                <w:rFonts w:hint="default" w:ascii="Times New Roman"/>
                <w:b/>
                <w:bCs/>
                <w:sz w:val="18"/>
                <w:szCs w:val="18"/>
                <w:highlight w:val="none"/>
              </w:rPr>
            </w:pPr>
            <w:r>
              <w:rPr>
                <w:rFonts w:hint="default" w:ascii="Times New Roman"/>
                <w:b/>
                <w:bCs/>
                <w:sz w:val="18"/>
                <w:szCs w:val="18"/>
                <w:highlight w:val="none"/>
              </w:rPr>
              <w:t>污染物排放水平</w:t>
            </w:r>
          </w:p>
        </w:tc>
        <w:tc>
          <w:tcPr>
            <w:tcW w:w="614" w:type="pct"/>
            <w:tcBorders>
              <w:bottom w:val="single" w:color="auto" w:sz="12" w:space="0"/>
            </w:tcBorders>
            <w:vAlign w:val="center"/>
          </w:tcPr>
          <w:p w14:paraId="6FD2273A">
            <w:pPr>
              <w:pStyle w:val="26"/>
              <w:keepNext w:val="0"/>
              <w:keepLines w:val="0"/>
              <w:widowControl/>
              <w:suppressLineNumbers w:val="0"/>
              <w:spacing w:before="0" w:beforeAutospacing="0" w:after="0" w:afterAutospacing="0"/>
              <w:ind w:left="0" w:right="0" w:firstLine="0" w:firstLineChars="0"/>
              <w:jc w:val="center"/>
              <w:rPr>
                <w:rFonts w:hint="default" w:ascii="Times New Roman"/>
                <w:b/>
                <w:bCs/>
                <w:sz w:val="18"/>
                <w:szCs w:val="18"/>
                <w:highlight w:val="none"/>
              </w:rPr>
            </w:pPr>
            <w:r>
              <w:rPr>
                <w:rFonts w:hint="default" w:ascii="Times New Roman"/>
                <w:b/>
                <w:bCs/>
                <w:sz w:val="18"/>
                <w:szCs w:val="18"/>
                <w:highlight w:val="none"/>
              </w:rPr>
              <w:t>分值</w:t>
            </w:r>
            <w:r>
              <w:rPr>
                <w:rFonts w:hint="eastAsia" w:ascii="Times New Roman"/>
                <w:b/>
                <w:bCs/>
                <w:sz w:val="18"/>
                <w:szCs w:val="18"/>
                <w:highlight w:val="none"/>
              </w:rPr>
              <w:t>（分）</w:t>
            </w:r>
          </w:p>
        </w:tc>
      </w:tr>
      <w:tr w14:paraId="07647F0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385" w:type="pct"/>
            <w:tcBorders>
              <w:top w:val="single" w:color="auto" w:sz="12" w:space="0"/>
              <w:tl2br w:val="nil"/>
              <w:tr2bl w:val="nil"/>
            </w:tcBorders>
            <w:vAlign w:val="center"/>
          </w:tcPr>
          <w:p w14:paraId="62AA71D3">
            <w:pPr>
              <w:pStyle w:val="26"/>
              <w:keepNext w:val="0"/>
              <w:keepLines w:val="0"/>
              <w:widowControl/>
              <w:suppressLineNumbers w:val="0"/>
              <w:spacing w:before="0" w:beforeAutospacing="0" w:after="0" w:afterAutospacing="0"/>
              <w:ind w:left="0" w:right="0" w:firstLine="0" w:firstLineChars="0"/>
              <w:rPr>
                <w:rFonts w:hint="default" w:hAnsi="宋体" w:cs="宋体"/>
                <w:sz w:val="18"/>
                <w:szCs w:val="18"/>
                <w:highlight w:val="none"/>
              </w:rPr>
            </w:pPr>
            <w:r>
              <w:rPr>
                <w:rFonts w:hint="eastAsia" w:hAnsi="宋体" w:cs="宋体"/>
                <w:sz w:val="18"/>
                <w:szCs w:val="18"/>
                <w:highlight w:val="none"/>
              </w:rPr>
              <w:t>不排放污染物，或根据排污许可相关管理条例实行排污登记管理，或需控制的污染物有80%的种类优于排污许可证限值20%，或优于排放源所在地同类行业污染物排放限值20%</w:t>
            </w:r>
          </w:p>
        </w:tc>
        <w:tc>
          <w:tcPr>
            <w:tcW w:w="614" w:type="pct"/>
            <w:tcBorders>
              <w:top w:val="single" w:color="auto" w:sz="12" w:space="0"/>
              <w:tl2br w:val="nil"/>
              <w:tr2bl w:val="nil"/>
            </w:tcBorders>
            <w:vAlign w:val="center"/>
          </w:tcPr>
          <w:p w14:paraId="1506A15F">
            <w:pPr>
              <w:pStyle w:val="26"/>
              <w:keepNext w:val="0"/>
              <w:keepLines w:val="0"/>
              <w:widowControl/>
              <w:suppressLineNumbers w:val="0"/>
              <w:spacing w:before="0" w:beforeAutospacing="0" w:after="0" w:afterAutospacing="0"/>
              <w:ind w:left="0" w:right="0" w:firstLine="0" w:firstLineChars="0"/>
              <w:jc w:val="center"/>
              <w:rPr>
                <w:rFonts w:hint="eastAsia" w:hAnsi="宋体" w:eastAsia="宋体" w:cs="宋体"/>
                <w:sz w:val="18"/>
                <w:szCs w:val="18"/>
                <w:highlight w:val="none"/>
                <w:lang w:eastAsia="zh-CN"/>
              </w:rPr>
            </w:pPr>
            <w:r>
              <w:rPr>
                <w:rFonts w:hint="eastAsia" w:hAnsi="宋体" w:cs="宋体"/>
                <w:sz w:val="18"/>
                <w:szCs w:val="18"/>
                <w:highlight w:val="none"/>
              </w:rPr>
              <w:t>(</w:t>
            </w:r>
            <w:r>
              <w:rPr>
                <w:rFonts w:hint="eastAsia" w:hAnsi="宋体" w:cs="宋体"/>
                <w:sz w:val="18"/>
                <w:szCs w:val="18"/>
                <w:highlight w:val="none"/>
                <w:lang w:val="en-US" w:eastAsia="zh-CN"/>
              </w:rPr>
              <w:t>5</w:t>
            </w:r>
            <w:r>
              <w:rPr>
                <w:rFonts w:hint="eastAsia" w:hAnsi="宋体" w:cs="宋体"/>
                <w:sz w:val="18"/>
                <w:szCs w:val="18"/>
                <w:highlight w:val="none"/>
              </w:rPr>
              <w:t>,</w:t>
            </w:r>
            <w:r>
              <w:rPr>
                <w:rFonts w:hint="eastAsia" w:hAnsi="宋体" w:cs="宋体"/>
                <w:sz w:val="18"/>
                <w:szCs w:val="18"/>
                <w:highlight w:val="none"/>
                <w:lang w:val="en-US" w:eastAsia="zh-CN"/>
              </w:rPr>
              <w:t>10</w:t>
            </w:r>
            <w:r>
              <w:rPr>
                <w:rFonts w:hint="eastAsia" w:hAnsi="宋体" w:cs="宋体"/>
                <w:sz w:val="18"/>
                <w:szCs w:val="18"/>
                <w:highlight w:val="none"/>
              </w:rPr>
              <w:t>]</w:t>
            </w:r>
          </w:p>
        </w:tc>
      </w:tr>
      <w:tr w14:paraId="1019FCE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385" w:type="pct"/>
            <w:tcBorders>
              <w:tl2br w:val="nil"/>
              <w:tr2bl w:val="nil"/>
            </w:tcBorders>
            <w:vAlign w:val="center"/>
          </w:tcPr>
          <w:p w14:paraId="7C2002A9">
            <w:pPr>
              <w:pStyle w:val="26"/>
              <w:keepNext w:val="0"/>
              <w:keepLines w:val="0"/>
              <w:widowControl/>
              <w:suppressLineNumbers w:val="0"/>
              <w:spacing w:before="0" w:beforeAutospacing="0" w:after="0" w:afterAutospacing="0"/>
              <w:ind w:left="0" w:right="0" w:firstLine="0" w:firstLineChars="0"/>
              <w:rPr>
                <w:rFonts w:hint="default" w:hAnsi="宋体" w:cs="宋体"/>
                <w:sz w:val="18"/>
                <w:szCs w:val="18"/>
                <w:highlight w:val="none"/>
              </w:rPr>
            </w:pPr>
            <w:r>
              <w:rPr>
                <w:rFonts w:hint="eastAsia" w:hAnsi="宋体" w:cs="宋体"/>
                <w:sz w:val="18"/>
                <w:szCs w:val="18"/>
                <w:highlight w:val="none"/>
              </w:rPr>
              <w:t>需控制的污染物有80%的种类优于排污许可证限值10%，或优于排放源所在地同类行业污染物排放限值10%</w:t>
            </w:r>
          </w:p>
        </w:tc>
        <w:tc>
          <w:tcPr>
            <w:tcW w:w="614" w:type="pct"/>
            <w:tcBorders>
              <w:tl2br w:val="nil"/>
              <w:tr2bl w:val="nil"/>
            </w:tcBorders>
            <w:vAlign w:val="center"/>
          </w:tcPr>
          <w:p w14:paraId="44A682F7">
            <w:pPr>
              <w:pStyle w:val="26"/>
              <w:keepNext w:val="0"/>
              <w:keepLines w:val="0"/>
              <w:widowControl/>
              <w:suppressLineNumbers w:val="0"/>
              <w:spacing w:before="0" w:beforeAutospacing="0" w:after="0" w:afterAutospacing="0"/>
              <w:ind w:left="0" w:right="0" w:firstLine="0" w:firstLineChars="0"/>
              <w:jc w:val="center"/>
              <w:rPr>
                <w:rFonts w:hint="eastAsia" w:hAnsi="宋体" w:eastAsia="宋体" w:cs="宋体"/>
                <w:sz w:val="18"/>
                <w:szCs w:val="18"/>
                <w:highlight w:val="none"/>
                <w:lang w:eastAsia="zh-CN"/>
              </w:rPr>
            </w:pPr>
            <w:r>
              <w:rPr>
                <w:rFonts w:hint="eastAsia" w:hAnsi="宋体" w:cs="宋体"/>
                <w:sz w:val="18"/>
                <w:szCs w:val="18"/>
                <w:highlight w:val="none"/>
                <w:lang w:val="en-US" w:eastAsia="zh-CN"/>
              </w:rPr>
              <w:t>(0,5]</w:t>
            </w:r>
          </w:p>
        </w:tc>
      </w:tr>
      <w:tr w14:paraId="66F45DA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4385" w:type="pct"/>
            <w:tcBorders>
              <w:tl2br w:val="nil"/>
              <w:tr2bl w:val="nil"/>
            </w:tcBorders>
            <w:vAlign w:val="center"/>
          </w:tcPr>
          <w:p w14:paraId="082DA106">
            <w:pPr>
              <w:pStyle w:val="26"/>
              <w:keepNext w:val="0"/>
              <w:keepLines w:val="0"/>
              <w:widowControl/>
              <w:suppressLineNumbers w:val="0"/>
              <w:spacing w:before="0" w:beforeAutospacing="0" w:after="0" w:afterAutospacing="0"/>
              <w:ind w:left="0" w:right="0" w:firstLine="0" w:firstLineChars="0"/>
              <w:rPr>
                <w:rFonts w:hint="default" w:hAnsi="宋体" w:cs="宋体"/>
                <w:sz w:val="18"/>
                <w:szCs w:val="18"/>
                <w:highlight w:val="none"/>
              </w:rPr>
            </w:pPr>
            <w:r>
              <w:rPr>
                <w:rFonts w:hint="eastAsia" w:hAnsi="宋体" w:cs="宋体"/>
                <w:sz w:val="18"/>
                <w:szCs w:val="18"/>
                <w:highlight w:val="none"/>
              </w:rPr>
              <w:t>不满足上述任何一项</w:t>
            </w:r>
          </w:p>
        </w:tc>
        <w:tc>
          <w:tcPr>
            <w:tcW w:w="614" w:type="pct"/>
            <w:tcBorders>
              <w:tl2br w:val="nil"/>
              <w:tr2bl w:val="nil"/>
            </w:tcBorders>
            <w:vAlign w:val="center"/>
          </w:tcPr>
          <w:p w14:paraId="7ED9ADA9">
            <w:pPr>
              <w:pStyle w:val="26"/>
              <w:keepNext w:val="0"/>
              <w:keepLines w:val="0"/>
              <w:widowControl/>
              <w:suppressLineNumbers w:val="0"/>
              <w:spacing w:before="0" w:beforeAutospacing="0" w:after="0" w:afterAutospacing="0"/>
              <w:ind w:left="0" w:right="0" w:firstLine="0" w:firstLineChars="0"/>
              <w:jc w:val="center"/>
              <w:rPr>
                <w:rFonts w:hint="default" w:hAnsi="宋体" w:cs="宋体"/>
                <w:sz w:val="18"/>
                <w:szCs w:val="18"/>
                <w:highlight w:val="none"/>
              </w:rPr>
            </w:pPr>
            <w:r>
              <w:rPr>
                <w:rFonts w:hint="eastAsia" w:hAnsi="宋体" w:cs="宋体"/>
                <w:sz w:val="18"/>
                <w:szCs w:val="18"/>
                <w:highlight w:val="none"/>
              </w:rPr>
              <w:t>0</w:t>
            </w:r>
          </w:p>
        </w:tc>
      </w:tr>
    </w:tbl>
    <w:p w14:paraId="134F05EE">
      <w:pPr>
        <w:pStyle w:val="50"/>
        <w:outlineLvl w:val="0"/>
        <w:rPr>
          <w:rFonts w:ascii="Times New Roman"/>
          <w:highlight w:val="none"/>
        </w:rPr>
      </w:pPr>
      <w:bookmarkStart w:id="91" w:name="_Toc17639"/>
      <w:bookmarkStart w:id="92" w:name="_Toc24683"/>
      <w:r>
        <w:rPr>
          <w:rFonts w:ascii="Times New Roman"/>
          <w:highlight w:val="none"/>
        </w:rPr>
        <w:t>评价程序</w:t>
      </w:r>
      <w:bookmarkEnd w:id="88"/>
      <w:bookmarkEnd w:id="91"/>
      <w:bookmarkEnd w:id="92"/>
    </w:p>
    <w:p w14:paraId="1B9A21FB">
      <w:pPr>
        <w:pStyle w:val="47"/>
        <w:outlineLvl w:val="1"/>
        <w:rPr>
          <w:rFonts w:ascii="Times New Roman"/>
          <w:highlight w:val="none"/>
        </w:rPr>
      </w:pPr>
      <w:bookmarkStart w:id="93" w:name="_Toc28998"/>
      <w:bookmarkStart w:id="94" w:name="_Toc17600"/>
      <w:bookmarkStart w:id="95" w:name="_Toc19162"/>
      <w:r>
        <w:rPr>
          <w:rFonts w:ascii="Times New Roman"/>
          <w:highlight w:val="none"/>
        </w:rPr>
        <w:t>成立工作组</w:t>
      </w:r>
      <w:bookmarkEnd w:id="93"/>
      <w:bookmarkEnd w:id="94"/>
      <w:bookmarkEnd w:id="95"/>
    </w:p>
    <w:p w14:paraId="66B88192">
      <w:pPr>
        <w:ind w:firstLine="420" w:firstLineChars="200"/>
        <w:rPr>
          <w:highlight w:val="none"/>
        </w:rPr>
      </w:pPr>
      <w:r>
        <w:rPr>
          <w:rFonts w:hint="eastAsia"/>
          <w:highlight w:val="none"/>
          <w:lang w:val="en-US" w:eastAsia="zh-CN"/>
        </w:rPr>
        <w:t>企事业单位或项目主体</w:t>
      </w:r>
      <w:r>
        <w:rPr>
          <w:rFonts w:hint="eastAsia"/>
          <w:highlight w:val="none"/>
        </w:rPr>
        <w:t>成立</w:t>
      </w:r>
      <w:r>
        <w:rPr>
          <w:rFonts w:hint="eastAsia"/>
          <w:highlight w:val="none"/>
          <w:lang w:eastAsia="zh-CN"/>
        </w:rPr>
        <w:t>绿色低碳产业</w:t>
      </w:r>
      <w:r>
        <w:rPr>
          <w:rFonts w:hint="eastAsia"/>
          <w:highlight w:val="none"/>
        </w:rPr>
        <w:t>认定</w:t>
      </w:r>
      <w:r>
        <w:rPr>
          <w:rFonts w:hint="eastAsia"/>
          <w:highlight w:val="none"/>
          <w:lang w:val="en-US" w:eastAsia="zh-CN"/>
        </w:rPr>
        <w:t>申报</w:t>
      </w:r>
      <w:r>
        <w:rPr>
          <w:rFonts w:hint="eastAsia"/>
          <w:highlight w:val="none"/>
        </w:rPr>
        <w:t>工作组，负责具体协调、组织和实施</w:t>
      </w:r>
      <w:r>
        <w:rPr>
          <w:rFonts w:hint="eastAsia"/>
          <w:highlight w:val="none"/>
          <w:lang w:eastAsia="zh-CN"/>
        </w:rPr>
        <w:t>绿色低碳产业</w:t>
      </w:r>
      <w:r>
        <w:rPr>
          <w:rFonts w:hint="eastAsia"/>
          <w:highlight w:val="none"/>
        </w:rPr>
        <w:t>认定</w:t>
      </w:r>
      <w:r>
        <w:rPr>
          <w:rFonts w:hint="eastAsia"/>
          <w:highlight w:val="none"/>
          <w:lang w:val="en-US" w:eastAsia="zh-CN"/>
        </w:rPr>
        <w:t>申报</w:t>
      </w:r>
      <w:r>
        <w:rPr>
          <w:rFonts w:hint="eastAsia"/>
          <w:highlight w:val="none"/>
        </w:rPr>
        <w:t>工作。要求工作组成员</w:t>
      </w:r>
      <w:r>
        <w:rPr>
          <w:rFonts w:hint="eastAsia"/>
          <w:highlight w:val="none"/>
          <w:lang w:val="en-US" w:eastAsia="zh-CN"/>
        </w:rPr>
        <w:t>应满足以下条件</w:t>
      </w:r>
      <w:r>
        <w:rPr>
          <w:rFonts w:hint="eastAsia"/>
          <w:highlight w:val="none"/>
        </w:rPr>
        <w:t>：</w:t>
      </w:r>
    </w:p>
    <w:p w14:paraId="21FF0C56">
      <w:pPr>
        <w:ind w:firstLine="420" w:firstLineChars="200"/>
        <w:rPr>
          <w:highlight w:val="none"/>
        </w:rPr>
      </w:pPr>
      <w:r>
        <w:rPr>
          <w:rFonts w:hint="eastAsia"/>
          <w:highlight w:val="none"/>
        </w:rPr>
        <w:t>——具有</w:t>
      </w:r>
      <w:r>
        <w:rPr>
          <w:rFonts w:hint="eastAsia"/>
          <w:highlight w:val="none"/>
          <w:lang w:eastAsia="zh-CN"/>
        </w:rPr>
        <w:t>温室气体控制</w:t>
      </w:r>
      <w:r>
        <w:rPr>
          <w:rFonts w:hint="eastAsia"/>
          <w:highlight w:val="none"/>
        </w:rPr>
        <w:t>、环境、财务等相关专业背景；</w:t>
      </w:r>
    </w:p>
    <w:p w14:paraId="4E5B8DC9">
      <w:pPr>
        <w:ind w:firstLine="420" w:firstLineChars="200"/>
        <w:rPr>
          <w:highlight w:val="none"/>
        </w:rPr>
      </w:pPr>
      <w:r>
        <w:rPr>
          <w:rFonts w:hint="eastAsia"/>
          <w:highlight w:val="none"/>
        </w:rPr>
        <w:t>——熟悉掌握</w:t>
      </w:r>
      <w:r>
        <w:rPr>
          <w:rFonts w:hint="eastAsia"/>
          <w:highlight w:val="none"/>
          <w:lang w:eastAsia="zh-CN"/>
        </w:rPr>
        <w:t>绿色低碳产业</w:t>
      </w:r>
      <w:r>
        <w:rPr>
          <w:rFonts w:hint="eastAsia"/>
          <w:highlight w:val="none"/>
        </w:rPr>
        <w:t>认定评价方法和步骤；</w:t>
      </w:r>
    </w:p>
    <w:p w14:paraId="3A1AB8DF">
      <w:pPr>
        <w:ind w:firstLine="420" w:firstLineChars="200"/>
        <w:rPr>
          <w:highlight w:val="none"/>
        </w:rPr>
      </w:pPr>
      <w:r>
        <w:rPr>
          <w:rFonts w:hint="eastAsia"/>
          <w:highlight w:val="none"/>
        </w:rPr>
        <w:t>——具备良好的沟通协调能力和文字表达能力。</w:t>
      </w:r>
    </w:p>
    <w:p w14:paraId="071EA915">
      <w:pPr>
        <w:pStyle w:val="47"/>
        <w:outlineLvl w:val="1"/>
        <w:rPr>
          <w:rFonts w:ascii="Times New Roman"/>
          <w:highlight w:val="none"/>
        </w:rPr>
      </w:pPr>
      <w:bookmarkStart w:id="96" w:name="_Toc17475"/>
      <w:bookmarkStart w:id="97" w:name="_Toc16448"/>
      <w:r>
        <w:rPr>
          <w:rFonts w:hint="eastAsia" w:ascii="Times New Roman"/>
          <w:highlight w:val="none"/>
        </w:rPr>
        <w:t>收集材料</w:t>
      </w:r>
      <w:bookmarkEnd w:id="96"/>
      <w:bookmarkEnd w:id="97"/>
    </w:p>
    <w:p w14:paraId="51DF54A2">
      <w:pPr>
        <w:pStyle w:val="26"/>
        <w:rPr>
          <w:rFonts w:hint="eastAsia"/>
          <w:highlight w:val="none"/>
        </w:rPr>
      </w:pPr>
      <w:r>
        <w:rPr>
          <w:rFonts w:hint="eastAsia"/>
          <w:highlight w:val="none"/>
          <w:lang w:val="en-US" w:eastAsia="zh-CN"/>
        </w:rPr>
        <w:t>企事业单位或项目主体开展温室气体控制领域</w:t>
      </w:r>
      <w:r>
        <w:rPr>
          <w:rFonts w:hint="eastAsia"/>
          <w:highlight w:val="none"/>
          <w:lang w:eastAsia="zh-CN"/>
        </w:rPr>
        <w:t>绿色低碳产业</w:t>
      </w:r>
      <w:r>
        <w:rPr>
          <w:rFonts w:hint="eastAsia"/>
          <w:highlight w:val="none"/>
        </w:rPr>
        <w:t>认定评价应收集的信息和文件资料见表</w:t>
      </w:r>
      <w:r>
        <w:rPr>
          <w:rFonts w:hint="eastAsia"/>
          <w:highlight w:val="none"/>
          <w:lang w:val="en-US" w:eastAsia="zh-CN"/>
        </w:rPr>
        <w:t>24</w:t>
      </w:r>
      <w:r>
        <w:rPr>
          <w:rFonts w:hint="eastAsia"/>
          <w:highlight w:val="none"/>
          <w:lang w:eastAsia="zh-CN"/>
        </w:rPr>
        <w:t>、</w:t>
      </w:r>
      <w:r>
        <w:rPr>
          <w:highlight w:val="none"/>
        </w:rPr>
        <w:t>表</w:t>
      </w:r>
      <w:r>
        <w:rPr>
          <w:rFonts w:hint="eastAsia"/>
          <w:highlight w:val="none"/>
          <w:lang w:val="en-US" w:eastAsia="zh-CN"/>
        </w:rPr>
        <w:t>25、表26和表27</w:t>
      </w:r>
      <w:r>
        <w:rPr>
          <w:rFonts w:hint="eastAsia"/>
          <w:highlight w:val="none"/>
        </w:rPr>
        <w:t>。</w:t>
      </w:r>
    </w:p>
    <w:p w14:paraId="18430214">
      <w:pPr>
        <w:numPr>
          <w:ilvl w:val="0"/>
          <w:numId w:val="17"/>
        </w:numPr>
        <w:spacing w:before="156" w:beforeLines="50" w:after="156" w:afterLines="50"/>
        <w:jc w:val="center"/>
        <w:rPr>
          <w:highlight w:val="none"/>
        </w:rPr>
      </w:pPr>
      <w:r>
        <w:rPr>
          <w:rFonts w:hint="eastAsia" w:eastAsia="黑体"/>
          <w:highlight w:val="none"/>
          <w:lang w:val="en-US" w:eastAsia="zh-CN"/>
        </w:rPr>
        <w:t>温室气体控制领域</w:t>
      </w:r>
      <w:r>
        <w:rPr>
          <w:rFonts w:hint="eastAsia" w:eastAsia="黑体"/>
          <w:highlight w:val="none"/>
          <w:lang w:eastAsia="zh-CN"/>
        </w:rPr>
        <w:t>绿色低碳产业</w:t>
      </w:r>
      <w:r>
        <w:rPr>
          <w:rFonts w:hint="eastAsia" w:eastAsia="黑体"/>
          <w:highlight w:val="none"/>
          <w:lang w:val="en-US" w:eastAsia="zh-CN"/>
        </w:rPr>
        <w:t>企业认定</w:t>
      </w:r>
      <w:r>
        <w:rPr>
          <w:rFonts w:hint="eastAsia" w:eastAsia="黑体"/>
          <w:highlight w:val="none"/>
        </w:rPr>
        <w:t>符合性评价证明材料</w:t>
      </w:r>
    </w:p>
    <w:tbl>
      <w:tblPr>
        <w:tblStyle w:val="37"/>
        <w:tblW w:w="4994" w:type="pct"/>
        <w:jc w:val="center"/>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autofit"/>
        <w:tblCellMar>
          <w:top w:w="0" w:type="dxa"/>
          <w:left w:w="108" w:type="dxa"/>
          <w:bottom w:w="0" w:type="dxa"/>
          <w:right w:w="108" w:type="dxa"/>
        </w:tblCellMar>
      </w:tblPr>
      <w:tblGrid>
        <w:gridCol w:w="1094"/>
        <w:gridCol w:w="5698"/>
        <w:gridCol w:w="2767"/>
      </w:tblGrid>
      <w:tr w14:paraId="5B8191A4">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23" w:hRule="atLeast"/>
          <w:tblHeader/>
          <w:jc w:val="center"/>
        </w:trPr>
        <w:tc>
          <w:tcPr>
            <w:tcW w:w="572" w:type="pct"/>
            <w:tcBorders>
              <w:bottom w:val="single" w:color="000000" w:sz="12" w:space="0"/>
            </w:tcBorders>
            <w:vAlign w:val="center"/>
          </w:tcPr>
          <w:p w14:paraId="2C3ABD5B">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b/>
                <w:kern w:val="0"/>
                <w:sz w:val="18"/>
                <w:szCs w:val="18"/>
                <w:highlight w:val="none"/>
              </w:rPr>
            </w:pPr>
            <w:r>
              <w:rPr>
                <w:rFonts w:hint="eastAsia" w:ascii="宋体"/>
                <w:b/>
                <w:kern w:val="0"/>
                <w:sz w:val="18"/>
                <w:szCs w:val="18"/>
                <w:highlight w:val="none"/>
              </w:rPr>
              <w:t>指标</w:t>
            </w:r>
          </w:p>
        </w:tc>
        <w:tc>
          <w:tcPr>
            <w:tcW w:w="2980" w:type="pct"/>
            <w:tcBorders>
              <w:bottom w:val="single" w:color="000000" w:sz="12" w:space="0"/>
            </w:tcBorders>
            <w:vAlign w:val="center"/>
          </w:tcPr>
          <w:p w14:paraId="71343D65">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b/>
                <w:kern w:val="0"/>
                <w:sz w:val="18"/>
                <w:szCs w:val="18"/>
                <w:highlight w:val="none"/>
              </w:rPr>
            </w:pPr>
            <w:r>
              <w:rPr>
                <w:rFonts w:hint="eastAsia" w:ascii="宋体"/>
                <w:b/>
                <w:kern w:val="0"/>
                <w:sz w:val="18"/>
                <w:szCs w:val="18"/>
                <w:highlight w:val="none"/>
              </w:rPr>
              <w:t>评价内容</w:t>
            </w:r>
          </w:p>
        </w:tc>
        <w:tc>
          <w:tcPr>
            <w:tcW w:w="1447" w:type="pct"/>
            <w:tcBorders>
              <w:bottom w:val="single" w:color="000000" w:sz="12" w:space="0"/>
            </w:tcBorders>
            <w:vAlign w:val="center"/>
          </w:tcPr>
          <w:p w14:paraId="6E6270D8">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b/>
                <w:kern w:val="0"/>
                <w:sz w:val="18"/>
                <w:szCs w:val="18"/>
                <w:highlight w:val="none"/>
              </w:rPr>
            </w:pPr>
            <w:r>
              <w:rPr>
                <w:rFonts w:hint="default" w:ascii="宋体"/>
                <w:b/>
                <w:kern w:val="0"/>
                <w:sz w:val="18"/>
                <w:szCs w:val="18"/>
                <w:highlight w:val="none"/>
              </w:rPr>
              <w:t>证明材料</w:t>
            </w:r>
          </w:p>
        </w:tc>
      </w:tr>
      <w:tr w14:paraId="7E02248B">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572" w:type="pct"/>
            <w:tcBorders>
              <w:top w:val="single" w:color="000000" w:sz="12" w:space="0"/>
              <w:tl2br w:val="nil"/>
              <w:tr2bl w:val="nil"/>
            </w:tcBorders>
            <w:vAlign w:val="center"/>
          </w:tcPr>
          <w:p w14:paraId="03FA0C2A">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kern w:val="0"/>
                <w:sz w:val="18"/>
                <w:szCs w:val="18"/>
                <w:highlight w:val="none"/>
              </w:rPr>
            </w:pPr>
            <w:r>
              <w:rPr>
                <w:rFonts w:hint="default" w:ascii="宋体"/>
                <w:kern w:val="0"/>
                <w:sz w:val="18"/>
                <w:szCs w:val="18"/>
                <w:highlight w:val="none"/>
              </w:rPr>
              <w:t>目录符合</w:t>
            </w:r>
          </w:p>
        </w:tc>
        <w:tc>
          <w:tcPr>
            <w:tcW w:w="2980" w:type="pct"/>
            <w:tcBorders>
              <w:top w:val="single" w:color="000000" w:sz="12" w:space="0"/>
              <w:tl2br w:val="nil"/>
              <w:tr2bl w:val="nil"/>
            </w:tcBorders>
            <w:vAlign w:val="center"/>
          </w:tcPr>
          <w:p w14:paraId="00B84F09">
            <w:pPr>
              <w:keepNext w:val="0"/>
              <w:keepLines w:val="0"/>
              <w:widowControl/>
              <w:suppressLineNumbers w:val="0"/>
              <w:tabs>
                <w:tab w:val="center" w:pos="4201"/>
                <w:tab w:val="right" w:leader="dot" w:pos="9298"/>
              </w:tabs>
              <w:autoSpaceDE w:val="0"/>
              <w:autoSpaceDN w:val="0"/>
              <w:spacing w:before="0" w:beforeAutospacing="0" w:after="0" w:afterAutospacing="0"/>
              <w:ind w:left="0" w:right="0"/>
              <w:rPr>
                <w:rFonts w:hint="default" w:ascii="宋体"/>
                <w:kern w:val="0"/>
                <w:sz w:val="18"/>
                <w:szCs w:val="18"/>
                <w:highlight w:val="none"/>
              </w:rPr>
            </w:pPr>
            <w:r>
              <w:rPr>
                <w:rFonts w:hint="eastAsia" w:ascii="宋体"/>
                <w:kern w:val="0"/>
                <w:sz w:val="18"/>
                <w:szCs w:val="18"/>
                <w:highlight w:val="none"/>
              </w:rPr>
              <w:t>申报认定评价的</w:t>
            </w:r>
            <w:r>
              <w:rPr>
                <w:rFonts w:hint="eastAsia" w:ascii="宋体"/>
                <w:kern w:val="0"/>
                <w:sz w:val="18"/>
                <w:szCs w:val="18"/>
                <w:highlight w:val="none"/>
                <w:lang w:val="en-US" w:eastAsia="zh-CN"/>
              </w:rPr>
              <w:t>绿色业务</w:t>
            </w:r>
            <w:r>
              <w:rPr>
                <w:rFonts w:hint="eastAsia" w:ascii="宋体"/>
                <w:kern w:val="0"/>
                <w:sz w:val="18"/>
                <w:szCs w:val="18"/>
                <w:highlight w:val="none"/>
              </w:rPr>
              <w:t>属于</w:t>
            </w:r>
            <w:r>
              <w:rPr>
                <w:rFonts w:hint="eastAsia" w:ascii="宋体"/>
                <w:kern w:val="0"/>
                <w:sz w:val="18"/>
                <w:szCs w:val="18"/>
                <w:highlight w:val="none"/>
                <w:lang w:val="en-US" w:eastAsia="zh-CN"/>
              </w:rPr>
              <w:t>温室气体控制领域</w:t>
            </w:r>
            <w:r>
              <w:rPr>
                <w:rFonts w:hint="eastAsia" w:ascii="宋体"/>
                <w:kern w:val="0"/>
                <w:sz w:val="18"/>
                <w:szCs w:val="18"/>
                <w:highlight w:val="none"/>
              </w:rPr>
              <w:t>，且其</w:t>
            </w:r>
            <w:r>
              <w:rPr>
                <w:rFonts w:hint="eastAsia" w:ascii="宋体"/>
                <w:kern w:val="0"/>
                <w:sz w:val="18"/>
                <w:szCs w:val="18"/>
                <w:highlight w:val="none"/>
                <w:lang w:val="en-US" w:eastAsia="zh-CN"/>
              </w:rPr>
              <w:t>温室气体控制领域</w:t>
            </w:r>
            <w:r>
              <w:rPr>
                <w:rFonts w:hint="eastAsia" w:ascii="宋体"/>
                <w:kern w:val="0"/>
                <w:sz w:val="18"/>
                <w:szCs w:val="18"/>
                <w:highlight w:val="none"/>
              </w:rPr>
              <w:t>绿色业务占比达到50%</w:t>
            </w:r>
            <w:r>
              <w:rPr>
                <w:rFonts w:hint="eastAsia" w:ascii="宋体"/>
                <w:kern w:val="0"/>
                <w:sz w:val="18"/>
                <w:szCs w:val="18"/>
                <w:highlight w:val="none"/>
                <w:lang w:val="en-US" w:eastAsia="zh-CN"/>
              </w:rPr>
              <w:t>及</w:t>
            </w:r>
            <w:r>
              <w:rPr>
                <w:rFonts w:hint="eastAsia" w:ascii="宋体"/>
                <w:kern w:val="0"/>
                <w:sz w:val="18"/>
                <w:szCs w:val="18"/>
                <w:highlight w:val="none"/>
              </w:rPr>
              <w:t>以上</w:t>
            </w:r>
            <w:r>
              <w:rPr>
                <w:rFonts w:hint="eastAsia" w:ascii="宋体"/>
                <w:kern w:val="0"/>
                <w:sz w:val="18"/>
                <w:szCs w:val="18"/>
                <w:highlight w:val="none"/>
                <w:lang w:eastAsia="zh-CN"/>
              </w:rPr>
              <w:t>，</w:t>
            </w:r>
            <w:r>
              <w:rPr>
                <w:rFonts w:hint="eastAsia" w:ascii="宋体"/>
                <w:kern w:val="0"/>
                <w:sz w:val="18"/>
                <w:szCs w:val="18"/>
                <w:highlight w:val="none"/>
              </w:rPr>
              <w:t>或</w:t>
            </w:r>
            <w:r>
              <w:rPr>
                <w:rFonts w:hint="eastAsia" w:ascii="宋体"/>
                <w:kern w:val="0"/>
                <w:sz w:val="18"/>
                <w:szCs w:val="18"/>
                <w:highlight w:val="none"/>
                <w:lang w:val="en-US" w:eastAsia="zh-CN"/>
              </w:rPr>
              <w:t>绿色业务</w:t>
            </w:r>
            <w:r>
              <w:rPr>
                <w:rFonts w:hint="eastAsia" w:ascii="宋体"/>
                <w:kern w:val="0"/>
                <w:sz w:val="18"/>
                <w:szCs w:val="18"/>
                <w:highlight w:val="none"/>
              </w:rPr>
              <w:t>规模达到1亿元</w:t>
            </w:r>
            <w:r>
              <w:rPr>
                <w:rFonts w:hint="eastAsia" w:ascii="宋体"/>
                <w:kern w:val="0"/>
                <w:sz w:val="18"/>
                <w:szCs w:val="18"/>
                <w:highlight w:val="none"/>
                <w:lang w:eastAsia="zh-CN"/>
              </w:rPr>
              <w:t>；</w:t>
            </w:r>
            <w:r>
              <w:rPr>
                <w:rFonts w:hint="eastAsia" w:ascii="宋体"/>
                <w:kern w:val="0"/>
                <w:sz w:val="18"/>
                <w:szCs w:val="18"/>
                <w:highlight w:val="none"/>
              </w:rPr>
              <w:t>或在</w:t>
            </w:r>
            <w:r>
              <w:rPr>
                <w:rFonts w:hint="eastAsia" w:ascii="宋体"/>
                <w:kern w:val="0"/>
                <w:sz w:val="18"/>
                <w:szCs w:val="18"/>
                <w:highlight w:val="none"/>
                <w:lang w:val="en-US" w:eastAsia="zh-CN"/>
              </w:rPr>
              <w:t>当地</w:t>
            </w:r>
            <w:r>
              <w:rPr>
                <w:rFonts w:hint="eastAsia" w:ascii="宋体"/>
                <w:kern w:val="0"/>
                <w:sz w:val="18"/>
                <w:szCs w:val="18"/>
                <w:highlight w:val="none"/>
              </w:rPr>
              <w:t>具备一定市场规模</w:t>
            </w:r>
            <w:r>
              <w:rPr>
                <w:rFonts w:hint="eastAsia" w:ascii="宋体"/>
                <w:kern w:val="0"/>
                <w:sz w:val="18"/>
                <w:szCs w:val="18"/>
                <w:highlight w:val="none"/>
                <w:lang w:eastAsia="zh-CN"/>
              </w:rPr>
              <w:t>、</w:t>
            </w:r>
            <w:r>
              <w:rPr>
                <w:rFonts w:hint="eastAsia" w:ascii="宋体"/>
                <w:kern w:val="0"/>
                <w:sz w:val="18"/>
                <w:szCs w:val="18"/>
                <w:highlight w:val="none"/>
              </w:rPr>
              <w:t>经</w:t>
            </w:r>
            <w:r>
              <w:rPr>
                <w:rFonts w:hint="eastAsia" w:ascii="宋体"/>
                <w:kern w:val="0"/>
                <w:sz w:val="18"/>
                <w:szCs w:val="18"/>
                <w:highlight w:val="none"/>
                <w:lang w:val="en-US" w:eastAsia="zh-CN"/>
              </w:rPr>
              <w:t>相关政府职能部门</w:t>
            </w:r>
            <w:r>
              <w:rPr>
                <w:rFonts w:hint="eastAsia" w:ascii="宋体"/>
                <w:kern w:val="0"/>
                <w:sz w:val="18"/>
                <w:szCs w:val="18"/>
                <w:highlight w:val="none"/>
              </w:rPr>
              <w:t>认可的相关行业</w:t>
            </w:r>
          </w:p>
        </w:tc>
        <w:tc>
          <w:tcPr>
            <w:tcW w:w="1447" w:type="pct"/>
            <w:tcBorders>
              <w:top w:val="single" w:color="000000" w:sz="12" w:space="0"/>
              <w:tl2br w:val="nil"/>
              <w:tr2bl w:val="nil"/>
            </w:tcBorders>
            <w:vAlign w:val="center"/>
          </w:tcPr>
          <w:p w14:paraId="73EE4560">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both"/>
              <w:rPr>
                <w:rFonts w:hint="default" w:ascii="宋体"/>
                <w:kern w:val="0"/>
                <w:sz w:val="18"/>
                <w:szCs w:val="18"/>
                <w:highlight w:val="none"/>
              </w:rPr>
            </w:pPr>
            <w:r>
              <w:rPr>
                <w:rFonts w:hint="eastAsia" w:ascii="宋体"/>
                <w:kern w:val="0"/>
                <w:sz w:val="18"/>
                <w:szCs w:val="18"/>
                <w:highlight w:val="none"/>
                <w:lang w:val="en-US" w:eastAsia="zh-CN"/>
              </w:rPr>
              <w:t>（1）</w:t>
            </w:r>
            <w:r>
              <w:rPr>
                <w:rFonts w:hint="default" w:ascii="宋体"/>
                <w:kern w:val="0"/>
                <w:sz w:val="18"/>
                <w:szCs w:val="18"/>
                <w:highlight w:val="none"/>
              </w:rPr>
              <w:t>有效营业执照</w:t>
            </w:r>
          </w:p>
          <w:p w14:paraId="36CE2835">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both"/>
              <w:rPr>
                <w:rFonts w:hint="eastAsia" w:ascii="宋体" w:eastAsia="宋体"/>
                <w:kern w:val="0"/>
                <w:sz w:val="18"/>
                <w:szCs w:val="18"/>
                <w:highlight w:val="none"/>
                <w:lang w:val="en-US" w:eastAsia="zh-CN"/>
              </w:rPr>
            </w:pPr>
            <w:r>
              <w:rPr>
                <w:rFonts w:hint="eastAsia" w:ascii="宋体"/>
                <w:kern w:val="0"/>
                <w:sz w:val="18"/>
                <w:szCs w:val="18"/>
                <w:highlight w:val="none"/>
                <w:lang w:val="en-US" w:eastAsia="zh-CN"/>
              </w:rPr>
              <w:t>（2）</w:t>
            </w:r>
            <w:r>
              <w:rPr>
                <w:rFonts w:hint="eastAsia" w:ascii="宋体"/>
                <w:kern w:val="0"/>
                <w:sz w:val="18"/>
                <w:szCs w:val="18"/>
                <w:highlight w:val="none"/>
              </w:rPr>
              <w:t>绿色低碳产业产品（服务）收入专项审计或鉴证报告</w:t>
            </w:r>
          </w:p>
        </w:tc>
      </w:tr>
      <w:tr w14:paraId="688564B4">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572" w:type="pct"/>
            <w:tcBorders>
              <w:bottom w:val="single" w:color="000000" w:sz="12" w:space="0"/>
              <w:tl2br w:val="nil"/>
              <w:tr2bl w:val="nil"/>
            </w:tcBorders>
            <w:vAlign w:val="center"/>
          </w:tcPr>
          <w:p w14:paraId="6345636E">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kern w:val="0"/>
                <w:sz w:val="18"/>
                <w:szCs w:val="18"/>
                <w:highlight w:val="none"/>
              </w:rPr>
            </w:pPr>
            <w:r>
              <w:rPr>
                <w:rFonts w:hint="default" w:ascii="宋体"/>
                <w:kern w:val="0"/>
                <w:sz w:val="18"/>
                <w:szCs w:val="18"/>
                <w:highlight w:val="none"/>
              </w:rPr>
              <w:t>技术符合</w:t>
            </w:r>
          </w:p>
        </w:tc>
        <w:tc>
          <w:tcPr>
            <w:tcW w:w="2980" w:type="pct"/>
            <w:tcBorders>
              <w:bottom w:val="single" w:color="000000" w:sz="12" w:space="0"/>
              <w:tl2br w:val="nil"/>
              <w:tr2bl w:val="nil"/>
            </w:tcBorders>
            <w:vAlign w:val="center"/>
          </w:tcPr>
          <w:p w14:paraId="6D2D980F">
            <w:pPr>
              <w:keepNext w:val="0"/>
              <w:keepLines w:val="0"/>
              <w:widowControl/>
              <w:suppressLineNumbers w:val="0"/>
              <w:tabs>
                <w:tab w:val="center" w:pos="4201"/>
                <w:tab w:val="right" w:leader="dot" w:pos="9298"/>
              </w:tabs>
              <w:autoSpaceDE w:val="0"/>
              <w:autoSpaceDN w:val="0"/>
              <w:spacing w:before="0" w:beforeAutospacing="0" w:after="0" w:afterAutospacing="0"/>
              <w:ind w:left="0" w:right="0"/>
              <w:rPr>
                <w:rFonts w:hint="default" w:ascii="宋体"/>
                <w:kern w:val="0"/>
                <w:sz w:val="18"/>
                <w:szCs w:val="18"/>
                <w:highlight w:val="none"/>
              </w:rPr>
            </w:pPr>
            <w:r>
              <w:rPr>
                <w:rFonts w:hint="eastAsia" w:ascii="宋体"/>
                <w:sz w:val="18"/>
                <w:szCs w:val="18"/>
                <w:highlight w:val="none"/>
              </w:rPr>
              <w:t>提供的产品或服务应符合国家、广东省及深圳市相关主管部门发布文件列明的有关设计、能效、性能、安全、贮存、回收、标识、验收、管理和运维等技术要求</w:t>
            </w:r>
          </w:p>
        </w:tc>
        <w:tc>
          <w:tcPr>
            <w:tcW w:w="1447" w:type="pct"/>
            <w:tcBorders>
              <w:bottom w:val="single" w:color="000000" w:sz="12" w:space="0"/>
              <w:tl2br w:val="nil"/>
              <w:tr2bl w:val="nil"/>
            </w:tcBorders>
            <w:vAlign w:val="center"/>
          </w:tcPr>
          <w:p w14:paraId="5D7AB0BC">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left"/>
              <w:rPr>
                <w:rFonts w:hint="default" w:ascii="宋体"/>
                <w:kern w:val="0"/>
                <w:sz w:val="18"/>
                <w:szCs w:val="18"/>
                <w:highlight w:val="none"/>
              </w:rPr>
            </w:pPr>
            <w:r>
              <w:rPr>
                <w:rFonts w:hint="default" w:ascii="宋体"/>
                <w:kern w:val="0"/>
                <w:sz w:val="18"/>
                <w:szCs w:val="18"/>
                <w:highlight w:val="none"/>
              </w:rPr>
              <w:t>第三方检验报告及相关证明材料</w:t>
            </w:r>
          </w:p>
        </w:tc>
      </w:tr>
    </w:tbl>
    <w:p w14:paraId="175F29AF">
      <w:pPr>
        <w:numPr>
          <w:ilvl w:val="0"/>
          <w:numId w:val="17"/>
        </w:numPr>
        <w:spacing w:before="156" w:beforeLines="50" w:after="156" w:afterLines="50"/>
        <w:jc w:val="center"/>
        <w:rPr>
          <w:highlight w:val="none"/>
        </w:rPr>
      </w:pPr>
      <w:r>
        <w:rPr>
          <w:rFonts w:hint="eastAsia" w:eastAsia="黑体"/>
          <w:highlight w:val="none"/>
          <w:lang w:val="en-US" w:eastAsia="zh-CN"/>
        </w:rPr>
        <w:t>温室气体控制领域</w:t>
      </w:r>
      <w:r>
        <w:rPr>
          <w:rFonts w:hint="eastAsia" w:eastAsia="黑体"/>
          <w:highlight w:val="none"/>
          <w:lang w:eastAsia="zh-CN"/>
        </w:rPr>
        <w:t>绿色低碳产业</w:t>
      </w:r>
      <w:r>
        <w:rPr>
          <w:rFonts w:hint="eastAsia" w:eastAsia="黑体"/>
          <w:highlight w:val="none"/>
          <w:lang w:val="en-US" w:eastAsia="zh-CN"/>
        </w:rPr>
        <w:t>企业认定</w:t>
      </w:r>
      <w:r>
        <w:rPr>
          <w:rFonts w:hint="eastAsia" w:eastAsia="黑体"/>
          <w:highlight w:val="none"/>
        </w:rPr>
        <w:t>综合</w:t>
      </w:r>
      <w:r>
        <w:rPr>
          <w:rFonts w:eastAsia="黑体"/>
          <w:highlight w:val="none"/>
        </w:rPr>
        <w:t>评价证明材料</w:t>
      </w:r>
    </w:p>
    <w:tbl>
      <w:tblPr>
        <w:tblStyle w:val="37"/>
        <w:tblW w:w="4994" w:type="pct"/>
        <w:jc w:val="center"/>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autofit"/>
        <w:tblCellMar>
          <w:top w:w="0" w:type="dxa"/>
          <w:left w:w="108" w:type="dxa"/>
          <w:bottom w:w="0" w:type="dxa"/>
          <w:right w:w="108" w:type="dxa"/>
        </w:tblCellMar>
      </w:tblPr>
      <w:tblGrid>
        <w:gridCol w:w="1066"/>
        <w:gridCol w:w="1138"/>
        <w:gridCol w:w="2189"/>
        <w:gridCol w:w="5166"/>
      </w:tblGrid>
      <w:tr w14:paraId="69C75560">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90" w:hRule="atLeast"/>
          <w:jc w:val="center"/>
        </w:trPr>
        <w:tc>
          <w:tcPr>
            <w:tcW w:w="558" w:type="pct"/>
            <w:tcBorders>
              <w:bottom w:val="single" w:color="000000" w:sz="12" w:space="0"/>
            </w:tcBorders>
            <w:vAlign w:val="center"/>
          </w:tcPr>
          <w:p w14:paraId="5943F6D6">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b/>
                <w:kern w:val="0"/>
                <w:sz w:val="18"/>
                <w:szCs w:val="18"/>
                <w:highlight w:val="none"/>
              </w:rPr>
            </w:pPr>
            <w:r>
              <w:rPr>
                <w:rFonts w:hint="default" w:ascii="宋体"/>
                <w:b/>
                <w:kern w:val="0"/>
                <w:sz w:val="18"/>
                <w:szCs w:val="18"/>
                <w:highlight w:val="none"/>
              </w:rPr>
              <w:t>一级指标</w:t>
            </w:r>
          </w:p>
        </w:tc>
        <w:tc>
          <w:tcPr>
            <w:tcW w:w="595" w:type="pct"/>
            <w:tcBorders>
              <w:bottom w:val="single" w:color="000000" w:sz="12" w:space="0"/>
            </w:tcBorders>
            <w:vAlign w:val="center"/>
          </w:tcPr>
          <w:p w14:paraId="226FD3EB">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b/>
                <w:kern w:val="0"/>
                <w:sz w:val="18"/>
                <w:szCs w:val="18"/>
                <w:highlight w:val="none"/>
              </w:rPr>
            </w:pPr>
            <w:r>
              <w:rPr>
                <w:rFonts w:hint="default" w:ascii="宋体"/>
                <w:b/>
                <w:kern w:val="0"/>
                <w:sz w:val="18"/>
                <w:szCs w:val="18"/>
                <w:highlight w:val="none"/>
              </w:rPr>
              <w:t>二级指标</w:t>
            </w:r>
          </w:p>
        </w:tc>
        <w:tc>
          <w:tcPr>
            <w:tcW w:w="1144" w:type="pct"/>
            <w:tcBorders>
              <w:bottom w:val="single" w:color="000000" w:sz="12" w:space="0"/>
            </w:tcBorders>
            <w:vAlign w:val="center"/>
          </w:tcPr>
          <w:p w14:paraId="508AD259">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b/>
                <w:kern w:val="0"/>
                <w:sz w:val="18"/>
                <w:szCs w:val="18"/>
                <w:highlight w:val="none"/>
              </w:rPr>
            </w:pPr>
            <w:r>
              <w:rPr>
                <w:rFonts w:hint="default" w:ascii="宋体"/>
                <w:b/>
                <w:kern w:val="0"/>
                <w:sz w:val="18"/>
                <w:szCs w:val="18"/>
                <w:highlight w:val="none"/>
              </w:rPr>
              <w:t>三级指标</w:t>
            </w:r>
          </w:p>
        </w:tc>
        <w:tc>
          <w:tcPr>
            <w:tcW w:w="2701" w:type="pct"/>
            <w:tcBorders>
              <w:bottom w:val="single" w:color="000000" w:sz="12" w:space="0"/>
            </w:tcBorders>
            <w:vAlign w:val="center"/>
          </w:tcPr>
          <w:p w14:paraId="0F306382">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b/>
                <w:kern w:val="0"/>
                <w:sz w:val="18"/>
                <w:szCs w:val="18"/>
                <w:highlight w:val="none"/>
              </w:rPr>
            </w:pPr>
            <w:r>
              <w:rPr>
                <w:rFonts w:hint="default" w:ascii="宋体"/>
                <w:b/>
                <w:kern w:val="0"/>
                <w:sz w:val="18"/>
                <w:szCs w:val="18"/>
                <w:highlight w:val="none"/>
              </w:rPr>
              <w:t>证明材料</w:t>
            </w:r>
          </w:p>
        </w:tc>
      </w:tr>
      <w:tr w14:paraId="18F0C572">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90" w:hRule="atLeast"/>
          <w:jc w:val="center"/>
        </w:trPr>
        <w:tc>
          <w:tcPr>
            <w:tcW w:w="558" w:type="pct"/>
            <w:vMerge w:val="restart"/>
            <w:tcBorders>
              <w:top w:val="single" w:color="000000" w:sz="12" w:space="0"/>
              <w:tl2br w:val="nil"/>
              <w:tr2bl w:val="nil"/>
            </w:tcBorders>
            <w:vAlign w:val="center"/>
          </w:tcPr>
          <w:p w14:paraId="56ACFB4B">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kern w:val="0"/>
                <w:sz w:val="18"/>
                <w:szCs w:val="18"/>
                <w:highlight w:val="none"/>
              </w:rPr>
            </w:pPr>
            <w:r>
              <w:rPr>
                <w:rFonts w:hint="default" w:ascii="宋体"/>
                <w:kern w:val="0"/>
                <w:sz w:val="18"/>
                <w:szCs w:val="18"/>
                <w:highlight w:val="none"/>
              </w:rPr>
              <w:t>技术表现</w:t>
            </w:r>
          </w:p>
        </w:tc>
        <w:tc>
          <w:tcPr>
            <w:tcW w:w="595" w:type="pct"/>
            <w:vMerge w:val="restart"/>
            <w:tcBorders>
              <w:top w:val="single" w:color="000000" w:sz="12" w:space="0"/>
              <w:tl2br w:val="nil"/>
              <w:tr2bl w:val="nil"/>
            </w:tcBorders>
            <w:vAlign w:val="center"/>
          </w:tcPr>
          <w:p w14:paraId="3F70E69F">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kern w:val="0"/>
                <w:sz w:val="18"/>
                <w:szCs w:val="18"/>
                <w:highlight w:val="none"/>
              </w:rPr>
            </w:pPr>
            <w:r>
              <w:rPr>
                <w:rFonts w:hint="default" w:ascii="宋体"/>
                <w:kern w:val="0"/>
                <w:sz w:val="18"/>
                <w:szCs w:val="18"/>
                <w:highlight w:val="none"/>
              </w:rPr>
              <w:t>先进性</w:t>
            </w:r>
          </w:p>
        </w:tc>
        <w:tc>
          <w:tcPr>
            <w:tcW w:w="1144" w:type="pct"/>
            <w:tcBorders>
              <w:top w:val="single" w:color="000000" w:sz="12" w:space="0"/>
              <w:tl2br w:val="nil"/>
              <w:tr2bl w:val="nil"/>
            </w:tcBorders>
            <w:vAlign w:val="center"/>
          </w:tcPr>
          <w:p w14:paraId="1C276131">
            <w:pPr>
              <w:keepNext w:val="0"/>
              <w:keepLines w:val="0"/>
              <w:suppressLineNumbers w:val="0"/>
              <w:autoSpaceDE w:val="0"/>
              <w:autoSpaceDN w:val="0"/>
              <w:spacing w:before="0" w:beforeAutospacing="0" w:after="0" w:afterAutospacing="0"/>
              <w:ind w:left="0" w:right="0"/>
              <w:jc w:val="center"/>
              <w:rPr>
                <w:rFonts w:hint="default" w:ascii="宋体"/>
                <w:sz w:val="18"/>
                <w:szCs w:val="18"/>
                <w:highlight w:val="none"/>
              </w:rPr>
            </w:pPr>
            <w:r>
              <w:rPr>
                <w:rFonts w:hint="default" w:ascii="宋体"/>
                <w:sz w:val="18"/>
                <w:szCs w:val="18"/>
                <w:highlight w:val="none"/>
              </w:rPr>
              <w:t>有效知识产权</w:t>
            </w:r>
          </w:p>
        </w:tc>
        <w:tc>
          <w:tcPr>
            <w:tcW w:w="2701" w:type="pct"/>
            <w:tcBorders>
              <w:top w:val="single" w:color="000000" w:sz="12" w:space="0"/>
              <w:tl2br w:val="nil"/>
              <w:tr2bl w:val="nil"/>
            </w:tcBorders>
            <w:vAlign w:val="center"/>
          </w:tcPr>
          <w:p w14:paraId="1B966540">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eastAsia" w:ascii="宋体" w:eastAsia="宋体"/>
                <w:kern w:val="0"/>
                <w:sz w:val="18"/>
                <w:szCs w:val="18"/>
                <w:highlight w:val="none"/>
                <w:lang w:val="en-US" w:eastAsia="zh-CN"/>
              </w:rPr>
            </w:pPr>
            <w:r>
              <w:rPr>
                <w:rFonts w:hint="default" w:ascii="宋体"/>
                <w:kern w:val="0"/>
                <w:sz w:val="18"/>
                <w:szCs w:val="18"/>
                <w:highlight w:val="none"/>
              </w:rPr>
              <w:t>相关知识产权证明</w:t>
            </w:r>
            <w:r>
              <w:rPr>
                <w:rFonts w:hint="eastAsia" w:ascii="宋体"/>
                <w:kern w:val="0"/>
                <w:sz w:val="18"/>
                <w:szCs w:val="18"/>
                <w:highlight w:val="none"/>
                <w:lang w:val="en-US" w:eastAsia="zh-CN"/>
              </w:rPr>
              <w:t>材料</w:t>
            </w:r>
          </w:p>
        </w:tc>
      </w:tr>
      <w:tr w14:paraId="40511AED">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90" w:hRule="atLeast"/>
          <w:jc w:val="center"/>
        </w:trPr>
        <w:tc>
          <w:tcPr>
            <w:tcW w:w="558" w:type="pct"/>
            <w:vMerge w:val="continue"/>
            <w:tcBorders>
              <w:tl2br w:val="nil"/>
              <w:tr2bl w:val="nil"/>
            </w:tcBorders>
            <w:vAlign w:val="center"/>
          </w:tcPr>
          <w:p w14:paraId="530EB5EC">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kern w:val="0"/>
                <w:sz w:val="18"/>
                <w:szCs w:val="18"/>
                <w:highlight w:val="none"/>
              </w:rPr>
            </w:pPr>
          </w:p>
        </w:tc>
        <w:tc>
          <w:tcPr>
            <w:tcW w:w="595" w:type="pct"/>
            <w:vMerge w:val="continue"/>
            <w:tcBorders>
              <w:tl2br w:val="nil"/>
              <w:tr2bl w:val="nil"/>
            </w:tcBorders>
            <w:vAlign w:val="center"/>
          </w:tcPr>
          <w:p w14:paraId="3572B85F">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kern w:val="0"/>
                <w:sz w:val="18"/>
                <w:szCs w:val="18"/>
                <w:highlight w:val="none"/>
              </w:rPr>
            </w:pPr>
          </w:p>
        </w:tc>
        <w:tc>
          <w:tcPr>
            <w:tcW w:w="1144" w:type="pct"/>
            <w:tcBorders>
              <w:tl2br w:val="nil"/>
              <w:tr2bl w:val="nil"/>
            </w:tcBorders>
            <w:vAlign w:val="center"/>
          </w:tcPr>
          <w:p w14:paraId="237E0F0E">
            <w:pPr>
              <w:keepNext w:val="0"/>
              <w:keepLines w:val="0"/>
              <w:suppressLineNumbers w:val="0"/>
              <w:autoSpaceDE w:val="0"/>
              <w:autoSpaceDN w:val="0"/>
              <w:spacing w:before="0" w:beforeAutospacing="0" w:after="0" w:afterAutospacing="0"/>
              <w:ind w:left="0" w:right="0"/>
              <w:jc w:val="center"/>
              <w:rPr>
                <w:rFonts w:hint="default" w:ascii="宋体"/>
                <w:sz w:val="18"/>
                <w:szCs w:val="18"/>
                <w:highlight w:val="none"/>
              </w:rPr>
            </w:pPr>
            <w:r>
              <w:rPr>
                <w:rFonts w:hint="default" w:ascii="宋体"/>
                <w:sz w:val="18"/>
                <w:szCs w:val="18"/>
                <w:highlight w:val="none"/>
              </w:rPr>
              <w:t>制修订标准</w:t>
            </w:r>
          </w:p>
        </w:tc>
        <w:tc>
          <w:tcPr>
            <w:tcW w:w="2701" w:type="pct"/>
            <w:tcBorders>
              <w:tl2br w:val="nil"/>
              <w:tr2bl w:val="nil"/>
            </w:tcBorders>
            <w:vAlign w:val="center"/>
          </w:tcPr>
          <w:p w14:paraId="20993D73">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kern w:val="0"/>
                <w:sz w:val="18"/>
                <w:szCs w:val="18"/>
                <w:highlight w:val="none"/>
              </w:rPr>
            </w:pPr>
            <w:r>
              <w:rPr>
                <w:rFonts w:hint="default" w:ascii="宋体"/>
                <w:kern w:val="0"/>
                <w:sz w:val="18"/>
                <w:szCs w:val="18"/>
                <w:highlight w:val="none"/>
              </w:rPr>
              <w:t>相关</w:t>
            </w:r>
            <w:r>
              <w:rPr>
                <w:rFonts w:hint="eastAsia" w:ascii="宋体"/>
                <w:kern w:val="0"/>
                <w:sz w:val="18"/>
                <w:szCs w:val="18"/>
                <w:highlight w:val="none"/>
              </w:rPr>
              <w:t>标准</w:t>
            </w:r>
            <w:r>
              <w:rPr>
                <w:rFonts w:hint="eastAsia" w:ascii="宋体"/>
                <w:kern w:val="0"/>
                <w:sz w:val="18"/>
                <w:szCs w:val="18"/>
                <w:highlight w:val="none"/>
                <w:lang w:val="en-US" w:eastAsia="zh-CN"/>
              </w:rPr>
              <w:t>发布稿材料</w:t>
            </w:r>
          </w:p>
        </w:tc>
      </w:tr>
      <w:tr w14:paraId="453C8A70">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jc w:val="center"/>
        </w:trPr>
        <w:tc>
          <w:tcPr>
            <w:tcW w:w="558" w:type="pct"/>
            <w:vMerge w:val="continue"/>
            <w:tcBorders>
              <w:tl2br w:val="nil"/>
              <w:tr2bl w:val="nil"/>
            </w:tcBorders>
            <w:vAlign w:val="center"/>
          </w:tcPr>
          <w:p w14:paraId="15BBE3DE">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kern w:val="0"/>
                <w:sz w:val="18"/>
                <w:szCs w:val="18"/>
                <w:highlight w:val="none"/>
              </w:rPr>
            </w:pPr>
          </w:p>
        </w:tc>
        <w:tc>
          <w:tcPr>
            <w:tcW w:w="595" w:type="pct"/>
            <w:vMerge w:val="continue"/>
            <w:tcBorders>
              <w:tl2br w:val="nil"/>
              <w:tr2bl w:val="nil"/>
            </w:tcBorders>
            <w:vAlign w:val="center"/>
          </w:tcPr>
          <w:p w14:paraId="4DE42DF4">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kern w:val="0"/>
                <w:sz w:val="18"/>
                <w:szCs w:val="18"/>
                <w:highlight w:val="none"/>
              </w:rPr>
            </w:pPr>
          </w:p>
        </w:tc>
        <w:tc>
          <w:tcPr>
            <w:tcW w:w="1144" w:type="pct"/>
            <w:tcBorders>
              <w:tl2br w:val="nil"/>
              <w:tr2bl w:val="nil"/>
            </w:tcBorders>
            <w:vAlign w:val="center"/>
          </w:tcPr>
          <w:p w14:paraId="2AC52AE6">
            <w:pPr>
              <w:keepNext w:val="0"/>
              <w:keepLines w:val="0"/>
              <w:suppressLineNumbers w:val="0"/>
              <w:autoSpaceDE w:val="0"/>
              <w:autoSpaceDN w:val="0"/>
              <w:spacing w:before="0" w:beforeAutospacing="0" w:after="0" w:afterAutospacing="0"/>
              <w:ind w:left="0" w:right="0"/>
              <w:jc w:val="center"/>
              <w:rPr>
                <w:rFonts w:hint="default" w:ascii="宋体"/>
                <w:sz w:val="18"/>
                <w:szCs w:val="18"/>
                <w:highlight w:val="none"/>
              </w:rPr>
            </w:pPr>
            <w:r>
              <w:rPr>
                <w:rFonts w:hint="eastAsia" w:ascii="宋体"/>
                <w:sz w:val="18"/>
                <w:szCs w:val="18"/>
                <w:highlight w:val="none"/>
                <w:lang w:val="en-US" w:eastAsia="zh-CN"/>
              </w:rPr>
              <w:t>关键</w:t>
            </w:r>
            <w:r>
              <w:rPr>
                <w:rFonts w:hint="eastAsia" w:ascii="宋体"/>
                <w:sz w:val="18"/>
                <w:szCs w:val="18"/>
                <w:highlight w:val="none"/>
              </w:rPr>
              <w:t>技术先进水平</w:t>
            </w:r>
          </w:p>
        </w:tc>
        <w:tc>
          <w:tcPr>
            <w:tcW w:w="2701" w:type="pct"/>
            <w:tcBorders>
              <w:tl2br w:val="nil"/>
              <w:tr2bl w:val="nil"/>
            </w:tcBorders>
            <w:vAlign w:val="center"/>
          </w:tcPr>
          <w:p w14:paraId="33BB1F08">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eastAsia="宋体"/>
                <w:kern w:val="0"/>
                <w:sz w:val="18"/>
                <w:szCs w:val="18"/>
                <w:highlight w:val="none"/>
                <w:lang w:val="en-US" w:eastAsia="zh-CN"/>
              </w:rPr>
            </w:pPr>
            <w:r>
              <w:rPr>
                <w:rFonts w:hint="default" w:ascii="宋体"/>
                <w:kern w:val="0"/>
                <w:sz w:val="18"/>
                <w:szCs w:val="18"/>
                <w:highlight w:val="none"/>
              </w:rPr>
              <w:t>第三方检验报告</w:t>
            </w:r>
            <w:r>
              <w:rPr>
                <w:rFonts w:hint="eastAsia" w:ascii="宋体"/>
                <w:kern w:val="0"/>
                <w:sz w:val="18"/>
                <w:szCs w:val="18"/>
                <w:highlight w:val="none"/>
                <w:lang w:val="en-US" w:eastAsia="zh-CN"/>
              </w:rPr>
              <w:t>/企业相关自证材料</w:t>
            </w:r>
            <w:r>
              <w:rPr>
                <w:rFonts w:hint="eastAsia" w:ascii="宋体"/>
                <w:kern w:val="0"/>
                <w:sz w:val="18"/>
                <w:szCs w:val="18"/>
                <w:highlight w:val="none"/>
                <w:vertAlign w:val="superscript"/>
                <w:lang w:val="en-US" w:eastAsia="zh-CN"/>
              </w:rPr>
              <w:t>a</w:t>
            </w:r>
          </w:p>
        </w:tc>
      </w:tr>
      <w:tr w14:paraId="0A98262E">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90" w:hRule="atLeast"/>
          <w:jc w:val="center"/>
        </w:trPr>
        <w:tc>
          <w:tcPr>
            <w:tcW w:w="558" w:type="pct"/>
            <w:vMerge w:val="continue"/>
            <w:tcBorders>
              <w:tl2br w:val="nil"/>
              <w:tr2bl w:val="nil"/>
            </w:tcBorders>
            <w:vAlign w:val="center"/>
          </w:tcPr>
          <w:p w14:paraId="1093630A">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kern w:val="0"/>
                <w:sz w:val="18"/>
                <w:szCs w:val="18"/>
                <w:highlight w:val="none"/>
              </w:rPr>
            </w:pPr>
          </w:p>
        </w:tc>
        <w:tc>
          <w:tcPr>
            <w:tcW w:w="1740" w:type="pct"/>
            <w:gridSpan w:val="2"/>
            <w:tcBorders>
              <w:tl2br w:val="nil"/>
              <w:tr2bl w:val="nil"/>
            </w:tcBorders>
            <w:vAlign w:val="center"/>
          </w:tcPr>
          <w:p w14:paraId="2719B5CA">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sz w:val="18"/>
                <w:szCs w:val="18"/>
                <w:highlight w:val="none"/>
              </w:rPr>
            </w:pPr>
            <w:r>
              <w:rPr>
                <w:rFonts w:hint="default" w:ascii="宋体"/>
                <w:kern w:val="0"/>
                <w:sz w:val="18"/>
                <w:szCs w:val="18"/>
                <w:highlight w:val="none"/>
              </w:rPr>
              <w:t>环境效益</w:t>
            </w:r>
          </w:p>
        </w:tc>
        <w:tc>
          <w:tcPr>
            <w:tcW w:w="2701" w:type="pct"/>
            <w:tcBorders>
              <w:tl2br w:val="nil"/>
              <w:tr2bl w:val="nil"/>
            </w:tcBorders>
            <w:vAlign w:val="center"/>
          </w:tcPr>
          <w:p w14:paraId="0A2F72DC">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eastAsia" w:ascii="宋体" w:eastAsia="宋体"/>
                <w:kern w:val="0"/>
                <w:sz w:val="18"/>
                <w:szCs w:val="18"/>
                <w:highlight w:val="none"/>
                <w:lang w:val="en-US" w:eastAsia="zh-CN"/>
              </w:rPr>
            </w:pPr>
            <w:r>
              <w:rPr>
                <w:rFonts w:hint="default" w:ascii="宋体"/>
                <w:kern w:val="0"/>
                <w:sz w:val="18"/>
                <w:szCs w:val="18"/>
                <w:highlight w:val="none"/>
              </w:rPr>
              <w:t>企业相关自证材料</w:t>
            </w:r>
            <w:r>
              <w:rPr>
                <w:rFonts w:hint="eastAsia" w:ascii="宋体"/>
                <w:kern w:val="0"/>
                <w:sz w:val="18"/>
                <w:szCs w:val="18"/>
                <w:highlight w:val="none"/>
                <w:vertAlign w:val="superscript"/>
                <w:lang w:val="en-US" w:eastAsia="zh-CN"/>
              </w:rPr>
              <w:t>b</w:t>
            </w:r>
          </w:p>
        </w:tc>
      </w:tr>
      <w:tr w14:paraId="4D3DEAEC">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jc w:val="center"/>
        </w:trPr>
        <w:tc>
          <w:tcPr>
            <w:tcW w:w="558" w:type="pct"/>
            <w:vMerge w:val="restart"/>
            <w:tcBorders>
              <w:tl2br w:val="nil"/>
              <w:tr2bl w:val="nil"/>
            </w:tcBorders>
            <w:vAlign w:val="center"/>
          </w:tcPr>
          <w:p w14:paraId="5B916140">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kern w:val="0"/>
                <w:sz w:val="18"/>
                <w:szCs w:val="18"/>
                <w:highlight w:val="none"/>
              </w:rPr>
            </w:pPr>
            <w:r>
              <w:rPr>
                <w:rFonts w:hint="default" w:ascii="宋体"/>
                <w:kern w:val="0"/>
                <w:sz w:val="18"/>
                <w:szCs w:val="18"/>
                <w:highlight w:val="none"/>
              </w:rPr>
              <w:t>业务表现</w:t>
            </w:r>
          </w:p>
        </w:tc>
        <w:tc>
          <w:tcPr>
            <w:tcW w:w="595" w:type="pct"/>
            <w:vMerge w:val="restart"/>
            <w:tcBorders>
              <w:tl2br w:val="nil"/>
              <w:tr2bl w:val="nil"/>
            </w:tcBorders>
            <w:vAlign w:val="center"/>
          </w:tcPr>
          <w:p w14:paraId="2A779435">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kern w:val="0"/>
                <w:sz w:val="18"/>
                <w:szCs w:val="18"/>
                <w:highlight w:val="none"/>
              </w:rPr>
            </w:pPr>
            <w:r>
              <w:rPr>
                <w:rFonts w:hint="default" w:ascii="宋体"/>
                <w:kern w:val="0"/>
                <w:sz w:val="18"/>
                <w:szCs w:val="18"/>
                <w:highlight w:val="none"/>
              </w:rPr>
              <w:t>发展能力</w:t>
            </w:r>
          </w:p>
        </w:tc>
        <w:tc>
          <w:tcPr>
            <w:tcW w:w="1144" w:type="pct"/>
            <w:tcBorders>
              <w:tl2br w:val="nil"/>
              <w:tr2bl w:val="nil"/>
            </w:tcBorders>
            <w:vAlign w:val="center"/>
          </w:tcPr>
          <w:p w14:paraId="12EA4622">
            <w:pPr>
              <w:keepNext w:val="0"/>
              <w:keepLines w:val="0"/>
              <w:suppressLineNumbers w:val="0"/>
              <w:autoSpaceDE w:val="0"/>
              <w:autoSpaceDN w:val="0"/>
              <w:spacing w:before="0" w:beforeAutospacing="0" w:after="0" w:afterAutospacing="0"/>
              <w:ind w:left="0" w:right="0"/>
              <w:jc w:val="center"/>
              <w:rPr>
                <w:rFonts w:hint="default" w:ascii="宋体"/>
                <w:sz w:val="18"/>
                <w:szCs w:val="18"/>
                <w:highlight w:val="none"/>
              </w:rPr>
            </w:pPr>
            <w:r>
              <w:rPr>
                <w:rFonts w:hint="default" w:ascii="宋体"/>
                <w:sz w:val="18"/>
                <w:szCs w:val="18"/>
                <w:highlight w:val="none"/>
              </w:rPr>
              <w:t>团队技术实力</w:t>
            </w:r>
          </w:p>
        </w:tc>
        <w:tc>
          <w:tcPr>
            <w:tcW w:w="2701" w:type="pct"/>
            <w:tcBorders>
              <w:tl2br w:val="nil"/>
              <w:tr2bl w:val="nil"/>
            </w:tcBorders>
            <w:vAlign w:val="center"/>
          </w:tcPr>
          <w:p w14:paraId="0AE10E81">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kern w:val="0"/>
                <w:sz w:val="18"/>
                <w:szCs w:val="18"/>
                <w:highlight w:val="none"/>
              </w:rPr>
            </w:pPr>
            <w:r>
              <w:rPr>
                <w:rFonts w:hint="default" w:ascii="宋体"/>
                <w:kern w:val="0"/>
                <w:sz w:val="18"/>
                <w:szCs w:val="18"/>
                <w:highlight w:val="none"/>
              </w:rPr>
              <w:t>合同</w:t>
            </w:r>
            <w:r>
              <w:rPr>
                <w:rFonts w:hint="eastAsia" w:ascii="宋体"/>
                <w:kern w:val="0"/>
                <w:sz w:val="18"/>
                <w:szCs w:val="18"/>
                <w:highlight w:val="none"/>
              </w:rPr>
              <w:t>、学历职称证书</w:t>
            </w:r>
            <w:r>
              <w:rPr>
                <w:rFonts w:hint="default" w:ascii="宋体"/>
                <w:kern w:val="0"/>
                <w:sz w:val="18"/>
                <w:szCs w:val="18"/>
                <w:highlight w:val="none"/>
              </w:rPr>
              <w:t>及社保等相关材料</w:t>
            </w:r>
          </w:p>
        </w:tc>
      </w:tr>
      <w:tr w14:paraId="2E018311">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jc w:val="center"/>
        </w:trPr>
        <w:tc>
          <w:tcPr>
            <w:tcW w:w="558" w:type="pct"/>
            <w:vMerge w:val="continue"/>
            <w:tcBorders>
              <w:tl2br w:val="nil"/>
              <w:tr2bl w:val="nil"/>
            </w:tcBorders>
            <w:vAlign w:val="center"/>
          </w:tcPr>
          <w:p w14:paraId="59E5CC1F">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kern w:val="0"/>
                <w:sz w:val="18"/>
                <w:szCs w:val="18"/>
                <w:highlight w:val="none"/>
              </w:rPr>
            </w:pPr>
          </w:p>
        </w:tc>
        <w:tc>
          <w:tcPr>
            <w:tcW w:w="595" w:type="pct"/>
            <w:vMerge w:val="continue"/>
            <w:tcBorders>
              <w:tl2br w:val="nil"/>
              <w:tr2bl w:val="nil"/>
            </w:tcBorders>
            <w:vAlign w:val="center"/>
          </w:tcPr>
          <w:p w14:paraId="7B48AE96">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kern w:val="0"/>
                <w:sz w:val="18"/>
                <w:szCs w:val="18"/>
                <w:highlight w:val="none"/>
              </w:rPr>
            </w:pPr>
          </w:p>
        </w:tc>
        <w:tc>
          <w:tcPr>
            <w:tcW w:w="1144" w:type="pct"/>
            <w:tcBorders>
              <w:tl2br w:val="nil"/>
              <w:tr2bl w:val="nil"/>
            </w:tcBorders>
            <w:vAlign w:val="center"/>
          </w:tcPr>
          <w:p w14:paraId="2A9EC5BB">
            <w:pPr>
              <w:keepNext w:val="0"/>
              <w:keepLines w:val="0"/>
              <w:suppressLineNumbers w:val="0"/>
              <w:autoSpaceDE w:val="0"/>
              <w:autoSpaceDN w:val="0"/>
              <w:spacing w:before="0" w:beforeAutospacing="0" w:after="0" w:afterAutospacing="0"/>
              <w:ind w:left="0" w:right="0"/>
              <w:jc w:val="center"/>
              <w:rPr>
                <w:rFonts w:hint="default" w:ascii="宋体"/>
                <w:sz w:val="18"/>
                <w:szCs w:val="18"/>
                <w:highlight w:val="none"/>
              </w:rPr>
            </w:pPr>
            <w:r>
              <w:rPr>
                <w:rFonts w:hint="eastAsia" w:ascii="宋体"/>
                <w:sz w:val="18"/>
                <w:szCs w:val="18"/>
                <w:highlight w:val="none"/>
              </w:rPr>
              <w:t>研发投入</w:t>
            </w:r>
          </w:p>
        </w:tc>
        <w:tc>
          <w:tcPr>
            <w:tcW w:w="2701" w:type="pct"/>
            <w:tcBorders>
              <w:tl2br w:val="nil"/>
              <w:tr2bl w:val="nil"/>
            </w:tcBorders>
            <w:vAlign w:val="center"/>
          </w:tcPr>
          <w:p w14:paraId="5DBCD153">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eastAsia" w:ascii="宋体" w:eastAsia="宋体"/>
                <w:kern w:val="0"/>
                <w:sz w:val="18"/>
                <w:szCs w:val="18"/>
                <w:highlight w:val="none"/>
                <w:lang w:val="en-US" w:eastAsia="zh-CN"/>
              </w:rPr>
            </w:pPr>
            <w:r>
              <w:rPr>
                <w:rFonts w:hint="eastAsia" w:ascii="宋体"/>
                <w:kern w:val="0"/>
                <w:sz w:val="18"/>
                <w:szCs w:val="18"/>
                <w:highlight w:val="none"/>
              </w:rPr>
              <w:t>专项审计或鉴证报告</w:t>
            </w:r>
            <w:r>
              <w:rPr>
                <w:rFonts w:hint="eastAsia" w:ascii="宋体"/>
                <w:kern w:val="0"/>
                <w:sz w:val="18"/>
                <w:szCs w:val="18"/>
                <w:highlight w:val="none"/>
                <w:vertAlign w:val="superscript"/>
                <w:lang w:val="en-US" w:eastAsia="zh-CN"/>
              </w:rPr>
              <w:t>c</w:t>
            </w:r>
          </w:p>
        </w:tc>
      </w:tr>
      <w:tr w14:paraId="258F8E76">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jc w:val="center"/>
        </w:trPr>
        <w:tc>
          <w:tcPr>
            <w:tcW w:w="558" w:type="pct"/>
            <w:vMerge w:val="continue"/>
            <w:tcBorders>
              <w:tl2br w:val="nil"/>
              <w:tr2bl w:val="nil"/>
            </w:tcBorders>
            <w:vAlign w:val="center"/>
          </w:tcPr>
          <w:p w14:paraId="0265B699">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kern w:val="0"/>
                <w:sz w:val="18"/>
                <w:szCs w:val="18"/>
                <w:highlight w:val="none"/>
              </w:rPr>
            </w:pPr>
          </w:p>
        </w:tc>
        <w:tc>
          <w:tcPr>
            <w:tcW w:w="595" w:type="pct"/>
            <w:vMerge w:val="continue"/>
            <w:tcBorders>
              <w:tl2br w:val="nil"/>
              <w:tr2bl w:val="nil"/>
            </w:tcBorders>
            <w:vAlign w:val="center"/>
          </w:tcPr>
          <w:p w14:paraId="61CC17E3">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kern w:val="0"/>
                <w:sz w:val="18"/>
                <w:szCs w:val="18"/>
                <w:highlight w:val="none"/>
              </w:rPr>
            </w:pPr>
          </w:p>
        </w:tc>
        <w:tc>
          <w:tcPr>
            <w:tcW w:w="1144" w:type="pct"/>
            <w:tcBorders>
              <w:tl2br w:val="nil"/>
              <w:tr2bl w:val="nil"/>
            </w:tcBorders>
            <w:vAlign w:val="center"/>
          </w:tcPr>
          <w:p w14:paraId="04D41B42">
            <w:pPr>
              <w:keepNext w:val="0"/>
              <w:keepLines w:val="0"/>
              <w:suppressLineNumbers w:val="0"/>
              <w:autoSpaceDE w:val="0"/>
              <w:autoSpaceDN w:val="0"/>
              <w:spacing w:before="0" w:beforeAutospacing="0" w:after="0" w:afterAutospacing="0"/>
              <w:ind w:left="0" w:right="0"/>
              <w:jc w:val="center"/>
              <w:rPr>
                <w:rFonts w:hint="default" w:ascii="宋体" w:eastAsia="宋体"/>
                <w:sz w:val="18"/>
                <w:szCs w:val="18"/>
                <w:highlight w:val="none"/>
                <w:lang w:val="en-US" w:eastAsia="zh-CN"/>
              </w:rPr>
            </w:pPr>
            <w:r>
              <w:rPr>
                <w:rFonts w:hint="eastAsia" w:ascii="宋体"/>
                <w:sz w:val="18"/>
                <w:szCs w:val="18"/>
                <w:highlight w:val="none"/>
                <w:lang w:val="en-US" w:eastAsia="zh-CN"/>
              </w:rPr>
              <w:t>运营效益水平</w:t>
            </w:r>
          </w:p>
        </w:tc>
        <w:tc>
          <w:tcPr>
            <w:tcW w:w="2701" w:type="pct"/>
            <w:tcBorders>
              <w:tl2br w:val="nil"/>
              <w:tr2bl w:val="nil"/>
            </w:tcBorders>
            <w:vAlign w:val="center"/>
          </w:tcPr>
          <w:p w14:paraId="56558E29">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eastAsia" w:ascii="宋体" w:eastAsia="宋体"/>
                <w:kern w:val="0"/>
                <w:sz w:val="18"/>
                <w:szCs w:val="18"/>
                <w:highlight w:val="none"/>
                <w:lang w:val="en-US" w:eastAsia="zh-CN"/>
              </w:rPr>
            </w:pPr>
            <w:r>
              <w:rPr>
                <w:rFonts w:hint="eastAsia" w:ascii="宋体"/>
                <w:kern w:val="0"/>
                <w:sz w:val="18"/>
                <w:szCs w:val="18"/>
                <w:highlight w:val="none"/>
              </w:rPr>
              <w:t>财务审计报告</w:t>
            </w:r>
            <w:r>
              <w:rPr>
                <w:rFonts w:hint="eastAsia" w:ascii="宋体"/>
                <w:kern w:val="0"/>
                <w:sz w:val="18"/>
                <w:szCs w:val="18"/>
                <w:highlight w:val="none"/>
                <w:vertAlign w:val="superscript"/>
                <w:lang w:val="en-US" w:eastAsia="zh-CN"/>
              </w:rPr>
              <w:t>d</w:t>
            </w:r>
          </w:p>
        </w:tc>
      </w:tr>
      <w:tr w14:paraId="6E6EFDF2">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jc w:val="center"/>
        </w:trPr>
        <w:tc>
          <w:tcPr>
            <w:tcW w:w="558" w:type="pct"/>
            <w:vMerge w:val="continue"/>
            <w:tcBorders>
              <w:tl2br w:val="nil"/>
              <w:tr2bl w:val="nil"/>
            </w:tcBorders>
            <w:vAlign w:val="center"/>
          </w:tcPr>
          <w:p w14:paraId="298E4924">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kern w:val="0"/>
                <w:sz w:val="18"/>
                <w:szCs w:val="18"/>
                <w:highlight w:val="none"/>
              </w:rPr>
            </w:pPr>
          </w:p>
        </w:tc>
        <w:tc>
          <w:tcPr>
            <w:tcW w:w="595" w:type="pct"/>
            <w:vMerge w:val="restart"/>
            <w:tcBorders>
              <w:tl2br w:val="nil"/>
              <w:tr2bl w:val="nil"/>
            </w:tcBorders>
            <w:vAlign w:val="center"/>
          </w:tcPr>
          <w:p w14:paraId="212B51C0">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kern w:val="0"/>
                <w:sz w:val="18"/>
                <w:szCs w:val="18"/>
                <w:highlight w:val="none"/>
              </w:rPr>
            </w:pPr>
            <w:r>
              <w:rPr>
                <w:rFonts w:hint="default" w:ascii="宋体"/>
                <w:kern w:val="0"/>
                <w:sz w:val="18"/>
                <w:szCs w:val="18"/>
                <w:highlight w:val="none"/>
              </w:rPr>
              <w:t>市场影响</w:t>
            </w:r>
          </w:p>
        </w:tc>
        <w:tc>
          <w:tcPr>
            <w:tcW w:w="1144" w:type="pct"/>
            <w:tcBorders>
              <w:tl2br w:val="nil"/>
              <w:tr2bl w:val="nil"/>
            </w:tcBorders>
            <w:vAlign w:val="center"/>
          </w:tcPr>
          <w:p w14:paraId="2FA6C810">
            <w:pPr>
              <w:keepNext w:val="0"/>
              <w:keepLines w:val="0"/>
              <w:suppressLineNumbers w:val="0"/>
              <w:autoSpaceDE w:val="0"/>
              <w:autoSpaceDN w:val="0"/>
              <w:spacing w:before="0" w:beforeAutospacing="0" w:after="0" w:afterAutospacing="0"/>
              <w:ind w:left="0" w:right="0"/>
              <w:jc w:val="center"/>
              <w:rPr>
                <w:rFonts w:hint="default" w:ascii="宋体"/>
                <w:sz w:val="18"/>
                <w:szCs w:val="18"/>
                <w:highlight w:val="none"/>
              </w:rPr>
            </w:pPr>
            <w:r>
              <w:rPr>
                <w:rFonts w:hint="default" w:ascii="宋体"/>
                <w:sz w:val="18"/>
                <w:szCs w:val="18"/>
                <w:highlight w:val="none"/>
              </w:rPr>
              <w:t>市场竞争力</w:t>
            </w:r>
          </w:p>
        </w:tc>
        <w:tc>
          <w:tcPr>
            <w:tcW w:w="2701" w:type="pct"/>
            <w:tcBorders>
              <w:tl2br w:val="nil"/>
              <w:tr2bl w:val="nil"/>
            </w:tcBorders>
            <w:vAlign w:val="center"/>
          </w:tcPr>
          <w:p w14:paraId="26991DF3">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kern w:val="0"/>
                <w:sz w:val="18"/>
                <w:szCs w:val="18"/>
                <w:highlight w:val="none"/>
              </w:rPr>
            </w:pPr>
            <w:r>
              <w:rPr>
                <w:rFonts w:hint="default" w:ascii="宋体"/>
                <w:kern w:val="0"/>
                <w:sz w:val="18"/>
                <w:szCs w:val="18"/>
                <w:highlight w:val="none"/>
              </w:rPr>
              <w:t>企业相关自证材料</w:t>
            </w:r>
          </w:p>
        </w:tc>
      </w:tr>
      <w:tr w14:paraId="30D0EC04">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jc w:val="center"/>
        </w:trPr>
        <w:tc>
          <w:tcPr>
            <w:tcW w:w="558" w:type="pct"/>
            <w:vMerge w:val="continue"/>
            <w:tcBorders>
              <w:tl2br w:val="nil"/>
              <w:tr2bl w:val="nil"/>
            </w:tcBorders>
            <w:vAlign w:val="center"/>
          </w:tcPr>
          <w:p w14:paraId="16624F74">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kern w:val="0"/>
                <w:sz w:val="18"/>
                <w:szCs w:val="18"/>
                <w:highlight w:val="none"/>
              </w:rPr>
            </w:pPr>
          </w:p>
        </w:tc>
        <w:tc>
          <w:tcPr>
            <w:tcW w:w="595" w:type="pct"/>
            <w:vMerge w:val="continue"/>
            <w:tcBorders>
              <w:tl2br w:val="nil"/>
              <w:tr2bl w:val="nil"/>
            </w:tcBorders>
            <w:vAlign w:val="center"/>
          </w:tcPr>
          <w:p w14:paraId="3CD52525">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kern w:val="0"/>
                <w:sz w:val="18"/>
                <w:szCs w:val="18"/>
                <w:highlight w:val="none"/>
              </w:rPr>
            </w:pPr>
          </w:p>
        </w:tc>
        <w:tc>
          <w:tcPr>
            <w:tcW w:w="1144" w:type="pct"/>
            <w:tcBorders>
              <w:tl2br w:val="nil"/>
              <w:tr2bl w:val="nil"/>
            </w:tcBorders>
            <w:vAlign w:val="center"/>
          </w:tcPr>
          <w:p w14:paraId="54909324">
            <w:pPr>
              <w:keepNext w:val="0"/>
              <w:keepLines w:val="0"/>
              <w:suppressLineNumbers w:val="0"/>
              <w:autoSpaceDE w:val="0"/>
              <w:autoSpaceDN w:val="0"/>
              <w:spacing w:before="0" w:beforeAutospacing="0" w:after="0" w:afterAutospacing="0"/>
              <w:ind w:left="0" w:right="0"/>
              <w:jc w:val="center"/>
              <w:rPr>
                <w:rFonts w:hint="default" w:ascii="宋体"/>
                <w:sz w:val="18"/>
                <w:szCs w:val="18"/>
                <w:highlight w:val="none"/>
              </w:rPr>
            </w:pPr>
            <w:r>
              <w:rPr>
                <w:rFonts w:hint="default" w:ascii="宋体"/>
                <w:sz w:val="18"/>
                <w:szCs w:val="18"/>
                <w:highlight w:val="none"/>
              </w:rPr>
              <w:t>产业影响力</w:t>
            </w:r>
          </w:p>
        </w:tc>
        <w:tc>
          <w:tcPr>
            <w:tcW w:w="2701" w:type="pct"/>
            <w:tcBorders>
              <w:tl2br w:val="nil"/>
              <w:tr2bl w:val="nil"/>
            </w:tcBorders>
            <w:vAlign w:val="center"/>
          </w:tcPr>
          <w:p w14:paraId="7A25D759">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kern w:val="0"/>
                <w:sz w:val="18"/>
                <w:szCs w:val="18"/>
                <w:highlight w:val="none"/>
              </w:rPr>
            </w:pPr>
            <w:r>
              <w:rPr>
                <w:rFonts w:hint="eastAsia" w:ascii="宋体"/>
                <w:kern w:val="0"/>
                <w:sz w:val="18"/>
                <w:szCs w:val="18"/>
                <w:highlight w:val="none"/>
              </w:rPr>
              <w:t>企业相关自证材料</w:t>
            </w:r>
          </w:p>
        </w:tc>
      </w:tr>
      <w:tr w14:paraId="5BF5E86A">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jc w:val="center"/>
        </w:trPr>
        <w:tc>
          <w:tcPr>
            <w:tcW w:w="558" w:type="pct"/>
            <w:vMerge w:val="continue"/>
            <w:tcBorders>
              <w:tl2br w:val="nil"/>
              <w:tr2bl w:val="nil"/>
            </w:tcBorders>
            <w:vAlign w:val="center"/>
          </w:tcPr>
          <w:p w14:paraId="14268748">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kern w:val="0"/>
                <w:sz w:val="18"/>
                <w:szCs w:val="18"/>
                <w:highlight w:val="none"/>
              </w:rPr>
            </w:pPr>
          </w:p>
        </w:tc>
        <w:tc>
          <w:tcPr>
            <w:tcW w:w="595" w:type="pct"/>
            <w:vMerge w:val="continue"/>
            <w:tcBorders>
              <w:tl2br w:val="nil"/>
              <w:tr2bl w:val="nil"/>
            </w:tcBorders>
            <w:vAlign w:val="center"/>
          </w:tcPr>
          <w:p w14:paraId="56C0E7EE">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kern w:val="0"/>
                <w:sz w:val="18"/>
                <w:szCs w:val="18"/>
                <w:highlight w:val="none"/>
              </w:rPr>
            </w:pPr>
          </w:p>
        </w:tc>
        <w:tc>
          <w:tcPr>
            <w:tcW w:w="1144" w:type="pct"/>
            <w:tcBorders>
              <w:tl2br w:val="nil"/>
              <w:tr2bl w:val="nil"/>
            </w:tcBorders>
            <w:vAlign w:val="center"/>
          </w:tcPr>
          <w:p w14:paraId="5A454F39">
            <w:pPr>
              <w:keepNext w:val="0"/>
              <w:keepLines w:val="0"/>
              <w:suppressLineNumbers w:val="0"/>
              <w:autoSpaceDE w:val="0"/>
              <w:autoSpaceDN w:val="0"/>
              <w:spacing w:before="0" w:beforeAutospacing="0" w:after="0" w:afterAutospacing="0"/>
              <w:ind w:left="0" w:right="0"/>
              <w:jc w:val="center"/>
              <w:rPr>
                <w:rFonts w:hint="default" w:ascii="宋体"/>
                <w:sz w:val="18"/>
                <w:szCs w:val="18"/>
                <w:highlight w:val="none"/>
              </w:rPr>
            </w:pPr>
            <w:r>
              <w:rPr>
                <w:rFonts w:hint="default" w:ascii="宋体"/>
                <w:sz w:val="18"/>
                <w:szCs w:val="18"/>
                <w:highlight w:val="none"/>
              </w:rPr>
              <w:t>行业资质</w:t>
            </w:r>
            <w:r>
              <w:rPr>
                <w:rFonts w:hint="eastAsia" w:ascii="宋体"/>
                <w:sz w:val="18"/>
                <w:szCs w:val="18"/>
                <w:highlight w:val="none"/>
              </w:rPr>
              <w:t>荣誉</w:t>
            </w:r>
          </w:p>
        </w:tc>
        <w:tc>
          <w:tcPr>
            <w:tcW w:w="2701" w:type="pct"/>
            <w:tcBorders>
              <w:tl2br w:val="nil"/>
              <w:tr2bl w:val="nil"/>
            </w:tcBorders>
            <w:vAlign w:val="center"/>
          </w:tcPr>
          <w:p w14:paraId="3A6999E1">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kern w:val="0"/>
                <w:sz w:val="18"/>
                <w:szCs w:val="18"/>
                <w:highlight w:val="none"/>
              </w:rPr>
            </w:pPr>
            <w:r>
              <w:rPr>
                <w:rFonts w:hint="eastAsia" w:ascii="宋体"/>
                <w:kern w:val="0"/>
                <w:sz w:val="18"/>
                <w:szCs w:val="18"/>
                <w:highlight w:val="none"/>
              </w:rPr>
              <w:t>相关机构颁发的证明文件</w:t>
            </w:r>
          </w:p>
        </w:tc>
      </w:tr>
      <w:tr w14:paraId="42E0DE43">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jc w:val="center"/>
        </w:trPr>
        <w:tc>
          <w:tcPr>
            <w:tcW w:w="558" w:type="pct"/>
            <w:vMerge w:val="restart"/>
            <w:tcBorders>
              <w:tl2br w:val="nil"/>
              <w:tr2bl w:val="nil"/>
            </w:tcBorders>
            <w:vAlign w:val="center"/>
          </w:tcPr>
          <w:p w14:paraId="0942B787">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kern w:val="0"/>
                <w:sz w:val="18"/>
                <w:szCs w:val="18"/>
                <w:highlight w:val="none"/>
              </w:rPr>
            </w:pPr>
            <w:r>
              <w:rPr>
                <w:rFonts w:hint="default" w:ascii="宋体"/>
                <w:kern w:val="0"/>
                <w:sz w:val="18"/>
                <w:szCs w:val="18"/>
                <w:highlight w:val="none"/>
              </w:rPr>
              <w:t>环境表现</w:t>
            </w:r>
          </w:p>
        </w:tc>
        <w:tc>
          <w:tcPr>
            <w:tcW w:w="1740" w:type="pct"/>
            <w:gridSpan w:val="2"/>
            <w:tcBorders>
              <w:tl2br w:val="nil"/>
              <w:tr2bl w:val="nil"/>
            </w:tcBorders>
            <w:vAlign w:val="center"/>
          </w:tcPr>
          <w:p w14:paraId="72B44A0A">
            <w:pPr>
              <w:keepNext w:val="0"/>
              <w:keepLines w:val="0"/>
              <w:suppressLineNumbers w:val="0"/>
              <w:autoSpaceDE w:val="0"/>
              <w:autoSpaceDN w:val="0"/>
              <w:spacing w:before="0" w:beforeAutospacing="0" w:after="0" w:afterAutospacing="0"/>
              <w:ind w:left="0" w:right="0"/>
              <w:jc w:val="center"/>
              <w:rPr>
                <w:rFonts w:hint="default" w:ascii="宋体" w:hAnsi="Times New Roman" w:eastAsia="宋体" w:cs="Times New Roman"/>
                <w:kern w:val="0"/>
                <w:sz w:val="18"/>
                <w:szCs w:val="18"/>
                <w:highlight w:val="none"/>
                <w:lang w:val="en-US" w:eastAsia="zh-CN" w:bidi="ar-SA"/>
              </w:rPr>
            </w:pPr>
            <w:r>
              <w:rPr>
                <w:rFonts w:hint="eastAsia" w:ascii="宋体"/>
                <w:kern w:val="0"/>
                <w:sz w:val="18"/>
                <w:szCs w:val="18"/>
                <w:highlight w:val="none"/>
              </w:rPr>
              <w:t>温室气体排放水平</w:t>
            </w:r>
          </w:p>
        </w:tc>
        <w:tc>
          <w:tcPr>
            <w:tcW w:w="2701" w:type="pct"/>
            <w:tcBorders>
              <w:tl2br w:val="nil"/>
              <w:tr2bl w:val="nil"/>
            </w:tcBorders>
            <w:vAlign w:val="center"/>
          </w:tcPr>
          <w:p w14:paraId="1979E0AA">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eastAsia" w:ascii="宋体" w:hAnsi="Times New Roman" w:eastAsia="宋体" w:cs="Times New Roman"/>
                <w:kern w:val="0"/>
                <w:sz w:val="18"/>
                <w:szCs w:val="18"/>
                <w:highlight w:val="none"/>
                <w:lang w:val="en-US" w:eastAsia="zh-CN" w:bidi="ar-SA"/>
              </w:rPr>
            </w:pPr>
            <w:r>
              <w:rPr>
                <w:rFonts w:hint="eastAsia" w:ascii="宋体"/>
                <w:kern w:val="0"/>
                <w:sz w:val="18"/>
                <w:szCs w:val="18"/>
                <w:highlight w:val="none"/>
                <w:lang w:val="en-US" w:eastAsia="zh-CN"/>
              </w:rPr>
              <w:t>温室气体核算</w:t>
            </w:r>
            <w:r>
              <w:rPr>
                <w:rFonts w:hint="default" w:ascii="宋体"/>
                <w:kern w:val="0"/>
                <w:sz w:val="18"/>
                <w:szCs w:val="18"/>
                <w:highlight w:val="none"/>
              </w:rPr>
              <w:t>报告</w:t>
            </w:r>
            <w:r>
              <w:rPr>
                <w:rFonts w:hint="eastAsia" w:ascii="宋体"/>
                <w:kern w:val="0"/>
                <w:sz w:val="18"/>
                <w:szCs w:val="18"/>
                <w:highlight w:val="none"/>
                <w:vertAlign w:val="superscript"/>
                <w:lang w:val="en-US" w:eastAsia="zh-CN"/>
              </w:rPr>
              <w:t>e</w:t>
            </w:r>
          </w:p>
        </w:tc>
      </w:tr>
      <w:tr w14:paraId="524A5A1D">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jc w:val="center"/>
        </w:trPr>
        <w:tc>
          <w:tcPr>
            <w:tcW w:w="558" w:type="pct"/>
            <w:vMerge w:val="continue"/>
            <w:tcBorders>
              <w:tl2br w:val="nil"/>
              <w:tr2bl w:val="nil"/>
            </w:tcBorders>
            <w:vAlign w:val="center"/>
          </w:tcPr>
          <w:p w14:paraId="7671BF07">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kern w:val="0"/>
                <w:sz w:val="18"/>
                <w:szCs w:val="18"/>
                <w:highlight w:val="none"/>
              </w:rPr>
            </w:pPr>
          </w:p>
        </w:tc>
        <w:tc>
          <w:tcPr>
            <w:tcW w:w="1740" w:type="pct"/>
            <w:gridSpan w:val="2"/>
            <w:tcBorders>
              <w:tl2br w:val="nil"/>
              <w:tr2bl w:val="nil"/>
            </w:tcBorders>
            <w:vAlign w:val="center"/>
          </w:tcPr>
          <w:p w14:paraId="3FF64356">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kern w:val="0"/>
                <w:sz w:val="18"/>
                <w:szCs w:val="18"/>
                <w:highlight w:val="none"/>
              </w:rPr>
            </w:pPr>
            <w:r>
              <w:rPr>
                <w:rFonts w:hint="default" w:ascii="宋体"/>
                <w:kern w:val="0"/>
                <w:sz w:val="18"/>
                <w:szCs w:val="18"/>
                <w:highlight w:val="none"/>
              </w:rPr>
              <w:t>工艺设备材料</w:t>
            </w:r>
          </w:p>
        </w:tc>
        <w:tc>
          <w:tcPr>
            <w:tcW w:w="2701" w:type="pct"/>
            <w:tcBorders>
              <w:tl2br w:val="nil"/>
              <w:tr2bl w:val="nil"/>
            </w:tcBorders>
            <w:vAlign w:val="center"/>
          </w:tcPr>
          <w:p w14:paraId="306B127E">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kern w:val="0"/>
                <w:sz w:val="18"/>
                <w:szCs w:val="18"/>
                <w:highlight w:val="none"/>
              </w:rPr>
            </w:pPr>
            <w:r>
              <w:rPr>
                <w:rFonts w:hint="default" w:ascii="宋体"/>
                <w:kern w:val="0"/>
                <w:sz w:val="18"/>
                <w:szCs w:val="18"/>
                <w:highlight w:val="none"/>
              </w:rPr>
              <w:t>企业相关自证材料</w:t>
            </w:r>
          </w:p>
        </w:tc>
      </w:tr>
      <w:tr w14:paraId="0799C20F">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jc w:val="center"/>
        </w:trPr>
        <w:tc>
          <w:tcPr>
            <w:tcW w:w="558" w:type="pct"/>
            <w:vMerge w:val="continue"/>
            <w:tcBorders>
              <w:tl2br w:val="nil"/>
              <w:tr2bl w:val="nil"/>
            </w:tcBorders>
            <w:vAlign w:val="center"/>
          </w:tcPr>
          <w:p w14:paraId="56E9219F">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kern w:val="0"/>
                <w:sz w:val="18"/>
                <w:szCs w:val="18"/>
                <w:highlight w:val="none"/>
              </w:rPr>
            </w:pPr>
          </w:p>
        </w:tc>
        <w:tc>
          <w:tcPr>
            <w:tcW w:w="1740" w:type="pct"/>
            <w:gridSpan w:val="2"/>
            <w:tcBorders>
              <w:tl2br w:val="nil"/>
              <w:tr2bl w:val="nil"/>
            </w:tcBorders>
            <w:vAlign w:val="center"/>
          </w:tcPr>
          <w:p w14:paraId="0B6244CA">
            <w:pPr>
              <w:keepNext w:val="0"/>
              <w:keepLines w:val="0"/>
              <w:suppressLineNumbers w:val="0"/>
              <w:autoSpaceDE w:val="0"/>
              <w:autoSpaceDN w:val="0"/>
              <w:spacing w:before="0" w:beforeAutospacing="0" w:after="0" w:afterAutospacing="0"/>
              <w:ind w:left="0" w:right="0"/>
              <w:jc w:val="center"/>
              <w:rPr>
                <w:rFonts w:hint="default" w:ascii="宋体"/>
                <w:kern w:val="0"/>
                <w:sz w:val="18"/>
                <w:szCs w:val="18"/>
                <w:highlight w:val="none"/>
              </w:rPr>
            </w:pPr>
            <w:r>
              <w:rPr>
                <w:rFonts w:hint="default" w:ascii="宋体"/>
                <w:kern w:val="0"/>
                <w:sz w:val="18"/>
                <w:szCs w:val="18"/>
                <w:highlight w:val="none"/>
              </w:rPr>
              <w:t>能源资源利用</w:t>
            </w:r>
          </w:p>
        </w:tc>
        <w:tc>
          <w:tcPr>
            <w:tcW w:w="2701" w:type="pct"/>
            <w:tcBorders>
              <w:tl2br w:val="nil"/>
              <w:tr2bl w:val="nil"/>
            </w:tcBorders>
            <w:vAlign w:val="center"/>
          </w:tcPr>
          <w:p w14:paraId="4BDD5437">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kern w:val="0"/>
                <w:sz w:val="18"/>
                <w:szCs w:val="18"/>
                <w:highlight w:val="none"/>
              </w:rPr>
            </w:pPr>
            <w:r>
              <w:rPr>
                <w:rFonts w:hint="default" w:ascii="宋体"/>
                <w:kern w:val="0"/>
                <w:sz w:val="18"/>
                <w:szCs w:val="18"/>
                <w:highlight w:val="none"/>
              </w:rPr>
              <w:t>企业相关自证材料</w:t>
            </w:r>
          </w:p>
        </w:tc>
      </w:tr>
      <w:tr w14:paraId="7302BFE6">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jc w:val="center"/>
        </w:trPr>
        <w:tc>
          <w:tcPr>
            <w:tcW w:w="558" w:type="pct"/>
            <w:vMerge w:val="continue"/>
            <w:tcBorders>
              <w:tl2br w:val="nil"/>
              <w:tr2bl w:val="nil"/>
            </w:tcBorders>
            <w:vAlign w:val="center"/>
          </w:tcPr>
          <w:p w14:paraId="515A9720">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kern w:val="0"/>
                <w:sz w:val="18"/>
                <w:szCs w:val="18"/>
                <w:highlight w:val="none"/>
              </w:rPr>
            </w:pPr>
          </w:p>
        </w:tc>
        <w:tc>
          <w:tcPr>
            <w:tcW w:w="1740" w:type="pct"/>
            <w:gridSpan w:val="2"/>
            <w:tcBorders>
              <w:tl2br w:val="nil"/>
              <w:tr2bl w:val="nil"/>
            </w:tcBorders>
            <w:vAlign w:val="center"/>
          </w:tcPr>
          <w:p w14:paraId="187C8026">
            <w:pPr>
              <w:keepNext w:val="0"/>
              <w:keepLines w:val="0"/>
              <w:suppressLineNumbers w:val="0"/>
              <w:autoSpaceDE w:val="0"/>
              <w:autoSpaceDN w:val="0"/>
              <w:spacing w:before="0" w:beforeAutospacing="0" w:after="0" w:afterAutospacing="0"/>
              <w:ind w:left="0" w:right="0"/>
              <w:jc w:val="center"/>
              <w:rPr>
                <w:rFonts w:hint="default" w:ascii="宋体"/>
                <w:sz w:val="18"/>
                <w:szCs w:val="18"/>
                <w:highlight w:val="none"/>
              </w:rPr>
            </w:pPr>
            <w:r>
              <w:rPr>
                <w:rFonts w:hint="eastAsia" w:ascii="宋体"/>
                <w:kern w:val="0"/>
                <w:sz w:val="18"/>
                <w:szCs w:val="18"/>
                <w:highlight w:val="none"/>
              </w:rPr>
              <w:t>污染物排放水平</w:t>
            </w:r>
          </w:p>
        </w:tc>
        <w:tc>
          <w:tcPr>
            <w:tcW w:w="2701" w:type="pct"/>
            <w:tcBorders>
              <w:tl2br w:val="nil"/>
              <w:tr2bl w:val="nil"/>
            </w:tcBorders>
            <w:vAlign w:val="center"/>
          </w:tcPr>
          <w:p w14:paraId="3C897C17">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kern w:val="0"/>
                <w:sz w:val="18"/>
                <w:szCs w:val="18"/>
                <w:highlight w:val="none"/>
              </w:rPr>
            </w:pPr>
            <w:r>
              <w:rPr>
                <w:rFonts w:hint="eastAsia" w:ascii="宋体"/>
                <w:kern w:val="0"/>
                <w:sz w:val="18"/>
                <w:szCs w:val="18"/>
                <w:highlight w:val="none"/>
              </w:rPr>
              <w:t>全国污染源监测数据管理与共享系统平台的自行监测数据</w:t>
            </w:r>
          </w:p>
        </w:tc>
      </w:tr>
      <w:tr w14:paraId="4856117C">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jc w:val="center"/>
        </w:trPr>
        <w:tc>
          <w:tcPr>
            <w:tcW w:w="558" w:type="pct"/>
            <w:vMerge w:val="restart"/>
            <w:tcBorders>
              <w:tl2br w:val="nil"/>
              <w:tr2bl w:val="nil"/>
            </w:tcBorders>
            <w:vAlign w:val="center"/>
          </w:tcPr>
          <w:p w14:paraId="5C377F14">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kern w:val="0"/>
                <w:sz w:val="18"/>
                <w:szCs w:val="18"/>
                <w:highlight w:val="none"/>
              </w:rPr>
            </w:pPr>
            <w:r>
              <w:rPr>
                <w:rFonts w:hint="default" w:ascii="宋体"/>
                <w:kern w:val="0"/>
                <w:sz w:val="18"/>
                <w:szCs w:val="18"/>
                <w:highlight w:val="none"/>
              </w:rPr>
              <w:t>社会表现</w:t>
            </w:r>
          </w:p>
        </w:tc>
        <w:tc>
          <w:tcPr>
            <w:tcW w:w="1740" w:type="pct"/>
            <w:gridSpan w:val="2"/>
            <w:tcBorders>
              <w:tl2br w:val="nil"/>
              <w:tr2bl w:val="nil"/>
            </w:tcBorders>
            <w:vAlign w:val="center"/>
          </w:tcPr>
          <w:p w14:paraId="3BA80F2A">
            <w:pPr>
              <w:keepNext w:val="0"/>
              <w:keepLines w:val="0"/>
              <w:widowControl/>
              <w:suppressLineNumbers w:val="0"/>
              <w:autoSpaceDE w:val="0"/>
              <w:autoSpaceDN w:val="0"/>
              <w:spacing w:before="0" w:beforeAutospacing="0" w:after="0" w:afterAutospacing="0"/>
              <w:ind w:left="0" w:right="0"/>
              <w:jc w:val="center"/>
              <w:rPr>
                <w:rFonts w:hint="default" w:ascii="宋体"/>
                <w:sz w:val="18"/>
                <w:szCs w:val="18"/>
                <w:highlight w:val="none"/>
              </w:rPr>
            </w:pPr>
            <w:r>
              <w:rPr>
                <w:rFonts w:hint="eastAsia" w:ascii="宋体"/>
                <w:kern w:val="0"/>
                <w:sz w:val="18"/>
                <w:szCs w:val="18"/>
                <w:highlight w:val="none"/>
              </w:rPr>
              <w:t>内部行动</w:t>
            </w:r>
          </w:p>
        </w:tc>
        <w:tc>
          <w:tcPr>
            <w:tcW w:w="2701" w:type="pct"/>
            <w:tcBorders>
              <w:tl2br w:val="nil"/>
              <w:tr2bl w:val="nil"/>
            </w:tcBorders>
            <w:vAlign w:val="center"/>
          </w:tcPr>
          <w:p w14:paraId="6AFB1D9F">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kern w:val="0"/>
                <w:sz w:val="18"/>
                <w:szCs w:val="18"/>
                <w:highlight w:val="none"/>
              </w:rPr>
            </w:pPr>
            <w:r>
              <w:rPr>
                <w:rFonts w:hint="eastAsia" w:ascii="宋体"/>
                <w:kern w:val="0"/>
                <w:sz w:val="18"/>
                <w:szCs w:val="18"/>
                <w:highlight w:val="none"/>
              </w:rPr>
              <w:t>企业相关自证材料</w:t>
            </w:r>
          </w:p>
        </w:tc>
      </w:tr>
      <w:tr w14:paraId="0E23D29E">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jc w:val="center"/>
        </w:trPr>
        <w:tc>
          <w:tcPr>
            <w:tcW w:w="558" w:type="pct"/>
            <w:vMerge w:val="continue"/>
            <w:tcBorders>
              <w:bottom w:val="single" w:color="000000" w:sz="12" w:space="0"/>
              <w:tl2br w:val="nil"/>
              <w:tr2bl w:val="nil"/>
            </w:tcBorders>
            <w:vAlign w:val="center"/>
          </w:tcPr>
          <w:p w14:paraId="27929E97">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kern w:val="0"/>
                <w:sz w:val="18"/>
                <w:szCs w:val="18"/>
                <w:highlight w:val="none"/>
              </w:rPr>
            </w:pPr>
          </w:p>
        </w:tc>
        <w:tc>
          <w:tcPr>
            <w:tcW w:w="1740" w:type="pct"/>
            <w:gridSpan w:val="2"/>
            <w:tcBorders>
              <w:bottom w:val="single" w:color="000000" w:sz="12" w:space="0"/>
              <w:tl2br w:val="nil"/>
              <w:tr2bl w:val="nil"/>
            </w:tcBorders>
            <w:vAlign w:val="center"/>
          </w:tcPr>
          <w:p w14:paraId="108DC4D0">
            <w:pPr>
              <w:keepNext w:val="0"/>
              <w:keepLines w:val="0"/>
              <w:suppressLineNumbers w:val="0"/>
              <w:autoSpaceDE w:val="0"/>
              <w:autoSpaceDN w:val="0"/>
              <w:spacing w:before="0" w:beforeAutospacing="0" w:after="0" w:afterAutospacing="0"/>
              <w:ind w:left="0" w:right="0"/>
              <w:jc w:val="center"/>
              <w:rPr>
                <w:rFonts w:hint="default" w:ascii="宋体"/>
                <w:sz w:val="18"/>
                <w:szCs w:val="18"/>
                <w:highlight w:val="none"/>
              </w:rPr>
            </w:pPr>
            <w:r>
              <w:rPr>
                <w:rFonts w:hint="default" w:ascii="宋体"/>
                <w:kern w:val="0"/>
                <w:sz w:val="18"/>
                <w:szCs w:val="18"/>
                <w:highlight w:val="none"/>
              </w:rPr>
              <w:t>社会责任</w:t>
            </w:r>
          </w:p>
        </w:tc>
        <w:tc>
          <w:tcPr>
            <w:tcW w:w="2701" w:type="pct"/>
            <w:tcBorders>
              <w:bottom w:val="single" w:color="000000" w:sz="12" w:space="0"/>
              <w:tl2br w:val="nil"/>
              <w:tr2bl w:val="nil"/>
            </w:tcBorders>
            <w:vAlign w:val="center"/>
          </w:tcPr>
          <w:p w14:paraId="3A9604B4">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kern w:val="0"/>
                <w:sz w:val="18"/>
                <w:szCs w:val="18"/>
                <w:highlight w:val="none"/>
              </w:rPr>
            </w:pPr>
            <w:r>
              <w:rPr>
                <w:rFonts w:hint="default" w:ascii="宋体"/>
                <w:kern w:val="0"/>
                <w:sz w:val="18"/>
                <w:szCs w:val="18"/>
                <w:highlight w:val="none"/>
              </w:rPr>
              <w:t>企业相关自证材料</w:t>
            </w:r>
          </w:p>
        </w:tc>
      </w:tr>
      <w:tr w14:paraId="50D64242">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jc w:val="center"/>
        </w:trPr>
        <w:tc>
          <w:tcPr>
            <w:tcW w:w="5000" w:type="pct"/>
            <w:gridSpan w:val="4"/>
            <w:tcBorders>
              <w:top w:val="single" w:color="000000" w:sz="12" w:space="0"/>
            </w:tcBorders>
            <w:vAlign w:val="center"/>
          </w:tcPr>
          <w:p w14:paraId="6A108F05">
            <w:pPr>
              <w:keepNext w:val="0"/>
              <w:keepLines w:val="0"/>
              <w:pageBreakBefore w:val="0"/>
              <w:widowControl/>
              <w:suppressLineNumbers w:val="0"/>
              <w:tabs>
                <w:tab w:val="center" w:pos="4201"/>
                <w:tab w:val="right" w:leader="dot" w:pos="9298"/>
              </w:tabs>
              <w:kinsoku/>
              <w:wordWrap/>
              <w:overflowPunct/>
              <w:topLinePunct w:val="0"/>
              <w:autoSpaceDE w:val="0"/>
              <w:autoSpaceDN w:val="0"/>
              <w:bidi w:val="0"/>
              <w:adjustRightInd/>
              <w:snapToGrid/>
              <w:spacing w:before="0" w:beforeAutospacing="0" w:after="0" w:afterAutospacing="0"/>
              <w:ind w:left="0" w:right="0" w:firstLine="360" w:firstLineChars="200"/>
              <w:jc w:val="left"/>
              <w:textAlignment w:val="auto"/>
              <w:rPr>
                <w:rFonts w:hint="eastAsia" w:ascii="宋体"/>
                <w:kern w:val="0"/>
                <w:sz w:val="18"/>
                <w:szCs w:val="18"/>
                <w:highlight w:val="none"/>
                <w:lang w:val="en-US" w:eastAsia="zh-CN"/>
              </w:rPr>
            </w:pPr>
            <w:bookmarkStart w:id="98" w:name="_Toc23498"/>
            <w:r>
              <w:rPr>
                <w:rFonts w:hint="eastAsia" w:ascii="宋体"/>
                <w:kern w:val="0"/>
                <w:sz w:val="18"/>
                <w:szCs w:val="18"/>
                <w:highlight w:val="none"/>
                <w:vertAlign w:val="superscript"/>
                <w:lang w:val="en-US" w:eastAsia="zh-CN"/>
              </w:rPr>
              <w:t>a</w:t>
            </w:r>
            <w:r>
              <w:rPr>
                <w:rFonts w:hint="eastAsia" w:ascii="宋体"/>
                <w:kern w:val="0"/>
                <w:sz w:val="18"/>
                <w:szCs w:val="18"/>
                <w:highlight w:val="none"/>
                <w:vertAlign w:val="baseline"/>
                <w:lang w:val="en-US" w:eastAsia="zh-CN"/>
              </w:rPr>
              <w:t xml:space="preserve">  </w:t>
            </w:r>
            <w:r>
              <w:rPr>
                <w:rFonts w:hint="eastAsia" w:ascii="宋体"/>
                <w:kern w:val="0"/>
                <w:sz w:val="18"/>
                <w:szCs w:val="18"/>
                <w:highlight w:val="none"/>
                <w:lang w:val="en-US" w:eastAsia="zh-CN"/>
              </w:rPr>
              <w:t>提供能证明技术产品（服务）的关键技术和技术指标的相关材料。</w:t>
            </w:r>
          </w:p>
          <w:p w14:paraId="276DFFA2">
            <w:pPr>
              <w:keepNext w:val="0"/>
              <w:keepLines w:val="0"/>
              <w:pageBreakBefore w:val="0"/>
              <w:widowControl/>
              <w:suppressLineNumbers w:val="0"/>
              <w:tabs>
                <w:tab w:val="center" w:pos="4201"/>
                <w:tab w:val="right" w:leader="dot" w:pos="9298"/>
              </w:tabs>
              <w:kinsoku/>
              <w:wordWrap/>
              <w:overflowPunct/>
              <w:topLinePunct w:val="0"/>
              <w:autoSpaceDE w:val="0"/>
              <w:autoSpaceDN w:val="0"/>
              <w:bidi w:val="0"/>
              <w:adjustRightInd/>
              <w:snapToGrid/>
              <w:spacing w:before="0" w:beforeAutospacing="0" w:after="0" w:afterAutospacing="0"/>
              <w:ind w:left="0" w:right="0" w:firstLine="360" w:firstLineChars="200"/>
              <w:jc w:val="left"/>
              <w:textAlignment w:val="auto"/>
              <w:rPr>
                <w:rFonts w:hint="eastAsia" w:ascii="宋体"/>
                <w:kern w:val="0"/>
                <w:sz w:val="18"/>
                <w:szCs w:val="18"/>
                <w:highlight w:val="none"/>
                <w:lang w:val="en-US" w:eastAsia="zh-CN"/>
              </w:rPr>
            </w:pPr>
            <w:r>
              <w:rPr>
                <w:rFonts w:hint="eastAsia" w:ascii="宋体"/>
                <w:kern w:val="0"/>
                <w:sz w:val="18"/>
                <w:szCs w:val="18"/>
                <w:highlight w:val="none"/>
                <w:vertAlign w:val="superscript"/>
                <w:lang w:val="en-US" w:eastAsia="zh-CN"/>
              </w:rPr>
              <w:t>b</w:t>
            </w:r>
            <w:r>
              <w:rPr>
                <w:rFonts w:hint="eastAsia" w:ascii="宋体"/>
                <w:kern w:val="0"/>
                <w:sz w:val="18"/>
                <w:szCs w:val="18"/>
                <w:highlight w:val="none"/>
                <w:lang w:val="en-US" w:eastAsia="zh-CN"/>
              </w:rPr>
              <w:t xml:space="preserve">  提供环境效益测算的过程材料以及相关佐证材料。</w:t>
            </w:r>
          </w:p>
          <w:p w14:paraId="3CAB4525">
            <w:pPr>
              <w:keepNext w:val="0"/>
              <w:keepLines w:val="0"/>
              <w:pageBreakBefore w:val="0"/>
              <w:widowControl/>
              <w:suppressLineNumbers w:val="0"/>
              <w:tabs>
                <w:tab w:val="center" w:pos="4201"/>
                <w:tab w:val="right" w:leader="dot" w:pos="9298"/>
              </w:tabs>
              <w:kinsoku/>
              <w:wordWrap/>
              <w:overflowPunct/>
              <w:topLinePunct w:val="0"/>
              <w:autoSpaceDE w:val="0"/>
              <w:autoSpaceDN w:val="0"/>
              <w:bidi w:val="0"/>
              <w:adjustRightInd/>
              <w:snapToGrid/>
              <w:spacing w:before="0" w:beforeAutospacing="0" w:after="0" w:afterAutospacing="0"/>
              <w:ind w:left="0" w:right="0" w:firstLine="360" w:firstLineChars="200"/>
              <w:jc w:val="left"/>
              <w:textAlignment w:val="auto"/>
              <w:rPr>
                <w:rFonts w:hint="eastAsia" w:ascii="宋体"/>
                <w:kern w:val="0"/>
                <w:sz w:val="18"/>
                <w:szCs w:val="18"/>
                <w:highlight w:val="none"/>
                <w:lang w:val="en-US" w:eastAsia="zh-CN"/>
              </w:rPr>
            </w:pPr>
            <w:r>
              <w:rPr>
                <w:rFonts w:hint="eastAsia" w:ascii="宋体"/>
                <w:kern w:val="0"/>
                <w:sz w:val="18"/>
                <w:szCs w:val="18"/>
                <w:highlight w:val="none"/>
                <w:vertAlign w:val="superscript"/>
                <w:lang w:val="en-US" w:eastAsia="zh-CN"/>
              </w:rPr>
              <w:t>c</w:t>
            </w:r>
            <w:r>
              <w:rPr>
                <w:rFonts w:hint="eastAsia" w:ascii="宋体"/>
                <w:kern w:val="0"/>
                <w:sz w:val="18"/>
                <w:szCs w:val="18"/>
                <w:highlight w:val="none"/>
                <w:lang w:val="en-US" w:eastAsia="zh-CN"/>
              </w:rPr>
              <w:t xml:space="preserve">  提供近1个会计年度绿色低碳领域研究开发费用、营业收入专项审计或鉴证报告。</w:t>
            </w:r>
          </w:p>
          <w:p w14:paraId="1B507892">
            <w:pPr>
              <w:keepNext w:val="0"/>
              <w:keepLines w:val="0"/>
              <w:pageBreakBefore w:val="0"/>
              <w:widowControl/>
              <w:suppressLineNumbers w:val="0"/>
              <w:tabs>
                <w:tab w:val="center" w:pos="4201"/>
                <w:tab w:val="right" w:leader="dot" w:pos="9298"/>
              </w:tabs>
              <w:kinsoku/>
              <w:wordWrap/>
              <w:overflowPunct/>
              <w:topLinePunct w:val="0"/>
              <w:autoSpaceDE w:val="0"/>
              <w:autoSpaceDN w:val="0"/>
              <w:bidi w:val="0"/>
              <w:adjustRightInd/>
              <w:snapToGrid/>
              <w:spacing w:before="0" w:beforeAutospacing="0" w:after="0" w:afterAutospacing="0"/>
              <w:ind w:left="0" w:right="0" w:firstLine="360" w:firstLineChars="200"/>
              <w:jc w:val="left"/>
              <w:textAlignment w:val="auto"/>
              <w:rPr>
                <w:rFonts w:hint="eastAsia" w:ascii="宋体"/>
                <w:kern w:val="0"/>
                <w:sz w:val="18"/>
                <w:szCs w:val="18"/>
                <w:highlight w:val="none"/>
                <w:lang w:val="en-US" w:eastAsia="zh-CN"/>
              </w:rPr>
            </w:pPr>
            <w:r>
              <w:rPr>
                <w:rFonts w:hint="eastAsia" w:ascii="宋体"/>
                <w:kern w:val="0"/>
                <w:sz w:val="18"/>
                <w:szCs w:val="18"/>
                <w:highlight w:val="none"/>
                <w:vertAlign w:val="superscript"/>
                <w:lang w:val="en-US" w:eastAsia="zh-CN"/>
              </w:rPr>
              <w:t>d</w:t>
            </w:r>
            <w:r>
              <w:rPr>
                <w:rFonts w:hint="eastAsia" w:ascii="宋体"/>
                <w:kern w:val="0"/>
                <w:sz w:val="18"/>
                <w:szCs w:val="18"/>
                <w:highlight w:val="none"/>
                <w:lang w:val="en-US" w:eastAsia="zh-CN"/>
              </w:rPr>
              <w:t xml:space="preserve">  提供经具有资质的中介机构出具的企业近3年财务审计报告。</w:t>
            </w:r>
          </w:p>
          <w:p w14:paraId="6FAA73FA">
            <w:pPr>
              <w:keepNext w:val="0"/>
              <w:keepLines w:val="0"/>
              <w:pageBreakBefore w:val="0"/>
              <w:widowControl/>
              <w:suppressLineNumbers w:val="0"/>
              <w:tabs>
                <w:tab w:val="center" w:pos="4201"/>
                <w:tab w:val="right" w:leader="dot" w:pos="9298"/>
              </w:tabs>
              <w:kinsoku/>
              <w:wordWrap/>
              <w:overflowPunct/>
              <w:topLinePunct w:val="0"/>
              <w:autoSpaceDE w:val="0"/>
              <w:autoSpaceDN w:val="0"/>
              <w:bidi w:val="0"/>
              <w:adjustRightInd/>
              <w:snapToGrid/>
              <w:spacing w:before="0" w:beforeAutospacing="0" w:after="0" w:afterAutospacing="0"/>
              <w:ind w:left="591" w:leftChars="171" w:right="0" w:hanging="232" w:hangingChars="129"/>
              <w:jc w:val="left"/>
              <w:textAlignment w:val="auto"/>
              <w:rPr>
                <w:rFonts w:hint="default" w:ascii="宋体"/>
                <w:kern w:val="0"/>
                <w:sz w:val="18"/>
                <w:szCs w:val="18"/>
                <w:highlight w:val="none"/>
                <w:lang w:val="en-US" w:eastAsia="zh-CN"/>
              </w:rPr>
            </w:pPr>
            <w:r>
              <w:rPr>
                <w:rFonts w:hint="eastAsia" w:ascii="宋体"/>
                <w:kern w:val="0"/>
                <w:sz w:val="18"/>
                <w:szCs w:val="18"/>
                <w:highlight w:val="none"/>
                <w:vertAlign w:val="superscript"/>
                <w:lang w:val="en-US" w:eastAsia="zh-CN"/>
              </w:rPr>
              <w:t>e</w:t>
            </w:r>
            <w:r>
              <w:rPr>
                <w:rFonts w:hint="eastAsia" w:ascii="宋体"/>
                <w:kern w:val="0"/>
                <w:sz w:val="18"/>
                <w:szCs w:val="18"/>
                <w:highlight w:val="none"/>
                <w:lang w:val="en-US" w:eastAsia="zh-CN"/>
              </w:rPr>
              <w:t xml:space="preserve">  提供碳排放核查机构出具的报告，或企事业单位参照GB/T 32150、SZDB/Z 69等相关政府职能部门印发的规范性文件编制的温室气体核算报告。</w:t>
            </w:r>
          </w:p>
        </w:tc>
      </w:tr>
    </w:tbl>
    <w:p w14:paraId="7D54EDE7">
      <w:pPr>
        <w:numPr>
          <w:ilvl w:val="0"/>
          <w:numId w:val="17"/>
        </w:numPr>
        <w:spacing w:before="156" w:beforeLines="50" w:after="156" w:afterLines="50"/>
        <w:ind w:left="0" w:firstLine="0"/>
        <w:jc w:val="center"/>
        <w:rPr>
          <w:highlight w:val="none"/>
        </w:rPr>
      </w:pPr>
      <w:r>
        <w:rPr>
          <w:rFonts w:hint="eastAsia" w:eastAsia="黑体"/>
          <w:highlight w:val="none"/>
          <w:lang w:val="en-US" w:eastAsia="zh-CN"/>
        </w:rPr>
        <w:t>温室气体控制领域</w:t>
      </w:r>
      <w:r>
        <w:rPr>
          <w:rFonts w:hint="eastAsia" w:eastAsia="黑体"/>
          <w:highlight w:val="none"/>
          <w:lang w:eastAsia="zh-CN"/>
        </w:rPr>
        <w:t>绿色低碳产业</w:t>
      </w:r>
      <w:r>
        <w:rPr>
          <w:rFonts w:hint="eastAsia" w:eastAsia="黑体"/>
          <w:highlight w:val="none"/>
          <w:lang w:val="en-US" w:eastAsia="zh-CN"/>
        </w:rPr>
        <w:t>项目认定</w:t>
      </w:r>
      <w:r>
        <w:rPr>
          <w:rFonts w:hint="eastAsia" w:eastAsia="黑体"/>
          <w:highlight w:val="none"/>
        </w:rPr>
        <w:t>符合性评价证明材料</w:t>
      </w:r>
    </w:p>
    <w:tbl>
      <w:tblPr>
        <w:tblStyle w:val="37"/>
        <w:tblW w:w="4994" w:type="pct"/>
        <w:jc w:val="center"/>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autofit"/>
        <w:tblCellMar>
          <w:top w:w="0" w:type="dxa"/>
          <w:left w:w="108" w:type="dxa"/>
          <w:bottom w:w="0" w:type="dxa"/>
          <w:right w:w="108" w:type="dxa"/>
        </w:tblCellMar>
      </w:tblPr>
      <w:tblGrid>
        <w:gridCol w:w="1093"/>
        <w:gridCol w:w="6215"/>
        <w:gridCol w:w="2251"/>
      </w:tblGrid>
      <w:tr w14:paraId="4B6F5D37">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90" w:hRule="atLeast"/>
          <w:tblHeader/>
          <w:jc w:val="center"/>
        </w:trPr>
        <w:tc>
          <w:tcPr>
            <w:tcW w:w="572" w:type="pct"/>
            <w:tcBorders>
              <w:bottom w:val="single" w:color="000000" w:sz="12" w:space="0"/>
            </w:tcBorders>
            <w:vAlign w:val="center"/>
          </w:tcPr>
          <w:p w14:paraId="634D60F4">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b/>
                <w:kern w:val="0"/>
                <w:sz w:val="18"/>
                <w:szCs w:val="18"/>
                <w:highlight w:val="none"/>
              </w:rPr>
            </w:pPr>
            <w:r>
              <w:rPr>
                <w:rFonts w:hint="eastAsia" w:ascii="宋体"/>
                <w:b/>
                <w:kern w:val="0"/>
                <w:sz w:val="18"/>
                <w:szCs w:val="18"/>
                <w:highlight w:val="none"/>
              </w:rPr>
              <w:t>指标</w:t>
            </w:r>
          </w:p>
        </w:tc>
        <w:tc>
          <w:tcPr>
            <w:tcW w:w="3250" w:type="pct"/>
            <w:tcBorders>
              <w:bottom w:val="single" w:color="000000" w:sz="12" w:space="0"/>
            </w:tcBorders>
            <w:vAlign w:val="center"/>
          </w:tcPr>
          <w:p w14:paraId="0922FD49">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b/>
                <w:kern w:val="0"/>
                <w:sz w:val="18"/>
                <w:szCs w:val="18"/>
                <w:highlight w:val="none"/>
              </w:rPr>
            </w:pPr>
            <w:r>
              <w:rPr>
                <w:rFonts w:hint="eastAsia" w:ascii="宋体"/>
                <w:b/>
                <w:kern w:val="0"/>
                <w:sz w:val="18"/>
                <w:szCs w:val="18"/>
                <w:highlight w:val="none"/>
              </w:rPr>
              <w:t>评价内容</w:t>
            </w:r>
          </w:p>
        </w:tc>
        <w:tc>
          <w:tcPr>
            <w:tcW w:w="1177" w:type="pct"/>
            <w:tcBorders>
              <w:bottom w:val="single" w:color="000000" w:sz="12" w:space="0"/>
            </w:tcBorders>
            <w:vAlign w:val="center"/>
          </w:tcPr>
          <w:p w14:paraId="72471D22">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b/>
                <w:kern w:val="0"/>
                <w:sz w:val="18"/>
                <w:szCs w:val="18"/>
                <w:highlight w:val="none"/>
              </w:rPr>
            </w:pPr>
            <w:r>
              <w:rPr>
                <w:rFonts w:hint="default" w:ascii="宋体"/>
                <w:b/>
                <w:kern w:val="0"/>
                <w:sz w:val="18"/>
                <w:szCs w:val="18"/>
                <w:highlight w:val="none"/>
              </w:rPr>
              <w:t>证明材料</w:t>
            </w:r>
          </w:p>
        </w:tc>
      </w:tr>
      <w:tr w14:paraId="3F523144">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90" w:hRule="atLeast"/>
          <w:jc w:val="center"/>
        </w:trPr>
        <w:tc>
          <w:tcPr>
            <w:tcW w:w="572" w:type="pct"/>
            <w:tcBorders>
              <w:top w:val="single" w:color="000000" w:sz="12" w:space="0"/>
              <w:tl2br w:val="nil"/>
              <w:tr2bl w:val="nil"/>
            </w:tcBorders>
            <w:vAlign w:val="center"/>
          </w:tcPr>
          <w:p w14:paraId="717D2555">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kern w:val="0"/>
                <w:sz w:val="18"/>
                <w:szCs w:val="18"/>
                <w:highlight w:val="none"/>
              </w:rPr>
            </w:pPr>
            <w:r>
              <w:rPr>
                <w:rFonts w:hint="default" w:ascii="宋体"/>
                <w:kern w:val="0"/>
                <w:sz w:val="18"/>
                <w:szCs w:val="18"/>
                <w:highlight w:val="none"/>
              </w:rPr>
              <w:t>目录符合</w:t>
            </w:r>
          </w:p>
        </w:tc>
        <w:tc>
          <w:tcPr>
            <w:tcW w:w="3250" w:type="pct"/>
            <w:tcBorders>
              <w:top w:val="single" w:color="000000" w:sz="12" w:space="0"/>
              <w:tl2br w:val="nil"/>
              <w:tr2bl w:val="nil"/>
            </w:tcBorders>
            <w:vAlign w:val="center"/>
          </w:tcPr>
          <w:p w14:paraId="01B52200">
            <w:pPr>
              <w:keepNext w:val="0"/>
              <w:keepLines w:val="0"/>
              <w:widowControl/>
              <w:suppressLineNumbers w:val="0"/>
              <w:tabs>
                <w:tab w:val="center" w:pos="4201"/>
                <w:tab w:val="right" w:leader="dot" w:pos="9298"/>
              </w:tabs>
              <w:autoSpaceDE w:val="0"/>
              <w:autoSpaceDN w:val="0"/>
              <w:spacing w:before="0" w:beforeAutospacing="0" w:after="0" w:afterAutospacing="0"/>
              <w:ind w:left="0" w:right="0"/>
              <w:rPr>
                <w:rFonts w:hint="default" w:ascii="宋体"/>
                <w:kern w:val="0"/>
                <w:sz w:val="18"/>
                <w:szCs w:val="18"/>
                <w:highlight w:val="none"/>
              </w:rPr>
            </w:pPr>
            <w:r>
              <w:rPr>
                <w:rFonts w:hint="eastAsia" w:ascii="宋体"/>
                <w:sz w:val="18"/>
                <w:szCs w:val="18"/>
                <w:highlight w:val="none"/>
                <w:lang w:val="en-US" w:eastAsia="zh-CN"/>
              </w:rPr>
              <w:t>项目</w:t>
            </w:r>
            <w:r>
              <w:rPr>
                <w:rFonts w:hint="eastAsia" w:ascii="宋体"/>
                <w:sz w:val="18"/>
                <w:szCs w:val="18"/>
                <w:highlight w:val="none"/>
              </w:rPr>
              <w:t>属于</w:t>
            </w:r>
            <w:r>
              <w:rPr>
                <w:rFonts w:hint="eastAsia" w:ascii="宋体"/>
                <w:sz w:val="18"/>
                <w:szCs w:val="18"/>
                <w:highlight w:val="none"/>
                <w:lang w:val="en-US" w:eastAsia="zh-CN"/>
              </w:rPr>
              <w:t>温室气体控制领域，或在当地具备一定市场规模、经相关政府职能部门认可的其他相关行业</w:t>
            </w:r>
          </w:p>
        </w:tc>
        <w:tc>
          <w:tcPr>
            <w:tcW w:w="1177" w:type="pct"/>
            <w:tcBorders>
              <w:top w:val="single" w:color="000000" w:sz="12" w:space="0"/>
              <w:tl2br w:val="nil"/>
              <w:tr2bl w:val="nil"/>
            </w:tcBorders>
            <w:vAlign w:val="center"/>
          </w:tcPr>
          <w:p w14:paraId="79E4DEE3">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both"/>
              <w:rPr>
                <w:rFonts w:hint="eastAsia" w:ascii="宋体" w:eastAsia="宋体"/>
                <w:kern w:val="0"/>
                <w:sz w:val="18"/>
                <w:szCs w:val="18"/>
                <w:highlight w:val="none"/>
                <w:lang w:val="en-US" w:eastAsia="zh-CN"/>
              </w:rPr>
            </w:pPr>
            <w:r>
              <w:rPr>
                <w:rFonts w:hint="default" w:ascii="宋体"/>
                <w:kern w:val="0"/>
                <w:sz w:val="18"/>
                <w:szCs w:val="18"/>
                <w:highlight w:val="none"/>
              </w:rPr>
              <w:t>有效营业执照</w:t>
            </w:r>
          </w:p>
        </w:tc>
      </w:tr>
      <w:tr w14:paraId="57429A73">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90" w:hRule="atLeast"/>
          <w:jc w:val="center"/>
        </w:trPr>
        <w:tc>
          <w:tcPr>
            <w:tcW w:w="572" w:type="pct"/>
            <w:tcBorders>
              <w:bottom w:val="single" w:color="000000" w:sz="12" w:space="0"/>
              <w:tl2br w:val="nil"/>
              <w:tr2bl w:val="nil"/>
            </w:tcBorders>
            <w:vAlign w:val="center"/>
          </w:tcPr>
          <w:p w14:paraId="3B53079D">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kern w:val="0"/>
                <w:sz w:val="18"/>
                <w:szCs w:val="18"/>
                <w:highlight w:val="none"/>
              </w:rPr>
            </w:pPr>
            <w:r>
              <w:rPr>
                <w:rFonts w:hint="default" w:ascii="宋体"/>
                <w:kern w:val="0"/>
                <w:sz w:val="18"/>
                <w:szCs w:val="18"/>
                <w:highlight w:val="none"/>
              </w:rPr>
              <w:t>技术符合</w:t>
            </w:r>
          </w:p>
        </w:tc>
        <w:tc>
          <w:tcPr>
            <w:tcW w:w="3250" w:type="pct"/>
            <w:tcBorders>
              <w:bottom w:val="single" w:color="000000" w:sz="12" w:space="0"/>
              <w:tl2br w:val="nil"/>
              <w:tr2bl w:val="nil"/>
            </w:tcBorders>
            <w:vAlign w:val="center"/>
          </w:tcPr>
          <w:p w14:paraId="49E4EF59">
            <w:pPr>
              <w:keepNext w:val="0"/>
              <w:keepLines w:val="0"/>
              <w:widowControl/>
              <w:suppressLineNumbers w:val="0"/>
              <w:tabs>
                <w:tab w:val="center" w:pos="4201"/>
                <w:tab w:val="right" w:leader="dot" w:pos="9298"/>
              </w:tabs>
              <w:autoSpaceDE w:val="0"/>
              <w:autoSpaceDN w:val="0"/>
              <w:spacing w:before="0" w:beforeAutospacing="0" w:after="0" w:afterAutospacing="0"/>
              <w:ind w:left="0" w:right="0"/>
              <w:rPr>
                <w:rFonts w:hint="eastAsia" w:ascii="宋体" w:eastAsia="宋体"/>
                <w:kern w:val="0"/>
                <w:sz w:val="18"/>
                <w:szCs w:val="18"/>
                <w:highlight w:val="none"/>
                <w:lang w:val="en-US" w:eastAsia="zh-CN"/>
              </w:rPr>
            </w:pPr>
            <w:r>
              <w:rPr>
                <w:rFonts w:hint="eastAsia" w:ascii="宋体"/>
                <w:sz w:val="18"/>
                <w:szCs w:val="18"/>
                <w:highlight w:val="none"/>
                <w:lang w:val="en-US" w:eastAsia="zh-CN"/>
              </w:rPr>
              <w:t>提供的产品或服务应符合国家、广东省及深圳市相关主管部门发布文件列明的有关设计、能效、性能、安全、贮存、回收、标识、验收、管理和运维等技术要求</w:t>
            </w:r>
          </w:p>
        </w:tc>
        <w:tc>
          <w:tcPr>
            <w:tcW w:w="1177" w:type="pct"/>
            <w:tcBorders>
              <w:bottom w:val="single" w:color="000000" w:sz="12" w:space="0"/>
              <w:tl2br w:val="nil"/>
              <w:tr2bl w:val="nil"/>
            </w:tcBorders>
            <w:vAlign w:val="center"/>
          </w:tcPr>
          <w:p w14:paraId="719AE564">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left"/>
              <w:rPr>
                <w:rFonts w:hint="default" w:ascii="宋体"/>
                <w:kern w:val="0"/>
                <w:sz w:val="18"/>
                <w:szCs w:val="18"/>
                <w:highlight w:val="none"/>
              </w:rPr>
            </w:pPr>
            <w:r>
              <w:rPr>
                <w:rFonts w:hint="default" w:ascii="宋体"/>
                <w:kern w:val="0"/>
                <w:sz w:val="18"/>
                <w:szCs w:val="18"/>
                <w:highlight w:val="none"/>
              </w:rPr>
              <w:t>第三方检验报告及相关证明材料</w:t>
            </w:r>
          </w:p>
        </w:tc>
      </w:tr>
    </w:tbl>
    <w:p w14:paraId="2C62E66F">
      <w:pPr>
        <w:numPr>
          <w:ilvl w:val="0"/>
          <w:numId w:val="17"/>
        </w:numPr>
        <w:spacing w:before="156" w:beforeLines="50" w:after="156" w:afterLines="50"/>
        <w:ind w:left="0" w:firstLine="0"/>
        <w:jc w:val="center"/>
        <w:rPr>
          <w:highlight w:val="none"/>
        </w:rPr>
      </w:pPr>
      <w:r>
        <w:rPr>
          <w:rFonts w:hint="eastAsia" w:eastAsia="黑体"/>
          <w:highlight w:val="none"/>
          <w:lang w:val="en-US" w:eastAsia="zh-CN"/>
        </w:rPr>
        <w:t>温室气体控制领域</w:t>
      </w:r>
      <w:r>
        <w:rPr>
          <w:rFonts w:hint="eastAsia" w:eastAsia="黑体"/>
          <w:highlight w:val="none"/>
          <w:lang w:eastAsia="zh-CN"/>
        </w:rPr>
        <w:t>绿色低碳产业</w:t>
      </w:r>
      <w:r>
        <w:rPr>
          <w:rFonts w:hint="eastAsia" w:eastAsia="黑体"/>
          <w:highlight w:val="none"/>
          <w:lang w:val="en-US" w:eastAsia="zh-CN"/>
        </w:rPr>
        <w:t>项目认定</w:t>
      </w:r>
      <w:r>
        <w:rPr>
          <w:rFonts w:hint="eastAsia" w:eastAsia="黑体"/>
          <w:highlight w:val="none"/>
        </w:rPr>
        <w:t>综合</w:t>
      </w:r>
      <w:r>
        <w:rPr>
          <w:rFonts w:eastAsia="黑体"/>
          <w:highlight w:val="none"/>
        </w:rPr>
        <w:t>评价证明材料</w:t>
      </w:r>
    </w:p>
    <w:tbl>
      <w:tblPr>
        <w:tblStyle w:val="37"/>
        <w:tblW w:w="4994" w:type="pct"/>
        <w:jc w:val="center"/>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autofit"/>
        <w:tblCellMar>
          <w:top w:w="0" w:type="dxa"/>
          <w:left w:w="108" w:type="dxa"/>
          <w:bottom w:w="0" w:type="dxa"/>
          <w:right w:w="108" w:type="dxa"/>
        </w:tblCellMar>
      </w:tblPr>
      <w:tblGrid>
        <w:gridCol w:w="1330"/>
        <w:gridCol w:w="2243"/>
        <w:gridCol w:w="4"/>
        <w:gridCol w:w="11"/>
        <w:gridCol w:w="5971"/>
      </w:tblGrid>
      <w:tr w14:paraId="44D454B3">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90" w:hRule="atLeast"/>
          <w:jc w:val="center"/>
        </w:trPr>
        <w:tc>
          <w:tcPr>
            <w:tcW w:w="696" w:type="pct"/>
            <w:tcBorders>
              <w:bottom w:val="single" w:color="000000" w:sz="12" w:space="0"/>
            </w:tcBorders>
            <w:vAlign w:val="center"/>
          </w:tcPr>
          <w:p w14:paraId="288886C2">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b/>
                <w:kern w:val="0"/>
                <w:sz w:val="18"/>
                <w:szCs w:val="18"/>
                <w:highlight w:val="none"/>
              </w:rPr>
            </w:pPr>
            <w:r>
              <w:rPr>
                <w:rFonts w:hint="default" w:ascii="宋体"/>
                <w:b/>
                <w:kern w:val="0"/>
                <w:sz w:val="18"/>
                <w:szCs w:val="18"/>
                <w:highlight w:val="none"/>
              </w:rPr>
              <w:t>一级指标</w:t>
            </w:r>
          </w:p>
        </w:tc>
        <w:tc>
          <w:tcPr>
            <w:tcW w:w="1181" w:type="pct"/>
            <w:gridSpan w:val="3"/>
            <w:tcBorders>
              <w:bottom w:val="single" w:color="000000" w:sz="12" w:space="0"/>
            </w:tcBorders>
            <w:vAlign w:val="center"/>
          </w:tcPr>
          <w:p w14:paraId="4314D759">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b/>
                <w:kern w:val="0"/>
                <w:sz w:val="18"/>
                <w:szCs w:val="18"/>
                <w:highlight w:val="none"/>
              </w:rPr>
            </w:pPr>
            <w:r>
              <w:rPr>
                <w:rFonts w:hint="default" w:ascii="宋体"/>
                <w:b/>
                <w:kern w:val="0"/>
                <w:sz w:val="18"/>
                <w:szCs w:val="18"/>
                <w:highlight w:val="none"/>
              </w:rPr>
              <w:t>二级指标</w:t>
            </w:r>
          </w:p>
        </w:tc>
        <w:tc>
          <w:tcPr>
            <w:tcW w:w="3122" w:type="pct"/>
            <w:tcBorders>
              <w:bottom w:val="single" w:color="000000" w:sz="12" w:space="0"/>
            </w:tcBorders>
            <w:vAlign w:val="center"/>
          </w:tcPr>
          <w:p w14:paraId="0FFF091A">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b/>
                <w:kern w:val="0"/>
                <w:sz w:val="18"/>
                <w:szCs w:val="18"/>
                <w:highlight w:val="none"/>
              </w:rPr>
            </w:pPr>
            <w:r>
              <w:rPr>
                <w:rFonts w:hint="default" w:ascii="宋体"/>
                <w:b/>
                <w:kern w:val="0"/>
                <w:sz w:val="18"/>
                <w:szCs w:val="18"/>
                <w:highlight w:val="none"/>
              </w:rPr>
              <w:t>证明材料</w:t>
            </w:r>
          </w:p>
        </w:tc>
      </w:tr>
      <w:tr w14:paraId="2B02845C">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90" w:hRule="atLeast"/>
          <w:jc w:val="center"/>
        </w:trPr>
        <w:tc>
          <w:tcPr>
            <w:tcW w:w="696" w:type="pct"/>
            <w:vMerge w:val="restart"/>
            <w:tcBorders>
              <w:top w:val="single" w:color="000000" w:sz="12" w:space="0"/>
              <w:bottom w:val="single" w:color="000000" w:sz="4" w:space="0"/>
            </w:tcBorders>
            <w:vAlign w:val="center"/>
          </w:tcPr>
          <w:p w14:paraId="07BCDB2C">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kern w:val="0"/>
                <w:sz w:val="18"/>
                <w:szCs w:val="18"/>
                <w:highlight w:val="none"/>
              </w:rPr>
            </w:pPr>
            <w:r>
              <w:rPr>
                <w:rFonts w:hint="default" w:ascii="宋体"/>
                <w:kern w:val="0"/>
                <w:sz w:val="18"/>
                <w:szCs w:val="18"/>
                <w:highlight w:val="none"/>
              </w:rPr>
              <w:t>技术表现</w:t>
            </w:r>
          </w:p>
        </w:tc>
        <w:tc>
          <w:tcPr>
            <w:tcW w:w="1181" w:type="pct"/>
            <w:gridSpan w:val="3"/>
            <w:tcBorders>
              <w:top w:val="single" w:color="000000" w:sz="12" w:space="0"/>
              <w:bottom w:val="single" w:color="000000" w:sz="4" w:space="0"/>
            </w:tcBorders>
            <w:vAlign w:val="center"/>
          </w:tcPr>
          <w:p w14:paraId="3664B140">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kern w:val="0"/>
                <w:sz w:val="18"/>
                <w:szCs w:val="18"/>
                <w:highlight w:val="none"/>
              </w:rPr>
            </w:pPr>
            <w:r>
              <w:rPr>
                <w:rFonts w:hint="default" w:ascii="宋体"/>
                <w:kern w:val="0"/>
                <w:sz w:val="18"/>
                <w:szCs w:val="18"/>
                <w:highlight w:val="none"/>
              </w:rPr>
              <w:t>有效知识产权</w:t>
            </w:r>
          </w:p>
        </w:tc>
        <w:tc>
          <w:tcPr>
            <w:tcW w:w="3122" w:type="pct"/>
            <w:tcBorders>
              <w:top w:val="single" w:color="000000" w:sz="12" w:space="0"/>
              <w:bottom w:val="single" w:color="000000" w:sz="4" w:space="0"/>
            </w:tcBorders>
            <w:vAlign w:val="center"/>
          </w:tcPr>
          <w:p w14:paraId="3F277683">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kern w:val="0"/>
                <w:sz w:val="18"/>
                <w:szCs w:val="18"/>
                <w:highlight w:val="none"/>
              </w:rPr>
            </w:pPr>
            <w:r>
              <w:rPr>
                <w:rFonts w:hint="default" w:ascii="宋体"/>
                <w:kern w:val="0"/>
                <w:sz w:val="18"/>
                <w:szCs w:val="18"/>
                <w:highlight w:val="none"/>
              </w:rPr>
              <w:t>相关知识产权证明</w:t>
            </w:r>
          </w:p>
        </w:tc>
      </w:tr>
      <w:tr w14:paraId="11DF08AE">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90" w:hRule="atLeast"/>
          <w:jc w:val="center"/>
        </w:trPr>
        <w:tc>
          <w:tcPr>
            <w:tcW w:w="696" w:type="pct"/>
            <w:vMerge w:val="continue"/>
            <w:tcBorders>
              <w:top w:val="single" w:color="000000" w:sz="4" w:space="0"/>
              <w:bottom w:val="single" w:color="000000" w:sz="4" w:space="0"/>
            </w:tcBorders>
            <w:vAlign w:val="center"/>
          </w:tcPr>
          <w:p w14:paraId="5D69BC32">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kern w:val="0"/>
                <w:sz w:val="18"/>
                <w:szCs w:val="18"/>
                <w:highlight w:val="none"/>
              </w:rPr>
            </w:pPr>
          </w:p>
        </w:tc>
        <w:tc>
          <w:tcPr>
            <w:tcW w:w="1181" w:type="pct"/>
            <w:gridSpan w:val="3"/>
            <w:tcBorders>
              <w:top w:val="single" w:color="000000" w:sz="4" w:space="0"/>
              <w:bottom w:val="single" w:color="000000" w:sz="4" w:space="0"/>
            </w:tcBorders>
            <w:vAlign w:val="center"/>
          </w:tcPr>
          <w:p w14:paraId="0B80FC05">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eastAsia="宋体"/>
                <w:kern w:val="0"/>
                <w:sz w:val="18"/>
                <w:szCs w:val="18"/>
                <w:highlight w:val="none"/>
                <w:lang w:val="en-US" w:eastAsia="zh-CN"/>
              </w:rPr>
            </w:pPr>
            <w:r>
              <w:rPr>
                <w:rFonts w:hint="eastAsia" w:ascii="宋体"/>
                <w:kern w:val="0"/>
                <w:sz w:val="18"/>
                <w:szCs w:val="18"/>
                <w:highlight w:val="none"/>
                <w:lang w:val="en-US" w:eastAsia="zh-CN"/>
              </w:rPr>
              <w:t>关键技术先进性</w:t>
            </w:r>
          </w:p>
        </w:tc>
        <w:tc>
          <w:tcPr>
            <w:tcW w:w="3122" w:type="pct"/>
            <w:tcBorders>
              <w:top w:val="single" w:color="000000" w:sz="4" w:space="0"/>
              <w:bottom w:val="single" w:color="000000" w:sz="4" w:space="0"/>
            </w:tcBorders>
            <w:vAlign w:val="center"/>
          </w:tcPr>
          <w:p w14:paraId="6F47BD13">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kern w:val="0"/>
                <w:sz w:val="18"/>
                <w:szCs w:val="18"/>
                <w:highlight w:val="none"/>
              </w:rPr>
            </w:pPr>
            <w:r>
              <w:rPr>
                <w:rFonts w:hint="default" w:ascii="宋体"/>
                <w:kern w:val="0"/>
                <w:sz w:val="18"/>
                <w:szCs w:val="18"/>
                <w:highlight w:val="none"/>
              </w:rPr>
              <w:t>第三方检验报告</w:t>
            </w:r>
            <w:r>
              <w:rPr>
                <w:rFonts w:hint="eastAsia" w:ascii="宋体"/>
                <w:kern w:val="0"/>
                <w:sz w:val="18"/>
                <w:szCs w:val="18"/>
                <w:highlight w:val="none"/>
                <w:lang w:val="en-US" w:eastAsia="zh-CN"/>
              </w:rPr>
              <w:t>/企业相关自证材料</w:t>
            </w:r>
          </w:p>
        </w:tc>
      </w:tr>
      <w:tr w14:paraId="45E1463A">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jc w:val="center"/>
        </w:trPr>
        <w:tc>
          <w:tcPr>
            <w:tcW w:w="696" w:type="pct"/>
            <w:vMerge w:val="continue"/>
            <w:tcBorders>
              <w:top w:val="single" w:color="000000" w:sz="4" w:space="0"/>
              <w:bottom w:val="single" w:color="000000" w:sz="4" w:space="0"/>
            </w:tcBorders>
            <w:vAlign w:val="center"/>
          </w:tcPr>
          <w:p w14:paraId="6EA131C3">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kern w:val="0"/>
                <w:sz w:val="18"/>
                <w:szCs w:val="18"/>
                <w:highlight w:val="none"/>
              </w:rPr>
            </w:pPr>
          </w:p>
        </w:tc>
        <w:tc>
          <w:tcPr>
            <w:tcW w:w="1181" w:type="pct"/>
            <w:gridSpan w:val="3"/>
            <w:tcBorders>
              <w:top w:val="single" w:color="000000" w:sz="4" w:space="0"/>
              <w:bottom w:val="single" w:color="000000" w:sz="4" w:space="0"/>
            </w:tcBorders>
            <w:vAlign w:val="center"/>
          </w:tcPr>
          <w:p w14:paraId="659A1A81">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kern w:val="0"/>
                <w:sz w:val="18"/>
                <w:szCs w:val="18"/>
                <w:highlight w:val="none"/>
              </w:rPr>
            </w:pPr>
            <w:r>
              <w:rPr>
                <w:rFonts w:hint="default" w:ascii="宋体"/>
                <w:kern w:val="0"/>
                <w:sz w:val="18"/>
                <w:szCs w:val="18"/>
                <w:highlight w:val="none"/>
              </w:rPr>
              <w:t>环境效益</w:t>
            </w:r>
          </w:p>
        </w:tc>
        <w:tc>
          <w:tcPr>
            <w:tcW w:w="3122" w:type="pct"/>
            <w:tcBorders>
              <w:top w:val="single" w:color="000000" w:sz="4" w:space="0"/>
              <w:bottom w:val="single" w:color="000000" w:sz="4" w:space="0"/>
            </w:tcBorders>
            <w:vAlign w:val="center"/>
          </w:tcPr>
          <w:p w14:paraId="72AE18B0">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kern w:val="0"/>
                <w:sz w:val="18"/>
                <w:szCs w:val="18"/>
                <w:highlight w:val="none"/>
              </w:rPr>
            </w:pPr>
            <w:r>
              <w:rPr>
                <w:rFonts w:hint="default" w:ascii="宋体"/>
                <w:kern w:val="0"/>
                <w:sz w:val="18"/>
                <w:szCs w:val="18"/>
                <w:highlight w:val="none"/>
              </w:rPr>
              <w:t>企业相关自证材料</w:t>
            </w:r>
          </w:p>
        </w:tc>
      </w:tr>
      <w:tr w14:paraId="6CA8C27D">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jc w:val="center"/>
        </w:trPr>
        <w:tc>
          <w:tcPr>
            <w:tcW w:w="696" w:type="pct"/>
            <w:vMerge w:val="restart"/>
            <w:tcBorders>
              <w:top w:val="single" w:color="000000" w:sz="4" w:space="0"/>
              <w:bottom w:val="single" w:color="000000" w:sz="4" w:space="0"/>
            </w:tcBorders>
            <w:vAlign w:val="center"/>
          </w:tcPr>
          <w:p w14:paraId="2E87EC30">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kern w:val="0"/>
                <w:sz w:val="18"/>
                <w:szCs w:val="18"/>
                <w:highlight w:val="none"/>
              </w:rPr>
            </w:pPr>
            <w:r>
              <w:rPr>
                <w:rFonts w:hint="default" w:ascii="宋体"/>
                <w:kern w:val="0"/>
                <w:sz w:val="18"/>
                <w:szCs w:val="18"/>
                <w:highlight w:val="none"/>
              </w:rPr>
              <w:t>环境表现</w:t>
            </w:r>
          </w:p>
        </w:tc>
        <w:tc>
          <w:tcPr>
            <w:tcW w:w="1181" w:type="pct"/>
            <w:gridSpan w:val="3"/>
            <w:tcBorders>
              <w:top w:val="single" w:color="000000" w:sz="4" w:space="0"/>
              <w:bottom w:val="single" w:color="000000" w:sz="4" w:space="0"/>
            </w:tcBorders>
            <w:vAlign w:val="center"/>
          </w:tcPr>
          <w:p w14:paraId="6B10952F">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kern w:val="0"/>
                <w:sz w:val="18"/>
                <w:szCs w:val="18"/>
                <w:highlight w:val="none"/>
              </w:rPr>
            </w:pPr>
            <w:r>
              <w:rPr>
                <w:rFonts w:hint="default" w:ascii="宋体"/>
                <w:kern w:val="0"/>
                <w:sz w:val="18"/>
                <w:szCs w:val="18"/>
                <w:highlight w:val="none"/>
              </w:rPr>
              <w:t>工艺设备材料</w:t>
            </w:r>
          </w:p>
        </w:tc>
        <w:tc>
          <w:tcPr>
            <w:tcW w:w="3122" w:type="pct"/>
            <w:tcBorders>
              <w:top w:val="single" w:color="000000" w:sz="4" w:space="0"/>
              <w:bottom w:val="single" w:color="000000" w:sz="4" w:space="0"/>
            </w:tcBorders>
            <w:vAlign w:val="center"/>
          </w:tcPr>
          <w:p w14:paraId="33F11493">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kern w:val="0"/>
                <w:sz w:val="18"/>
                <w:szCs w:val="18"/>
                <w:highlight w:val="none"/>
              </w:rPr>
            </w:pPr>
            <w:r>
              <w:rPr>
                <w:rFonts w:hint="default" w:ascii="宋体"/>
                <w:kern w:val="0"/>
                <w:sz w:val="18"/>
                <w:szCs w:val="18"/>
                <w:highlight w:val="none"/>
              </w:rPr>
              <w:t>企业相关自证材料</w:t>
            </w:r>
          </w:p>
        </w:tc>
      </w:tr>
      <w:tr w14:paraId="2F8272D7">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90" w:hRule="atLeast"/>
          <w:jc w:val="center"/>
        </w:trPr>
        <w:tc>
          <w:tcPr>
            <w:tcW w:w="696" w:type="pct"/>
            <w:vMerge w:val="continue"/>
            <w:tcBorders>
              <w:top w:val="single" w:color="000000" w:sz="4" w:space="0"/>
              <w:bottom w:val="single" w:color="000000" w:sz="4" w:space="0"/>
            </w:tcBorders>
            <w:vAlign w:val="center"/>
          </w:tcPr>
          <w:p w14:paraId="5D8232AF">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kern w:val="0"/>
                <w:sz w:val="18"/>
                <w:szCs w:val="18"/>
                <w:highlight w:val="none"/>
              </w:rPr>
            </w:pPr>
          </w:p>
        </w:tc>
        <w:tc>
          <w:tcPr>
            <w:tcW w:w="1175" w:type="pct"/>
            <w:gridSpan w:val="2"/>
            <w:tcBorders>
              <w:top w:val="single" w:color="000000" w:sz="4" w:space="0"/>
              <w:bottom w:val="single" w:color="000000" w:sz="4" w:space="0"/>
            </w:tcBorders>
            <w:vAlign w:val="center"/>
          </w:tcPr>
          <w:p w14:paraId="0F5360D6">
            <w:pPr>
              <w:keepNext w:val="0"/>
              <w:keepLines w:val="0"/>
              <w:suppressLineNumbers w:val="0"/>
              <w:autoSpaceDE w:val="0"/>
              <w:autoSpaceDN w:val="0"/>
              <w:spacing w:before="0" w:beforeAutospacing="0" w:after="0" w:afterAutospacing="0"/>
              <w:ind w:left="0" w:right="0"/>
              <w:jc w:val="center"/>
              <w:rPr>
                <w:rFonts w:hint="default" w:ascii="宋体" w:eastAsia="宋体"/>
                <w:kern w:val="0"/>
                <w:sz w:val="18"/>
                <w:szCs w:val="18"/>
                <w:highlight w:val="none"/>
                <w:lang w:val="en-US" w:eastAsia="zh-CN"/>
              </w:rPr>
            </w:pPr>
            <w:r>
              <w:rPr>
                <w:rFonts w:hint="eastAsia" w:ascii="宋体"/>
                <w:kern w:val="0"/>
                <w:sz w:val="18"/>
                <w:szCs w:val="18"/>
                <w:highlight w:val="none"/>
                <w:lang w:val="en-US" w:eastAsia="zh-CN"/>
              </w:rPr>
              <w:t>绿色低碳运营</w:t>
            </w:r>
          </w:p>
        </w:tc>
        <w:tc>
          <w:tcPr>
            <w:tcW w:w="3127" w:type="pct"/>
            <w:gridSpan w:val="2"/>
            <w:tcBorders>
              <w:top w:val="single" w:color="000000" w:sz="4" w:space="0"/>
              <w:bottom w:val="single" w:color="000000" w:sz="4" w:space="0"/>
            </w:tcBorders>
            <w:vAlign w:val="center"/>
          </w:tcPr>
          <w:p w14:paraId="21102DF9">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eastAsia="宋体"/>
                <w:kern w:val="0"/>
                <w:sz w:val="18"/>
                <w:szCs w:val="18"/>
                <w:highlight w:val="none"/>
                <w:lang w:val="en-US" w:eastAsia="zh-CN"/>
              </w:rPr>
            </w:pPr>
            <w:r>
              <w:rPr>
                <w:rFonts w:hint="eastAsia" w:ascii="宋体"/>
                <w:kern w:val="0"/>
                <w:sz w:val="18"/>
                <w:szCs w:val="18"/>
                <w:highlight w:val="none"/>
                <w:lang w:val="en-US" w:eastAsia="zh-CN"/>
              </w:rPr>
              <w:t>财务报表，项目耗能、耗水、用地及其他企业相关自证材料</w:t>
            </w:r>
          </w:p>
        </w:tc>
      </w:tr>
      <w:tr w14:paraId="152C1F52">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jc w:val="center"/>
        </w:trPr>
        <w:tc>
          <w:tcPr>
            <w:tcW w:w="696" w:type="pct"/>
            <w:vMerge w:val="continue"/>
            <w:tcBorders>
              <w:top w:val="single" w:color="000000" w:sz="4" w:space="0"/>
              <w:bottom w:val="single" w:color="000000" w:sz="12" w:space="0"/>
            </w:tcBorders>
            <w:vAlign w:val="center"/>
          </w:tcPr>
          <w:p w14:paraId="551129DB">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kern w:val="0"/>
                <w:sz w:val="18"/>
                <w:szCs w:val="18"/>
                <w:highlight w:val="none"/>
              </w:rPr>
            </w:pPr>
          </w:p>
        </w:tc>
        <w:tc>
          <w:tcPr>
            <w:tcW w:w="1173" w:type="pct"/>
            <w:tcBorders>
              <w:top w:val="single" w:color="000000" w:sz="4" w:space="0"/>
              <w:bottom w:val="single" w:color="000000" w:sz="12" w:space="0"/>
            </w:tcBorders>
            <w:vAlign w:val="center"/>
          </w:tcPr>
          <w:p w14:paraId="0ADEB597">
            <w:pPr>
              <w:keepNext w:val="0"/>
              <w:keepLines w:val="0"/>
              <w:suppressLineNumbers w:val="0"/>
              <w:autoSpaceDE w:val="0"/>
              <w:autoSpaceDN w:val="0"/>
              <w:spacing w:before="0" w:beforeAutospacing="0" w:after="0" w:afterAutospacing="0"/>
              <w:ind w:left="0" w:right="0"/>
              <w:jc w:val="center"/>
              <w:rPr>
                <w:rFonts w:hint="default" w:ascii="宋体"/>
                <w:sz w:val="18"/>
                <w:szCs w:val="18"/>
                <w:highlight w:val="none"/>
              </w:rPr>
            </w:pPr>
            <w:r>
              <w:rPr>
                <w:rFonts w:hint="eastAsia" w:ascii="宋体"/>
                <w:kern w:val="0"/>
                <w:sz w:val="18"/>
                <w:szCs w:val="18"/>
                <w:highlight w:val="none"/>
              </w:rPr>
              <w:t>污染物排放水平</w:t>
            </w:r>
          </w:p>
        </w:tc>
        <w:tc>
          <w:tcPr>
            <w:tcW w:w="3130" w:type="pct"/>
            <w:gridSpan w:val="3"/>
            <w:tcBorders>
              <w:top w:val="single" w:color="000000" w:sz="4" w:space="0"/>
              <w:bottom w:val="single" w:color="000000" w:sz="12" w:space="0"/>
            </w:tcBorders>
            <w:vAlign w:val="center"/>
          </w:tcPr>
          <w:p w14:paraId="47253C2A">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eastAsia" w:ascii="宋体" w:eastAsia="宋体"/>
                <w:kern w:val="0"/>
                <w:sz w:val="18"/>
                <w:szCs w:val="18"/>
                <w:highlight w:val="none"/>
                <w:lang w:val="en-US" w:eastAsia="zh-CN"/>
              </w:rPr>
            </w:pPr>
            <w:r>
              <w:rPr>
                <w:rFonts w:hint="eastAsia" w:ascii="宋体"/>
                <w:kern w:val="0"/>
                <w:sz w:val="18"/>
                <w:szCs w:val="18"/>
                <w:highlight w:val="none"/>
              </w:rPr>
              <w:t>企业相关自证材料</w:t>
            </w:r>
            <w:r>
              <w:rPr>
                <w:rFonts w:hint="eastAsia" w:ascii="宋体"/>
                <w:kern w:val="0"/>
                <w:sz w:val="18"/>
                <w:szCs w:val="18"/>
                <w:highlight w:val="none"/>
                <w:vertAlign w:val="superscript"/>
                <w:lang w:val="en-US" w:eastAsia="zh-CN"/>
              </w:rPr>
              <w:t>a</w:t>
            </w:r>
          </w:p>
        </w:tc>
      </w:tr>
      <w:tr w14:paraId="22254E56">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105" w:hRule="atLeast"/>
          <w:jc w:val="center"/>
        </w:trPr>
        <w:tc>
          <w:tcPr>
            <w:tcW w:w="5000" w:type="pct"/>
            <w:gridSpan w:val="5"/>
            <w:tcBorders>
              <w:top w:val="single" w:color="000000" w:sz="12" w:space="0"/>
            </w:tcBorders>
            <w:vAlign w:val="center"/>
          </w:tcPr>
          <w:p w14:paraId="4C673E82">
            <w:pPr>
              <w:keepNext w:val="0"/>
              <w:keepLines w:val="0"/>
              <w:pageBreakBefore w:val="0"/>
              <w:widowControl/>
              <w:suppressLineNumbers w:val="0"/>
              <w:tabs>
                <w:tab w:val="center" w:pos="4201"/>
                <w:tab w:val="right" w:leader="dot" w:pos="9298"/>
              </w:tabs>
              <w:kinsoku/>
              <w:wordWrap/>
              <w:overflowPunct/>
              <w:topLinePunct w:val="0"/>
              <w:autoSpaceDE w:val="0"/>
              <w:autoSpaceDN w:val="0"/>
              <w:bidi w:val="0"/>
              <w:adjustRightInd/>
              <w:snapToGrid/>
              <w:spacing w:before="0" w:beforeAutospacing="0" w:after="0" w:afterAutospacing="0"/>
              <w:ind w:left="575" w:leftChars="171" w:right="0" w:hanging="216" w:hangingChars="120"/>
              <w:jc w:val="left"/>
              <w:textAlignment w:val="auto"/>
              <w:rPr>
                <w:rFonts w:hint="eastAsia" w:ascii="宋体"/>
                <w:kern w:val="0"/>
                <w:sz w:val="18"/>
                <w:szCs w:val="18"/>
                <w:highlight w:val="none"/>
                <w:lang w:val="en-US" w:eastAsia="zh-CN"/>
              </w:rPr>
            </w:pPr>
            <w:bookmarkStart w:id="99" w:name="_Toc31555"/>
            <w:r>
              <w:rPr>
                <w:rFonts w:hint="eastAsia" w:ascii="宋体"/>
                <w:kern w:val="0"/>
                <w:sz w:val="18"/>
                <w:szCs w:val="18"/>
                <w:highlight w:val="none"/>
                <w:vertAlign w:val="superscript"/>
                <w:lang w:val="en-US" w:eastAsia="zh-CN"/>
              </w:rPr>
              <w:t>a</w:t>
            </w:r>
            <w:r>
              <w:rPr>
                <w:rFonts w:hint="eastAsia" w:ascii="宋体"/>
                <w:kern w:val="0"/>
                <w:sz w:val="18"/>
                <w:szCs w:val="18"/>
                <w:highlight w:val="none"/>
                <w:lang w:val="en-US" w:eastAsia="zh-CN"/>
              </w:rPr>
              <w:t xml:space="preserve">  已开展的项目采用</w:t>
            </w:r>
            <w:r>
              <w:rPr>
                <w:rFonts w:hint="eastAsia" w:ascii="宋体"/>
                <w:kern w:val="0"/>
                <w:sz w:val="18"/>
                <w:szCs w:val="18"/>
                <w:highlight w:val="none"/>
              </w:rPr>
              <w:t>全国污染源监测数据管理与共享系统平台的自行监测数据</w:t>
            </w:r>
            <w:r>
              <w:rPr>
                <w:rFonts w:hint="eastAsia" w:ascii="宋体"/>
                <w:kern w:val="0"/>
                <w:sz w:val="18"/>
                <w:szCs w:val="18"/>
                <w:highlight w:val="none"/>
                <w:lang w:eastAsia="zh-CN"/>
              </w:rPr>
              <w:t>，</w:t>
            </w:r>
            <w:r>
              <w:rPr>
                <w:rFonts w:hint="eastAsia" w:ascii="宋体"/>
                <w:kern w:val="0"/>
                <w:sz w:val="18"/>
                <w:szCs w:val="18"/>
                <w:highlight w:val="none"/>
                <w:lang w:val="en-US" w:eastAsia="zh-CN"/>
              </w:rPr>
              <w:t>未开展的项目采用环境影响评价报告。</w:t>
            </w:r>
          </w:p>
        </w:tc>
      </w:tr>
    </w:tbl>
    <w:p w14:paraId="3C26C02D">
      <w:pPr>
        <w:pStyle w:val="47"/>
        <w:ind w:left="0" w:firstLine="0"/>
        <w:outlineLvl w:val="1"/>
        <w:rPr>
          <w:rFonts w:ascii="Times New Roman"/>
          <w:highlight w:val="none"/>
        </w:rPr>
      </w:pPr>
      <w:bookmarkStart w:id="100" w:name="_Toc23959"/>
      <w:bookmarkStart w:id="101" w:name="_Toc1635"/>
      <w:r>
        <w:rPr>
          <w:rFonts w:hint="eastAsia" w:ascii="Times New Roman"/>
          <w:highlight w:val="none"/>
        </w:rPr>
        <w:t>编制报告</w:t>
      </w:r>
      <w:bookmarkEnd w:id="100"/>
      <w:bookmarkEnd w:id="101"/>
    </w:p>
    <w:p w14:paraId="00122F71">
      <w:pPr>
        <w:autoSpaceDE w:val="0"/>
        <w:autoSpaceDN w:val="0"/>
        <w:ind w:firstLine="420" w:firstLineChars="200"/>
        <w:rPr>
          <w:rFonts w:ascii="宋体" w:hAnsi="宋体" w:cs="宋体"/>
          <w:highlight w:val="none"/>
        </w:rPr>
      </w:pPr>
      <w:r>
        <w:rPr>
          <w:rFonts w:hint="eastAsia" w:ascii="宋体" w:hAnsi="宋体" w:cs="宋体"/>
          <w:highlight w:val="none"/>
          <w:lang w:val="en-US" w:eastAsia="zh-CN"/>
        </w:rPr>
        <w:t>企事业单位或项目主体编制温室气体控制领域绿色低碳产业认定评价报告（温室气体控制领域绿色低碳产业企业的报告模板格式见附录C，温室气体控制领域绿色低碳产业项目的报告模板格式见附录D）</w:t>
      </w:r>
      <w:r>
        <w:rPr>
          <w:rFonts w:hint="eastAsia" w:hAnsi="宋体" w:cs="宋体"/>
          <w:highlight w:val="none"/>
        </w:rPr>
        <w:t>，</w:t>
      </w:r>
      <w:r>
        <w:rPr>
          <w:rFonts w:hint="eastAsia" w:ascii="宋体" w:hAnsi="宋体" w:cs="宋体"/>
          <w:highlight w:val="none"/>
        </w:rPr>
        <w:t>内容包括但不限于：</w:t>
      </w:r>
    </w:p>
    <w:p w14:paraId="230EC704">
      <w:pPr>
        <w:autoSpaceDE w:val="0"/>
        <w:autoSpaceDN w:val="0"/>
        <w:ind w:firstLine="420" w:firstLineChars="200"/>
        <w:rPr>
          <w:rFonts w:ascii="宋体" w:hAnsi="宋体" w:cs="宋体"/>
          <w:highlight w:val="none"/>
        </w:rPr>
      </w:pPr>
      <w:r>
        <w:rPr>
          <w:rFonts w:hint="eastAsia" w:ascii="宋体" w:hAnsi="宋体" w:cs="宋体"/>
          <w:highlight w:val="none"/>
        </w:rPr>
        <w:t>——基本信息表，包括企事业单位</w:t>
      </w:r>
      <w:r>
        <w:rPr>
          <w:rFonts w:hint="eastAsia" w:ascii="宋体" w:hAnsi="宋体" w:cs="宋体"/>
          <w:highlight w:val="none"/>
          <w:lang w:val="en-US" w:eastAsia="zh-CN"/>
        </w:rPr>
        <w:t>或项目基本信息</w:t>
      </w:r>
      <w:r>
        <w:rPr>
          <w:rFonts w:hint="eastAsia" w:ascii="宋体" w:hAnsi="宋体" w:cs="宋体"/>
          <w:highlight w:val="none"/>
        </w:rPr>
        <w:t>；</w:t>
      </w:r>
    </w:p>
    <w:p w14:paraId="3B6EF9C8">
      <w:pPr>
        <w:autoSpaceDE w:val="0"/>
        <w:autoSpaceDN w:val="0"/>
        <w:ind w:firstLine="420" w:firstLineChars="200"/>
        <w:rPr>
          <w:rFonts w:ascii="宋体" w:hAnsi="宋体" w:cs="宋体"/>
          <w:highlight w:val="none"/>
        </w:rPr>
      </w:pPr>
      <w:r>
        <w:rPr>
          <w:rFonts w:hint="eastAsia" w:ascii="宋体" w:hAnsi="宋体" w:cs="宋体"/>
          <w:highlight w:val="none"/>
        </w:rPr>
        <w:t>——基本情况，概述企事业单位</w:t>
      </w:r>
      <w:r>
        <w:rPr>
          <w:rFonts w:hint="eastAsia" w:ascii="宋体" w:hAnsi="宋体" w:cs="宋体"/>
          <w:highlight w:val="none"/>
          <w:lang w:val="en-US" w:eastAsia="zh-CN"/>
        </w:rPr>
        <w:t>或项目</w:t>
      </w:r>
      <w:r>
        <w:rPr>
          <w:rFonts w:hint="eastAsia" w:ascii="宋体" w:hAnsi="宋体" w:cs="宋体"/>
          <w:highlight w:val="none"/>
        </w:rPr>
        <w:t>发展现状以及在绿色</w:t>
      </w:r>
      <w:r>
        <w:rPr>
          <w:rFonts w:hint="eastAsia" w:ascii="宋体" w:hAnsi="宋体" w:cs="宋体"/>
          <w:highlight w:val="none"/>
          <w:lang w:val="en-US" w:eastAsia="zh-CN"/>
        </w:rPr>
        <w:t>低碳</w:t>
      </w:r>
      <w:r>
        <w:rPr>
          <w:rFonts w:hint="eastAsia" w:ascii="宋体" w:hAnsi="宋体" w:cs="宋体"/>
          <w:highlight w:val="none"/>
        </w:rPr>
        <w:t>方面开展的重点工作；</w:t>
      </w:r>
    </w:p>
    <w:p w14:paraId="603616B3">
      <w:pPr>
        <w:autoSpaceDE w:val="0"/>
        <w:autoSpaceDN w:val="0"/>
        <w:ind w:firstLine="420" w:firstLineChars="200"/>
        <w:rPr>
          <w:rFonts w:hint="eastAsia" w:ascii="宋体" w:hAnsi="宋体" w:cs="宋体"/>
          <w:highlight w:val="none"/>
        </w:rPr>
      </w:pPr>
      <w:r>
        <w:rPr>
          <w:rFonts w:hint="eastAsia" w:ascii="宋体" w:hAnsi="宋体" w:cs="宋体"/>
          <w:highlight w:val="none"/>
        </w:rPr>
        <w:t>——</w:t>
      </w:r>
      <w:r>
        <w:rPr>
          <w:rFonts w:hint="eastAsia" w:ascii="宋体" w:hAnsi="宋体" w:cs="宋体"/>
          <w:highlight w:val="none"/>
          <w:lang w:val="en-US" w:eastAsia="zh-CN"/>
        </w:rPr>
        <w:t>评价工作</w:t>
      </w:r>
      <w:r>
        <w:rPr>
          <w:rFonts w:hint="eastAsia" w:ascii="宋体" w:hAnsi="宋体" w:cs="宋体"/>
          <w:highlight w:val="none"/>
        </w:rPr>
        <w:t>，</w:t>
      </w:r>
      <w:r>
        <w:rPr>
          <w:rFonts w:hint="eastAsia" w:ascii="宋体" w:hAnsi="宋体" w:cs="宋体"/>
          <w:highlight w:val="none"/>
          <w:lang w:val="en-US" w:eastAsia="zh-CN"/>
        </w:rPr>
        <w:t>概述绿色低碳产业认定评价工作具体开展情况</w:t>
      </w:r>
      <w:r>
        <w:rPr>
          <w:rFonts w:hint="eastAsia" w:ascii="宋体" w:hAnsi="宋体" w:cs="宋体"/>
          <w:highlight w:val="none"/>
        </w:rPr>
        <w:t>；</w:t>
      </w:r>
    </w:p>
    <w:p w14:paraId="67359FBD">
      <w:pPr>
        <w:autoSpaceDE w:val="0"/>
        <w:autoSpaceDN w:val="0"/>
        <w:ind w:firstLine="420" w:firstLineChars="200"/>
        <w:rPr>
          <w:rFonts w:ascii="宋体" w:hAnsi="宋体" w:cs="宋体"/>
          <w:highlight w:val="none"/>
        </w:rPr>
      </w:pPr>
      <w:r>
        <w:rPr>
          <w:rFonts w:hint="eastAsia" w:ascii="宋体" w:hAnsi="宋体" w:cs="宋体"/>
          <w:highlight w:val="none"/>
        </w:rPr>
        <w:t>——认定情况，对符合性评价要求及综合评价要求等内容进行</w:t>
      </w:r>
      <w:r>
        <w:rPr>
          <w:rFonts w:hint="eastAsia" w:ascii="宋体" w:hAnsi="宋体" w:cs="宋体"/>
          <w:highlight w:val="none"/>
          <w:lang w:val="en-US" w:eastAsia="zh-CN"/>
        </w:rPr>
        <w:t>具体</w:t>
      </w:r>
      <w:r>
        <w:rPr>
          <w:rFonts w:hint="eastAsia" w:ascii="宋体" w:hAnsi="宋体" w:cs="宋体"/>
          <w:highlight w:val="none"/>
        </w:rPr>
        <w:t>描述；</w:t>
      </w:r>
    </w:p>
    <w:p w14:paraId="00BEDC08">
      <w:pPr>
        <w:autoSpaceDE w:val="0"/>
        <w:autoSpaceDN w:val="0"/>
        <w:ind w:firstLine="420" w:firstLineChars="200"/>
        <w:rPr>
          <w:rFonts w:hint="eastAsia" w:ascii="宋体" w:hAnsi="宋体" w:cs="宋体"/>
          <w:highlight w:val="none"/>
        </w:rPr>
      </w:pPr>
      <w:r>
        <w:rPr>
          <w:rFonts w:hint="eastAsia" w:ascii="宋体" w:hAnsi="宋体" w:cs="宋体"/>
          <w:highlight w:val="none"/>
        </w:rPr>
        <w:t>——</w:t>
      </w:r>
      <w:r>
        <w:rPr>
          <w:rFonts w:hint="eastAsia" w:ascii="宋体" w:hAnsi="宋体" w:cs="宋体"/>
          <w:highlight w:val="none"/>
          <w:lang w:val="en-US" w:eastAsia="zh-CN"/>
        </w:rPr>
        <w:t>评价表</w:t>
      </w:r>
      <w:r>
        <w:rPr>
          <w:rFonts w:hint="eastAsia" w:ascii="宋体" w:hAnsi="宋体" w:cs="宋体"/>
          <w:highlight w:val="none"/>
        </w:rPr>
        <w:t>，</w:t>
      </w:r>
      <w:r>
        <w:rPr>
          <w:rFonts w:hint="eastAsia" w:ascii="宋体" w:hAnsi="宋体" w:cs="宋体"/>
          <w:highlight w:val="none"/>
          <w:lang w:val="en-US" w:eastAsia="zh-CN"/>
        </w:rPr>
        <w:t>对符合性评价及综合评价指标得分情况进行量化</w:t>
      </w:r>
      <w:r>
        <w:rPr>
          <w:rFonts w:hint="eastAsia" w:ascii="宋体" w:hAnsi="宋体" w:cs="宋体"/>
          <w:highlight w:val="none"/>
        </w:rPr>
        <w:t>；</w:t>
      </w:r>
    </w:p>
    <w:p w14:paraId="0FF3B845">
      <w:pPr>
        <w:autoSpaceDE w:val="0"/>
        <w:autoSpaceDN w:val="0"/>
        <w:ind w:firstLine="420" w:firstLineChars="200"/>
        <w:rPr>
          <w:rFonts w:ascii="Times New Roman"/>
          <w:highlight w:val="none"/>
        </w:rPr>
      </w:pPr>
      <w:r>
        <w:rPr>
          <w:rFonts w:hint="eastAsia" w:ascii="宋体" w:hAnsi="宋体" w:eastAsia="宋体" w:cs="宋体"/>
          <w:kern w:val="2"/>
          <w:sz w:val="21"/>
          <w:szCs w:val="24"/>
          <w:highlight w:val="none"/>
          <w:lang w:val="en-US" w:eastAsia="zh-CN" w:bidi="ar-SA"/>
        </w:rPr>
        <w:t>——相关支持材料。</w:t>
      </w:r>
    </w:p>
    <w:p w14:paraId="6FA78B33">
      <w:pPr>
        <w:pStyle w:val="47"/>
        <w:outlineLvl w:val="1"/>
        <w:rPr>
          <w:rFonts w:ascii="Times New Roman"/>
          <w:highlight w:val="none"/>
        </w:rPr>
      </w:pPr>
      <w:bookmarkStart w:id="102" w:name="_Toc13238"/>
      <w:r>
        <w:rPr>
          <w:rFonts w:hint="eastAsia" w:ascii="Times New Roman"/>
          <w:highlight w:val="none"/>
        </w:rPr>
        <w:t>认定</w:t>
      </w:r>
      <w:bookmarkEnd w:id="98"/>
      <w:bookmarkEnd w:id="99"/>
      <w:r>
        <w:rPr>
          <w:rFonts w:hint="eastAsia" w:ascii="Times New Roman"/>
          <w:highlight w:val="none"/>
          <w:lang w:val="en-US" w:eastAsia="zh-CN"/>
        </w:rPr>
        <w:t>评审</w:t>
      </w:r>
      <w:bookmarkEnd w:id="102"/>
    </w:p>
    <w:p w14:paraId="67C0DAC7">
      <w:pPr>
        <w:pStyle w:val="51"/>
        <w:spacing w:before="156" w:after="156"/>
        <w:rPr>
          <w:rFonts w:ascii="Times New Roman"/>
          <w:highlight w:val="none"/>
        </w:rPr>
      </w:pPr>
      <w:r>
        <w:rPr>
          <w:rFonts w:ascii="Times New Roman"/>
          <w:highlight w:val="none"/>
        </w:rPr>
        <w:t>评价方式</w:t>
      </w:r>
    </w:p>
    <w:p w14:paraId="58C1A10D">
      <w:pPr>
        <w:pStyle w:val="26"/>
        <w:rPr>
          <w:rFonts w:ascii="宋体" w:hAnsi="宋体" w:eastAsia="宋体" w:cs="宋体"/>
          <w:sz w:val="21"/>
          <w:highlight w:val="none"/>
          <w:lang w:val="en-US" w:eastAsia="zh-CN" w:bidi="ar-SA"/>
        </w:rPr>
      </w:pPr>
      <w:r>
        <w:rPr>
          <w:rFonts w:hint="eastAsia" w:ascii="Times New Roman"/>
          <w:highlight w:val="none"/>
          <w:lang w:val="en-US" w:eastAsia="zh-CN"/>
        </w:rPr>
        <w:t>依据符合性评价指标对企事业单位或项目申请认定评价的绿色业务进行界定，达到符合性评价要求的，进一步依据综合评价指标对其绿色业务影响力（技术表现、业务表现）和自身绿色化程度（环境表现、社会表现）进行综合评价。</w:t>
      </w:r>
      <w:r>
        <w:rPr>
          <w:rFonts w:hint="eastAsia" w:hAnsi="宋体" w:cs="宋体"/>
          <w:sz w:val="21"/>
          <w:highlight w:val="none"/>
          <w:lang w:val="en-US" w:eastAsia="zh-CN" w:bidi="ar-SA"/>
        </w:rPr>
        <w:t>温室气体控制领域</w:t>
      </w:r>
      <w:r>
        <w:rPr>
          <w:rFonts w:hint="eastAsia" w:ascii="宋体" w:hAnsi="宋体" w:eastAsia="宋体" w:cs="宋体"/>
          <w:sz w:val="21"/>
          <w:highlight w:val="none"/>
          <w:lang w:val="en-US" w:eastAsia="zh-CN" w:bidi="ar-SA"/>
        </w:rPr>
        <w:t>绿色低碳产业认定评价等级划分见表</w:t>
      </w:r>
      <w:r>
        <w:rPr>
          <w:rFonts w:hint="eastAsia" w:hAnsi="宋体" w:cs="宋体"/>
          <w:sz w:val="21"/>
          <w:highlight w:val="none"/>
          <w:lang w:val="en-US" w:eastAsia="zh-CN" w:bidi="ar-SA"/>
        </w:rPr>
        <w:t>29</w:t>
      </w:r>
      <w:r>
        <w:rPr>
          <w:rFonts w:hint="eastAsia" w:ascii="宋体" w:hAnsi="宋体" w:eastAsia="宋体" w:cs="宋体"/>
          <w:sz w:val="21"/>
          <w:highlight w:val="none"/>
          <w:lang w:val="en-US" w:eastAsia="zh-CN" w:bidi="ar-SA"/>
        </w:rPr>
        <w:t>。</w:t>
      </w:r>
    </w:p>
    <w:p w14:paraId="4829F820">
      <w:pPr>
        <w:numPr>
          <w:ilvl w:val="0"/>
          <w:numId w:val="17"/>
        </w:numPr>
        <w:spacing w:before="156" w:beforeLines="50" w:after="156" w:afterLines="50"/>
        <w:ind w:left="0" w:firstLine="0"/>
        <w:jc w:val="center"/>
        <w:rPr>
          <w:rFonts w:ascii="Times New Roman" w:hAnsi="Times New Roman" w:eastAsia="黑体" w:cs="Times New Roman"/>
          <w:sz w:val="21"/>
          <w:highlight w:val="none"/>
          <w:lang w:val="en-US" w:eastAsia="zh-CN" w:bidi="ar-SA"/>
        </w:rPr>
      </w:pPr>
      <w:r>
        <w:rPr>
          <w:rFonts w:hint="eastAsia" w:eastAsia="黑体" w:cs="Times New Roman"/>
          <w:sz w:val="21"/>
          <w:highlight w:val="none"/>
          <w:lang w:val="en-US" w:eastAsia="zh-CN" w:bidi="ar-SA"/>
        </w:rPr>
        <w:t>温室气体控制领域</w:t>
      </w:r>
      <w:r>
        <w:rPr>
          <w:rFonts w:hint="eastAsia" w:ascii="Times New Roman" w:hAnsi="Times New Roman" w:eastAsia="黑体" w:cs="Times New Roman"/>
          <w:sz w:val="21"/>
          <w:highlight w:val="none"/>
          <w:lang w:val="en-US" w:eastAsia="zh-CN" w:bidi="ar-SA"/>
        </w:rPr>
        <w:t>绿色低碳产业认定评价等级划分</w:t>
      </w:r>
    </w:p>
    <w:tbl>
      <w:tblPr>
        <w:tblStyle w:val="36"/>
        <w:tblW w:w="4998"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2677"/>
        <w:gridCol w:w="2292"/>
        <w:gridCol w:w="2292"/>
        <w:gridCol w:w="2305"/>
      </w:tblGrid>
      <w:tr w14:paraId="012C2BC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399" w:type="pct"/>
            <w:vMerge w:val="restart"/>
            <w:vAlign w:val="center"/>
          </w:tcPr>
          <w:p w14:paraId="14397E7F">
            <w:pPr>
              <w:keepNext w:val="0"/>
              <w:keepLines w:val="0"/>
              <w:suppressLineNumbers w:val="0"/>
              <w:autoSpaceDE w:val="0"/>
              <w:autoSpaceDN w:val="0"/>
              <w:spacing w:before="0" w:beforeAutospacing="0" w:after="0" w:afterAutospacing="0"/>
              <w:ind w:left="0" w:right="0" w:firstLine="0" w:firstLineChars="0"/>
              <w:jc w:val="center"/>
              <w:rPr>
                <w:rFonts w:hint="default" w:ascii="Times New Roman" w:hAnsi="Times New Roman" w:eastAsia="宋体" w:cs="Times New Roman"/>
                <w:b/>
                <w:bCs/>
                <w:sz w:val="18"/>
                <w:szCs w:val="16"/>
                <w:highlight w:val="none"/>
                <w:lang w:val="en-US" w:eastAsia="zh-CN" w:bidi="ar-SA"/>
              </w:rPr>
            </w:pPr>
            <w:r>
              <w:rPr>
                <w:rFonts w:hint="eastAsia" w:ascii="Times New Roman" w:hAnsi="Times New Roman" w:eastAsia="宋体" w:cs="Times New Roman"/>
                <w:b/>
                <w:bCs/>
                <w:sz w:val="18"/>
                <w:szCs w:val="16"/>
                <w:highlight w:val="none"/>
                <w:lang w:val="en-US" w:eastAsia="zh-CN" w:bidi="ar-SA"/>
              </w:rPr>
              <w:t>评价对象</w:t>
            </w:r>
          </w:p>
        </w:tc>
        <w:tc>
          <w:tcPr>
            <w:tcW w:w="3600" w:type="pct"/>
            <w:gridSpan w:val="3"/>
            <w:vAlign w:val="center"/>
          </w:tcPr>
          <w:p w14:paraId="5D49287E">
            <w:pPr>
              <w:keepNext w:val="0"/>
              <w:keepLines w:val="0"/>
              <w:suppressLineNumbers w:val="0"/>
              <w:autoSpaceDE w:val="0"/>
              <w:autoSpaceDN w:val="0"/>
              <w:spacing w:before="0" w:beforeAutospacing="0" w:after="0" w:afterAutospacing="0"/>
              <w:ind w:left="0" w:right="0" w:firstLine="0" w:firstLineChars="0"/>
              <w:jc w:val="center"/>
              <w:rPr>
                <w:rFonts w:hint="default" w:ascii="Times New Roman" w:hAnsi="Times New Roman" w:eastAsia="宋体" w:cs="Times New Roman"/>
                <w:b/>
                <w:bCs/>
                <w:sz w:val="18"/>
                <w:szCs w:val="16"/>
                <w:highlight w:val="none"/>
                <w:lang w:val="en-US" w:eastAsia="zh-CN" w:bidi="ar-SA"/>
              </w:rPr>
            </w:pPr>
            <w:r>
              <w:rPr>
                <w:rFonts w:hint="eastAsia" w:ascii="Times New Roman" w:hAnsi="Times New Roman" w:eastAsia="宋体" w:cs="Times New Roman"/>
                <w:b/>
                <w:bCs/>
                <w:sz w:val="18"/>
                <w:szCs w:val="16"/>
                <w:highlight w:val="none"/>
                <w:lang w:val="en-US" w:eastAsia="zh-CN" w:bidi="ar-SA"/>
              </w:rPr>
              <w:t>评价等级</w:t>
            </w:r>
          </w:p>
        </w:tc>
      </w:tr>
      <w:tr w14:paraId="2301A05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399" w:type="pct"/>
            <w:vMerge w:val="continue"/>
            <w:tcBorders>
              <w:bottom w:val="single" w:color="auto" w:sz="12" w:space="0"/>
            </w:tcBorders>
          </w:tcPr>
          <w:p w14:paraId="63EF7D9A">
            <w:pPr>
              <w:keepNext w:val="0"/>
              <w:keepLines w:val="0"/>
              <w:suppressLineNumbers w:val="0"/>
              <w:autoSpaceDE w:val="0"/>
              <w:autoSpaceDN w:val="0"/>
              <w:spacing w:before="0" w:beforeAutospacing="0" w:after="0" w:afterAutospacing="0"/>
              <w:ind w:left="0" w:right="0" w:firstLine="0" w:firstLineChars="0"/>
              <w:jc w:val="center"/>
              <w:rPr>
                <w:rFonts w:hint="default" w:ascii="宋体" w:hAnsi="宋体" w:eastAsia="宋体" w:cs="宋体"/>
                <w:sz w:val="18"/>
                <w:szCs w:val="16"/>
                <w:highlight w:val="none"/>
                <w:lang w:val="en-US" w:eastAsia="zh-CN" w:bidi="ar-SA"/>
              </w:rPr>
            </w:pPr>
          </w:p>
        </w:tc>
        <w:tc>
          <w:tcPr>
            <w:tcW w:w="1198" w:type="pct"/>
            <w:tcBorders>
              <w:bottom w:val="single" w:color="auto" w:sz="12" w:space="0"/>
            </w:tcBorders>
          </w:tcPr>
          <w:p w14:paraId="01518110">
            <w:pPr>
              <w:keepNext w:val="0"/>
              <w:keepLines w:val="0"/>
              <w:suppressLineNumbers w:val="0"/>
              <w:autoSpaceDE w:val="0"/>
              <w:autoSpaceDN w:val="0"/>
              <w:spacing w:before="0" w:beforeAutospacing="0" w:after="0" w:afterAutospacing="0"/>
              <w:ind w:left="0" w:right="0" w:firstLine="0" w:firstLineChars="0"/>
              <w:jc w:val="center"/>
              <w:rPr>
                <w:rFonts w:hint="default" w:ascii="宋体" w:hAnsi="宋体" w:eastAsia="宋体" w:cs="宋体"/>
                <w:sz w:val="18"/>
                <w:szCs w:val="16"/>
                <w:highlight w:val="none"/>
                <w:lang w:val="en-US" w:eastAsia="zh-CN" w:bidi="ar-SA"/>
              </w:rPr>
            </w:pPr>
            <w:r>
              <w:rPr>
                <w:rFonts w:hint="eastAsia" w:ascii="宋体" w:hAnsi="宋体" w:eastAsia="宋体" w:cs="宋体"/>
                <w:sz w:val="18"/>
                <w:szCs w:val="16"/>
                <w:highlight w:val="none"/>
                <w:lang w:val="en-US" w:eastAsia="zh-CN" w:bidi="ar-SA"/>
              </w:rPr>
              <w:t>浅绿</w:t>
            </w:r>
          </w:p>
        </w:tc>
        <w:tc>
          <w:tcPr>
            <w:tcW w:w="1198" w:type="pct"/>
            <w:tcBorders>
              <w:bottom w:val="single" w:color="auto" w:sz="12" w:space="0"/>
            </w:tcBorders>
          </w:tcPr>
          <w:p w14:paraId="265F2CB5">
            <w:pPr>
              <w:keepNext w:val="0"/>
              <w:keepLines w:val="0"/>
              <w:suppressLineNumbers w:val="0"/>
              <w:autoSpaceDE w:val="0"/>
              <w:autoSpaceDN w:val="0"/>
              <w:spacing w:before="0" w:beforeAutospacing="0" w:after="0" w:afterAutospacing="0"/>
              <w:ind w:left="0" w:right="0" w:firstLine="0" w:firstLineChars="0"/>
              <w:jc w:val="center"/>
              <w:rPr>
                <w:rFonts w:hint="default" w:ascii="宋体" w:hAnsi="宋体" w:eastAsia="宋体" w:cs="宋体"/>
                <w:sz w:val="18"/>
                <w:szCs w:val="16"/>
                <w:highlight w:val="none"/>
                <w:lang w:val="en-US" w:eastAsia="zh-CN" w:bidi="ar-SA"/>
              </w:rPr>
            </w:pPr>
            <w:r>
              <w:rPr>
                <w:rFonts w:hint="eastAsia" w:ascii="宋体" w:hAnsi="宋体" w:eastAsia="宋体" w:cs="宋体"/>
                <w:sz w:val="18"/>
                <w:szCs w:val="16"/>
                <w:highlight w:val="none"/>
                <w:lang w:val="en-US" w:eastAsia="zh-CN" w:bidi="ar-SA"/>
              </w:rPr>
              <w:t>中绿</w:t>
            </w:r>
          </w:p>
        </w:tc>
        <w:tc>
          <w:tcPr>
            <w:tcW w:w="1202" w:type="pct"/>
            <w:tcBorders>
              <w:bottom w:val="single" w:color="auto" w:sz="12" w:space="0"/>
            </w:tcBorders>
          </w:tcPr>
          <w:p w14:paraId="35D0BFD7">
            <w:pPr>
              <w:keepNext w:val="0"/>
              <w:keepLines w:val="0"/>
              <w:suppressLineNumbers w:val="0"/>
              <w:autoSpaceDE w:val="0"/>
              <w:autoSpaceDN w:val="0"/>
              <w:spacing w:before="0" w:beforeAutospacing="0" w:after="0" w:afterAutospacing="0"/>
              <w:ind w:left="0" w:right="0" w:firstLine="0" w:firstLineChars="0"/>
              <w:jc w:val="center"/>
              <w:rPr>
                <w:rFonts w:hint="default" w:ascii="宋体" w:hAnsi="宋体" w:eastAsia="宋体" w:cs="宋体"/>
                <w:sz w:val="18"/>
                <w:szCs w:val="16"/>
                <w:highlight w:val="none"/>
                <w:lang w:val="en-US" w:eastAsia="zh-CN" w:bidi="ar-SA"/>
              </w:rPr>
            </w:pPr>
            <w:r>
              <w:rPr>
                <w:rFonts w:hint="eastAsia" w:ascii="宋体" w:hAnsi="宋体" w:eastAsia="宋体" w:cs="宋体"/>
                <w:sz w:val="18"/>
                <w:szCs w:val="16"/>
                <w:highlight w:val="none"/>
                <w:lang w:val="en-US" w:eastAsia="zh-CN" w:bidi="ar-SA"/>
              </w:rPr>
              <w:t>深绿</w:t>
            </w:r>
          </w:p>
        </w:tc>
      </w:tr>
      <w:tr w14:paraId="0BC9F08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399" w:type="pct"/>
            <w:tcBorders>
              <w:top w:val="single" w:color="auto" w:sz="12" w:space="0"/>
              <w:tl2br w:val="nil"/>
              <w:tr2bl w:val="nil"/>
            </w:tcBorders>
          </w:tcPr>
          <w:p w14:paraId="023AE028">
            <w:pPr>
              <w:keepNext w:val="0"/>
              <w:keepLines w:val="0"/>
              <w:suppressLineNumbers w:val="0"/>
              <w:autoSpaceDE w:val="0"/>
              <w:autoSpaceDN w:val="0"/>
              <w:spacing w:before="0" w:beforeAutospacing="0" w:after="0" w:afterAutospacing="0"/>
              <w:ind w:left="0" w:right="0" w:firstLine="0" w:firstLineChars="0"/>
              <w:jc w:val="center"/>
              <w:rPr>
                <w:rFonts w:hint="default" w:ascii="宋体" w:hAnsi="宋体" w:eastAsia="宋体" w:cs="宋体"/>
                <w:sz w:val="18"/>
                <w:szCs w:val="16"/>
                <w:highlight w:val="none"/>
                <w:lang w:val="en-US" w:eastAsia="zh-CN" w:bidi="ar-SA"/>
              </w:rPr>
            </w:pPr>
            <w:r>
              <w:rPr>
                <w:rFonts w:hint="eastAsia" w:ascii="宋体" w:hAnsi="宋体" w:eastAsia="宋体" w:cs="宋体"/>
                <w:sz w:val="18"/>
                <w:szCs w:val="16"/>
                <w:highlight w:val="none"/>
                <w:lang w:val="en-US" w:eastAsia="zh-CN" w:bidi="ar-SA"/>
              </w:rPr>
              <w:t>绿色低碳产业企业</w:t>
            </w:r>
          </w:p>
        </w:tc>
        <w:tc>
          <w:tcPr>
            <w:tcW w:w="1198" w:type="pct"/>
            <w:tcBorders>
              <w:top w:val="single" w:color="auto" w:sz="12" w:space="0"/>
              <w:tl2br w:val="nil"/>
              <w:tr2bl w:val="nil"/>
            </w:tcBorders>
          </w:tcPr>
          <w:p w14:paraId="5D3ACD59">
            <w:pPr>
              <w:keepNext w:val="0"/>
              <w:keepLines w:val="0"/>
              <w:suppressLineNumbers w:val="0"/>
              <w:autoSpaceDE w:val="0"/>
              <w:autoSpaceDN w:val="0"/>
              <w:spacing w:before="0" w:beforeAutospacing="0" w:after="0" w:afterAutospacing="0"/>
              <w:ind w:left="0" w:right="0" w:firstLine="0" w:firstLineChars="0"/>
              <w:jc w:val="center"/>
              <w:rPr>
                <w:rFonts w:hint="default" w:ascii="宋体" w:hAnsi="宋体" w:eastAsia="宋体" w:cs="宋体"/>
                <w:sz w:val="18"/>
                <w:szCs w:val="16"/>
                <w:highlight w:val="none"/>
                <w:lang w:val="en-US" w:eastAsia="zh-CN" w:bidi="ar-SA"/>
              </w:rPr>
            </w:pPr>
            <w:r>
              <w:rPr>
                <w:rFonts w:hint="eastAsia" w:ascii="宋体" w:hAnsi="宋体" w:eastAsia="宋体" w:cs="宋体"/>
                <w:sz w:val="18"/>
                <w:szCs w:val="16"/>
                <w:highlight w:val="none"/>
                <w:lang w:val="en-US" w:eastAsia="zh-CN" w:bidi="ar-SA"/>
              </w:rPr>
              <w:t>60分≤S＜70分</w:t>
            </w:r>
          </w:p>
        </w:tc>
        <w:tc>
          <w:tcPr>
            <w:tcW w:w="1198" w:type="pct"/>
            <w:tcBorders>
              <w:top w:val="single" w:color="auto" w:sz="12" w:space="0"/>
              <w:tl2br w:val="nil"/>
              <w:tr2bl w:val="nil"/>
            </w:tcBorders>
          </w:tcPr>
          <w:p w14:paraId="4F4B9538">
            <w:pPr>
              <w:keepNext w:val="0"/>
              <w:keepLines w:val="0"/>
              <w:suppressLineNumbers w:val="0"/>
              <w:autoSpaceDE w:val="0"/>
              <w:autoSpaceDN w:val="0"/>
              <w:spacing w:before="0" w:beforeAutospacing="0" w:after="0" w:afterAutospacing="0"/>
              <w:ind w:left="0" w:right="0" w:firstLine="0" w:firstLineChars="0"/>
              <w:jc w:val="center"/>
              <w:rPr>
                <w:rFonts w:hint="default" w:ascii="宋体" w:hAnsi="宋体" w:eastAsia="宋体" w:cs="宋体"/>
                <w:sz w:val="18"/>
                <w:szCs w:val="16"/>
                <w:highlight w:val="none"/>
                <w:lang w:val="en-US" w:eastAsia="zh-CN" w:bidi="ar-SA"/>
              </w:rPr>
            </w:pPr>
            <w:r>
              <w:rPr>
                <w:rFonts w:hint="eastAsia" w:ascii="宋体" w:hAnsi="宋体" w:eastAsia="宋体" w:cs="宋体"/>
                <w:sz w:val="18"/>
                <w:szCs w:val="16"/>
                <w:highlight w:val="none"/>
                <w:lang w:val="en-US" w:eastAsia="zh-CN" w:bidi="ar-SA"/>
              </w:rPr>
              <w:t>70分≤S＜85分</w:t>
            </w:r>
          </w:p>
        </w:tc>
        <w:tc>
          <w:tcPr>
            <w:tcW w:w="1202" w:type="pct"/>
            <w:tcBorders>
              <w:top w:val="single" w:color="auto" w:sz="12" w:space="0"/>
              <w:tl2br w:val="nil"/>
              <w:tr2bl w:val="nil"/>
            </w:tcBorders>
          </w:tcPr>
          <w:p w14:paraId="54B5DD22">
            <w:pPr>
              <w:keepNext w:val="0"/>
              <w:keepLines w:val="0"/>
              <w:suppressLineNumbers w:val="0"/>
              <w:autoSpaceDE w:val="0"/>
              <w:autoSpaceDN w:val="0"/>
              <w:spacing w:before="0" w:beforeAutospacing="0" w:after="0" w:afterAutospacing="0"/>
              <w:ind w:left="0" w:right="0" w:firstLine="0" w:firstLineChars="0"/>
              <w:jc w:val="center"/>
              <w:rPr>
                <w:rFonts w:hint="default" w:ascii="宋体" w:hAnsi="宋体" w:eastAsia="宋体" w:cs="宋体"/>
                <w:sz w:val="18"/>
                <w:szCs w:val="16"/>
                <w:highlight w:val="none"/>
                <w:lang w:val="en-US" w:eastAsia="zh-CN" w:bidi="ar-SA"/>
              </w:rPr>
            </w:pPr>
            <w:r>
              <w:rPr>
                <w:rFonts w:hint="eastAsia" w:ascii="宋体" w:hAnsi="宋体" w:eastAsia="宋体" w:cs="宋体"/>
                <w:sz w:val="18"/>
                <w:szCs w:val="16"/>
                <w:highlight w:val="none"/>
                <w:lang w:val="en-US" w:eastAsia="zh-CN" w:bidi="ar-SA"/>
              </w:rPr>
              <w:t>S≥85分</w:t>
            </w:r>
          </w:p>
        </w:tc>
      </w:tr>
    </w:tbl>
    <w:p w14:paraId="5D7C1B45">
      <w:pPr>
        <w:numPr>
          <w:ilvl w:val="0"/>
          <w:numId w:val="0"/>
        </w:numPr>
        <w:spacing w:before="156" w:beforeLines="50" w:after="156" w:afterLines="50"/>
        <w:ind w:leftChars="0"/>
        <w:jc w:val="center"/>
        <w:rPr>
          <w:rFonts w:hint="eastAsia" w:asciiTheme="majorEastAsia" w:hAnsiTheme="majorEastAsia" w:eastAsiaTheme="majorEastAsia" w:cstheme="majorEastAsia"/>
          <w:sz w:val="21"/>
          <w:highlight w:val="none"/>
          <w:lang w:val="en-US" w:eastAsia="zh-CN" w:bidi="ar-SA"/>
        </w:rPr>
      </w:pPr>
      <w:r>
        <w:rPr>
          <w:rFonts w:hint="eastAsia" w:ascii="黑体" w:hAnsi="黑体" w:eastAsia="黑体" w:cs="黑体"/>
          <w:sz w:val="21"/>
          <w:highlight w:val="none"/>
          <w:lang w:val="en-US" w:eastAsia="zh-CN" w:bidi="ar-SA"/>
        </w:rPr>
        <w:t>表28 温室气体</w:t>
      </w:r>
      <w:r>
        <w:rPr>
          <w:rFonts w:hint="eastAsia" w:eastAsia="黑体" w:cs="Times New Roman"/>
          <w:sz w:val="21"/>
          <w:highlight w:val="none"/>
          <w:lang w:val="en-US" w:eastAsia="zh-CN" w:bidi="ar-SA"/>
        </w:rPr>
        <w:t>控制领域</w:t>
      </w:r>
      <w:r>
        <w:rPr>
          <w:rFonts w:hint="eastAsia" w:ascii="Times New Roman" w:hAnsi="Times New Roman" w:eastAsia="黑体" w:cs="Times New Roman"/>
          <w:sz w:val="21"/>
          <w:highlight w:val="none"/>
          <w:lang w:val="en-US" w:eastAsia="zh-CN" w:bidi="ar-SA"/>
        </w:rPr>
        <w:t>绿色低碳产业认定评价等级划分</w:t>
      </w:r>
      <w:r>
        <w:rPr>
          <w:rFonts w:hint="eastAsia" w:asciiTheme="majorEastAsia" w:hAnsiTheme="majorEastAsia" w:eastAsiaTheme="majorEastAsia" w:cstheme="majorEastAsia"/>
          <w:sz w:val="21"/>
          <w:highlight w:val="none"/>
          <w:lang w:val="en-US" w:eastAsia="zh-CN" w:bidi="ar-SA"/>
        </w:rPr>
        <w:t>（续）</w:t>
      </w:r>
    </w:p>
    <w:tbl>
      <w:tblPr>
        <w:tblStyle w:val="36"/>
        <w:tblW w:w="4995"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2671"/>
        <w:gridCol w:w="2290"/>
        <w:gridCol w:w="2290"/>
        <w:gridCol w:w="532"/>
        <w:gridCol w:w="1777"/>
      </w:tblGrid>
      <w:tr w14:paraId="7F98164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2673" w:type="dxa"/>
            <w:vMerge w:val="restart"/>
            <w:tcBorders>
              <w:tl2br w:val="nil"/>
              <w:tr2bl w:val="nil"/>
            </w:tcBorders>
            <w:vAlign w:val="center"/>
          </w:tcPr>
          <w:p w14:paraId="70EA6A35">
            <w:pPr>
              <w:keepNext w:val="0"/>
              <w:keepLines w:val="0"/>
              <w:widowControl w:val="0"/>
              <w:suppressLineNumbers w:val="0"/>
              <w:autoSpaceDE w:val="0"/>
              <w:autoSpaceDN w:val="0"/>
              <w:spacing w:before="0" w:beforeAutospacing="0" w:after="0" w:afterAutospacing="0"/>
              <w:ind w:left="0" w:leftChars="0" w:right="0" w:rightChars="0" w:firstLine="0" w:firstLineChars="0"/>
              <w:jc w:val="center"/>
              <w:rPr>
                <w:rFonts w:hint="eastAsia" w:ascii="宋体" w:hAnsi="宋体" w:eastAsia="宋体" w:cs="宋体"/>
                <w:sz w:val="18"/>
                <w:szCs w:val="16"/>
                <w:highlight w:val="none"/>
                <w:lang w:val="en-US" w:eastAsia="zh-CN" w:bidi="ar-SA"/>
              </w:rPr>
            </w:pPr>
            <w:r>
              <w:rPr>
                <w:rFonts w:hint="eastAsia" w:ascii="宋体" w:hAnsi="宋体" w:eastAsia="宋体" w:cs="宋体"/>
                <w:b/>
                <w:bCs/>
                <w:kern w:val="2"/>
                <w:sz w:val="18"/>
                <w:szCs w:val="18"/>
                <w:lang w:val="en-US" w:eastAsia="zh-CN" w:bidi="ar"/>
              </w:rPr>
              <w:t>评价对象</w:t>
            </w:r>
          </w:p>
        </w:tc>
        <w:tc>
          <w:tcPr>
            <w:tcW w:w="6889" w:type="dxa"/>
            <w:gridSpan w:val="4"/>
            <w:tcBorders>
              <w:bottom w:val="single" w:color="auto" w:sz="4" w:space="0"/>
            </w:tcBorders>
            <w:vAlign w:val="center"/>
          </w:tcPr>
          <w:p w14:paraId="70655064">
            <w:pPr>
              <w:keepNext w:val="0"/>
              <w:keepLines w:val="0"/>
              <w:widowControl w:val="0"/>
              <w:suppressLineNumbers w:val="0"/>
              <w:autoSpaceDE w:val="0"/>
              <w:autoSpaceDN w:val="0"/>
              <w:spacing w:before="0" w:beforeAutospacing="0" w:after="0" w:afterAutospacing="0"/>
              <w:ind w:left="0" w:leftChars="0" w:right="0" w:rightChars="0" w:firstLine="0" w:firstLineChars="0"/>
              <w:jc w:val="center"/>
              <w:rPr>
                <w:rFonts w:hint="eastAsia" w:ascii="宋体" w:hAnsi="宋体" w:eastAsia="宋体" w:cs="宋体"/>
                <w:sz w:val="18"/>
                <w:szCs w:val="16"/>
                <w:highlight w:val="none"/>
                <w:lang w:val="en-US" w:eastAsia="zh-CN" w:bidi="ar-SA"/>
              </w:rPr>
            </w:pPr>
            <w:r>
              <w:rPr>
                <w:rFonts w:hint="eastAsia" w:ascii="宋体" w:hAnsi="宋体" w:eastAsia="宋体" w:cs="宋体"/>
                <w:b/>
                <w:bCs/>
                <w:kern w:val="2"/>
                <w:sz w:val="18"/>
                <w:szCs w:val="18"/>
                <w:lang w:val="en-US" w:eastAsia="zh-CN" w:bidi="ar"/>
              </w:rPr>
              <w:t>评价等级</w:t>
            </w:r>
          </w:p>
        </w:tc>
      </w:tr>
      <w:tr w14:paraId="5A709D1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2673" w:type="dxa"/>
            <w:vMerge w:val="continue"/>
            <w:tcBorders>
              <w:bottom w:val="single" w:color="auto" w:sz="12" w:space="0"/>
              <w:tl2br w:val="nil"/>
              <w:tr2bl w:val="nil"/>
            </w:tcBorders>
            <w:vAlign w:val="top"/>
          </w:tcPr>
          <w:p w14:paraId="745F81F8">
            <w:pPr>
              <w:keepNext w:val="0"/>
              <w:keepLines w:val="0"/>
              <w:widowControl w:val="0"/>
              <w:suppressLineNumbers w:val="0"/>
              <w:autoSpaceDE w:val="0"/>
              <w:autoSpaceDN w:val="0"/>
              <w:spacing w:before="0" w:beforeAutospacing="0" w:after="0" w:afterAutospacing="0"/>
              <w:ind w:left="0" w:leftChars="0" w:right="0" w:rightChars="0" w:firstLine="0" w:firstLineChars="0"/>
              <w:jc w:val="center"/>
              <w:rPr>
                <w:rFonts w:hint="eastAsia" w:ascii="宋体" w:hAnsi="宋体" w:eastAsia="宋体" w:cs="宋体"/>
                <w:sz w:val="18"/>
                <w:szCs w:val="16"/>
                <w:highlight w:val="none"/>
                <w:lang w:val="en-US" w:eastAsia="zh-CN" w:bidi="ar-SA"/>
              </w:rPr>
            </w:pPr>
          </w:p>
        </w:tc>
        <w:tc>
          <w:tcPr>
            <w:tcW w:w="2290" w:type="dxa"/>
            <w:tcBorders>
              <w:top w:val="single" w:color="auto" w:sz="4" w:space="0"/>
              <w:bottom w:val="single" w:color="auto" w:sz="12" w:space="0"/>
            </w:tcBorders>
            <w:vAlign w:val="top"/>
          </w:tcPr>
          <w:p w14:paraId="1CF3B93D">
            <w:pPr>
              <w:keepNext w:val="0"/>
              <w:keepLines w:val="0"/>
              <w:widowControl w:val="0"/>
              <w:suppressLineNumbers w:val="0"/>
              <w:autoSpaceDE w:val="0"/>
              <w:autoSpaceDN w:val="0"/>
              <w:spacing w:before="0" w:beforeAutospacing="0" w:after="0" w:afterAutospacing="0"/>
              <w:ind w:left="0" w:leftChars="0" w:right="0" w:rightChars="0" w:firstLine="0" w:firstLineChars="0"/>
              <w:jc w:val="center"/>
              <w:rPr>
                <w:rFonts w:hint="eastAsia" w:ascii="宋体" w:hAnsi="宋体" w:eastAsia="宋体" w:cs="宋体"/>
                <w:sz w:val="18"/>
                <w:szCs w:val="16"/>
                <w:highlight w:val="none"/>
                <w:lang w:val="en-US" w:eastAsia="zh-CN" w:bidi="ar-SA"/>
              </w:rPr>
            </w:pPr>
            <w:r>
              <w:rPr>
                <w:rFonts w:hint="eastAsia" w:ascii="宋体" w:hAnsi="宋体" w:eastAsia="宋体" w:cs="宋体"/>
                <w:kern w:val="2"/>
                <w:sz w:val="18"/>
                <w:szCs w:val="18"/>
                <w:lang w:val="en-US" w:eastAsia="zh-CN" w:bidi="ar"/>
              </w:rPr>
              <w:t>浅绿</w:t>
            </w:r>
          </w:p>
        </w:tc>
        <w:tc>
          <w:tcPr>
            <w:tcW w:w="2822" w:type="dxa"/>
            <w:gridSpan w:val="2"/>
            <w:tcBorders>
              <w:top w:val="single" w:color="auto" w:sz="4" w:space="0"/>
              <w:bottom w:val="single" w:color="auto" w:sz="12" w:space="0"/>
            </w:tcBorders>
            <w:vAlign w:val="top"/>
          </w:tcPr>
          <w:p w14:paraId="2C0E2020">
            <w:pPr>
              <w:keepNext w:val="0"/>
              <w:keepLines w:val="0"/>
              <w:widowControl w:val="0"/>
              <w:suppressLineNumbers w:val="0"/>
              <w:autoSpaceDE w:val="0"/>
              <w:autoSpaceDN w:val="0"/>
              <w:spacing w:before="0" w:beforeAutospacing="0" w:after="0" w:afterAutospacing="0"/>
              <w:ind w:left="0" w:leftChars="0" w:right="0" w:rightChars="0" w:firstLine="0" w:firstLineChars="0"/>
              <w:jc w:val="center"/>
              <w:rPr>
                <w:rFonts w:hint="eastAsia" w:ascii="宋体" w:hAnsi="宋体" w:eastAsia="宋体" w:cs="宋体"/>
                <w:sz w:val="18"/>
                <w:szCs w:val="16"/>
                <w:highlight w:val="none"/>
                <w:lang w:val="en-US" w:eastAsia="zh-CN" w:bidi="ar-SA"/>
              </w:rPr>
            </w:pPr>
            <w:r>
              <w:rPr>
                <w:rFonts w:hint="eastAsia" w:ascii="宋体" w:hAnsi="宋体" w:eastAsia="宋体" w:cs="宋体"/>
                <w:kern w:val="2"/>
                <w:sz w:val="18"/>
                <w:szCs w:val="18"/>
                <w:lang w:val="en-US" w:eastAsia="zh-CN" w:bidi="ar"/>
              </w:rPr>
              <w:t>中绿</w:t>
            </w:r>
          </w:p>
        </w:tc>
        <w:tc>
          <w:tcPr>
            <w:tcW w:w="1777" w:type="dxa"/>
            <w:tcBorders>
              <w:top w:val="single" w:color="auto" w:sz="4" w:space="0"/>
              <w:bottom w:val="single" w:color="auto" w:sz="12" w:space="0"/>
            </w:tcBorders>
            <w:vAlign w:val="top"/>
          </w:tcPr>
          <w:p w14:paraId="1D61DCB5">
            <w:pPr>
              <w:keepNext w:val="0"/>
              <w:keepLines w:val="0"/>
              <w:widowControl w:val="0"/>
              <w:suppressLineNumbers w:val="0"/>
              <w:autoSpaceDE w:val="0"/>
              <w:autoSpaceDN w:val="0"/>
              <w:spacing w:before="0" w:beforeAutospacing="0" w:after="0" w:afterAutospacing="0"/>
              <w:ind w:left="0" w:leftChars="0" w:right="0" w:rightChars="0" w:firstLine="0" w:firstLineChars="0"/>
              <w:jc w:val="center"/>
              <w:rPr>
                <w:rFonts w:hint="eastAsia" w:ascii="宋体" w:hAnsi="宋体" w:eastAsia="宋体" w:cs="宋体"/>
                <w:sz w:val="18"/>
                <w:szCs w:val="16"/>
                <w:highlight w:val="none"/>
                <w:lang w:val="en-US" w:eastAsia="zh-CN" w:bidi="ar-SA"/>
              </w:rPr>
            </w:pPr>
            <w:r>
              <w:rPr>
                <w:rFonts w:hint="eastAsia" w:ascii="宋体" w:hAnsi="宋体" w:eastAsia="宋体" w:cs="宋体"/>
                <w:kern w:val="2"/>
                <w:sz w:val="18"/>
                <w:szCs w:val="18"/>
                <w:lang w:val="en-US" w:eastAsia="zh-CN" w:bidi="ar"/>
              </w:rPr>
              <w:t>深绿</w:t>
            </w:r>
          </w:p>
        </w:tc>
      </w:tr>
      <w:tr w14:paraId="2BE165D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2673" w:type="dxa"/>
            <w:tcBorders>
              <w:bottom w:val="single" w:color="auto" w:sz="12" w:space="0"/>
              <w:tl2br w:val="nil"/>
              <w:tr2bl w:val="nil"/>
            </w:tcBorders>
          </w:tcPr>
          <w:p w14:paraId="0ACFB726">
            <w:pPr>
              <w:keepNext w:val="0"/>
              <w:keepLines w:val="0"/>
              <w:suppressLineNumbers w:val="0"/>
              <w:autoSpaceDE w:val="0"/>
              <w:autoSpaceDN w:val="0"/>
              <w:spacing w:before="0" w:beforeAutospacing="0" w:after="0" w:afterAutospacing="0"/>
              <w:ind w:left="0" w:right="0" w:firstLine="0" w:firstLineChars="0"/>
              <w:jc w:val="center"/>
              <w:rPr>
                <w:rFonts w:hint="default" w:ascii="宋体" w:hAnsi="宋体" w:eastAsia="宋体" w:cs="宋体"/>
                <w:sz w:val="18"/>
                <w:szCs w:val="16"/>
                <w:highlight w:val="none"/>
                <w:lang w:val="en-US" w:eastAsia="zh-CN" w:bidi="ar-SA"/>
              </w:rPr>
            </w:pPr>
            <w:r>
              <w:rPr>
                <w:rFonts w:hint="eastAsia" w:ascii="宋体" w:hAnsi="宋体" w:eastAsia="宋体" w:cs="宋体"/>
                <w:sz w:val="18"/>
                <w:szCs w:val="16"/>
                <w:highlight w:val="none"/>
                <w:lang w:val="en-US" w:eastAsia="zh-CN" w:bidi="ar-SA"/>
              </w:rPr>
              <w:t>绿色低碳产业项目</w:t>
            </w:r>
          </w:p>
        </w:tc>
        <w:tc>
          <w:tcPr>
            <w:tcW w:w="2290" w:type="dxa"/>
            <w:tcBorders>
              <w:top w:val="single" w:color="auto" w:sz="12" w:space="0"/>
              <w:bottom w:val="single" w:color="auto" w:sz="12" w:space="0"/>
              <w:tl2br w:val="nil"/>
              <w:tr2bl w:val="nil"/>
            </w:tcBorders>
          </w:tcPr>
          <w:p w14:paraId="260BEECB">
            <w:pPr>
              <w:keepNext w:val="0"/>
              <w:keepLines w:val="0"/>
              <w:suppressLineNumbers w:val="0"/>
              <w:autoSpaceDE w:val="0"/>
              <w:autoSpaceDN w:val="0"/>
              <w:spacing w:before="0" w:beforeAutospacing="0" w:after="0" w:afterAutospacing="0"/>
              <w:ind w:left="0" w:right="0" w:firstLine="0" w:firstLineChars="0"/>
              <w:jc w:val="center"/>
              <w:rPr>
                <w:rFonts w:hint="default" w:ascii="宋体" w:hAnsi="宋体" w:eastAsia="宋体" w:cs="宋体"/>
                <w:sz w:val="18"/>
                <w:szCs w:val="16"/>
                <w:highlight w:val="none"/>
                <w:lang w:val="en-US" w:eastAsia="zh-CN" w:bidi="ar-SA"/>
              </w:rPr>
            </w:pPr>
            <w:r>
              <w:rPr>
                <w:rFonts w:hint="eastAsia" w:ascii="宋体" w:hAnsi="宋体" w:eastAsia="宋体" w:cs="宋体"/>
                <w:sz w:val="18"/>
                <w:szCs w:val="16"/>
                <w:highlight w:val="none"/>
                <w:lang w:val="en-US" w:eastAsia="zh-CN" w:bidi="ar-SA"/>
              </w:rPr>
              <w:t>满足符合性评价要求</w:t>
            </w:r>
          </w:p>
        </w:tc>
        <w:tc>
          <w:tcPr>
            <w:tcW w:w="2290" w:type="dxa"/>
            <w:tcBorders>
              <w:top w:val="single" w:color="auto" w:sz="12" w:space="0"/>
              <w:bottom w:val="single" w:color="auto" w:sz="12" w:space="0"/>
              <w:tl2br w:val="nil"/>
              <w:tr2bl w:val="nil"/>
            </w:tcBorders>
          </w:tcPr>
          <w:p w14:paraId="596BE0B0">
            <w:pPr>
              <w:keepNext w:val="0"/>
              <w:keepLines w:val="0"/>
              <w:suppressLineNumbers w:val="0"/>
              <w:autoSpaceDE w:val="0"/>
              <w:autoSpaceDN w:val="0"/>
              <w:spacing w:before="0" w:beforeAutospacing="0" w:after="0" w:afterAutospacing="0"/>
              <w:ind w:left="0" w:right="0" w:firstLine="0" w:firstLineChars="0"/>
              <w:jc w:val="center"/>
              <w:rPr>
                <w:rFonts w:hint="default" w:ascii="宋体" w:hAnsi="宋体" w:eastAsia="宋体" w:cs="宋体"/>
                <w:sz w:val="18"/>
                <w:szCs w:val="16"/>
                <w:highlight w:val="none"/>
                <w:lang w:val="en-US" w:eastAsia="zh-CN" w:bidi="ar-SA"/>
              </w:rPr>
            </w:pPr>
            <w:r>
              <w:rPr>
                <w:rFonts w:hint="eastAsia" w:ascii="宋体" w:hAnsi="宋体" w:eastAsia="宋体" w:cs="宋体"/>
                <w:sz w:val="18"/>
                <w:szCs w:val="16"/>
                <w:highlight w:val="none"/>
                <w:lang w:val="en-US" w:eastAsia="zh-CN" w:bidi="ar-SA"/>
              </w:rPr>
              <w:t>60分≤S＜80分</w:t>
            </w:r>
          </w:p>
        </w:tc>
        <w:tc>
          <w:tcPr>
            <w:tcW w:w="2309" w:type="dxa"/>
            <w:gridSpan w:val="2"/>
            <w:tcBorders>
              <w:top w:val="single" w:color="auto" w:sz="12" w:space="0"/>
              <w:bottom w:val="single" w:color="auto" w:sz="12" w:space="0"/>
              <w:tl2br w:val="nil"/>
              <w:tr2bl w:val="nil"/>
            </w:tcBorders>
          </w:tcPr>
          <w:p w14:paraId="0A595E02">
            <w:pPr>
              <w:keepNext w:val="0"/>
              <w:keepLines w:val="0"/>
              <w:suppressLineNumbers w:val="0"/>
              <w:autoSpaceDE w:val="0"/>
              <w:autoSpaceDN w:val="0"/>
              <w:spacing w:before="0" w:beforeAutospacing="0" w:after="0" w:afterAutospacing="0"/>
              <w:ind w:left="0" w:right="0" w:firstLine="0" w:firstLineChars="0"/>
              <w:jc w:val="center"/>
              <w:rPr>
                <w:rFonts w:hint="default" w:ascii="宋体" w:hAnsi="宋体" w:eastAsia="宋体" w:cs="宋体"/>
                <w:sz w:val="18"/>
                <w:szCs w:val="16"/>
                <w:highlight w:val="none"/>
                <w:lang w:val="en-US" w:eastAsia="zh-CN" w:bidi="ar-SA"/>
              </w:rPr>
            </w:pPr>
            <w:r>
              <w:rPr>
                <w:rFonts w:hint="eastAsia" w:ascii="宋体" w:hAnsi="宋体" w:eastAsia="宋体" w:cs="宋体"/>
                <w:sz w:val="18"/>
                <w:szCs w:val="16"/>
                <w:highlight w:val="none"/>
                <w:lang w:val="en-US" w:eastAsia="zh-CN" w:bidi="ar-SA"/>
              </w:rPr>
              <w:t>S≥80分</w:t>
            </w:r>
          </w:p>
        </w:tc>
      </w:tr>
      <w:tr w14:paraId="4DFB768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562" w:type="dxa"/>
            <w:gridSpan w:val="5"/>
            <w:tcBorders>
              <w:top w:val="single" w:color="auto" w:sz="12" w:space="0"/>
            </w:tcBorders>
          </w:tcPr>
          <w:p w14:paraId="2883A25A">
            <w:pPr>
              <w:keepNext w:val="0"/>
              <w:keepLines w:val="0"/>
              <w:widowControl w:val="0"/>
              <w:numPr>
                <w:ilvl w:val="0"/>
                <w:numId w:val="6"/>
              </w:numPr>
              <w:suppressLineNumbers w:val="0"/>
              <w:autoSpaceDE w:val="0"/>
              <w:autoSpaceDN w:val="0"/>
              <w:spacing w:before="0" w:beforeAutospacing="0" w:after="0" w:afterAutospacing="0"/>
              <w:ind w:left="726" w:right="0" w:hanging="363"/>
              <w:jc w:val="both"/>
              <w:rPr>
                <w:rFonts w:hint="eastAsia" w:ascii="宋体" w:hAnsi="宋体" w:eastAsia="宋体" w:cs="宋体"/>
                <w:sz w:val="18"/>
                <w:szCs w:val="16"/>
                <w:highlight w:val="none"/>
                <w:lang w:val="en-US" w:eastAsia="zh-CN" w:bidi="ar-SA"/>
              </w:rPr>
            </w:pPr>
            <w:r>
              <w:rPr>
                <w:rFonts w:hint="eastAsia" w:ascii="宋体" w:hAnsi="Times New Roman" w:eastAsia="宋体" w:cs="Times New Roman"/>
                <w:sz w:val="18"/>
                <w:szCs w:val="18"/>
                <w:highlight w:val="none"/>
                <w:lang w:val="en-US" w:eastAsia="zh-CN" w:bidi="ar-SA"/>
              </w:rPr>
              <w:t>S为绿色低碳产业企业或项目认定综合评价值。</w:t>
            </w:r>
          </w:p>
        </w:tc>
      </w:tr>
    </w:tbl>
    <w:p w14:paraId="4C081BEB">
      <w:pPr>
        <w:pStyle w:val="51"/>
        <w:spacing w:before="156" w:after="156"/>
        <w:rPr>
          <w:rFonts w:hint="default"/>
          <w:highlight w:val="none"/>
          <w:lang w:val="en-US" w:eastAsia="zh-CN"/>
        </w:rPr>
      </w:pPr>
      <w:r>
        <w:rPr>
          <w:rFonts w:ascii="Times New Roman"/>
          <w:highlight w:val="none"/>
        </w:rPr>
        <w:t>评价</w:t>
      </w:r>
      <w:r>
        <w:rPr>
          <w:rFonts w:hint="eastAsia" w:ascii="Times New Roman"/>
          <w:highlight w:val="none"/>
        </w:rPr>
        <w:t>打分</w:t>
      </w:r>
    </w:p>
    <w:p w14:paraId="5EE53F4D">
      <w:pPr>
        <w:pStyle w:val="26"/>
        <w:rPr>
          <w:rFonts w:hAnsi="宋体" w:cs="宋体"/>
          <w:highlight w:val="none"/>
        </w:rPr>
      </w:pPr>
      <w:r>
        <w:rPr>
          <w:rFonts w:hint="eastAsia" w:hAnsi="宋体" w:cs="宋体"/>
          <w:highlight w:val="none"/>
          <w:lang w:eastAsia="zh-CN"/>
        </w:rPr>
        <w:t>绿色低碳产业</w:t>
      </w:r>
      <w:r>
        <w:rPr>
          <w:rFonts w:hint="eastAsia" w:hAnsi="宋体" w:cs="宋体"/>
          <w:highlight w:val="none"/>
        </w:rPr>
        <w:t>认定评价</w:t>
      </w:r>
      <w:r>
        <w:rPr>
          <w:rFonts w:hint="eastAsia" w:hAnsi="宋体" w:cs="宋体"/>
          <w:highlight w:val="none"/>
          <w:lang w:val="en-US" w:eastAsia="zh-CN"/>
        </w:rPr>
        <w:t>的符合性评价为一票否决项，绿色低碳产业认定综合评价</w:t>
      </w:r>
      <w:r>
        <w:rPr>
          <w:rFonts w:hint="eastAsia" w:hAnsi="宋体" w:cs="宋体"/>
          <w:highlight w:val="none"/>
        </w:rPr>
        <w:t>值为各项指标得分的累计叠加值，满分为100分，计算</w:t>
      </w:r>
      <w:r>
        <w:rPr>
          <w:rFonts w:hint="eastAsia" w:hAnsi="宋体" w:cs="宋体"/>
          <w:highlight w:val="none"/>
          <w:lang w:val="en-US" w:eastAsia="zh-CN"/>
        </w:rPr>
        <w:t>方法见公式（3）。</w:t>
      </w:r>
    </w:p>
    <w:p w14:paraId="23E233CA">
      <w:pPr>
        <w:pStyle w:val="26"/>
        <w:tabs>
          <w:tab w:val="center" w:leader="middleDot" w:pos="5460"/>
          <w:tab w:val="clear" w:pos="4201"/>
        </w:tabs>
        <w:autoSpaceDE/>
        <w:autoSpaceDN/>
        <w:spacing w:line="480" w:lineRule="auto"/>
        <w:jc w:val="right"/>
        <w:rPr>
          <w:rFonts w:hAnsi="宋体" w:cs="宋体"/>
          <w:highlight w:val="none"/>
        </w:rPr>
      </w:pPr>
      <m:oMath>
        <m:r>
          <m:rPr/>
          <w:rPr>
            <w:rFonts w:hint="default" w:ascii="Cambria Math" w:hAnsi="Cambria Math" w:eastAsiaTheme="minorEastAsia" w:cstheme="minorEastAsia"/>
            <w:highlight w:val="none"/>
          </w:rPr>
          <m:t>S=</m:t>
        </m:r>
        <m:nary>
          <m:naryPr>
            <m:chr m:val="∑"/>
            <m:limLoc m:val="undOvr"/>
            <m:ctrlPr>
              <w:rPr>
                <w:rFonts w:hint="eastAsia" w:ascii="Cambria Math" w:hAnsi="Cambria Math" w:eastAsiaTheme="minorEastAsia" w:cstheme="minorEastAsia"/>
                <w:i/>
                <w:iCs/>
                <w:highlight w:val="none"/>
              </w:rPr>
            </m:ctrlPr>
          </m:naryPr>
          <m:sub>
            <m:r>
              <m:rPr/>
              <w:rPr>
                <w:rFonts w:hint="default" w:ascii="Cambria Math" w:hAnsi="Cambria Math" w:eastAsiaTheme="minorEastAsia" w:cstheme="minorEastAsia"/>
                <w:highlight w:val="none"/>
              </w:rPr>
              <m:t>i=1</m:t>
            </m:r>
            <m:ctrlPr>
              <w:rPr>
                <w:rFonts w:hint="eastAsia" w:ascii="Cambria Math" w:hAnsi="Cambria Math" w:eastAsiaTheme="minorEastAsia" w:cstheme="minorEastAsia"/>
                <w:i/>
                <w:iCs/>
                <w:highlight w:val="none"/>
              </w:rPr>
            </m:ctrlPr>
          </m:sub>
          <m:sup>
            <m:r>
              <m:rPr/>
              <w:rPr>
                <w:rFonts w:hint="default" w:ascii="Cambria Math" w:hAnsi="Cambria Math" w:eastAsiaTheme="minorEastAsia" w:cstheme="minorEastAsia"/>
                <w:highlight w:val="none"/>
              </w:rPr>
              <m:t>n</m:t>
            </m:r>
            <m:ctrlPr>
              <w:rPr>
                <w:rFonts w:hint="eastAsia" w:ascii="Cambria Math" w:hAnsi="Cambria Math" w:eastAsiaTheme="minorEastAsia" w:cstheme="minorEastAsia"/>
                <w:i/>
                <w:iCs/>
                <w:highlight w:val="none"/>
              </w:rPr>
            </m:ctrlPr>
          </m:sup>
          <m:e>
            <m:sSub>
              <m:sSubPr>
                <m:ctrlPr>
                  <w:rPr>
                    <w:rFonts w:hint="eastAsia" w:ascii="Cambria Math" w:hAnsi="Cambria Math" w:eastAsiaTheme="minorEastAsia" w:cstheme="minorEastAsia"/>
                    <w:i/>
                    <w:iCs/>
                    <w:highlight w:val="none"/>
                  </w:rPr>
                </m:ctrlPr>
              </m:sSubPr>
              <m:e>
                <m:r>
                  <m:rPr/>
                  <w:rPr>
                    <w:rFonts w:hint="default" w:ascii="Cambria Math" w:hAnsi="Cambria Math" w:eastAsiaTheme="minorEastAsia" w:cstheme="minorEastAsia"/>
                    <w:highlight w:val="none"/>
                  </w:rPr>
                  <m:t>X</m:t>
                </m:r>
                <m:ctrlPr>
                  <w:rPr>
                    <w:rFonts w:hint="eastAsia" w:ascii="Cambria Math" w:hAnsi="Cambria Math" w:eastAsiaTheme="minorEastAsia" w:cstheme="minorEastAsia"/>
                    <w:i/>
                    <w:iCs/>
                    <w:highlight w:val="none"/>
                  </w:rPr>
                </m:ctrlPr>
              </m:e>
              <m:sub>
                <m:r>
                  <m:rPr/>
                  <w:rPr>
                    <w:rFonts w:hint="default" w:ascii="Cambria Math" w:hAnsi="Cambria Math" w:eastAsiaTheme="minorEastAsia" w:cstheme="minorEastAsia"/>
                    <w:highlight w:val="none"/>
                  </w:rPr>
                  <m:t>i</m:t>
                </m:r>
                <m:ctrlPr>
                  <w:rPr>
                    <w:rFonts w:hint="eastAsia" w:ascii="Cambria Math" w:hAnsi="Cambria Math" w:eastAsiaTheme="minorEastAsia" w:cstheme="minorEastAsia"/>
                    <w:i/>
                    <w:iCs/>
                    <w:highlight w:val="none"/>
                  </w:rPr>
                </m:ctrlPr>
              </m:sub>
            </m:sSub>
            <m:ctrlPr>
              <w:rPr>
                <w:rFonts w:hint="eastAsia" w:ascii="Cambria Math" w:hAnsi="Cambria Math" w:eastAsiaTheme="minorEastAsia" w:cstheme="minorEastAsia"/>
                <w:i/>
                <w:iCs/>
                <w:highlight w:val="none"/>
              </w:rPr>
            </m:ctrlPr>
          </m:e>
        </m:nary>
      </m:oMath>
      <w:r>
        <w:rPr>
          <w:rFonts w:hint="eastAsia" w:hAnsi="Cambria Math" w:cs="宋体"/>
          <w:i w:val="0"/>
          <w:iCs/>
          <w:highlight w:val="none"/>
          <w:lang w:val="en-US"/>
        </w:rPr>
        <w:tab/>
      </w:r>
      <w:r>
        <w:rPr>
          <w:rFonts w:hint="eastAsia" w:hAnsi="Cambria Math" w:cs="宋体"/>
          <w:i w:val="0"/>
          <w:iCs/>
          <w:highlight w:val="none"/>
          <w:lang w:val="en-US" w:eastAsia="zh-CN"/>
        </w:rPr>
        <w:t>（3）</w:t>
      </w:r>
    </w:p>
    <w:p w14:paraId="2514B927">
      <w:pPr>
        <w:pStyle w:val="26"/>
        <w:rPr>
          <w:rFonts w:hAnsi="宋体" w:cs="宋体"/>
          <w:highlight w:val="none"/>
        </w:rPr>
      </w:pPr>
      <w:r>
        <w:rPr>
          <w:rFonts w:hint="eastAsia" w:hAnsi="宋体" w:cs="宋体"/>
          <w:highlight w:val="none"/>
        </w:rPr>
        <w:t>式中：</w:t>
      </w:r>
    </w:p>
    <w:p w14:paraId="2810F595">
      <w:pPr>
        <w:pStyle w:val="26"/>
        <w:rPr>
          <w:rFonts w:hAnsi="宋体" w:cs="宋体"/>
          <w:highlight w:val="none"/>
        </w:rPr>
      </w:pPr>
      <m:oMath>
        <m:r>
          <m:rPr/>
          <w:rPr>
            <w:rFonts w:hint="default" w:ascii="Cambria Math" w:hAnsi="Cambria Math" w:cs="宋体"/>
            <w:highlight w:val="none"/>
          </w:rPr>
          <m:t>S</m:t>
        </m:r>
      </m:oMath>
      <w:r>
        <w:rPr>
          <w:rFonts w:hint="eastAsia" w:hAnsi="Cambria Math" w:cs="宋体"/>
          <w:b w:val="0"/>
          <w:i w:val="0"/>
          <w:iCs/>
          <w:spacing w:val="-11"/>
          <w:sz w:val="21"/>
          <w:highlight w:val="none"/>
          <w:lang w:val="en-US" w:eastAsia="zh-CN"/>
        </w:rPr>
        <w:t xml:space="preserve"> </w:t>
      </w:r>
      <w:r>
        <w:rPr>
          <w:rFonts w:hint="eastAsia" w:hAnsi="宋体" w:cs="宋体"/>
          <w:highlight w:val="none"/>
        </w:rPr>
        <w:t>——</w:t>
      </w:r>
      <w:r>
        <w:rPr>
          <w:rFonts w:hint="eastAsia" w:hAnsi="宋体" w:cs="宋体"/>
          <w:highlight w:val="none"/>
          <w:lang w:eastAsia="zh-CN"/>
        </w:rPr>
        <w:t>绿色低碳产业</w:t>
      </w:r>
      <w:r>
        <w:rPr>
          <w:rFonts w:hint="eastAsia" w:hAnsi="宋体" w:cs="宋体"/>
          <w:highlight w:val="none"/>
        </w:rPr>
        <w:t>认定综合评价值；</w:t>
      </w:r>
    </w:p>
    <w:p w14:paraId="61B551DD">
      <w:pPr>
        <w:pStyle w:val="26"/>
        <w:rPr>
          <w:rFonts w:hAnsi="宋体" w:cs="宋体"/>
          <w:highlight w:val="none"/>
        </w:rPr>
      </w:pPr>
      <m:oMath>
        <m:sSub>
          <m:sSubPr>
            <m:ctrlPr>
              <w:rPr>
                <w:rFonts w:hint="eastAsia" w:ascii="Cambria Math" w:hAnsi="Cambria Math" w:cs="宋体"/>
                <w:i/>
                <w:iCs/>
                <w:highlight w:val="none"/>
              </w:rPr>
            </m:ctrlPr>
          </m:sSubPr>
          <m:e>
            <m:r>
              <m:rPr/>
              <w:rPr>
                <w:rFonts w:hint="default" w:ascii="Cambria Math" w:hAnsi="Cambria Math" w:cs="宋体"/>
                <w:highlight w:val="none"/>
              </w:rPr>
              <m:t>X</m:t>
            </m:r>
            <m:ctrlPr>
              <w:rPr>
                <w:rFonts w:hint="eastAsia" w:ascii="Cambria Math" w:hAnsi="Cambria Math" w:cs="宋体"/>
                <w:i/>
                <w:iCs/>
                <w:highlight w:val="none"/>
              </w:rPr>
            </m:ctrlPr>
          </m:e>
          <m:sub>
            <m:r>
              <m:rPr/>
              <w:rPr>
                <w:rFonts w:hint="default" w:ascii="Cambria Math" w:hAnsi="Cambria Math" w:cs="宋体"/>
                <w:highlight w:val="none"/>
              </w:rPr>
              <m:t>i</m:t>
            </m:r>
            <m:ctrlPr>
              <w:rPr>
                <w:rFonts w:hint="eastAsia" w:ascii="Cambria Math" w:hAnsi="Cambria Math" w:cs="宋体"/>
                <w:i/>
                <w:iCs/>
                <w:highlight w:val="none"/>
              </w:rPr>
            </m:ctrlPr>
          </m:sub>
        </m:sSub>
      </m:oMath>
      <w:r>
        <w:rPr>
          <w:rFonts w:hint="eastAsia" w:hAnsi="宋体" w:cs="宋体"/>
          <w:highlight w:val="none"/>
        </w:rPr>
        <w:t>——各综合评价指标得分值。</w:t>
      </w:r>
    </w:p>
    <w:p w14:paraId="68E9F1DD">
      <w:pPr>
        <w:pStyle w:val="63"/>
        <w:keepNext w:val="0"/>
        <w:keepLines w:val="0"/>
        <w:pageBreakBefore w:val="0"/>
        <w:widowControl w:val="0"/>
        <w:numPr>
          <w:ilvl w:val="0"/>
          <w:numId w:val="24"/>
        </w:numPr>
        <w:kinsoku/>
        <w:wordWrap/>
        <w:overflowPunct/>
        <w:topLinePunct w:val="0"/>
        <w:autoSpaceDE w:val="0"/>
        <w:autoSpaceDN w:val="0"/>
        <w:bidi w:val="0"/>
        <w:adjustRightInd/>
        <w:snapToGrid/>
        <w:ind w:left="780" w:leftChars="200" w:hanging="360" w:hangingChars="200"/>
        <w:textAlignment w:val="auto"/>
        <w:rPr>
          <w:rFonts w:hint="default"/>
          <w:highlight w:val="none"/>
          <w:lang w:val="en-US"/>
        </w:rPr>
      </w:pPr>
      <w:r>
        <w:rPr>
          <w:rFonts w:hint="eastAsia"/>
          <w:highlight w:val="none"/>
          <w:lang w:val="en-US" w:eastAsia="zh-CN"/>
        </w:rPr>
        <w:t>“绿色服务”类企事业单位或项目，不参评“环境表现”类指标。</w:t>
      </w:r>
    </w:p>
    <w:p w14:paraId="705357B7">
      <w:pPr>
        <w:pStyle w:val="63"/>
        <w:keepNext w:val="0"/>
        <w:keepLines w:val="0"/>
        <w:pageBreakBefore w:val="0"/>
        <w:widowControl w:val="0"/>
        <w:numPr>
          <w:ilvl w:val="0"/>
          <w:numId w:val="24"/>
        </w:numPr>
        <w:kinsoku/>
        <w:wordWrap/>
        <w:overflowPunct/>
        <w:topLinePunct w:val="0"/>
        <w:autoSpaceDE w:val="0"/>
        <w:autoSpaceDN w:val="0"/>
        <w:bidi w:val="0"/>
        <w:adjustRightInd/>
        <w:snapToGrid/>
        <w:ind w:left="870" w:leftChars="200" w:hanging="450" w:hangingChars="250"/>
        <w:textAlignment w:val="auto"/>
        <w:rPr>
          <w:rFonts w:hint="default"/>
          <w:highlight w:val="none"/>
          <w:lang w:val="en-US"/>
        </w:rPr>
      </w:pPr>
      <w:r>
        <w:rPr>
          <w:rFonts w:hint="eastAsia"/>
          <w:highlight w:val="none"/>
        </w:rPr>
        <w:t>若</w:t>
      </w:r>
      <w:r>
        <w:rPr>
          <w:rFonts w:hint="eastAsia"/>
          <w:highlight w:val="none"/>
          <w:lang w:val="en-US" w:eastAsia="zh-CN"/>
        </w:rPr>
        <w:t>综合评价指标的部分指标不适用于某子行业，经专家评估审定后可不参评该指标，其</w:t>
      </w:r>
      <w:r>
        <w:rPr>
          <w:rFonts w:hint="eastAsia"/>
          <w:highlight w:val="none"/>
        </w:rPr>
        <w:t>综合值折算方法为：综合</w:t>
      </w:r>
      <w:r>
        <w:rPr>
          <w:rFonts w:hint="eastAsia"/>
          <w:highlight w:val="none"/>
          <w:lang w:val="en-US" w:eastAsia="zh-CN"/>
        </w:rPr>
        <w:t>评价</w:t>
      </w:r>
      <w:r>
        <w:rPr>
          <w:rFonts w:hint="eastAsia"/>
          <w:highlight w:val="none"/>
        </w:rPr>
        <w:t>值=参评项得分值/参评项总分值×100。</w:t>
      </w:r>
    </w:p>
    <w:p w14:paraId="57692914">
      <w:pPr>
        <w:pStyle w:val="51"/>
        <w:bidi w:val="0"/>
        <w:rPr>
          <w:highlight w:val="none"/>
        </w:rPr>
      </w:pPr>
      <w:bookmarkStart w:id="103" w:name="_Toc21004"/>
      <w:bookmarkStart w:id="104" w:name="_Toc20408"/>
      <w:bookmarkStart w:id="105" w:name="_Toc26832"/>
      <w:r>
        <w:rPr>
          <w:rFonts w:hint="eastAsia"/>
          <w:highlight w:val="none"/>
        </w:rPr>
        <w:t>专家评审</w:t>
      </w:r>
      <w:bookmarkEnd w:id="103"/>
      <w:bookmarkEnd w:id="104"/>
      <w:bookmarkEnd w:id="105"/>
    </w:p>
    <w:p w14:paraId="0E636D67">
      <w:pPr>
        <w:pStyle w:val="26"/>
        <w:rPr>
          <w:rFonts w:hint="eastAsia" w:hAnsi="宋体" w:cs="宋体"/>
          <w:sz w:val="21"/>
          <w:highlight w:val="none"/>
          <w:lang w:val="en-US" w:eastAsia="zh-CN" w:bidi="ar-SA"/>
        </w:rPr>
      </w:pPr>
      <w:r>
        <w:rPr>
          <w:rFonts w:hint="eastAsia" w:hAnsi="宋体" w:cs="宋体"/>
          <w:sz w:val="21"/>
          <w:highlight w:val="none"/>
          <w:lang w:val="en-US" w:eastAsia="zh-CN" w:bidi="ar-SA"/>
        </w:rPr>
        <w:t>由相关政府职能部门组织具备温室气体控制领域专业技术能力的专家，查看收集的报告文件、统计报表、原始记录，依据本文件要求根据温室气体控制领域绿色低碳产业认定评价指标表（见附录E）对申报材料进行评审打分并给出具体评审结论。</w:t>
      </w:r>
      <w:r>
        <w:rPr>
          <w:rFonts w:hint="eastAsia" w:hAnsi="宋体" w:cs="宋体"/>
          <w:sz w:val="21"/>
          <w:highlight w:val="none"/>
          <w:lang w:val="en-US" w:eastAsia="zh-CN" w:bidi="ar-SA"/>
        </w:rPr>
        <w:br w:type="page"/>
      </w:r>
    </w:p>
    <w:p w14:paraId="3B43C7D1">
      <w:pPr>
        <w:pStyle w:val="89"/>
        <w:shd w:val="clear" w:color="FFFFFF" w:fill="FFFFFF"/>
        <w:rPr>
          <w:rFonts w:ascii="Times New Roman"/>
          <w:highlight w:val="none"/>
        </w:rPr>
      </w:pPr>
      <w:bookmarkStart w:id="106" w:name="_Toc8634"/>
      <w:r>
        <w:rPr>
          <w:rFonts w:ascii="Times New Roman"/>
          <w:highlight w:val="none"/>
        </w:rPr>
        <w:br w:type="textWrapping"/>
      </w:r>
      <w:r>
        <w:rPr>
          <w:rFonts w:ascii="Times New Roman"/>
          <w:highlight w:val="none"/>
        </w:rPr>
        <w:t>（</w:t>
      </w:r>
      <w:r>
        <w:rPr>
          <w:rFonts w:hint="eastAsia" w:ascii="Times New Roman"/>
          <w:highlight w:val="none"/>
          <w:lang w:val="en-US" w:eastAsia="zh-CN"/>
        </w:rPr>
        <w:t>规范性</w:t>
      </w:r>
      <w:r>
        <w:rPr>
          <w:rFonts w:ascii="Times New Roman"/>
          <w:highlight w:val="none"/>
        </w:rPr>
        <w:t>）</w:t>
      </w:r>
      <w:r>
        <w:rPr>
          <w:rFonts w:ascii="Times New Roman"/>
          <w:highlight w:val="none"/>
        </w:rPr>
        <w:br w:type="textWrapping"/>
      </w:r>
      <w:r>
        <w:rPr>
          <w:rFonts w:hint="eastAsia" w:ascii="Times New Roman"/>
          <w:highlight w:val="none"/>
          <w:lang w:val="en-US" w:eastAsia="zh-CN"/>
        </w:rPr>
        <w:t>温室气体控制领域</w:t>
      </w:r>
      <w:r>
        <w:rPr>
          <w:rFonts w:hint="eastAsia" w:ascii="Times New Roman"/>
          <w:highlight w:val="none"/>
          <w:lang w:eastAsia="zh-CN"/>
        </w:rPr>
        <w:t>绿色低碳产业</w:t>
      </w:r>
      <w:r>
        <w:rPr>
          <w:rFonts w:hint="eastAsia" w:ascii="Times New Roman"/>
          <w:highlight w:val="none"/>
        </w:rPr>
        <w:t>关键技术先进性</w:t>
      </w:r>
      <w:r>
        <w:rPr>
          <w:rFonts w:hint="eastAsia" w:ascii="Times New Roman"/>
          <w:highlight w:val="none"/>
          <w:lang w:val="en-US" w:eastAsia="zh-CN"/>
        </w:rPr>
        <w:t>评价指标</w:t>
      </w:r>
      <w:bookmarkEnd w:id="106"/>
    </w:p>
    <w:p w14:paraId="52447276">
      <w:pPr>
        <w:widowControl w:val="0"/>
        <w:numPr>
          <w:ilvl w:val="1"/>
          <w:numId w:val="0"/>
        </w:numPr>
        <w:spacing w:before="156" w:beforeLines="50" w:after="156" w:afterLines="50"/>
        <w:jc w:val="both"/>
        <w:rPr>
          <w:rFonts w:hint="eastAsia" w:ascii="黑体" w:hAnsi="黑体" w:eastAsia="黑体" w:cs="黑体"/>
          <w:kern w:val="2"/>
          <w:sz w:val="21"/>
          <w:szCs w:val="21"/>
          <w:highlight w:val="none"/>
          <w:lang w:val="en-US" w:eastAsia="zh-CN" w:bidi="ar-SA"/>
        </w:rPr>
      </w:pPr>
      <w:r>
        <w:rPr>
          <w:rFonts w:hint="eastAsia" w:ascii="黑体" w:hAnsi="黑体" w:eastAsia="黑体" w:cs="黑体"/>
          <w:kern w:val="2"/>
          <w:sz w:val="21"/>
          <w:szCs w:val="21"/>
          <w:highlight w:val="none"/>
          <w:lang w:val="en-US" w:eastAsia="zh-CN" w:bidi="ar-SA"/>
        </w:rPr>
        <w:t>A.1  碳捕集、利用与封存（CCUS）</w:t>
      </w:r>
    </w:p>
    <w:p w14:paraId="2683BE8F">
      <w:pPr>
        <w:autoSpaceDE w:val="0"/>
        <w:autoSpaceDN w:val="0"/>
        <w:ind w:firstLine="420" w:firstLineChars="200"/>
        <w:rPr>
          <w:rFonts w:ascii="宋体" w:hAnsi="宋体" w:cs="宋体"/>
          <w:szCs w:val="21"/>
          <w:highlight w:val="none"/>
        </w:rPr>
      </w:pPr>
      <w:r>
        <w:rPr>
          <w:rFonts w:hint="eastAsia" w:ascii="宋体" w:hAnsi="宋体" w:cs="宋体"/>
          <w:szCs w:val="21"/>
          <w:highlight w:val="none"/>
          <w:lang w:val="en-US" w:eastAsia="zh-CN" w:bidi="ar"/>
        </w:rPr>
        <w:t>碳捕集、利用与封存（CCUS）</w:t>
      </w:r>
      <w:r>
        <w:rPr>
          <w:rFonts w:hint="eastAsia" w:ascii="宋体" w:hAnsi="宋体" w:cs="宋体"/>
          <w:szCs w:val="21"/>
          <w:highlight w:val="none"/>
          <w:lang w:bidi="ar"/>
        </w:rPr>
        <w:t>具体评价内容及评价方法见表</w:t>
      </w:r>
      <w:r>
        <w:rPr>
          <w:rFonts w:hint="eastAsia" w:ascii="宋体" w:hAnsi="宋体" w:cs="宋体"/>
          <w:szCs w:val="21"/>
          <w:highlight w:val="none"/>
          <w:lang w:val="en-US" w:eastAsia="zh-CN" w:bidi="ar"/>
        </w:rPr>
        <w:t>A.1</w:t>
      </w:r>
      <w:r>
        <w:rPr>
          <w:rFonts w:hint="eastAsia" w:ascii="宋体" w:hAnsi="宋体" w:cs="宋体"/>
          <w:szCs w:val="21"/>
          <w:highlight w:val="none"/>
          <w:lang w:bidi="ar"/>
        </w:rPr>
        <w:t>。</w:t>
      </w:r>
    </w:p>
    <w:p w14:paraId="199F422D">
      <w:pPr>
        <w:pStyle w:val="131"/>
        <w:numPr>
          <w:ilvl w:val="0"/>
          <w:numId w:val="0"/>
        </w:numPr>
        <w:ind w:leftChars="0"/>
        <w:jc w:val="center"/>
        <w:rPr>
          <w:rFonts w:ascii="Times New Roman" w:eastAsia="宋体"/>
          <w:kern w:val="2"/>
          <w:szCs w:val="21"/>
          <w:highlight w:val="none"/>
        </w:rPr>
      </w:pPr>
      <w:r>
        <w:rPr>
          <w:rFonts w:hint="eastAsia" w:hAnsi="宋体" w:cs="黑体"/>
          <w:kern w:val="2"/>
          <w:szCs w:val="21"/>
          <w:highlight w:val="none"/>
          <w:lang w:val="en-US" w:eastAsia="zh-CN" w:bidi="ar"/>
        </w:rPr>
        <w:t>表A.1  碳捕集、利用与封存（CCUS）关键</w:t>
      </w:r>
      <w:r>
        <w:rPr>
          <w:rFonts w:hint="eastAsia" w:hAnsi="宋体" w:cs="黑体"/>
          <w:kern w:val="2"/>
          <w:szCs w:val="21"/>
          <w:highlight w:val="none"/>
          <w:lang w:bidi="ar"/>
        </w:rPr>
        <w:t>技术先进水平评价规则</w:t>
      </w:r>
    </w:p>
    <w:tbl>
      <w:tblPr>
        <w:tblStyle w:val="37"/>
        <w:tblW w:w="4994"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1464"/>
        <w:gridCol w:w="2722"/>
        <w:gridCol w:w="3116"/>
        <w:gridCol w:w="2257"/>
      </w:tblGrid>
      <w:tr w14:paraId="717A7E2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66" w:type="pct"/>
            <w:tcBorders>
              <w:bottom w:val="single" w:color="auto" w:sz="12" w:space="0"/>
            </w:tcBorders>
            <w:shd w:val="clear" w:color="auto" w:fill="auto"/>
          </w:tcPr>
          <w:p w14:paraId="6BD8EFC3">
            <w:pPr>
              <w:keepNext w:val="0"/>
              <w:keepLines w:val="0"/>
              <w:suppressLineNumbers w:val="0"/>
              <w:autoSpaceDE w:val="0"/>
              <w:autoSpaceDN w:val="0"/>
              <w:spacing w:before="0" w:beforeAutospacing="0" w:after="0" w:afterAutospacing="0"/>
              <w:ind w:left="0" w:right="0"/>
              <w:jc w:val="center"/>
              <w:rPr>
                <w:rFonts w:hint="default" w:ascii="宋体"/>
                <w:b/>
                <w:bCs/>
                <w:sz w:val="18"/>
                <w:szCs w:val="18"/>
                <w:highlight w:val="none"/>
              </w:rPr>
            </w:pPr>
            <w:r>
              <w:rPr>
                <w:rFonts w:hint="eastAsia" w:ascii="宋体" w:hAnsi="宋体" w:cs="宋体"/>
                <w:b/>
                <w:bCs/>
                <w:sz w:val="18"/>
                <w:szCs w:val="18"/>
                <w:highlight w:val="none"/>
                <w:lang w:bidi="ar"/>
              </w:rPr>
              <w:t>评价环节</w:t>
            </w:r>
          </w:p>
        </w:tc>
        <w:tc>
          <w:tcPr>
            <w:tcW w:w="1424" w:type="pct"/>
            <w:tcBorders>
              <w:bottom w:val="single" w:color="auto" w:sz="12" w:space="0"/>
            </w:tcBorders>
            <w:shd w:val="clear" w:color="auto" w:fill="auto"/>
          </w:tcPr>
          <w:p w14:paraId="04D98BA9">
            <w:pPr>
              <w:keepNext w:val="0"/>
              <w:keepLines w:val="0"/>
              <w:suppressLineNumbers w:val="0"/>
              <w:autoSpaceDE w:val="0"/>
              <w:autoSpaceDN w:val="0"/>
              <w:spacing w:before="0" w:beforeAutospacing="0" w:after="0" w:afterAutospacing="0"/>
              <w:ind w:left="0" w:right="0"/>
              <w:jc w:val="center"/>
              <w:rPr>
                <w:rFonts w:hint="default" w:ascii="宋体"/>
                <w:b/>
                <w:bCs/>
                <w:sz w:val="18"/>
                <w:szCs w:val="18"/>
                <w:highlight w:val="none"/>
              </w:rPr>
            </w:pPr>
            <w:r>
              <w:rPr>
                <w:rFonts w:hint="eastAsia" w:ascii="宋体" w:hAnsi="宋体" w:cs="宋体"/>
                <w:b/>
                <w:bCs/>
                <w:sz w:val="18"/>
                <w:szCs w:val="18"/>
                <w:highlight w:val="none"/>
                <w:lang w:bidi="ar"/>
              </w:rPr>
              <w:t>评价对象</w:t>
            </w:r>
          </w:p>
        </w:tc>
        <w:tc>
          <w:tcPr>
            <w:tcW w:w="1630" w:type="pct"/>
            <w:tcBorders>
              <w:bottom w:val="single" w:color="auto" w:sz="12" w:space="0"/>
            </w:tcBorders>
            <w:shd w:val="clear" w:color="auto" w:fill="auto"/>
          </w:tcPr>
          <w:p w14:paraId="20972304">
            <w:pPr>
              <w:keepNext w:val="0"/>
              <w:keepLines w:val="0"/>
              <w:suppressLineNumbers w:val="0"/>
              <w:autoSpaceDE w:val="0"/>
              <w:autoSpaceDN w:val="0"/>
              <w:spacing w:before="0" w:beforeAutospacing="0" w:after="0" w:afterAutospacing="0"/>
              <w:ind w:left="0" w:right="0"/>
              <w:jc w:val="center"/>
              <w:rPr>
                <w:rFonts w:hint="default" w:ascii="宋体"/>
                <w:b/>
                <w:bCs/>
                <w:sz w:val="18"/>
                <w:szCs w:val="18"/>
                <w:highlight w:val="none"/>
              </w:rPr>
            </w:pPr>
            <w:r>
              <w:rPr>
                <w:rFonts w:hint="eastAsia" w:ascii="宋体" w:hAnsi="宋体" w:cs="宋体"/>
                <w:b/>
                <w:bCs/>
                <w:sz w:val="18"/>
                <w:szCs w:val="18"/>
                <w:highlight w:val="none"/>
                <w:lang w:bidi="ar"/>
              </w:rPr>
              <w:t>核心评价指标</w:t>
            </w:r>
          </w:p>
        </w:tc>
        <w:tc>
          <w:tcPr>
            <w:tcW w:w="1177" w:type="pct"/>
            <w:tcBorders>
              <w:bottom w:val="single" w:color="auto" w:sz="12" w:space="0"/>
            </w:tcBorders>
            <w:shd w:val="clear" w:color="auto" w:fill="auto"/>
          </w:tcPr>
          <w:p w14:paraId="4F4EE12F">
            <w:pPr>
              <w:keepNext w:val="0"/>
              <w:keepLines w:val="0"/>
              <w:suppressLineNumbers w:val="0"/>
              <w:autoSpaceDE w:val="0"/>
              <w:autoSpaceDN w:val="0"/>
              <w:spacing w:before="0" w:beforeAutospacing="0" w:after="0" w:afterAutospacing="0"/>
              <w:ind w:left="0" w:right="0"/>
              <w:jc w:val="center"/>
              <w:rPr>
                <w:rFonts w:hint="default" w:ascii="宋体"/>
                <w:b/>
                <w:bCs/>
                <w:sz w:val="18"/>
                <w:szCs w:val="18"/>
                <w:highlight w:val="none"/>
              </w:rPr>
            </w:pPr>
            <w:r>
              <w:rPr>
                <w:rFonts w:hint="eastAsia" w:ascii="宋体" w:hAnsi="宋体" w:cs="宋体"/>
                <w:b/>
                <w:bCs/>
                <w:sz w:val="18"/>
                <w:szCs w:val="18"/>
                <w:highlight w:val="none"/>
                <w:lang w:bidi="ar"/>
              </w:rPr>
              <w:t>评价依据</w:t>
            </w:r>
          </w:p>
        </w:tc>
      </w:tr>
      <w:tr w14:paraId="4B91761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43" w:hRule="atLeast"/>
          <w:jc w:val="center"/>
        </w:trPr>
        <w:tc>
          <w:tcPr>
            <w:tcW w:w="766" w:type="pct"/>
            <w:vMerge w:val="restart"/>
            <w:tcBorders>
              <w:top w:val="single" w:color="auto" w:sz="12" w:space="0"/>
              <w:tl2br w:val="nil"/>
              <w:tr2bl w:val="nil"/>
            </w:tcBorders>
            <w:shd w:val="clear" w:color="auto" w:fill="auto"/>
            <w:vAlign w:val="center"/>
          </w:tcPr>
          <w:p w14:paraId="135EC09F">
            <w:pPr>
              <w:keepNext w:val="0"/>
              <w:keepLines w:val="0"/>
              <w:suppressLineNumbers w:val="0"/>
              <w:autoSpaceDE w:val="0"/>
              <w:autoSpaceDN w:val="0"/>
              <w:spacing w:before="0" w:beforeAutospacing="0" w:after="0" w:afterAutospacing="0"/>
              <w:ind w:left="0" w:right="0"/>
              <w:jc w:val="center"/>
              <w:rPr>
                <w:rFonts w:hint="default" w:ascii="宋体" w:hAnsi="宋体" w:cs="宋体"/>
                <w:sz w:val="18"/>
                <w:szCs w:val="18"/>
                <w:highlight w:val="none"/>
              </w:rPr>
            </w:pPr>
            <w:r>
              <w:rPr>
                <w:rFonts w:hint="eastAsia" w:ascii="宋体" w:hAnsi="宋体" w:cs="宋体"/>
                <w:sz w:val="18"/>
                <w:szCs w:val="18"/>
                <w:highlight w:val="none"/>
                <w:lang w:bidi="ar"/>
              </w:rPr>
              <w:t>生产制造</w:t>
            </w:r>
          </w:p>
        </w:tc>
        <w:tc>
          <w:tcPr>
            <w:tcW w:w="1424" w:type="pct"/>
            <w:tcBorders>
              <w:top w:val="single" w:color="auto" w:sz="12" w:space="0"/>
              <w:tl2br w:val="nil"/>
              <w:tr2bl w:val="nil"/>
            </w:tcBorders>
            <w:shd w:val="clear" w:color="auto" w:fill="auto"/>
            <w:vAlign w:val="center"/>
          </w:tcPr>
          <w:p w14:paraId="651B4C3B">
            <w:pPr>
              <w:keepNext w:val="0"/>
              <w:keepLines w:val="0"/>
              <w:suppressLineNumbers w:val="0"/>
              <w:autoSpaceDE w:val="0"/>
              <w:autoSpaceDN w:val="0"/>
              <w:spacing w:before="0" w:beforeAutospacing="0" w:after="0" w:afterAutospacing="0"/>
              <w:ind w:left="0" w:right="0"/>
              <w:jc w:val="both"/>
              <w:rPr>
                <w:rFonts w:hint="default" w:ascii="宋体" w:hAnsi="宋体" w:eastAsia="宋体" w:cs="宋体"/>
                <w:sz w:val="18"/>
                <w:szCs w:val="18"/>
                <w:highlight w:val="none"/>
                <w:lang w:val="en-US" w:eastAsia="zh-CN"/>
              </w:rPr>
            </w:pPr>
            <w:r>
              <w:rPr>
                <w:rFonts w:hint="default" w:ascii="宋体" w:hAnsi="宋体" w:eastAsia="宋体" w:cs="宋体"/>
                <w:sz w:val="18"/>
                <w:szCs w:val="18"/>
                <w:highlight w:val="none"/>
                <w:lang w:val="en-US" w:eastAsia="zh-CN"/>
              </w:rPr>
              <w:t>吸收塔/吸附塔</w:t>
            </w:r>
          </w:p>
        </w:tc>
        <w:tc>
          <w:tcPr>
            <w:tcW w:w="1630" w:type="pct"/>
            <w:tcBorders>
              <w:top w:val="single" w:color="auto" w:sz="12" w:space="0"/>
              <w:tl2br w:val="nil"/>
              <w:tr2bl w:val="nil"/>
            </w:tcBorders>
            <w:shd w:val="clear" w:color="auto" w:fill="auto"/>
            <w:vAlign w:val="center"/>
          </w:tcPr>
          <w:p w14:paraId="4E3DD1CD">
            <w:pPr>
              <w:keepNext w:val="0"/>
              <w:keepLines w:val="0"/>
              <w:suppressLineNumbers w:val="0"/>
              <w:autoSpaceDE w:val="0"/>
              <w:autoSpaceDN w:val="0"/>
              <w:spacing w:before="0" w:beforeAutospacing="0" w:after="0" w:afterAutospacing="0"/>
              <w:ind w:left="0" w:right="0"/>
              <w:jc w:val="both"/>
              <w:rPr>
                <w:rFonts w:hint="default" w:ascii="宋体" w:hAnsi="宋体" w:eastAsia="宋体" w:cs="宋体"/>
                <w:sz w:val="18"/>
                <w:szCs w:val="18"/>
                <w:highlight w:val="none"/>
                <w:lang w:val="en-US" w:eastAsia="zh-CN"/>
              </w:rPr>
            </w:pPr>
            <w:r>
              <w:rPr>
                <w:rFonts w:hint="default" w:ascii="宋体" w:hAnsi="宋体" w:eastAsia="宋体" w:cs="宋体"/>
                <w:sz w:val="18"/>
                <w:szCs w:val="18"/>
                <w:highlight w:val="none"/>
                <w:lang w:val="en-US" w:eastAsia="zh-CN"/>
              </w:rPr>
              <w:t>吸收效率</w:t>
            </w:r>
            <w:r>
              <w:rPr>
                <w:rFonts w:hint="eastAsia" w:ascii="宋体" w:hAnsi="宋体" w:cs="宋体"/>
                <w:sz w:val="18"/>
                <w:szCs w:val="18"/>
                <w:highlight w:val="none"/>
                <w:lang w:val="en-US" w:eastAsia="zh-CN"/>
              </w:rPr>
              <w:t>、处理能力、压力降</w:t>
            </w:r>
          </w:p>
        </w:tc>
        <w:tc>
          <w:tcPr>
            <w:tcW w:w="1177" w:type="pct"/>
            <w:tcBorders>
              <w:top w:val="single" w:color="auto" w:sz="12" w:space="0"/>
              <w:tl2br w:val="nil"/>
              <w:tr2bl w:val="nil"/>
            </w:tcBorders>
            <w:shd w:val="clear" w:color="auto" w:fill="auto"/>
            <w:vAlign w:val="center"/>
          </w:tcPr>
          <w:p w14:paraId="0F52D1A2">
            <w:pPr>
              <w:keepNext w:val="0"/>
              <w:keepLines w:val="0"/>
              <w:suppressLineNumbers w:val="0"/>
              <w:autoSpaceDE w:val="0"/>
              <w:autoSpaceDN w:val="0"/>
              <w:spacing w:before="0" w:beforeAutospacing="0" w:after="0" w:afterAutospacing="0"/>
              <w:ind w:left="0" w:right="0"/>
              <w:jc w:val="center"/>
              <w:rPr>
                <w:rFonts w:hint="default" w:ascii="宋体" w:hAnsi="宋体" w:cs="宋体"/>
                <w:sz w:val="18"/>
                <w:szCs w:val="18"/>
                <w:highlight w:val="none"/>
                <w:lang w:val="en-US"/>
              </w:rPr>
            </w:pPr>
            <w:r>
              <w:rPr>
                <w:rFonts w:hint="default" w:ascii="宋体" w:hAnsi="宋体" w:cs="宋体"/>
                <w:sz w:val="18"/>
                <w:szCs w:val="18"/>
                <w:highlight w:val="none"/>
                <w:lang w:val="en-US"/>
              </w:rPr>
              <w:t>GB/T 51316-2018</w:t>
            </w:r>
          </w:p>
        </w:tc>
      </w:tr>
      <w:tr w14:paraId="433372A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66" w:type="pct"/>
            <w:vMerge w:val="continue"/>
            <w:tcBorders>
              <w:tl2br w:val="nil"/>
              <w:tr2bl w:val="nil"/>
            </w:tcBorders>
            <w:shd w:val="clear" w:color="auto" w:fill="auto"/>
            <w:vAlign w:val="center"/>
          </w:tcPr>
          <w:p w14:paraId="5443B17B">
            <w:pPr>
              <w:keepNext w:val="0"/>
              <w:keepLines w:val="0"/>
              <w:suppressLineNumbers w:val="0"/>
              <w:autoSpaceDE w:val="0"/>
              <w:autoSpaceDN w:val="0"/>
              <w:spacing w:before="0" w:beforeAutospacing="0" w:after="0" w:afterAutospacing="0"/>
              <w:ind w:left="0" w:right="0"/>
              <w:jc w:val="center"/>
              <w:rPr>
                <w:rFonts w:hint="eastAsia" w:ascii="宋体" w:hAnsi="宋体" w:cs="宋体"/>
                <w:sz w:val="18"/>
                <w:szCs w:val="18"/>
                <w:highlight w:val="none"/>
                <w:lang w:bidi="ar"/>
              </w:rPr>
            </w:pPr>
          </w:p>
        </w:tc>
        <w:tc>
          <w:tcPr>
            <w:tcW w:w="1424" w:type="pct"/>
            <w:tcBorders>
              <w:tl2br w:val="nil"/>
              <w:tr2bl w:val="nil"/>
            </w:tcBorders>
            <w:shd w:val="clear" w:color="auto" w:fill="auto"/>
            <w:vAlign w:val="center"/>
          </w:tcPr>
          <w:p w14:paraId="6E493E7C">
            <w:pPr>
              <w:keepNext w:val="0"/>
              <w:keepLines w:val="0"/>
              <w:suppressLineNumbers w:val="0"/>
              <w:autoSpaceDE w:val="0"/>
              <w:autoSpaceDN w:val="0"/>
              <w:spacing w:before="0" w:beforeAutospacing="0" w:after="0" w:afterAutospacing="0"/>
              <w:ind w:left="0" w:right="0"/>
              <w:jc w:val="both"/>
              <w:rPr>
                <w:rFonts w:hint="eastAsia" w:ascii="宋体" w:hAnsi="宋体" w:cs="宋体"/>
                <w:sz w:val="18"/>
                <w:szCs w:val="18"/>
                <w:highlight w:val="none"/>
                <w:lang w:val="en-US" w:eastAsia="zh-CN"/>
              </w:rPr>
            </w:pPr>
            <w:r>
              <w:rPr>
                <w:rFonts w:hint="eastAsia" w:ascii="宋体" w:hAnsi="宋体" w:cs="宋体"/>
                <w:sz w:val="18"/>
                <w:szCs w:val="18"/>
                <w:highlight w:val="none"/>
                <w:lang w:val="en-US" w:eastAsia="zh-CN"/>
              </w:rPr>
              <w:t>再生塔</w:t>
            </w:r>
          </w:p>
        </w:tc>
        <w:tc>
          <w:tcPr>
            <w:tcW w:w="1630" w:type="pct"/>
            <w:tcBorders>
              <w:tl2br w:val="nil"/>
              <w:tr2bl w:val="nil"/>
            </w:tcBorders>
            <w:shd w:val="clear" w:color="auto" w:fill="auto"/>
            <w:vAlign w:val="center"/>
          </w:tcPr>
          <w:p w14:paraId="494AB523">
            <w:pPr>
              <w:keepNext w:val="0"/>
              <w:keepLines w:val="0"/>
              <w:suppressLineNumbers w:val="0"/>
              <w:autoSpaceDE w:val="0"/>
              <w:autoSpaceDN w:val="0"/>
              <w:spacing w:before="0" w:beforeAutospacing="0" w:after="0" w:afterAutospacing="0"/>
              <w:ind w:left="0" w:right="0"/>
              <w:jc w:val="both"/>
              <w:rPr>
                <w:rFonts w:hint="default" w:ascii="宋体" w:hAnsi="宋体" w:cs="宋体"/>
                <w:sz w:val="18"/>
                <w:szCs w:val="18"/>
                <w:highlight w:val="none"/>
                <w:lang w:val="en-US"/>
              </w:rPr>
            </w:pPr>
            <w:r>
              <w:rPr>
                <w:rFonts w:hint="default" w:ascii="宋体" w:hAnsi="宋体" w:cs="宋体"/>
                <w:sz w:val="18"/>
                <w:szCs w:val="18"/>
                <w:highlight w:val="none"/>
                <w:lang w:val="en-US"/>
              </w:rPr>
              <w:t>再生效率、处理能力、能耗</w:t>
            </w:r>
          </w:p>
        </w:tc>
        <w:tc>
          <w:tcPr>
            <w:tcW w:w="1177" w:type="pct"/>
            <w:tcBorders>
              <w:tl2br w:val="nil"/>
              <w:tr2bl w:val="nil"/>
            </w:tcBorders>
            <w:shd w:val="clear" w:color="auto" w:fill="auto"/>
            <w:vAlign w:val="center"/>
          </w:tcPr>
          <w:p w14:paraId="1E3E5E35">
            <w:pPr>
              <w:keepNext w:val="0"/>
              <w:keepLines w:val="0"/>
              <w:suppressLineNumbers w:val="0"/>
              <w:autoSpaceDE w:val="0"/>
              <w:autoSpaceDN w:val="0"/>
              <w:spacing w:before="0" w:beforeAutospacing="0" w:after="0" w:afterAutospacing="0"/>
              <w:ind w:left="0" w:right="0"/>
              <w:jc w:val="center"/>
              <w:rPr>
                <w:rFonts w:hint="default" w:ascii="宋体" w:hAnsi="宋体" w:eastAsia="宋体" w:cs="宋体"/>
                <w:sz w:val="18"/>
                <w:szCs w:val="18"/>
                <w:highlight w:val="none"/>
                <w:lang w:val="en-US" w:eastAsia="zh-CN"/>
              </w:rPr>
            </w:pPr>
            <w:r>
              <w:rPr>
                <w:rFonts w:hint="default" w:ascii="宋体" w:hAnsi="宋体" w:eastAsia="宋体" w:cs="宋体"/>
                <w:sz w:val="18"/>
                <w:szCs w:val="18"/>
                <w:highlight w:val="none"/>
                <w:lang w:val="en-US" w:eastAsia="zh-CN"/>
              </w:rPr>
              <w:t>GB/T 51316-2018</w:t>
            </w:r>
          </w:p>
        </w:tc>
      </w:tr>
      <w:tr w14:paraId="66AA882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66" w:type="pct"/>
            <w:vMerge w:val="continue"/>
            <w:tcBorders>
              <w:tl2br w:val="nil"/>
              <w:tr2bl w:val="nil"/>
            </w:tcBorders>
            <w:shd w:val="clear" w:color="auto" w:fill="auto"/>
            <w:vAlign w:val="center"/>
          </w:tcPr>
          <w:p w14:paraId="6E16EEB7">
            <w:pPr>
              <w:keepNext w:val="0"/>
              <w:keepLines w:val="0"/>
              <w:suppressLineNumbers w:val="0"/>
              <w:autoSpaceDE w:val="0"/>
              <w:autoSpaceDN w:val="0"/>
              <w:spacing w:before="0" w:beforeAutospacing="0" w:after="0" w:afterAutospacing="0"/>
              <w:ind w:left="0" w:right="0"/>
              <w:jc w:val="center"/>
              <w:rPr>
                <w:rFonts w:hint="eastAsia" w:ascii="宋体" w:hAnsi="宋体" w:cs="宋体"/>
                <w:sz w:val="18"/>
                <w:szCs w:val="18"/>
                <w:highlight w:val="none"/>
                <w:lang w:bidi="ar"/>
              </w:rPr>
            </w:pPr>
          </w:p>
        </w:tc>
        <w:tc>
          <w:tcPr>
            <w:tcW w:w="1424" w:type="pct"/>
            <w:tcBorders>
              <w:tl2br w:val="nil"/>
              <w:tr2bl w:val="nil"/>
            </w:tcBorders>
            <w:shd w:val="clear" w:color="auto" w:fill="auto"/>
            <w:vAlign w:val="center"/>
          </w:tcPr>
          <w:p w14:paraId="2FEEC7BA">
            <w:pPr>
              <w:keepNext w:val="0"/>
              <w:keepLines w:val="0"/>
              <w:suppressLineNumbers w:val="0"/>
              <w:autoSpaceDE w:val="0"/>
              <w:autoSpaceDN w:val="0"/>
              <w:spacing w:before="0" w:beforeAutospacing="0" w:after="0" w:afterAutospacing="0"/>
              <w:ind w:left="0" w:right="0"/>
              <w:jc w:val="both"/>
              <w:rPr>
                <w:rFonts w:hint="eastAsia" w:ascii="宋体" w:hAnsi="宋体" w:cs="宋体"/>
                <w:sz w:val="18"/>
                <w:szCs w:val="18"/>
                <w:highlight w:val="none"/>
                <w:lang w:val="en-US" w:eastAsia="zh-CN"/>
              </w:rPr>
            </w:pPr>
            <w:r>
              <w:rPr>
                <w:rFonts w:hint="eastAsia" w:ascii="宋体" w:hAnsi="宋体" w:cs="宋体"/>
                <w:sz w:val="18"/>
                <w:szCs w:val="18"/>
                <w:highlight w:val="none"/>
                <w:lang w:val="en-US" w:eastAsia="zh-CN"/>
              </w:rPr>
              <w:t>低温分离设备</w:t>
            </w:r>
          </w:p>
        </w:tc>
        <w:tc>
          <w:tcPr>
            <w:tcW w:w="1630" w:type="pct"/>
            <w:tcBorders>
              <w:tl2br w:val="nil"/>
              <w:tr2bl w:val="nil"/>
            </w:tcBorders>
            <w:shd w:val="clear" w:color="auto" w:fill="auto"/>
            <w:vAlign w:val="center"/>
          </w:tcPr>
          <w:p w14:paraId="270DC871">
            <w:pPr>
              <w:keepNext w:val="0"/>
              <w:keepLines w:val="0"/>
              <w:suppressLineNumbers w:val="0"/>
              <w:autoSpaceDE w:val="0"/>
              <w:autoSpaceDN w:val="0"/>
              <w:spacing w:before="0" w:beforeAutospacing="0" w:after="0" w:afterAutospacing="0"/>
              <w:ind w:left="0" w:right="0"/>
              <w:jc w:val="both"/>
              <w:rPr>
                <w:rFonts w:hint="default" w:ascii="宋体" w:hAnsi="宋体" w:eastAsia="宋体" w:cs="宋体"/>
                <w:sz w:val="18"/>
                <w:szCs w:val="18"/>
                <w:highlight w:val="none"/>
                <w:lang w:val="en-US" w:eastAsia="zh-CN"/>
              </w:rPr>
            </w:pPr>
            <w:r>
              <w:rPr>
                <w:rFonts w:hint="default" w:ascii="宋体" w:hAnsi="宋体" w:cs="宋体"/>
                <w:sz w:val="18"/>
                <w:szCs w:val="18"/>
                <w:highlight w:val="none"/>
                <w:lang w:val="en-US"/>
              </w:rPr>
              <w:t>分离效率</w:t>
            </w:r>
            <w:r>
              <w:rPr>
                <w:rFonts w:hint="eastAsia" w:ascii="宋体" w:hAnsi="宋体" w:cs="宋体"/>
                <w:sz w:val="18"/>
                <w:szCs w:val="18"/>
                <w:highlight w:val="none"/>
                <w:lang w:val="en-US" w:eastAsia="zh-CN"/>
              </w:rPr>
              <w:t>、处理能力、能耗</w:t>
            </w:r>
          </w:p>
        </w:tc>
        <w:tc>
          <w:tcPr>
            <w:tcW w:w="1177" w:type="pct"/>
            <w:tcBorders>
              <w:tl2br w:val="nil"/>
              <w:tr2bl w:val="nil"/>
            </w:tcBorders>
            <w:shd w:val="clear" w:color="auto" w:fill="auto"/>
            <w:vAlign w:val="center"/>
          </w:tcPr>
          <w:p w14:paraId="65EE6309">
            <w:pPr>
              <w:keepNext w:val="0"/>
              <w:keepLines w:val="0"/>
              <w:suppressLineNumbers w:val="0"/>
              <w:autoSpaceDE w:val="0"/>
              <w:autoSpaceDN w:val="0"/>
              <w:spacing w:before="0" w:beforeAutospacing="0" w:after="0" w:afterAutospacing="0"/>
              <w:ind w:left="0" w:right="0"/>
              <w:jc w:val="center"/>
              <w:rPr>
                <w:rFonts w:hint="default" w:ascii="宋体" w:hAnsi="宋体" w:eastAsia="宋体" w:cs="宋体"/>
                <w:sz w:val="18"/>
                <w:szCs w:val="18"/>
                <w:highlight w:val="none"/>
                <w:lang w:val="en-US" w:eastAsia="zh-CN"/>
              </w:rPr>
            </w:pPr>
            <w:r>
              <w:rPr>
                <w:rFonts w:hint="default" w:ascii="宋体" w:hAnsi="宋体" w:eastAsia="宋体" w:cs="宋体"/>
                <w:sz w:val="18"/>
                <w:szCs w:val="18"/>
                <w:highlight w:val="none"/>
                <w:lang w:val="en-US" w:eastAsia="zh-CN"/>
              </w:rPr>
              <w:t>GB/T 150-2011</w:t>
            </w:r>
          </w:p>
        </w:tc>
      </w:tr>
      <w:tr w14:paraId="3F3BADE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66" w:type="pct"/>
            <w:vMerge w:val="continue"/>
            <w:tcBorders>
              <w:tl2br w:val="nil"/>
              <w:tr2bl w:val="nil"/>
            </w:tcBorders>
            <w:shd w:val="clear" w:color="auto" w:fill="auto"/>
            <w:vAlign w:val="center"/>
          </w:tcPr>
          <w:p w14:paraId="4EE9D987">
            <w:pPr>
              <w:keepNext w:val="0"/>
              <w:keepLines w:val="0"/>
              <w:suppressLineNumbers w:val="0"/>
              <w:autoSpaceDE w:val="0"/>
              <w:autoSpaceDN w:val="0"/>
              <w:spacing w:before="0" w:beforeAutospacing="0" w:after="0" w:afterAutospacing="0"/>
              <w:ind w:left="0" w:right="0"/>
              <w:jc w:val="center"/>
              <w:rPr>
                <w:rFonts w:hint="eastAsia" w:ascii="宋体" w:hAnsi="宋体" w:cs="宋体"/>
                <w:sz w:val="18"/>
                <w:szCs w:val="18"/>
                <w:highlight w:val="none"/>
                <w:lang w:bidi="ar"/>
              </w:rPr>
            </w:pPr>
          </w:p>
        </w:tc>
        <w:tc>
          <w:tcPr>
            <w:tcW w:w="1424" w:type="pct"/>
            <w:tcBorders>
              <w:tl2br w:val="nil"/>
              <w:tr2bl w:val="nil"/>
            </w:tcBorders>
            <w:shd w:val="clear" w:color="auto" w:fill="auto"/>
            <w:vAlign w:val="center"/>
          </w:tcPr>
          <w:p w14:paraId="56131280">
            <w:pPr>
              <w:keepNext w:val="0"/>
              <w:keepLines w:val="0"/>
              <w:suppressLineNumbers w:val="0"/>
              <w:autoSpaceDE w:val="0"/>
              <w:autoSpaceDN w:val="0"/>
              <w:spacing w:before="0" w:beforeAutospacing="0" w:after="0" w:afterAutospacing="0"/>
              <w:ind w:left="0" w:right="0"/>
              <w:jc w:val="both"/>
              <w:rPr>
                <w:rFonts w:hint="eastAsia" w:ascii="宋体" w:hAnsi="宋体" w:cs="宋体"/>
                <w:sz w:val="18"/>
                <w:szCs w:val="18"/>
                <w:highlight w:val="none"/>
                <w:lang w:val="en-US" w:eastAsia="zh-CN"/>
              </w:rPr>
            </w:pPr>
            <w:r>
              <w:rPr>
                <w:rFonts w:hint="eastAsia" w:ascii="宋体" w:hAnsi="宋体" w:cs="宋体"/>
                <w:sz w:val="18"/>
                <w:szCs w:val="18"/>
                <w:highlight w:val="none"/>
                <w:lang w:val="en-US" w:eastAsia="zh-CN"/>
              </w:rPr>
              <w:t>空气分离装置</w:t>
            </w:r>
          </w:p>
        </w:tc>
        <w:tc>
          <w:tcPr>
            <w:tcW w:w="1630" w:type="pct"/>
            <w:tcBorders>
              <w:tl2br w:val="nil"/>
              <w:tr2bl w:val="nil"/>
            </w:tcBorders>
            <w:shd w:val="clear" w:color="auto" w:fill="auto"/>
            <w:vAlign w:val="center"/>
          </w:tcPr>
          <w:p w14:paraId="3EAFC4D6">
            <w:pPr>
              <w:keepNext w:val="0"/>
              <w:keepLines w:val="0"/>
              <w:suppressLineNumbers w:val="0"/>
              <w:autoSpaceDE w:val="0"/>
              <w:autoSpaceDN w:val="0"/>
              <w:spacing w:before="0" w:beforeAutospacing="0" w:after="0" w:afterAutospacing="0"/>
              <w:ind w:left="0" w:right="0"/>
              <w:jc w:val="both"/>
              <w:rPr>
                <w:rFonts w:hint="eastAsia" w:ascii="宋体" w:hAnsi="宋体" w:eastAsia="宋体" w:cs="宋体"/>
                <w:sz w:val="18"/>
                <w:szCs w:val="18"/>
                <w:highlight w:val="none"/>
                <w:lang w:val="en-US" w:eastAsia="zh-CN"/>
              </w:rPr>
            </w:pPr>
            <w:r>
              <w:rPr>
                <w:rFonts w:hint="default" w:ascii="宋体" w:hAnsi="宋体" w:cs="宋体"/>
                <w:sz w:val="18"/>
                <w:szCs w:val="18"/>
                <w:highlight w:val="none"/>
                <w:lang w:val="en-US"/>
              </w:rPr>
              <w:t>产品纯度</w:t>
            </w:r>
            <w:r>
              <w:rPr>
                <w:rFonts w:hint="eastAsia" w:ascii="宋体" w:hAnsi="宋体" w:cs="宋体"/>
                <w:sz w:val="18"/>
                <w:szCs w:val="18"/>
                <w:highlight w:val="none"/>
                <w:lang w:val="en-US" w:eastAsia="zh-CN"/>
              </w:rPr>
              <w:t>、生产能力、能耗</w:t>
            </w:r>
          </w:p>
        </w:tc>
        <w:tc>
          <w:tcPr>
            <w:tcW w:w="1177" w:type="pct"/>
            <w:tcBorders>
              <w:tl2br w:val="nil"/>
              <w:tr2bl w:val="nil"/>
            </w:tcBorders>
            <w:shd w:val="clear" w:color="auto" w:fill="auto"/>
            <w:vAlign w:val="center"/>
          </w:tcPr>
          <w:p w14:paraId="0940F975">
            <w:pPr>
              <w:keepNext w:val="0"/>
              <w:keepLines w:val="0"/>
              <w:suppressLineNumbers w:val="0"/>
              <w:autoSpaceDE w:val="0"/>
              <w:autoSpaceDN w:val="0"/>
              <w:spacing w:before="0" w:beforeAutospacing="0" w:after="0" w:afterAutospacing="0"/>
              <w:ind w:left="0" w:right="0"/>
              <w:jc w:val="center"/>
              <w:rPr>
                <w:rFonts w:hint="default" w:ascii="宋体" w:hAnsi="宋体" w:eastAsia="宋体" w:cs="宋体"/>
                <w:sz w:val="18"/>
                <w:szCs w:val="18"/>
                <w:highlight w:val="none"/>
                <w:lang w:val="en-US" w:eastAsia="zh-CN"/>
              </w:rPr>
            </w:pPr>
            <w:r>
              <w:rPr>
                <w:rFonts w:hint="eastAsia" w:ascii="宋体" w:hAnsi="宋体" w:cs="宋体"/>
                <w:sz w:val="18"/>
                <w:szCs w:val="18"/>
                <w:highlight w:val="none"/>
                <w:lang w:val="en-US" w:eastAsia="zh-CN"/>
              </w:rPr>
              <w:t>-</w:t>
            </w:r>
          </w:p>
        </w:tc>
      </w:tr>
      <w:tr w14:paraId="27F934A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66" w:type="pct"/>
            <w:vMerge w:val="continue"/>
            <w:tcBorders>
              <w:tl2br w:val="nil"/>
              <w:tr2bl w:val="nil"/>
            </w:tcBorders>
            <w:shd w:val="clear" w:color="auto" w:fill="auto"/>
            <w:vAlign w:val="center"/>
          </w:tcPr>
          <w:p w14:paraId="4D723F19">
            <w:pPr>
              <w:keepNext w:val="0"/>
              <w:keepLines w:val="0"/>
              <w:suppressLineNumbers w:val="0"/>
              <w:autoSpaceDE w:val="0"/>
              <w:autoSpaceDN w:val="0"/>
              <w:spacing w:before="0" w:beforeAutospacing="0" w:after="0" w:afterAutospacing="0"/>
              <w:ind w:left="0" w:right="0"/>
              <w:jc w:val="center"/>
              <w:rPr>
                <w:rFonts w:hint="eastAsia" w:ascii="宋体" w:hAnsi="宋体" w:cs="宋体"/>
                <w:sz w:val="18"/>
                <w:szCs w:val="18"/>
                <w:highlight w:val="none"/>
                <w:lang w:bidi="ar"/>
              </w:rPr>
            </w:pPr>
          </w:p>
        </w:tc>
        <w:tc>
          <w:tcPr>
            <w:tcW w:w="1424" w:type="pct"/>
            <w:tcBorders>
              <w:tl2br w:val="nil"/>
              <w:tr2bl w:val="nil"/>
            </w:tcBorders>
            <w:shd w:val="clear" w:color="auto" w:fill="auto"/>
            <w:vAlign w:val="center"/>
          </w:tcPr>
          <w:p w14:paraId="2F3C2577">
            <w:pPr>
              <w:keepNext w:val="0"/>
              <w:keepLines w:val="0"/>
              <w:suppressLineNumbers w:val="0"/>
              <w:autoSpaceDE w:val="0"/>
              <w:autoSpaceDN w:val="0"/>
              <w:spacing w:before="0" w:beforeAutospacing="0" w:after="0" w:afterAutospacing="0"/>
              <w:ind w:left="0" w:right="0"/>
              <w:jc w:val="both"/>
              <w:rPr>
                <w:rFonts w:hint="eastAsia" w:ascii="宋体" w:hAnsi="宋体" w:cs="宋体"/>
                <w:sz w:val="18"/>
                <w:szCs w:val="18"/>
                <w:highlight w:val="none"/>
                <w:lang w:val="en-US" w:eastAsia="zh-CN"/>
              </w:rPr>
            </w:pPr>
            <w:r>
              <w:rPr>
                <w:rFonts w:hint="eastAsia" w:ascii="宋体" w:hAnsi="宋体" w:cs="宋体"/>
                <w:sz w:val="18"/>
                <w:szCs w:val="18"/>
                <w:highlight w:val="none"/>
                <w:lang w:val="en-US" w:eastAsia="zh-CN"/>
              </w:rPr>
              <w:t>压缩机</w:t>
            </w:r>
          </w:p>
        </w:tc>
        <w:tc>
          <w:tcPr>
            <w:tcW w:w="1630" w:type="pct"/>
            <w:tcBorders>
              <w:tl2br w:val="nil"/>
              <w:tr2bl w:val="nil"/>
            </w:tcBorders>
            <w:shd w:val="clear" w:color="auto" w:fill="auto"/>
            <w:vAlign w:val="center"/>
          </w:tcPr>
          <w:p w14:paraId="73597A64">
            <w:pPr>
              <w:keepNext w:val="0"/>
              <w:keepLines w:val="0"/>
              <w:suppressLineNumbers w:val="0"/>
              <w:autoSpaceDE w:val="0"/>
              <w:autoSpaceDN w:val="0"/>
              <w:spacing w:before="0" w:beforeAutospacing="0" w:after="0" w:afterAutospacing="0"/>
              <w:ind w:left="0" w:right="0"/>
              <w:jc w:val="both"/>
              <w:rPr>
                <w:rFonts w:hint="eastAsia" w:ascii="宋体" w:hAnsi="宋体" w:eastAsia="宋体" w:cs="宋体"/>
                <w:sz w:val="18"/>
                <w:szCs w:val="18"/>
                <w:highlight w:val="none"/>
                <w:lang w:val="en-US" w:eastAsia="zh-CN"/>
              </w:rPr>
            </w:pPr>
            <w:r>
              <w:rPr>
                <w:rFonts w:hint="default" w:ascii="宋体" w:hAnsi="宋体" w:cs="宋体"/>
                <w:sz w:val="18"/>
                <w:szCs w:val="18"/>
                <w:highlight w:val="none"/>
                <w:lang w:val="en-US"/>
              </w:rPr>
              <w:t>压缩比</w:t>
            </w:r>
            <w:r>
              <w:rPr>
                <w:rFonts w:hint="eastAsia" w:ascii="宋体" w:hAnsi="宋体" w:cs="宋体"/>
                <w:sz w:val="18"/>
                <w:szCs w:val="18"/>
                <w:highlight w:val="none"/>
                <w:lang w:val="en-US" w:eastAsia="zh-CN"/>
              </w:rPr>
              <w:t>、排气量、噪声和振动、能耗</w:t>
            </w:r>
          </w:p>
        </w:tc>
        <w:tc>
          <w:tcPr>
            <w:tcW w:w="1177" w:type="pct"/>
            <w:tcBorders>
              <w:tl2br w:val="nil"/>
              <w:tr2bl w:val="nil"/>
            </w:tcBorders>
            <w:shd w:val="clear" w:color="auto" w:fill="auto"/>
            <w:vAlign w:val="center"/>
          </w:tcPr>
          <w:p w14:paraId="5889F6CC">
            <w:pPr>
              <w:keepNext w:val="0"/>
              <w:keepLines w:val="0"/>
              <w:suppressLineNumbers w:val="0"/>
              <w:autoSpaceDE w:val="0"/>
              <w:autoSpaceDN w:val="0"/>
              <w:spacing w:before="0" w:beforeAutospacing="0" w:after="0" w:afterAutospacing="0"/>
              <w:ind w:left="0" w:right="0"/>
              <w:jc w:val="center"/>
              <w:rPr>
                <w:rFonts w:hint="default" w:ascii="宋体" w:hAnsi="宋体" w:eastAsia="宋体" w:cs="宋体"/>
                <w:sz w:val="18"/>
                <w:szCs w:val="18"/>
                <w:highlight w:val="none"/>
                <w:lang w:val="en-US" w:eastAsia="zh-CN"/>
              </w:rPr>
            </w:pPr>
            <w:r>
              <w:rPr>
                <w:rFonts w:hint="default" w:ascii="宋体" w:hAnsi="宋体" w:eastAsia="宋体" w:cs="宋体"/>
                <w:sz w:val="18"/>
                <w:szCs w:val="18"/>
                <w:highlight w:val="none"/>
                <w:lang w:val="en-US" w:eastAsia="zh-CN"/>
              </w:rPr>
              <w:t>GB/T 4975-2018</w:t>
            </w:r>
          </w:p>
        </w:tc>
      </w:tr>
      <w:tr w14:paraId="4D30AA2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66" w:type="pct"/>
            <w:vMerge w:val="continue"/>
            <w:tcBorders>
              <w:tl2br w:val="nil"/>
              <w:tr2bl w:val="nil"/>
            </w:tcBorders>
            <w:shd w:val="clear" w:color="auto" w:fill="auto"/>
            <w:vAlign w:val="center"/>
          </w:tcPr>
          <w:p w14:paraId="254DA6D0">
            <w:pPr>
              <w:keepNext w:val="0"/>
              <w:keepLines w:val="0"/>
              <w:suppressLineNumbers w:val="0"/>
              <w:autoSpaceDE w:val="0"/>
              <w:autoSpaceDN w:val="0"/>
              <w:spacing w:before="0" w:beforeAutospacing="0" w:after="0" w:afterAutospacing="0"/>
              <w:ind w:left="0" w:right="0"/>
              <w:jc w:val="center"/>
              <w:rPr>
                <w:rFonts w:hint="eastAsia" w:ascii="宋体" w:hAnsi="宋体" w:cs="宋体"/>
                <w:sz w:val="18"/>
                <w:szCs w:val="18"/>
                <w:highlight w:val="none"/>
                <w:lang w:bidi="ar"/>
              </w:rPr>
            </w:pPr>
          </w:p>
        </w:tc>
        <w:tc>
          <w:tcPr>
            <w:tcW w:w="1424" w:type="pct"/>
            <w:tcBorders>
              <w:tl2br w:val="nil"/>
              <w:tr2bl w:val="nil"/>
            </w:tcBorders>
            <w:shd w:val="clear" w:color="auto" w:fill="auto"/>
            <w:vAlign w:val="center"/>
          </w:tcPr>
          <w:p w14:paraId="6E761947">
            <w:pPr>
              <w:keepNext w:val="0"/>
              <w:keepLines w:val="0"/>
              <w:suppressLineNumbers w:val="0"/>
              <w:autoSpaceDE w:val="0"/>
              <w:autoSpaceDN w:val="0"/>
              <w:spacing w:before="0" w:beforeAutospacing="0" w:after="0" w:afterAutospacing="0"/>
              <w:ind w:left="0" w:right="0"/>
              <w:jc w:val="both"/>
              <w:rPr>
                <w:rFonts w:hint="eastAsia" w:ascii="宋体" w:hAnsi="宋体" w:cs="宋体"/>
                <w:sz w:val="18"/>
                <w:szCs w:val="18"/>
                <w:highlight w:val="none"/>
                <w:lang w:val="en-US" w:eastAsia="zh-CN"/>
              </w:rPr>
            </w:pPr>
            <w:r>
              <w:rPr>
                <w:rFonts w:hint="eastAsia" w:ascii="宋体" w:hAnsi="宋体" w:cs="宋体"/>
                <w:sz w:val="18"/>
                <w:szCs w:val="18"/>
                <w:highlight w:val="none"/>
                <w:lang w:val="en-US" w:eastAsia="zh-CN"/>
              </w:rPr>
              <w:t>运输设备</w:t>
            </w:r>
          </w:p>
        </w:tc>
        <w:tc>
          <w:tcPr>
            <w:tcW w:w="1630" w:type="pct"/>
            <w:tcBorders>
              <w:tl2br w:val="nil"/>
              <w:tr2bl w:val="nil"/>
            </w:tcBorders>
            <w:shd w:val="clear" w:color="auto" w:fill="auto"/>
            <w:vAlign w:val="center"/>
          </w:tcPr>
          <w:p w14:paraId="104090D6">
            <w:pPr>
              <w:keepNext w:val="0"/>
              <w:keepLines w:val="0"/>
              <w:suppressLineNumbers w:val="0"/>
              <w:autoSpaceDE w:val="0"/>
              <w:autoSpaceDN w:val="0"/>
              <w:spacing w:before="0" w:beforeAutospacing="0" w:after="0" w:afterAutospacing="0"/>
              <w:ind w:left="0" w:right="0"/>
              <w:jc w:val="both"/>
              <w:rPr>
                <w:rFonts w:hint="default" w:ascii="宋体" w:hAnsi="宋体" w:eastAsia="宋体" w:cs="宋体"/>
                <w:sz w:val="18"/>
                <w:szCs w:val="18"/>
                <w:highlight w:val="none"/>
                <w:lang w:val="en-US" w:eastAsia="zh-CN"/>
              </w:rPr>
            </w:pPr>
            <w:r>
              <w:rPr>
                <w:rFonts w:hint="default" w:ascii="宋体" w:hAnsi="宋体" w:cs="宋体"/>
                <w:sz w:val="18"/>
                <w:szCs w:val="18"/>
                <w:highlight w:val="none"/>
                <w:lang w:val="en-US"/>
              </w:rPr>
              <w:t>运输效率</w:t>
            </w:r>
            <w:r>
              <w:rPr>
                <w:rFonts w:hint="eastAsia" w:ascii="宋体" w:hAnsi="宋体" w:cs="宋体"/>
                <w:sz w:val="18"/>
                <w:szCs w:val="18"/>
                <w:highlight w:val="none"/>
                <w:lang w:val="en-US" w:eastAsia="zh-CN"/>
              </w:rPr>
              <w:t>、运输能力、运输泄漏率</w:t>
            </w:r>
          </w:p>
        </w:tc>
        <w:tc>
          <w:tcPr>
            <w:tcW w:w="1177" w:type="pct"/>
            <w:tcBorders>
              <w:tl2br w:val="nil"/>
              <w:tr2bl w:val="nil"/>
            </w:tcBorders>
            <w:shd w:val="clear" w:color="auto" w:fill="auto"/>
            <w:vAlign w:val="center"/>
          </w:tcPr>
          <w:p w14:paraId="36DC7A5F">
            <w:pPr>
              <w:keepNext w:val="0"/>
              <w:keepLines w:val="0"/>
              <w:suppressLineNumbers w:val="0"/>
              <w:autoSpaceDE w:val="0"/>
              <w:autoSpaceDN w:val="0"/>
              <w:spacing w:before="0" w:beforeAutospacing="0" w:after="0" w:afterAutospacing="0"/>
              <w:ind w:left="0" w:right="0"/>
              <w:jc w:val="center"/>
              <w:rPr>
                <w:rFonts w:hint="default" w:ascii="宋体" w:hAnsi="宋体" w:eastAsia="宋体" w:cs="宋体"/>
                <w:sz w:val="18"/>
                <w:szCs w:val="18"/>
                <w:highlight w:val="none"/>
                <w:lang w:val="en-US" w:eastAsia="zh-CN"/>
              </w:rPr>
            </w:pPr>
            <w:r>
              <w:rPr>
                <w:rFonts w:hint="eastAsia" w:ascii="宋体" w:hAnsi="宋体" w:cs="宋体"/>
                <w:sz w:val="18"/>
                <w:szCs w:val="18"/>
                <w:highlight w:val="none"/>
                <w:lang w:val="en-US" w:eastAsia="zh-CN"/>
              </w:rPr>
              <w:t>-</w:t>
            </w:r>
          </w:p>
        </w:tc>
      </w:tr>
      <w:tr w14:paraId="7B25CEB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66" w:type="pct"/>
            <w:vMerge w:val="continue"/>
            <w:tcBorders>
              <w:tl2br w:val="nil"/>
              <w:tr2bl w:val="nil"/>
            </w:tcBorders>
            <w:shd w:val="clear" w:color="auto" w:fill="auto"/>
            <w:vAlign w:val="center"/>
          </w:tcPr>
          <w:p w14:paraId="5EC28D60">
            <w:pPr>
              <w:keepNext w:val="0"/>
              <w:keepLines w:val="0"/>
              <w:suppressLineNumbers w:val="0"/>
              <w:autoSpaceDE w:val="0"/>
              <w:autoSpaceDN w:val="0"/>
              <w:spacing w:before="0" w:beforeAutospacing="0" w:after="0" w:afterAutospacing="0"/>
              <w:ind w:left="0" w:right="0"/>
              <w:jc w:val="center"/>
              <w:rPr>
                <w:rFonts w:hint="eastAsia" w:ascii="宋体" w:hAnsi="宋体" w:cs="宋体"/>
                <w:sz w:val="18"/>
                <w:szCs w:val="18"/>
                <w:highlight w:val="none"/>
                <w:lang w:bidi="ar"/>
              </w:rPr>
            </w:pPr>
          </w:p>
        </w:tc>
        <w:tc>
          <w:tcPr>
            <w:tcW w:w="1424" w:type="pct"/>
            <w:tcBorders>
              <w:tl2br w:val="nil"/>
              <w:tr2bl w:val="nil"/>
            </w:tcBorders>
            <w:shd w:val="clear" w:color="auto" w:fill="auto"/>
            <w:vAlign w:val="center"/>
          </w:tcPr>
          <w:p w14:paraId="174DB1DD">
            <w:pPr>
              <w:keepNext w:val="0"/>
              <w:keepLines w:val="0"/>
              <w:suppressLineNumbers w:val="0"/>
              <w:autoSpaceDE w:val="0"/>
              <w:autoSpaceDN w:val="0"/>
              <w:spacing w:before="0" w:beforeAutospacing="0" w:after="0" w:afterAutospacing="0"/>
              <w:ind w:left="0" w:right="0"/>
              <w:jc w:val="both"/>
              <w:rPr>
                <w:rFonts w:hint="eastAsia" w:ascii="宋体" w:hAnsi="宋体" w:cs="宋体"/>
                <w:sz w:val="18"/>
                <w:szCs w:val="18"/>
                <w:highlight w:val="none"/>
                <w:lang w:val="en-US" w:eastAsia="zh-CN"/>
              </w:rPr>
            </w:pPr>
            <w:r>
              <w:rPr>
                <w:rFonts w:hint="eastAsia" w:ascii="宋体" w:hAnsi="宋体" w:cs="宋体"/>
                <w:sz w:val="18"/>
                <w:szCs w:val="18"/>
                <w:highlight w:val="none"/>
                <w:lang w:val="en-US" w:eastAsia="zh-CN"/>
              </w:rPr>
              <w:t>碳利用设备</w:t>
            </w:r>
          </w:p>
        </w:tc>
        <w:tc>
          <w:tcPr>
            <w:tcW w:w="1630" w:type="pct"/>
            <w:tcBorders>
              <w:tl2br w:val="nil"/>
              <w:tr2bl w:val="nil"/>
            </w:tcBorders>
            <w:shd w:val="clear" w:color="auto" w:fill="auto"/>
            <w:vAlign w:val="center"/>
          </w:tcPr>
          <w:p w14:paraId="583C0F4C">
            <w:pPr>
              <w:keepNext w:val="0"/>
              <w:keepLines w:val="0"/>
              <w:suppressLineNumbers w:val="0"/>
              <w:autoSpaceDE w:val="0"/>
              <w:autoSpaceDN w:val="0"/>
              <w:spacing w:before="0" w:beforeAutospacing="0" w:after="0" w:afterAutospacing="0"/>
              <w:ind w:left="0" w:right="0"/>
              <w:jc w:val="both"/>
              <w:rPr>
                <w:rFonts w:hint="eastAsia" w:ascii="宋体" w:hAnsi="宋体" w:eastAsia="宋体" w:cs="宋体"/>
                <w:sz w:val="18"/>
                <w:szCs w:val="18"/>
                <w:highlight w:val="none"/>
                <w:lang w:val="en-US" w:eastAsia="zh-CN"/>
              </w:rPr>
            </w:pPr>
            <w:r>
              <w:rPr>
                <w:rFonts w:hint="default" w:ascii="宋体" w:hAnsi="宋体" w:cs="宋体"/>
                <w:sz w:val="18"/>
                <w:szCs w:val="18"/>
                <w:highlight w:val="none"/>
                <w:lang w:val="en-US"/>
              </w:rPr>
              <w:t>转化率</w:t>
            </w:r>
            <w:r>
              <w:rPr>
                <w:rFonts w:hint="eastAsia" w:ascii="宋体" w:hAnsi="宋体" w:cs="宋体"/>
                <w:sz w:val="18"/>
                <w:szCs w:val="18"/>
                <w:highlight w:val="none"/>
                <w:lang w:val="en-US" w:eastAsia="zh-CN"/>
              </w:rPr>
              <w:t>、处理能力、成本效益</w:t>
            </w:r>
          </w:p>
        </w:tc>
        <w:tc>
          <w:tcPr>
            <w:tcW w:w="1177" w:type="pct"/>
            <w:tcBorders>
              <w:tl2br w:val="nil"/>
              <w:tr2bl w:val="nil"/>
            </w:tcBorders>
            <w:shd w:val="clear" w:color="auto" w:fill="auto"/>
            <w:vAlign w:val="center"/>
          </w:tcPr>
          <w:p w14:paraId="7E7D8917">
            <w:pPr>
              <w:keepNext w:val="0"/>
              <w:keepLines w:val="0"/>
              <w:suppressLineNumbers w:val="0"/>
              <w:autoSpaceDE w:val="0"/>
              <w:autoSpaceDN w:val="0"/>
              <w:spacing w:before="0" w:beforeAutospacing="0" w:after="0" w:afterAutospacing="0"/>
              <w:ind w:left="0" w:right="0"/>
              <w:jc w:val="center"/>
              <w:rPr>
                <w:rFonts w:hint="default" w:ascii="宋体" w:hAnsi="宋体" w:eastAsia="宋体" w:cs="宋体"/>
                <w:sz w:val="18"/>
                <w:szCs w:val="18"/>
                <w:highlight w:val="none"/>
                <w:lang w:val="en-US" w:eastAsia="zh-CN"/>
              </w:rPr>
            </w:pPr>
            <w:r>
              <w:rPr>
                <w:rFonts w:hint="eastAsia" w:ascii="宋体" w:hAnsi="宋体" w:cs="宋体"/>
                <w:sz w:val="18"/>
                <w:szCs w:val="18"/>
                <w:highlight w:val="none"/>
                <w:lang w:val="en-US" w:eastAsia="zh-CN"/>
              </w:rPr>
              <w:t>-</w:t>
            </w:r>
          </w:p>
        </w:tc>
      </w:tr>
      <w:tr w14:paraId="27A5B6B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66" w:type="pct"/>
            <w:vMerge w:val="continue"/>
            <w:tcBorders>
              <w:tl2br w:val="nil"/>
              <w:tr2bl w:val="nil"/>
            </w:tcBorders>
            <w:shd w:val="clear" w:color="auto" w:fill="auto"/>
            <w:vAlign w:val="center"/>
          </w:tcPr>
          <w:p w14:paraId="7E34A4B5">
            <w:pPr>
              <w:keepNext w:val="0"/>
              <w:keepLines w:val="0"/>
              <w:suppressLineNumbers w:val="0"/>
              <w:autoSpaceDE w:val="0"/>
              <w:autoSpaceDN w:val="0"/>
              <w:spacing w:before="0" w:beforeAutospacing="0" w:after="0" w:afterAutospacing="0"/>
              <w:ind w:left="0" w:right="0"/>
              <w:jc w:val="center"/>
              <w:rPr>
                <w:rFonts w:hint="eastAsia" w:ascii="宋体" w:hAnsi="宋体" w:cs="宋体"/>
                <w:sz w:val="18"/>
                <w:szCs w:val="18"/>
                <w:highlight w:val="none"/>
                <w:lang w:bidi="ar"/>
              </w:rPr>
            </w:pPr>
          </w:p>
        </w:tc>
        <w:tc>
          <w:tcPr>
            <w:tcW w:w="1424" w:type="pct"/>
            <w:tcBorders>
              <w:tl2br w:val="nil"/>
              <w:tr2bl w:val="nil"/>
            </w:tcBorders>
            <w:shd w:val="clear" w:color="auto" w:fill="auto"/>
            <w:vAlign w:val="center"/>
          </w:tcPr>
          <w:p w14:paraId="10CE6DB2">
            <w:pPr>
              <w:keepNext w:val="0"/>
              <w:keepLines w:val="0"/>
              <w:suppressLineNumbers w:val="0"/>
              <w:autoSpaceDE w:val="0"/>
              <w:autoSpaceDN w:val="0"/>
              <w:spacing w:before="0" w:beforeAutospacing="0" w:after="0" w:afterAutospacing="0"/>
              <w:ind w:left="0" w:right="0"/>
              <w:jc w:val="both"/>
              <w:rPr>
                <w:rFonts w:hint="eastAsia" w:ascii="宋体" w:hAnsi="宋体" w:cs="宋体"/>
                <w:sz w:val="18"/>
                <w:szCs w:val="18"/>
                <w:highlight w:val="none"/>
                <w:lang w:val="en-US" w:eastAsia="zh-CN"/>
              </w:rPr>
            </w:pPr>
            <w:r>
              <w:rPr>
                <w:rFonts w:hint="eastAsia" w:ascii="宋体" w:hAnsi="宋体" w:cs="宋体"/>
                <w:sz w:val="18"/>
                <w:szCs w:val="18"/>
                <w:highlight w:val="none"/>
                <w:lang w:val="en-US" w:eastAsia="zh-CN"/>
              </w:rPr>
              <w:t>碳封存设备</w:t>
            </w:r>
          </w:p>
        </w:tc>
        <w:tc>
          <w:tcPr>
            <w:tcW w:w="1630" w:type="pct"/>
            <w:tcBorders>
              <w:tl2br w:val="nil"/>
              <w:tr2bl w:val="nil"/>
            </w:tcBorders>
            <w:shd w:val="clear" w:color="auto" w:fill="auto"/>
            <w:vAlign w:val="center"/>
          </w:tcPr>
          <w:p w14:paraId="4EBCF9EB">
            <w:pPr>
              <w:keepNext w:val="0"/>
              <w:keepLines w:val="0"/>
              <w:suppressLineNumbers w:val="0"/>
              <w:autoSpaceDE w:val="0"/>
              <w:autoSpaceDN w:val="0"/>
              <w:spacing w:before="0" w:beforeAutospacing="0" w:after="0" w:afterAutospacing="0"/>
              <w:ind w:left="0" w:right="0"/>
              <w:jc w:val="both"/>
              <w:rPr>
                <w:rFonts w:hint="eastAsia" w:ascii="宋体" w:hAnsi="宋体" w:eastAsia="宋体" w:cs="宋体"/>
                <w:sz w:val="18"/>
                <w:szCs w:val="18"/>
                <w:highlight w:val="none"/>
                <w:lang w:val="en-US" w:eastAsia="zh-CN"/>
              </w:rPr>
            </w:pPr>
            <w:r>
              <w:rPr>
                <w:rFonts w:hint="default" w:ascii="宋体" w:hAnsi="宋体" w:cs="宋体"/>
                <w:sz w:val="18"/>
                <w:szCs w:val="18"/>
                <w:highlight w:val="none"/>
                <w:lang w:val="en-US"/>
              </w:rPr>
              <w:t>密封性</w:t>
            </w:r>
            <w:r>
              <w:rPr>
                <w:rFonts w:hint="eastAsia" w:ascii="宋体" w:hAnsi="宋体" w:cs="宋体"/>
                <w:sz w:val="18"/>
                <w:szCs w:val="18"/>
                <w:highlight w:val="none"/>
                <w:lang w:val="en-US" w:eastAsia="zh-CN"/>
              </w:rPr>
              <w:t>、注入能力、监测准确性</w:t>
            </w:r>
          </w:p>
        </w:tc>
        <w:tc>
          <w:tcPr>
            <w:tcW w:w="1177" w:type="pct"/>
            <w:tcBorders>
              <w:tl2br w:val="nil"/>
              <w:tr2bl w:val="nil"/>
            </w:tcBorders>
            <w:shd w:val="clear" w:color="auto" w:fill="auto"/>
            <w:vAlign w:val="center"/>
          </w:tcPr>
          <w:p w14:paraId="0C7A51C5">
            <w:pPr>
              <w:keepNext w:val="0"/>
              <w:keepLines w:val="0"/>
              <w:suppressLineNumbers w:val="0"/>
              <w:autoSpaceDE w:val="0"/>
              <w:autoSpaceDN w:val="0"/>
              <w:spacing w:before="0" w:beforeAutospacing="0" w:after="0" w:afterAutospacing="0"/>
              <w:ind w:left="0" w:right="0"/>
              <w:jc w:val="center"/>
              <w:rPr>
                <w:rFonts w:hint="default" w:ascii="宋体" w:hAnsi="宋体" w:eastAsia="宋体" w:cs="宋体"/>
                <w:sz w:val="18"/>
                <w:szCs w:val="18"/>
                <w:highlight w:val="none"/>
                <w:lang w:val="en-US" w:eastAsia="zh-CN"/>
              </w:rPr>
            </w:pPr>
            <w:r>
              <w:rPr>
                <w:rFonts w:hint="eastAsia" w:ascii="宋体" w:hAnsi="宋体" w:cs="宋体"/>
                <w:sz w:val="18"/>
                <w:szCs w:val="18"/>
                <w:highlight w:val="none"/>
                <w:lang w:val="en-US" w:eastAsia="zh-CN"/>
              </w:rPr>
              <w:t>-</w:t>
            </w:r>
          </w:p>
        </w:tc>
      </w:tr>
      <w:tr w14:paraId="0F782D4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54" w:hRule="atLeast"/>
          <w:jc w:val="center"/>
        </w:trPr>
        <w:tc>
          <w:tcPr>
            <w:tcW w:w="766" w:type="pct"/>
            <w:vMerge w:val="restart"/>
            <w:tcBorders>
              <w:tl2br w:val="nil"/>
              <w:tr2bl w:val="nil"/>
            </w:tcBorders>
            <w:shd w:val="clear" w:color="auto" w:fill="auto"/>
            <w:vAlign w:val="center"/>
          </w:tcPr>
          <w:p w14:paraId="56D9C1F5">
            <w:pPr>
              <w:keepNext w:val="0"/>
              <w:keepLines w:val="0"/>
              <w:suppressLineNumbers w:val="0"/>
              <w:autoSpaceDE w:val="0"/>
              <w:autoSpaceDN w:val="0"/>
              <w:spacing w:before="0" w:beforeAutospacing="0" w:after="0" w:afterAutospacing="0"/>
              <w:ind w:left="0" w:right="0"/>
              <w:jc w:val="center"/>
              <w:rPr>
                <w:rFonts w:hint="default" w:ascii="宋体" w:hAnsi="宋体" w:cs="宋体"/>
                <w:sz w:val="18"/>
                <w:szCs w:val="18"/>
                <w:highlight w:val="none"/>
              </w:rPr>
            </w:pPr>
            <w:r>
              <w:rPr>
                <w:rFonts w:hint="eastAsia" w:ascii="宋体" w:hAnsi="宋体" w:cs="宋体"/>
                <w:sz w:val="18"/>
                <w:szCs w:val="18"/>
                <w:highlight w:val="none"/>
                <w:lang w:bidi="ar"/>
              </w:rPr>
              <w:t>建设运营</w:t>
            </w:r>
          </w:p>
        </w:tc>
        <w:tc>
          <w:tcPr>
            <w:tcW w:w="1424" w:type="pct"/>
            <w:tcBorders>
              <w:tl2br w:val="nil"/>
              <w:tr2bl w:val="nil"/>
            </w:tcBorders>
            <w:shd w:val="clear" w:color="auto" w:fill="auto"/>
            <w:vAlign w:val="center"/>
          </w:tcPr>
          <w:p w14:paraId="314F9E2A">
            <w:pPr>
              <w:keepNext w:val="0"/>
              <w:keepLines w:val="0"/>
              <w:suppressLineNumbers w:val="0"/>
              <w:autoSpaceDE w:val="0"/>
              <w:autoSpaceDN w:val="0"/>
              <w:spacing w:before="0" w:beforeAutospacing="0" w:after="0" w:afterAutospacing="0"/>
              <w:ind w:left="0" w:right="0"/>
              <w:jc w:val="both"/>
              <w:rPr>
                <w:rFonts w:hint="default" w:ascii="宋体" w:hAnsi="宋体" w:eastAsia="宋体" w:cs="宋体"/>
                <w:sz w:val="18"/>
                <w:szCs w:val="18"/>
                <w:highlight w:val="none"/>
                <w:lang w:val="en-US" w:eastAsia="zh-CN"/>
              </w:rPr>
            </w:pPr>
            <w:r>
              <w:rPr>
                <w:rFonts w:hint="eastAsia" w:ascii="宋体" w:hAnsi="宋体" w:cs="宋体"/>
                <w:sz w:val="18"/>
                <w:szCs w:val="18"/>
                <w:highlight w:val="none"/>
                <w:lang w:val="en-US" w:eastAsia="zh-CN"/>
              </w:rPr>
              <w:t>火电厂二氧化碳捕集</w:t>
            </w:r>
          </w:p>
        </w:tc>
        <w:tc>
          <w:tcPr>
            <w:tcW w:w="1630" w:type="pct"/>
            <w:tcBorders>
              <w:tl2br w:val="nil"/>
              <w:tr2bl w:val="nil"/>
            </w:tcBorders>
            <w:shd w:val="clear" w:color="auto" w:fill="auto"/>
            <w:vAlign w:val="center"/>
          </w:tcPr>
          <w:p w14:paraId="282F000E">
            <w:pPr>
              <w:keepNext w:val="0"/>
              <w:keepLines w:val="0"/>
              <w:suppressLineNumbers w:val="0"/>
              <w:autoSpaceDE w:val="0"/>
              <w:autoSpaceDN w:val="0"/>
              <w:spacing w:before="0" w:beforeAutospacing="0" w:after="0" w:afterAutospacing="0"/>
              <w:ind w:left="0" w:right="0"/>
              <w:jc w:val="both"/>
              <w:rPr>
                <w:rFonts w:hint="eastAsia" w:ascii="宋体" w:hAnsi="宋体" w:cs="宋体"/>
                <w:sz w:val="18"/>
                <w:szCs w:val="18"/>
                <w:highlight w:val="none"/>
                <w:lang w:val="en-US" w:eastAsia="zh-CN"/>
              </w:rPr>
            </w:pPr>
            <w:r>
              <w:rPr>
                <w:rFonts w:hint="default" w:ascii="宋体" w:hAnsi="宋体" w:cs="宋体"/>
                <w:sz w:val="18"/>
                <w:szCs w:val="18"/>
                <w:highlight w:val="none"/>
                <w:lang w:val="en-US"/>
              </w:rPr>
              <w:t>捕集效率</w:t>
            </w:r>
            <w:r>
              <w:rPr>
                <w:rFonts w:hint="eastAsia" w:ascii="宋体" w:hAnsi="宋体" w:cs="宋体"/>
                <w:sz w:val="18"/>
                <w:szCs w:val="18"/>
                <w:highlight w:val="none"/>
                <w:lang w:val="en-US" w:eastAsia="zh-CN"/>
              </w:rPr>
              <w:t>≥85%</w:t>
            </w:r>
          </w:p>
          <w:p w14:paraId="6EAAB3D5">
            <w:pPr>
              <w:keepNext w:val="0"/>
              <w:keepLines w:val="0"/>
              <w:suppressLineNumbers w:val="0"/>
              <w:autoSpaceDE w:val="0"/>
              <w:autoSpaceDN w:val="0"/>
              <w:spacing w:before="0" w:beforeAutospacing="0" w:after="0" w:afterAutospacing="0"/>
              <w:ind w:left="0" w:right="0"/>
              <w:jc w:val="both"/>
              <w:rPr>
                <w:rFonts w:hint="default" w:ascii="宋体" w:hAnsi="宋体" w:cs="宋体"/>
                <w:sz w:val="18"/>
                <w:szCs w:val="18"/>
                <w:highlight w:val="none"/>
                <w:vertAlign w:val="subscript"/>
                <w:lang w:val="en-US" w:eastAsia="zh-CN"/>
              </w:rPr>
            </w:pPr>
            <w:r>
              <w:rPr>
                <w:rFonts w:hint="eastAsia" w:ascii="宋体" w:hAnsi="宋体" w:cs="宋体"/>
                <w:sz w:val="18"/>
                <w:szCs w:val="18"/>
                <w:highlight w:val="none"/>
                <w:lang w:val="en-US" w:eastAsia="zh-CN"/>
              </w:rPr>
              <w:t>能耗≤3.0 GJ/tCO</w:t>
            </w:r>
            <w:r>
              <w:rPr>
                <w:rFonts w:hint="eastAsia" w:ascii="宋体" w:hAnsi="宋体" w:cs="宋体"/>
                <w:sz w:val="18"/>
                <w:szCs w:val="18"/>
                <w:highlight w:val="none"/>
                <w:vertAlign w:val="subscript"/>
                <w:lang w:val="en-US" w:eastAsia="zh-CN"/>
              </w:rPr>
              <w:t>2</w:t>
            </w:r>
            <w:r>
              <w:rPr>
                <w:rFonts w:hint="eastAsia" w:ascii="宋体" w:hAnsi="宋体" w:cs="宋体"/>
                <w:sz w:val="18"/>
                <w:szCs w:val="18"/>
                <w:highlight w:val="none"/>
                <w:vertAlign w:val="superscript"/>
                <w:lang w:val="en-US" w:eastAsia="zh-CN"/>
              </w:rPr>
              <w:t>a</w:t>
            </w:r>
          </w:p>
          <w:p w14:paraId="46F9B09F">
            <w:pPr>
              <w:keepNext w:val="0"/>
              <w:keepLines w:val="0"/>
              <w:suppressLineNumbers w:val="0"/>
              <w:autoSpaceDE w:val="0"/>
              <w:autoSpaceDN w:val="0"/>
              <w:spacing w:before="0" w:beforeAutospacing="0" w:after="0" w:afterAutospacing="0"/>
              <w:ind w:left="0" w:right="0"/>
              <w:jc w:val="both"/>
              <w:rPr>
                <w:rFonts w:hint="default" w:ascii="宋体" w:hAnsi="宋体" w:eastAsia="宋体" w:cs="宋体"/>
                <w:sz w:val="18"/>
                <w:szCs w:val="18"/>
                <w:highlight w:val="none"/>
                <w:lang w:val="en-US" w:eastAsia="zh-CN"/>
              </w:rPr>
            </w:pPr>
            <w:r>
              <w:rPr>
                <w:rFonts w:hint="default" w:ascii="宋体" w:hAnsi="宋体" w:cs="宋体"/>
                <w:sz w:val="18"/>
                <w:szCs w:val="18"/>
                <w:highlight w:val="none"/>
                <w:lang w:val="en-US"/>
              </w:rPr>
              <w:t>捕集成本</w:t>
            </w:r>
            <w:r>
              <w:rPr>
                <w:rFonts w:hint="eastAsia" w:ascii="宋体" w:hAnsi="宋体" w:cs="宋体"/>
                <w:sz w:val="18"/>
                <w:szCs w:val="18"/>
                <w:highlight w:val="none"/>
                <w:lang w:val="en-US" w:eastAsia="zh-CN"/>
              </w:rPr>
              <w:t>≤人民币400元/tCO</w:t>
            </w:r>
            <w:r>
              <w:rPr>
                <w:rFonts w:hint="eastAsia" w:ascii="宋体" w:hAnsi="宋体" w:cs="宋体"/>
                <w:sz w:val="18"/>
                <w:szCs w:val="18"/>
                <w:highlight w:val="none"/>
                <w:vertAlign w:val="subscript"/>
                <w:lang w:val="en-US" w:eastAsia="zh-CN"/>
              </w:rPr>
              <w:t>2</w:t>
            </w:r>
          </w:p>
        </w:tc>
        <w:tc>
          <w:tcPr>
            <w:tcW w:w="1177" w:type="pct"/>
            <w:tcBorders>
              <w:tl2br w:val="nil"/>
              <w:tr2bl w:val="nil"/>
            </w:tcBorders>
            <w:shd w:val="clear" w:color="auto" w:fill="auto"/>
            <w:vAlign w:val="center"/>
          </w:tcPr>
          <w:p w14:paraId="2AB9B927">
            <w:pPr>
              <w:keepNext w:val="0"/>
              <w:keepLines w:val="0"/>
              <w:suppressLineNumbers w:val="0"/>
              <w:autoSpaceDE w:val="0"/>
              <w:autoSpaceDN w:val="0"/>
              <w:spacing w:before="0" w:beforeAutospacing="0" w:after="0" w:afterAutospacing="0"/>
              <w:ind w:left="0" w:right="0"/>
              <w:jc w:val="center"/>
              <w:rPr>
                <w:rFonts w:hint="default" w:ascii="宋体" w:hAnsi="宋体" w:eastAsia="宋体" w:cs="宋体"/>
                <w:sz w:val="18"/>
                <w:szCs w:val="18"/>
                <w:highlight w:val="none"/>
                <w:lang w:val="en-US" w:eastAsia="zh-CN"/>
              </w:rPr>
            </w:pPr>
            <w:r>
              <w:rPr>
                <w:rFonts w:hint="default" w:ascii="宋体" w:hAnsi="宋体" w:eastAsia="宋体" w:cs="宋体"/>
                <w:sz w:val="18"/>
                <w:szCs w:val="18"/>
                <w:highlight w:val="none"/>
                <w:lang w:val="en-US" w:eastAsia="zh-CN"/>
              </w:rPr>
              <w:t>GB/T</w:t>
            </w:r>
            <w:r>
              <w:rPr>
                <w:rFonts w:hint="eastAsia" w:ascii="宋体" w:hAnsi="宋体" w:cs="宋体"/>
                <w:sz w:val="18"/>
                <w:szCs w:val="18"/>
                <w:highlight w:val="none"/>
                <w:lang w:val="en-US" w:eastAsia="zh-CN"/>
              </w:rPr>
              <w:t xml:space="preserve"> </w:t>
            </w:r>
            <w:r>
              <w:rPr>
                <w:rFonts w:hint="default" w:ascii="宋体" w:hAnsi="宋体" w:eastAsia="宋体" w:cs="宋体"/>
                <w:sz w:val="18"/>
                <w:szCs w:val="18"/>
                <w:highlight w:val="none"/>
                <w:lang w:val="en-US" w:eastAsia="zh-CN"/>
              </w:rPr>
              <w:t>45121—2024</w:t>
            </w:r>
          </w:p>
        </w:tc>
      </w:tr>
      <w:tr w14:paraId="3BD8E30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4" w:hRule="atLeast"/>
          <w:jc w:val="center"/>
        </w:trPr>
        <w:tc>
          <w:tcPr>
            <w:tcW w:w="766" w:type="pct"/>
            <w:vMerge w:val="continue"/>
            <w:tcBorders>
              <w:tl2br w:val="nil"/>
              <w:tr2bl w:val="nil"/>
            </w:tcBorders>
            <w:shd w:val="clear" w:color="auto" w:fill="auto"/>
            <w:vAlign w:val="center"/>
          </w:tcPr>
          <w:p w14:paraId="4FDF841C">
            <w:pPr>
              <w:keepNext w:val="0"/>
              <w:keepLines w:val="0"/>
              <w:suppressLineNumbers w:val="0"/>
              <w:spacing w:before="0" w:beforeAutospacing="0" w:after="0" w:afterAutospacing="0"/>
              <w:ind w:left="0" w:right="0"/>
              <w:rPr>
                <w:rFonts w:hint="default" w:ascii="宋体" w:hAnsi="宋体" w:cs="宋体"/>
                <w:sz w:val="18"/>
                <w:szCs w:val="18"/>
                <w:highlight w:val="none"/>
              </w:rPr>
            </w:pPr>
          </w:p>
        </w:tc>
        <w:tc>
          <w:tcPr>
            <w:tcW w:w="1424" w:type="pct"/>
            <w:tcBorders>
              <w:tl2br w:val="nil"/>
              <w:tr2bl w:val="nil"/>
            </w:tcBorders>
            <w:shd w:val="clear" w:color="auto" w:fill="auto"/>
            <w:vAlign w:val="center"/>
          </w:tcPr>
          <w:p w14:paraId="29CFCC10">
            <w:pPr>
              <w:keepNext w:val="0"/>
              <w:keepLines w:val="0"/>
              <w:suppressLineNumbers w:val="0"/>
              <w:autoSpaceDE w:val="0"/>
              <w:autoSpaceDN w:val="0"/>
              <w:spacing w:before="0" w:beforeAutospacing="0" w:after="0" w:afterAutospacing="0"/>
              <w:ind w:left="0" w:right="0"/>
              <w:jc w:val="both"/>
              <w:rPr>
                <w:rFonts w:hint="default" w:ascii="宋体" w:hAnsi="宋体" w:eastAsia="宋体" w:cs="宋体"/>
                <w:sz w:val="18"/>
                <w:szCs w:val="18"/>
                <w:highlight w:val="none"/>
                <w:lang w:val="en-US" w:eastAsia="zh-CN"/>
              </w:rPr>
            </w:pPr>
            <w:r>
              <w:rPr>
                <w:rFonts w:hint="eastAsia" w:ascii="宋体" w:hAnsi="宋体" w:cs="宋体"/>
                <w:sz w:val="18"/>
                <w:szCs w:val="18"/>
                <w:highlight w:val="none"/>
                <w:lang w:val="en-US" w:eastAsia="zh-CN"/>
              </w:rPr>
              <w:t>二氧化碳驱油</w:t>
            </w:r>
          </w:p>
        </w:tc>
        <w:tc>
          <w:tcPr>
            <w:tcW w:w="1630" w:type="pct"/>
            <w:tcBorders>
              <w:tl2br w:val="nil"/>
              <w:tr2bl w:val="nil"/>
            </w:tcBorders>
            <w:shd w:val="clear" w:color="auto" w:fill="auto"/>
            <w:vAlign w:val="center"/>
          </w:tcPr>
          <w:p w14:paraId="2E9E847C">
            <w:pPr>
              <w:keepNext w:val="0"/>
              <w:keepLines w:val="0"/>
              <w:suppressLineNumbers w:val="0"/>
              <w:autoSpaceDE w:val="0"/>
              <w:autoSpaceDN w:val="0"/>
              <w:spacing w:before="0" w:beforeAutospacing="0" w:after="0" w:afterAutospacing="0"/>
              <w:ind w:left="0" w:right="0"/>
              <w:jc w:val="both"/>
              <w:rPr>
                <w:rFonts w:hint="eastAsia" w:ascii="宋体" w:hAnsi="宋体" w:cs="宋体"/>
                <w:sz w:val="18"/>
                <w:szCs w:val="18"/>
                <w:highlight w:val="none"/>
                <w:lang w:val="en-US" w:eastAsia="zh-CN"/>
              </w:rPr>
            </w:pPr>
            <w:r>
              <w:rPr>
                <w:rFonts w:hint="eastAsia" w:ascii="宋体" w:hAnsi="宋体" w:cs="宋体"/>
                <w:sz w:val="18"/>
                <w:szCs w:val="18"/>
                <w:highlight w:val="none"/>
                <w:lang w:val="en-US" w:eastAsia="zh-CN"/>
              </w:rPr>
              <w:t>提高石油采收率≥10%</w:t>
            </w:r>
          </w:p>
          <w:p w14:paraId="379EEE50">
            <w:pPr>
              <w:keepNext w:val="0"/>
              <w:keepLines w:val="0"/>
              <w:suppressLineNumbers w:val="0"/>
              <w:autoSpaceDE w:val="0"/>
              <w:autoSpaceDN w:val="0"/>
              <w:spacing w:before="0" w:beforeAutospacing="0" w:after="0" w:afterAutospacing="0"/>
              <w:ind w:left="0" w:right="0"/>
              <w:jc w:val="both"/>
              <w:rPr>
                <w:rFonts w:hint="eastAsia" w:ascii="宋体" w:hAnsi="宋体" w:cs="宋体"/>
                <w:sz w:val="18"/>
                <w:szCs w:val="18"/>
                <w:highlight w:val="none"/>
                <w:lang w:val="en-US" w:eastAsia="zh-CN"/>
              </w:rPr>
            </w:pPr>
            <w:r>
              <w:rPr>
                <w:rFonts w:hint="eastAsia" w:ascii="宋体" w:hAnsi="宋体" w:cs="宋体"/>
                <w:sz w:val="18"/>
                <w:szCs w:val="18"/>
                <w:highlight w:val="none"/>
                <w:lang w:val="en-US" w:eastAsia="zh-CN"/>
              </w:rPr>
              <w:t>二氧化碳封存率≥70%</w:t>
            </w:r>
          </w:p>
          <w:p w14:paraId="1B78F2F6">
            <w:pPr>
              <w:keepNext w:val="0"/>
              <w:keepLines w:val="0"/>
              <w:suppressLineNumbers w:val="0"/>
              <w:autoSpaceDE w:val="0"/>
              <w:autoSpaceDN w:val="0"/>
              <w:spacing w:before="0" w:beforeAutospacing="0" w:after="0" w:afterAutospacing="0"/>
              <w:ind w:left="0" w:right="0"/>
              <w:jc w:val="both"/>
              <w:rPr>
                <w:rFonts w:hint="eastAsia" w:ascii="宋体" w:hAnsi="宋体" w:cs="宋体"/>
                <w:sz w:val="18"/>
                <w:szCs w:val="18"/>
                <w:highlight w:val="none"/>
                <w:lang w:val="en-US" w:eastAsia="zh-CN"/>
              </w:rPr>
            </w:pPr>
            <w:r>
              <w:rPr>
                <w:rFonts w:hint="eastAsia" w:ascii="宋体" w:hAnsi="宋体" w:cs="宋体"/>
                <w:sz w:val="18"/>
                <w:szCs w:val="18"/>
                <w:highlight w:val="none"/>
                <w:lang w:val="en-US" w:eastAsia="zh-CN"/>
              </w:rPr>
              <w:t>二氧化碳泄漏率≤0.5%</w:t>
            </w:r>
          </w:p>
          <w:p w14:paraId="17950852">
            <w:pPr>
              <w:keepNext w:val="0"/>
              <w:keepLines w:val="0"/>
              <w:suppressLineNumbers w:val="0"/>
              <w:autoSpaceDE w:val="0"/>
              <w:autoSpaceDN w:val="0"/>
              <w:spacing w:before="0" w:beforeAutospacing="0" w:after="0" w:afterAutospacing="0"/>
              <w:ind w:left="0" w:right="0"/>
              <w:jc w:val="both"/>
              <w:rPr>
                <w:rFonts w:hint="default" w:ascii="宋体" w:hAnsi="宋体" w:eastAsia="宋体" w:cs="宋体"/>
                <w:sz w:val="18"/>
                <w:szCs w:val="18"/>
                <w:highlight w:val="none"/>
                <w:lang w:val="en-US" w:eastAsia="zh-CN"/>
              </w:rPr>
            </w:pPr>
            <w:r>
              <w:rPr>
                <w:rFonts w:hint="default" w:ascii="宋体" w:hAnsi="宋体" w:eastAsia="宋体" w:cs="宋体"/>
                <w:sz w:val="18"/>
                <w:szCs w:val="18"/>
                <w:highlight w:val="none"/>
                <w:lang w:val="en-US" w:eastAsia="zh-CN"/>
              </w:rPr>
              <w:t>捕集成本</w:t>
            </w:r>
            <w:r>
              <w:rPr>
                <w:rFonts w:hint="eastAsia" w:ascii="宋体" w:hAnsi="宋体" w:cs="宋体"/>
                <w:sz w:val="18"/>
                <w:szCs w:val="18"/>
                <w:highlight w:val="none"/>
                <w:lang w:val="en-US" w:eastAsia="zh-CN"/>
              </w:rPr>
              <w:t>≤人民币400元/tCO</w:t>
            </w:r>
            <w:r>
              <w:rPr>
                <w:rFonts w:hint="eastAsia" w:ascii="宋体" w:hAnsi="宋体" w:cs="宋体"/>
                <w:sz w:val="18"/>
                <w:szCs w:val="18"/>
                <w:highlight w:val="none"/>
                <w:vertAlign w:val="subscript"/>
                <w:lang w:val="en-US" w:eastAsia="zh-CN"/>
              </w:rPr>
              <w:t>2</w:t>
            </w:r>
          </w:p>
        </w:tc>
        <w:tc>
          <w:tcPr>
            <w:tcW w:w="1177" w:type="pct"/>
            <w:tcBorders>
              <w:tl2br w:val="nil"/>
              <w:tr2bl w:val="nil"/>
            </w:tcBorders>
            <w:shd w:val="clear" w:color="auto" w:fill="auto"/>
            <w:vAlign w:val="center"/>
          </w:tcPr>
          <w:p w14:paraId="1A3F9E4A">
            <w:pPr>
              <w:keepNext w:val="0"/>
              <w:keepLines w:val="0"/>
              <w:suppressLineNumbers w:val="0"/>
              <w:autoSpaceDE w:val="0"/>
              <w:autoSpaceDN w:val="0"/>
              <w:spacing w:before="0" w:beforeAutospacing="0" w:after="0" w:afterAutospacing="0"/>
              <w:ind w:left="0" w:right="0"/>
              <w:jc w:val="center"/>
              <w:rPr>
                <w:rFonts w:hint="eastAsia" w:ascii="宋体" w:hAnsi="宋体" w:eastAsia="宋体" w:cs="宋体"/>
                <w:sz w:val="18"/>
                <w:szCs w:val="18"/>
                <w:highlight w:val="none"/>
                <w:lang w:val="en-US" w:eastAsia="zh-CN"/>
              </w:rPr>
            </w:pPr>
            <w:r>
              <w:rPr>
                <w:rFonts w:hint="eastAsia" w:ascii="宋体" w:hAnsi="宋体" w:cs="宋体"/>
                <w:sz w:val="18"/>
                <w:szCs w:val="18"/>
                <w:highlight w:val="none"/>
                <w:lang w:val="en-US" w:eastAsia="zh-CN"/>
              </w:rPr>
              <w:t>-</w:t>
            </w:r>
          </w:p>
        </w:tc>
      </w:tr>
      <w:tr w14:paraId="190FA47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4" w:hRule="atLeast"/>
          <w:jc w:val="center"/>
        </w:trPr>
        <w:tc>
          <w:tcPr>
            <w:tcW w:w="766" w:type="pct"/>
            <w:vMerge w:val="continue"/>
            <w:tcBorders>
              <w:tl2br w:val="nil"/>
              <w:tr2bl w:val="nil"/>
            </w:tcBorders>
            <w:shd w:val="clear" w:color="auto" w:fill="auto"/>
            <w:vAlign w:val="center"/>
          </w:tcPr>
          <w:p w14:paraId="20939071">
            <w:pPr>
              <w:keepNext w:val="0"/>
              <w:keepLines w:val="0"/>
              <w:suppressLineNumbers w:val="0"/>
              <w:spacing w:before="0" w:beforeAutospacing="0" w:after="0" w:afterAutospacing="0"/>
              <w:ind w:left="0" w:right="0"/>
              <w:rPr>
                <w:rFonts w:hint="default" w:ascii="宋体" w:hAnsi="宋体" w:cs="宋体"/>
                <w:sz w:val="18"/>
                <w:szCs w:val="18"/>
                <w:highlight w:val="none"/>
              </w:rPr>
            </w:pPr>
          </w:p>
        </w:tc>
        <w:tc>
          <w:tcPr>
            <w:tcW w:w="1424" w:type="pct"/>
            <w:tcBorders>
              <w:tl2br w:val="nil"/>
              <w:tr2bl w:val="nil"/>
            </w:tcBorders>
            <w:shd w:val="clear" w:color="auto" w:fill="auto"/>
            <w:vAlign w:val="center"/>
          </w:tcPr>
          <w:p w14:paraId="55ECEE74">
            <w:pPr>
              <w:keepNext w:val="0"/>
              <w:keepLines w:val="0"/>
              <w:suppressLineNumbers w:val="0"/>
              <w:autoSpaceDE w:val="0"/>
              <w:autoSpaceDN w:val="0"/>
              <w:spacing w:before="0" w:beforeAutospacing="0" w:after="0" w:afterAutospacing="0"/>
              <w:ind w:left="0" w:right="0"/>
              <w:jc w:val="both"/>
              <w:rPr>
                <w:rFonts w:hint="default" w:ascii="宋体" w:hAnsi="宋体" w:cs="宋体"/>
                <w:sz w:val="18"/>
                <w:szCs w:val="18"/>
                <w:highlight w:val="none"/>
                <w:lang w:val="en-US" w:eastAsia="zh-CN"/>
              </w:rPr>
            </w:pPr>
            <w:r>
              <w:rPr>
                <w:rFonts w:hint="eastAsia" w:ascii="宋体" w:hAnsi="宋体" w:cs="宋体"/>
                <w:sz w:val="18"/>
                <w:szCs w:val="18"/>
                <w:highlight w:val="none"/>
                <w:lang w:val="en-US" w:eastAsia="zh-CN"/>
              </w:rPr>
              <w:t>直接空气碳捕集</w:t>
            </w:r>
          </w:p>
        </w:tc>
        <w:tc>
          <w:tcPr>
            <w:tcW w:w="1630" w:type="pct"/>
            <w:tcBorders>
              <w:tl2br w:val="nil"/>
              <w:tr2bl w:val="nil"/>
            </w:tcBorders>
            <w:shd w:val="clear" w:color="auto" w:fill="auto"/>
            <w:vAlign w:val="center"/>
          </w:tcPr>
          <w:p w14:paraId="52498185">
            <w:pPr>
              <w:keepNext w:val="0"/>
              <w:keepLines w:val="0"/>
              <w:suppressLineNumbers w:val="0"/>
              <w:autoSpaceDE w:val="0"/>
              <w:autoSpaceDN w:val="0"/>
              <w:spacing w:before="0" w:beforeAutospacing="0" w:after="0" w:afterAutospacing="0"/>
              <w:ind w:left="0" w:right="0"/>
              <w:jc w:val="both"/>
              <w:rPr>
                <w:rFonts w:hint="default" w:ascii="宋体" w:hAnsi="宋体" w:cs="宋体"/>
                <w:sz w:val="18"/>
                <w:szCs w:val="18"/>
                <w:highlight w:val="none"/>
                <w:vertAlign w:val="subscript"/>
                <w:lang w:val="en-US" w:eastAsia="zh-CN"/>
              </w:rPr>
            </w:pPr>
            <w:r>
              <w:rPr>
                <w:rFonts w:hint="eastAsia" w:ascii="宋体" w:hAnsi="宋体" w:cs="宋体"/>
                <w:sz w:val="18"/>
                <w:szCs w:val="18"/>
                <w:highlight w:val="none"/>
                <w:lang w:val="en-US" w:eastAsia="zh-CN"/>
              </w:rPr>
              <w:t>捕集效率≤2000 m³/kgCO</w:t>
            </w:r>
            <w:r>
              <w:rPr>
                <w:rFonts w:hint="eastAsia" w:ascii="宋体" w:hAnsi="宋体" w:cs="宋体"/>
                <w:sz w:val="18"/>
                <w:szCs w:val="18"/>
                <w:highlight w:val="none"/>
                <w:vertAlign w:val="subscript"/>
                <w:lang w:val="en-US" w:eastAsia="zh-CN"/>
              </w:rPr>
              <w:t>2</w:t>
            </w:r>
            <w:r>
              <w:rPr>
                <w:rFonts w:hint="eastAsia" w:ascii="宋体" w:hAnsi="宋体" w:cs="宋体"/>
                <w:sz w:val="18"/>
                <w:szCs w:val="18"/>
                <w:highlight w:val="none"/>
                <w:vertAlign w:val="superscript"/>
                <w:lang w:val="en-US" w:eastAsia="zh-CN"/>
              </w:rPr>
              <w:t>b</w:t>
            </w:r>
          </w:p>
          <w:p w14:paraId="2AE09EE0">
            <w:pPr>
              <w:keepNext w:val="0"/>
              <w:keepLines w:val="0"/>
              <w:suppressLineNumbers w:val="0"/>
              <w:autoSpaceDE w:val="0"/>
              <w:autoSpaceDN w:val="0"/>
              <w:spacing w:before="0" w:beforeAutospacing="0" w:after="0" w:afterAutospacing="0"/>
              <w:ind w:left="0" w:right="0"/>
              <w:jc w:val="both"/>
              <w:rPr>
                <w:rFonts w:hint="eastAsia" w:ascii="宋体" w:hAnsi="宋体" w:cs="宋体"/>
                <w:sz w:val="18"/>
                <w:szCs w:val="18"/>
                <w:highlight w:val="none"/>
                <w:vertAlign w:val="subscript"/>
                <w:lang w:val="en-US" w:eastAsia="zh-CN"/>
              </w:rPr>
            </w:pPr>
            <w:r>
              <w:rPr>
                <w:rFonts w:hint="eastAsia" w:ascii="宋体" w:hAnsi="宋体" w:cs="宋体"/>
                <w:sz w:val="18"/>
                <w:szCs w:val="18"/>
                <w:highlight w:val="none"/>
                <w:lang w:val="en-US" w:eastAsia="zh-CN"/>
              </w:rPr>
              <w:t>能耗≤20 GJ/tCO</w:t>
            </w:r>
            <w:r>
              <w:rPr>
                <w:rFonts w:hint="eastAsia" w:ascii="宋体" w:hAnsi="宋体" w:cs="宋体"/>
                <w:sz w:val="18"/>
                <w:szCs w:val="18"/>
                <w:highlight w:val="none"/>
                <w:vertAlign w:val="subscript"/>
                <w:lang w:val="en-US" w:eastAsia="zh-CN"/>
              </w:rPr>
              <w:t>2</w:t>
            </w:r>
          </w:p>
          <w:p w14:paraId="0D3703F0">
            <w:pPr>
              <w:keepNext w:val="0"/>
              <w:keepLines w:val="0"/>
              <w:suppressLineNumbers w:val="0"/>
              <w:autoSpaceDE w:val="0"/>
              <w:autoSpaceDN w:val="0"/>
              <w:spacing w:before="0" w:beforeAutospacing="0" w:after="0" w:afterAutospacing="0"/>
              <w:ind w:left="0" w:right="0"/>
              <w:jc w:val="both"/>
              <w:rPr>
                <w:rFonts w:hint="eastAsia" w:ascii="宋体" w:hAnsi="宋体" w:cs="宋体"/>
                <w:sz w:val="18"/>
                <w:szCs w:val="18"/>
                <w:highlight w:val="none"/>
                <w:lang w:val="en-US" w:eastAsia="zh-CN"/>
              </w:rPr>
            </w:pPr>
            <w:r>
              <w:rPr>
                <w:rFonts w:hint="eastAsia" w:ascii="宋体" w:hAnsi="宋体" w:cs="宋体"/>
                <w:sz w:val="18"/>
                <w:szCs w:val="18"/>
                <w:highlight w:val="none"/>
                <w:lang w:val="en-US" w:eastAsia="zh-CN"/>
              </w:rPr>
              <w:t>捕集成本≤人民币3000元/tCO</w:t>
            </w:r>
            <w:r>
              <w:rPr>
                <w:rFonts w:hint="eastAsia" w:ascii="宋体" w:hAnsi="宋体" w:cs="宋体"/>
                <w:sz w:val="18"/>
                <w:szCs w:val="18"/>
                <w:highlight w:val="none"/>
                <w:vertAlign w:val="subscript"/>
                <w:lang w:val="en-US" w:eastAsia="zh-CN"/>
              </w:rPr>
              <w:t>2</w:t>
            </w:r>
          </w:p>
        </w:tc>
        <w:tc>
          <w:tcPr>
            <w:tcW w:w="1177" w:type="pct"/>
            <w:tcBorders>
              <w:tl2br w:val="nil"/>
              <w:tr2bl w:val="nil"/>
            </w:tcBorders>
            <w:shd w:val="clear" w:color="auto" w:fill="auto"/>
            <w:vAlign w:val="center"/>
          </w:tcPr>
          <w:p w14:paraId="5F15D0DA">
            <w:pPr>
              <w:keepNext w:val="0"/>
              <w:keepLines w:val="0"/>
              <w:suppressLineNumbers w:val="0"/>
              <w:autoSpaceDE w:val="0"/>
              <w:autoSpaceDN w:val="0"/>
              <w:spacing w:before="0" w:beforeAutospacing="0" w:after="0" w:afterAutospacing="0"/>
              <w:ind w:left="0" w:right="0"/>
              <w:jc w:val="center"/>
              <w:rPr>
                <w:rFonts w:hint="default" w:ascii="宋体" w:hAnsi="宋体" w:cs="宋体"/>
                <w:sz w:val="18"/>
                <w:szCs w:val="18"/>
                <w:highlight w:val="none"/>
                <w:lang w:val="en-US" w:eastAsia="zh-CN" w:bidi="ar"/>
              </w:rPr>
            </w:pPr>
            <w:r>
              <w:rPr>
                <w:rFonts w:hint="eastAsia" w:ascii="宋体" w:hAnsi="宋体" w:cs="宋体"/>
                <w:sz w:val="18"/>
                <w:szCs w:val="18"/>
                <w:highlight w:val="none"/>
                <w:lang w:val="en-US" w:eastAsia="zh-CN" w:bidi="ar"/>
              </w:rPr>
              <w:t>-</w:t>
            </w:r>
          </w:p>
        </w:tc>
      </w:tr>
      <w:tr w14:paraId="07AAB3D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4" w:hRule="atLeast"/>
          <w:jc w:val="center"/>
        </w:trPr>
        <w:tc>
          <w:tcPr>
            <w:tcW w:w="766" w:type="pct"/>
            <w:vMerge w:val="continue"/>
            <w:tcBorders>
              <w:bottom w:val="single" w:color="auto" w:sz="12" w:space="0"/>
              <w:tl2br w:val="nil"/>
              <w:tr2bl w:val="nil"/>
            </w:tcBorders>
            <w:shd w:val="clear" w:color="auto" w:fill="auto"/>
            <w:vAlign w:val="center"/>
          </w:tcPr>
          <w:p w14:paraId="66DC31DA">
            <w:pPr>
              <w:keepNext w:val="0"/>
              <w:keepLines w:val="0"/>
              <w:suppressLineNumbers w:val="0"/>
              <w:spacing w:before="0" w:beforeAutospacing="0" w:after="0" w:afterAutospacing="0"/>
              <w:ind w:left="0" w:right="0"/>
              <w:rPr>
                <w:rFonts w:hint="default" w:ascii="宋体" w:hAnsi="宋体" w:cs="宋体"/>
                <w:sz w:val="18"/>
                <w:szCs w:val="18"/>
                <w:highlight w:val="none"/>
              </w:rPr>
            </w:pPr>
          </w:p>
        </w:tc>
        <w:tc>
          <w:tcPr>
            <w:tcW w:w="1424" w:type="pct"/>
            <w:tcBorders>
              <w:bottom w:val="single" w:color="auto" w:sz="12" w:space="0"/>
              <w:tl2br w:val="nil"/>
              <w:tr2bl w:val="nil"/>
            </w:tcBorders>
            <w:shd w:val="clear" w:color="auto" w:fill="auto"/>
            <w:vAlign w:val="center"/>
          </w:tcPr>
          <w:p w14:paraId="250FEC24">
            <w:pPr>
              <w:keepNext w:val="0"/>
              <w:keepLines w:val="0"/>
              <w:suppressLineNumbers w:val="0"/>
              <w:autoSpaceDE w:val="0"/>
              <w:autoSpaceDN w:val="0"/>
              <w:spacing w:before="0" w:beforeAutospacing="0" w:after="0" w:afterAutospacing="0"/>
              <w:ind w:left="0" w:right="0"/>
              <w:jc w:val="both"/>
              <w:rPr>
                <w:rFonts w:hint="default" w:ascii="宋体" w:hAnsi="宋体" w:cs="宋体"/>
                <w:sz w:val="18"/>
                <w:szCs w:val="18"/>
                <w:highlight w:val="none"/>
                <w:lang w:val="en-US" w:eastAsia="zh-CN"/>
              </w:rPr>
            </w:pPr>
            <w:r>
              <w:rPr>
                <w:rFonts w:hint="eastAsia" w:ascii="宋体" w:hAnsi="宋体" w:cs="宋体"/>
                <w:sz w:val="18"/>
                <w:szCs w:val="18"/>
                <w:highlight w:val="none"/>
                <w:lang w:val="en-US" w:eastAsia="zh-CN"/>
              </w:rPr>
              <w:t>生物质能碳捕集与封存</w:t>
            </w:r>
          </w:p>
        </w:tc>
        <w:tc>
          <w:tcPr>
            <w:tcW w:w="1630" w:type="pct"/>
            <w:tcBorders>
              <w:bottom w:val="single" w:color="auto" w:sz="12" w:space="0"/>
              <w:tl2br w:val="nil"/>
              <w:tr2bl w:val="nil"/>
            </w:tcBorders>
            <w:shd w:val="clear" w:color="auto" w:fill="auto"/>
            <w:vAlign w:val="center"/>
          </w:tcPr>
          <w:p w14:paraId="6C081505">
            <w:pPr>
              <w:keepNext w:val="0"/>
              <w:keepLines w:val="0"/>
              <w:suppressLineNumbers w:val="0"/>
              <w:autoSpaceDE w:val="0"/>
              <w:autoSpaceDN w:val="0"/>
              <w:spacing w:before="0" w:beforeAutospacing="0" w:after="0" w:afterAutospacing="0"/>
              <w:ind w:left="0" w:right="0"/>
              <w:jc w:val="both"/>
              <w:rPr>
                <w:rFonts w:hint="default" w:ascii="宋体" w:hAnsi="宋体" w:cs="宋体"/>
                <w:sz w:val="18"/>
                <w:szCs w:val="18"/>
                <w:highlight w:val="none"/>
                <w:lang w:val="en-US" w:eastAsia="zh-CN"/>
              </w:rPr>
            </w:pPr>
            <w:r>
              <w:rPr>
                <w:rFonts w:hint="eastAsia" w:ascii="宋体" w:hAnsi="宋体" w:cs="宋体"/>
                <w:sz w:val="18"/>
                <w:szCs w:val="18"/>
                <w:highlight w:val="none"/>
                <w:lang w:val="en-US" w:eastAsia="zh-CN"/>
              </w:rPr>
              <w:t>生物质能利用效率≥30%</w:t>
            </w:r>
            <w:r>
              <w:rPr>
                <w:rFonts w:hint="eastAsia" w:ascii="宋体" w:hAnsi="宋体" w:cs="宋体"/>
                <w:sz w:val="18"/>
                <w:szCs w:val="18"/>
                <w:highlight w:val="none"/>
                <w:vertAlign w:val="superscript"/>
                <w:lang w:val="en-US" w:eastAsia="zh-CN"/>
              </w:rPr>
              <w:t>c</w:t>
            </w:r>
          </w:p>
          <w:p w14:paraId="7476FE92">
            <w:pPr>
              <w:keepNext w:val="0"/>
              <w:keepLines w:val="0"/>
              <w:suppressLineNumbers w:val="0"/>
              <w:autoSpaceDE w:val="0"/>
              <w:autoSpaceDN w:val="0"/>
              <w:spacing w:before="0" w:beforeAutospacing="0" w:after="0" w:afterAutospacing="0"/>
              <w:ind w:left="0" w:right="0"/>
              <w:jc w:val="both"/>
              <w:rPr>
                <w:rFonts w:hint="eastAsia" w:ascii="宋体" w:hAnsi="宋体" w:cs="宋体"/>
                <w:sz w:val="18"/>
                <w:szCs w:val="18"/>
                <w:highlight w:val="none"/>
                <w:lang w:val="en-US" w:eastAsia="zh-CN"/>
              </w:rPr>
            </w:pPr>
            <w:r>
              <w:rPr>
                <w:rFonts w:hint="eastAsia" w:ascii="宋体" w:hAnsi="宋体" w:cs="宋体"/>
                <w:sz w:val="18"/>
                <w:szCs w:val="18"/>
                <w:highlight w:val="none"/>
                <w:lang w:val="en-US" w:eastAsia="zh-CN"/>
              </w:rPr>
              <w:t>捕集效率≥85%</w:t>
            </w:r>
          </w:p>
          <w:p w14:paraId="45408415">
            <w:pPr>
              <w:keepNext w:val="0"/>
              <w:keepLines w:val="0"/>
              <w:suppressLineNumbers w:val="0"/>
              <w:autoSpaceDE w:val="0"/>
              <w:autoSpaceDN w:val="0"/>
              <w:spacing w:before="0" w:beforeAutospacing="0" w:after="0" w:afterAutospacing="0"/>
              <w:ind w:left="0" w:right="0"/>
              <w:jc w:val="both"/>
              <w:rPr>
                <w:rFonts w:hint="eastAsia" w:ascii="宋体" w:hAnsi="宋体" w:cs="宋体"/>
                <w:sz w:val="18"/>
                <w:szCs w:val="18"/>
                <w:highlight w:val="none"/>
                <w:lang w:val="en-US" w:eastAsia="zh-CN"/>
              </w:rPr>
            </w:pPr>
            <w:r>
              <w:rPr>
                <w:rFonts w:hint="eastAsia" w:ascii="宋体" w:hAnsi="宋体" w:cs="宋体"/>
                <w:sz w:val="18"/>
                <w:szCs w:val="18"/>
                <w:highlight w:val="none"/>
                <w:lang w:val="en-US" w:eastAsia="zh-CN"/>
              </w:rPr>
              <w:t>捕集成本≤人民币400元/tCO</w:t>
            </w:r>
            <w:r>
              <w:rPr>
                <w:rFonts w:hint="eastAsia" w:ascii="宋体" w:hAnsi="宋体" w:cs="宋体"/>
                <w:sz w:val="18"/>
                <w:szCs w:val="18"/>
                <w:highlight w:val="none"/>
                <w:vertAlign w:val="subscript"/>
                <w:lang w:val="en-US" w:eastAsia="zh-CN"/>
              </w:rPr>
              <w:t>2</w:t>
            </w:r>
          </w:p>
        </w:tc>
        <w:tc>
          <w:tcPr>
            <w:tcW w:w="1177" w:type="pct"/>
            <w:tcBorders>
              <w:bottom w:val="single" w:color="auto" w:sz="12" w:space="0"/>
              <w:tl2br w:val="nil"/>
              <w:tr2bl w:val="nil"/>
            </w:tcBorders>
            <w:shd w:val="clear" w:color="auto" w:fill="auto"/>
            <w:vAlign w:val="center"/>
          </w:tcPr>
          <w:p w14:paraId="5C47714F">
            <w:pPr>
              <w:keepNext w:val="0"/>
              <w:keepLines w:val="0"/>
              <w:suppressLineNumbers w:val="0"/>
              <w:autoSpaceDE w:val="0"/>
              <w:autoSpaceDN w:val="0"/>
              <w:spacing w:before="0" w:beforeAutospacing="0" w:after="0" w:afterAutospacing="0"/>
              <w:ind w:left="0" w:right="0"/>
              <w:jc w:val="center"/>
              <w:rPr>
                <w:rFonts w:hint="default" w:ascii="宋体" w:hAnsi="宋体" w:cs="宋体"/>
                <w:sz w:val="18"/>
                <w:szCs w:val="18"/>
                <w:highlight w:val="none"/>
                <w:lang w:val="en-US" w:eastAsia="zh-CN" w:bidi="ar"/>
              </w:rPr>
            </w:pPr>
            <w:r>
              <w:rPr>
                <w:rFonts w:hint="eastAsia" w:ascii="宋体" w:hAnsi="宋体" w:cs="宋体"/>
                <w:sz w:val="18"/>
                <w:szCs w:val="18"/>
                <w:highlight w:val="none"/>
                <w:lang w:val="en-US" w:eastAsia="zh-CN" w:bidi="ar"/>
              </w:rPr>
              <w:t>-</w:t>
            </w:r>
          </w:p>
        </w:tc>
      </w:tr>
      <w:tr w14:paraId="08BF75C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4" w:hRule="atLeast"/>
          <w:jc w:val="center"/>
        </w:trPr>
        <w:tc>
          <w:tcPr>
            <w:tcW w:w="5000" w:type="pct"/>
            <w:gridSpan w:val="4"/>
            <w:tcBorders>
              <w:top w:val="single" w:color="auto" w:sz="12" w:space="0"/>
            </w:tcBorders>
            <w:shd w:val="clear" w:color="auto" w:fill="auto"/>
            <w:vAlign w:val="center"/>
          </w:tcPr>
          <w:p w14:paraId="4611B486">
            <w:pPr>
              <w:keepNext w:val="0"/>
              <w:keepLines w:val="0"/>
              <w:pageBreakBefore w:val="0"/>
              <w:widowControl w:val="0"/>
              <w:suppressLineNumbers w:val="0"/>
              <w:kinsoku/>
              <w:wordWrap/>
              <w:overflowPunct/>
              <w:topLinePunct w:val="0"/>
              <w:autoSpaceDE w:val="0"/>
              <w:autoSpaceDN w:val="0"/>
              <w:bidi w:val="0"/>
              <w:adjustRightInd/>
              <w:snapToGrid/>
              <w:spacing w:before="0" w:beforeAutospacing="0" w:after="0" w:afterAutospacing="0"/>
              <w:ind w:left="0" w:right="0" w:firstLine="360" w:firstLineChars="200"/>
              <w:jc w:val="left"/>
              <w:textAlignment w:val="auto"/>
              <w:rPr>
                <w:rFonts w:hint="default" w:ascii="宋体" w:hAnsi="宋体" w:cs="宋体"/>
                <w:sz w:val="18"/>
                <w:szCs w:val="18"/>
                <w:highlight w:val="none"/>
                <w:lang w:val="en-US" w:eastAsia="zh-CN" w:bidi="ar"/>
              </w:rPr>
            </w:pPr>
            <w:r>
              <w:rPr>
                <w:rFonts w:hint="eastAsia" w:ascii="宋体" w:hAnsi="宋体" w:cs="宋体"/>
                <w:sz w:val="18"/>
                <w:szCs w:val="18"/>
                <w:highlight w:val="none"/>
                <w:vertAlign w:val="superscript"/>
                <w:lang w:val="en-US" w:eastAsia="zh-CN" w:bidi="ar"/>
              </w:rPr>
              <w:t>a</w:t>
            </w:r>
            <w:r>
              <w:rPr>
                <w:rFonts w:hint="eastAsia" w:ascii="宋体" w:hAnsi="宋体" w:cs="宋体"/>
                <w:sz w:val="18"/>
                <w:szCs w:val="18"/>
                <w:highlight w:val="none"/>
                <w:lang w:val="en-US" w:eastAsia="zh-CN" w:bidi="ar"/>
              </w:rPr>
              <w:t xml:space="preserve">  每捕获一吨二氧化碳所消耗的能量小于等于3.0 GJ。</w:t>
            </w:r>
          </w:p>
          <w:p w14:paraId="5274DEF4">
            <w:pPr>
              <w:keepNext w:val="0"/>
              <w:keepLines w:val="0"/>
              <w:pageBreakBefore w:val="0"/>
              <w:widowControl w:val="0"/>
              <w:suppressLineNumbers w:val="0"/>
              <w:kinsoku/>
              <w:wordWrap/>
              <w:overflowPunct/>
              <w:topLinePunct w:val="0"/>
              <w:autoSpaceDE w:val="0"/>
              <w:autoSpaceDN w:val="0"/>
              <w:bidi w:val="0"/>
              <w:adjustRightInd/>
              <w:snapToGrid/>
              <w:spacing w:before="0" w:beforeAutospacing="0" w:after="0" w:afterAutospacing="0"/>
              <w:ind w:left="0" w:right="0" w:firstLine="360" w:firstLineChars="200"/>
              <w:jc w:val="left"/>
              <w:textAlignment w:val="auto"/>
              <w:rPr>
                <w:rFonts w:hint="default" w:ascii="宋体" w:hAnsi="宋体" w:cs="宋体"/>
                <w:sz w:val="18"/>
                <w:szCs w:val="18"/>
                <w:highlight w:val="none"/>
                <w:lang w:val="en-US" w:eastAsia="zh-CN" w:bidi="ar"/>
              </w:rPr>
            </w:pPr>
            <w:r>
              <w:rPr>
                <w:rFonts w:hint="eastAsia" w:ascii="宋体" w:hAnsi="宋体" w:cs="宋体"/>
                <w:sz w:val="18"/>
                <w:szCs w:val="18"/>
                <w:highlight w:val="none"/>
                <w:vertAlign w:val="superscript"/>
                <w:lang w:val="en-US" w:eastAsia="zh-CN" w:bidi="ar"/>
              </w:rPr>
              <w:t>b</w:t>
            </w:r>
            <w:r>
              <w:rPr>
                <w:rFonts w:hint="eastAsia" w:ascii="宋体" w:hAnsi="宋体" w:cs="宋体"/>
                <w:sz w:val="18"/>
                <w:szCs w:val="18"/>
                <w:highlight w:val="none"/>
                <w:lang w:val="en-US" w:eastAsia="zh-CN" w:bidi="ar"/>
              </w:rPr>
              <w:t xml:space="preserve">  每捕获一吨二氧化碳所需处理的空气量小于等于2000 m³。</w:t>
            </w:r>
          </w:p>
          <w:p w14:paraId="260856A9">
            <w:pPr>
              <w:keepNext w:val="0"/>
              <w:keepLines w:val="0"/>
              <w:pageBreakBefore w:val="0"/>
              <w:widowControl w:val="0"/>
              <w:suppressLineNumbers w:val="0"/>
              <w:kinsoku/>
              <w:wordWrap/>
              <w:overflowPunct/>
              <w:topLinePunct w:val="0"/>
              <w:autoSpaceDE w:val="0"/>
              <w:autoSpaceDN w:val="0"/>
              <w:bidi w:val="0"/>
              <w:adjustRightInd/>
              <w:snapToGrid/>
              <w:spacing w:before="0" w:beforeAutospacing="0" w:after="0" w:afterAutospacing="0"/>
              <w:ind w:left="0" w:right="0" w:firstLine="360" w:firstLineChars="200"/>
              <w:jc w:val="left"/>
              <w:textAlignment w:val="auto"/>
              <w:rPr>
                <w:rFonts w:hint="default" w:ascii="宋体" w:hAnsi="宋体" w:cs="宋体"/>
                <w:sz w:val="18"/>
                <w:szCs w:val="18"/>
                <w:highlight w:val="none"/>
                <w:lang w:val="en-US" w:eastAsia="zh-CN" w:bidi="ar"/>
              </w:rPr>
            </w:pPr>
            <w:r>
              <w:rPr>
                <w:rFonts w:hint="eastAsia" w:ascii="宋体" w:hAnsi="宋体" w:cs="宋体"/>
                <w:sz w:val="18"/>
                <w:szCs w:val="18"/>
                <w:highlight w:val="none"/>
                <w:vertAlign w:val="superscript"/>
                <w:lang w:val="en-US" w:eastAsia="zh-CN" w:bidi="ar"/>
              </w:rPr>
              <w:t>c</w:t>
            </w:r>
            <w:r>
              <w:rPr>
                <w:rFonts w:hint="eastAsia" w:ascii="宋体" w:hAnsi="宋体" w:cs="宋体"/>
                <w:sz w:val="18"/>
                <w:szCs w:val="18"/>
                <w:highlight w:val="none"/>
                <w:lang w:val="en-US" w:eastAsia="zh-CN" w:bidi="ar"/>
              </w:rPr>
              <w:t xml:space="preserve">  生物质能转化为电能或热能的效率大于等于30%。</w:t>
            </w:r>
          </w:p>
        </w:tc>
      </w:tr>
    </w:tbl>
    <w:p w14:paraId="5F4D722C">
      <w:pPr>
        <w:widowControl w:val="0"/>
        <w:numPr>
          <w:ilvl w:val="1"/>
          <w:numId w:val="0"/>
        </w:numPr>
        <w:spacing w:before="156" w:beforeLines="50" w:after="156" w:afterLines="50"/>
        <w:jc w:val="both"/>
        <w:rPr>
          <w:rFonts w:ascii="Times New Roman" w:hAnsi="Times New Roman" w:eastAsia="Times New Roman" w:cs="Times New Roman"/>
          <w:kern w:val="2"/>
          <w:sz w:val="21"/>
          <w:szCs w:val="21"/>
          <w:highlight w:val="none"/>
          <w:lang w:val="en-US" w:eastAsia="zh-CN" w:bidi="ar-SA"/>
        </w:rPr>
      </w:pPr>
      <w:r>
        <w:rPr>
          <w:rFonts w:hint="eastAsia" w:ascii="黑体" w:hAnsi="黑体" w:eastAsia="黑体" w:cs="黑体"/>
          <w:kern w:val="2"/>
          <w:sz w:val="21"/>
          <w:szCs w:val="21"/>
          <w:highlight w:val="none"/>
          <w:lang w:val="en-US" w:eastAsia="zh-CN" w:bidi="ar-SA"/>
        </w:rPr>
        <w:t>A.2  油气田甲烷采收利用</w:t>
      </w:r>
    </w:p>
    <w:p w14:paraId="23AF578C">
      <w:pPr>
        <w:autoSpaceDE w:val="0"/>
        <w:autoSpaceDN w:val="0"/>
        <w:ind w:firstLine="420" w:firstLineChars="200"/>
        <w:rPr>
          <w:szCs w:val="21"/>
          <w:highlight w:val="none"/>
        </w:rPr>
      </w:pPr>
      <w:r>
        <w:rPr>
          <w:rFonts w:hint="eastAsia" w:ascii="宋体" w:hAnsi="宋体" w:cs="宋体"/>
          <w:szCs w:val="21"/>
          <w:highlight w:val="none"/>
          <w:lang w:val="en-US" w:eastAsia="zh-CN" w:bidi="ar"/>
        </w:rPr>
        <w:t>油气田甲烷采收利用</w:t>
      </w:r>
      <w:r>
        <w:rPr>
          <w:rFonts w:hint="eastAsia" w:ascii="宋体" w:hAnsi="宋体" w:cs="宋体"/>
          <w:szCs w:val="21"/>
          <w:highlight w:val="none"/>
          <w:lang w:bidi="ar"/>
        </w:rPr>
        <w:t>具体评价内容及评价方法见表</w:t>
      </w:r>
      <w:r>
        <w:rPr>
          <w:rFonts w:hint="eastAsia" w:ascii="宋体" w:hAnsi="宋体" w:cs="宋体"/>
          <w:szCs w:val="21"/>
          <w:highlight w:val="none"/>
          <w:lang w:val="en-US" w:eastAsia="zh-CN" w:bidi="ar"/>
        </w:rPr>
        <w:t>A.2</w:t>
      </w:r>
      <w:r>
        <w:rPr>
          <w:rFonts w:hint="eastAsia" w:ascii="宋体" w:hAnsi="宋体" w:cs="宋体"/>
          <w:szCs w:val="21"/>
          <w:highlight w:val="none"/>
          <w:lang w:bidi="ar"/>
        </w:rPr>
        <w:t>。</w:t>
      </w:r>
    </w:p>
    <w:p w14:paraId="321D3986">
      <w:pPr>
        <w:pStyle w:val="131"/>
        <w:numPr>
          <w:ilvl w:val="0"/>
          <w:numId w:val="0"/>
        </w:numPr>
        <w:ind w:leftChars="0"/>
        <w:jc w:val="center"/>
        <w:rPr>
          <w:rFonts w:ascii="Times New Roman" w:eastAsia="宋体"/>
          <w:kern w:val="2"/>
          <w:szCs w:val="21"/>
          <w:highlight w:val="none"/>
        </w:rPr>
      </w:pPr>
      <w:r>
        <w:rPr>
          <w:rFonts w:hint="eastAsia" w:hAnsi="宋体" w:cs="黑体"/>
          <w:kern w:val="2"/>
          <w:szCs w:val="21"/>
          <w:highlight w:val="none"/>
          <w:lang w:val="en-US" w:eastAsia="zh-CN" w:bidi="ar"/>
        </w:rPr>
        <w:t>表A.2  油气田甲烷采收利用关键</w:t>
      </w:r>
      <w:r>
        <w:rPr>
          <w:rFonts w:hint="eastAsia" w:hAnsi="宋体" w:cs="黑体"/>
          <w:kern w:val="2"/>
          <w:szCs w:val="21"/>
          <w:highlight w:val="none"/>
          <w:lang w:bidi="ar"/>
        </w:rPr>
        <w:t>技术先进水平评价规则</w:t>
      </w:r>
    </w:p>
    <w:tbl>
      <w:tblPr>
        <w:tblStyle w:val="37"/>
        <w:tblW w:w="4994"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1341"/>
        <w:gridCol w:w="3263"/>
        <w:gridCol w:w="2966"/>
        <w:gridCol w:w="1989"/>
      </w:tblGrid>
      <w:tr w14:paraId="392AF59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701" w:type="pct"/>
            <w:tcBorders>
              <w:bottom w:val="single" w:color="auto" w:sz="12" w:space="0"/>
            </w:tcBorders>
            <w:shd w:val="clear" w:color="auto" w:fill="auto"/>
          </w:tcPr>
          <w:p w14:paraId="392EC32E">
            <w:pPr>
              <w:keepNext w:val="0"/>
              <w:keepLines w:val="0"/>
              <w:suppressLineNumbers w:val="0"/>
              <w:autoSpaceDE w:val="0"/>
              <w:autoSpaceDN w:val="0"/>
              <w:spacing w:before="0" w:beforeAutospacing="0" w:after="0" w:afterAutospacing="0"/>
              <w:ind w:left="0" w:right="0"/>
              <w:jc w:val="center"/>
              <w:rPr>
                <w:rFonts w:hint="default" w:ascii="宋体"/>
                <w:b/>
                <w:bCs/>
                <w:sz w:val="18"/>
                <w:szCs w:val="18"/>
                <w:highlight w:val="none"/>
              </w:rPr>
            </w:pPr>
            <w:r>
              <w:rPr>
                <w:rFonts w:hint="eastAsia" w:ascii="宋体" w:hAnsi="宋体" w:cs="宋体"/>
                <w:b/>
                <w:bCs/>
                <w:sz w:val="18"/>
                <w:szCs w:val="18"/>
                <w:highlight w:val="none"/>
                <w:lang w:bidi="ar"/>
              </w:rPr>
              <w:t>评价环节</w:t>
            </w:r>
          </w:p>
        </w:tc>
        <w:tc>
          <w:tcPr>
            <w:tcW w:w="1706" w:type="pct"/>
            <w:tcBorders>
              <w:bottom w:val="single" w:color="auto" w:sz="12" w:space="0"/>
            </w:tcBorders>
            <w:shd w:val="clear" w:color="auto" w:fill="auto"/>
          </w:tcPr>
          <w:p w14:paraId="2B327F01">
            <w:pPr>
              <w:keepNext w:val="0"/>
              <w:keepLines w:val="0"/>
              <w:suppressLineNumbers w:val="0"/>
              <w:autoSpaceDE w:val="0"/>
              <w:autoSpaceDN w:val="0"/>
              <w:spacing w:before="0" w:beforeAutospacing="0" w:after="0" w:afterAutospacing="0"/>
              <w:ind w:left="0" w:right="0"/>
              <w:jc w:val="center"/>
              <w:rPr>
                <w:rFonts w:hint="default" w:ascii="宋体"/>
                <w:b/>
                <w:bCs/>
                <w:sz w:val="18"/>
                <w:szCs w:val="18"/>
                <w:highlight w:val="none"/>
              </w:rPr>
            </w:pPr>
            <w:r>
              <w:rPr>
                <w:rFonts w:hint="eastAsia" w:ascii="宋体" w:hAnsi="宋体" w:cs="宋体"/>
                <w:b/>
                <w:bCs/>
                <w:sz w:val="18"/>
                <w:szCs w:val="18"/>
                <w:highlight w:val="none"/>
                <w:lang w:bidi="ar"/>
              </w:rPr>
              <w:t>评价对象</w:t>
            </w:r>
          </w:p>
        </w:tc>
        <w:tc>
          <w:tcPr>
            <w:tcW w:w="1551" w:type="pct"/>
            <w:tcBorders>
              <w:bottom w:val="single" w:color="auto" w:sz="12" w:space="0"/>
            </w:tcBorders>
            <w:shd w:val="clear" w:color="auto" w:fill="auto"/>
          </w:tcPr>
          <w:p w14:paraId="7AD80C01">
            <w:pPr>
              <w:keepNext w:val="0"/>
              <w:keepLines w:val="0"/>
              <w:suppressLineNumbers w:val="0"/>
              <w:autoSpaceDE w:val="0"/>
              <w:autoSpaceDN w:val="0"/>
              <w:spacing w:before="0" w:beforeAutospacing="0" w:after="0" w:afterAutospacing="0"/>
              <w:ind w:left="0" w:right="0"/>
              <w:jc w:val="center"/>
              <w:rPr>
                <w:rFonts w:hint="default" w:ascii="宋体"/>
                <w:b/>
                <w:bCs/>
                <w:sz w:val="18"/>
                <w:szCs w:val="18"/>
                <w:highlight w:val="none"/>
              </w:rPr>
            </w:pPr>
            <w:r>
              <w:rPr>
                <w:rFonts w:hint="eastAsia" w:ascii="宋体" w:hAnsi="宋体" w:cs="宋体"/>
                <w:b/>
                <w:bCs/>
                <w:sz w:val="18"/>
                <w:szCs w:val="18"/>
                <w:highlight w:val="none"/>
                <w:lang w:bidi="ar"/>
              </w:rPr>
              <w:t>核心评价指标</w:t>
            </w:r>
          </w:p>
        </w:tc>
        <w:tc>
          <w:tcPr>
            <w:tcW w:w="1040" w:type="pct"/>
            <w:tcBorders>
              <w:bottom w:val="single" w:color="auto" w:sz="12" w:space="0"/>
            </w:tcBorders>
            <w:shd w:val="clear" w:color="auto" w:fill="auto"/>
          </w:tcPr>
          <w:p w14:paraId="2D616AB6">
            <w:pPr>
              <w:keepNext w:val="0"/>
              <w:keepLines w:val="0"/>
              <w:suppressLineNumbers w:val="0"/>
              <w:autoSpaceDE w:val="0"/>
              <w:autoSpaceDN w:val="0"/>
              <w:spacing w:before="0" w:beforeAutospacing="0" w:after="0" w:afterAutospacing="0"/>
              <w:ind w:left="0" w:right="0"/>
              <w:jc w:val="center"/>
              <w:rPr>
                <w:rFonts w:hint="default" w:ascii="宋体"/>
                <w:b/>
                <w:bCs/>
                <w:sz w:val="18"/>
                <w:szCs w:val="18"/>
                <w:highlight w:val="none"/>
              </w:rPr>
            </w:pPr>
            <w:r>
              <w:rPr>
                <w:rFonts w:hint="eastAsia" w:ascii="宋体" w:hAnsi="宋体" w:cs="宋体"/>
                <w:b/>
                <w:bCs/>
                <w:sz w:val="18"/>
                <w:szCs w:val="18"/>
                <w:highlight w:val="none"/>
                <w:lang w:bidi="ar"/>
              </w:rPr>
              <w:t>评价依据</w:t>
            </w:r>
          </w:p>
        </w:tc>
      </w:tr>
      <w:tr w14:paraId="646E804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701" w:type="pct"/>
            <w:vMerge w:val="restart"/>
            <w:tcBorders>
              <w:top w:val="single" w:color="auto" w:sz="12" w:space="0"/>
            </w:tcBorders>
            <w:shd w:val="clear" w:color="auto" w:fill="auto"/>
            <w:vAlign w:val="center"/>
          </w:tcPr>
          <w:p w14:paraId="62D380C1">
            <w:pPr>
              <w:keepNext w:val="0"/>
              <w:keepLines w:val="0"/>
              <w:suppressLineNumbers w:val="0"/>
              <w:spacing w:before="0" w:beforeAutospacing="0" w:after="0" w:afterAutospacing="0"/>
              <w:ind w:left="0" w:right="0"/>
              <w:jc w:val="center"/>
              <w:rPr>
                <w:rFonts w:hint="default" w:ascii="宋体" w:hAnsi="宋体" w:eastAsia="宋体" w:cs="宋体"/>
                <w:sz w:val="18"/>
                <w:szCs w:val="18"/>
                <w:highlight w:val="none"/>
                <w:lang w:val="en-US" w:eastAsia="zh-CN"/>
              </w:rPr>
            </w:pPr>
            <w:r>
              <w:rPr>
                <w:rFonts w:hint="eastAsia" w:ascii="宋体" w:hAnsi="宋体" w:cs="宋体"/>
                <w:sz w:val="18"/>
                <w:szCs w:val="18"/>
                <w:highlight w:val="none"/>
                <w:lang w:val="en-US" w:eastAsia="zh-CN"/>
              </w:rPr>
              <w:t>建设运营</w:t>
            </w:r>
          </w:p>
        </w:tc>
        <w:tc>
          <w:tcPr>
            <w:tcW w:w="1706" w:type="pct"/>
            <w:tcBorders>
              <w:top w:val="single" w:color="auto" w:sz="12" w:space="0"/>
              <w:bottom w:val="single" w:color="auto" w:sz="4" w:space="0"/>
            </w:tcBorders>
            <w:shd w:val="clear" w:color="auto" w:fill="auto"/>
            <w:vAlign w:val="center"/>
          </w:tcPr>
          <w:p w14:paraId="66D834A8">
            <w:pPr>
              <w:keepNext w:val="0"/>
              <w:keepLines w:val="0"/>
              <w:suppressLineNumbers w:val="0"/>
              <w:autoSpaceDE w:val="0"/>
              <w:autoSpaceDN w:val="0"/>
              <w:spacing w:before="0" w:beforeAutospacing="0" w:after="0" w:afterAutospacing="0"/>
              <w:ind w:left="0" w:right="0"/>
              <w:jc w:val="both"/>
              <w:rPr>
                <w:rFonts w:hint="default" w:ascii="宋体" w:hAnsi="宋体" w:eastAsia="宋体" w:cs="宋体"/>
                <w:sz w:val="18"/>
                <w:szCs w:val="18"/>
                <w:highlight w:val="none"/>
                <w:lang w:val="en-US" w:eastAsia="zh-CN"/>
              </w:rPr>
            </w:pPr>
            <w:r>
              <w:rPr>
                <w:rFonts w:hint="eastAsia" w:ascii="宋体" w:hAnsi="宋体" w:cs="宋体"/>
                <w:sz w:val="18"/>
                <w:szCs w:val="18"/>
                <w:highlight w:val="none"/>
                <w:lang w:val="en-US" w:eastAsia="zh-CN"/>
              </w:rPr>
              <w:t>燃烧发电</w:t>
            </w:r>
          </w:p>
        </w:tc>
        <w:tc>
          <w:tcPr>
            <w:tcW w:w="1551" w:type="pct"/>
            <w:tcBorders>
              <w:top w:val="single" w:color="auto" w:sz="12" w:space="0"/>
              <w:bottom w:val="single" w:color="auto" w:sz="4" w:space="0"/>
            </w:tcBorders>
            <w:shd w:val="clear" w:color="auto" w:fill="auto"/>
            <w:vAlign w:val="center"/>
          </w:tcPr>
          <w:p w14:paraId="18295360">
            <w:pPr>
              <w:keepNext w:val="0"/>
              <w:keepLines w:val="0"/>
              <w:suppressLineNumbers w:val="0"/>
              <w:autoSpaceDE w:val="0"/>
              <w:autoSpaceDN w:val="0"/>
              <w:spacing w:before="0" w:beforeAutospacing="0" w:after="0" w:afterAutospacing="0"/>
              <w:ind w:left="0" w:right="0"/>
              <w:jc w:val="both"/>
              <w:rPr>
                <w:rFonts w:hint="default" w:ascii="宋体" w:hAnsi="宋体" w:eastAsia="宋体" w:cs="宋体"/>
                <w:sz w:val="18"/>
                <w:szCs w:val="18"/>
                <w:highlight w:val="none"/>
                <w:lang w:val="en-US" w:eastAsia="zh-CN"/>
              </w:rPr>
            </w:pPr>
            <w:r>
              <w:rPr>
                <w:rFonts w:hint="default" w:ascii="宋体" w:hAnsi="宋体" w:eastAsia="宋体" w:cs="宋体"/>
                <w:sz w:val="18"/>
                <w:szCs w:val="18"/>
                <w:highlight w:val="none"/>
                <w:lang w:val="en-US" w:eastAsia="zh-CN"/>
              </w:rPr>
              <w:t>发电效率</w:t>
            </w:r>
            <w:r>
              <w:rPr>
                <w:rFonts w:hint="eastAsia" w:ascii="宋体" w:hAnsi="宋体" w:cs="宋体"/>
                <w:sz w:val="18"/>
                <w:szCs w:val="18"/>
                <w:highlight w:val="none"/>
                <w:lang w:val="en-US" w:eastAsia="zh-CN"/>
              </w:rPr>
              <w:t>≥35%</w:t>
            </w:r>
          </w:p>
        </w:tc>
        <w:tc>
          <w:tcPr>
            <w:tcW w:w="1040" w:type="pct"/>
            <w:tcBorders>
              <w:top w:val="single" w:color="auto" w:sz="12" w:space="0"/>
              <w:bottom w:val="single" w:color="auto" w:sz="4" w:space="0"/>
            </w:tcBorders>
            <w:shd w:val="clear" w:color="auto" w:fill="auto"/>
            <w:vAlign w:val="center"/>
          </w:tcPr>
          <w:p w14:paraId="19B71124">
            <w:pPr>
              <w:keepNext w:val="0"/>
              <w:keepLines w:val="0"/>
              <w:suppressLineNumbers w:val="0"/>
              <w:autoSpaceDE w:val="0"/>
              <w:autoSpaceDN w:val="0"/>
              <w:spacing w:before="0" w:beforeAutospacing="0" w:after="0" w:afterAutospacing="0"/>
              <w:ind w:left="0" w:right="0"/>
              <w:jc w:val="center"/>
              <w:rPr>
                <w:rFonts w:hint="default" w:ascii="宋体" w:hAnsi="宋体" w:eastAsia="宋体" w:cs="宋体"/>
                <w:sz w:val="18"/>
                <w:szCs w:val="18"/>
                <w:highlight w:val="none"/>
                <w:lang w:val="en-US" w:eastAsia="zh-CN"/>
              </w:rPr>
            </w:pPr>
            <w:r>
              <w:rPr>
                <w:rFonts w:hint="eastAsia" w:ascii="宋体" w:hAnsi="宋体" w:cs="宋体"/>
                <w:sz w:val="18"/>
                <w:szCs w:val="18"/>
                <w:highlight w:val="none"/>
                <w:lang w:val="en-US" w:eastAsia="zh-CN"/>
              </w:rPr>
              <w:t>-</w:t>
            </w:r>
          </w:p>
        </w:tc>
      </w:tr>
      <w:tr w14:paraId="221D2A7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701" w:type="pct"/>
            <w:vMerge w:val="continue"/>
            <w:tcBorders>
              <w:bottom w:val="single" w:color="auto" w:sz="12" w:space="0"/>
            </w:tcBorders>
            <w:shd w:val="clear" w:color="auto" w:fill="auto"/>
            <w:vAlign w:val="center"/>
          </w:tcPr>
          <w:p w14:paraId="2F072CF0">
            <w:pPr>
              <w:keepNext w:val="0"/>
              <w:keepLines w:val="0"/>
              <w:suppressLineNumbers w:val="0"/>
              <w:spacing w:before="0" w:beforeAutospacing="0" w:after="0" w:afterAutospacing="0"/>
              <w:ind w:left="0" w:right="0"/>
              <w:jc w:val="center"/>
              <w:rPr>
                <w:rFonts w:hint="eastAsia" w:ascii="宋体" w:hAnsi="宋体" w:cs="宋体"/>
                <w:sz w:val="18"/>
                <w:szCs w:val="18"/>
                <w:highlight w:val="none"/>
                <w:lang w:val="en-US" w:eastAsia="zh-CN"/>
              </w:rPr>
            </w:pPr>
          </w:p>
        </w:tc>
        <w:tc>
          <w:tcPr>
            <w:tcW w:w="1706" w:type="pct"/>
            <w:tcBorders>
              <w:top w:val="single" w:color="auto" w:sz="4" w:space="0"/>
              <w:bottom w:val="single" w:color="auto" w:sz="12" w:space="0"/>
            </w:tcBorders>
            <w:shd w:val="clear" w:color="auto" w:fill="auto"/>
            <w:vAlign w:val="center"/>
          </w:tcPr>
          <w:p w14:paraId="2D468774">
            <w:pPr>
              <w:keepNext w:val="0"/>
              <w:keepLines w:val="0"/>
              <w:suppressLineNumbers w:val="0"/>
              <w:autoSpaceDE w:val="0"/>
              <w:autoSpaceDN w:val="0"/>
              <w:spacing w:before="0" w:beforeAutospacing="0" w:after="0" w:afterAutospacing="0"/>
              <w:ind w:left="0" w:right="0"/>
              <w:jc w:val="both"/>
              <w:rPr>
                <w:rFonts w:hint="default" w:ascii="宋体" w:hAnsi="宋体" w:cs="宋体"/>
                <w:sz w:val="18"/>
                <w:szCs w:val="18"/>
                <w:highlight w:val="none"/>
                <w:lang w:val="en-US" w:eastAsia="zh-CN"/>
              </w:rPr>
            </w:pPr>
            <w:r>
              <w:rPr>
                <w:rFonts w:hint="eastAsia" w:ascii="宋体" w:hAnsi="宋体" w:cs="宋体"/>
                <w:sz w:val="18"/>
                <w:szCs w:val="18"/>
                <w:highlight w:val="none"/>
                <w:lang w:val="en-US" w:eastAsia="zh-CN"/>
              </w:rPr>
              <w:t>燃烧供能</w:t>
            </w:r>
          </w:p>
        </w:tc>
        <w:tc>
          <w:tcPr>
            <w:tcW w:w="1551" w:type="pct"/>
            <w:tcBorders>
              <w:top w:val="single" w:color="auto" w:sz="4" w:space="0"/>
              <w:bottom w:val="single" w:color="auto" w:sz="12" w:space="0"/>
            </w:tcBorders>
            <w:shd w:val="clear" w:color="auto" w:fill="auto"/>
            <w:vAlign w:val="center"/>
          </w:tcPr>
          <w:p w14:paraId="6B2A16BD">
            <w:pPr>
              <w:keepNext w:val="0"/>
              <w:keepLines w:val="0"/>
              <w:suppressLineNumbers w:val="0"/>
              <w:autoSpaceDE w:val="0"/>
              <w:autoSpaceDN w:val="0"/>
              <w:spacing w:before="0" w:beforeAutospacing="0" w:after="0" w:afterAutospacing="0"/>
              <w:ind w:left="0" w:right="0"/>
              <w:jc w:val="both"/>
              <w:rPr>
                <w:rFonts w:hint="default" w:ascii="宋体" w:hAnsi="宋体" w:eastAsia="宋体" w:cs="宋体"/>
                <w:sz w:val="18"/>
                <w:szCs w:val="18"/>
                <w:highlight w:val="none"/>
                <w:lang w:val="en-US" w:eastAsia="zh-CN"/>
              </w:rPr>
            </w:pPr>
            <w:r>
              <w:rPr>
                <w:rFonts w:hint="default" w:ascii="宋体" w:hAnsi="宋体" w:eastAsia="宋体" w:cs="宋体"/>
                <w:sz w:val="18"/>
                <w:szCs w:val="18"/>
                <w:highlight w:val="none"/>
                <w:lang w:val="en-US" w:eastAsia="zh-CN"/>
              </w:rPr>
              <w:t>热效率≥</w:t>
            </w:r>
            <w:r>
              <w:rPr>
                <w:rFonts w:hint="eastAsia" w:ascii="宋体" w:hAnsi="宋体" w:cs="宋体"/>
                <w:sz w:val="18"/>
                <w:szCs w:val="18"/>
                <w:highlight w:val="none"/>
                <w:lang w:val="en-US" w:eastAsia="zh-CN"/>
              </w:rPr>
              <w:t>90</w:t>
            </w:r>
            <w:r>
              <w:rPr>
                <w:rFonts w:hint="default" w:ascii="宋体" w:hAnsi="宋体" w:eastAsia="宋体" w:cs="宋体"/>
                <w:sz w:val="18"/>
                <w:szCs w:val="18"/>
                <w:highlight w:val="none"/>
                <w:lang w:val="en-US" w:eastAsia="zh-CN"/>
              </w:rPr>
              <w:t>%</w:t>
            </w:r>
          </w:p>
        </w:tc>
        <w:tc>
          <w:tcPr>
            <w:tcW w:w="1040" w:type="pct"/>
            <w:tcBorders>
              <w:top w:val="single" w:color="auto" w:sz="4" w:space="0"/>
              <w:bottom w:val="single" w:color="auto" w:sz="12" w:space="0"/>
            </w:tcBorders>
            <w:shd w:val="clear" w:color="auto" w:fill="auto"/>
            <w:vAlign w:val="center"/>
          </w:tcPr>
          <w:p w14:paraId="5838EE72">
            <w:pPr>
              <w:keepNext w:val="0"/>
              <w:keepLines w:val="0"/>
              <w:suppressLineNumbers w:val="0"/>
              <w:autoSpaceDE w:val="0"/>
              <w:autoSpaceDN w:val="0"/>
              <w:spacing w:before="0" w:beforeAutospacing="0" w:after="0" w:afterAutospacing="0"/>
              <w:ind w:left="0" w:right="0"/>
              <w:jc w:val="center"/>
              <w:rPr>
                <w:rFonts w:hint="default" w:ascii="宋体" w:hAnsi="宋体" w:eastAsia="宋体" w:cs="宋体"/>
                <w:sz w:val="18"/>
                <w:szCs w:val="18"/>
                <w:highlight w:val="none"/>
                <w:lang w:val="en-US" w:eastAsia="zh-CN"/>
              </w:rPr>
            </w:pPr>
            <w:r>
              <w:rPr>
                <w:rFonts w:hint="eastAsia" w:ascii="宋体" w:hAnsi="宋体" w:cs="宋体"/>
                <w:sz w:val="18"/>
                <w:szCs w:val="18"/>
                <w:highlight w:val="none"/>
                <w:lang w:val="en-US" w:eastAsia="zh-CN"/>
              </w:rPr>
              <w:t>-</w:t>
            </w:r>
          </w:p>
        </w:tc>
      </w:tr>
    </w:tbl>
    <w:p w14:paraId="48819BBB">
      <w:pPr>
        <w:pStyle w:val="131"/>
        <w:numPr>
          <w:ilvl w:val="0"/>
          <w:numId w:val="0"/>
        </w:numPr>
        <w:ind w:leftChars="0"/>
        <w:jc w:val="center"/>
        <w:rPr>
          <w:rFonts w:hint="eastAsia" w:ascii="Times New Roman" w:eastAsia="黑体"/>
          <w:kern w:val="2"/>
          <w:szCs w:val="21"/>
          <w:highlight w:val="none"/>
          <w:lang w:eastAsia="zh-CN"/>
        </w:rPr>
      </w:pPr>
      <w:r>
        <w:rPr>
          <w:rFonts w:hint="eastAsia" w:hAnsi="宋体" w:cs="黑体"/>
          <w:kern w:val="2"/>
          <w:szCs w:val="21"/>
          <w:highlight w:val="none"/>
          <w:lang w:val="en-US" w:eastAsia="zh-CN" w:bidi="ar"/>
        </w:rPr>
        <w:t>表A.2  油气田甲烷采收利用关键</w:t>
      </w:r>
      <w:r>
        <w:rPr>
          <w:rFonts w:hint="eastAsia" w:hAnsi="宋体" w:cs="黑体"/>
          <w:kern w:val="2"/>
          <w:szCs w:val="21"/>
          <w:highlight w:val="none"/>
          <w:lang w:bidi="ar"/>
        </w:rPr>
        <w:t>技术先进水平评价规则</w:t>
      </w:r>
      <w:r>
        <w:rPr>
          <w:rFonts w:hint="eastAsia" w:asciiTheme="minorEastAsia" w:hAnsiTheme="minorEastAsia" w:eastAsiaTheme="minorEastAsia" w:cstheme="minorEastAsia"/>
          <w:kern w:val="2"/>
          <w:szCs w:val="21"/>
          <w:highlight w:val="none"/>
          <w:lang w:eastAsia="zh-CN" w:bidi="ar"/>
        </w:rPr>
        <w:t>（</w:t>
      </w:r>
      <w:r>
        <w:rPr>
          <w:rFonts w:hint="eastAsia" w:asciiTheme="minorEastAsia" w:hAnsiTheme="minorEastAsia" w:eastAsiaTheme="minorEastAsia" w:cstheme="minorEastAsia"/>
          <w:kern w:val="2"/>
          <w:szCs w:val="21"/>
          <w:highlight w:val="none"/>
          <w:lang w:val="en-US" w:eastAsia="zh-CN" w:bidi="ar"/>
        </w:rPr>
        <w:t>续</w:t>
      </w:r>
      <w:r>
        <w:rPr>
          <w:rFonts w:hint="eastAsia" w:asciiTheme="minorEastAsia" w:hAnsiTheme="minorEastAsia" w:eastAsiaTheme="minorEastAsia" w:cstheme="minorEastAsia"/>
          <w:kern w:val="2"/>
          <w:szCs w:val="21"/>
          <w:highlight w:val="none"/>
          <w:lang w:eastAsia="zh-CN" w:bidi="ar"/>
        </w:rPr>
        <w:t>）</w:t>
      </w:r>
    </w:p>
    <w:tbl>
      <w:tblPr>
        <w:tblStyle w:val="37"/>
        <w:tblW w:w="4994"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1341"/>
        <w:gridCol w:w="3263"/>
        <w:gridCol w:w="2966"/>
        <w:gridCol w:w="1989"/>
      </w:tblGrid>
      <w:tr w14:paraId="119D81C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341" w:type="dxa"/>
            <w:tcBorders>
              <w:top w:val="single" w:color="auto" w:sz="12" w:space="0"/>
              <w:bottom w:val="single" w:color="auto" w:sz="12" w:space="0"/>
            </w:tcBorders>
            <w:shd w:val="clear" w:color="auto" w:fill="auto"/>
            <w:vAlign w:val="top"/>
          </w:tcPr>
          <w:p w14:paraId="3246B63D">
            <w:pPr>
              <w:keepNext w:val="0"/>
              <w:keepLines w:val="0"/>
              <w:widowControl w:val="0"/>
              <w:suppressLineNumbers w:val="0"/>
              <w:autoSpaceDE w:val="0"/>
              <w:autoSpaceDN w:val="0"/>
              <w:spacing w:before="0" w:beforeAutospacing="0" w:after="0" w:afterAutospacing="0"/>
              <w:ind w:left="0" w:leftChars="0" w:right="0" w:rightChars="0"/>
              <w:jc w:val="center"/>
              <w:rPr>
                <w:rFonts w:hint="default" w:ascii="宋体" w:hAnsi="宋体" w:cs="宋体"/>
                <w:sz w:val="18"/>
                <w:szCs w:val="18"/>
                <w:highlight w:val="none"/>
              </w:rPr>
            </w:pPr>
            <w:r>
              <w:rPr>
                <w:rFonts w:hint="eastAsia" w:ascii="宋体" w:hAnsi="宋体" w:eastAsia="宋体" w:cs="宋体"/>
                <w:b/>
                <w:bCs/>
                <w:kern w:val="2"/>
                <w:sz w:val="18"/>
                <w:szCs w:val="18"/>
                <w:lang w:val="en-US" w:eastAsia="zh-CN" w:bidi="ar"/>
              </w:rPr>
              <w:t>评价环节</w:t>
            </w:r>
          </w:p>
        </w:tc>
        <w:tc>
          <w:tcPr>
            <w:tcW w:w="3263" w:type="dxa"/>
            <w:tcBorders>
              <w:top w:val="single" w:color="auto" w:sz="12" w:space="0"/>
              <w:bottom w:val="single" w:color="auto" w:sz="12" w:space="0"/>
            </w:tcBorders>
            <w:shd w:val="clear" w:color="auto" w:fill="auto"/>
            <w:vAlign w:val="top"/>
          </w:tcPr>
          <w:p w14:paraId="26B83ECE">
            <w:pPr>
              <w:keepNext w:val="0"/>
              <w:keepLines w:val="0"/>
              <w:widowControl w:val="0"/>
              <w:suppressLineNumbers w:val="0"/>
              <w:autoSpaceDE w:val="0"/>
              <w:autoSpaceDN w:val="0"/>
              <w:spacing w:before="0" w:beforeAutospacing="0" w:after="0" w:afterAutospacing="0"/>
              <w:ind w:left="0" w:leftChars="0" w:right="0" w:rightChars="0"/>
              <w:jc w:val="center"/>
              <w:rPr>
                <w:rFonts w:hint="eastAsia" w:ascii="宋体" w:hAnsi="宋体" w:cs="宋体"/>
                <w:sz w:val="18"/>
                <w:szCs w:val="18"/>
                <w:highlight w:val="none"/>
                <w:lang w:val="en-US" w:eastAsia="zh-CN"/>
              </w:rPr>
            </w:pPr>
            <w:r>
              <w:rPr>
                <w:rFonts w:hint="eastAsia" w:ascii="宋体" w:hAnsi="宋体" w:eastAsia="宋体" w:cs="宋体"/>
                <w:b/>
                <w:bCs/>
                <w:kern w:val="2"/>
                <w:sz w:val="18"/>
                <w:szCs w:val="18"/>
                <w:lang w:val="en-US" w:eastAsia="zh-CN" w:bidi="ar"/>
              </w:rPr>
              <w:t>评价对象</w:t>
            </w:r>
          </w:p>
        </w:tc>
        <w:tc>
          <w:tcPr>
            <w:tcW w:w="2967" w:type="dxa"/>
            <w:tcBorders>
              <w:top w:val="single" w:color="auto" w:sz="12" w:space="0"/>
              <w:bottom w:val="single" w:color="auto" w:sz="12" w:space="0"/>
            </w:tcBorders>
            <w:shd w:val="clear" w:color="auto" w:fill="auto"/>
            <w:vAlign w:val="top"/>
          </w:tcPr>
          <w:p w14:paraId="3451A70C">
            <w:pPr>
              <w:keepNext w:val="0"/>
              <w:keepLines w:val="0"/>
              <w:widowControl w:val="0"/>
              <w:suppressLineNumbers w:val="0"/>
              <w:autoSpaceDE w:val="0"/>
              <w:autoSpaceDN w:val="0"/>
              <w:spacing w:before="0" w:beforeAutospacing="0" w:after="0" w:afterAutospacing="0"/>
              <w:ind w:left="0" w:leftChars="0" w:right="0" w:rightChars="0"/>
              <w:jc w:val="center"/>
              <w:rPr>
                <w:rFonts w:hint="eastAsia" w:ascii="宋体" w:hAnsi="宋体" w:cs="宋体"/>
                <w:sz w:val="18"/>
                <w:szCs w:val="18"/>
                <w:highlight w:val="none"/>
                <w:lang w:eastAsia="zh-CN"/>
              </w:rPr>
            </w:pPr>
            <w:r>
              <w:rPr>
                <w:rFonts w:hint="eastAsia" w:ascii="宋体" w:hAnsi="宋体" w:eastAsia="宋体" w:cs="宋体"/>
                <w:b/>
                <w:bCs/>
                <w:kern w:val="2"/>
                <w:sz w:val="18"/>
                <w:szCs w:val="18"/>
                <w:lang w:val="en-US" w:eastAsia="zh-CN" w:bidi="ar"/>
              </w:rPr>
              <w:t>核心评价指标</w:t>
            </w:r>
          </w:p>
        </w:tc>
        <w:tc>
          <w:tcPr>
            <w:tcW w:w="1989" w:type="dxa"/>
            <w:tcBorders>
              <w:top w:val="single" w:color="auto" w:sz="12" w:space="0"/>
              <w:bottom w:val="single" w:color="auto" w:sz="12" w:space="0"/>
            </w:tcBorders>
            <w:shd w:val="clear" w:color="auto" w:fill="auto"/>
            <w:vAlign w:val="top"/>
          </w:tcPr>
          <w:p w14:paraId="392B2C0E">
            <w:pPr>
              <w:keepNext w:val="0"/>
              <w:keepLines w:val="0"/>
              <w:widowControl w:val="0"/>
              <w:suppressLineNumbers w:val="0"/>
              <w:autoSpaceDE w:val="0"/>
              <w:autoSpaceDN w:val="0"/>
              <w:spacing w:before="0" w:beforeAutospacing="0" w:after="0" w:afterAutospacing="0"/>
              <w:ind w:left="0" w:leftChars="0" w:right="0" w:rightChars="0"/>
              <w:jc w:val="center"/>
              <w:rPr>
                <w:rFonts w:hint="eastAsia" w:ascii="宋体" w:hAnsi="宋体" w:cs="宋体"/>
                <w:sz w:val="18"/>
                <w:szCs w:val="18"/>
                <w:highlight w:val="none"/>
                <w:lang w:val="en-US" w:eastAsia="zh-CN"/>
              </w:rPr>
            </w:pPr>
            <w:r>
              <w:rPr>
                <w:rFonts w:hint="eastAsia" w:ascii="宋体" w:hAnsi="宋体" w:eastAsia="宋体" w:cs="宋体"/>
                <w:b/>
                <w:bCs/>
                <w:kern w:val="2"/>
                <w:sz w:val="18"/>
                <w:szCs w:val="18"/>
                <w:lang w:val="en-US" w:eastAsia="zh-CN" w:bidi="ar"/>
              </w:rPr>
              <w:t>评价依据</w:t>
            </w:r>
          </w:p>
        </w:tc>
      </w:tr>
      <w:tr w14:paraId="5694C7E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01" w:type="pct"/>
            <w:vMerge w:val="restart"/>
            <w:tcBorders>
              <w:top w:val="single" w:color="auto" w:sz="12" w:space="0"/>
            </w:tcBorders>
            <w:shd w:val="clear" w:color="auto" w:fill="auto"/>
            <w:vAlign w:val="center"/>
          </w:tcPr>
          <w:p w14:paraId="4E6BC565">
            <w:pPr>
              <w:keepNext w:val="0"/>
              <w:keepLines w:val="0"/>
              <w:suppressLineNumbers w:val="0"/>
              <w:spacing w:before="0" w:beforeAutospacing="0" w:after="0" w:afterAutospacing="0"/>
              <w:ind w:left="0" w:right="0"/>
              <w:jc w:val="center"/>
              <w:rPr>
                <w:rFonts w:hint="default" w:ascii="宋体" w:hAnsi="宋体" w:cs="宋体"/>
                <w:sz w:val="18"/>
                <w:szCs w:val="18"/>
                <w:highlight w:val="none"/>
              </w:rPr>
            </w:pPr>
            <w:r>
              <w:rPr>
                <w:rFonts w:hint="default" w:ascii="宋体" w:hAnsi="宋体" w:cs="宋体"/>
                <w:sz w:val="18"/>
                <w:szCs w:val="18"/>
                <w:highlight w:val="none"/>
              </w:rPr>
              <w:t>建设运营</w:t>
            </w:r>
          </w:p>
        </w:tc>
        <w:tc>
          <w:tcPr>
            <w:tcW w:w="1706" w:type="pct"/>
            <w:tcBorders>
              <w:top w:val="single" w:color="auto" w:sz="12" w:space="0"/>
              <w:bottom w:val="single" w:color="auto" w:sz="4" w:space="0"/>
            </w:tcBorders>
            <w:shd w:val="clear" w:color="auto" w:fill="auto"/>
            <w:vAlign w:val="center"/>
          </w:tcPr>
          <w:p w14:paraId="6F62C998">
            <w:pPr>
              <w:keepNext w:val="0"/>
              <w:keepLines w:val="0"/>
              <w:suppressLineNumbers w:val="0"/>
              <w:autoSpaceDE w:val="0"/>
              <w:autoSpaceDN w:val="0"/>
              <w:spacing w:before="0" w:beforeAutospacing="0" w:after="0" w:afterAutospacing="0"/>
              <w:ind w:left="0" w:right="0"/>
              <w:jc w:val="both"/>
              <w:rPr>
                <w:rFonts w:hint="default" w:ascii="宋体" w:hAnsi="宋体" w:eastAsia="宋体" w:cs="宋体"/>
                <w:sz w:val="18"/>
                <w:szCs w:val="18"/>
                <w:highlight w:val="none"/>
                <w:lang w:val="en-US" w:eastAsia="zh-CN"/>
              </w:rPr>
            </w:pPr>
            <w:r>
              <w:rPr>
                <w:rFonts w:hint="eastAsia" w:ascii="宋体" w:hAnsi="宋体" w:cs="宋体"/>
                <w:sz w:val="18"/>
                <w:szCs w:val="18"/>
                <w:highlight w:val="none"/>
                <w:lang w:val="en-US" w:eastAsia="zh-CN"/>
              </w:rPr>
              <w:t>甲烷回收利用</w:t>
            </w:r>
          </w:p>
        </w:tc>
        <w:tc>
          <w:tcPr>
            <w:tcW w:w="1551" w:type="pct"/>
            <w:tcBorders>
              <w:top w:val="single" w:color="auto" w:sz="12" w:space="0"/>
              <w:bottom w:val="single" w:color="auto" w:sz="4" w:space="0"/>
            </w:tcBorders>
            <w:shd w:val="clear" w:color="auto" w:fill="auto"/>
            <w:vAlign w:val="center"/>
          </w:tcPr>
          <w:p w14:paraId="64F68C4F">
            <w:pPr>
              <w:keepNext w:val="0"/>
              <w:keepLines w:val="0"/>
              <w:suppressLineNumbers w:val="0"/>
              <w:autoSpaceDE w:val="0"/>
              <w:autoSpaceDN w:val="0"/>
              <w:spacing w:before="0" w:beforeAutospacing="0" w:after="0" w:afterAutospacing="0"/>
              <w:ind w:left="0" w:right="0"/>
              <w:jc w:val="both"/>
              <w:rPr>
                <w:rFonts w:hint="eastAsia" w:ascii="宋体" w:hAnsi="宋体" w:eastAsia="宋体" w:cs="宋体"/>
                <w:sz w:val="18"/>
                <w:szCs w:val="18"/>
                <w:highlight w:val="none"/>
                <w:lang w:eastAsia="zh-CN"/>
              </w:rPr>
            </w:pPr>
            <w:r>
              <w:rPr>
                <w:rFonts w:hint="eastAsia" w:ascii="宋体" w:hAnsi="宋体" w:eastAsia="宋体" w:cs="宋体"/>
                <w:sz w:val="18"/>
                <w:szCs w:val="18"/>
                <w:highlight w:val="none"/>
                <w:lang w:eastAsia="zh-CN"/>
              </w:rPr>
              <w:t>甲烷纯度≥9</w:t>
            </w:r>
            <w:r>
              <w:rPr>
                <w:rFonts w:hint="eastAsia" w:ascii="宋体" w:hAnsi="宋体" w:cs="宋体"/>
                <w:sz w:val="18"/>
                <w:szCs w:val="18"/>
                <w:highlight w:val="none"/>
                <w:lang w:val="en-US" w:eastAsia="zh-CN"/>
              </w:rPr>
              <w:t>5</w:t>
            </w:r>
            <w:r>
              <w:rPr>
                <w:rFonts w:hint="eastAsia" w:ascii="宋体" w:hAnsi="宋体" w:eastAsia="宋体" w:cs="宋体"/>
                <w:sz w:val="18"/>
                <w:szCs w:val="18"/>
                <w:highlight w:val="none"/>
                <w:lang w:eastAsia="zh-CN"/>
              </w:rPr>
              <w:t>%</w:t>
            </w:r>
          </w:p>
          <w:p w14:paraId="7A11490A">
            <w:pPr>
              <w:keepNext w:val="0"/>
              <w:keepLines w:val="0"/>
              <w:suppressLineNumbers w:val="0"/>
              <w:autoSpaceDE w:val="0"/>
              <w:autoSpaceDN w:val="0"/>
              <w:spacing w:before="0" w:beforeAutospacing="0" w:after="0" w:afterAutospacing="0"/>
              <w:ind w:left="0" w:right="0"/>
              <w:jc w:val="both"/>
              <w:rPr>
                <w:rFonts w:hint="eastAsia" w:ascii="宋体" w:hAnsi="宋体" w:eastAsia="宋体" w:cs="宋体"/>
                <w:sz w:val="18"/>
                <w:szCs w:val="18"/>
                <w:highlight w:val="none"/>
                <w:lang w:eastAsia="zh-CN"/>
              </w:rPr>
            </w:pPr>
            <w:r>
              <w:rPr>
                <w:rFonts w:hint="eastAsia" w:ascii="宋体" w:hAnsi="宋体" w:cs="宋体"/>
                <w:sz w:val="18"/>
                <w:szCs w:val="18"/>
                <w:highlight w:val="none"/>
                <w:lang w:eastAsia="zh-CN"/>
              </w:rPr>
              <w:t>压力波动</w:t>
            </w:r>
            <w:r>
              <w:rPr>
                <w:rFonts w:hint="eastAsia" w:ascii="宋体" w:hAnsi="宋体" w:cs="宋体"/>
                <w:sz w:val="18"/>
                <w:szCs w:val="18"/>
                <w:highlight w:val="none"/>
                <w:lang w:val="en-US" w:eastAsia="zh-CN"/>
              </w:rPr>
              <w:t>≤</w:t>
            </w:r>
            <w:r>
              <w:rPr>
                <w:rFonts w:hint="eastAsia" w:ascii="宋体" w:hAnsi="宋体" w:cs="宋体"/>
                <w:sz w:val="18"/>
                <w:szCs w:val="18"/>
                <w:highlight w:val="none"/>
                <w:lang w:eastAsia="zh-CN"/>
              </w:rPr>
              <w:t>±5%</w:t>
            </w:r>
          </w:p>
        </w:tc>
        <w:tc>
          <w:tcPr>
            <w:tcW w:w="1040" w:type="pct"/>
            <w:tcBorders>
              <w:top w:val="single" w:color="auto" w:sz="12" w:space="0"/>
              <w:bottom w:val="single" w:color="auto" w:sz="4" w:space="0"/>
            </w:tcBorders>
            <w:shd w:val="clear" w:color="auto" w:fill="auto"/>
            <w:vAlign w:val="center"/>
          </w:tcPr>
          <w:p w14:paraId="17A9E90F">
            <w:pPr>
              <w:keepNext w:val="0"/>
              <w:keepLines w:val="0"/>
              <w:suppressLineNumbers w:val="0"/>
              <w:autoSpaceDE w:val="0"/>
              <w:autoSpaceDN w:val="0"/>
              <w:spacing w:before="0" w:beforeAutospacing="0" w:after="0" w:afterAutospacing="0"/>
              <w:ind w:left="0" w:right="0"/>
              <w:jc w:val="center"/>
              <w:rPr>
                <w:rFonts w:hint="default" w:ascii="宋体" w:hAnsi="宋体" w:eastAsia="宋体" w:cs="宋体"/>
                <w:sz w:val="18"/>
                <w:szCs w:val="18"/>
                <w:highlight w:val="none"/>
                <w:lang w:val="en-US" w:eastAsia="zh-CN"/>
              </w:rPr>
            </w:pPr>
            <w:r>
              <w:rPr>
                <w:rFonts w:hint="eastAsia" w:ascii="宋体" w:hAnsi="宋体" w:cs="宋体"/>
                <w:sz w:val="18"/>
                <w:szCs w:val="18"/>
                <w:highlight w:val="none"/>
                <w:lang w:val="en-US" w:eastAsia="zh-CN"/>
              </w:rPr>
              <w:t>-</w:t>
            </w:r>
          </w:p>
        </w:tc>
      </w:tr>
      <w:tr w14:paraId="0267132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01" w:type="pct"/>
            <w:vMerge w:val="continue"/>
            <w:shd w:val="clear" w:color="auto" w:fill="auto"/>
            <w:vAlign w:val="center"/>
          </w:tcPr>
          <w:p w14:paraId="264297D4">
            <w:pPr>
              <w:keepNext w:val="0"/>
              <w:keepLines w:val="0"/>
              <w:suppressLineNumbers w:val="0"/>
              <w:spacing w:before="0" w:beforeAutospacing="0" w:after="0" w:afterAutospacing="0"/>
              <w:ind w:left="0" w:right="0"/>
              <w:rPr>
                <w:rFonts w:hint="default" w:ascii="宋体" w:hAnsi="宋体" w:cs="宋体"/>
                <w:sz w:val="18"/>
                <w:szCs w:val="18"/>
                <w:highlight w:val="none"/>
              </w:rPr>
            </w:pPr>
          </w:p>
        </w:tc>
        <w:tc>
          <w:tcPr>
            <w:tcW w:w="1706" w:type="pct"/>
            <w:tcBorders>
              <w:top w:val="single" w:color="auto" w:sz="4" w:space="0"/>
            </w:tcBorders>
            <w:shd w:val="clear" w:color="auto" w:fill="auto"/>
            <w:vAlign w:val="center"/>
          </w:tcPr>
          <w:p w14:paraId="7F0E2CFB">
            <w:pPr>
              <w:keepNext w:val="0"/>
              <w:keepLines w:val="0"/>
              <w:suppressLineNumbers w:val="0"/>
              <w:autoSpaceDE w:val="0"/>
              <w:autoSpaceDN w:val="0"/>
              <w:spacing w:before="0" w:beforeAutospacing="0" w:after="0" w:afterAutospacing="0"/>
              <w:ind w:left="0" w:right="0"/>
              <w:jc w:val="both"/>
              <w:rPr>
                <w:rFonts w:hint="default" w:ascii="宋体" w:hAnsi="宋体" w:cs="宋体"/>
                <w:sz w:val="18"/>
                <w:szCs w:val="18"/>
                <w:highlight w:val="none"/>
                <w:lang w:val="en-US" w:eastAsia="zh-CN"/>
              </w:rPr>
            </w:pPr>
            <w:r>
              <w:rPr>
                <w:rFonts w:hint="eastAsia" w:ascii="宋体" w:hAnsi="宋体" w:cs="宋体"/>
                <w:sz w:val="18"/>
                <w:szCs w:val="18"/>
                <w:highlight w:val="none"/>
                <w:lang w:val="en-US" w:eastAsia="zh-CN"/>
              </w:rPr>
              <w:t>化工原料利用</w:t>
            </w:r>
          </w:p>
        </w:tc>
        <w:tc>
          <w:tcPr>
            <w:tcW w:w="1551" w:type="pct"/>
            <w:tcBorders>
              <w:top w:val="single" w:color="auto" w:sz="4" w:space="0"/>
            </w:tcBorders>
            <w:shd w:val="clear" w:color="auto" w:fill="auto"/>
            <w:vAlign w:val="center"/>
          </w:tcPr>
          <w:p w14:paraId="693F528C">
            <w:pPr>
              <w:keepNext w:val="0"/>
              <w:keepLines w:val="0"/>
              <w:suppressLineNumbers w:val="0"/>
              <w:autoSpaceDE w:val="0"/>
              <w:autoSpaceDN w:val="0"/>
              <w:spacing w:before="0" w:beforeAutospacing="0" w:after="0" w:afterAutospacing="0"/>
              <w:ind w:left="0" w:right="0"/>
              <w:jc w:val="both"/>
              <w:rPr>
                <w:rFonts w:hint="default" w:ascii="宋体" w:hAnsi="宋体" w:eastAsia="宋体" w:cs="宋体"/>
                <w:sz w:val="18"/>
                <w:szCs w:val="18"/>
                <w:highlight w:val="none"/>
                <w:lang w:val="en-US" w:eastAsia="zh-CN"/>
              </w:rPr>
            </w:pPr>
            <w:r>
              <w:rPr>
                <w:rFonts w:hint="default" w:ascii="宋体" w:hAnsi="宋体" w:eastAsia="宋体" w:cs="宋体"/>
                <w:sz w:val="18"/>
                <w:szCs w:val="18"/>
                <w:highlight w:val="none"/>
                <w:lang w:val="en-US" w:eastAsia="zh-CN"/>
              </w:rPr>
              <w:t>转化率≥</w:t>
            </w:r>
            <w:r>
              <w:rPr>
                <w:rFonts w:hint="eastAsia" w:ascii="宋体" w:hAnsi="宋体" w:cs="宋体"/>
                <w:sz w:val="18"/>
                <w:szCs w:val="18"/>
                <w:highlight w:val="none"/>
                <w:lang w:val="en-US" w:eastAsia="zh-CN"/>
              </w:rPr>
              <w:t>70</w:t>
            </w:r>
            <w:r>
              <w:rPr>
                <w:rFonts w:hint="default" w:ascii="宋体" w:hAnsi="宋体" w:eastAsia="宋体" w:cs="宋体"/>
                <w:sz w:val="18"/>
                <w:szCs w:val="18"/>
                <w:highlight w:val="none"/>
                <w:lang w:val="en-US" w:eastAsia="zh-CN"/>
              </w:rPr>
              <w:t>%</w:t>
            </w:r>
          </w:p>
          <w:p w14:paraId="2987BCA1">
            <w:pPr>
              <w:keepNext w:val="0"/>
              <w:keepLines w:val="0"/>
              <w:suppressLineNumbers w:val="0"/>
              <w:autoSpaceDE w:val="0"/>
              <w:autoSpaceDN w:val="0"/>
              <w:spacing w:before="0" w:beforeAutospacing="0" w:after="0" w:afterAutospacing="0"/>
              <w:ind w:left="0" w:right="0"/>
              <w:jc w:val="both"/>
              <w:rPr>
                <w:rFonts w:hint="default" w:ascii="宋体" w:hAnsi="宋体" w:eastAsia="宋体" w:cs="宋体"/>
                <w:sz w:val="18"/>
                <w:szCs w:val="18"/>
                <w:highlight w:val="none"/>
                <w:lang w:val="en-US" w:eastAsia="zh-CN"/>
              </w:rPr>
            </w:pPr>
            <w:r>
              <w:rPr>
                <w:rFonts w:hint="eastAsia" w:ascii="宋体" w:hAnsi="宋体" w:cs="宋体"/>
                <w:sz w:val="18"/>
                <w:szCs w:val="18"/>
                <w:highlight w:val="none"/>
                <w:lang w:val="en-US" w:eastAsia="zh-CN"/>
              </w:rPr>
              <w:t>化工原料纯度≥99%</w:t>
            </w:r>
          </w:p>
        </w:tc>
        <w:tc>
          <w:tcPr>
            <w:tcW w:w="1040" w:type="pct"/>
            <w:tcBorders>
              <w:top w:val="single" w:color="auto" w:sz="4" w:space="0"/>
            </w:tcBorders>
            <w:shd w:val="clear" w:color="auto" w:fill="auto"/>
            <w:vAlign w:val="center"/>
          </w:tcPr>
          <w:p w14:paraId="648CBF54">
            <w:pPr>
              <w:keepNext w:val="0"/>
              <w:keepLines w:val="0"/>
              <w:suppressLineNumbers w:val="0"/>
              <w:autoSpaceDE w:val="0"/>
              <w:autoSpaceDN w:val="0"/>
              <w:spacing w:before="0" w:beforeAutospacing="0" w:after="0" w:afterAutospacing="0"/>
              <w:ind w:left="0" w:right="0"/>
              <w:jc w:val="center"/>
              <w:rPr>
                <w:rFonts w:hint="eastAsia" w:ascii="宋体" w:hAnsi="宋体" w:eastAsia="宋体" w:cs="宋体"/>
                <w:sz w:val="18"/>
                <w:szCs w:val="18"/>
                <w:highlight w:val="none"/>
                <w:lang w:val="en-US" w:eastAsia="zh-CN"/>
              </w:rPr>
            </w:pPr>
            <w:r>
              <w:rPr>
                <w:rFonts w:hint="eastAsia" w:ascii="宋体" w:hAnsi="宋体" w:cs="宋体"/>
                <w:sz w:val="18"/>
                <w:szCs w:val="18"/>
                <w:highlight w:val="none"/>
                <w:lang w:val="en-US" w:eastAsia="zh-CN"/>
              </w:rPr>
              <w:t>-</w:t>
            </w:r>
          </w:p>
        </w:tc>
      </w:tr>
    </w:tbl>
    <w:p w14:paraId="20AEAD2D">
      <w:pPr>
        <w:keepNext w:val="0"/>
        <w:keepLines w:val="0"/>
        <w:pageBreakBefore w:val="0"/>
        <w:widowControl w:val="0"/>
        <w:numPr>
          <w:ilvl w:val="1"/>
          <w:numId w:val="0"/>
        </w:numPr>
        <w:kinsoku/>
        <w:wordWrap/>
        <w:overflowPunct/>
        <w:topLinePunct w:val="0"/>
        <w:autoSpaceDE/>
        <w:autoSpaceDN/>
        <w:bidi w:val="0"/>
        <w:adjustRightInd/>
        <w:snapToGrid/>
        <w:spacing w:before="157" w:beforeLines="50" w:after="156" w:afterLines="50"/>
        <w:jc w:val="both"/>
        <w:textAlignment w:val="auto"/>
        <w:rPr>
          <w:rFonts w:hint="eastAsia" w:ascii="黑体" w:hAnsi="黑体" w:eastAsia="黑体" w:cs="黑体"/>
          <w:kern w:val="2"/>
          <w:sz w:val="21"/>
          <w:szCs w:val="21"/>
          <w:highlight w:val="none"/>
          <w:lang w:val="en-US" w:eastAsia="zh-CN" w:bidi="ar-SA"/>
        </w:rPr>
      </w:pPr>
      <w:r>
        <w:rPr>
          <w:rFonts w:hint="eastAsia" w:ascii="黑体" w:hAnsi="黑体" w:eastAsia="黑体" w:cs="黑体"/>
          <w:kern w:val="2"/>
          <w:sz w:val="21"/>
          <w:szCs w:val="21"/>
          <w:highlight w:val="none"/>
          <w:lang w:val="en-US" w:eastAsia="zh-CN" w:bidi="ar-SA"/>
        </w:rPr>
        <w:t>A.3  消耗臭氧层物质替代品开发与利用</w:t>
      </w:r>
    </w:p>
    <w:p w14:paraId="283238E6">
      <w:pPr>
        <w:autoSpaceDE w:val="0"/>
        <w:autoSpaceDN w:val="0"/>
        <w:ind w:firstLine="420" w:firstLineChars="200"/>
        <w:rPr>
          <w:szCs w:val="21"/>
          <w:highlight w:val="none"/>
        </w:rPr>
      </w:pPr>
      <w:r>
        <w:rPr>
          <w:rFonts w:hint="eastAsia" w:ascii="宋体" w:hAnsi="宋体" w:cs="宋体"/>
          <w:szCs w:val="21"/>
          <w:highlight w:val="none"/>
          <w:lang w:val="en-US" w:eastAsia="zh-CN" w:bidi="ar"/>
        </w:rPr>
        <w:t>消耗臭氧层物质替代品开发与利用</w:t>
      </w:r>
      <w:r>
        <w:rPr>
          <w:rFonts w:hint="eastAsia" w:ascii="宋体" w:hAnsi="宋体" w:cs="宋体"/>
          <w:szCs w:val="21"/>
          <w:highlight w:val="none"/>
          <w:lang w:bidi="ar"/>
        </w:rPr>
        <w:t>具体评价内容及评价方法见表</w:t>
      </w:r>
      <w:r>
        <w:rPr>
          <w:rFonts w:hint="eastAsia" w:ascii="宋体" w:hAnsi="宋体" w:cs="宋体"/>
          <w:szCs w:val="21"/>
          <w:highlight w:val="none"/>
          <w:lang w:val="en-US" w:eastAsia="zh-CN" w:bidi="ar"/>
        </w:rPr>
        <w:t>A.3</w:t>
      </w:r>
      <w:r>
        <w:rPr>
          <w:rFonts w:hint="eastAsia" w:ascii="宋体" w:hAnsi="宋体" w:cs="宋体"/>
          <w:szCs w:val="21"/>
          <w:highlight w:val="none"/>
          <w:lang w:bidi="ar"/>
        </w:rPr>
        <w:t>。</w:t>
      </w:r>
    </w:p>
    <w:p w14:paraId="322A53FE">
      <w:pPr>
        <w:pStyle w:val="131"/>
        <w:numPr>
          <w:ilvl w:val="0"/>
          <w:numId w:val="0"/>
        </w:numPr>
        <w:ind w:leftChars="0"/>
        <w:jc w:val="center"/>
        <w:rPr>
          <w:rFonts w:ascii="Times New Roman" w:eastAsia="宋体"/>
          <w:kern w:val="2"/>
          <w:szCs w:val="21"/>
          <w:highlight w:val="none"/>
        </w:rPr>
      </w:pPr>
      <w:r>
        <w:rPr>
          <w:rFonts w:hint="eastAsia" w:hAnsi="宋体" w:cs="黑体"/>
          <w:kern w:val="2"/>
          <w:szCs w:val="21"/>
          <w:highlight w:val="none"/>
          <w:lang w:val="en-US" w:eastAsia="zh-CN" w:bidi="ar"/>
        </w:rPr>
        <w:t>表A.3  消耗臭氧层物质替代品开发与利用关键</w:t>
      </w:r>
      <w:r>
        <w:rPr>
          <w:rFonts w:hint="eastAsia" w:hAnsi="宋体" w:cs="黑体"/>
          <w:kern w:val="2"/>
          <w:szCs w:val="21"/>
          <w:highlight w:val="none"/>
          <w:lang w:bidi="ar"/>
        </w:rPr>
        <w:t>技术先进水平评价规则</w:t>
      </w:r>
    </w:p>
    <w:tbl>
      <w:tblPr>
        <w:tblStyle w:val="37"/>
        <w:tblW w:w="4994"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1362"/>
        <w:gridCol w:w="3211"/>
        <w:gridCol w:w="3232"/>
        <w:gridCol w:w="1754"/>
      </w:tblGrid>
      <w:tr w14:paraId="6854497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712" w:type="pct"/>
            <w:tcBorders>
              <w:bottom w:val="single" w:color="auto" w:sz="12" w:space="0"/>
            </w:tcBorders>
            <w:shd w:val="clear" w:color="auto" w:fill="auto"/>
          </w:tcPr>
          <w:p w14:paraId="1C15F72E">
            <w:pPr>
              <w:keepNext w:val="0"/>
              <w:keepLines w:val="0"/>
              <w:suppressLineNumbers w:val="0"/>
              <w:autoSpaceDE w:val="0"/>
              <w:autoSpaceDN w:val="0"/>
              <w:spacing w:before="0" w:beforeAutospacing="0" w:after="0" w:afterAutospacing="0"/>
              <w:ind w:left="0" w:right="0"/>
              <w:jc w:val="center"/>
              <w:rPr>
                <w:rFonts w:hint="default" w:ascii="宋体"/>
                <w:b/>
                <w:bCs/>
                <w:sz w:val="18"/>
                <w:szCs w:val="18"/>
                <w:highlight w:val="none"/>
              </w:rPr>
            </w:pPr>
            <w:r>
              <w:rPr>
                <w:rFonts w:hint="eastAsia" w:ascii="宋体" w:hAnsi="宋体" w:cs="宋体"/>
                <w:b/>
                <w:bCs/>
                <w:sz w:val="18"/>
                <w:szCs w:val="18"/>
                <w:highlight w:val="none"/>
                <w:lang w:bidi="ar"/>
              </w:rPr>
              <w:t>评价环节</w:t>
            </w:r>
          </w:p>
        </w:tc>
        <w:tc>
          <w:tcPr>
            <w:tcW w:w="1679" w:type="pct"/>
            <w:tcBorders>
              <w:bottom w:val="single" w:color="auto" w:sz="12" w:space="0"/>
            </w:tcBorders>
            <w:shd w:val="clear" w:color="auto" w:fill="auto"/>
          </w:tcPr>
          <w:p w14:paraId="4D91DACF">
            <w:pPr>
              <w:keepNext w:val="0"/>
              <w:keepLines w:val="0"/>
              <w:suppressLineNumbers w:val="0"/>
              <w:autoSpaceDE w:val="0"/>
              <w:autoSpaceDN w:val="0"/>
              <w:spacing w:before="0" w:beforeAutospacing="0" w:after="0" w:afterAutospacing="0"/>
              <w:ind w:left="0" w:right="0"/>
              <w:jc w:val="center"/>
              <w:rPr>
                <w:rFonts w:hint="default" w:ascii="宋体"/>
                <w:b/>
                <w:bCs/>
                <w:sz w:val="18"/>
                <w:szCs w:val="18"/>
                <w:highlight w:val="none"/>
              </w:rPr>
            </w:pPr>
            <w:r>
              <w:rPr>
                <w:rFonts w:hint="eastAsia" w:ascii="宋体" w:hAnsi="宋体" w:cs="宋体"/>
                <w:b/>
                <w:bCs/>
                <w:sz w:val="18"/>
                <w:szCs w:val="18"/>
                <w:highlight w:val="none"/>
                <w:lang w:bidi="ar"/>
              </w:rPr>
              <w:t>评价对象</w:t>
            </w:r>
          </w:p>
        </w:tc>
        <w:tc>
          <w:tcPr>
            <w:tcW w:w="1690" w:type="pct"/>
            <w:tcBorders>
              <w:bottom w:val="single" w:color="auto" w:sz="12" w:space="0"/>
            </w:tcBorders>
            <w:shd w:val="clear" w:color="auto" w:fill="auto"/>
          </w:tcPr>
          <w:p w14:paraId="198EBC6F">
            <w:pPr>
              <w:keepNext w:val="0"/>
              <w:keepLines w:val="0"/>
              <w:suppressLineNumbers w:val="0"/>
              <w:autoSpaceDE w:val="0"/>
              <w:autoSpaceDN w:val="0"/>
              <w:spacing w:before="0" w:beforeAutospacing="0" w:after="0" w:afterAutospacing="0"/>
              <w:ind w:left="0" w:right="0"/>
              <w:jc w:val="center"/>
              <w:rPr>
                <w:rFonts w:hint="default" w:ascii="宋体"/>
                <w:b/>
                <w:bCs/>
                <w:sz w:val="18"/>
                <w:szCs w:val="18"/>
                <w:highlight w:val="none"/>
              </w:rPr>
            </w:pPr>
            <w:r>
              <w:rPr>
                <w:rFonts w:hint="eastAsia" w:ascii="宋体" w:hAnsi="宋体" w:cs="宋体"/>
                <w:b/>
                <w:bCs/>
                <w:sz w:val="18"/>
                <w:szCs w:val="18"/>
                <w:highlight w:val="none"/>
                <w:lang w:bidi="ar"/>
              </w:rPr>
              <w:t>核心评价指标</w:t>
            </w:r>
          </w:p>
        </w:tc>
        <w:tc>
          <w:tcPr>
            <w:tcW w:w="917" w:type="pct"/>
            <w:tcBorders>
              <w:bottom w:val="single" w:color="auto" w:sz="12" w:space="0"/>
            </w:tcBorders>
            <w:shd w:val="clear" w:color="auto" w:fill="auto"/>
          </w:tcPr>
          <w:p w14:paraId="02C6E4A3">
            <w:pPr>
              <w:keepNext w:val="0"/>
              <w:keepLines w:val="0"/>
              <w:suppressLineNumbers w:val="0"/>
              <w:autoSpaceDE w:val="0"/>
              <w:autoSpaceDN w:val="0"/>
              <w:spacing w:before="0" w:beforeAutospacing="0" w:after="0" w:afterAutospacing="0"/>
              <w:ind w:left="0" w:right="0"/>
              <w:jc w:val="center"/>
              <w:rPr>
                <w:rFonts w:hint="default" w:ascii="宋体"/>
                <w:b/>
                <w:bCs/>
                <w:sz w:val="18"/>
                <w:szCs w:val="18"/>
                <w:highlight w:val="none"/>
              </w:rPr>
            </w:pPr>
            <w:r>
              <w:rPr>
                <w:rFonts w:hint="eastAsia" w:ascii="宋体" w:hAnsi="宋体" w:cs="宋体"/>
                <w:b/>
                <w:bCs/>
                <w:sz w:val="18"/>
                <w:szCs w:val="18"/>
                <w:highlight w:val="none"/>
                <w:lang w:bidi="ar"/>
              </w:rPr>
              <w:t>评价依据</w:t>
            </w:r>
          </w:p>
        </w:tc>
      </w:tr>
      <w:tr w14:paraId="7760611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712" w:type="pct"/>
            <w:vMerge w:val="restart"/>
            <w:tcBorders>
              <w:top w:val="single" w:color="auto" w:sz="12" w:space="0"/>
              <w:tl2br w:val="nil"/>
              <w:tr2bl w:val="nil"/>
            </w:tcBorders>
            <w:shd w:val="clear" w:color="auto" w:fill="auto"/>
            <w:vAlign w:val="center"/>
          </w:tcPr>
          <w:p w14:paraId="164F8BC5">
            <w:pPr>
              <w:keepNext w:val="0"/>
              <w:keepLines w:val="0"/>
              <w:suppressLineNumbers w:val="0"/>
              <w:autoSpaceDE w:val="0"/>
              <w:autoSpaceDN w:val="0"/>
              <w:spacing w:before="0" w:beforeAutospacing="0" w:after="0" w:afterAutospacing="0"/>
              <w:ind w:left="0" w:right="0"/>
              <w:jc w:val="center"/>
              <w:rPr>
                <w:rFonts w:hint="default" w:ascii="宋体" w:hAnsi="宋体" w:cs="宋体"/>
                <w:sz w:val="18"/>
                <w:szCs w:val="18"/>
                <w:highlight w:val="none"/>
              </w:rPr>
            </w:pPr>
            <w:r>
              <w:rPr>
                <w:rFonts w:hint="eastAsia" w:ascii="宋体" w:hAnsi="宋体" w:cs="宋体"/>
                <w:sz w:val="18"/>
                <w:szCs w:val="18"/>
                <w:highlight w:val="none"/>
                <w:lang w:bidi="ar"/>
              </w:rPr>
              <w:t>生产制造</w:t>
            </w:r>
          </w:p>
        </w:tc>
        <w:tc>
          <w:tcPr>
            <w:tcW w:w="1679" w:type="pct"/>
            <w:tcBorders>
              <w:top w:val="single" w:color="auto" w:sz="12" w:space="0"/>
              <w:tl2br w:val="nil"/>
              <w:tr2bl w:val="nil"/>
            </w:tcBorders>
            <w:shd w:val="clear" w:color="auto" w:fill="auto"/>
            <w:vAlign w:val="center"/>
          </w:tcPr>
          <w:p w14:paraId="6DF6F75A">
            <w:pPr>
              <w:keepNext w:val="0"/>
              <w:keepLines w:val="0"/>
              <w:suppressLineNumbers w:val="0"/>
              <w:autoSpaceDE w:val="0"/>
              <w:autoSpaceDN w:val="0"/>
              <w:spacing w:before="0" w:beforeAutospacing="0" w:after="0" w:afterAutospacing="0"/>
              <w:ind w:left="0" w:right="0"/>
              <w:jc w:val="both"/>
              <w:rPr>
                <w:rFonts w:hint="default" w:ascii="宋体" w:hAnsi="宋体" w:eastAsia="宋体" w:cs="宋体"/>
                <w:sz w:val="18"/>
                <w:szCs w:val="18"/>
                <w:highlight w:val="none"/>
                <w:lang w:val="en-US" w:eastAsia="zh-CN"/>
              </w:rPr>
            </w:pPr>
            <w:r>
              <w:rPr>
                <w:rFonts w:hint="eastAsia" w:ascii="宋体" w:hAnsi="宋体" w:cs="宋体"/>
                <w:sz w:val="18"/>
                <w:szCs w:val="18"/>
                <w:highlight w:val="none"/>
                <w:lang w:val="en-US" w:eastAsia="zh-CN"/>
              </w:rPr>
              <w:t>消耗臭氧层物质替代品的开发和利用</w:t>
            </w:r>
          </w:p>
        </w:tc>
        <w:tc>
          <w:tcPr>
            <w:tcW w:w="1690" w:type="pct"/>
            <w:tcBorders>
              <w:top w:val="single" w:color="auto" w:sz="12" w:space="0"/>
              <w:tl2br w:val="nil"/>
              <w:tr2bl w:val="nil"/>
            </w:tcBorders>
            <w:shd w:val="clear" w:color="auto" w:fill="auto"/>
            <w:vAlign w:val="center"/>
          </w:tcPr>
          <w:p w14:paraId="7F2BFE49">
            <w:pPr>
              <w:keepNext w:val="0"/>
              <w:keepLines w:val="0"/>
              <w:suppressLineNumbers w:val="0"/>
              <w:autoSpaceDE w:val="0"/>
              <w:autoSpaceDN w:val="0"/>
              <w:spacing w:before="0" w:beforeAutospacing="0" w:after="0" w:afterAutospacing="0"/>
              <w:ind w:left="0" w:right="0"/>
              <w:jc w:val="both"/>
              <w:rPr>
                <w:rFonts w:hint="default" w:ascii="宋体" w:hAnsi="宋体" w:eastAsia="宋体" w:cs="宋体"/>
                <w:sz w:val="18"/>
                <w:szCs w:val="18"/>
                <w:highlight w:val="none"/>
                <w:lang w:val="en-US" w:eastAsia="zh-CN"/>
              </w:rPr>
            </w:pPr>
            <w:r>
              <w:rPr>
                <w:rFonts w:hint="default" w:ascii="宋体" w:hAnsi="宋体" w:eastAsia="宋体" w:cs="宋体"/>
                <w:sz w:val="18"/>
                <w:szCs w:val="18"/>
                <w:highlight w:val="none"/>
                <w:lang w:val="en-US" w:eastAsia="zh-CN"/>
              </w:rPr>
              <w:t>臭氧消耗潜值（ODP）</w:t>
            </w:r>
            <w:r>
              <w:rPr>
                <w:rFonts w:hint="eastAsia" w:ascii="宋体" w:hAnsi="宋体" w:cs="宋体"/>
                <w:sz w:val="18"/>
                <w:szCs w:val="18"/>
                <w:highlight w:val="none"/>
                <w:lang w:val="en-US" w:eastAsia="zh-CN"/>
              </w:rPr>
              <w:t>≤0.02</w:t>
            </w:r>
          </w:p>
          <w:p w14:paraId="0930187B">
            <w:pPr>
              <w:keepNext w:val="0"/>
              <w:keepLines w:val="0"/>
              <w:suppressLineNumbers w:val="0"/>
              <w:autoSpaceDE w:val="0"/>
              <w:autoSpaceDN w:val="0"/>
              <w:spacing w:before="0" w:beforeAutospacing="0" w:after="0" w:afterAutospacing="0"/>
              <w:ind w:left="0" w:right="0"/>
              <w:jc w:val="both"/>
              <w:rPr>
                <w:rFonts w:hint="default" w:ascii="宋体" w:hAnsi="宋体" w:eastAsia="宋体" w:cs="宋体"/>
                <w:sz w:val="18"/>
                <w:szCs w:val="18"/>
                <w:highlight w:val="none"/>
                <w:lang w:val="en-US" w:eastAsia="zh-CN"/>
              </w:rPr>
            </w:pPr>
            <w:r>
              <w:rPr>
                <w:rFonts w:hint="default" w:ascii="宋体" w:hAnsi="宋体" w:eastAsia="宋体" w:cs="宋体"/>
                <w:sz w:val="18"/>
                <w:szCs w:val="18"/>
                <w:highlight w:val="none"/>
                <w:lang w:val="en-US" w:eastAsia="zh-CN"/>
              </w:rPr>
              <w:t>全球变暖潜值（GWP）</w:t>
            </w:r>
            <w:r>
              <w:rPr>
                <w:rFonts w:hint="eastAsia" w:ascii="宋体" w:hAnsi="宋体" w:cs="宋体"/>
                <w:sz w:val="18"/>
                <w:szCs w:val="18"/>
                <w:highlight w:val="none"/>
                <w:lang w:val="en-US" w:eastAsia="zh-CN"/>
              </w:rPr>
              <w:t>≤150</w:t>
            </w:r>
          </w:p>
          <w:p w14:paraId="7C12AC6F">
            <w:pPr>
              <w:keepNext w:val="0"/>
              <w:keepLines w:val="0"/>
              <w:suppressLineNumbers w:val="0"/>
              <w:autoSpaceDE w:val="0"/>
              <w:autoSpaceDN w:val="0"/>
              <w:spacing w:before="0" w:beforeAutospacing="0" w:after="0" w:afterAutospacing="0"/>
              <w:ind w:left="0" w:right="0"/>
              <w:jc w:val="both"/>
              <w:rPr>
                <w:rFonts w:hint="default" w:ascii="宋体" w:hAnsi="宋体" w:eastAsia="宋体" w:cs="宋体"/>
                <w:sz w:val="18"/>
                <w:szCs w:val="18"/>
                <w:highlight w:val="none"/>
                <w:lang w:val="en-US" w:eastAsia="zh-CN"/>
              </w:rPr>
            </w:pPr>
            <w:r>
              <w:rPr>
                <w:rFonts w:hint="default" w:ascii="宋体" w:hAnsi="宋体" w:eastAsia="宋体" w:cs="宋体"/>
                <w:sz w:val="18"/>
                <w:szCs w:val="18"/>
                <w:highlight w:val="none"/>
                <w:lang w:val="en-US" w:eastAsia="zh-CN"/>
              </w:rPr>
              <w:t>替代物质成本</w:t>
            </w:r>
            <w:r>
              <w:rPr>
                <w:rFonts w:hint="eastAsia" w:ascii="宋体" w:hAnsi="宋体" w:cs="宋体"/>
                <w:sz w:val="18"/>
                <w:szCs w:val="18"/>
                <w:highlight w:val="none"/>
                <w:lang w:val="en-US" w:eastAsia="zh-CN"/>
              </w:rPr>
              <w:t>≤被替代物质成本1.2倍</w:t>
            </w:r>
          </w:p>
        </w:tc>
        <w:tc>
          <w:tcPr>
            <w:tcW w:w="917" w:type="pct"/>
            <w:tcBorders>
              <w:top w:val="single" w:color="auto" w:sz="12" w:space="0"/>
              <w:tl2br w:val="nil"/>
              <w:tr2bl w:val="nil"/>
            </w:tcBorders>
            <w:shd w:val="clear" w:color="auto" w:fill="auto"/>
            <w:vAlign w:val="center"/>
          </w:tcPr>
          <w:p w14:paraId="0E7FC947">
            <w:pPr>
              <w:keepNext w:val="0"/>
              <w:keepLines w:val="0"/>
              <w:suppressLineNumbers w:val="0"/>
              <w:autoSpaceDE w:val="0"/>
              <w:autoSpaceDN w:val="0"/>
              <w:spacing w:before="0" w:beforeAutospacing="0" w:after="0" w:afterAutospacing="0"/>
              <w:ind w:left="0" w:right="0"/>
              <w:jc w:val="center"/>
              <w:rPr>
                <w:rFonts w:hint="default" w:ascii="宋体" w:hAnsi="宋体" w:eastAsia="宋体" w:cs="宋体"/>
                <w:sz w:val="18"/>
                <w:szCs w:val="18"/>
                <w:highlight w:val="none"/>
                <w:lang w:val="en-US" w:eastAsia="zh-CN"/>
              </w:rPr>
            </w:pPr>
            <w:r>
              <w:rPr>
                <w:rFonts w:hint="eastAsia" w:ascii="宋体" w:hAnsi="宋体" w:cs="宋体"/>
                <w:sz w:val="18"/>
                <w:szCs w:val="18"/>
                <w:highlight w:val="none"/>
                <w:lang w:val="en-US" w:eastAsia="zh-CN"/>
              </w:rPr>
              <w:t>-</w:t>
            </w:r>
          </w:p>
        </w:tc>
      </w:tr>
      <w:tr w14:paraId="2C4C20C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712" w:type="pct"/>
            <w:vMerge w:val="continue"/>
            <w:tcBorders>
              <w:tl2br w:val="nil"/>
              <w:tr2bl w:val="nil"/>
            </w:tcBorders>
            <w:shd w:val="clear" w:color="auto" w:fill="auto"/>
            <w:vAlign w:val="center"/>
          </w:tcPr>
          <w:p w14:paraId="73138E79">
            <w:pPr>
              <w:keepNext w:val="0"/>
              <w:keepLines w:val="0"/>
              <w:suppressLineNumbers w:val="0"/>
              <w:spacing w:before="0" w:beforeAutospacing="0" w:after="0" w:afterAutospacing="0"/>
              <w:ind w:left="0" w:right="0"/>
              <w:rPr>
                <w:rFonts w:hint="default" w:ascii="宋体" w:hAnsi="宋体" w:cs="宋体"/>
                <w:sz w:val="18"/>
                <w:szCs w:val="18"/>
                <w:highlight w:val="none"/>
              </w:rPr>
            </w:pPr>
          </w:p>
        </w:tc>
        <w:tc>
          <w:tcPr>
            <w:tcW w:w="1679" w:type="pct"/>
            <w:tcBorders>
              <w:tl2br w:val="nil"/>
              <w:tr2bl w:val="nil"/>
            </w:tcBorders>
            <w:shd w:val="clear" w:color="auto" w:fill="auto"/>
            <w:vAlign w:val="center"/>
          </w:tcPr>
          <w:p w14:paraId="070D3F0A">
            <w:pPr>
              <w:keepNext w:val="0"/>
              <w:keepLines w:val="0"/>
              <w:suppressLineNumbers w:val="0"/>
              <w:autoSpaceDE w:val="0"/>
              <w:autoSpaceDN w:val="0"/>
              <w:spacing w:before="0" w:beforeAutospacing="0" w:after="0" w:afterAutospacing="0"/>
              <w:ind w:left="0" w:right="0"/>
              <w:jc w:val="both"/>
              <w:rPr>
                <w:rFonts w:hint="default" w:ascii="宋体" w:hAnsi="宋体" w:eastAsia="宋体" w:cs="宋体"/>
                <w:sz w:val="18"/>
                <w:szCs w:val="18"/>
                <w:highlight w:val="none"/>
                <w:lang w:val="en-US" w:eastAsia="zh-CN"/>
              </w:rPr>
            </w:pPr>
            <w:r>
              <w:rPr>
                <w:rFonts w:hint="eastAsia" w:ascii="宋体" w:hAnsi="宋体" w:cs="宋体"/>
                <w:sz w:val="18"/>
                <w:szCs w:val="18"/>
                <w:highlight w:val="none"/>
                <w:lang w:val="en-US" w:eastAsia="zh-CN"/>
              </w:rPr>
              <w:t>氢氟碳化物替代品的开发与利用</w:t>
            </w:r>
          </w:p>
        </w:tc>
        <w:tc>
          <w:tcPr>
            <w:tcW w:w="1690" w:type="pct"/>
            <w:tcBorders>
              <w:tl2br w:val="nil"/>
              <w:tr2bl w:val="nil"/>
            </w:tcBorders>
            <w:shd w:val="clear" w:color="auto" w:fill="auto"/>
            <w:vAlign w:val="center"/>
          </w:tcPr>
          <w:p w14:paraId="7F9B7DCF">
            <w:pPr>
              <w:keepNext w:val="0"/>
              <w:keepLines w:val="0"/>
              <w:suppressLineNumbers w:val="0"/>
              <w:autoSpaceDE w:val="0"/>
              <w:autoSpaceDN w:val="0"/>
              <w:spacing w:before="0" w:beforeAutospacing="0" w:after="0" w:afterAutospacing="0"/>
              <w:ind w:left="0" w:right="0"/>
              <w:jc w:val="both"/>
              <w:rPr>
                <w:rFonts w:hint="default" w:ascii="宋体" w:hAnsi="宋体" w:eastAsia="宋体" w:cs="宋体"/>
                <w:sz w:val="18"/>
                <w:szCs w:val="18"/>
                <w:highlight w:val="none"/>
                <w:lang w:val="en-US" w:eastAsia="zh-CN"/>
              </w:rPr>
            </w:pPr>
            <w:r>
              <w:rPr>
                <w:rFonts w:hint="default" w:ascii="宋体" w:hAnsi="宋体" w:eastAsia="宋体" w:cs="宋体"/>
                <w:sz w:val="18"/>
                <w:szCs w:val="18"/>
                <w:highlight w:val="none"/>
                <w:lang w:val="en-US" w:eastAsia="zh-CN"/>
              </w:rPr>
              <w:t>全球变暖潜值（GWP）≤1</w:t>
            </w:r>
            <w:r>
              <w:rPr>
                <w:rFonts w:hint="eastAsia" w:ascii="宋体" w:hAnsi="宋体" w:cs="宋体"/>
                <w:sz w:val="18"/>
                <w:szCs w:val="18"/>
                <w:highlight w:val="none"/>
                <w:lang w:val="en-US" w:eastAsia="zh-CN"/>
              </w:rPr>
              <w:t>0</w:t>
            </w:r>
          </w:p>
          <w:p w14:paraId="0BD33456">
            <w:pPr>
              <w:keepNext w:val="0"/>
              <w:keepLines w:val="0"/>
              <w:suppressLineNumbers w:val="0"/>
              <w:autoSpaceDE w:val="0"/>
              <w:autoSpaceDN w:val="0"/>
              <w:spacing w:before="0" w:beforeAutospacing="0" w:after="0" w:afterAutospacing="0"/>
              <w:ind w:left="0" w:right="0"/>
              <w:jc w:val="both"/>
              <w:rPr>
                <w:rFonts w:hint="default" w:ascii="宋体" w:hAnsi="宋体" w:eastAsia="宋体" w:cs="宋体"/>
                <w:sz w:val="18"/>
                <w:szCs w:val="18"/>
                <w:highlight w:val="none"/>
                <w:lang w:val="en-US" w:eastAsia="zh-CN"/>
              </w:rPr>
            </w:pPr>
            <w:r>
              <w:rPr>
                <w:rFonts w:hint="default" w:ascii="宋体" w:hAnsi="宋体" w:eastAsia="宋体" w:cs="宋体"/>
                <w:sz w:val="18"/>
                <w:szCs w:val="18"/>
                <w:highlight w:val="none"/>
                <w:lang w:val="en-US" w:eastAsia="zh-CN"/>
              </w:rPr>
              <w:t>替代物质成本≤被替代物质成本1.</w:t>
            </w:r>
            <w:r>
              <w:rPr>
                <w:rFonts w:hint="eastAsia" w:ascii="宋体" w:hAnsi="宋体" w:cs="宋体"/>
                <w:sz w:val="18"/>
                <w:szCs w:val="18"/>
                <w:highlight w:val="none"/>
                <w:lang w:val="en-US" w:eastAsia="zh-CN"/>
              </w:rPr>
              <w:t>5</w:t>
            </w:r>
            <w:r>
              <w:rPr>
                <w:rFonts w:hint="default" w:ascii="宋体" w:hAnsi="宋体" w:eastAsia="宋体" w:cs="宋体"/>
                <w:sz w:val="18"/>
                <w:szCs w:val="18"/>
                <w:highlight w:val="none"/>
                <w:lang w:val="en-US" w:eastAsia="zh-CN"/>
              </w:rPr>
              <w:t>倍</w:t>
            </w:r>
          </w:p>
        </w:tc>
        <w:tc>
          <w:tcPr>
            <w:tcW w:w="917" w:type="pct"/>
            <w:tcBorders>
              <w:tl2br w:val="nil"/>
              <w:tr2bl w:val="nil"/>
            </w:tcBorders>
            <w:shd w:val="clear" w:color="auto" w:fill="auto"/>
            <w:vAlign w:val="center"/>
          </w:tcPr>
          <w:p w14:paraId="7575AD80">
            <w:pPr>
              <w:keepNext w:val="0"/>
              <w:keepLines w:val="0"/>
              <w:suppressLineNumbers w:val="0"/>
              <w:autoSpaceDE w:val="0"/>
              <w:autoSpaceDN w:val="0"/>
              <w:spacing w:before="0" w:beforeAutospacing="0" w:after="0" w:afterAutospacing="0"/>
              <w:ind w:left="0" w:right="0"/>
              <w:jc w:val="center"/>
              <w:rPr>
                <w:rFonts w:hint="default" w:ascii="宋体" w:hAnsi="宋体" w:eastAsia="宋体" w:cs="宋体"/>
                <w:sz w:val="18"/>
                <w:szCs w:val="18"/>
                <w:highlight w:val="none"/>
                <w:lang w:val="en-US" w:eastAsia="zh-CN"/>
              </w:rPr>
            </w:pPr>
            <w:r>
              <w:rPr>
                <w:rFonts w:hint="eastAsia" w:ascii="宋体" w:hAnsi="宋体" w:cs="宋体"/>
                <w:sz w:val="18"/>
                <w:szCs w:val="18"/>
                <w:highlight w:val="none"/>
                <w:lang w:val="en-US" w:eastAsia="zh-CN"/>
              </w:rPr>
              <w:t>-</w:t>
            </w:r>
          </w:p>
        </w:tc>
      </w:tr>
    </w:tbl>
    <w:p w14:paraId="6FE0D745">
      <w:pPr>
        <w:keepNext w:val="0"/>
        <w:keepLines w:val="0"/>
        <w:pageBreakBefore w:val="0"/>
        <w:widowControl w:val="0"/>
        <w:numPr>
          <w:ilvl w:val="1"/>
          <w:numId w:val="0"/>
        </w:numPr>
        <w:kinsoku/>
        <w:wordWrap/>
        <w:overflowPunct/>
        <w:topLinePunct w:val="0"/>
        <w:autoSpaceDE/>
        <w:autoSpaceDN/>
        <w:bidi w:val="0"/>
        <w:adjustRightInd w:val="0"/>
        <w:snapToGrid w:val="0"/>
        <w:spacing w:before="156" w:beforeLines="50" w:after="156" w:afterLines="50"/>
        <w:jc w:val="both"/>
        <w:textAlignment w:val="auto"/>
        <w:rPr>
          <w:rFonts w:hint="eastAsia" w:ascii="黑体" w:hAnsi="黑体" w:eastAsia="黑体" w:cs="黑体"/>
          <w:kern w:val="2"/>
          <w:sz w:val="21"/>
          <w:szCs w:val="21"/>
          <w:highlight w:val="none"/>
          <w:lang w:val="en-US" w:eastAsia="zh-CN" w:bidi="ar-SA"/>
        </w:rPr>
      </w:pPr>
      <w:r>
        <w:rPr>
          <w:rFonts w:hint="eastAsia" w:ascii="黑体" w:hAnsi="黑体" w:eastAsia="黑体" w:cs="黑体"/>
          <w:kern w:val="2"/>
          <w:sz w:val="21"/>
          <w:szCs w:val="21"/>
          <w:highlight w:val="none"/>
          <w:lang w:val="en-US" w:eastAsia="zh-CN" w:bidi="ar-SA"/>
        </w:rPr>
        <w:t>A.4  工业生产过程温室气体减排</w:t>
      </w:r>
    </w:p>
    <w:p w14:paraId="39D23E3F">
      <w:pPr>
        <w:autoSpaceDE w:val="0"/>
        <w:autoSpaceDN w:val="0"/>
        <w:ind w:firstLine="420" w:firstLineChars="200"/>
        <w:rPr>
          <w:szCs w:val="21"/>
          <w:highlight w:val="none"/>
        </w:rPr>
      </w:pPr>
      <w:r>
        <w:rPr>
          <w:rFonts w:hint="eastAsia" w:ascii="宋体" w:hAnsi="宋体" w:cs="宋体"/>
          <w:szCs w:val="21"/>
          <w:highlight w:val="none"/>
          <w:lang w:val="en-US" w:eastAsia="zh-CN" w:bidi="ar"/>
        </w:rPr>
        <w:t>工业生产过程温室气体减排</w:t>
      </w:r>
      <w:r>
        <w:rPr>
          <w:rFonts w:hint="eastAsia" w:ascii="宋体" w:hAnsi="宋体" w:cs="宋体"/>
          <w:szCs w:val="21"/>
          <w:highlight w:val="none"/>
          <w:lang w:bidi="ar"/>
        </w:rPr>
        <w:t>具体评价内容及评价方法见表</w:t>
      </w:r>
      <w:r>
        <w:rPr>
          <w:rFonts w:hint="eastAsia" w:ascii="宋体" w:hAnsi="宋体" w:cs="宋体"/>
          <w:szCs w:val="21"/>
          <w:highlight w:val="none"/>
          <w:lang w:val="en-US" w:eastAsia="zh-CN" w:bidi="ar"/>
        </w:rPr>
        <w:t>A.4</w:t>
      </w:r>
      <w:r>
        <w:rPr>
          <w:rFonts w:hint="eastAsia" w:ascii="宋体" w:hAnsi="宋体" w:cs="宋体"/>
          <w:szCs w:val="21"/>
          <w:highlight w:val="none"/>
          <w:lang w:bidi="ar"/>
        </w:rPr>
        <w:t>。</w:t>
      </w:r>
    </w:p>
    <w:p w14:paraId="173B47DD">
      <w:pPr>
        <w:pStyle w:val="131"/>
        <w:numPr>
          <w:ilvl w:val="0"/>
          <w:numId w:val="0"/>
        </w:numPr>
        <w:ind w:leftChars="0"/>
        <w:jc w:val="center"/>
        <w:rPr>
          <w:rFonts w:ascii="Times New Roman" w:eastAsia="宋体"/>
          <w:kern w:val="2"/>
          <w:szCs w:val="21"/>
          <w:highlight w:val="none"/>
        </w:rPr>
      </w:pPr>
      <w:r>
        <w:rPr>
          <w:rFonts w:hint="eastAsia" w:hAnsi="宋体" w:cs="黑体"/>
          <w:kern w:val="2"/>
          <w:szCs w:val="21"/>
          <w:highlight w:val="none"/>
          <w:lang w:val="en-US" w:eastAsia="zh-CN" w:bidi="ar"/>
        </w:rPr>
        <w:t>表A.4  工业生产过程温室气体减排关键</w:t>
      </w:r>
      <w:r>
        <w:rPr>
          <w:rFonts w:hint="eastAsia" w:hAnsi="宋体" w:cs="黑体"/>
          <w:kern w:val="2"/>
          <w:szCs w:val="21"/>
          <w:highlight w:val="none"/>
          <w:lang w:bidi="ar"/>
        </w:rPr>
        <w:t>技术先进水平评价规则</w:t>
      </w:r>
    </w:p>
    <w:tbl>
      <w:tblPr>
        <w:tblStyle w:val="37"/>
        <w:tblW w:w="4994"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1364"/>
        <w:gridCol w:w="2427"/>
        <w:gridCol w:w="2593"/>
        <w:gridCol w:w="3175"/>
      </w:tblGrid>
      <w:tr w14:paraId="41EEF3C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713" w:type="pct"/>
            <w:tcBorders>
              <w:bottom w:val="single" w:color="auto" w:sz="12" w:space="0"/>
            </w:tcBorders>
            <w:shd w:val="clear" w:color="auto" w:fill="auto"/>
          </w:tcPr>
          <w:p w14:paraId="5405AD87">
            <w:pPr>
              <w:keepNext w:val="0"/>
              <w:keepLines w:val="0"/>
              <w:suppressLineNumbers w:val="0"/>
              <w:autoSpaceDE w:val="0"/>
              <w:autoSpaceDN w:val="0"/>
              <w:spacing w:before="0" w:beforeAutospacing="0" w:after="0" w:afterAutospacing="0"/>
              <w:ind w:left="0" w:right="0"/>
              <w:jc w:val="center"/>
              <w:rPr>
                <w:rFonts w:hint="default" w:ascii="宋体"/>
                <w:b/>
                <w:bCs/>
                <w:sz w:val="18"/>
                <w:szCs w:val="18"/>
                <w:highlight w:val="none"/>
              </w:rPr>
            </w:pPr>
            <w:r>
              <w:rPr>
                <w:rFonts w:hint="eastAsia" w:ascii="宋体" w:hAnsi="宋体" w:cs="宋体"/>
                <w:b/>
                <w:bCs/>
                <w:sz w:val="18"/>
                <w:szCs w:val="18"/>
                <w:highlight w:val="none"/>
                <w:lang w:bidi="ar"/>
              </w:rPr>
              <w:t>评价环节</w:t>
            </w:r>
          </w:p>
        </w:tc>
        <w:tc>
          <w:tcPr>
            <w:tcW w:w="1269" w:type="pct"/>
            <w:tcBorders>
              <w:bottom w:val="single" w:color="auto" w:sz="12" w:space="0"/>
            </w:tcBorders>
            <w:shd w:val="clear" w:color="auto" w:fill="auto"/>
          </w:tcPr>
          <w:p w14:paraId="788F0937">
            <w:pPr>
              <w:keepNext w:val="0"/>
              <w:keepLines w:val="0"/>
              <w:suppressLineNumbers w:val="0"/>
              <w:autoSpaceDE w:val="0"/>
              <w:autoSpaceDN w:val="0"/>
              <w:spacing w:before="0" w:beforeAutospacing="0" w:after="0" w:afterAutospacing="0"/>
              <w:ind w:left="0" w:right="0"/>
              <w:jc w:val="center"/>
              <w:rPr>
                <w:rFonts w:hint="default" w:ascii="宋体"/>
                <w:b/>
                <w:bCs/>
                <w:sz w:val="18"/>
                <w:szCs w:val="18"/>
                <w:highlight w:val="none"/>
              </w:rPr>
            </w:pPr>
            <w:r>
              <w:rPr>
                <w:rFonts w:hint="eastAsia" w:ascii="宋体" w:hAnsi="宋体" w:cs="宋体"/>
                <w:b/>
                <w:bCs/>
                <w:sz w:val="18"/>
                <w:szCs w:val="18"/>
                <w:highlight w:val="none"/>
                <w:lang w:bidi="ar"/>
              </w:rPr>
              <w:t>评价对象</w:t>
            </w:r>
          </w:p>
        </w:tc>
        <w:tc>
          <w:tcPr>
            <w:tcW w:w="1356" w:type="pct"/>
            <w:tcBorders>
              <w:bottom w:val="single" w:color="auto" w:sz="12" w:space="0"/>
            </w:tcBorders>
            <w:shd w:val="clear" w:color="auto" w:fill="auto"/>
          </w:tcPr>
          <w:p w14:paraId="71870589">
            <w:pPr>
              <w:keepNext w:val="0"/>
              <w:keepLines w:val="0"/>
              <w:suppressLineNumbers w:val="0"/>
              <w:autoSpaceDE w:val="0"/>
              <w:autoSpaceDN w:val="0"/>
              <w:spacing w:before="0" w:beforeAutospacing="0" w:after="0" w:afterAutospacing="0"/>
              <w:ind w:left="0" w:right="0"/>
              <w:jc w:val="center"/>
              <w:rPr>
                <w:rFonts w:hint="default" w:ascii="宋体"/>
                <w:b/>
                <w:bCs/>
                <w:sz w:val="18"/>
                <w:szCs w:val="18"/>
                <w:highlight w:val="none"/>
              </w:rPr>
            </w:pPr>
            <w:r>
              <w:rPr>
                <w:rFonts w:hint="eastAsia" w:ascii="宋体" w:hAnsi="宋体" w:cs="宋体"/>
                <w:b/>
                <w:bCs/>
                <w:sz w:val="18"/>
                <w:szCs w:val="18"/>
                <w:highlight w:val="none"/>
                <w:lang w:bidi="ar"/>
              </w:rPr>
              <w:t>核心评价指标</w:t>
            </w:r>
          </w:p>
        </w:tc>
        <w:tc>
          <w:tcPr>
            <w:tcW w:w="1660" w:type="pct"/>
            <w:tcBorders>
              <w:bottom w:val="single" w:color="auto" w:sz="12" w:space="0"/>
            </w:tcBorders>
            <w:shd w:val="clear" w:color="auto" w:fill="auto"/>
          </w:tcPr>
          <w:p w14:paraId="082E0EFE">
            <w:pPr>
              <w:keepNext w:val="0"/>
              <w:keepLines w:val="0"/>
              <w:suppressLineNumbers w:val="0"/>
              <w:autoSpaceDE w:val="0"/>
              <w:autoSpaceDN w:val="0"/>
              <w:spacing w:before="0" w:beforeAutospacing="0" w:after="0" w:afterAutospacing="0"/>
              <w:ind w:left="0" w:right="0"/>
              <w:jc w:val="center"/>
              <w:rPr>
                <w:rFonts w:hint="default" w:ascii="宋体"/>
                <w:b/>
                <w:bCs/>
                <w:sz w:val="18"/>
                <w:szCs w:val="18"/>
                <w:highlight w:val="none"/>
              </w:rPr>
            </w:pPr>
            <w:r>
              <w:rPr>
                <w:rFonts w:hint="eastAsia" w:ascii="宋体" w:hAnsi="宋体" w:cs="宋体"/>
                <w:b/>
                <w:bCs/>
                <w:sz w:val="18"/>
                <w:szCs w:val="18"/>
                <w:highlight w:val="none"/>
                <w:lang w:bidi="ar"/>
              </w:rPr>
              <w:t>评价依据</w:t>
            </w:r>
          </w:p>
        </w:tc>
      </w:tr>
      <w:tr w14:paraId="139DF68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13" w:type="pct"/>
            <w:vMerge w:val="restart"/>
            <w:tcBorders>
              <w:tl2br w:val="nil"/>
              <w:tr2bl w:val="nil"/>
            </w:tcBorders>
            <w:shd w:val="clear" w:color="auto" w:fill="auto"/>
            <w:vAlign w:val="center"/>
          </w:tcPr>
          <w:p w14:paraId="11C926C6">
            <w:pPr>
              <w:keepNext w:val="0"/>
              <w:keepLines w:val="0"/>
              <w:suppressLineNumbers w:val="0"/>
              <w:spacing w:before="0" w:beforeAutospacing="0" w:after="0" w:afterAutospacing="0"/>
              <w:ind w:left="0" w:right="0"/>
              <w:jc w:val="center"/>
              <w:rPr>
                <w:rFonts w:hint="eastAsia" w:ascii="宋体" w:hAnsi="宋体" w:eastAsia="宋体" w:cs="宋体"/>
                <w:sz w:val="18"/>
                <w:szCs w:val="18"/>
                <w:highlight w:val="none"/>
                <w:lang w:val="en-US" w:eastAsia="zh-CN"/>
              </w:rPr>
            </w:pPr>
            <w:r>
              <w:rPr>
                <w:rFonts w:hint="eastAsia" w:ascii="宋体" w:hAnsi="宋体" w:cs="宋体"/>
                <w:sz w:val="18"/>
                <w:szCs w:val="18"/>
                <w:highlight w:val="none"/>
                <w:lang w:val="en-US" w:eastAsia="zh-CN"/>
              </w:rPr>
              <w:t>生产制造</w:t>
            </w:r>
          </w:p>
        </w:tc>
        <w:tc>
          <w:tcPr>
            <w:tcW w:w="1269" w:type="pct"/>
            <w:tcBorders>
              <w:tl2br w:val="nil"/>
              <w:tr2bl w:val="nil"/>
            </w:tcBorders>
            <w:shd w:val="clear" w:color="auto" w:fill="auto"/>
            <w:vAlign w:val="center"/>
          </w:tcPr>
          <w:p w14:paraId="7C386076">
            <w:pPr>
              <w:keepNext w:val="0"/>
              <w:keepLines w:val="0"/>
              <w:suppressLineNumbers w:val="0"/>
              <w:autoSpaceDE w:val="0"/>
              <w:autoSpaceDN w:val="0"/>
              <w:spacing w:before="0" w:beforeAutospacing="0" w:after="0" w:afterAutospacing="0"/>
              <w:ind w:left="0" w:right="0"/>
              <w:jc w:val="both"/>
              <w:rPr>
                <w:rFonts w:hint="default" w:ascii="宋体" w:hAnsi="宋体" w:eastAsia="宋体" w:cs="宋体"/>
                <w:sz w:val="18"/>
                <w:szCs w:val="18"/>
                <w:highlight w:val="none"/>
                <w:lang w:val="en-US" w:eastAsia="zh-CN"/>
              </w:rPr>
            </w:pPr>
            <w:r>
              <w:rPr>
                <w:rFonts w:hint="eastAsia" w:ascii="宋体" w:hAnsi="宋体" w:cs="宋体"/>
                <w:sz w:val="18"/>
                <w:szCs w:val="18"/>
                <w:highlight w:val="none"/>
                <w:lang w:val="en-US" w:eastAsia="zh-CN"/>
              </w:rPr>
              <w:t>工艺改进减排</w:t>
            </w:r>
          </w:p>
        </w:tc>
        <w:tc>
          <w:tcPr>
            <w:tcW w:w="1356" w:type="pct"/>
            <w:tcBorders>
              <w:tl2br w:val="nil"/>
              <w:tr2bl w:val="nil"/>
            </w:tcBorders>
            <w:shd w:val="clear" w:color="auto" w:fill="auto"/>
            <w:vAlign w:val="center"/>
          </w:tcPr>
          <w:p w14:paraId="445D7DC3">
            <w:pPr>
              <w:keepNext w:val="0"/>
              <w:keepLines w:val="0"/>
              <w:suppressLineNumbers w:val="0"/>
              <w:autoSpaceDE w:val="0"/>
              <w:autoSpaceDN w:val="0"/>
              <w:spacing w:before="0" w:beforeAutospacing="0" w:after="0" w:afterAutospacing="0"/>
              <w:ind w:left="0" w:right="0"/>
              <w:jc w:val="both"/>
              <w:rPr>
                <w:rFonts w:hint="default" w:ascii="宋体" w:hAnsi="宋体" w:eastAsia="宋体" w:cs="宋体"/>
                <w:sz w:val="18"/>
                <w:szCs w:val="18"/>
                <w:highlight w:val="none"/>
                <w:lang w:val="en-US" w:eastAsia="zh-CN"/>
              </w:rPr>
            </w:pPr>
            <w:r>
              <w:rPr>
                <w:rFonts w:hint="default" w:ascii="宋体" w:hAnsi="宋体" w:eastAsia="宋体" w:cs="宋体"/>
                <w:sz w:val="18"/>
                <w:szCs w:val="18"/>
                <w:highlight w:val="none"/>
                <w:lang w:val="en-US" w:eastAsia="zh-CN"/>
              </w:rPr>
              <w:t>特定污染物减排量</w:t>
            </w:r>
          </w:p>
        </w:tc>
        <w:tc>
          <w:tcPr>
            <w:tcW w:w="1660" w:type="pct"/>
            <w:tcBorders>
              <w:tl2br w:val="nil"/>
              <w:tr2bl w:val="nil"/>
            </w:tcBorders>
            <w:shd w:val="clear" w:color="auto" w:fill="auto"/>
            <w:vAlign w:val="center"/>
          </w:tcPr>
          <w:p w14:paraId="26B74E25">
            <w:pPr>
              <w:keepNext w:val="0"/>
              <w:keepLines w:val="0"/>
              <w:suppressLineNumbers w:val="0"/>
              <w:autoSpaceDE w:val="0"/>
              <w:autoSpaceDN w:val="0"/>
              <w:spacing w:before="0" w:beforeAutospacing="0" w:after="0" w:afterAutospacing="0"/>
              <w:ind w:left="0" w:right="0"/>
              <w:jc w:val="center"/>
              <w:rPr>
                <w:rFonts w:hint="default" w:ascii="宋体" w:hAnsi="宋体" w:eastAsia="宋体" w:cs="宋体"/>
                <w:sz w:val="18"/>
                <w:szCs w:val="18"/>
                <w:highlight w:val="none"/>
                <w:lang w:val="en-US" w:eastAsia="zh-CN"/>
              </w:rPr>
            </w:pPr>
            <w:r>
              <w:rPr>
                <w:rFonts w:hint="eastAsia" w:ascii="宋体" w:hAnsi="宋体" w:cs="宋体"/>
                <w:sz w:val="18"/>
                <w:szCs w:val="18"/>
                <w:highlight w:val="none"/>
                <w:lang w:val="en-US" w:eastAsia="zh-CN"/>
              </w:rPr>
              <w:t>-</w:t>
            </w:r>
          </w:p>
        </w:tc>
      </w:tr>
      <w:tr w14:paraId="0A857AD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13" w:type="pct"/>
            <w:vMerge w:val="continue"/>
            <w:tcBorders>
              <w:tl2br w:val="nil"/>
              <w:tr2bl w:val="nil"/>
            </w:tcBorders>
            <w:shd w:val="clear" w:color="auto" w:fill="auto"/>
            <w:vAlign w:val="center"/>
          </w:tcPr>
          <w:p w14:paraId="021657AF">
            <w:pPr>
              <w:keepNext w:val="0"/>
              <w:keepLines w:val="0"/>
              <w:suppressLineNumbers w:val="0"/>
              <w:spacing w:before="0" w:beforeAutospacing="0" w:after="0" w:afterAutospacing="0"/>
              <w:ind w:left="0" w:right="0"/>
              <w:rPr>
                <w:rFonts w:hint="default" w:ascii="宋体" w:hAnsi="宋体" w:cs="宋体"/>
                <w:sz w:val="18"/>
                <w:szCs w:val="18"/>
                <w:highlight w:val="none"/>
              </w:rPr>
            </w:pPr>
          </w:p>
        </w:tc>
        <w:tc>
          <w:tcPr>
            <w:tcW w:w="1269" w:type="pct"/>
            <w:tcBorders>
              <w:tl2br w:val="nil"/>
              <w:tr2bl w:val="nil"/>
            </w:tcBorders>
            <w:shd w:val="clear" w:color="auto" w:fill="auto"/>
            <w:vAlign w:val="center"/>
          </w:tcPr>
          <w:p w14:paraId="228A4C0A">
            <w:pPr>
              <w:keepNext w:val="0"/>
              <w:keepLines w:val="0"/>
              <w:suppressLineNumbers w:val="0"/>
              <w:autoSpaceDE w:val="0"/>
              <w:autoSpaceDN w:val="0"/>
              <w:spacing w:before="0" w:beforeAutospacing="0" w:after="0" w:afterAutospacing="0"/>
              <w:ind w:left="0" w:right="0"/>
              <w:jc w:val="both"/>
              <w:rPr>
                <w:rFonts w:hint="default" w:ascii="宋体" w:hAnsi="宋体" w:cs="宋体"/>
                <w:sz w:val="18"/>
                <w:szCs w:val="18"/>
                <w:highlight w:val="none"/>
                <w:lang w:val="en-US" w:eastAsia="zh-CN"/>
              </w:rPr>
            </w:pPr>
            <w:r>
              <w:rPr>
                <w:rFonts w:hint="eastAsia" w:ascii="宋体" w:hAnsi="宋体" w:cs="宋体"/>
                <w:sz w:val="18"/>
                <w:szCs w:val="18"/>
                <w:highlight w:val="none"/>
                <w:lang w:val="en-US" w:eastAsia="zh-CN"/>
              </w:rPr>
              <w:t>清洁生产减排</w:t>
            </w:r>
          </w:p>
        </w:tc>
        <w:tc>
          <w:tcPr>
            <w:tcW w:w="1356" w:type="pct"/>
            <w:tcBorders>
              <w:tl2br w:val="nil"/>
              <w:tr2bl w:val="nil"/>
            </w:tcBorders>
            <w:shd w:val="clear" w:color="auto" w:fill="auto"/>
            <w:vAlign w:val="center"/>
          </w:tcPr>
          <w:p w14:paraId="59E7CD42">
            <w:pPr>
              <w:keepNext w:val="0"/>
              <w:keepLines w:val="0"/>
              <w:suppressLineNumbers w:val="0"/>
              <w:autoSpaceDE w:val="0"/>
              <w:autoSpaceDN w:val="0"/>
              <w:spacing w:before="0" w:beforeAutospacing="0" w:after="0" w:afterAutospacing="0"/>
              <w:ind w:left="0" w:right="0"/>
              <w:jc w:val="both"/>
              <w:rPr>
                <w:rFonts w:hint="default" w:ascii="宋体" w:hAnsi="宋体" w:eastAsia="宋体" w:cs="宋体"/>
                <w:sz w:val="18"/>
                <w:szCs w:val="18"/>
                <w:highlight w:val="none"/>
                <w:lang w:val="en-US" w:eastAsia="zh-CN"/>
              </w:rPr>
            </w:pPr>
            <w:r>
              <w:rPr>
                <w:rFonts w:hint="default" w:ascii="宋体" w:hAnsi="宋体" w:eastAsia="宋体" w:cs="宋体"/>
                <w:sz w:val="18"/>
                <w:szCs w:val="18"/>
                <w:highlight w:val="none"/>
                <w:lang w:val="en-US" w:eastAsia="zh-CN"/>
              </w:rPr>
              <w:t>单位产品</w:t>
            </w:r>
            <w:r>
              <w:rPr>
                <w:rFonts w:hint="eastAsia" w:ascii="宋体" w:hAnsi="宋体" w:cs="宋体"/>
                <w:sz w:val="18"/>
                <w:szCs w:val="18"/>
                <w:highlight w:val="none"/>
                <w:lang w:val="en-US" w:eastAsia="zh-CN"/>
              </w:rPr>
              <w:t>温室气体</w:t>
            </w:r>
            <w:r>
              <w:rPr>
                <w:rFonts w:hint="default" w:ascii="宋体" w:hAnsi="宋体" w:eastAsia="宋体" w:cs="宋体"/>
                <w:sz w:val="18"/>
                <w:szCs w:val="18"/>
                <w:highlight w:val="none"/>
                <w:lang w:val="en-US" w:eastAsia="zh-CN"/>
              </w:rPr>
              <w:t>产生量</w:t>
            </w:r>
          </w:p>
        </w:tc>
        <w:tc>
          <w:tcPr>
            <w:tcW w:w="1660" w:type="pct"/>
            <w:tcBorders>
              <w:tl2br w:val="nil"/>
              <w:tr2bl w:val="nil"/>
            </w:tcBorders>
            <w:shd w:val="clear" w:color="auto" w:fill="auto"/>
            <w:vAlign w:val="center"/>
          </w:tcPr>
          <w:p w14:paraId="41299103">
            <w:pPr>
              <w:keepNext w:val="0"/>
              <w:keepLines w:val="0"/>
              <w:suppressLineNumbers w:val="0"/>
              <w:autoSpaceDE w:val="0"/>
              <w:autoSpaceDN w:val="0"/>
              <w:spacing w:before="0" w:beforeAutospacing="0" w:after="0" w:afterAutospacing="0"/>
              <w:ind w:left="0" w:right="0"/>
              <w:jc w:val="center"/>
              <w:rPr>
                <w:rFonts w:hint="eastAsia" w:ascii="宋体" w:hAnsi="宋体" w:eastAsia="宋体" w:cs="宋体"/>
                <w:sz w:val="18"/>
                <w:szCs w:val="18"/>
                <w:highlight w:val="none"/>
                <w:lang w:val="en-US" w:eastAsia="zh-CN"/>
              </w:rPr>
            </w:pPr>
            <w:r>
              <w:rPr>
                <w:rFonts w:hint="eastAsia" w:ascii="宋体" w:hAnsi="宋体" w:cs="宋体"/>
                <w:sz w:val="18"/>
                <w:szCs w:val="18"/>
                <w:highlight w:val="none"/>
                <w:lang w:val="en-US" w:eastAsia="zh-CN"/>
              </w:rPr>
              <w:t>-</w:t>
            </w:r>
          </w:p>
        </w:tc>
      </w:tr>
    </w:tbl>
    <w:p w14:paraId="53E6E104">
      <w:pPr>
        <w:widowControl w:val="0"/>
        <w:numPr>
          <w:ilvl w:val="1"/>
          <w:numId w:val="0"/>
        </w:numPr>
        <w:spacing w:before="156" w:beforeLines="50" w:after="156" w:afterLines="50"/>
        <w:jc w:val="both"/>
        <w:rPr>
          <w:rFonts w:hint="eastAsia" w:ascii="黑体" w:hAnsi="黑体" w:eastAsia="黑体" w:cs="黑体"/>
          <w:kern w:val="2"/>
          <w:sz w:val="21"/>
          <w:szCs w:val="21"/>
          <w:highlight w:val="none"/>
          <w:lang w:val="en-US" w:eastAsia="zh-CN" w:bidi="ar-SA"/>
        </w:rPr>
      </w:pPr>
      <w:r>
        <w:rPr>
          <w:rFonts w:hint="eastAsia" w:ascii="黑体" w:hAnsi="黑体" w:eastAsia="黑体" w:cs="黑体"/>
          <w:kern w:val="2"/>
          <w:sz w:val="21"/>
          <w:szCs w:val="21"/>
          <w:highlight w:val="none"/>
          <w:lang w:val="en-US" w:eastAsia="zh-CN" w:bidi="ar-SA"/>
        </w:rPr>
        <w:t>A.5  温室气体监测评估</w:t>
      </w:r>
    </w:p>
    <w:p w14:paraId="141739D5">
      <w:pPr>
        <w:autoSpaceDE w:val="0"/>
        <w:autoSpaceDN w:val="0"/>
        <w:ind w:firstLine="420" w:firstLineChars="200"/>
        <w:rPr>
          <w:szCs w:val="21"/>
          <w:highlight w:val="none"/>
        </w:rPr>
      </w:pPr>
      <w:r>
        <w:rPr>
          <w:rFonts w:hint="eastAsia" w:ascii="宋体" w:hAnsi="宋体" w:cs="宋体"/>
          <w:szCs w:val="21"/>
          <w:highlight w:val="none"/>
          <w:lang w:val="en-US" w:eastAsia="zh-CN" w:bidi="ar"/>
        </w:rPr>
        <w:t>温室气体监测评估</w:t>
      </w:r>
      <w:r>
        <w:rPr>
          <w:rFonts w:hint="eastAsia" w:ascii="宋体" w:hAnsi="宋体" w:cs="宋体"/>
          <w:szCs w:val="21"/>
          <w:highlight w:val="none"/>
          <w:lang w:bidi="ar"/>
        </w:rPr>
        <w:t>具体评价内容及评价方法见表</w:t>
      </w:r>
      <w:r>
        <w:rPr>
          <w:rFonts w:hint="eastAsia" w:ascii="宋体" w:hAnsi="宋体" w:cs="宋体"/>
          <w:szCs w:val="21"/>
          <w:highlight w:val="none"/>
          <w:lang w:val="en-US" w:eastAsia="zh-CN" w:bidi="ar"/>
        </w:rPr>
        <w:t>A.5</w:t>
      </w:r>
      <w:r>
        <w:rPr>
          <w:rFonts w:hint="eastAsia" w:ascii="宋体" w:hAnsi="宋体" w:cs="宋体"/>
          <w:szCs w:val="21"/>
          <w:highlight w:val="none"/>
          <w:lang w:bidi="ar"/>
        </w:rPr>
        <w:t>。</w:t>
      </w:r>
    </w:p>
    <w:p w14:paraId="0C8C899D">
      <w:pPr>
        <w:pStyle w:val="131"/>
        <w:numPr>
          <w:ilvl w:val="0"/>
          <w:numId w:val="0"/>
        </w:numPr>
        <w:ind w:leftChars="0"/>
        <w:jc w:val="center"/>
        <w:rPr>
          <w:rFonts w:ascii="Times New Roman" w:eastAsia="宋体"/>
          <w:kern w:val="2"/>
          <w:szCs w:val="21"/>
          <w:highlight w:val="none"/>
        </w:rPr>
      </w:pPr>
      <w:r>
        <w:rPr>
          <w:rFonts w:hint="eastAsia" w:hAnsi="宋体" w:cs="黑体"/>
          <w:kern w:val="2"/>
          <w:szCs w:val="21"/>
          <w:highlight w:val="none"/>
          <w:lang w:val="en-US" w:eastAsia="zh-CN" w:bidi="ar"/>
        </w:rPr>
        <w:t>表A.5  温室气体监测评估关键</w:t>
      </w:r>
      <w:r>
        <w:rPr>
          <w:rFonts w:hint="eastAsia" w:hAnsi="宋体" w:cs="黑体"/>
          <w:kern w:val="2"/>
          <w:szCs w:val="21"/>
          <w:highlight w:val="none"/>
          <w:lang w:bidi="ar"/>
        </w:rPr>
        <w:t>技术先进水平评价规则</w:t>
      </w:r>
    </w:p>
    <w:tbl>
      <w:tblPr>
        <w:tblStyle w:val="37"/>
        <w:tblW w:w="4994"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1369"/>
        <w:gridCol w:w="2391"/>
        <w:gridCol w:w="3137"/>
        <w:gridCol w:w="2662"/>
      </w:tblGrid>
      <w:tr w14:paraId="3743286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716" w:type="pct"/>
            <w:tcBorders>
              <w:bottom w:val="single" w:color="auto" w:sz="12" w:space="0"/>
            </w:tcBorders>
            <w:shd w:val="clear" w:color="auto" w:fill="auto"/>
          </w:tcPr>
          <w:p w14:paraId="66B8B528">
            <w:pPr>
              <w:keepNext w:val="0"/>
              <w:keepLines w:val="0"/>
              <w:suppressLineNumbers w:val="0"/>
              <w:autoSpaceDE w:val="0"/>
              <w:autoSpaceDN w:val="0"/>
              <w:spacing w:before="0" w:beforeAutospacing="0" w:after="0" w:afterAutospacing="0"/>
              <w:ind w:left="0" w:right="0"/>
              <w:jc w:val="center"/>
              <w:rPr>
                <w:rFonts w:hint="default" w:ascii="宋体"/>
                <w:b/>
                <w:bCs/>
                <w:sz w:val="18"/>
                <w:szCs w:val="18"/>
                <w:highlight w:val="none"/>
              </w:rPr>
            </w:pPr>
            <w:r>
              <w:rPr>
                <w:rFonts w:hint="eastAsia" w:ascii="宋体" w:hAnsi="宋体" w:cs="宋体"/>
                <w:b/>
                <w:bCs/>
                <w:sz w:val="18"/>
                <w:szCs w:val="18"/>
                <w:highlight w:val="none"/>
                <w:lang w:bidi="ar"/>
              </w:rPr>
              <w:t>评价环节</w:t>
            </w:r>
          </w:p>
        </w:tc>
        <w:tc>
          <w:tcPr>
            <w:tcW w:w="1250" w:type="pct"/>
            <w:tcBorders>
              <w:bottom w:val="single" w:color="auto" w:sz="12" w:space="0"/>
            </w:tcBorders>
            <w:shd w:val="clear" w:color="auto" w:fill="auto"/>
          </w:tcPr>
          <w:p w14:paraId="4CFC5A21">
            <w:pPr>
              <w:keepNext w:val="0"/>
              <w:keepLines w:val="0"/>
              <w:suppressLineNumbers w:val="0"/>
              <w:autoSpaceDE w:val="0"/>
              <w:autoSpaceDN w:val="0"/>
              <w:spacing w:before="0" w:beforeAutospacing="0" w:after="0" w:afterAutospacing="0"/>
              <w:ind w:left="0" w:right="0"/>
              <w:jc w:val="center"/>
              <w:rPr>
                <w:rFonts w:hint="default" w:ascii="宋体"/>
                <w:b/>
                <w:bCs/>
                <w:sz w:val="18"/>
                <w:szCs w:val="18"/>
                <w:highlight w:val="none"/>
              </w:rPr>
            </w:pPr>
            <w:r>
              <w:rPr>
                <w:rFonts w:hint="eastAsia" w:ascii="宋体" w:hAnsi="宋体" w:cs="宋体"/>
                <w:b/>
                <w:bCs/>
                <w:sz w:val="18"/>
                <w:szCs w:val="18"/>
                <w:highlight w:val="none"/>
                <w:lang w:bidi="ar"/>
              </w:rPr>
              <w:t>评价对象</w:t>
            </w:r>
          </w:p>
        </w:tc>
        <w:tc>
          <w:tcPr>
            <w:tcW w:w="1640" w:type="pct"/>
            <w:tcBorders>
              <w:bottom w:val="single" w:color="auto" w:sz="12" w:space="0"/>
            </w:tcBorders>
            <w:shd w:val="clear" w:color="auto" w:fill="auto"/>
          </w:tcPr>
          <w:p w14:paraId="31707ABD">
            <w:pPr>
              <w:keepNext w:val="0"/>
              <w:keepLines w:val="0"/>
              <w:suppressLineNumbers w:val="0"/>
              <w:autoSpaceDE w:val="0"/>
              <w:autoSpaceDN w:val="0"/>
              <w:spacing w:before="0" w:beforeAutospacing="0" w:after="0" w:afterAutospacing="0"/>
              <w:ind w:left="0" w:right="0"/>
              <w:jc w:val="center"/>
              <w:rPr>
                <w:rFonts w:hint="default" w:ascii="宋体"/>
                <w:b/>
                <w:bCs/>
                <w:sz w:val="18"/>
                <w:szCs w:val="18"/>
                <w:highlight w:val="none"/>
              </w:rPr>
            </w:pPr>
            <w:r>
              <w:rPr>
                <w:rFonts w:hint="eastAsia" w:ascii="宋体" w:hAnsi="宋体" w:cs="宋体"/>
                <w:b/>
                <w:bCs/>
                <w:sz w:val="18"/>
                <w:szCs w:val="18"/>
                <w:highlight w:val="none"/>
                <w:lang w:bidi="ar"/>
              </w:rPr>
              <w:t>核心评价指标</w:t>
            </w:r>
          </w:p>
        </w:tc>
        <w:tc>
          <w:tcPr>
            <w:tcW w:w="1392" w:type="pct"/>
            <w:tcBorders>
              <w:bottom w:val="single" w:color="auto" w:sz="12" w:space="0"/>
            </w:tcBorders>
            <w:shd w:val="clear" w:color="auto" w:fill="auto"/>
          </w:tcPr>
          <w:p w14:paraId="24FBEFB8">
            <w:pPr>
              <w:keepNext w:val="0"/>
              <w:keepLines w:val="0"/>
              <w:suppressLineNumbers w:val="0"/>
              <w:autoSpaceDE w:val="0"/>
              <w:autoSpaceDN w:val="0"/>
              <w:spacing w:before="0" w:beforeAutospacing="0" w:after="0" w:afterAutospacing="0"/>
              <w:ind w:left="0" w:right="0"/>
              <w:jc w:val="center"/>
              <w:rPr>
                <w:rFonts w:hint="default" w:ascii="宋体"/>
                <w:b/>
                <w:bCs/>
                <w:sz w:val="18"/>
                <w:szCs w:val="18"/>
                <w:highlight w:val="none"/>
              </w:rPr>
            </w:pPr>
            <w:r>
              <w:rPr>
                <w:rFonts w:hint="eastAsia" w:ascii="宋体" w:hAnsi="宋体" w:cs="宋体"/>
                <w:b/>
                <w:bCs/>
                <w:sz w:val="18"/>
                <w:szCs w:val="18"/>
                <w:highlight w:val="none"/>
                <w:lang w:bidi="ar"/>
              </w:rPr>
              <w:t>评价依据</w:t>
            </w:r>
          </w:p>
        </w:tc>
      </w:tr>
      <w:tr w14:paraId="79BEE37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16" w:type="pct"/>
            <w:vMerge w:val="restart"/>
            <w:tcBorders>
              <w:top w:val="single" w:color="auto" w:sz="4" w:space="0"/>
            </w:tcBorders>
            <w:shd w:val="clear" w:color="auto" w:fill="auto"/>
            <w:vAlign w:val="center"/>
          </w:tcPr>
          <w:p w14:paraId="1AE8D3D7">
            <w:pPr>
              <w:keepNext w:val="0"/>
              <w:keepLines w:val="0"/>
              <w:suppressLineNumbers w:val="0"/>
              <w:autoSpaceDE w:val="0"/>
              <w:autoSpaceDN w:val="0"/>
              <w:spacing w:before="0" w:beforeAutospacing="0" w:after="0" w:afterAutospacing="0"/>
              <w:ind w:left="0" w:right="0"/>
              <w:jc w:val="center"/>
              <w:rPr>
                <w:rFonts w:hint="eastAsia" w:ascii="宋体" w:hAnsi="宋体" w:eastAsia="宋体" w:cs="宋体"/>
                <w:sz w:val="18"/>
                <w:szCs w:val="18"/>
                <w:highlight w:val="none"/>
                <w:lang w:val="en-US" w:eastAsia="zh-CN" w:bidi="ar"/>
              </w:rPr>
            </w:pPr>
            <w:r>
              <w:rPr>
                <w:rFonts w:hint="eastAsia" w:ascii="宋体" w:hAnsi="宋体" w:cs="宋体"/>
                <w:sz w:val="18"/>
                <w:szCs w:val="18"/>
                <w:highlight w:val="none"/>
                <w:lang w:val="en-US" w:eastAsia="zh-CN" w:bidi="ar"/>
              </w:rPr>
              <w:t>建设运营</w:t>
            </w:r>
          </w:p>
        </w:tc>
        <w:tc>
          <w:tcPr>
            <w:tcW w:w="1250" w:type="pct"/>
            <w:tcBorders>
              <w:top w:val="single" w:color="auto" w:sz="4" w:space="0"/>
              <w:bottom w:val="single" w:color="auto" w:sz="4" w:space="0"/>
            </w:tcBorders>
            <w:shd w:val="clear" w:color="auto" w:fill="auto"/>
            <w:vAlign w:val="center"/>
          </w:tcPr>
          <w:p w14:paraId="0AFE09BB">
            <w:pPr>
              <w:keepNext w:val="0"/>
              <w:keepLines w:val="0"/>
              <w:suppressLineNumbers w:val="0"/>
              <w:autoSpaceDE w:val="0"/>
              <w:autoSpaceDN w:val="0"/>
              <w:spacing w:before="0" w:beforeAutospacing="0" w:after="0" w:afterAutospacing="0"/>
              <w:ind w:left="0" w:right="0"/>
              <w:jc w:val="both"/>
              <w:rPr>
                <w:rFonts w:hint="default" w:ascii="宋体" w:hAnsi="宋体" w:cs="宋体"/>
                <w:sz w:val="18"/>
                <w:szCs w:val="18"/>
                <w:highlight w:val="none"/>
                <w:lang w:val="en-US" w:eastAsia="zh-CN" w:bidi="ar"/>
              </w:rPr>
            </w:pPr>
            <w:r>
              <w:rPr>
                <w:rFonts w:hint="eastAsia" w:ascii="宋体" w:hAnsi="宋体" w:cs="宋体"/>
                <w:sz w:val="18"/>
                <w:szCs w:val="18"/>
                <w:highlight w:val="none"/>
                <w:lang w:val="en-US" w:eastAsia="zh-CN" w:bidi="ar"/>
              </w:rPr>
              <w:t>碳监测评估</w:t>
            </w:r>
          </w:p>
        </w:tc>
        <w:tc>
          <w:tcPr>
            <w:tcW w:w="1640" w:type="pct"/>
            <w:tcBorders>
              <w:top w:val="single" w:color="auto" w:sz="4" w:space="0"/>
              <w:bottom w:val="single" w:color="auto" w:sz="4" w:space="0"/>
            </w:tcBorders>
            <w:shd w:val="clear" w:color="auto" w:fill="auto"/>
            <w:vAlign w:val="center"/>
          </w:tcPr>
          <w:p w14:paraId="711F6135">
            <w:pPr>
              <w:keepNext w:val="0"/>
              <w:keepLines w:val="0"/>
              <w:suppressLineNumbers w:val="0"/>
              <w:autoSpaceDE w:val="0"/>
              <w:autoSpaceDN w:val="0"/>
              <w:spacing w:before="0" w:beforeAutospacing="0" w:after="0" w:afterAutospacing="0"/>
              <w:ind w:left="0" w:right="0"/>
              <w:jc w:val="both"/>
              <w:rPr>
                <w:rFonts w:hint="default" w:ascii="宋体" w:hAnsi="宋体" w:eastAsia="宋体" w:cs="宋体"/>
                <w:kern w:val="2"/>
                <w:sz w:val="18"/>
                <w:szCs w:val="18"/>
                <w:highlight w:val="none"/>
                <w:lang w:val="en-US" w:eastAsia="zh-CN" w:bidi="ar-SA"/>
              </w:rPr>
            </w:pPr>
            <w:r>
              <w:rPr>
                <w:rFonts w:hint="eastAsia" w:ascii="宋体" w:hAnsi="宋体" w:cs="宋体"/>
                <w:kern w:val="2"/>
                <w:sz w:val="18"/>
                <w:szCs w:val="18"/>
                <w:highlight w:val="none"/>
                <w:lang w:val="en-US" w:eastAsia="zh-CN" w:bidi="ar-SA"/>
              </w:rPr>
              <w:t>设备准确性、数据完整性、反演精度</w:t>
            </w:r>
          </w:p>
        </w:tc>
        <w:tc>
          <w:tcPr>
            <w:tcW w:w="1392" w:type="pct"/>
            <w:tcBorders>
              <w:top w:val="single" w:color="auto" w:sz="4" w:space="0"/>
              <w:bottom w:val="single" w:color="auto" w:sz="4" w:space="0"/>
            </w:tcBorders>
            <w:shd w:val="clear" w:color="auto" w:fill="auto"/>
            <w:vAlign w:val="center"/>
          </w:tcPr>
          <w:p w14:paraId="2112B45A">
            <w:pPr>
              <w:keepNext w:val="0"/>
              <w:keepLines w:val="0"/>
              <w:suppressLineNumbers w:val="0"/>
              <w:autoSpaceDE w:val="0"/>
              <w:autoSpaceDN w:val="0"/>
              <w:spacing w:before="0" w:beforeAutospacing="0" w:after="0" w:afterAutospacing="0"/>
              <w:ind w:left="0" w:right="0"/>
              <w:jc w:val="center"/>
              <w:rPr>
                <w:rFonts w:hint="default" w:ascii="宋体" w:hAnsi="宋体" w:eastAsia="宋体" w:cs="宋体"/>
                <w:kern w:val="2"/>
                <w:sz w:val="18"/>
                <w:szCs w:val="18"/>
                <w:highlight w:val="none"/>
                <w:lang w:val="en-US" w:eastAsia="zh-CN" w:bidi="ar-SA"/>
              </w:rPr>
            </w:pPr>
            <w:r>
              <w:rPr>
                <w:rFonts w:hint="eastAsia" w:ascii="宋体" w:hAnsi="宋体" w:cs="宋体"/>
                <w:kern w:val="2"/>
                <w:sz w:val="18"/>
                <w:szCs w:val="18"/>
                <w:highlight w:val="none"/>
                <w:lang w:val="en-US" w:eastAsia="zh-CN" w:bidi="ar-SA"/>
              </w:rPr>
              <w:t>-</w:t>
            </w:r>
          </w:p>
        </w:tc>
      </w:tr>
      <w:tr w14:paraId="6AD8BE5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16" w:type="pct"/>
            <w:vMerge w:val="continue"/>
            <w:shd w:val="clear" w:color="auto" w:fill="auto"/>
            <w:vAlign w:val="center"/>
          </w:tcPr>
          <w:p w14:paraId="108CC86D">
            <w:pPr>
              <w:keepNext w:val="0"/>
              <w:keepLines w:val="0"/>
              <w:suppressLineNumbers w:val="0"/>
              <w:autoSpaceDE w:val="0"/>
              <w:autoSpaceDN w:val="0"/>
              <w:spacing w:before="0" w:beforeAutospacing="0" w:after="0" w:afterAutospacing="0"/>
              <w:ind w:left="0" w:right="0"/>
              <w:jc w:val="center"/>
              <w:rPr>
                <w:rFonts w:hint="eastAsia" w:ascii="宋体" w:hAnsi="宋体" w:cs="宋体"/>
                <w:sz w:val="18"/>
                <w:szCs w:val="18"/>
                <w:highlight w:val="none"/>
                <w:lang w:val="en-US" w:eastAsia="zh-CN" w:bidi="ar"/>
              </w:rPr>
            </w:pPr>
          </w:p>
        </w:tc>
        <w:tc>
          <w:tcPr>
            <w:tcW w:w="1250" w:type="pct"/>
            <w:tcBorders>
              <w:top w:val="single" w:color="auto" w:sz="4" w:space="0"/>
            </w:tcBorders>
            <w:shd w:val="clear" w:color="auto" w:fill="auto"/>
            <w:vAlign w:val="center"/>
          </w:tcPr>
          <w:p w14:paraId="1D422E69">
            <w:pPr>
              <w:keepNext w:val="0"/>
              <w:keepLines w:val="0"/>
              <w:suppressLineNumbers w:val="0"/>
              <w:autoSpaceDE w:val="0"/>
              <w:autoSpaceDN w:val="0"/>
              <w:spacing w:before="0" w:beforeAutospacing="0" w:after="0" w:afterAutospacing="0"/>
              <w:ind w:left="0" w:right="0"/>
              <w:jc w:val="both"/>
              <w:rPr>
                <w:rFonts w:hint="default" w:ascii="宋体" w:hAnsi="宋体" w:cs="宋体"/>
                <w:sz w:val="18"/>
                <w:szCs w:val="18"/>
                <w:highlight w:val="none"/>
                <w:lang w:val="en-US" w:eastAsia="zh-CN" w:bidi="ar"/>
              </w:rPr>
            </w:pPr>
            <w:r>
              <w:rPr>
                <w:rFonts w:hint="eastAsia" w:ascii="宋体" w:hAnsi="宋体" w:cs="宋体"/>
                <w:sz w:val="18"/>
                <w:szCs w:val="18"/>
                <w:highlight w:val="none"/>
                <w:lang w:val="en-US" w:eastAsia="zh-CN" w:bidi="ar"/>
              </w:rPr>
              <w:t>生态系统碳汇监测评估</w:t>
            </w:r>
          </w:p>
        </w:tc>
        <w:tc>
          <w:tcPr>
            <w:tcW w:w="1640" w:type="pct"/>
            <w:tcBorders>
              <w:top w:val="single" w:color="auto" w:sz="4" w:space="0"/>
            </w:tcBorders>
            <w:shd w:val="clear" w:color="auto" w:fill="auto"/>
            <w:vAlign w:val="center"/>
          </w:tcPr>
          <w:p w14:paraId="39C9820D">
            <w:pPr>
              <w:keepNext w:val="0"/>
              <w:keepLines w:val="0"/>
              <w:suppressLineNumbers w:val="0"/>
              <w:autoSpaceDE w:val="0"/>
              <w:autoSpaceDN w:val="0"/>
              <w:spacing w:before="0" w:beforeAutospacing="0" w:after="0" w:afterAutospacing="0"/>
              <w:ind w:left="0" w:right="0"/>
              <w:jc w:val="both"/>
              <w:rPr>
                <w:rFonts w:hint="default" w:ascii="宋体" w:hAnsi="宋体" w:eastAsia="宋体" w:cs="宋体"/>
                <w:kern w:val="2"/>
                <w:sz w:val="18"/>
                <w:szCs w:val="18"/>
                <w:highlight w:val="none"/>
                <w:lang w:val="en-US" w:eastAsia="zh-CN" w:bidi="ar-SA"/>
              </w:rPr>
            </w:pPr>
            <w:r>
              <w:rPr>
                <w:rFonts w:hint="eastAsia" w:ascii="宋体" w:hAnsi="宋体" w:cs="宋体"/>
                <w:kern w:val="2"/>
                <w:sz w:val="18"/>
                <w:szCs w:val="18"/>
                <w:highlight w:val="none"/>
                <w:lang w:val="en-US" w:eastAsia="zh-CN" w:bidi="ar-SA"/>
              </w:rPr>
              <w:t>碳汇评估准确性</w:t>
            </w:r>
          </w:p>
        </w:tc>
        <w:tc>
          <w:tcPr>
            <w:tcW w:w="1392" w:type="pct"/>
            <w:tcBorders>
              <w:top w:val="single" w:color="auto" w:sz="4" w:space="0"/>
            </w:tcBorders>
            <w:shd w:val="clear" w:color="auto" w:fill="auto"/>
            <w:vAlign w:val="center"/>
          </w:tcPr>
          <w:p w14:paraId="11CBA43F">
            <w:pPr>
              <w:keepNext w:val="0"/>
              <w:keepLines w:val="0"/>
              <w:suppressLineNumbers w:val="0"/>
              <w:autoSpaceDE w:val="0"/>
              <w:autoSpaceDN w:val="0"/>
              <w:spacing w:before="0" w:beforeAutospacing="0" w:after="0" w:afterAutospacing="0"/>
              <w:ind w:left="0" w:right="0"/>
              <w:jc w:val="center"/>
              <w:rPr>
                <w:rFonts w:hint="default" w:ascii="宋体" w:hAnsi="宋体" w:eastAsia="宋体" w:cs="宋体"/>
                <w:kern w:val="2"/>
                <w:sz w:val="18"/>
                <w:szCs w:val="18"/>
                <w:highlight w:val="none"/>
                <w:lang w:val="en-US" w:eastAsia="zh-CN" w:bidi="ar-SA"/>
              </w:rPr>
            </w:pPr>
            <w:r>
              <w:rPr>
                <w:rFonts w:hint="eastAsia" w:ascii="宋体" w:hAnsi="宋体" w:cs="宋体"/>
                <w:kern w:val="2"/>
                <w:sz w:val="18"/>
                <w:szCs w:val="18"/>
                <w:highlight w:val="none"/>
                <w:lang w:val="en-US" w:eastAsia="zh-CN" w:bidi="ar-SA"/>
              </w:rPr>
              <w:t>-</w:t>
            </w:r>
          </w:p>
        </w:tc>
      </w:tr>
    </w:tbl>
    <w:p w14:paraId="34373474">
      <w:pPr>
        <w:pStyle w:val="26"/>
        <w:ind w:left="0" w:leftChars="0" w:firstLine="0" w:firstLineChars="0"/>
        <w:rPr>
          <w:rFonts w:hint="default" w:ascii="Times New Roman"/>
          <w:highlight w:val="none"/>
          <w:lang w:val="en-US"/>
        </w:rPr>
        <w:sectPr>
          <w:footerReference r:id="rId8" w:type="default"/>
          <w:footerReference r:id="rId9" w:type="even"/>
          <w:pgSz w:w="11906" w:h="16838"/>
          <w:pgMar w:top="567" w:right="1134" w:bottom="1134" w:left="1418" w:header="1418" w:footer="1134" w:gutter="0"/>
          <w:pgBorders>
            <w:top w:val="none" w:sz="0" w:space="0"/>
            <w:left w:val="none" w:sz="0" w:space="0"/>
            <w:bottom w:val="none" w:sz="0" w:space="0"/>
            <w:right w:val="none" w:sz="0" w:space="0"/>
          </w:pgBorders>
          <w:pgNumType w:start="1"/>
          <w:cols w:space="425" w:num="1"/>
          <w:formProt w:val="0"/>
          <w:docGrid w:type="lines" w:linePitch="312" w:charSpace="0"/>
        </w:sectPr>
      </w:pPr>
    </w:p>
    <w:p w14:paraId="2E3718A3">
      <w:pPr>
        <w:pStyle w:val="89"/>
        <w:keepNext/>
        <w:keepLines w:val="0"/>
        <w:pageBreakBefore w:val="0"/>
        <w:widowControl/>
        <w:shd w:val="clear" w:color="FFFFFF" w:fill="FFFFFF"/>
        <w:kinsoku/>
        <w:wordWrap/>
        <w:overflowPunct/>
        <w:topLinePunct w:val="0"/>
        <w:autoSpaceDE/>
        <w:autoSpaceDN/>
        <w:bidi w:val="0"/>
        <w:adjustRightInd/>
        <w:snapToGrid/>
        <w:spacing w:beforeLines="0" w:afterLines="0"/>
        <w:textAlignment w:val="auto"/>
        <w:rPr>
          <w:rFonts w:ascii="Times New Roman"/>
          <w:highlight w:val="none"/>
        </w:rPr>
      </w:pPr>
      <w:bookmarkStart w:id="107" w:name="_Toc82684166"/>
      <w:bookmarkEnd w:id="107"/>
      <w:bookmarkStart w:id="108" w:name="_Toc82684167"/>
      <w:bookmarkEnd w:id="108"/>
      <w:bookmarkStart w:id="109" w:name="_Toc82684169"/>
      <w:bookmarkEnd w:id="109"/>
      <w:bookmarkStart w:id="110" w:name="_Toc82684162"/>
      <w:bookmarkEnd w:id="110"/>
      <w:bookmarkStart w:id="111" w:name="_Toc82684157"/>
      <w:bookmarkEnd w:id="111"/>
      <w:bookmarkStart w:id="112" w:name="_Toc82684165"/>
      <w:bookmarkEnd w:id="112"/>
      <w:bookmarkStart w:id="113" w:name="_Toc82684159"/>
      <w:bookmarkEnd w:id="113"/>
      <w:bookmarkStart w:id="114" w:name="_Toc82684163"/>
      <w:bookmarkEnd w:id="114"/>
      <w:bookmarkStart w:id="115" w:name="_Toc82684170"/>
      <w:bookmarkEnd w:id="115"/>
      <w:bookmarkStart w:id="116" w:name="_Toc82684160"/>
      <w:bookmarkEnd w:id="116"/>
      <w:bookmarkStart w:id="117" w:name="_Toc82684161"/>
      <w:bookmarkEnd w:id="117"/>
      <w:bookmarkStart w:id="118" w:name="_Toc82684164"/>
      <w:bookmarkEnd w:id="118"/>
      <w:bookmarkStart w:id="119" w:name="_Toc82684158"/>
      <w:bookmarkEnd w:id="119"/>
      <w:bookmarkStart w:id="120" w:name="_Toc82684168"/>
      <w:bookmarkEnd w:id="120"/>
      <w:bookmarkStart w:id="121" w:name="_Toc22055"/>
      <w:bookmarkStart w:id="122" w:name="_Toc8613"/>
      <w:bookmarkStart w:id="123" w:name="BKCKWX"/>
      <w:r>
        <w:rPr>
          <w:rFonts w:ascii="Times New Roman"/>
          <w:highlight w:val="none"/>
        </w:rPr>
        <w:br w:type="textWrapping"/>
      </w:r>
      <w:r>
        <w:rPr>
          <w:rFonts w:ascii="Times New Roman"/>
          <w:highlight w:val="none"/>
        </w:rPr>
        <w:t>（资料性）</w:t>
      </w:r>
      <w:r>
        <w:rPr>
          <w:rFonts w:ascii="Times New Roman"/>
          <w:highlight w:val="none"/>
        </w:rPr>
        <w:br w:type="textWrapping"/>
      </w:r>
      <w:r>
        <w:rPr>
          <w:rFonts w:hint="eastAsia" w:ascii="Times New Roman"/>
          <w:highlight w:val="none"/>
          <w:lang w:val="en-US" w:eastAsia="zh-CN"/>
        </w:rPr>
        <w:t>温室气体控制领域环境效益指标及测算方法示例</w:t>
      </w:r>
      <w:bookmarkEnd w:id="121"/>
    </w:p>
    <w:p w14:paraId="01147E33">
      <w:pPr>
        <w:pStyle w:val="60"/>
        <w:keepNext w:val="0"/>
        <w:keepLines w:val="0"/>
        <w:pageBreakBefore w:val="0"/>
        <w:widowControl/>
        <w:numPr>
          <w:ilvl w:val="-1"/>
          <w:numId w:val="0"/>
        </w:numPr>
        <w:kinsoku/>
        <w:wordWrap/>
        <w:overflowPunct/>
        <w:topLinePunct w:val="0"/>
        <w:autoSpaceDE/>
        <w:autoSpaceDN/>
        <w:bidi w:val="0"/>
        <w:adjustRightInd/>
        <w:snapToGrid/>
        <w:spacing w:before="156" w:after="156"/>
        <w:ind w:left="0" w:firstLine="0"/>
        <w:textAlignment w:val="auto"/>
        <w:outlineLvl w:val="9"/>
        <w:rPr>
          <w:rFonts w:hint="default" w:hAnsi="Times New Roman" w:cs="Times New Roman"/>
          <w:highlight w:val="none"/>
          <w:lang w:val="en-US"/>
        </w:rPr>
      </w:pPr>
      <w:bookmarkStart w:id="124" w:name="_Toc11116"/>
      <w:bookmarkStart w:id="125" w:name="_Toc25362"/>
      <w:r>
        <w:rPr>
          <w:rFonts w:hint="eastAsia"/>
          <w:highlight w:val="none"/>
          <w:lang w:val="en-US" w:eastAsia="zh-CN"/>
        </w:rPr>
        <w:t>B</w:t>
      </w:r>
      <w:r>
        <w:rPr>
          <w:rFonts w:hint="eastAsia" w:ascii="黑体"/>
          <w:highlight w:val="none"/>
          <w:lang w:val="en-US" w:eastAsia="zh-CN"/>
        </w:rPr>
        <w:t>.</w:t>
      </w:r>
      <w:r>
        <w:rPr>
          <w:rFonts w:hint="eastAsia"/>
          <w:highlight w:val="none"/>
          <w:lang w:val="en-US" w:eastAsia="zh-CN"/>
        </w:rPr>
        <w:t>1</w:t>
      </w:r>
      <w:r>
        <w:rPr>
          <w:rFonts w:hint="eastAsia" w:ascii="黑体"/>
          <w:highlight w:val="none"/>
          <w:lang w:val="en-US" w:eastAsia="zh-CN"/>
        </w:rPr>
        <w:t xml:space="preserve">  </w:t>
      </w:r>
      <w:r>
        <w:rPr>
          <w:rFonts w:hint="eastAsia"/>
          <w:highlight w:val="none"/>
          <w:lang w:val="en-US" w:eastAsia="zh-CN"/>
        </w:rPr>
        <w:t>碳减排量</w:t>
      </w:r>
    </w:p>
    <w:p w14:paraId="6B23F402">
      <w:pPr>
        <w:pStyle w:val="108"/>
        <w:bidi w:val="0"/>
        <w:rPr>
          <w:rFonts w:hint="default"/>
          <w:highlight w:val="none"/>
          <w:lang w:val="en-US" w:eastAsia="zh-CN"/>
        </w:rPr>
      </w:pPr>
      <w:r>
        <w:rPr>
          <w:rFonts w:hint="default"/>
          <w:highlight w:val="none"/>
          <w:lang w:val="en-US" w:eastAsia="zh-CN"/>
        </w:rPr>
        <w:t>碳捕集、利用与封</w:t>
      </w:r>
      <w:r>
        <w:rPr>
          <w:rFonts w:hint="eastAsia"/>
          <w:highlight w:val="none"/>
          <w:lang w:val="en-US" w:eastAsia="zh-CN"/>
        </w:rPr>
        <w:t>存</w:t>
      </w:r>
    </w:p>
    <w:p w14:paraId="49595F43">
      <w:pPr>
        <w:pStyle w:val="132"/>
        <w:autoSpaceDE/>
        <w:autoSpaceDN/>
        <w:ind w:firstLine="420" w:firstLineChars="200"/>
        <w:jc w:val="both"/>
        <w:rPr>
          <w:rFonts w:hint="eastAsia" w:hAnsi="宋体" w:cs="宋体"/>
          <w:highlight w:val="none"/>
          <w:lang w:val="en-US" w:eastAsia="zh-CN"/>
        </w:rPr>
      </w:pPr>
      <w:r>
        <w:rPr>
          <w:rFonts w:hint="eastAsia" w:hAnsi="宋体" w:cs="宋体"/>
          <w:highlight w:val="none"/>
          <w:lang w:val="en-US" w:eastAsia="zh-CN"/>
        </w:rPr>
        <w:t>对碳捕集、利用与封存的碳减排量计算公式见公式（B.1）。</w:t>
      </w:r>
    </w:p>
    <w:p w14:paraId="2C5D5A5D">
      <w:pPr>
        <w:pStyle w:val="26"/>
        <w:keepNext w:val="0"/>
        <w:keepLines w:val="0"/>
        <w:pageBreakBefore w:val="0"/>
        <w:widowControl/>
        <w:tabs>
          <w:tab w:val="center" w:leader="middleDot" w:pos="4620"/>
          <w:tab w:val="clear" w:pos="4201"/>
        </w:tabs>
        <w:kinsoku/>
        <w:wordWrap/>
        <w:overflowPunct/>
        <w:topLinePunct w:val="0"/>
        <w:autoSpaceDE w:val="0"/>
        <w:autoSpaceDN w:val="0"/>
        <w:bidi w:val="0"/>
        <w:adjustRightInd/>
        <w:snapToGrid/>
        <w:ind w:left="0" w:leftChars="0" w:firstLine="0" w:firstLineChars="0"/>
        <w:jc w:val="right"/>
        <w:textAlignment w:val="auto"/>
        <w:rPr>
          <w:rFonts w:hint="eastAsia" w:hAnsi="Cambria Math" w:cs="宋体"/>
          <w:i w:val="0"/>
          <w:sz w:val="21"/>
          <w:highlight w:val="none"/>
          <w:lang w:val="en-US" w:eastAsia="zh-CN" w:bidi="ar-SA"/>
        </w:rPr>
      </w:pPr>
      <m:oMath>
        <m:r>
          <m:rPr/>
          <w:rPr>
            <w:rFonts w:hint="default" w:ascii="Cambria Math" w:hAnsi="Cambria Math" w:cs="宋体"/>
            <w:sz w:val="21"/>
            <w:highlight w:val="none"/>
            <w:lang w:val="en-US" w:eastAsia="zh-CN" w:bidi="ar-SA"/>
          </w:rPr>
          <m:t>R</m:t>
        </m:r>
        <m:r>
          <m:rPr/>
          <w:rPr>
            <w:rFonts w:hint="eastAsia" w:ascii="Cambria Math" w:hAnsi="Cambria Math" w:cs="宋体"/>
            <w:sz w:val="21"/>
            <w:highlight w:val="none"/>
            <w:lang w:val="en-US" w:eastAsia="zh-CN" w:bidi="ar-SA"/>
          </w:rPr>
          <m:t>=</m:t>
        </m:r>
        <m:sSub>
          <m:sSubPr>
            <m:ctrlPr>
              <w:rPr>
                <w:rFonts w:hint="eastAsia" w:ascii="Cambria Math" w:hAnsi="Cambria Math" w:cs="宋体"/>
                <w:i/>
                <w:sz w:val="21"/>
                <w:highlight w:val="none"/>
                <w:lang w:val="en-US" w:eastAsia="zh-CN" w:bidi="ar-SA"/>
              </w:rPr>
            </m:ctrlPr>
          </m:sSubPr>
          <m:e>
            <m:r>
              <m:rPr/>
              <w:rPr>
                <w:rFonts w:hint="default" w:ascii="Cambria Math" w:hAnsi="Cambria Math" w:cs="宋体"/>
                <w:sz w:val="21"/>
                <w:highlight w:val="none"/>
                <w:lang w:val="en-US" w:eastAsia="zh-CN" w:bidi="ar-SA"/>
              </w:rPr>
              <m:t>E</m:t>
            </m:r>
            <m:ctrlPr>
              <w:rPr>
                <w:rFonts w:hint="eastAsia" w:ascii="Cambria Math" w:hAnsi="Cambria Math" w:cs="宋体"/>
                <w:i/>
                <w:sz w:val="21"/>
                <w:highlight w:val="none"/>
                <w:lang w:val="en-US" w:eastAsia="zh-CN" w:bidi="ar-SA"/>
              </w:rPr>
            </m:ctrlPr>
          </m:e>
          <m:sub>
            <m:r>
              <m:rPr/>
              <w:rPr>
                <w:rFonts w:hint="eastAsia" w:ascii="Cambria Math" w:hAnsi="Cambria Math" w:cs="宋体"/>
                <w:sz w:val="21"/>
                <w:highlight w:val="none"/>
                <w:lang w:val="en-US" w:eastAsia="zh-CN" w:bidi="ar-SA"/>
              </w:rPr>
              <m:t>注入</m:t>
            </m:r>
            <m:ctrlPr>
              <w:rPr>
                <w:rFonts w:hint="eastAsia" w:ascii="Cambria Math" w:hAnsi="Cambria Math" w:cs="宋体"/>
                <w:i/>
                <w:sz w:val="21"/>
                <w:highlight w:val="none"/>
                <w:lang w:val="en-US" w:eastAsia="zh-CN" w:bidi="ar-SA"/>
              </w:rPr>
            </m:ctrlPr>
          </m:sub>
        </m:sSub>
        <m:r>
          <m:rPr>
            <m:sty m:val="p"/>
          </m:rPr>
          <w:rPr>
            <w:rFonts w:hint="default" w:ascii="Cambria Math" w:hAnsi="Cambria Math" w:cs="宋体"/>
            <w:sz w:val="21"/>
            <w:highlight w:val="none"/>
            <w:lang w:val="en-US" w:eastAsia="zh-CN" w:bidi="ar-SA"/>
          </w:rPr>
          <m:t>−</m:t>
        </m:r>
        <m:r>
          <m:rPr>
            <m:sty m:val="p"/>
          </m:rPr>
          <w:rPr>
            <w:rFonts w:hint="eastAsia" w:ascii="Cambria Math" w:hAnsi="Cambria Math" w:cs="宋体"/>
            <w:sz w:val="21"/>
            <w:highlight w:val="none"/>
            <w:lang w:val="en-US" w:eastAsia="zh-CN" w:bidi="ar-SA"/>
          </w:rPr>
          <m:t>（</m:t>
        </m:r>
        <m:sSub>
          <m:sSubPr>
            <m:ctrlPr>
              <w:rPr>
                <w:rFonts w:hint="eastAsia" w:ascii="Cambria Math" w:hAnsi="Cambria Math" w:cs="宋体"/>
                <w:i/>
                <w:sz w:val="21"/>
                <w:highlight w:val="none"/>
                <w:lang w:val="en-US" w:eastAsia="zh-CN" w:bidi="ar-SA"/>
              </w:rPr>
            </m:ctrlPr>
          </m:sSubPr>
          <m:e>
            <m:r>
              <m:rPr/>
              <w:rPr>
                <w:rFonts w:hint="default" w:ascii="Cambria Math" w:hAnsi="Cambria Math" w:cs="宋体"/>
                <w:sz w:val="21"/>
                <w:highlight w:val="none"/>
                <w:lang w:val="en-US" w:eastAsia="zh-CN" w:bidi="ar-SA"/>
              </w:rPr>
              <m:t>E</m:t>
            </m:r>
            <m:ctrlPr>
              <w:rPr>
                <w:rFonts w:hint="eastAsia" w:ascii="Cambria Math" w:hAnsi="Cambria Math" w:cs="宋体"/>
                <w:i/>
                <w:sz w:val="21"/>
                <w:highlight w:val="none"/>
                <w:lang w:val="en-US" w:eastAsia="zh-CN" w:bidi="ar-SA"/>
              </w:rPr>
            </m:ctrlPr>
          </m:e>
          <m:sub>
            <m:r>
              <m:rPr/>
              <w:rPr>
                <w:rFonts w:hint="eastAsia" w:ascii="Cambria Math" w:hAnsi="Cambria Math" w:cs="宋体"/>
                <w:sz w:val="21"/>
                <w:highlight w:val="none"/>
                <w:lang w:val="en-US" w:eastAsia="zh-CN" w:bidi="ar-SA"/>
              </w:rPr>
              <m:t>实际</m:t>
            </m:r>
            <m:ctrlPr>
              <w:rPr>
                <w:rFonts w:hint="eastAsia" w:ascii="Cambria Math" w:hAnsi="Cambria Math" w:cs="宋体"/>
                <w:i/>
                <w:sz w:val="21"/>
                <w:highlight w:val="none"/>
                <w:lang w:val="en-US" w:eastAsia="zh-CN" w:bidi="ar-SA"/>
              </w:rPr>
            </m:ctrlPr>
          </m:sub>
        </m:sSub>
        <m:r>
          <m:rPr/>
          <w:rPr>
            <w:rFonts w:hint="default" w:ascii="Cambria Math" w:hAnsi="Cambria Math" w:cs="宋体"/>
            <w:sz w:val="21"/>
            <w:highlight w:val="none"/>
            <w:lang w:val="en-US" w:eastAsia="zh-CN" w:bidi="ar-SA"/>
          </w:rPr>
          <m:t>−</m:t>
        </m:r>
        <m:sSub>
          <m:sSubPr>
            <m:ctrlPr>
              <w:rPr>
                <w:rFonts w:hint="default" w:ascii="Cambria Math" w:hAnsi="Cambria Math" w:cs="宋体"/>
                <w:i/>
                <w:sz w:val="21"/>
                <w:highlight w:val="none"/>
                <w:lang w:val="en-US" w:eastAsia="zh-CN" w:bidi="ar-SA"/>
              </w:rPr>
            </m:ctrlPr>
          </m:sSubPr>
          <m:e>
            <m:r>
              <m:rPr/>
              <w:rPr>
                <w:rFonts w:hint="default" w:ascii="Cambria Math" w:hAnsi="Cambria Math" w:cs="宋体"/>
                <w:sz w:val="21"/>
                <w:highlight w:val="none"/>
                <w:lang w:val="en-US" w:eastAsia="zh-CN" w:bidi="ar-SA"/>
              </w:rPr>
              <m:t>E</m:t>
            </m:r>
            <m:ctrlPr>
              <w:rPr>
                <w:rFonts w:hint="default" w:ascii="Cambria Math" w:hAnsi="Cambria Math" w:cs="宋体"/>
                <w:i/>
                <w:sz w:val="21"/>
                <w:highlight w:val="none"/>
                <w:lang w:val="en-US" w:eastAsia="zh-CN" w:bidi="ar-SA"/>
              </w:rPr>
            </m:ctrlPr>
          </m:e>
          <m:sub>
            <m:r>
              <m:rPr/>
              <w:rPr>
                <w:rFonts w:hint="eastAsia" w:ascii="Cambria Math" w:hAnsi="Cambria Math" w:cs="宋体"/>
                <w:sz w:val="21"/>
                <w:highlight w:val="none"/>
                <w:lang w:val="en-US" w:eastAsia="zh-CN" w:bidi="ar-SA"/>
              </w:rPr>
              <m:t>基准</m:t>
            </m:r>
            <m:ctrlPr>
              <w:rPr>
                <w:rFonts w:hint="default" w:ascii="Cambria Math" w:hAnsi="Cambria Math" w:cs="宋体"/>
                <w:i/>
                <w:sz w:val="21"/>
                <w:highlight w:val="none"/>
                <w:lang w:val="en-US" w:eastAsia="zh-CN" w:bidi="ar-SA"/>
              </w:rPr>
            </m:ctrlPr>
          </m:sub>
        </m:sSub>
        <m:r>
          <m:rPr>
            <m:sty m:val="p"/>
          </m:rPr>
          <w:rPr>
            <w:rFonts w:hint="eastAsia" w:ascii="Cambria Math" w:hAnsi="Cambria Math" w:cs="宋体"/>
            <w:sz w:val="21"/>
            <w:highlight w:val="none"/>
            <w:lang w:val="en-US" w:eastAsia="zh-CN" w:bidi="ar-SA"/>
          </w:rPr>
          <m:t>）</m:t>
        </m:r>
      </m:oMath>
      <w:r>
        <w:rPr>
          <w:rFonts w:hint="eastAsia" w:hAnsi="Cambria Math" w:cs="宋体"/>
          <w:i w:val="0"/>
          <w:iCs/>
          <w:highlight w:val="none"/>
          <w:lang w:val="en-US"/>
        </w:rPr>
        <w:tab/>
      </w:r>
      <w:r>
        <w:rPr>
          <w:rFonts w:hint="eastAsia" w:hAnsi="Cambria Math" w:cs="宋体"/>
          <w:i w:val="0"/>
          <w:iCs w:val="0"/>
          <w:sz w:val="21"/>
          <w:highlight w:val="none"/>
          <w:lang w:val="en-US" w:eastAsia="zh-CN" w:bidi="ar-SA"/>
        </w:rPr>
        <w:t>（B.1）</w:t>
      </w:r>
    </w:p>
    <w:p w14:paraId="1E3A92FC">
      <w:pPr>
        <w:pStyle w:val="26"/>
        <w:keepNext w:val="0"/>
        <w:keepLines w:val="0"/>
        <w:pageBreakBefore w:val="0"/>
        <w:widowControl/>
        <w:kinsoku/>
        <w:wordWrap/>
        <w:overflowPunct/>
        <w:topLinePunct w:val="0"/>
        <w:autoSpaceDE w:val="0"/>
        <w:autoSpaceDN w:val="0"/>
        <w:bidi w:val="0"/>
        <w:adjustRightInd w:val="0"/>
        <w:snapToGrid w:val="0"/>
        <w:ind w:left="0" w:leftChars="0" w:firstLine="420" w:firstLineChars="200"/>
        <w:jc w:val="left"/>
        <w:textAlignment w:val="auto"/>
        <w:rPr>
          <w:rFonts w:hint="eastAsia" w:hAnsi="Cambria Math" w:cs="宋体"/>
          <w:i w:val="0"/>
          <w:sz w:val="21"/>
          <w:highlight w:val="none"/>
          <w:lang w:val="en-US" w:eastAsia="zh-CN" w:bidi="ar-SA"/>
        </w:rPr>
      </w:pPr>
      <w:r>
        <w:rPr>
          <w:rFonts w:hint="eastAsia" w:hAnsi="Cambria Math" w:cs="宋体"/>
          <w:i w:val="0"/>
          <w:sz w:val="21"/>
          <w:highlight w:val="none"/>
          <w:lang w:val="en-US" w:eastAsia="zh-CN" w:bidi="ar-SA"/>
        </w:rPr>
        <w:t>式中：</w:t>
      </w:r>
    </w:p>
    <w:p w14:paraId="4B6EFC5A">
      <w:pPr>
        <w:pStyle w:val="132"/>
        <w:keepNext w:val="0"/>
        <w:keepLines w:val="0"/>
        <w:pageBreakBefore w:val="0"/>
        <w:widowControl/>
        <w:kinsoku/>
        <w:wordWrap/>
        <w:overflowPunct/>
        <w:topLinePunct w:val="0"/>
        <w:autoSpaceDE w:val="0"/>
        <w:autoSpaceDN w:val="0"/>
        <w:bidi w:val="0"/>
        <w:adjustRightInd w:val="0"/>
        <w:snapToGrid w:val="0"/>
        <w:ind w:firstLine="420" w:firstLineChars="200"/>
        <w:textAlignment w:val="auto"/>
        <w:rPr>
          <w:rFonts w:hint="eastAsia" w:hAnsi="宋体" w:cs="宋体"/>
          <w:highlight w:val="none"/>
        </w:rPr>
      </w:pPr>
      <m:oMath>
        <m:r>
          <m:rPr/>
          <w:rPr>
            <w:rFonts w:hint="default" w:ascii="Cambria Math" w:hAnsi="Cambria Math" w:cs="宋体"/>
            <w:highlight w:val="none"/>
            <w:lang w:val="en-US" w:eastAsia="zh-CN"/>
          </w:rPr>
          <m:t>R</m:t>
        </m:r>
      </m:oMath>
      <w:r>
        <w:rPr>
          <w:rFonts w:hint="eastAsia" w:hAnsi="Cambria Math" w:cs="宋体"/>
          <w:b w:val="0"/>
          <w:i w:val="0"/>
          <w:iCs/>
          <w:highlight w:val="none"/>
          <w:lang w:val="en-US" w:eastAsia="zh-CN"/>
        </w:rPr>
        <w:t xml:space="preserve">    </w:t>
      </w:r>
      <w:r>
        <w:rPr>
          <w:rFonts w:hint="eastAsia" w:hAnsi="宋体" w:cs="宋体"/>
          <w:highlight w:val="none"/>
          <w:lang w:eastAsia="zh-CN"/>
        </w:rPr>
        <w:t>——</w:t>
      </w:r>
      <w:r>
        <w:rPr>
          <w:rFonts w:hint="eastAsia" w:hAnsi="宋体" w:cs="宋体"/>
          <w:highlight w:val="none"/>
          <w:lang w:val="en-US" w:eastAsia="zh-CN"/>
        </w:rPr>
        <w:t>碳捕集、利用与封存的碳减排量</w:t>
      </w:r>
      <w:r>
        <w:rPr>
          <w:rFonts w:hint="eastAsia" w:hAnsi="宋体" w:cs="宋体"/>
          <w:highlight w:val="none"/>
        </w:rPr>
        <w:t>，</w:t>
      </w:r>
      <w:r>
        <w:rPr>
          <w:rFonts w:hint="eastAsia" w:hAnsi="宋体" w:cs="宋体"/>
          <w:highlight w:val="none"/>
          <w:lang w:val="en-US" w:eastAsia="zh-CN"/>
        </w:rPr>
        <w:t>单位为吨（t）</w:t>
      </w:r>
      <w:r>
        <w:rPr>
          <w:rFonts w:hint="eastAsia" w:hAnsi="宋体" w:cs="宋体"/>
          <w:highlight w:val="none"/>
        </w:rPr>
        <w:t>；</w:t>
      </w:r>
    </w:p>
    <w:p w14:paraId="6B8D926F">
      <w:pPr>
        <w:pStyle w:val="132"/>
        <w:keepNext w:val="0"/>
        <w:keepLines w:val="0"/>
        <w:pageBreakBefore w:val="0"/>
        <w:widowControl/>
        <w:kinsoku/>
        <w:wordWrap/>
        <w:overflowPunct/>
        <w:topLinePunct w:val="0"/>
        <w:autoSpaceDE w:val="0"/>
        <w:autoSpaceDN w:val="0"/>
        <w:bidi w:val="0"/>
        <w:adjustRightInd w:val="0"/>
        <w:snapToGrid w:val="0"/>
        <w:ind w:firstLine="420" w:firstLineChars="200"/>
        <w:textAlignment w:val="auto"/>
        <w:rPr>
          <w:rFonts w:hint="eastAsia" w:hAnsi="宋体" w:cs="宋体"/>
          <w:highlight w:val="none"/>
          <w:lang w:val="en-US" w:eastAsia="zh-CN"/>
        </w:rPr>
      </w:pPr>
      <m:oMath>
        <m:sSub>
          <m:sSubPr>
            <m:ctrlPr>
              <w:rPr>
                <w:rFonts w:hint="eastAsia" w:ascii="Cambria Math" w:hAnsi="Cambria Math" w:cs="宋体"/>
                <w:i/>
                <w:iCs/>
                <w:highlight w:val="none"/>
                <w:lang w:val="en-US" w:eastAsia="zh-CN"/>
              </w:rPr>
            </m:ctrlPr>
          </m:sSubPr>
          <m:e>
            <m:r>
              <m:rPr/>
              <w:rPr>
                <w:rFonts w:hint="default" w:ascii="Cambria Math" w:hAnsi="Cambria Math" w:cs="宋体"/>
                <w:highlight w:val="none"/>
                <w:lang w:val="en-US" w:eastAsia="zh-CN"/>
              </w:rPr>
              <m:t>E</m:t>
            </m:r>
            <m:ctrlPr>
              <w:rPr>
                <w:rFonts w:hint="eastAsia" w:ascii="Cambria Math" w:hAnsi="Cambria Math" w:cs="宋体"/>
                <w:i/>
                <w:iCs/>
                <w:highlight w:val="none"/>
                <w:lang w:val="en-US" w:eastAsia="zh-CN"/>
              </w:rPr>
            </m:ctrlPr>
          </m:e>
          <m:sub>
            <m:r>
              <m:rPr/>
              <w:rPr>
                <w:rFonts w:hint="eastAsia" w:ascii="Cambria Math" w:hAnsi="Cambria Math" w:cs="宋体"/>
                <w:highlight w:val="none"/>
                <w:lang w:val="en-US" w:eastAsia="zh-CN"/>
              </w:rPr>
              <m:t>注入</m:t>
            </m:r>
            <m:ctrlPr>
              <w:rPr>
                <w:rFonts w:hint="eastAsia" w:ascii="Cambria Math" w:hAnsi="Cambria Math" w:cs="宋体"/>
                <w:i/>
                <w:iCs/>
                <w:highlight w:val="none"/>
                <w:lang w:val="en-US" w:eastAsia="zh-CN"/>
              </w:rPr>
            </m:ctrlPr>
          </m:sub>
        </m:sSub>
      </m:oMath>
      <w:r>
        <w:rPr>
          <w:rFonts w:hint="eastAsia" w:hAnsi="Cambria Math" w:cs="宋体"/>
          <w:i w:val="0"/>
          <w:iCs/>
          <w:highlight w:val="none"/>
          <w:lang w:val="en-US" w:eastAsia="zh-CN"/>
        </w:rPr>
        <w:t xml:space="preserve"> </w:t>
      </w:r>
      <w:r>
        <w:rPr>
          <w:rFonts w:hint="eastAsia" w:hAnsi="宋体" w:cs="宋体"/>
          <w:highlight w:val="none"/>
          <w:lang w:eastAsia="zh-CN"/>
        </w:rPr>
        <w:t>——</w:t>
      </w:r>
      <w:r>
        <w:rPr>
          <w:rFonts w:hint="eastAsia" w:hAnsi="宋体" w:cs="宋体"/>
          <w:highlight w:val="none"/>
          <w:lang w:val="en-US" w:eastAsia="zh-CN"/>
        </w:rPr>
        <w:t>二氧化碳注入量，单位为吨（t）；</w:t>
      </w:r>
    </w:p>
    <w:p w14:paraId="49994E58">
      <w:pPr>
        <w:pStyle w:val="132"/>
        <w:keepNext w:val="0"/>
        <w:keepLines w:val="0"/>
        <w:pageBreakBefore w:val="0"/>
        <w:widowControl/>
        <w:kinsoku/>
        <w:wordWrap/>
        <w:overflowPunct/>
        <w:topLinePunct w:val="0"/>
        <w:autoSpaceDE w:val="0"/>
        <w:autoSpaceDN w:val="0"/>
        <w:bidi w:val="0"/>
        <w:adjustRightInd w:val="0"/>
        <w:snapToGrid w:val="0"/>
        <w:ind w:firstLine="420" w:firstLineChars="200"/>
        <w:textAlignment w:val="auto"/>
        <w:rPr>
          <w:rFonts w:hint="eastAsia" w:hAnsi="宋体" w:cs="宋体"/>
          <w:highlight w:val="none"/>
          <w:lang w:val="en-US" w:eastAsia="zh-CN"/>
        </w:rPr>
      </w:pPr>
      <m:oMath>
        <m:sSub>
          <m:sSubPr>
            <m:ctrlPr>
              <w:rPr>
                <w:rFonts w:hint="eastAsia" w:ascii="Cambria Math" w:hAnsi="Cambria Math" w:cs="宋体"/>
                <w:i/>
                <w:iCs/>
                <w:highlight w:val="none"/>
                <w:lang w:val="en-US" w:eastAsia="zh-CN"/>
              </w:rPr>
            </m:ctrlPr>
          </m:sSubPr>
          <m:e>
            <m:r>
              <m:rPr/>
              <w:rPr>
                <w:rFonts w:hint="default" w:ascii="Cambria Math" w:hAnsi="Cambria Math" w:cs="宋体"/>
                <w:highlight w:val="none"/>
                <w:lang w:val="en-US" w:eastAsia="zh-CN"/>
              </w:rPr>
              <m:t>E</m:t>
            </m:r>
            <m:ctrlPr>
              <w:rPr>
                <w:rFonts w:hint="eastAsia" w:ascii="Cambria Math" w:hAnsi="Cambria Math" w:cs="宋体"/>
                <w:i/>
                <w:iCs/>
                <w:highlight w:val="none"/>
                <w:lang w:val="en-US" w:eastAsia="zh-CN"/>
              </w:rPr>
            </m:ctrlPr>
          </m:e>
          <m:sub>
            <m:r>
              <m:rPr/>
              <w:rPr>
                <w:rFonts w:hint="eastAsia" w:ascii="Cambria Math" w:hAnsi="Cambria Math" w:cs="宋体"/>
                <w:highlight w:val="none"/>
                <w:lang w:val="en-US" w:eastAsia="zh-CN"/>
              </w:rPr>
              <m:t>实际</m:t>
            </m:r>
            <m:ctrlPr>
              <w:rPr>
                <w:rFonts w:hint="eastAsia" w:ascii="Cambria Math" w:hAnsi="Cambria Math" w:cs="宋体"/>
                <w:i/>
                <w:iCs/>
                <w:highlight w:val="none"/>
                <w:lang w:val="en-US" w:eastAsia="zh-CN"/>
              </w:rPr>
            </m:ctrlPr>
          </m:sub>
        </m:sSub>
      </m:oMath>
      <w:r>
        <w:rPr>
          <w:rFonts w:hint="eastAsia" w:hAnsi="Cambria Math" w:cs="宋体"/>
          <w:i w:val="0"/>
          <w:iCs/>
          <w:highlight w:val="none"/>
          <w:lang w:val="en-US" w:eastAsia="zh-CN"/>
        </w:rPr>
        <w:t xml:space="preserve"> </w:t>
      </w:r>
      <w:r>
        <w:rPr>
          <w:rFonts w:hint="eastAsia" w:hAnsi="宋体" w:cs="宋体"/>
          <w:highlight w:val="none"/>
          <w:lang w:eastAsia="zh-CN"/>
        </w:rPr>
        <w:t>——</w:t>
      </w:r>
      <w:r>
        <w:rPr>
          <w:rFonts w:hint="eastAsia" w:hAnsi="宋体" w:cs="宋体"/>
          <w:highlight w:val="none"/>
          <w:lang w:val="en-US" w:eastAsia="zh-CN"/>
        </w:rPr>
        <w:t>实际因捕集、运输、地质利用与封存产生的二氧化碳排放，单位为吨（t）；</w:t>
      </w:r>
    </w:p>
    <w:p w14:paraId="7CCCA9E0">
      <w:pPr>
        <w:pStyle w:val="132"/>
        <w:keepNext w:val="0"/>
        <w:keepLines w:val="0"/>
        <w:pageBreakBefore w:val="0"/>
        <w:widowControl/>
        <w:kinsoku/>
        <w:wordWrap/>
        <w:overflowPunct/>
        <w:topLinePunct w:val="0"/>
        <w:autoSpaceDE w:val="0"/>
        <w:autoSpaceDN w:val="0"/>
        <w:bidi w:val="0"/>
        <w:adjustRightInd w:val="0"/>
        <w:snapToGrid w:val="0"/>
        <w:ind w:firstLine="420" w:firstLineChars="200"/>
        <w:textAlignment w:val="auto"/>
        <w:rPr>
          <w:rFonts w:hint="eastAsia" w:hAnsi="宋体" w:cs="宋体"/>
          <w:highlight w:val="none"/>
          <w:lang w:val="en-US" w:eastAsia="zh-CN"/>
        </w:rPr>
      </w:pPr>
      <m:oMath>
        <m:sSub>
          <m:sSubPr>
            <m:ctrlPr>
              <w:rPr>
                <w:rFonts w:hint="eastAsia" w:ascii="Cambria Math" w:hAnsi="Cambria Math" w:cs="宋体"/>
                <w:i/>
                <w:iCs/>
                <w:highlight w:val="none"/>
                <w:lang w:val="en-US" w:eastAsia="zh-CN"/>
              </w:rPr>
            </m:ctrlPr>
          </m:sSubPr>
          <m:e>
            <m:r>
              <m:rPr/>
              <w:rPr>
                <w:rFonts w:hint="default" w:ascii="Cambria Math" w:hAnsi="Cambria Math" w:cs="宋体"/>
                <w:highlight w:val="none"/>
                <w:lang w:val="en-US" w:eastAsia="zh-CN"/>
              </w:rPr>
              <m:t>E</m:t>
            </m:r>
            <m:ctrlPr>
              <w:rPr>
                <w:rFonts w:hint="eastAsia" w:ascii="Cambria Math" w:hAnsi="Cambria Math" w:cs="宋体"/>
                <w:i/>
                <w:iCs/>
                <w:highlight w:val="none"/>
                <w:lang w:val="en-US" w:eastAsia="zh-CN"/>
              </w:rPr>
            </m:ctrlPr>
          </m:e>
          <m:sub>
            <m:r>
              <m:rPr/>
              <w:rPr>
                <w:rFonts w:hint="eastAsia" w:ascii="Cambria Math" w:hAnsi="Cambria Math" w:cs="宋体"/>
                <w:highlight w:val="none"/>
                <w:lang w:val="en-US" w:eastAsia="zh-CN"/>
              </w:rPr>
              <m:t>基准</m:t>
            </m:r>
            <m:ctrlPr>
              <w:rPr>
                <w:rFonts w:hint="eastAsia" w:ascii="Cambria Math" w:hAnsi="Cambria Math" w:cs="宋体"/>
                <w:i/>
                <w:iCs/>
                <w:highlight w:val="none"/>
                <w:lang w:val="en-US" w:eastAsia="zh-CN"/>
              </w:rPr>
            </m:ctrlPr>
          </m:sub>
        </m:sSub>
      </m:oMath>
      <w:r>
        <w:rPr>
          <w:rFonts w:hint="eastAsia" w:hAnsi="Cambria Math" w:cs="宋体"/>
          <w:i w:val="0"/>
          <w:iCs/>
          <w:highlight w:val="none"/>
          <w:lang w:val="en-US" w:eastAsia="zh-CN"/>
        </w:rPr>
        <w:t xml:space="preserve"> </w:t>
      </w:r>
      <w:r>
        <w:rPr>
          <w:rFonts w:hint="eastAsia" w:hAnsi="宋体" w:cs="宋体"/>
          <w:highlight w:val="none"/>
          <w:lang w:eastAsia="zh-CN"/>
        </w:rPr>
        <w:t>——</w:t>
      </w:r>
      <w:r>
        <w:rPr>
          <w:rFonts w:hint="eastAsia" w:hAnsi="宋体" w:cs="宋体"/>
          <w:highlight w:val="none"/>
          <w:lang w:val="en-US" w:eastAsia="zh-CN"/>
        </w:rPr>
        <w:t>基准线情景下产生的二氧化碳排放，单位为吨（t）。</w:t>
      </w:r>
    </w:p>
    <w:p w14:paraId="363DECCB">
      <w:pPr>
        <w:pStyle w:val="69"/>
        <w:bidi w:val="0"/>
        <w:rPr>
          <w:rFonts w:hint="default"/>
          <w:highlight w:val="none"/>
          <w:lang w:val="en-US" w:eastAsia="zh-CN"/>
        </w:rPr>
      </w:pPr>
      <w:r>
        <w:rPr>
          <w:rFonts w:hint="eastAsia"/>
          <w:highlight w:val="none"/>
          <w:lang w:val="en-US" w:eastAsia="zh-CN"/>
        </w:rPr>
        <w:t>二氧化碳注入量包含将二氧化碳地质利用、二氧化碳地质封存的量。二氧化碳地质利用是指二氧化碳注入地下，用于能源、资源生产或强化其开采的过程，相对于传统工艺可减少二氧化碳排放，二氧化碳地质封存是指将二氧化碳注入地质体，将二氧化碳与大气隔离的过程。</w:t>
      </w:r>
    </w:p>
    <w:p w14:paraId="20E28FFD">
      <w:pPr>
        <w:pStyle w:val="108"/>
        <w:bidi w:val="0"/>
        <w:rPr>
          <w:rFonts w:hint="default"/>
          <w:highlight w:val="none"/>
          <w:lang w:val="en-US" w:eastAsia="zh-CN"/>
        </w:rPr>
      </w:pPr>
      <w:r>
        <w:rPr>
          <w:rFonts w:hint="default"/>
          <w:highlight w:val="none"/>
          <w:lang w:val="en-US" w:eastAsia="zh-CN"/>
        </w:rPr>
        <w:t>油气田甲烷采收利用</w:t>
      </w:r>
    </w:p>
    <w:p w14:paraId="6D9401E8">
      <w:pPr>
        <w:pStyle w:val="26"/>
        <w:keepNext w:val="0"/>
        <w:keepLines w:val="0"/>
        <w:pageBreakBefore w:val="0"/>
        <w:widowControl/>
        <w:kinsoku/>
        <w:wordWrap/>
        <w:overflowPunct/>
        <w:topLinePunct w:val="0"/>
        <w:autoSpaceDE w:val="0"/>
        <w:autoSpaceDN w:val="0"/>
        <w:bidi w:val="0"/>
        <w:adjustRightInd/>
        <w:snapToGrid/>
        <w:ind w:left="0" w:leftChars="0" w:firstLine="420" w:firstLineChars="200"/>
        <w:textAlignment w:val="auto"/>
        <w:rPr>
          <w:rFonts w:hint="eastAsia" w:hAnsi="宋体" w:cs="宋体"/>
          <w:highlight w:val="none"/>
          <w:lang w:val="en-US" w:eastAsia="zh-CN"/>
        </w:rPr>
      </w:pPr>
      <w:r>
        <w:rPr>
          <w:rFonts w:hint="eastAsia" w:hAnsi="宋体" w:cs="宋体"/>
          <w:highlight w:val="none"/>
          <w:lang w:val="en-US" w:eastAsia="zh-CN"/>
        </w:rPr>
        <w:t>对油气田甲烷采收利用的碳减排量计算公式见公式（B.2）。</w:t>
      </w:r>
    </w:p>
    <w:p w14:paraId="26EEAFBB">
      <w:pPr>
        <w:pStyle w:val="26"/>
        <w:keepNext w:val="0"/>
        <w:keepLines w:val="0"/>
        <w:pageBreakBefore w:val="0"/>
        <w:widowControl/>
        <w:tabs>
          <w:tab w:val="center" w:leader="middleDot" w:pos="4620"/>
          <w:tab w:val="clear" w:pos="4201"/>
        </w:tabs>
        <w:kinsoku/>
        <w:wordWrap/>
        <w:overflowPunct/>
        <w:topLinePunct w:val="0"/>
        <w:autoSpaceDE w:val="0"/>
        <w:autoSpaceDN w:val="0"/>
        <w:bidi w:val="0"/>
        <w:adjustRightInd/>
        <w:snapToGrid/>
        <w:ind w:left="0" w:leftChars="0" w:firstLine="0" w:firstLineChars="0"/>
        <w:jc w:val="right"/>
        <w:textAlignment w:val="auto"/>
        <w:rPr>
          <w:rFonts w:hint="eastAsia" w:hAnsi="Cambria Math" w:cs="宋体"/>
          <w:i w:val="0"/>
          <w:sz w:val="21"/>
          <w:highlight w:val="none"/>
          <w:lang w:val="en-US" w:eastAsia="zh-CN" w:bidi="ar-SA"/>
        </w:rPr>
      </w:pPr>
      <m:oMath>
        <m:r>
          <m:rPr/>
          <w:rPr>
            <w:rFonts w:hint="default" w:ascii="Cambria Math" w:hAnsi="Cambria Math" w:cs="宋体"/>
            <w:sz w:val="21"/>
            <w:highlight w:val="none"/>
            <w:lang w:val="en-US" w:eastAsia="zh-CN" w:bidi="ar-SA"/>
          </w:rPr>
          <m:t>R</m:t>
        </m:r>
        <m:r>
          <m:rPr/>
          <w:rPr>
            <w:rFonts w:hint="eastAsia" w:ascii="Cambria Math" w:hAnsi="Cambria Math" w:cs="宋体"/>
            <w:sz w:val="21"/>
            <w:highlight w:val="none"/>
            <w:lang w:val="en-US" w:eastAsia="zh-CN" w:bidi="ar-SA"/>
          </w:rPr>
          <m:t>=</m:t>
        </m:r>
        <m:sSub>
          <m:sSubPr>
            <m:ctrlPr>
              <w:rPr>
                <w:rFonts w:hint="eastAsia" w:ascii="Cambria Math" w:hAnsi="Cambria Math" w:cs="宋体"/>
                <w:i/>
                <w:sz w:val="21"/>
                <w:highlight w:val="none"/>
                <w:lang w:val="en-US" w:eastAsia="zh-CN" w:bidi="ar-SA"/>
              </w:rPr>
            </m:ctrlPr>
          </m:sSubPr>
          <m:e>
            <m:r>
              <m:rPr/>
              <w:rPr>
                <w:rFonts w:hint="default" w:ascii="Cambria Math" w:hAnsi="Cambria Math" w:cs="宋体"/>
                <w:sz w:val="21"/>
                <w:highlight w:val="none"/>
                <w:lang w:val="en-US" w:eastAsia="zh-CN" w:bidi="ar-SA"/>
              </w:rPr>
              <m:t>E</m:t>
            </m:r>
            <m:ctrlPr>
              <w:rPr>
                <w:rFonts w:hint="eastAsia" w:ascii="Cambria Math" w:hAnsi="Cambria Math" w:cs="宋体"/>
                <w:i/>
                <w:sz w:val="21"/>
                <w:highlight w:val="none"/>
                <w:lang w:val="en-US" w:eastAsia="zh-CN" w:bidi="ar-SA"/>
              </w:rPr>
            </m:ctrlPr>
          </m:e>
          <m:sub>
            <m:sSub>
              <m:sSubPr>
                <m:ctrlPr>
                  <w:rPr>
                    <w:rFonts w:hint="eastAsia" w:ascii="Cambria Math" w:hAnsi="Cambria Math" w:cs="宋体"/>
                    <w:i/>
                    <w:sz w:val="21"/>
                    <w:highlight w:val="none"/>
                    <w:lang w:val="en-US" w:eastAsia="zh-CN" w:bidi="ar-SA"/>
                  </w:rPr>
                </m:ctrlPr>
              </m:sSubPr>
              <m:e>
                <m:r>
                  <m:rPr/>
                  <w:rPr>
                    <w:rFonts w:hint="default" w:ascii="Cambria Math" w:hAnsi="Cambria Math" w:cs="宋体"/>
                    <w:sz w:val="21"/>
                    <w:highlight w:val="none"/>
                    <w:lang w:val="en-US" w:eastAsia="zh-CN" w:bidi="ar-SA"/>
                  </w:rPr>
                  <m:t>CH</m:t>
                </m:r>
                <m:ctrlPr>
                  <w:rPr>
                    <w:rFonts w:hint="eastAsia" w:ascii="Cambria Math" w:hAnsi="Cambria Math" w:cs="宋体"/>
                    <w:i/>
                    <w:sz w:val="21"/>
                    <w:highlight w:val="none"/>
                    <w:lang w:val="en-US" w:eastAsia="zh-CN" w:bidi="ar-SA"/>
                  </w:rPr>
                </m:ctrlPr>
              </m:e>
              <m:sub>
                <m:r>
                  <m:rPr/>
                  <w:rPr>
                    <w:rFonts w:hint="default" w:ascii="Cambria Math" w:hAnsi="Cambria Math" w:cs="宋体"/>
                    <w:sz w:val="21"/>
                    <w:highlight w:val="none"/>
                    <w:lang w:val="en-US" w:eastAsia="zh-CN" w:bidi="ar-SA"/>
                  </w:rPr>
                  <m:t>4</m:t>
                </m:r>
                <m:ctrlPr>
                  <w:rPr>
                    <w:rFonts w:hint="eastAsia" w:ascii="Cambria Math" w:hAnsi="Cambria Math" w:cs="宋体"/>
                    <w:i/>
                    <w:sz w:val="21"/>
                    <w:highlight w:val="none"/>
                    <w:lang w:val="en-US" w:eastAsia="zh-CN" w:bidi="ar-SA"/>
                  </w:rPr>
                </m:ctrlPr>
              </m:sub>
            </m:sSub>
            <m:ctrlPr>
              <w:rPr>
                <w:rFonts w:hint="eastAsia" w:ascii="Cambria Math" w:hAnsi="Cambria Math" w:cs="宋体"/>
                <w:i/>
                <w:sz w:val="21"/>
                <w:highlight w:val="none"/>
                <w:lang w:val="en-US" w:eastAsia="zh-CN" w:bidi="ar-SA"/>
              </w:rPr>
            </m:ctrlPr>
          </m:sub>
        </m:sSub>
        <m:r>
          <m:rPr/>
          <w:rPr>
            <w:rFonts w:hint="default" w:ascii="Cambria Math" w:hAnsi="Cambria Math" w:cs="Cambria Math"/>
            <w:sz w:val="21"/>
            <w:highlight w:val="none"/>
            <w:lang w:val="en-US" w:eastAsia="zh-CN" w:bidi="ar-SA"/>
          </w:rPr>
          <m:t>×</m:t>
        </m:r>
        <m:sSub>
          <m:sSubPr>
            <m:ctrlPr>
              <w:rPr>
                <w:rFonts w:hint="default" w:ascii="Cambria Math" w:hAnsi="Cambria Math" w:cs="Cambria Math"/>
                <w:i/>
                <w:sz w:val="21"/>
                <w:highlight w:val="none"/>
                <w:lang w:val="en-US" w:eastAsia="zh-CN" w:bidi="ar-SA"/>
              </w:rPr>
            </m:ctrlPr>
          </m:sSubPr>
          <m:e>
            <m:r>
              <m:rPr/>
              <w:rPr>
                <w:rFonts w:hint="default" w:ascii="Cambria Math" w:hAnsi="Cambria Math" w:cs="Cambria Math"/>
                <w:sz w:val="21"/>
                <w:highlight w:val="none"/>
                <w:lang w:val="en-US" w:eastAsia="zh-CN" w:bidi="ar-SA"/>
              </w:rPr>
              <m:t>GWP</m:t>
            </m:r>
            <m:ctrlPr>
              <w:rPr>
                <w:rFonts w:hint="default" w:ascii="Cambria Math" w:hAnsi="Cambria Math" w:cs="Cambria Math"/>
                <w:i/>
                <w:sz w:val="21"/>
                <w:highlight w:val="none"/>
                <w:lang w:val="en-US" w:eastAsia="zh-CN" w:bidi="ar-SA"/>
              </w:rPr>
            </m:ctrlPr>
          </m:e>
          <m:sub>
            <m:sSub>
              <m:sSubPr>
                <m:ctrlPr>
                  <w:rPr>
                    <w:rFonts w:hint="default" w:ascii="Cambria Math" w:hAnsi="Cambria Math" w:cs="Cambria Math"/>
                    <w:i/>
                    <w:sz w:val="21"/>
                    <w:highlight w:val="none"/>
                    <w:lang w:val="en-US" w:eastAsia="zh-CN" w:bidi="ar-SA"/>
                  </w:rPr>
                </m:ctrlPr>
              </m:sSubPr>
              <m:e>
                <m:r>
                  <m:rPr/>
                  <w:rPr>
                    <w:rFonts w:hint="default" w:ascii="Cambria Math" w:hAnsi="Cambria Math" w:cs="Cambria Math"/>
                    <w:sz w:val="21"/>
                    <w:highlight w:val="none"/>
                    <w:lang w:val="en-US" w:eastAsia="zh-CN" w:bidi="ar-SA"/>
                  </w:rPr>
                  <m:t>CH</m:t>
                </m:r>
                <m:ctrlPr>
                  <w:rPr>
                    <w:rFonts w:hint="default" w:ascii="Cambria Math" w:hAnsi="Cambria Math" w:cs="Cambria Math"/>
                    <w:i/>
                    <w:sz w:val="21"/>
                    <w:highlight w:val="none"/>
                    <w:lang w:val="en-US" w:eastAsia="zh-CN" w:bidi="ar-SA"/>
                  </w:rPr>
                </m:ctrlPr>
              </m:e>
              <m:sub>
                <m:r>
                  <m:rPr/>
                  <w:rPr>
                    <w:rFonts w:hint="default" w:ascii="Cambria Math" w:hAnsi="Cambria Math" w:cs="Cambria Math"/>
                    <w:sz w:val="21"/>
                    <w:highlight w:val="none"/>
                    <w:lang w:val="en-US" w:eastAsia="zh-CN" w:bidi="ar-SA"/>
                  </w:rPr>
                  <m:t>4</m:t>
                </m:r>
                <m:ctrlPr>
                  <w:rPr>
                    <w:rFonts w:hint="default" w:ascii="Cambria Math" w:hAnsi="Cambria Math" w:cs="Cambria Math"/>
                    <w:i/>
                    <w:sz w:val="21"/>
                    <w:highlight w:val="none"/>
                    <w:lang w:val="en-US" w:eastAsia="zh-CN" w:bidi="ar-SA"/>
                  </w:rPr>
                </m:ctrlPr>
              </m:sub>
            </m:sSub>
            <m:ctrlPr>
              <w:rPr>
                <w:rFonts w:hint="default" w:ascii="Cambria Math" w:hAnsi="Cambria Math" w:cs="Cambria Math"/>
                <w:i/>
                <w:sz w:val="21"/>
                <w:highlight w:val="none"/>
                <w:lang w:val="en-US" w:eastAsia="zh-CN" w:bidi="ar-SA"/>
              </w:rPr>
            </m:ctrlPr>
          </m:sub>
        </m:sSub>
        <m:r>
          <m:rPr/>
          <w:rPr>
            <w:rFonts w:hint="default" w:ascii="Cambria Math" w:hAnsi="Cambria Math" w:cs="Cambria Math"/>
            <w:sz w:val="21"/>
            <w:highlight w:val="none"/>
            <w:lang w:val="en-US" w:eastAsia="zh-CN" w:bidi="ar-SA"/>
          </w:rPr>
          <m:t>−</m:t>
        </m:r>
        <m:sSub>
          <m:sSubPr>
            <m:ctrlPr>
              <w:rPr>
                <w:rFonts w:hint="default" w:ascii="Cambria Math" w:hAnsi="Cambria Math" w:cs="Cambria Math"/>
                <w:i/>
                <w:sz w:val="21"/>
                <w:highlight w:val="none"/>
                <w:lang w:val="en-US" w:eastAsia="zh-CN" w:bidi="ar-SA"/>
              </w:rPr>
            </m:ctrlPr>
          </m:sSubPr>
          <m:e>
            <m:r>
              <m:rPr/>
              <w:rPr>
                <w:rFonts w:hint="default" w:ascii="Cambria Math" w:hAnsi="Cambria Math" w:cs="Cambria Math"/>
                <w:sz w:val="21"/>
                <w:highlight w:val="none"/>
                <w:lang w:val="en-US" w:eastAsia="zh-CN" w:bidi="ar-SA"/>
              </w:rPr>
              <m:t>E</m:t>
            </m:r>
            <m:ctrlPr>
              <w:rPr>
                <w:rFonts w:hint="default" w:ascii="Cambria Math" w:hAnsi="Cambria Math" w:cs="Cambria Math"/>
                <w:i/>
                <w:sz w:val="21"/>
                <w:highlight w:val="none"/>
                <w:lang w:val="en-US" w:eastAsia="zh-CN" w:bidi="ar-SA"/>
              </w:rPr>
            </m:ctrlPr>
          </m:e>
          <m:sub>
            <m:sSub>
              <m:sSubPr>
                <m:ctrlPr>
                  <w:rPr>
                    <w:rFonts w:hint="default" w:ascii="Cambria Math" w:hAnsi="Cambria Math" w:cs="Cambria Math"/>
                    <w:i/>
                    <w:sz w:val="21"/>
                    <w:highlight w:val="none"/>
                    <w:lang w:val="en-US" w:eastAsia="zh-CN" w:bidi="ar-SA"/>
                  </w:rPr>
                </m:ctrlPr>
              </m:sSubPr>
              <m:e>
                <m:r>
                  <m:rPr/>
                  <w:rPr>
                    <w:rFonts w:hint="default" w:ascii="Cambria Math" w:hAnsi="Cambria Math" w:cs="Cambria Math"/>
                    <w:sz w:val="21"/>
                    <w:highlight w:val="none"/>
                    <w:lang w:val="en-US" w:eastAsia="zh-CN" w:bidi="ar-SA"/>
                  </w:rPr>
                  <m:t>CO</m:t>
                </m:r>
                <m:ctrlPr>
                  <w:rPr>
                    <w:rFonts w:hint="default" w:ascii="Cambria Math" w:hAnsi="Cambria Math" w:cs="Cambria Math"/>
                    <w:i/>
                    <w:sz w:val="21"/>
                    <w:highlight w:val="none"/>
                    <w:lang w:val="en-US" w:eastAsia="zh-CN" w:bidi="ar-SA"/>
                  </w:rPr>
                </m:ctrlPr>
              </m:e>
              <m:sub>
                <m:r>
                  <m:rPr/>
                  <w:rPr>
                    <w:rFonts w:hint="default" w:ascii="Cambria Math" w:hAnsi="Cambria Math" w:cs="Cambria Math"/>
                    <w:sz w:val="21"/>
                    <w:highlight w:val="none"/>
                    <w:lang w:val="en-US" w:eastAsia="zh-CN" w:bidi="ar-SA"/>
                  </w:rPr>
                  <m:t>2</m:t>
                </m:r>
                <m:ctrlPr>
                  <w:rPr>
                    <w:rFonts w:hint="default" w:ascii="Cambria Math" w:hAnsi="Cambria Math" w:cs="Cambria Math"/>
                    <w:i/>
                    <w:sz w:val="21"/>
                    <w:highlight w:val="none"/>
                    <w:lang w:val="en-US" w:eastAsia="zh-CN" w:bidi="ar-SA"/>
                  </w:rPr>
                </m:ctrlPr>
              </m:sub>
            </m:sSub>
            <m:ctrlPr>
              <w:rPr>
                <w:rFonts w:hint="default" w:ascii="Cambria Math" w:hAnsi="Cambria Math" w:cs="Cambria Math"/>
                <w:i/>
                <w:sz w:val="21"/>
                <w:highlight w:val="none"/>
                <w:lang w:val="en-US" w:eastAsia="zh-CN" w:bidi="ar-SA"/>
              </w:rPr>
            </m:ctrlPr>
          </m:sub>
        </m:sSub>
        <m:r>
          <m:rPr/>
          <w:rPr>
            <w:rFonts w:hint="default" w:ascii="Cambria Math" w:hAnsi="Cambria Math" w:cs="Cambria Math"/>
            <w:sz w:val="21"/>
            <w:highlight w:val="none"/>
            <w:lang w:val="en-US" w:eastAsia="zh-CN" w:bidi="ar-SA"/>
          </w:rPr>
          <m:t>×</m:t>
        </m:r>
        <m:sSub>
          <m:sSubPr>
            <m:ctrlPr>
              <w:rPr>
                <w:rFonts w:hint="default" w:ascii="Cambria Math" w:hAnsi="Cambria Math" w:cs="Cambria Math"/>
                <w:i/>
                <w:sz w:val="21"/>
                <w:highlight w:val="none"/>
                <w:lang w:val="en-US" w:eastAsia="zh-CN" w:bidi="ar-SA"/>
              </w:rPr>
            </m:ctrlPr>
          </m:sSubPr>
          <m:e>
            <m:r>
              <m:rPr/>
              <w:rPr>
                <w:rFonts w:hint="default" w:ascii="Cambria Math" w:hAnsi="Cambria Math" w:cs="Cambria Math"/>
                <w:sz w:val="21"/>
                <w:highlight w:val="none"/>
                <w:lang w:val="en-US" w:eastAsia="zh-CN" w:bidi="ar-SA"/>
              </w:rPr>
              <m:t>GWP</m:t>
            </m:r>
            <m:ctrlPr>
              <w:rPr>
                <w:rFonts w:hint="default" w:ascii="Cambria Math" w:hAnsi="Cambria Math" w:cs="Cambria Math"/>
                <w:i/>
                <w:sz w:val="21"/>
                <w:highlight w:val="none"/>
                <w:lang w:val="en-US" w:eastAsia="zh-CN" w:bidi="ar-SA"/>
              </w:rPr>
            </m:ctrlPr>
          </m:e>
          <m:sub>
            <m:sSub>
              <m:sSubPr>
                <m:ctrlPr>
                  <w:rPr>
                    <w:rFonts w:hint="default" w:ascii="Cambria Math" w:hAnsi="Cambria Math" w:cs="Cambria Math"/>
                    <w:i/>
                    <w:sz w:val="21"/>
                    <w:highlight w:val="none"/>
                    <w:lang w:val="en-US" w:eastAsia="zh-CN" w:bidi="ar-SA"/>
                  </w:rPr>
                </m:ctrlPr>
              </m:sSubPr>
              <m:e>
                <m:r>
                  <m:rPr/>
                  <w:rPr>
                    <w:rFonts w:hint="default" w:ascii="Cambria Math" w:hAnsi="Cambria Math" w:cs="Cambria Math"/>
                    <w:sz w:val="21"/>
                    <w:highlight w:val="none"/>
                    <w:lang w:val="en-US" w:eastAsia="zh-CN" w:bidi="ar-SA"/>
                  </w:rPr>
                  <m:t>CO</m:t>
                </m:r>
                <m:ctrlPr>
                  <w:rPr>
                    <w:rFonts w:hint="default" w:ascii="Cambria Math" w:hAnsi="Cambria Math" w:cs="Cambria Math"/>
                    <w:i/>
                    <w:sz w:val="21"/>
                    <w:highlight w:val="none"/>
                    <w:lang w:val="en-US" w:eastAsia="zh-CN" w:bidi="ar-SA"/>
                  </w:rPr>
                </m:ctrlPr>
              </m:e>
              <m:sub>
                <m:r>
                  <m:rPr/>
                  <w:rPr>
                    <w:rFonts w:hint="default" w:ascii="Cambria Math" w:hAnsi="Cambria Math" w:cs="Cambria Math"/>
                    <w:sz w:val="21"/>
                    <w:highlight w:val="none"/>
                    <w:lang w:val="en-US" w:eastAsia="zh-CN" w:bidi="ar-SA"/>
                  </w:rPr>
                  <m:t>2</m:t>
                </m:r>
                <m:ctrlPr>
                  <w:rPr>
                    <w:rFonts w:hint="default" w:ascii="Cambria Math" w:hAnsi="Cambria Math" w:cs="Cambria Math"/>
                    <w:i/>
                    <w:sz w:val="21"/>
                    <w:highlight w:val="none"/>
                    <w:lang w:val="en-US" w:eastAsia="zh-CN" w:bidi="ar-SA"/>
                  </w:rPr>
                </m:ctrlPr>
              </m:sub>
            </m:sSub>
            <m:ctrlPr>
              <w:rPr>
                <w:rFonts w:hint="default" w:ascii="Cambria Math" w:hAnsi="Cambria Math" w:cs="Cambria Math"/>
                <w:i/>
                <w:sz w:val="21"/>
                <w:highlight w:val="none"/>
                <w:lang w:val="en-US" w:eastAsia="zh-CN" w:bidi="ar-SA"/>
              </w:rPr>
            </m:ctrlPr>
          </m:sub>
        </m:sSub>
      </m:oMath>
      <w:r>
        <w:rPr>
          <w:rFonts w:hint="eastAsia" w:hAnsi="Cambria Math" w:cs="宋体"/>
          <w:i w:val="0"/>
          <w:iCs/>
          <w:highlight w:val="none"/>
          <w:lang w:val="en-US"/>
        </w:rPr>
        <w:tab/>
      </w:r>
      <w:r>
        <w:rPr>
          <w:rFonts w:hint="eastAsia" w:hAnsi="Cambria Math" w:cs="宋体"/>
          <w:i w:val="0"/>
          <w:iCs w:val="0"/>
          <w:sz w:val="21"/>
          <w:highlight w:val="none"/>
          <w:lang w:val="en-US" w:eastAsia="zh-CN" w:bidi="ar-SA"/>
        </w:rPr>
        <w:t>（B.2）</w:t>
      </w:r>
    </w:p>
    <w:p w14:paraId="14D8304F">
      <w:pPr>
        <w:pStyle w:val="26"/>
        <w:keepNext w:val="0"/>
        <w:keepLines w:val="0"/>
        <w:pageBreakBefore w:val="0"/>
        <w:widowControl/>
        <w:kinsoku/>
        <w:wordWrap/>
        <w:overflowPunct/>
        <w:topLinePunct w:val="0"/>
        <w:autoSpaceDE w:val="0"/>
        <w:autoSpaceDN w:val="0"/>
        <w:bidi w:val="0"/>
        <w:adjustRightInd/>
        <w:snapToGrid/>
        <w:ind w:left="0" w:leftChars="0" w:firstLine="420" w:firstLineChars="200"/>
        <w:jc w:val="left"/>
        <w:textAlignment w:val="auto"/>
        <w:rPr>
          <w:rFonts w:hint="eastAsia" w:hAnsi="Cambria Math" w:cs="宋体"/>
          <w:i w:val="0"/>
          <w:sz w:val="21"/>
          <w:highlight w:val="none"/>
          <w:lang w:val="en-US" w:eastAsia="zh-CN" w:bidi="ar-SA"/>
        </w:rPr>
      </w:pPr>
      <w:r>
        <w:rPr>
          <w:rFonts w:hint="eastAsia" w:hAnsi="Cambria Math" w:cs="宋体"/>
          <w:i w:val="0"/>
          <w:sz w:val="21"/>
          <w:highlight w:val="none"/>
          <w:lang w:val="en-US" w:eastAsia="zh-CN" w:bidi="ar-SA"/>
        </w:rPr>
        <w:t>式中：</w:t>
      </w:r>
    </w:p>
    <w:p w14:paraId="115D95A9">
      <w:pPr>
        <w:pStyle w:val="132"/>
        <w:ind w:firstLine="420" w:firstLineChars="200"/>
        <w:rPr>
          <w:rFonts w:hint="eastAsia" w:hAnsi="宋体" w:cs="宋体"/>
          <w:highlight w:val="none"/>
        </w:rPr>
      </w:pPr>
      <m:oMath>
        <m:r>
          <m:rPr>
            <m:sty m:val="p"/>
          </m:rPr>
          <w:rPr>
            <w:rFonts w:hint="default" w:ascii="Cambria Math" w:hAnsi="Cambria Math" w:cs="宋体"/>
            <w:highlight w:val="none"/>
            <w:lang w:val="en-US" w:eastAsia="zh-CN"/>
          </w:rPr>
          <m:t>R</m:t>
        </m:r>
      </m:oMath>
      <w:r>
        <w:rPr>
          <w:rFonts w:hint="eastAsia" w:hAnsi="Cambria Math" w:cs="宋体"/>
          <w:i w:val="0"/>
          <w:spacing w:val="28"/>
          <w:sz w:val="21"/>
          <w:highlight w:val="none"/>
          <w:lang w:val="en-US" w:eastAsia="zh-CN"/>
        </w:rPr>
        <w:t xml:space="preserve">     </w:t>
      </w:r>
      <w:r>
        <w:rPr>
          <w:rFonts w:hint="eastAsia" w:hAnsi="宋体" w:cs="宋体"/>
          <w:highlight w:val="none"/>
          <w:lang w:eastAsia="zh-CN"/>
        </w:rPr>
        <w:t>——</w:t>
      </w:r>
      <w:r>
        <w:rPr>
          <w:rFonts w:hint="eastAsia" w:hAnsi="宋体" w:cs="宋体"/>
          <w:highlight w:val="none"/>
          <w:lang w:val="en-US" w:eastAsia="zh-CN"/>
        </w:rPr>
        <w:t>油气田甲烷采收利用的碳减排量</w:t>
      </w:r>
      <w:r>
        <w:rPr>
          <w:rFonts w:hint="eastAsia" w:hAnsi="宋体" w:cs="宋体"/>
          <w:highlight w:val="none"/>
        </w:rPr>
        <w:t>，单位</w:t>
      </w:r>
      <w:r>
        <w:rPr>
          <w:rFonts w:hint="eastAsia" w:hAnsi="宋体" w:cs="宋体"/>
          <w:highlight w:val="none"/>
          <w:lang w:val="en-US" w:eastAsia="zh-CN"/>
        </w:rPr>
        <w:t>为吨（t）</w:t>
      </w:r>
      <w:r>
        <w:rPr>
          <w:rFonts w:hint="eastAsia" w:hAnsi="宋体" w:cs="宋体"/>
          <w:highlight w:val="none"/>
        </w:rPr>
        <w:t>；</w:t>
      </w:r>
    </w:p>
    <w:p w14:paraId="2B87F6C6">
      <w:pPr>
        <w:pStyle w:val="132"/>
        <w:keepNext w:val="0"/>
        <w:keepLines w:val="0"/>
        <w:pageBreakBefore w:val="0"/>
        <w:widowControl/>
        <w:kinsoku/>
        <w:wordWrap/>
        <w:overflowPunct/>
        <w:topLinePunct w:val="0"/>
        <w:autoSpaceDE w:val="0"/>
        <w:autoSpaceDN w:val="0"/>
        <w:bidi w:val="0"/>
        <w:adjustRightInd/>
        <w:snapToGrid/>
        <w:ind w:left="1110" w:leftChars="200" w:hanging="690" w:hangingChars="329"/>
        <w:textAlignment w:val="auto"/>
        <w:rPr>
          <w:rFonts w:hint="eastAsia" w:hAnsi="宋体" w:cs="宋体"/>
          <w:highlight w:val="none"/>
        </w:rPr>
      </w:pPr>
      <m:oMath>
        <m:sSub>
          <m:sSubPr>
            <m:ctrlPr>
              <w:rPr>
                <w:rFonts w:hint="eastAsia" w:ascii="Cambria Math" w:hAnsi="Cambria Math" w:cs="宋体"/>
                <w:i/>
                <w:iCs/>
                <w:highlight w:val="none"/>
                <w:lang w:val="en-US" w:eastAsia="zh-CN"/>
              </w:rPr>
            </m:ctrlPr>
          </m:sSubPr>
          <m:e>
            <m:r>
              <m:rPr/>
              <w:rPr>
                <w:rFonts w:hint="default" w:ascii="Cambria Math" w:hAnsi="Cambria Math" w:cs="宋体"/>
                <w:highlight w:val="none"/>
                <w:lang w:val="en-US" w:eastAsia="zh-CN"/>
              </w:rPr>
              <m:t>E</m:t>
            </m:r>
            <m:ctrlPr>
              <w:rPr>
                <w:rFonts w:hint="eastAsia" w:ascii="Cambria Math" w:hAnsi="Cambria Math" w:cs="宋体"/>
                <w:i/>
                <w:iCs/>
                <w:highlight w:val="none"/>
                <w:lang w:val="en-US" w:eastAsia="zh-CN"/>
              </w:rPr>
            </m:ctrlPr>
          </m:e>
          <m:sub>
            <m:sSub>
              <m:sSubPr>
                <m:ctrlPr>
                  <w:rPr>
                    <w:rFonts w:hint="eastAsia" w:ascii="Cambria Math" w:hAnsi="Cambria Math" w:cs="宋体"/>
                    <w:i/>
                    <w:iCs/>
                    <w:highlight w:val="none"/>
                    <w:lang w:val="en-US" w:eastAsia="zh-CN"/>
                  </w:rPr>
                </m:ctrlPr>
              </m:sSubPr>
              <m:e>
                <m:r>
                  <m:rPr/>
                  <w:rPr>
                    <w:rFonts w:hint="default" w:ascii="Cambria Math" w:hAnsi="Cambria Math" w:cs="宋体"/>
                    <w:highlight w:val="none"/>
                    <w:lang w:val="en-US" w:eastAsia="zh-CN"/>
                  </w:rPr>
                  <m:t>CH</m:t>
                </m:r>
                <m:ctrlPr>
                  <w:rPr>
                    <w:rFonts w:hint="eastAsia" w:ascii="Cambria Math" w:hAnsi="Cambria Math" w:cs="宋体"/>
                    <w:i/>
                    <w:iCs/>
                    <w:highlight w:val="none"/>
                    <w:lang w:val="en-US" w:eastAsia="zh-CN"/>
                  </w:rPr>
                </m:ctrlPr>
              </m:e>
              <m:sub>
                <m:r>
                  <m:rPr/>
                  <w:rPr>
                    <w:rFonts w:hint="default" w:ascii="Cambria Math" w:hAnsi="Cambria Math" w:cs="宋体"/>
                    <w:highlight w:val="none"/>
                    <w:lang w:val="en-US" w:eastAsia="zh-CN"/>
                  </w:rPr>
                  <m:t>4</m:t>
                </m:r>
                <m:ctrlPr>
                  <w:rPr>
                    <w:rFonts w:hint="eastAsia" w:ascii="Cambria Math" w:hAnsi="Cambria Math" w:cs="宋体"/>
                    <w:i/>
                    <w:iCs/>
                    <w:highlight w:val="none"/>
                    <w:lang w:val="en-US" w:eastAsia="zh-CN"/>
                  </w:rPr>
                </m:ctrlPr>
              </m:sub>
            </m:sSub>
            <m:ctrlPr>
              <w:rPr>
                <w:rFonts w:hint="eastAsia" w:ascii="Cambria Math" w:hAnsi="Cambria Math" w:cs="宋体"/>
                <w:i/>
                <w:iCs/>
                <w:highlight w:val="none"/>
                <w:lang w:val="en-US" w:eastAsia="zh-CN"/>
              </w:rPr>
            </m:ctrlPr>
          </m:sub>
        </m:sSub>
      </m:oMath>
      <w:r>
        <w:rPr>
          <w:rFonts w:hint="eastAsia" w:hAnsi="Cambria Math" w:cs="宋体"/>
          <w:i w:val="0"/>
          <w:iCs/>
          <w:highlight w:val="none"/>
          <w:lang w:val="en-US" w:eastAsia="zh-CN"/>
        </w:rPr>
        <w:t xml:space="preserve">     </w:t>
      </w:r>
      <w:r>
        <w:rPr>
          <w:rFonts w:hint="eastAsia" w:hAnsi="宋体" w:cs="宋体"/>
          <w:highlight w:val="none"/>
          <w:lang w:eastAsia="zh-CN"/>
        </w:rPr>
        <w:t>——</w:t>
      </w:r>
      <w:r>
        <w:rPr>
          <w:rFonts w:hint="eastAsia" w:hAnsi="宋体" w:cs="宋体"/>
          <w:highlight w:val="none"/>
          <w:lang w:val="en-US" w:eastAsia="zh-CN"/>
        </w:rPr>
        <w:t>油气田甲烷采收利用量</w:t>
      </w:r>
      <w:r>
        <w:rPr>
          <w:rFonts w:hint="eastAsia" w:hAnsi="宋体" w:cs="宋体"/>
          <w:highlight w:val="none"/>
        </w:rPr>
        <w:t>，单位</w:t>
      </w:r>
      <w:r>
        <w:rPr>
          <w:rFonts w:hint="eastAsia" w:hAnsi="宋体" w:cs="宋体"/>
          <w:highlight w:val="none"/>
          <w:lang w:val="en-US" w:eastAsia="zh-CN"/>
        </w:rPr>
        <w:t>为吨（t）</w:t>
      </w:r>
      <w:r>
        <w:rPr>
          <w:rFonts w:hint="eastAsia" w:hAnsi="宋体" w:cs="宋体"/>
          <w:highlight w:val="none"/>
        </w:rPr>
        <w:t>；</w:t>
      </w:r>
    </w:p>
    <w:p w14:paraId="32826625">
      <w:pPr>
        <w:pStyle w:val="132"/>
        <w:ind w:firstLine="420" w:firstLineChars="200"/>
        <w:rPr>
          <w:rFonts w:hint="eastAsia" w:hAnsi="宋体" w:cs="宋体"/>
          <w:highlight w:val="none"/>
          <w:lang w:val="en-US" w:eastAsia="zh-CN"/>
        </w:rPr>
      </w:pPr>
      <m:oMath>
        <m:sSub>
          <m:sSubPr>
            <m:ctrlPr>
              <w:rPr>
                <w:rFonts w:ascii="Cambria Math" w:hAnsi="Cambria Math" w:cs="宋体"/>
                <w:i/>
                <w:iCs/>
                <w:highlight w:val="none"/>
                <w:lang w:val="en-US"/>
              </w:rPr>
            </m:ctrlPr>
          </m:sSubPr>
          <m:e>
            <m:r>
              <m:rPr/>
              <w:rPr>
                <w:rFonts w:hint="default" w:ascii="Cambria Math" w:hAnsi="Cambria Math" w:cs="宋体"/>
                <w:highlight w:val="none"/>
                <w:lang w:val="en-US" w:eastAsia="zh-CN"/>
              </w:rPr>
              <m:t>GWP</m:t>
            </m:r>
            <m:ctrlPr>
              <w:rPr>
                <w:rFonts w:ascii="Cambria Math" w:hAnsi="Cambria Math" w:cs="宋体"/>
                <w:i/>
                <w:iCs/>
                <w:highlight w:val="none"/>
                <w:lang w:val="en-US"/>
              </w:rPr>
            </m:ctrlPr>
          </m:e>
          <m:sub>
            <m:sSub>
              <m:sSubPr>
                <m:ctrlPr>
                  <w:rPr>
                    <w:rFonts w:ascii="Cambria Math" w:hAnsi="Cambria Math" w:cs="宋体"/>
                    <w:i/>
                    <w:iCs/>
                    <w:highlight w:val="none"/>
                    <w:lang w:val="en-US"/>
                  </w:rPr>
                </m:ctrlPr>
              </m:sSubPr>
              <m:e>
                <m:r>
                  <m:rPr/>
                  <w:rPr>
                    <w:rFonts w:hint="default" w:ascii="Cambria Math" w:hAnsi="Cambria Math" w:cs="宋体"/>
                    <w:highlight w:val="none"/>
                    <w:lang w:val="en-US" w:eastAsia="zh-CN"/>
                  </w:rPr>
                  <m:t>CH</m:t>
                </m:r>
                <m:ctrlPr>
                  <w:rPr>
                    <w:rFonts w:ascii="Cambria Math" w:hAnsi="Cambria Math" w:cs="宋体"/>
                    <w:i/>
                    <w:iCs/>
                    <w:highlight w:val="none"/>
                    <w:lang w:val="en-US"/>
                  </w:rPr>
                </m:ctrlPr>
              </m:e>
              <m:sub>
                <m:r>
                  <m:rPr/>
                  <w:rPr>
                    <w:rFonts w:hint="default" w:ascii="Cambria Math" w:hAnsi="Cambria Math" w:cs="宋体"/>
                    <w:highlight w:val="none"/>
                    <w:lang w:val="en-US" w:eastAsia="zh-CN"/>
                  </w:rPr>
                  <m:t>4</m:t>
                </m:r>
                <m:ctrlPr>
                  <w:rPr>
                    <w:rFonts w:ascii="Cambria Math" w:hAnsi="Cambria Math" w:cs="宋体"/>
                    <w:i/>
                    <w:iCs/>
                    <w:highlight w:val="none"/>
                    <w:lang w:val="en-US"/>
                  </w:rPr>
                </m:ctrlPr>
              </m:sub>
            </m:sSub>
            <m:ctrlPr>
              <w:rPr>
                <w:rFonts w:ascii="Cambria Math" w:hAnsi="Cambria Math" w:cs="宋体"/>
                <w:i/>
                <w:iCs/>
                <w:highlight w:val="none"/>
                <w:lang w:val="en-US"/>
              </w:rPr>
            </m:ctrlPr>
          </m:sub>
        </m:sSub>
      </m:oMath>
      <w:r>
        <w:rPr>
          <w:rFonts w:hint="eastAsia" w:hAnsi="Cambria Math" w:cs="宋体"/>
          <w:i w:val="0"/>
          <w:iCs/>
          <w:highlight w:val="none"/>
          <w:lang w:val="en-US" w:eastAsia="zh-CN"/>
        </w:rPr>
        <w:t xml:space="preserve"> </w:t>
      </w:r>
      <w:r>
        <w:rPr>
          <w:rFonts w:hint="eastAsia" w:hAnsi="Cambria Math" w:cs="宋体"/>
          <w:i w:val="0"/>
          <w:iCs/>
          <w:spacing w:val="-20"/>
          <w:sz w:val="21"/>
          <w:highlight w:val="none"/>
          <w:lang w:val="en-US" w:eastAsia="zh-CN"/>
        </w:rPr>
        <w:t xml:space="preserve"> </w:t>
      </w:r>
      <w:r>
        <w:rPr>
          <w:rFonts w:hint="eastAsia" w:hAnsi="Cambria Math" w:cs="宋体"/>
          <w:i w:val="0"/>
          <w:iCs/>
          <w:spacing w:val="-45"/>
          <w:sz w:val="21"/>
          <w:highlight w:val="none"/>
          <w:lang w:val="en-US" w:eastAsia="zh-CN"/>
        </w:rPr>
        <w:t xml:space="preserve"> </w:t>
      </w:r>
      <w:r>
        <w:rPr>
          <w:rFonts w:hint="eastAsia" w:hAnsi="宋体" w:cs="宋体"/>
          <w:highlight w:val="none"/>
          <w:lang w:eastAsia="zh-CN"/>
        </w:rPr>
        <w:t>——</w:t>
      </w:r>
      <w:r>
        <w:rPr>
          <w:rFonts w:hint="eastAsia" w:hAnsi="宋体" w:cs="宋体"/>
          <w:highlight w:val="none"/>
          <w:lang w:val="en-US" w:eastAsia="zh-CN"/>
        </w:rPr>
        <w:t>甲烷的全球增温潜势值，无量纲，采用IPCC最新发布数据；</w:t>
      </w:r>
    </w:p>
    <w:p w14:paraId="1315AAC6">
      <w:pPr>
        <w:pStyle w:val="132"/>
        <w:keepNext w:val="0"/>
        <w:keepLines w:val="0"/>
        <w:pageBreakBefore w:val="0"/>
        <w:widowControl/>
        <w:kinsoku/>
        <w:wordWrap/>
        <w:overflowPunct/>
        <w:topLinePunct w:val="0"/>
        <w:autoSpaceDE w:val="0"/>
        <w:autoSpaceDN w:val="0"/>
        <w:bidi w:val="0"/>
        <w:adjustRightInd/>
        <w:snapToGrid/>
        <w:ind w:left="1110" w:leftChars="200" w:hanging="690" w:hangingChars="329"/>
        <w:textAlignment w:val="auto"/>
        <w:rPr>
          <w:rFonts w:hint="eastAsia" w:hAnsi="宋体" w:cs="宋体"/>
          <w:highlight w:val="none"/>
        </w:rPr>
      </w:pPr>
      <m:oMath>
        <m:sSub>
          <m:sSubPr>
            <m:ctrlPr>
              <w:rPr>
                <w:rFonts w:hint="eastAsia" w:ascii="Cambria Math" w:hAnsi="Cambria Math" w:cs="宋体"/>
                <w:i/>
                <w:iCs/>
                <w:highlight w:val="none"/>
                <w:lang w:val="en-US" w:eastAsia="zh-CN"/>
              </w:rPr>
            </m:ctrlPr>
          </m:sSubPr>
          <m:e>
            <m:r>
              <m:rPr/>
              <w:rPr>
                <w:rFonts w:hint="default" w:ascii="Cambria Math" w:hAnsi="Cambria Math" w:cs="宋体"/>
                <w:highlight w:val="none"/>
                <w:lang w:val="en-US" w:eastAsia="zh-CN"/>
              </w:rPr>
              <m:t>E</m:t>
            </m:r>
            <m:ctrlPr>
              <w:rPr>
                <w:rFonts w:hint="eastAsia" w:ascii="Cambria Math" w:hAnsi="Cambria Math" w:cs="宋体"/>
                <w:i/>
                <w:iCs/>
                <w:highlight w:val="none"/>
                <w:lang w:val="en-US" w:eastAsia="zh-CN"/>
              </w:rPr>
            </m:ctrlPr>
          </m:e>
          <m:sub>
            <m:sSub>
              <m:sSubPr>
                <m:ctrlPr>
                  <w:rPr>
                    <w:rFonts w:hint="eastAsia" w:ascii="Cambria Math" w:hAnsi="Cambria Math" w:cs="宋体"/>
                    <w:i/>
                    <w:iCs/>
                    <w:highlight w:val="none"/>
                    <w:lang w:val="en-US" w:eastAsia="zh-CN"/>
                  </w:rPr>
                </m:ctrlPr>
              </m:sSubPr>
              <m:e>
                <m:r>
                  <m:rPr/>
                  <w:rPr>
                    <w:rFonts w:hint="default" w:ascii="Cambria Math" w:hAnsi="Cambria Math" w:cs="宋体"/>
                    <w:highlight w:val="none"/>
                    <w:lang w:val="en-US" w:eastAsia="zh-CN"/>
                  </w:rPr>
                  <m:t>CO</m:t>
                </m:r>
                <m:ctrlPr>
                  <w:rPr>
                    <w:rFonts w:hint="eastAsia" w:ascii="Cambria Math" w:hAnsi="Cambria Math" w:cs="宋体"/>
                    <w:i/>
                    <w:iCs/>
                    <w:highlight w:val="none"/>
                    <w:lang w:val="en-US" w:eastAsia="zh-CN"/>
                  </w:rPr>
                </m:ctrlPr>
              </m:e>
              <m:sub>
                <m:r>
                  <m:rPr/>
                  <w:rPr>
                    <w:rFonts w:hint="default" w:ascii="Cambria Math" w:hAnsi="Cambria Math" w:cs="宋体"/>
                    <w:highlight w:val="none"/>
                    <w:lang w:val="en-US" w:eastAsia="zh-CN"/>
                  </w:rPr>
                  <m:t>2</m:t>
                </m:r>
                <m:ctrlPr>
                  <w:rPr>
                    <w:rFonts w:hint="eastAsia" w:ascii="Cambria Math" w:hAnsi="Cambria Math" w:cs="宋体"/>
                    <w:i/>
                    <w:iCs/>
                    <w:highlight w:val="none"/>
                    <w:lang w:val="en-US" w:eastAsia="zh-CN"/>
                  </w:rPr>
                </m:ctrlPr>
              </m:sub>
            </m:sSub>
            <m:ctrlPr>
              <w:rPr>
                <w:rFonts w:hint="eastAsia" w:ascii="Cambria Math" w:hAnsi="Cambria Math" w:cs="宋体"/>
                <w:i/>
                <w:iCs/>
                <w:highlight w:val="none"/>
                <w:lang w:val="en-US" w:eastAsia="zh-CN"/>
              </w:rPr>
            </m:ctrlPr>
          </m:sub>
        </m:sSub>
      </m:oMath>
      <w:r>
        <w:rPr>
          <w:rFonts w:hint="eastAsia" w:hAnsi="Cambria Math" w:cs="宋体"/>
          <w:i w:val="0"/>
          <w:iCs/>
          <w:highlight w:val="none"/>
          <w:lang w:val="en-US" w:eastAsia="zh-CN"/>
        </w:rPr>
        <w:t xml:space="preserve">    </w:t>
      </w:r>
      <w:r>
        <w:rPr>
          <w:rFonts w:hint="eastAsia" w:hAnsi="Cambria Math" w:cs="宋体"/>
          <w:i w:val="0"/>
          <w:iCs/>
          <w:spacing w:val="-23"/>
          <w:sz w:val="21"/>
          <w:highlight w:val="none"/>
          <w:lang w:val="en-US" w:eastAsia="zh-CN"/>
        </w:rPr>
        <w:t xml:space="preserve">  </w:t>
      </w:r>
      <w:r>
        <w:rPr>
          <w:rFonts w:hint="eastAsia" w:hAnsi="宋体" w:cs="宋体"/>
          <w:highlight w:val="none"/>
          <w:lang w:eastAsia="zh-CN"/>
        </w:rPr>
        <w:t>——</w:t>
      </w:r>
      <w:r>
        <w:rPr>
          <w:rFonts w:hint="eastAsia" w:hAnsi="宋体" w:cs="宋体"/>
          <w:highlight w:val="none"/>
          <w:lang w:val="en-US" w:eastAsia="zh-CN"/>
        </w:rPr>
        <w:t>油气田甲烷采收用于供能、发电产生的二氧化碳排放量</w:t>
      </w:r>
      <w:r>
        <w:rPr>
          <w:rFonts w:hint="eastAsia" w:hAnsi="宋体" w:cs="宋体"/>
          <w:highlight w:val="none"/>
        </w:rPr>
        <w:t>，单位</w:t>
      </w:r>
      <w:r>
        <w:rPr>
          <w:rFonts w:hint="eastAsia" w:hAnsi="宋体" w:cs="宋体"/>
          <w:highlight w:val="none"/>
          <w:lang w:val="en-US" w:eastAsia="zh-CN"/>
        </w:rPr>
        <w:t>为吨（t）</w:t>
      </w:r>
      <w:r>
        <w:rPr>
          <w:rFonts w:hint="eastAsia" w:hAnsi="宋体" w:cs="宋体"/>
          <w:highlight w:val="none"/>
        </w:rPr>
        <w:t>；</w:t>
      </w:r>
    </w:p>
    <w:p w14:paraId="36957D80">
      <w:pPr>
        <w:pStyle w:val="132"/>
        <w:ind w:firstLine="420" w:firstLineChars="200"/>
        <w:rPr>
          <w:rFonts w:hint="eastAsia"/>
          <w:highlight w:val="none"/>
        </w:rPr>
      </w:pPr>
      <m:oMath>
        <m:sSub>
          <m:sSubPr>
            <m:ctrlPr>
              <w:rPr>
                <w:rFonts w:ascii="Cambria Math" w:hAnsi="Cambria Math" w:cs="宋体"/>
                <w:i/>
                <w:iCs/>
                <w:highlight w:val="none"/>
                <w:lang w:val="en-US"/>
              </w:rPr>
            </m:ctrlPr>
          </m:sSubPr>
          <m:e>
            <m:r>
              <m:rPr/>
              <w:rPr>
                <w:rFonts w:hint="default" w:ascii="Cambria Math" w:hAnsi="Cambria Math" w:cs="宋体"/>
                <w:highlight w:val="none"/>
                <w:lang w:val="en-US" w:eastAsia="zh-CN"/>
              </w:rPr>
              <m:t>GWP</m:t>
            </m:r>
            <m:ctrlPr>
              <w:rPr>
                <w:rFonts w:ascii="Cambria Math" w:hAnsi="Cambria Math" w:cs="宋体"/>
                <w:i/>
                <w:iCs/>
                <w:highlight w:val="none"/>
                <w:lang w:val="en-US"/>
              </w:rPr>
            </m:ctrlPr>
          </m:e>
          <m:sub>
            <m:sSub>
              <m:sSubPr>
                <m:ctrlPr>
                  <w:rPr>
                    <w:rFonts w:ascii="Cambria Math" w:hAnsi="Cambria Math" w:cs="宋体"/>
                    <w:i/>
                    <w:iCs/>
                    <w:highlight w:val="none"/>
                    <w:lang w:val="en-US"/>
                  </w:rPr>
                </m:ctrlPr>
              </m:sSubPr>
              <m:e>
                <m:r>
                  <m:rPr/>
                  <w:rPr>
                    <w:rFonts w:hint="default" w:ascii="Cambria Math" w:hAnsi="Cambria Math" w:cs="宋体"/>
                    <w:highlight w:val="none"/>
                    <w:lang w:val="en-US" w:eastAsia="zh-CN"/>
                  </w:rPr>
                  <m:t>CO</m:t>
                </m:r>
                <m:ctrlPr>
                  <w:rPr>
                    <w:rFonts w:ascii="Cambria Math" w:hAnsi="Cambria Math" w:cs="宋体"/>
                    <w:i/>
                    <w:iCs/>
                    <w:highlight w:val="none"/>
                    <w:lang w:val="en-US"/>
                  </w:rPr>
                </m:ctrlPr>
              </m:e>
              <m:sub>
                <m:r>
                  <m:rPr/>
                  <w:rPr>
                    <w:rFonts w:hint="default" w:ascii="Cambria Math" w:hAnsi="Cambria Math" w:cs="宋体"/>
                    <w:highlight w:val="none"/>
                    <w:lang w:val="en-US" w:eastAsia="zh-CN"/>
                  </w:rPr>
                  <m:t>2</m:t>
                </m:r>
                <m:ctrlPr>
                  <w:rPr>
                    <w:rFonts w:ascii="Cambria Math" w:hAnsi="Cambria Math" w:cs="宋体"/>
                    <w:i/>
                    <w:iCs/>
                    <w:highlight w:val="none"/>
                    <w:lang w:val="en-US"/>
                  </w:rPr>
                </m:ctrlPr>
              </m:sub>
            </m:sSub>
            <m:ctrlPr>
              <w:rPr>
                <w:rFonts w:ascii="Cambria Math" w:hAnsi="Cambria Math" w:cs="宋体"/>
                <w:i/>
                <w:iCs/>
                <w:highlight w:val="none"/>
                <w:lang w:val="en-US"/>
              </w:rPr>
            </m:ctrlPr>
          </m:sub>
        </m:sSub>
      </m:oMath>
      <w:r>
        <w:rPr>
          <w:rFonts w:hint="eastAsia" w:hAnsi="Cambria Math" w:cs="宋体"/>
          <w:i w:val="0"/>
          <w:iCs/>
          <w:highlight w:val="none"/>
          <w:lang w:val="en-US" w:eastAsia="zh-CN"/>
        </w:rPr>
        <w:t xml:space="preserve"> </w:t>
      </w:r>
      <w:r>
        <w:rPr>
          <w:rFonts w:hint="eastAsia" w:hAnsi="Cambria Math" w:cs="宋体"/>
          <w:i w:val="0"/>
          <w:iCs/>
          <w:spacing w:val="0"/>
          <w:sz w:val="21"/>
          <w:highlight w:val="none"/>
          <w:lang w:val="en-US" w:eastAsia="zh-CN"/>
        </w:rPr>
        <w:t xml:space="preserve"> </w:t>
      </w:r>
      <w:r>
        <w:rPr>
          <w:rFonts w:hint="eastAsia" w:hAnsi="宋体" w:cs="宋体"/>
          <w:highlight w:val="none"/>
          <w:lang w:eastAsia="zh-CN"/>
        </w:rPr>
        <w:t>——</w:t>
      </w:r>
      <w:r>
        <w:rPr>
          <w:rFonts w:hint="eastAsia" w:hAnsi="宋体" w:cs="宋体"/>
          <w:highlight w:val="none"/>
          <w:lang w:val="en-US" w:eastAsia="zh-CN"/>
        </w:rPr>
        <w:t>二氧化碳的全球增温潜势值，无量纲，取值为1。</w:t>
      </w:r>
    </w:p>
    <w:bookmarkEnd w:id="124"/>
    <w:bookmarkEnd w:id="125"/>
    <w:p w14:paraId="67E84221">
      <w:pPr>
        <w:pStyle w:val="108"/>
        <w:bidi w:val="0"/>
        <w:rPr>
          <w:rFonts w:hAnsi="宋体" w:cs="宋体"/>
          <w:highlight w:val="none"/>
        </w:rPr>
      </w:pPr>
      <w:r>
        <w:rPr>
          <w:rFonts w:hint="eastAsia"/>
          <w:highlight w:val="none"/>
          <w:lang w:val="en-US" w:eastAsia="zh-CN"/>
        </w:rPr>
        <w:t>消耗臭氧层物质替代品开发与利用</w:t>
      </w:r>
    </w:p>
    <w:p w14:paraId="5309A97B">
      <w:pPr>
        <w:pStyle w:val="132"/>
        <w:autoSpaceDE/>
        <w:autoSpaceDN/>
        <w:ind w:firstLine="420" w:firstLineChars="200"/>
        <w:jc w:val="both"/>
        <w:rPr>
          <w:rFonts w:hint="default" w:hAnsi="Cambria Math" w:eastAsia="宋体" w:cs="宋体"/>
          <w:i w:val="0"/>
          <w:iCs w:val="0"/>
          <w:sz w:val="21"/>
          <w:highlight w:val="none"/>
          <w:lang w:val="en-US" w:eastAsia="zh-CN" w:bidi="ar-SA"/>
        </w:rPr>
      </w:pPr>
      <w:r>
        <w:rPr>
          <w:rFonts w:hint="eastAsia" w:hAnsi="宋体" w:cs="宋体"/>
          <w:highlight w:val="none"/>
          <w:lang w:val="en-US" w:eastAsia="zh-CN"/>
        </w:rPr>
        <w:t>对氢氟碳化物替代的碳减排量</w:t>
      </w:r>
      <w:r>
        <w:rPr>
          <w:rFonts w:hint="eastAsia" w:hAnsi="宋体" w:cs="宋体"/>
          <w:highlight w:val="none"/>
        </w:rPr>
        <w:t>计算公式</w:t>
      </w:r>
      <w:r>
        <w:rPr>
          <w:rFonts w:hint="eastAsia" w:hAnsi="宋体" w:cs="宋体"/>
          <w:highlight w:val="none"/>
          <w:lang w:val="en-US" w:eastAsia="zh-CN"/>
        </w:rPr>
        <w:t>见公式（B.3）。</w:t>
      </w:r>
    </w:p>
    <w:p w14:paraId="4554D6F6">
      <w:pPr>
        <w:pStyle w:val="132"/>
        <w:keepNext w:val="0"/>
        <w:keepLines w:val="0"/>
        <w:pageBreakBefore w:val="0"/>
        <w:widowControl/>
        <w:tabs>
          <w:tab w:val="right" w:leader="middleDot" w:pos="5880"/>
          <w:tab w:val="clear" w:pos="4201"/>
          <w:tab w:val="clear" w:pos="9298"/>
        </w:tabs>
        <w:kinsoku/>
        <w:wordWrap/>
        <w:overflowPunct/>
        <w:topLinePunct w:val="0"/>
        <w:autoSpaceDE w:val="0"/>
        <w:autoSpaceDN w:val="0"/>
        <w:bidi w:val="0"/>
        <w:adjustRightInd/>
        <w:snapToGrid/>
        <w:ind w:firstLine="0" w:firstLineChars="0"/>
        <w:jc w:val="right"/>
        <w:textAlignment w:val="auto"/>
        <w:rPr>
          <w:rFonts w:hint="eastAsia" w:hAnsi="宋体" w:cs="宋体"/>
          <w:highlight w:val="none"/>
        </w:rPr>
      </w:pPr>
      <w:r>
        <w:rPr>
          <w:rFonts w:hint="eastAsia" w:hAnsi="Cambria Math" w:cs="宋体"/>
          <w:b w:val="0"/>
          <w:i w:val="0"/>
          <w:sz w:val="21"/>
          <w:highlight w:val="none"/>
          <w:lang w:val="en-US" w:eastAsia="zh-CN" w:bidi="ar-SA"/>
        </w:rPr>
        <w:t xml:space="preserve">    </w:t>
      </w:r>
      <m:oMath>
        <m:r>
          <m:rPr/>
          <w:rPr>
            <w:rFonts w:hint="default" w:ascii="Cambria Math" w:hAnsi="Cambria Math" w:cs="宋体"/>
            <w:sz w:val="21"/>
            <w:highlight w:val="none"/>
            <w:lang w:val="en-US" w:eastAsia="zh-CN" w:bidi="ar-SA"/>
          </w:rPr>
          <m:t>R</m:t>
        </m:r>
        <m:r>
          <m:rPr/>
          <w:rPr>
            <w:rFonts w:hint="eastAsia" w:ascii="Cambria Math" w:hAnsi="Cambria Math" w:cs="宋体"/>
            <w:sz w:val="21"/>
            <w:highlight w:val="none"/>
            <w:lang w:val="en-US" w:eastAsia="zh-CN" w:bidi="ar-SA"/>
          </w:rPr>
          <m:t>=</m:t>
        </m:r>
        <m:nary>
          <m:naryPr>
            <m:chr m:val="∑"/>
            <m:limLoc m:val="undOvr"/>
            <m:ctrlPr>
              <w:rPr>
                <w:rFonts w:hint="eastAsia" w:ascii="Cambria Math" w:hAnsi="Cambria Math" w:cs="宋体"/>
                <w:i/>
                <w:iCs/>
                <w:sz w:val="21"/>
                <w:highlight w:val="none"/>
                <w:lang w:val="en-US" w:eastAsia="zh-CN" w:bidi="ar-SA"/>
              </w:rPr>
            </m:ctrlPr>
          </m:naryPr>
          <m:sub>
            <m:r>
              <m:rPr/>
              <w:rPr>
                <w:rFonts w:hint="default" w:ascii="Cambria Math" w:hAnsi="Cambria Math" w:cs="宋体"/>
                <w:sz w:val="21"/>
                <w:highlight w:val="none"/>
                <w:lang w:val="en-US" w:eastAsia="zh-CN" w:bidi="ar-SA"/>
              </w:rPr>
              <m:t>i=1</m:t>
            </m:r>
            <m:ctrlPr>
              <w:rPr>
                <w:rFonts w:hint="eastAsia" w:ascii="Cambria Math" w:hAnsi="Cambria Math" w:cs="宋体"/>
                <w:i/>
                <w:iCs/>
                <w:sz w:val="21"/>
                <w:highlight w:val="none"/>
                <w:lang w:val="en-US" w:eastAsia="zh-CN" w:bidi="ar-SA"/>
              </w:rPr>
            </m:ctrlPr>
          </m:sub>
          <m:sup>
            <m:r>
              <m:rPr/>
              <w:rPr>
                <w:rFonts w:hint="default" w:ascii="Cambria Math" w:hAnsi="Cambria Math" w:cs="宋体"/>
                <w:sz w:val="21"/>
                <w:highlight w:val="none"/>
                <w:lang w:val="en-US" w:eastAsia="zh-CN" w:bidi="ar-SA"/>
              </w:rPr>
              <m:t>n</m:t>
            </m:r>
            <m:ctrlPr>
              <w:rPr>
                <w:rFonts w:hint="eastAsia" w:ascii="Cambria Math" w:hAnsi="Cambria Math" w:cs="宋体"/>
                <w:i/>
                <w:iCs/>
                <w:sz w:val="21"/>
                <w:highlight w:val="none"/>
                <w:lang w:val="en-US" w:eastAsia="zh-CN" w:bidi="ar-SA"/>
              </w:rPr>
            </m:ctrlPr>
          </m:sup>
          <m:e>
            <m:sSub>
              <m:sSubPr>
                <m:ctrlPr>
                  <w:rPr>
                    <w:rFonts w:hint="eastAsia" w:ascii="Cambria Math" w:hAnsi="Cambria Math" w:cs="宋体"/>
                    <w:i/>
                    <w:iCs/>
                    <w:sz w:val="21"/>
                    <w:highlight w:val="none"/>
                    <w:lang w:val="en-US" w:eastAsia="zh-CN" w:bidi="ar-SA"/>
                  </w:rPr>
                </m:ctrlPr>
              </m:sSubPr>
              <m:e>
                <m:r>
                  <m:rPr/>
                  <w:rPr>
                    <w:rFonts w:hint="default" w:ascii="Cambria Math" w:hAnsi="Cambria Math" w:cs="宋体"/>
                    <w:sz w:val="21"/>
                    <w:highlight w:val="none"/>
                    <w:lang w:val="en-US" w:eastAsia="zh-CN" w:bidi="ar-SA"/>
                  </w:rPr>
                  <m:t>m</m:t>
                </m:r>
                <m:ctrlPr>
                  <w:rPr>
                    <w:rFonts w:hint="eastAsia" w:ascii="Cambria Math" w:hAnsi="Cambria Math" w:cs="宋体"/>
                    <w:i/>
                    <w:iCs/>
                    <w:sz w:val="21"/>
                    <w:highlight w:val="none"/>
                    <w:lang w:val="en-US" w:eastAsia="zh-CN" w:bidi="ar-SA"/>
                  </w:rPr>
                </m:ctrlPr>
              </m:e>
              <m:sub>
                <m:r>
                  <m:rPr/>
                  <w:rPr>
                    <w:rFonts w:hint="default" w:ascii="Cambria Math" w:hAnsi="Cambria Math" w:cs="宋体"/>
                    <w:sz w:val="21"/>
                    <w:highlight w:val="none"/>
                    <w:lang w:val="en-US" w:eastAsia="zh-CN" w:bidi="ar-SA"/>
                  </w:rPr>
                  <m:t>i</m:t>
                </m:r>
                <m:ctrlPr>
                  <w:rPr>
                    <w:rFonts w:hint="eastAsia" w:ascii="Cambria Math" w:hAnsi="Cambria Math" w:cs="宋体"/>
                    <w:i/>
                    <w:iCs/>
                    <w:sz w:val="21"/>
                    <w:highlight w:val="none"/>
                    <w:lang w:val="en-US" w:eastAsia="zh-CN" w:bidi="ar-SA"/>
                  </w:rPr>
                </m:ctrlPr>
              </m:sub>
            </m:sSub>
            <m:r>
              <m:rPr/>
              <w:rPr>
                <w:rFonts w:ascii="Cambria Math" w:hAnsi="Cambria Math" w:cs="宋体"/>
                <w:sz w:val="21"/>
                <w:highlight w:val="none"/>
                <w:lang w:val="en-US" w:bidi="ar-SA"/>
              </w:rPr>
              <m:t>×</m:t>
            </m:r>
            <m:sSub>
              <m:sSubPr>
                <m:ctrlPr>
                  <w:rPr>
                    <w:rFonts w:ascii="Cambria Math" w:hAnsi="Cambria Math" w:cs="宋体"/>
                    <w:i/>
                    <w:sz w:val="21"/>
                    <w:highlight w:val="none"/>
                    <w:lang w:val="en-US" w:bidi="ar-SA"/>
                  </w:rPr>
                </m:ctrlPr>
              </m:sSubPr>
              <m:e>
                <m:r>
                  <m:rPr/>
                  <w:rPr>
                    <w:rFonts w:hint="default" w:ascii="Cambria Math" w:hAnsi="Cambria Math" w:cs="宋体"/>
                    <w:sz w:val="21"/>
                    <w:highlight w:val="none"/>
                    <w:lang w:val="en-US" w:eastAsia="zh-CN" w:bidi="ar-SA"/>
                  </w:rPr>
                  <m:t>GWP</m:t>
                </m:r>
                <m:ctrlPr>
                  <w:rPr>
                    <w:rFonts w:ascii="Cambria Math" w:hAnsi="Cambria Math" w:cs="宋体"/>
                    <w:i/>
                    <w:sz w:val="21"/>
                    <w:highlight w:val="none"/>
                    <w:lang w:val="en-US" w:bidi="ar-SA"/>
                  </w:rPr>
                </m:ctrlPr>
              </m:e>
              <m:sub>
                <m:r>
                  <m:rPr/>
                  <w:rPr>
                    <w:rFonts w:hint="default" w:ascii="Cambria Math" w:hAnsi="Cambria Math" w:cs="宋体"/>
                    <w:sz w:val="21"/>
                    <w:highlight w:val="none"/>
                    <w:lang w:val="en-US" w:eastAsia="zh-CN" w:bidi="ar-SA"/>
                  </w:rPr>
                  <m:t>i</m:t>
                </m:r>
                <m:ctrlPr>
                  <w:rPr>
                    <w:rFonts w:ascii="Cambria Math" w:hAnsi="Cambria Math" w:cs="宋体"/>
                    <w:i/>
                    <w:sz w:val="21"/>
                    <w:highlight w:val="none"/>
                    <w:lang w:val="en-US" w:bidi="ar-SA"/>
                  </w:rPr>
                </m:ctrlPr>
              </m:sub>
            </m:sSub>
            <m:r>
              <m:rPr/>
              <w:rPr>
                <w:rFonts w:hint="default" w:ascii="Cambria Math" w:hAnsi="Cambria Math" w:cs="宋体"/>
                <w:sz w:val="21"/>
                <w:highlight w:val="none"/>
                <w:lang w:val="en-US" w:eastAsia="zh-CN" w:bidi="ar-SA"/>
              </w:rPr>
              <m:t>−</m:t>
            </m:r>
            <m:sSub>
              <m:sSubPr>
                <m:ctrlPr>
                  <w:rPr>
                    <w:rFonts w:hint="default" w:ascii="Cambria Math" w:hAnsi="Cambria Math" w:cs="宋体"/>
                    <w:i/>
                    <w:sz w:val="21"/>
                    <w:highlight w:val="none"/>
                    <w:lang w:val="en-US" w:eastAsia="zh-CN" w:bidi="ar-SA"/>
                  </w:rPr>
                </m:ctrlPr>
              </m:sSubPr>
              <m:e>
                <m:r>
                  <m:rPr/>
                  <w:rPr>
                    <w:rFonts w:hint="default" w:ascii="Cambria Math" w:hAnsi="Cambria Math" w:cs="宋体"/>
                    <w:sz w:val="21"/>
                    <w:highlight w:val="none"/>
                    <w:lang w:val="en-US" w:eastAsia="zh-CN" w:bidi="ar-SA"/>
                  </w:rPr>
                  <m:t>m</m:t>
                </m:r>
                <m:ctrlPr>
                  <w:rPr>
                    <w:rFonts w:hint="default" w:ascii="Cambria Math" w:hAnsi="Cambria Math" w:cs="宋体"/>
                    <w:i/>
                    <w:sz w:val="21"/>
                    <w:highlight w:val="none"/>
                    <w:lang w:val="en-US" w:eastAsia="zh-CN" w:bidi="ar-SA"/>
                  </w:rPr>
                </m:ctrlPr>
              </m:e>
              <m:sub>
                <m:r>
                  <m:rPr/>
                  <w:rPr>
                    <w:rFonts w:hint="default" w:ascii="Cambria Math" w:hAnsi="Cambria Math" w:cs="宋体"/>
                    <w:sz w:val="21"/>
                    <w:highlight w:val="none"/>
                    <w:lang w:val="en-US" w:eastAsia="zh-CN" w:bidi="ar-SA"/>
                  </w:rPr>
                  <m:t>i</m:t>
                </m:r>
                <m:ctrlPr>
                  <w:rPr>
                    <w:rFonts w:hint="default" w:ascii="Cambria Math" w:hAnsi="Cambria Math" w:cs="宋体"/>
                    <w:i/>
                    <w:sz w:val="21"/>
                    <w:highlight w:val="none"/>
                    <w:lang w:val="en-US" w:eastAsia="zh-CN" w:bidi="ar-SA"/>
                  </w:rPr>
                </m:ctrlPr>
              </m:sub>
            </m:sSub>
            <m:r>
              <m:rPr/>
              <w:rPr>
                <w:rFonts w:ascii="Cambria Math" w:hAnsi="Cambria Math" w:cs="宋体"/>
                <w:sz w:val="21"/>
                <w:highlight w:val="none"/>
                <w:lang w:val="en-US" w:bidi="ar-SA"/>
              </w:rPr>
              <m:t>×</m:t>
            </m:r>
            <m:sSub>
              <m:sSubPr>
                <m:ctrlPr>
                  <w:rPr>
                    <w:rFonts w:ascii="Cambria Math" w:hAnsi="Cambria Math" w:cs="宋体"/>
                    <w:i/>
                    <w:sz w:val="21"/>
                    <w:highlight w:val="none"/>
                    <w:lang w:val="en-US" w:bidi="ar-SA"/>
                  </w:rPr>
                </m:ctrlPr>
              </m:sSubPr>
              <m:e>
                <m:r>
                  <m:rPr/>
                  <w:rPr>
                    <w:rFonts w:hint="default" w:ascii="Cambria Math" w:hAnsi="Cambria Math" w:cs="宋体"/>
                    <w:sz w:val="21"/>
                    <w:highlight w:val="none"/>
                    <w:lang w:val="en-US" w:eastAsia="zh-CN" w:bidi="ar-SA"/>
                  </w:rPr>
                  <m:t>GWP</m:t>
                </m:r>
                <m:ctrlPr>
                  <w:rPr>
                    <w:rFonts w:ascii="Cambria Math" w:hAnsi="Cambria Math" w:cs="宋体"/>
                    <w:i/>
                    <w:sz w:val="21"/>
                    <w:highlight w:val="none"/>
                    <w:lang w:val="en-US" w:bidi="ar-SA"/>
                  </w:rPr>
                </m:ctrlPr>
              </m:e>
              <m:sub>
                <m:sSub>
                  <m:sSubPr>
                    <m:ctrlPr>
                      <w:rPr>
                        <w:rFonts w:ascii="Cambria Math" w:hAnsi="Cambria Math" w:cs="宋体"/>
                        <w:i/>
                        <w:sz w:val="21"/>
                        <w:highlight w:val="none"/>
                        <w:lang w:val="en-US" w:bidi="ar-SA"/>
                      </w:rPr>
                    </m:ctrlPr>
                  </m:sSubPr>
                  <m:e>
                    <m:r>
                      <m:rPr/>
                      <w:rPr>
                        <w:rFonts w:hint="default" w:ascii="Cambria Math" w:hAnsi="Cambria Math" w:cs="宋体"/>
                        <w:sz w:val="21"/>
                        <w:highlight w:val="none"/>
                        <w:lang w:val="en-US" w:eastAsia="zh-CN" w:bidi="ar-SA"/>
                      </w:rPr>
                      <m:t>CO</m:t>
                    </m:r>
                    <m:ctrlPr>
                      <w:rPr>
                        <w:rFonts w:ascii="Cambria Math" w:hAnsi="Cambria Math" w:cs="宋体"/>
                        <w:i/>
                        <w:sz w:val="21"/>
                        <w:highlight w:val="none"/>
                        <w:lang w:val="en-US" w:bidi="ar-SA"/>
                      </w:rPr>
                    </m:ctrlPr>
                  </m:e>
                  <m:sub>
                    <m:r>
                      <m:rPr/>
                      <w:rPr>
                        <w:rFonts w:hint="default" w:ascii="Cambria Math" w:hAnsi="Cambria Math" w:cs="宋体"/>
                        <w:sz w:val="21"/>
                        <w:highlight w:val="none"/>
                        <w:lang w:val="en-US" w:eastAsia="zh-CN" w:bidi="ar-SA"/>
                      </w:rPr>
                      <m:t>2</m:t>
                    </m:r>
                    <m:ctrlPr>
                      <w:rPr>
                        <w:rFonts w:ascii="Cambria Math" w:hAnsi="Cambria Math" w:cs="宋体"/>
                        <w:i/>
                        <w:sz w:val="21"/>
                        <w:highlight w:val="none"/>
                        <w:lang w:val="en-US" w:bidi="ar-SA"/>
                      </w:rPr>
                    </m:ctrlPr>
                  </m:sub>
                </m:sSub>
                <m:ctrlPr>
                  <w:rPr>
                    <w:rFonts w:ascii="Cambria Math" w:hAnsi="Cambria Math" w:cs="宋体"/>
                    <w:i/>
                    <w:sz w:val="21"/>
                    <w:highlight w:val="none"/>
                    <w:lang w:val="en-US" w:bidi="ar-SA"/>
                  </w:rPr>
                </m:ctrlPr>
              </m:sub>
            </m:sSub>
            <m:ctrlPr>
              <w:rPr>
                <w:rFonts w:hint="eastAsia" w:ascii="Cambria Math" w:hAnsi="Cambria Math" w:cs="宋体"/>
                <w:i/>
                <w:iCs/>
                <w:sz w:val="21"/>
                <w:highlight w:val="none"/>
                <w:lang w:val="en-US" w:eastAsia="zh-CN" w:bidi="ar-SA"/>
              </w:rPr>
            </m:ctrlPr>
          </m:e>
        </m:nary>
      </m:oMath>
      <w:r>
        <w:rPr>
          <w:rFonts w:hint="eastAsia" w:hAnsi="Cambria Math" w:cs="宋体"/>
          <w:i w:val="0"/>
          <w:iCs/>
          <w:highlight w:val="none"/>
          <w:lang w:val="en-US"/>
        </w:rPr>
        <w:tab/>
      </w:r>
      <w:r>
        <w:rPr>
          <w:rFonts w:hint="eastAsia" w:hAnsi="Cambria Math" w:cs="宋体"/>
          <w:i w:val="0"/>
          <w:iCs w:val="0"/>
          <w:sz w:val="21"/>
          <w:highlight w:val="none"/>
          <w:lang w:val="en-US" w:eastAsia="zh-CN" w:bidi="ar-SA"/>
        </w:rPr>
        <w:t>（B.3）</w:t>
      </w:r>
    </w:p>
    <w:p w14:paraId="3A6DCF5C">
      <w:pPr>
        <w:pStyle w:val="132"/>
        <w:ind w:firstLine="420" w:firstLineChars="200"/>
        <w:rPr>
          <w:rFonts w:hint="eastAsia" w:hAnsi="宋体" w:cs="宋体"/>
          <w:highlight w:val="none"/>
        </w:rPr>
      </w:pPr>
      <w:r>
        <w:rPr>
          <w:rFonts w:hint="eastAsia" w:hAnsi="宋体" w:cs="宋体"/>
          <w:highlight w:val="none"/>
        </w:rPr>
        <w:t>式中：</w:t>
      </w:r>
    </w:p>
    <w:p w14:paraId="1CC8A2E4">
      <w:pPr>
        <w:pStyle w:val="132"/>
        <w:ind w:firstLine="420" w:firstLineChars="200"/>
        <w:rPr>
          <w:rFonts w:hint="eastAsia" w:hAnsi="宋体" w:cs="宋体"/>
          <w:highlight w:val="none"/>
        </w:rPr>
      </w:pPr>
      <m:oMath>
        <m:r>
          <m:rPr/>
          <w:rPr>
            <w:rFonts w:hint="default" w:ascii="Cambria Math" w:hAnsi="Cambria Math" w:cs="宋体"/>
            <w:highlight w:val="none"/>
            <w:lang w:val="en-US" w:eastAsia="zh-CN"/>
          </w:rPr>
          <m:t>R</m:t>
        </m:r>
      </m:oMath>
      <w:r>
        <w:rPr>
          <w:rFonts w:hint="eastAsia" w:hAnsi="Cambria Math" w:cs="宋体"/>
          <w:i w:val="0"/>
          <w:spacing w:val="28"/>
          <w:sz w:val="21"/>
          <w:highlight w:val="none"/>
          <w:lang w:val="en-US" w:eastAsia="zh-CN"/>
        </w:rPr>
        <w:t xml:space="preserve">    </w:t>
      </w:r>
      <w:r>
        <w:rPr>
          <w:rFonts w:hint="eastAsia" w:hAnsi="宋体" w:cs="宋体"/>
          <w:highlight w:val="none"/>
          <w:lang w:eastAsia="zh-CN"/>
        </w:rPr>
        <w:t>——</w:t>
      </w:r>
      <w:r>
        <w:rPr>
          <w:rFonts w:hint="eastAsia" w:hAnsi="宋体" w:cs="宋体"/>
          <w:highlight w:val="none"/>
        </w:rPr>
        <w:t>消耗臭氧层物质替代品开发与利用</w:t>
      </w:r>
      <w:r>
        <w:rPr>
          <w:rFonts w:hint="eastAsia" w:hAnsi="宋体" w:cs="宋体"/>
          <w:highlight w:val="none"/>
          <w:lang w:eastAsia="zh-CN"/>
        </w:rPr>
        <w:t>的</w:t>
      </w:r>
      <w:r>
        <w:rPr>
          <w:rFonts w:hint="eastAsia" w:hAnsi="宋体" w:cs="宋体"/>
          <w:highlight w:val="none"/>
          <w:lang w:val="en-US" w:eastAsia="zh-CN"/>
        </w:rPr>
        <w:t>碳减排量</w:t>
      </w:r>
      <w:r>
        <w:rPr>
          <w:rFonts w:hint="eastAsia" w:hAnsi="宋体" w:cs="宋体"/>
          <w:highlight w:val="none"/>
        </w:rPr>
        <w:t>，单位</w:t>
      </w:r>
      <w:r>
        <w:rPr>
          <w:rFonts w:hint="eastAsia" w:hAnsi="宋体" w:cs="宋体"/>
          <w:highlight w:val="none"/>
          <w:lang w:val="en-US" w:eastAsia="zh-CN"/>
        </w:rPr>
        <w:t>为</w:t>
      </w:r>
      <w:r>
        <w:rPr>
          <w:rFonts w:hint="eastAsia" w:hAnsi="宋体" w:cs="宋体"/>
          <w:highlight w:val="none"/>
        </w:rPr>
        <w:t>吨</w:t>
      </w:r>
      <w:r>
        <w:rPr>
          <w:rFonts w:hint="eastAsia" w:hAnsi="宋体" w:cs="宋体"/>
          <w:highlight w:val="none"/>
          <w:lang w:eastAsia="zh-CN"/>
        </w:rPr>
        <w:t>（</w:t>
      </w:r>
      <w:r>
        <w:rPr>
          <w:rFonts w:hint="eastAsia" w:hAnsi="宋体" w:cs="宋体"/>
          <w:highlight w:val="none"/>
          <w:lang w:val="en-US" w:eastAsia="zh-CN"/>
        </w:rPr>
        <w:t>t</w:t>
      </w:r>
      <w:r>
        <w:rPr>
          <w:rFonts w:hint="eastAsia" w:hAnsi="宋体" w:cs="宋体"/>
          <w:highlight w:val="none"/>
          <w:lang w:eastAsia="zh-CN"/>
        </w:rPr>
        <w:t>）</w:t>
      </w:r>
      <w:r>
        <w:rPr>
          <w:rFonts w:hint="eastAsia" w:hAnsi="宋体" w:cs="宋体"/>
          <w:highlight w:val="none"/>
        </w:rPr>
        <w:t>；</w:t>
      </w:r>
    </w:p>
    <w:p w14:paraId="390FDD8C">
      <w:pPr>
        <w:pStyle w:val="132"/>
        <w:keepNext w:val="0"/>
        <w:keepLines w:val="0"/>
        <w:pageBreakBefore w:val="0"/>
        <w:widowControl/>
        <w:kinsoku/>
        <w:wordWrap/>
        <w:overflowPunct/>
        <w:topLinePunct w:val="0"/>
        <w:autoSpaceDE w:val="0"/>
        <w:autoSpaceDN w:val="0"/>
        <w:bidi w:val="0"/>
        <w:adjustRightInd/>
        <w:snapToGrid/>
        <w:ind w:left="1155" w:leftChars="200" w:hanging="735" w:hangingChars="350"/>
        <w:textAlignment w:val="auto"/>
        <w:rPr>
          <w:rFonts w:hint="eastAsia" w:hAnsi="宋体" w:cs="宋体"/>
          <w:highlight w:val="none"/>
        </w:rPr>
      </w:pPr>
      <m:oMath>
        <m:sSub>
          <m:sSubPr>
            <m:ctrlPr>
              <w:rPr>
                <w:rFonts w:hint="eastAsia" w:ascii="Cambria Math" w:hAnsi="Cambria Math" w:cs="宋体"/>
                <w:i/>
                <w:iCs/>
                <w:highlight w:val="none"/>
                <w:lang w:val="en-US" w:eastAsia="zh-CN"/>
              </w:rPr>
            </m:ctrlPr>
          </m:sSubPr>
          <m:e>
            <m:r>
              <m:rPr/>
              <w:rPr>
                <w:rFonts w:hint="default" w:ascii="Cambria Math" w:hAnsi="Cambria Math" w:cs="宋体"/>
                <w:highlight w:val="none"/>
                <w:lang w:val="en-US" w:eastAsia="zh-CN"/>
              </w:rPr>
              <m:t>m</m:t>
            </m:r>
            <m:ctrlPr>
              <w:rPr>
                <w:rFonts w:hint="eastAsia" w:ascii="Cambria Math" w:hAnsi="Cambria Math" w:cs="宋体"/>
                <w:i/>
                <w:iCs/>
                <w:highlight w:val="none"/>
                <w:lang w:val="en-US" w:eastAsia="zh-CN"/>
              </w:rPr>
            </m:ctrlPr>
          </m:e>
          <m:sub>
            <m:r>
              <m:rPr/>
              <w:rPr>
                <w:rFonts w:hint="default" w:ascii="Cambria Math" w:hAnsi="Cambria Math" w:cs="宋体"/>
                <w:highlight w:val="none"/>
                <w:lang w:val="en-US" w:eastAsia="zh-CN"/>
              </w:rPr>
              <m:t>i</m:t>
            </m:r>
            <m:ctrlPr>
              <w:rPr>
                <w:rFonts w:hint="eastAsia" w:ascii="Cambria Math" w:hAnsi="Cambria Math" w:cs="宋体"/>
                <w:i/>
                <w:iCs/>
                <w:highlight w:val="none"/>
                <w:lang w:val="en-US" w:eastAsia="zh-CN"/>
              </w:rPr>
            </m:ctrlPr>
          </m:sub>
        </m:sSub>
      </m:oMath>
      <w:r>
        <w:rPr>
          <w:rFonts w:hint="eastAsia" w:hAnsi="Cambria Math" w:cs="宋体"/>
          <w:i w:val="0"/>
          <w:iCs/>
          <w:highlight w:val="none"/>
          <w:lang w:val="en-US" w:eastAsia="zh-CN"/>
        </w:rPr>
        <w:t xml:space="preserve">     </w:t>
      </w:r>
      <w:r>
        <w:rPr>
          <w:rFonts w:hint="eastAsia" w:hAnsi="宋体" w:cs="宋体"/>
          <w:highlight w:val="none"/>
          <w:lang w:eastAsia="zh-CN"/>
        </w:rPr>
        <w:t>——</w:t>
      </w:r>
      <w:r>
        <w:rPr>
          <w:rFonts w:hint="eastAsia" w:hAnsi="宋体" w:cs="宋体"/>
          <w:highlight w:val="none"/>
          <w:lang w:val="en-US" w:eastAsia="zh-CN"/>
        </w:rPr>
        <w:t>第i种氢氟碳化物的替代量</w:t>
      </w:r>
      <w:r>
        <w:rPr>
          <w:rFonts w:hint="eastAsia" w:hAnsi="宋体" w:cs="宋体"/>
          <w:highlight w:val="none"/>
        </w:rPr>
        <w:t>，单位</w:t>
      </w:r>
      <w:r>
        <w:rPr>
          <w:rFonts w:hint="eastAsia" w:hAnsi="宋体" w:cs="宋体"/>
          <w:highlight w:val="none"/>
          <w:lang w:val="en-US" w:eastAsia="zh-CN"/>
        </w:rPr>
        <w:t>为吨（t）</w:t>
      </w:r>
      <w:r>
        <w:rPr>
          <w:rFonts w:hint="eastAsia" w:hAnsi="宋体" w:cs="宋体"/>
          <w:highlight w:val="none"/>
        </w:rPr>
        <w:t>；</w:t>
      </w:r>
    </w:p>
    <w:p w14:paraId="6C18B17B">
      <w:pPr>
        <w:pStyle w:val="132"/>
        <w:ind w:firstLine="420" w:firstLineChars="200"/>
        <w:rPr>
          <w:rFonts w:hint="eastAsia" w:hAnsi="宋体" w:cs="宋体"/>
          <w:highlight w:val="none"/>
        </w:rPr>
      </w:pPr>
      <m:oMath>
        <m:sSub>
          <m:sSubPr>
            <m:ctrlPr>
              <w:rPr>
                <w:rFonts w:ascii="Cambria Math" w:hAnsi="Cambria Math" w:cs="宋体"/>
                <w:i/>
                <w:iCs/>
                <w:highlight w:val="none"/>
                <w:lang w:val="en-US"/>
              </w:rPr>
            </m:ctrlPr>
          </m:sSubPr>
          <m:e>
            <m:r>
              <m:rPr/>
              <w:rPr>
                <w:rFonts w:hint="default" w:ascii="Cambria Math" w:hAnsi="Cambria Math" w:cs="宋体"/>
                <w:highlight w:val="none"/>
                <w:lang w:val="en-US" w:eastAsia="zh-CN"/>
              </w:rPr>
              <m:t>GWP</m:t>
            </m:r>
            <m:ctrlPr>
              <w:rPr>
                <w:rFonts w:ascii="Cambria Math" w:hAnsi="Cambria Math" w:cs="宋体"/>
                <w:i/>
                <w:iCs/>
                <w:highlight w:val="none"/>
                <w:lang w:val="en-US"/>
              </w:rPr>
            </m:ctrlPr>
          </m:e>
          <m:sub>
            <m:r>
              <m:rPr/>
              <w:rPr>
                <w:rFonts w:hint="default" w:ascii="Cambria Math" w:hAnsi="Cambria Math" w:cs="宋体"/>
                <w:highlight w:val="none"/>
                <w:lang w:val="en-US" w:eastAsia="zh-CN"/>
              </w:rPr>
              <m:t>i</m:t>
            </m:r>
            <m:ctrlPr>
              <w:rPr>
                <w:rFonts w:ascii="Cambria Math" w:hAnsi="Cambria Math" w:cs="宋体"/>
                <w:i/>
                <w:iCs/>
                <w:highlight w:val="none"/>
                <w:lang w:val="en-US"/>
              </w:rPr>
            </m:ctrlPr>
          </m:sub>
        </m:sSub>
      </m:oMath>
      <w:r>
        <w:rPr>
          <w:rFonts w:hint="eastAsia" w:hAnsi="Cambria Math" w:cs="宋体"/>
          <w:i w:val="0"/>
          <w:iCs/>
          <w:highlight w:val="none"/>
          <w:lang w:val="en-US" w:eastAsia="zh-CN"/>
        </w:rPr>
        <w:t xml:space="preserve"> </w:t>
      </w:r>
      <w:r>
        <w:rPr>
          <w:rFonts w:hint="eastAsia" w:hAnsi="Cambria Math" w:cs="宋体"/>
          <w:i w:val="0"/>
          <w:iCs/>
          <w:spacing w:val="17"/>
          <w:sz w:val="21"/>
          <w:highlight w:val="none"/>
          <w:lang w:val="en-US" w:eastAsia="zh-CN"/>
        </w:rPr>
        <w:t xml:space="preserve"> </w:t>
      </w:r>
      <w:r>
        <w:rPr>
          <w:rFonts w:hint="eastAsia" w:hAnsi="宋体" w:cs="宋体"/>
          <w:highlight w:val="none"/>
          <w:lang w:eastAsia="zh-CN"/>
        </w:rPr>
        <w:t>——</w:t>
      </w:r>
      <w:r>
        <w:rPr>
          <w:rFonts w:hint="eastAsia" w:hAnsi="宋体" w:cs="宋体"/>
          <w:highlight w:val="none"/>
          <w:lang w:val="en-US" w:eastAsia="zh-CN"/>
        </w:rPr>
        <w:t>第i种氢氟碳化物的全球增温潜势值</w:t>
      </w:r>
      <w:r>
        <w:rPr>
          <w:rFonts w:hint="eastAsia" w:hAnsi="宋体" w:cs="宋体"/>
          <w:highlight w:val="none"/>
        </w:rPr>
        <w:t>，无量纲，采用IPCC最新发布数据；</w:t>
      </w:r>
    </w:p>
    <w:p w14:paraId="6EFC330E">
      <w:pPr>
        <w:pStyle w:val="132"/>
        <w:autoSpaceDE/>
        <w:autoSpaceDN/>
        <w:ind w:left="1134" w:leftChars="200" w:hanging="714" w:hangingChars="340"/>
        <w:rPr>
          <w:rFonts w:hAnsi="宋体" w:cs="宋体"/>
          <w:highlight w:val="none"/>
        </w:rPr>
      </w:pPr>
      <m:oMath>
        <m:sSub>
          <m:sSubPr>
            <m:ctrlPr>
              <w:rPr>
                <w:rFonts w:ascii="Cambria Math" w:hAnsi="Cambria Math" w:cs="宋体"/>
                <w:i/>
                <w:iCs/>
                <w:highlight w:val="none"/>
                <w:lang w:val="en-US"/>
              </w:rPr>
            </m:ctrlPr>
          </m:sSubPr>
          <m:e>
            <m:r>
              <m:rPr/>
              <w:rPr>
                <w:rFonts w:hint="default" w:ascii="Cambria Math" w:hAnsi="Cambria Math" w:cs="宋体"/>
                <w:highlight w:val="none"/>
                <w:lang w:val="en-US" w:eastAsia="zh-CN"/>
              </w:rPr>
              <m:t>GWP</m:t>
            </m:r>
            <m:ctrlPr>
              <w:rPr>
                <w:rFonts w:ascii="Cambria Math" w:hAnsi="Cambria Math" w:cs="宋体"/>
                <w:i/>
                <w:iCs/>
                <w:highlight w:val="none"/>
                <w:lang w:val="en-US"/>
              </w:rPr>
            </m:ctrlPr>
          </m:e>
          <m:sub>
            <m:sSub>
              <m:sSubPr>
                <m:ctrlPr>
                  <w:rPr>
                    <w:rFonts w:ascii="Cambria Math" w:hAnsi="Cambria Math" w:cs="宋体"/>
                    <w:i/>
                    <w:iCs/>
                    <w:highlight w:val="none"/>
                    <w:lang w:val="en-US"/>
                  </w:rPr>
                </m:ctrlPr>
              </m:sSubPr>
              <m:e>
                <m:r>
                  <m:rPr/>
                  <w:rPr>
                    <w:rFonts w:hint="default" w:ascii="Cambria Math" w:hAnsi="Cambria Math" w:cs="宋体"/>
                    <w:highlight w:val="none"/>
                    <w:lang w:val="en-US" w:eastAsia="zh-CN"/>
                  </w:rPr>
                  <m:t>CO</m:t>
                </m:r>
                <m:ctrlPr>
                  <w:rPr>
                    <w:rFonts w:ascii="Cambria Math" w:hAnsi="Cambria Math" w:cs="宋体"/>
                    <w:i/>
                    <w:iCs/>
                    <w:highlight w:val="none"/>
                    <w:lang w:val="en-US"/>
                  </w:rPr>
                </m:ctrlPr>
              </m:e>
              <m:sub>
                <m:r>
                  <m:rPr/>
                  <w:rPr>
                    <w:rFonts w:hint="default" w:ascii="Cambria Math" w:hAnsi="Cambria Math" w:cs="宋体"/>
                    <w:highlight w:val="none"/>
                    <w:lang w:val="en-US" w:eastAsia="zh-CN"/>
                  </w:rPr>
                  <m:t>2</m:t>
                </m:r>
                <m:ctrlPr>
                  <w:rPr>
                    <w:rFonts w:ascii="Cambria Math" w:hAnsi="Cambria Math" w:cs="宋体"/>
                    <w:i/>
                    <w:iCs/>
                    <w:highlight w:val="none"/>
                    <w:lang w:val="en-US"/>
                  </w:rPr>
                </m:ctrlPr>
              </m:sub>
            </m:sSub>
            <m:ctrlPr>
              <w:rPr>
                <w:rFonts w:ascii="Cambria Math" w:hAnsi="Cambria Math" w:cs="宋体"/>
                <w:i/>
                <w:iCs/>
                <w:highlight w:val="none"/>
                <w:lang w:val="en-US"/>
              </w:rPr>
            </m:ctrlPr>
          </m:sub>
        </m:sSub>
      </m:oMath>
      <w:r>
        <w:rPr>
          <w:rFonts w:hint="eastAsia" w:hAnsi="Cambria Math" w:cs="宋体"/>
          <w:i w:val="0"/>
          <w:iCs/>
          <w:spacing w:val="-45"/>
          <w:sz w:val="21"/>
          <w:highlight w:val="none"/>
          <w:lang w:val="en-US" w:eastAsia="zh-CN"/>
        </w:rPr>
        <w:t xml:space="preserve"> </w:t>
      </w:r>
      <w:r>
        <w:rPr>
          <w:rFonts w:hint="eastAsia" w:hAnsi="宋体" w:cs="宋体"/>
          <w:highlight w:val="none"/>
          <w:lang w:eastAsia="zh-CN"/>
        </w:rPr>
        <w:t>——</w:t>
      </w:r>
      <w:r>
        <w:rPr>
          <w:rFonts w:hint="eastAsia" w:hAnsi="宋体" w:cs="宋体"/>
          <w:highlight w:val="none"/>
          <w:lang w:val="en-US" w:eastAsia="zh-CN"/>
        </w:rPr>
        <w:t>二氧化碳的全球增温潜势值，无量纲，取值为1。</w:t>
      </w:r>
    </w:p>
    <w:p w14:paraId="1FE263D2">
      <w:pPr>
        <w:pStyle w:val="108"/>
        <w:bidi w:val="0"/>
        <w:rPr>
          <w:rFonts w:hAnsi="宋体" w:cs="宋体"/>
          <w:highlight w:val="none"/>
        </w:rPr>
      </w:pPr>
      <w:r>
        <w:rPr>
          <w:rFonts w:hint="eastAsia" w:cs="Times New Roman"/>
          <w:highlight w:val="none"/>
          <w:lang w:val="en-US" w:eastAsia="zh-CN"/>
        </w:rPr>
        <w:t>工业生产过程温室气体减排</w:t>
      </w:r>
    </w:p>
    <w:p w14:paraId="646C32E1">
      <w:pPr>
        <w:pStyle w:val="26"/>
        <w:rPr>
          <w:rFonts w:hAnsi="宋体" w:cs="宋体"/>
          <w:highlight w:val="none"/>
        </w:rPr>
      </w:pPr>
      <w:r>
        <w:rPr>
          <w:rFonts w:hint="eastAsia" w:hAnsi="宋体" w:cs="宋体"/>
          <w:highlight w:val="none"/>
          <w:lang w:val="en-US" w:eastAsia="zh-CN"/>
        </w:rPr>
        <w:t>对工业生产过程温室气体减排的碳减排量</w:t>
      </w:r>
      <w:r>
        <w:rPr>
          <w:rFonts w:hint="eastAsia" w:hAnsi="宋体" w:cs="宋体"/>
          <w:highlight w:val="none"/>
        </w:rPr>
        <w:t>计算公式</w:t>
      </w:r>
      <w:r>
        <w:rPr>
          <w:rFonts w:hint="eastAsia" w:hAnsi="宋体" w:cs="宋体"/>
          <w:highlight w:val="none"/>
          <w:lang w:val="en-US" w:eastAsia="zh-CN"/>
        </w:rPr>
        <w:t>见公式（B.4）。</w:t>
      </w:r>
    </w:p>
    <w:p w14:paraId="3387986B">
      <w:pPr>
        <w:pStyle w:val="132"/>
        <w:keepNext w:val="0"/>
        <w:keepLines w:val="0"/>
        <w:pageBreakBefore w:val="0"/>
        <w:widowControl/>
        <w:tabs>
          <w:tab w:val="right" w:leader="middleDot" w:pos="9298"/>
          <w:tab w:val="clear" w:pos="4201"/>
        </w:tabs>
        <w:kinsoku/>
        <w:wordWrap/>
        <w:overflowPunct/>
        <w:topLinePunct w:val="0"/>
        <w:autoSpaceDE w:val="0"/>
        <w:autoSpaceDN w:val="0"/>
        <w:bidi w:val="0"/>
        <w:adjustRightInd/>
        <w:snapToGrid/>
        <w:ind w:firstLine="3780" w:firstLineChars="1800"/>
        <w:textAlignment w:val="auto"/>
        <w:rPr>
          <w:rFonts w:hAnsi="宋体" w:cs="宋体"/>
          <w:highlight w:val="none"/>
        </w:rPr>
      </w:pPr>
      <m:oMath>
        <m:r>
          <m:rPr/>
          <w:rPr>
            <w:rFonts w:hint="default" w:ascii="Cambria Math" w:hAnsi="Cambria Math" w:cs="宋体"/>
            <w:highlight w:val="none"/>
            <w:lang w:val="en-US" w:eastAsia="zh-CN"/>
          </w:rPr>
          <m:t>R</m:t>
        </m:r>
        <m:r>
          <m:rPr/>
          <w:rPr>
            <w:rFonts w:hint="eastAsia" w:ascii="Cambria Math" w:hAnsi="Cambria Math" w:cs="宋体"/>
            <w:highlight w:val="none"/>
          </w:rPr>
          <m:t>=</m:t>
        </m:r>
        <m:nary>
          <m:naryPr>
            <m:chr m:val="∑"/>
            <m:limLoc m:val="undOvr"/>
            <m:ctrlPr>
              <w:rPr>
                <w:rFonts w:hint="eastAsia" w:ascii="Cambria Math" w:hAnsi="Cambria Math" w:cs="宋体"/>
                <w:i/>
                <w:highlight w:val="none"/>
              </w:rPr>
            </m:ctrlPr>
          </m:naryPr>
          <m:sub>
            <m:r>
              <m:rPr/>
              <w:rPr>
                <w:rFonts w:hint="default" w:ascii="Cambria Math" w:hAnsi="Cambria Math" w:cs="宋体"/>
                <w:highlight w:val="none"/>
                <w:lang w:val="en-US" w:eastAsia="zh-CN"/>
              </w:rPr>
              <m:t>i=1</m:t>
            </m:r>
            <m:ctrlPr>
              <w:rPr>
                <w:rFonts w:hint="eastAsia" w:ascii="Cambria Math" w:hAnsi="Cambria Math" w:cs="宋体"/>
                <w:i/>
                <w:highlight w:val="none"/>
              </w:rPr>
            </m:ctrlPr>
          </m:sub>
          <m:sup>
            <m:r>
              <m:rPr/>
              <w:rPr>
                <w:rFonts w:hint="default" w:ascii="Cambria Math" w:hAnsi="Cambria Math" w:cs="宋体"/>
                <w:highlight w:val="none"/>
                <w:lang w:val="en-US" w:eastAsia="zh-CN"/>
              </w:rPr>
              <m:t>n</m:t>
            </m:r>
            <m:ctrlPr>
              <w:rPr>
                <w:rFonts w:hint="eastAsia" w:ascii="Cambria Math" w:hAnsi="Cambria Math" w:cs="宋体"/>
                <w:i/>
                <w:highlight w:val="none"/>
              </w:rPr>
            </m:ctrlPr>
          </m:sup>
          <m:e>
            <m:r>
              <m:rPr>
                <m:sty m:val="p"/>
              </m:rPr>
              <w:rPr>
                <w:rFonts w:hint="eastAsia" w:ascii="Cambria Math" w:hAnsi="Cambria Math" w:cs="宋体"/>
                <w:highlight w:val="none"/>
                <w:lang w:eastAsia="zh-CN"/>
              </w:rPr>
              <m:t>（</m:t>
            </m:r>
            <m:sSub>
              <m:sSubPr>
                <m:ctrlPr>
                  <w:rPr>
                    <w:rFonts w:hint="eastAsia" w:ascii="Cambria Math" w:hAnsi="Cambria Math" w:cs="宋体"/>
                    <w:i/>
                    <w:highlight w:val="none"/>
                    <w:lang w:eastAsia="zh-CN"/>
                  </w:rPr>
                </m:ctrlPr>
              </m:sSubPr>
              <m:e>
                <m:r>
                  <m:rPr/>
                  <w:rPr>
                    <w:rFonts w:hint="default" w:ascii="Cambria Math" w:hAnsi="Cambria Math" w:cs="宋体"/>
                    <w:highlight w:val="none"/>
                    <w:lang w:val="en-US" w:eastAsia="zh-CN"/>
                  </w:rPr>
                  <m:t>E</m:t>
                </m:r>
                <m:ctrlPr>
                  <w:rPr>
                    <w:rFonts w:hint="eastAsia" w:ascii="Cambria Math" w:hAnsi="Cambria Math" w:cs="宋体"/>
                    <w:i/>
                    <w:highlight w:val="none"/>
                    <w:lang w:eastAsia="zh-CN"/>
                  </w:rPr>
                </m:ctrlPr>
              </m:e>
              <m:sub>
                <m:r>
                  <m:rPr/>
                  <w:rPr>
                    <w:rFonts w:hint="default" w:ascii="Cambria Math" w:hAnsi="Cambria Math" w:cs="宋体"/>
                    <w:highlight w:val="none"/>
                    <w:lang w:val="en-US" w:eastAsia="zh-CN"/>
                  </w:rPr>
                  <m:t>i</m:t>
                </m:r>
                <m:ctrlPr>
                  <w:rPr>
                    <w:rFonts w:hint="eastAsia" w:ascii="Cambria Math" w:hAnsi="Cambria Math" w:cs="宋体"/>
                    <w:i/>
                    <w:highlight w:val="none"/>
                    <w:lang w:eastAsia="zh-CN"/>
                  </w:rPr>
                </m:ctrlPr>
              </m:sub>
            </m:sSub>
            <m:r>
              <m:rPr/>
              <w:rPr>
                <w:rFonts w:hint="default" w:ascii="Cambria Math" w:hAnsi="Cambria Math" w:cs="宋体"/>
                <w:highlight w:val="none"/>
                <w:lang w:val="en-US" w:eastAsia="zh-CN"/>
              </w:rPr>
              <m:t>−</m:t>
            </m:r>
            <m:sSubSup>
              <m:sSubSupPr>
                <m:ctrlPr>
                  <w:rPr>
                    <w:rFonts w:hint="default" w:ascii="Cambria Math" w:hAnsi="Cambria Math" w:cs="宋体"/>
                    <w:i/>
                    <w:highlight w:val="none"/>
                    <w:lang w:val="en-US" w:eastAsia="zh-CN"/>
                  </w:rPr>
                </m:ctrlPr>
              </m:sSubSupPr>
              <m:e>
                <m:r>
                  <m:rPr/>
                  <w:rPr>
                    <w:rFonts w:hint="default" w:ascii="Cambria Math" w:hAnsi="Cambria Math" w:cs="宋体"/>
                    <w:highlight w:val="none"/>
                    <w:lang w:val="en-US" w:eastAsia="zh-CN"/>
                  </w:rPr>
                  <m:t>E</m:t>
                </m:r>
                <m:ctrlPr>
                  <w:rPr>
                    <w:rFonts w:hint="default" w:ascii="Cambria Math" w:hAnsi="Cambria Math" w:cs="宋体"/>
                    <w:i/>
                    <w:highlight w:val="none"/>
                    <w:lang w:val="en-US" w:eastAsia="zh-CN"/>
                  </w:rPr>
                </m:ctrlPr>
              </m:e>
              <m:sub>
                <m:r>
                  <m:rPr/>
                  <w:rPr>
                    <w:rFonts w:hint="default" w:ascii="Cambria Math" w:hAnsi="Cambria Math" w:cs="宋体"/>
                    <w:highlight w:val="none"/>
                    <w:lang w:val="en-US" w:eastAsia="zh-CN"/>
                  </w:rPr>
                  <m:t>i</m:t>
                </m:r>
                <m:ctrlPr>
                  <w:rPr>
                    <w:rFonts w:hint="default" w:ascii="Cambria Math" w:hAnsi="Cambria Math" w:cs="宋体"/>
                    <w:i/>
                    <w:highlight w:val="none"/>
                    <w:lang w:val="en-US" w:eastAsia="zh-CN"/>
                  </w:rPr>
                </m:ctrlPr>
              </m:sub>
              <m:sup>
                <m:r>
                  <m:rPr/>
                  <w:rPr>
                    <w:rFonts w:hint="default" w:ascii="Cambria Math" w:hAnsi="Cambria Math" w:cs="宋体"/>
                    <w:highlight w:val="none"/>
                    <w:lang w:val="en-US" w:eastAsia="zh-CN"/>
                  </w:rPr>
                  <m:t>'</m:t>
                </m:r>
                <m:ctrlPr>
                  <w:rPr>
                    <w:rFonts w:hint="default" w:ascii="Cambria Math" w:hAnsi="Cambria Math" w:cs="宋体"/>
                    <w:i/>
                    <w:highlight w:val="none"/>
                    <w:lang w:val="en-US" w:eastAsia="zh-CN"/>
                  </w:rPr>
                </m:ctrlPr>
              </m:sup>
            </m:sSubSup>
            <m:r>
              <m:rPr>
                <m:sty m:val="p"/>
              </m:rPr>
              <w:rPr>
                <w:rFonts w:hint="eastAsia" w:ascii="Cambria Math" w:hAnsi="Cambria Math" w:cs="宋体"/>
                <w:highlight w:val="none"/>
                <w:lang w:eastAsia="zh-CN"/>
              </w:rPr>
              <m:t>）</m:t>
            </m:r>
            <m:r>
              <m:rPr/>
              <w:rPr>
                <w:rFonts w:ascii="Cambria Math" w:hAnsi="Cambria Math" w:cs="宋体"/>
                <w:highlight w:val="none"/>
              </w:rPr>
              <m:t>×</m:t>
            </m:r>
            <m:sSub>
              <m:sSubPr>
                <m:ctrlPr>
                  <w:rPr>
                    <w:rFonts w:ascii="Cambria Math" w:hAnsi="Cambria Math" w:cs="宋体"/>
                    <w:i/>
                    <w:iCs w:val="0"/>
                    <w:highlight w:val="none"/>
                  </w:rPr>
                </m:ctrlPr>
              </m:sSubPr>
              <m:e>
                <m:r>
                  <m:rPr/>
                  <w:rPr>
                    <w:rFonts w:hint="default" w:ascii="Cambria Math" w:hAnsi="Cambria Math" w:cs="宋体"/>
                    <w:highlight w:val="none"/>
                    <w:lang w:val="en-US" w:eastAsia="zh-CN"/>
                  </w:rPr>
                  <m:t>GWP</m:t>
                </m:r>
                <m:ctrlPr>
                  <w:rPr>
                    <w:rFonts w:ascii="Cambria Math" w:hAnsi="Cambria Math" w:cs="宋体"/>
                    <w:i/>
                    <w:iCs w:val="0"/>
                    <w:highlight w:val="none"/>
                  </w:rPr>
                </m:ctrlPr>
              </m:e>
              <m:sub>
                <m:r>
                  <m:rPr/>
                  <w:rPr>
                    <w:rFonts w:hint="default" w:ascii="Cambria Math" w:hAnsi="Cambria Math" w:cs="宋体"/>
                    <w:highlight w:val="none"/>
                    <w:lang w:val="en-US" w:eastAsia="zh-CN"/>
                  </w:rPr>
                  <m:t>i</m:t>
                </m:r>
                <m:ctrlPr>
                  <w:rPr>
                    <w:rFonts w:ascii="Cambria Math" w:hAnsi="Cambria Math" w:cs="宋体"/>
                    <w:i/>
                    <w:iCs w:val="0"/>
                    <w:highlight w:val="none"/>
                  </w:rPr>
                </m:ctrlPr>
              </m:sub>
            </m:sSub>
            <m:r>
              <m:rPr/>
              <w:rPr>
                <w:rFonts w:ascii="Cambria Math" w:hAnsi="Cambria Math" w:cs="宋体"/>
                <w:highlight w:val="none"/>
              </w:rPr>
              <m:t>×</m:t>
            </m:r>
            <m:sSub>
              <m:sSubPr>
                <m:ctrlPr>
                  <w:rPr>
                    <w:rFonts w:ascii="Cambria Math" w:hAnsi="Cambria Math" w:cs="宋体"/>
                    <w:i/>
                    <w:highlight w:val="none"/>
                  </w:rPr>
                </m:ctrlPr>
              </m:sSubPr>
              <m:e>
                <m:r>
                  <m:rPr/>
                  <w:rPr>
                    <w:rFonts w:hint="default" w:ascii="Cambria Math" w:hAnsi="Cambria Math" w:cs="宋体"/>
                    <w:highlight w:val="none"/>
                    <w:lang w:val="en-US" w:eastAsia="zh-CN"/>
                  </w:rPr>
                  <m:t>N</m:t>
                </m:r>
                <m:ctrlPr>
                  <w:rPr>
                    <w:rFonts w:ascii="Cambria Math" w:hAnsi="Cambria Math" w:cs="宋体"/>
                    <w:i/>
                    <w:highlight w:val="none"/>
                  </w:rPr>
                </m:ctrlPr>
              </m:e>
              <m:sub>
                <m:r>
                  <m:rPr/>
                  <w:rPr>
                    <w:rFonts w:hint="default" w:ascii="Cambria Math" w:hAnsi="Cambria Math" w:cs="宋体"/>
                    <w:highlight w:val="none"/>
                    <w:lang w:val="en-US" w:eastAsia="zh-CN"/>
                  </w:rPr>
                  <m:t>i</m:t>
                </m:r>
                <m:ctrlPr>
                  <w:rPr>
                    <w:rFonts w:ascii="Cambria Math" w:hAnsi="Cambria Math" w:cs="宋体"/>
                    <w:i/>
                    <w:highlight w:val="none"/>
                  </w:rPr>
                </m:ctrlPr>
              </m:sub>
            </m:sSub>
            <m:ctrlPr>
              <w:rPr>
                <w:rFonts w:hint="eastAsia" w:ascii="Cambria Math" w:hAnsi="Cambria Math" w:cs="宋体"/>
                <w:i/>
                <w:highlight w:val="none"/>
              </w:rPr>
            </m:ctrlPr>
          </m:e>
        </m:nary>
      </m:oMath>
      <w:r>
        <w:rPr>
          <w:rFonts w:hint="eastAsia" w:hAnsi="Cambria Math" w:cs="宋体"/>
          <w:i w:val="0"/>
          <w:iCs/>
          <w:highlight w:val="none"/>
          <w:lang w:val="en-US" w:eastAsia="zh-CN"/>
        </w:rPr>
        <w:tab/>
      </w:r>
      <w:r>
        <w:rPr>
          <w:rFonts w:hint="eastAsia" w:hAnsi="Cambria Math" w:cs="宋体"/>
          <w:i w:val="0"/>
          <w:iCs/>
          <w:highlight w:val="none"/>
          <w:lang w:val="en-US" w:eastAsia="zh-CN"/>
        </w:rPr>
        <w:t>（B.4）</w:t>
      </w:r>
    </w:p>
    <w:p w14:paraId="281197D4">
      <w:pPr>
        <w:pStyle w:val="132"/>
        <w:ind w:firstLine="420" w:firstLineChars="200"/>
        <w:rPr>
          <w:rFonts w:hAnsi="宋体" w:cs="宋体"/>
          <w:highlight w:val="none"/>
        </w:rPr>
      </w:pPr>
      <w:r>
        <w:rPr>
          <w:rFonts w:hint="eastAsia" w:hAnsi="宋体" w:cs="宋体"/>
          <w:highlight w:val="none"/>
        </w:rPr>
        <w:t>式中：</w:t>
      </w:r>
    </w:p>
    <w:p w14:paraId="27DAFFA6">
      <w:pPr>
        <w:pStyle w:val="132"/>
        <w:ind w:firstLine="420" w:firstLineChars="200"/>
        <w:rPr>
          <w:rFonts w:hAnsi="宋体" w:cs="宋体"/>
          <w:highlight w:val="none"/>
        </w:rPr>
      </w:pPr>
      <m:oMath>
        <m:r>
          <m:rPr/>
          <w:rPr>
            <w:rFonts w:hint="default" w:ascii="Cambria Math" w:hAnsi="Cambria Math" w:cs="宋体"/>
            <w:highlight w:val="none"/>
            <w:lang w:val="en-US" w:eastAsia="zh-CN"/>
          </w:rPr>
          <m:t>R</m:t>
        </m:r>
      </m:oMath>
      <w:r>
        <w:rPr>
          <w:rFonts w:hint="eastAsia" w:hAnsi="Cambria Math" w:cs="宋体"/>
          <w:i w:val="0"/>
          <w:highlight w:val="none"/>
          <w:lang w:val="en-US" w:eastAsia="zh-CN"/>
        </w:rPr>
        <w:t xml:space="preserve">   </w:t>
      </w:r>
      <w:r>
        <w:rPr>
          <w:rFonts w:hint="eastAsia" w:hAnsi="宋体" w:cs="宋体"/>
          <w:highlight w:val="none"/>
        </w:rPr>
        <w:t>——工业生产过程温室气体减排的碳减排量，单位为吨（t）；</w:t>
      </w:r>
    </w:p>
    <w:p w14:paraId="264B7BAA">
      <w:pPr>
        <w:pStyle w:val="132"/>
        <w:ind w:firstLine="420" w:firstLineChars="200"/>
        <w:rPr>
          <w:rFonts w:hint="eastAsia" w:hAnsi="宋体" w:cs="宋体"/>
          <w:highlight w:val="none"/>
        </w:rPr>
      </w:pPr>
      <m:oMath>
        <m:sSub>
          <m:sSubPr>
            <m:ctrlPr>
              <w:rPr>
                <w:rFonts w:ascii="Cambria Math" w:hAnsi="Cambria Math" w:cs="宋体"/>
                <w:i/>
                <w:highlight w:val="none"/>
                <w:lang w:val="en-US"/>
              </w:rPr>
            </m:ctrlPr>
          </m:sSubPr>
          <m:e>
            <m:r>
              <m:rPr/>
              <w:rPr>
                <w:rFonts w:hint="default" w:ascii="Cambria Math" w:hAnsi="Cambria Math" w:cs="宋体"/>
                <w:highlight w:val="none"/>
                <w:lang w:val="en-US" w:eastAsia="zh-CN"/>
              </w:rPr>
              <m:t>E</m:t>
            </m:r>
            <m:ctrlPr>
              <w:rPr>
                <w:rFonts w:ascii="Cambria Math" w:hAnsi="Cambria Math" w:cs="宋体"/>
                <w:i/>
                <w:highlight w:val="none"/>
                <w:lang w:val="en-US"/>
              </w:rPr>
            </m:ctrlPr>
          </m:e>
          <m:sub>
            <m:r>
              <m:rPr/>
              <w:rPr>
                <w:rFonts w:hint="default" w:ascii="Cambria Math" w:hAnsi="Cambria Math" w:cs="宋体"/>
                <w:highlight w:val="none"/>
                <w:lang w:val="en-US" w:eastAsia="zh-CN"/>
              </w:rPr>
              <m:t>i</m:t>
            </m:r>
            <m:ctrlPr>
              <w:rPr>
                <w:rFonts w:ascii="Cambria Math" w:hAnsi="Cambria Math" w:cs="宋体"/>
                <w:i/>
                <w:highlight w:val="none"/>
                <w:lang w:val="en-US"/>
              </w:rPr>
            </m:ctrlPr>
          </m:sub>
        </m:sSub>
      </m:oMath>
      <w:r>
        <w:rPr>
          <w:rFonts w:hint="eastAsia" w:hAnsi="Cambria Math" w:cs="宋体"/>
          <w:i w:val="0"/>
          <w:highlight w:val="none"/>
          <w:lang w:val="en-US" w:eastAsia="zh-CN"/>
        </w:rPr>
        <w:t xml:space="preserve">   </w:t>
      </w:r>
      <w:r>
        <w:rPr>
          <w:rFonts w:hint="eastAsia" w:hAnsi="宋体" w:cs="宋体"/>
          <w:highlight w:val="none"/>
          <w:lang w:eastAsia="zh-CN"/>
        </w:rPr>
        <w:t>——</w:t>
      </w:r>
      <w:r>
        <w:rPr>
          <w:rFonts w:hint="eastAsia" w:hAnsi="宋体" w:cs="宋体"/>
          <w:highlight w:val="none"/>
          <w:lang w:val="en-US" w:eastAsia="zh-CN"/>
        </w:rPr>
        <w:t>第</w:t>
      </w:r>
      <w:r>
        <w:rPr>
          <w:rFonts w:hint="eastAsia" w:hAnsi="宋体" w:cs="宋体"/>
          <w:highlight w:val="none"/>
          <w:lang w:eastAsia="zh-CN"/>
        </w:rPr>
        <w:t>i类</w:t>
      </w:r>
      <w:r>
        <w:rPr>
          <w:rFonts w:hint="eastAsia" w:hAnsi="宋体" w:cs="宋体"/>
          <w:highlight w:val="none"/>
          <w:lang w:val="en-US" w:eastAsia="zh-CN"/>
        </w:rPr>
        <w:t>产品在工艺改造或清洁生产前单个产品碳排放量，单位为吨（t）</w:t>
      </w:r>
      <w:r>
        <w:rPr>
          <w:rFonts w:hint="eastAsia" w:hAnsi="宋体" w:cs="宋体"/>
          <w:highlight w:val="none"/>
        </w:rPr>
        <w:t>；</w:t>
      </w:r>
    </w:p>
    <w:p w14:paraId="3CD83352">
      <w:pPr>
        <w:pStyle w:val="132"/>
        <w:keepNext w:val="0"/>
        <w:keepLines w:val="0"/>
        <w:pageBreakBefore w:val="0"/>
        <w:widowControl/>
        <w:kinsoku/>
        <w:wordWrap/>
        <w:overflowPunct/>
        <w:topLinePunct w:val="0"/>
        <w:autoSpaceDE w:val="0"/>
        <w:autoSpaceDN w:val="0"/>
        <w:bidi w:val="0"/>
        <w:adjustRightInd/>
        <w:snapToGrid/>
        <w:ind w:left="1344" w:leftChars="187" w:hanging="951" w:hangingChars="580"/>
        <w:textAlignment w:val="auto"/>
        <w:rPr>
          <w:rFonts w:hint="eastAsia" w:hAnsi="宋体" w:eastAsia="宋体" w:cs="宋体"/>
          <w:highlight w:val="none"/>
          <w:lang w:eastAsia="zh-CN"/>
        </w:rPr>
      </w:pPr>
      <m:oMath>
        <m:r>
          <m:rPr/>
          <w:rPr>
            <w:rFonts w:hint="default" w:ascii="Cambria Math" w:hAnsi="Cambria Math" w:cs="宋体"/>
            <w:spacing w:val="-23"/>
            <w:highlight w:val="none"/>
            <w:lang w:val="en-US" w:eastAsia="zh-CN"/>
          </w:rPr>
          <m:t xml:space="preserve"> </m:t>
        </m:r>
        <m:sSubSup>
          <m:sSubSupPr>
            <m:ctrlPr>
              <w:rPr>
                <w:rFonts w:hint="default" w:ascii="Cambria Math" w:hAnsi="Cambria Math" w:cs="宋体"/>
                <w:i/>
                <w:spacing w:val="-23"/>
                <w:highlight w:val="none"/>
                <w:lang w:val="en-US" w:eastAsia="zh-CN"/>
              </w:rPr>
            </m:ctrlPr>
          </m:sSubSupPr>
          <m:e>
            <m:r>
              <m:rPr/>
              <w:rPr>
                <w:rFonts w:hint="default" w:ascii="Cambria Math" w:hAnsi="Cambria Math" w:cs="宋体"/>
                <w:spacing w:val="-23"/>
                <w:highlight w:val="none"/>
                <w:lang w:val="en-US" w:eastAsia="zh-CN"/>
              </w:rPr>
              <m:t>E</m:t>
            </m:r>
            <m:ctrlPr>
              <w:rPr>
                <w:rFonts w:hint="default" w:ascii="Cambria Math" w:hAnsi="Cambria Math" w:cs="宋体"/>
                <w:i/>
                <w:spacing w:val="-23"/>
                <w:highlight w:val="none"/>
                <w:lang w:val="en-US" w:eastAsia="zh-CN"/>
              </w:rPr>
            </m:ctrlPr>
          </m:e>
          <m:sub>
            <m:r>
              <m:rPr/>
              <w:rPr>
                <w:rFonts w:hint="default" w:ascii="Cambria Math" w:hAnsi="Cambria Math" w:cs="宋体"/>
                <w:spacing w:val="-23"/>
                <w:highlight w:val="none"/>
                <w:lang w:val="en-US" w:eastAsia="zh-CN"/>
              </w:rPr>
              <m:t>i</m:t>
            </m:r>
            <m:ctrlPr>
              <w:rPr>
                <w:rFonts w:hint="default" w:ascii="Cambria Math" w:hAnsi="Cambria Math" w:cs="宋体"/>
                <w:i/>
                <w:spacing w:val="-23"/>
                <w:highlight w:val="none"/>
                <w:lang w:val="en-US" w:eastAsia="zh-CN"/>
              </w:rPr>
            </m:ctrlPr>
          </m:sub>
          <m:sup>
            <m:r>
              <m:rPr/>
              <w:rPr>
                <w:rFonts w:hint="default" w:ascii="Cambria Math" w:hAnsi="Cambria Math" w:cs="宋体"/>
                <w:spacing w:val="-23"/>
                <w:highlight w:val="none"/>
                <w:lang w:val="en-US" w:eastAsia="zh-CN"/>
              </w:rPr>
              <m:t>'</m:t>
            </m:r>
            <m:ctrlPr>
              <w:rPr>
                <w:rFonts w:hint="default" w:ascii="Cambria Math" w:hAnsi="Cambria Math" w:cs="宋体"/>
                <w:i/>
                <w:spacing w:val="-23"/>
                <w:highlight w:val="none"/>
                <w:lang w:val="en-US" w:eastAsia="zh-CN"/>
              </w:rPr>
            </m:ctrlPr>
          </m:sup>
        </m:sSubSup>
      </m:oMath>
      <w:r>
        <w:rPr>
          <w:rFonts w:hint="eastAsia" w:hAnsi="Cambria Math" w:cs="宋体"/>
          <w:i w:val="0"/>
          <w:spacing w:val="-23"/>
          <w:highlight w:val="none"/>
          <w:lang w:val="en-US" w:eastAsia="zh-CN"/>
        </w:rPr>
        <w:t xml:space="preserve">      </w:t>
      </w:r>
      <w:r>
        <w:rPr>
          <w:rFonts w:hint="eastAsia" w:hAnsi="宋体" w:cs="宋体"/>
          <w:highlight w:val="none"/>
          <w:lang w:eastAsia="zh-CN"/>
        </w:rPr>
        <w:t>——</w:t>
      </w:r>
      <w:r>
        <w:rPr>
          <w:rFonts w:hint="eastAsia" w:hAnsi="宋体" w:cs="宋体"/>
          <w:highlight w:val="none"/>
          <w:lang w:val="en-US" w:eastAsia="zh-CN"/>
        </w:rPr>
        <w:t>第i类产品在工艺改造或清洁生产后单个产品碳排放量，单位为吨（t）</w:t>
      </w:r>
      <w:r>
        <w:rPr>
          <w:rFonts w:hint="eastAsia" w:hAnsi="宋体" w:cs="宋体"/>
          <w:highlight w:val="none"/>
          <w:lang w:eastAsia="zh-CN"/>
        </w:rPr>
        <w:t>；</w:t>
      </w:r>
    </w:p>
    <w:p w14:paraId="38ADC057">
      <w:pPr>
        <w:pStyle w:val="26"/>
        <w:rPr>
          <w:rFonts w:hint="eastAsia" w:hAnsi="宋体" w:cs="宋体"/>
          <w:highlight w:val="none"/>
        </w:rPr>
      </w:pPr>
      <m:oMath>
        <m:sSub>
          <m:sSubPr>
            <m:ctrlPr>
              <w:rPr>
                <w:rFonts w:ascii="Cambria Math" w:hAnsi="Cambria Math" w:cs="宋体"/>
                <w:i/>
                <w:iCs/>
                <w:highlight w:val="none"/>
                <w:lang w:val="en-US"/>
              </w:rPr>
            </m:ctrlPr>
          </m:sSubPr>
          <m:e>
            <m:r>
              <m:rPr/>
              <w:rPr>
                <w:rFonts w:hint="default" w:ascii="Cambria Math" w:hAnsi="Cambria Math" w:cs="宋体"/>
                <w:highlight w:val="none"/>
                <w:lang w:val="en-US" w:eastAsia="zh-CN"/>
              </w:rPr>
              <m:t>GWP</m:t>
            </m:r>
            <m:ctrlPr>
              <w:rPr>
                <w:rFonts w:ascii="Cambria Math" w:hAnsi="Cambria Math" w:cs="宋体"/>
                <w:i/>
                <w:iCs/>
                <w:highlight w:val="none"/>
                <w:lang w:val="en-US"/>
              </w:rPr>
            </m:ctrlPr>
          </m:e>
          <m:sub>
            <m:r>
              <m:rPr/>
              <w:rPr>
                <w:rFonts w:hint="default" w:ascii="Cambria Math" w:hAnsi="Cambria Math" w:cs="宋体"/>
                <w:highlight w:val="none"/>
                <w:lang w:val="en-US" w:eastAsia="zh-CN"/>
              </w:rPr>
              <m:t>i</m:t>
            </m:r>
            <m:ctrlPr>
              <w:rPr>
                <w:rFonts w:ascii="Cambria Math" w:hAnsi="Cambria Math" w:cs="宋体"/>
                <w:i/>
                <w:iCs/>
                <w:highlight w:val="none"/>
                <w:lang w:val="en-US"/>
              </w:rPr>
            </m:ctrlPr>
          </m:sub>
        </m:sSub>
      </m:oMath>
      <w:r>
        <w:rPr>
          <w:rFonts w:hint="eastAsia" w:hAnsi="宋体" w:cs="宋体"/>
          <w:highlight w:val="none"/>
          <w:lang w:eastAsia="zh-CN"/>
        </w:rPr>
        <w:t>——</w:t>
      </w:r>
      <w:r>
        <w:rPr>
          <w:rFonts w:hint="eastAsia" w:hAnsi="宋体" w:cs="宋体"/>
          <w:highlight w:val="none"/>
          <w:lang w:val="en-US" w:eastAsia="zh-CN"/>
        </w:rPr>
        <w:t>第i种产品相关温室气体的全球增温潜势值</w:t>
      </w:r>
      <w:r>
        <w:rPr>
          <w:rFonts w:hint="eastAsia" w:hAnsi="宋体" w:cs="宋体"/>
          <w:highlight w:val="none"/>
        </w:rPr>
        <w:t>，无量纲，采用IPCC最新发布数据；</w:t>
      </w:r>
    </w:p>
    <w:p w14:paraId="705C7BB9">
      <w:pPr>
        <w:pStyle w:val="26"/>
        <w:rPr>
          <w:rFonts w:hint="eastAsia" w:hAnsi="宋体" w:eastAsia="宋体" w:cs="宋体"/>
          <w:highlight w:val="none"/>
          <w:lang w:eastAsia="zh-CN"/>
        </w:rPr>
      </w:pPr>
      <m:oMath>
        <m:sSub>
          <m:sSubPr>
            <m:ctrlPr>
              <w:rPr>
                <w:rFonts w:ascii="Cambria Math" w:hAnsi="Cambria Math" w:cs="宋体"/>
                <w:i/>
                <w:highlight w:val="none"/>
                <w:lang w:val="en-US"/>
              </w:rPr>
            </m:ctrlPr>
          </m:sSubPr>
          <m:e>
            <m:r>
              <m:rPr/>
              <w:rPr>
                <w:rFonts w:hint="default" w:ascii="Cambria Math" w:hAnsi="Cambria Math" w:cs="宋体"/>
                <w:highlight w:val="none"/>
                <w:lang w:val="en-US" w:eastAsia="zh-CN"/>
              </w:rPr>
              <m:t>N</m:t>
            </m:r>
            <m:ctrlPr>
              <w:rPr>
                <w:rFonts w:ascii="Cambria Math" w:hAnsi="Cambria Math" w:cs="宋体"/>
                <w:i/>
                <w:highlight w:val="none"/>
                <w:lang w:val="en-US"/>
              </w:rPr>
            </m:ctrlPr>
          </m:e>
          <m:sub>
            <m:r>
              <m:rPr/>
              <w:rPr>
                <w:rFonts w:hint="default" w:ascii="Cambria Math" w:hAnsi="Cambria Math" w:cs="宋体"/>
                <w:highlight w:val="none"/>
                <w:lang w:val="en-US" w:eastAsia="zh-CN"/>
              </w:rPr>
              <m:t>i</m:t>
            </m:r>
            <m:ctrlPr>
              <w:rPr>
                <w:rFonts w:ascii="Cambria Math" w:hAnsi="Cambria Math" w:cs="宋体"/>
                <w:i/>
                <w:highlight w:val="none"/>
                <w:lang w:val="en-US"/>
              </w:rPr>
            </m:ctrlPr>
          </m:sub>
        </m:sSub>
      </m:oMath>
      <w:r>
        <w:rPr>
          <w:rFonts w:hint="eastAsia" w:hAnsi="Cambria Math" w:cs="宋体"/>
          <w:i w:val="0"/>
          <w:highlight w:val="none"/>
          <w:lang w:val="en-US" w:eastAsia="zh-CN"/>
        </w:rPr>
        <w:t xml:space="preserve">   </w:t>
      </w:r>
      <w:r>
        <w:rPr>
          <w:rFonts w:hint="eastAsia" w:hAnsi="宋体" w:cs="宋体"/>
          <w:highlight w:val="none"/>
          <w:lang w:eastAsia="zh-CN"/>
        </w:rPr>
        <w:t>——</w:t>
      </w:r>
      <w:r>
        <w:rPr>
          <w:rFonts w:hint="eastAsia" w:hAnsi="宋体" w:cs="宋体"/>
          <w:highlight w:val="none"/>
          <w:lang w:val="en-US" w:eastAsia="zh-CN"/>
        </w:rPr>
        <w:t>第</w:t>
      </w:r>
      <w:r>
        <w:rPr>
          <w:rFonts w:hint="eastAsia" w:hAnsi="宋体" w:cs="宋体"/>
          <w:highlight w:val="none"/>
          <w:lang w:eastAsia="zh-CN"/>
        </w:rPr>
        <w:t>i类</w:t>
      </w:r>
      <w:r>
        <w:rPr>
          <w:rFonts w:hint="eastAsia" w:hAnsi="宋体" w:cs="宋体"/>
          <w:highlight w:val="none"/>
          <w:lang w:val="en-US" w:eastAsia="zh-CN"/>
        </w:rPr>
        <w:t>产品在工艺改造或清洁生产后的产品数量量，单位为个</w:t>
      </w:r>
      <w:r>
        <w:rPr>
          <w:rFonts w:hint="eastAsia" w:hAnsi="宋体" w:cs="宋体"/>
          <w:highlight w:val="none"/>
          <w:lang w:eastAsia="zh-CN"/>
        </w:rPr>
        <w:t>。</w:t>
      </w:r>
    </w:p>
    <w:p w14:paraId="2497E4EF">
      <w:pPr>
        <w:pStyle w:val="60"/>
        <w:keepNext w:val="0"/>
        <w:keepLines w:val="0"/>
        <w:pageBreakBefore w:val="0"/>
        <w:widowControl/>
        <w:numPr>
          <w:ilvl w:val="-1"/>
          <w:numId w:val="0"/>
        </w:numPr>
        <w:kinsoku/>
        <w:wordWrap/>
        <w:overflowPunct/>
        <w:topLinePunct w:val="0"/>
        <w:autoSpaceDE/>
        <w:autoSpaceDN/>
        <w:bidi w:val="0"/>
        <w:adjustRightInd/>
        <w:snapToGrid/>
        <w:spacing w:before="156" w:after="156"/>
        <w:ind w:left="0" w:firstLine="0"/>
        <w:textAlignment w:val="auto"/>
        <w:outlineLvl w:val="9"/>
        <w:rPr>
          <w:rFonts w:hint="default" w:hAnsi="Times New Roman" w:cs="Times New Roman"/>
          <w:highlight w:val="none"/>
          <w:lang w:val="en-US"/>
        </w:rPr>
      </w:pPr>
      <w:bookmarkStart w:id="126" w:name="_Toc9779"/>
      <w:bookmarkStart w:id="127" w:name="_Toc7025"/>
      <w:r>
        <w:rPr>
          <w:rFonts w:hint="eastAsia"/>
          <w:highlight w:val="none"/>
          <w:lang w:val="en-US" w:eastAsia="zh-CN"/>
        </w:rPr>
        <w:t>B</w:t>
      </w:r>
      <w:r>
        <w:rPr>
          <w:rFonts w:hint="eastAsia" w:ascii="黑体"/>
          <w:highlight w:val="none"/>
          <w:lang w:val="en-US" w:eastAsia="zh-CN"/>
        </w:rPr>
        <w:t>.</w:t>
      </w:r>
      <w:r>
        <w:rPr>
          <w:rFonts w:hint="eastAsia"/>
          <w:highlight w:val="none"/>
          <w:lang w:val="en-US" w:eastAsia="zh-CN"/>
        </w:rPr>
        <w:t>2</w:t>
      </w:r>
      <w:r>
        <w:rPr>
          <w:rFonts w:hint="eastAsia" w:ascii="黑体"/>
          <w:highlight w:val="none"/>
          <w:lang w:val="en-US" w:eastAsia="zh-CN"/>
        </w:rPr>
        <w:t xml:space="preserve">  </w:t>
      </w:r>
      <w:bookmarkEnd w:id="126"/>
      <w:bookmarkEnd w:id="127"/>
      <w:r>
        <w:rPr>
          <w:rFonts w:hint="eastAsia"/>
          <w:highlight w:val="none"/>
          <w:lang w:val="en-US" w:eastAsia="zh-CN"/>
        </w:rPr>
        <w:t>物质替代量</w:t>
      </w:r>
    </w:p>
    <w:p w14:paraId="5A1AECDE">
      <w:pPr>
        <w:pStyle w:val="26"/>
        <w:rPr>
          <w:rFonts w:hAnsi="宋体" w:cs="宋体"/>
          <w:highlight w:val="none"/>
        </w:rPr>
      </w:pPr>
      <w:r>
        <w:rPr>
          <w:rFonts w:hint="eastAsia" w:hAnsi="宋体" w:cs="宋体"/>
          <w:highlight w:val="none"/>
          <w:lang w:val="en-US" w:eastAsia="zh-CN"/>
        </w:rPr>
        <w:t>对消耗臭氧层物质替代量</w:t>
      </w:r>
      <w:r>
        <w:rPr>
          <w:rFonts w:hint="eastAsia" w:hAnsi="宋体" w:cs="宋体"/>
          <w:highlight w:val="none"/>
        </w:rPr>
        <w:t>计算公式</w:t>
      </w:r>
      <w:r>
        <w:rPr>
          <w:rFonts w:hint="eastAsia" w:hAnsi="宋体" w:cs="宋体"/>
          <w:highlight w:val="none"/>
          <w:lang w:val="en-US" w:eastAsia="zh-CN"/>
        </w:rPr>
        <w:t>见公式（B.5）。</w:t>
      </w:r>
    </w:p>
    <w:p w14:paraId="61ACC178">
      <w:pPr>
        <w:pStyle w:val="26"/>
        <w:keepNext w:val="0"/>
        <w:keepLines w:val="0"/>
        <w:pageBreakBefore w:val="0"/>
        <w:widowControl/>
        <w:tabs>
          <w:tab w:val="center" w:leader="middleDot" w:pos="4620"/>
          <w:tab w:val="clear" w:pos="4201"/>
        </w:tabs>
        <w:kinsoku/>
        <w:wordWrap/>
        <w:overflowPunct/>
        <w:topLinePunct w:val="0"/>
        <w:autoSpaceDE w:val="0"/>
        <w:autoSpaceDN w:val="0"/>
        <w:bidi w:val="0"/>
        <w:adjustRightInd/>
        <w:snapToGrid/>
        <w:ind w:left="0" w:leftChars="0" w:firstLine="0" w:firstLineChars="0"/>
        <w:jc w:val="right"/>
        <w:textAlignment w:val="auto"/>
        <w:rPr>
          <w:rFonts w:hint="eastAsia" w:hAnsi="Cambria Math" w:cs="宋体"/>
          <w:i w:val="0"/>
          <w:sz w:val="21"/>
          <w:highlight w:val="none"/>
          <w:lang w:val="en-US" w:eastAsia="zh-CN" w:bidi="ar-SA"/>
        </w:rPr>
      </w:pPr>
      <m:oMath>
        <m:r>
          <m:rPr/>
          <w:rPr>
            <w:rFonts w:hint="default" w:ascii="Cambria Math" w:hAnsi="Cambria Math" w:cs="宋体"/>
            <w:sz w:val="21"/>
            <w:highlight w:val="none"/>
            <w:lang w:val="en-US" w:eastAsia="zh-CN" w:bidi="ar-SA"/>
          </w:rPr>
          <m:t>R</m:t>
        </m:r>
        <m:r>
          <m:rPr/>
          <w:rPr>
            <w:rFonts w:hint="eastAsia" w:ascii="Cambria Math" w:hAnsi="Cambria Math" w:cs="宋体"/>
            <w:sz w:val="21"/>
            <w:highlight w:val="none"/>
            <w:lang w:val="en-US" w:eastAsia="zh-CN" w:bidi="ar-SA"/>
          </w:rPr>
          <m:t>=</m:t>
        </m:r>
        <m:nary>
          <m:naryPr>
            <m:chr m:val="∑"/>
            <m:limLoc m:val="subSup"/>
            <m:ctrlPr>
              <w:rPr>
                <w:rFonts w:hint="eastAsia" w:ascii="Cambria Math" w:hAnsi="Cambria Math" w:cs="宋体"/>
                <w:i/>
                <w:sz w:val="21"/>
                <w:highlight w:val="none"/>
                <w:lang w:val="en-US" w:eastAsia="zh-CN" w:bidi="ar-SA"/>
              </w:rPr>
            </m:ctrlPr>
          </m:naryPr>
          <m:sub>
            <m:r>
              <m:rPr/>
              <w:rPr>
                <w:rFonts w:hint="default" w:ascii="Cambria Math" w:hAnsi="Cambria Math" w:cs="宋体"/>
                <w:sz w:val="21"/>
                <w:highlight w:val="none"/>
                <w:lang w:val="en-US" w:eastAsia="zh-CN" w:bidi="ar-SA"/>
              </w:rPr>
              <m:t>i</m:t>
            </m:r>
            <m:r>
              <m:rPr/>
              <w:rPr>
                <w:rFonts w:hint="eastAsia" w:ascii="Cambria Math" w:hAnsi="Cambria Math" w:cs="宋体"/>
                <w:sz w:val="21"/>
                <w:highlight w:val="none"/>
                <w:lang w:val="en-US" w:eastAsia="zh-CN" w:bidi="ar-SA"/>
              </w:rPr>
              <m:t>=</m:t>
            </m:r>
            <m:r>
              <m:rPr/>
              <w:rPr>
                <w:rFonts w:hint="default" w:ascii="Cambria Math" w:hAnsi="Cambria Math" w:cs="宋体"/>
                <w:sz w:val="21"/>
                <w:highlight w:val="none"/>
                <w:lang w:val="en-US" w:eastAsia="zh-CN" w:bidi="ar-SA"/>
              </w:rPr>
              <m:t>1</m:t>
            </m:r>
            <m:ctrlPr>
              <w:rPr>
                <w:rFonts w:hint="eastAsia" w:ascii="Cambria Math" w:hAnsi="Cambria Math" w:cs="宋体"/>
                <w:i/>
                <w:sz w:val="21"/>
                <w:highlight w:val="none"/>
                <w:lang w:val="en-US" w:eastAsia="zh-CN" w:bidi="ar-SA"/>
              </w:rPr>
            </m:ctrlPr>
          </m:sub>
          <m:sup>
            <m:r>
              <m:rPr/>
              <w:rPr>
                <w:rFonts w:hint="default" w:ascii="Cambria Math" w:hAnsi="Cambria Math" w:cs="宋体"/>
                <w:sz w:val="21"/>
                <w:highlight w:val="none"/>
                <w:lang w:val="en-US" w:eastAsia="zh-CN" w:bidi="ar-SA"/>
              </w:rPr>
              <m:t>n</m:t>
            </m:r>
            <m:ctrlPr>
              <w:rPr>
                <w:rFonts w:hint="eastAsia" w:ascii="Cambria Math" w:hAnsi="Cambria Math" w:cs="宋体"/>
                <w:i/>
                <w:sz w:val="21"/>
                <w:highlight w:val="none"/>
                <w:lang w:val="en-US" w:eastAsia="zh-CN" w:bidi="ar-SA"/>
              </w:rPr>
            </m:ctrlPr>
          </m:sup>
          <m:e>
            <m:sSub>
              <m:sSubPr>
                <m:ctrlPr>
                  <w:rPr>
                    <w:rFonts w:hint="eastAsia" w:ascii="Cambria Math" w:hAnsi="Cambria Math" w:cs="宋体"/>
                    <w:i/>
                    <w:sz w:val="21"/>
                    <w:highlight w:val="none"/>
                    <w:lang w:val="en-US" w:eastAsia="zh-CN" w:bidi="ar-SA"/>
                  </w:rPr>
                </m:ctrlPr>
              </m:sSubPr>
              <m:e>
                <m:r>
                  <m:rPr>
                    <m:sty m:val="p"/>
                  </m:rPr>
                  <w:rPr>
                    <w:rFonts w:hint="eastAsia" w:ascii="Cambria Math" w:hAnsi="Cambria Math" w:cs="宋体"/>
                    <w:sz w:val="21"/>
                    <w:highlight w:val="none"/>
                    <w:lang w:val="en-US" w:eastAsia="zh-CN" w:bidi="ar-SA"/>
                  </w:rPr>
                  <m:t>（</m:t>
                </m:r>
                <m:sSub>
                  <m:sSubPr>
                    <m:ctrlPr>
                      <w:rPr>
                        <w:rFonts w:hint="eastAsia" w:ascii="Cambria Math" w:hAnsi="Cambria Math" w:cs="宋体"/>
                        <w:i/>
                        <w:sz w:val="21"/>
                        <w:highlight w:val="none"/>
                        <w:lang w:val="en-US" w:eastAsia="zh-CN" w:bidi="ar-SA"/>
                      </w:rPr>
                    </m:ctrlPr>
                  </m:sSubPr>
                  <m:e>
                    <m:r>
                      <m:rPr/>
                      <w:rPr>
                        <w:rFonts w:hint="default" w:ascii="Cambria Math" w:hAnsi="Cambria Math" w:cs="宋体"/>
                        <w:sz w:val="21"/>
                        <w:highlight w:val="none"/>
                        <w:lang w:val="en-US" w:eastAsia="zh-CN" w:bidi="ar-SA"/>
                      </w:rPr>
                      <m:t>m</m:t>
                    </m:r>
                    <m:ctrlPr>
                      <w:rPr>
                        <w:rFonts w:hint="eastAsia" w:ascii="Cambria Math" w:hAnsi="Cambria Math" w:cs="宋体"/>
                        <w:i/>
                        <w:sz w:val="21"/>
                        <w:highlight w:val="none"/>
                        <w:lang w:val="en-US" w:eastAsia="zh-CN" w:bidi="ar-SA"/>
                      </w:rPr>
                    </m:ctrlPr>
                  </m:e>
                  <m:sub>
                    <m:r>
                      <m:rPr/>
                      <w:rPr>
                        <w:rFonts w:hint="default" w:ascii="Cambria Math" w:hAnsi="Cambria Math" w:cs="宋体"/>
                        <w:sz w:val="21"/>
                        <w:highlight w:val="none"/>
                        <w:lang w:val="en-US" w:eastAsia="zh-CN" w:bidi="ar-SA"/>
                      </w:rPr>
                      <m:t>i</m:t>
                    </m:r>
                    <m:ctrlPr>
                      <w:rPr>
                        <w:rFonts w:hint="eastAsia" w:ascii="Cambria Math" w:hAnsi="Cambria Math" w:cs="宋体"/>
                        <w:i/>
                        <w:sz w:val="21"/>
                        <w:highlight w:val="none"/>
                        <w:lang w:val="en-US" w:eastAsia="zh-CN" w:bidi="ar-SA"/>
                      </w:rPr>
                    </m:ctrlPr>
                  </m:sub>
                </m:sSub>
                <m:r>
                  <m:rPr/>
                  <w:rPr>
                    <w:rFonts w:ascii="Cambria Math" w:hAnsi="Cambria Math" w:cs="宋体"/>
                    <w:sz w:val="21"/>
                    <w:highlight w:val="none"/>
                    <w:lang w:val="en-US" w:bidi="ar-SA"/>
                  </w:rPr>
                  <m:t>×</m:t>
                </m:r>
                <m:sSub>
                  <m:sSubPr>
                    <m:ctrlPr>
                      <w:rPr>
                        <w:rFonts w:ascii="Cambria Math" w:hAnsi="Cambria Math" w:cs="宋体"/>
                        <w:i/>
                        <w:sz w:val="21"/>
                        <w:highlight w:val="none"/>
                        <w:lang w:val="en-US" w:bidi="ar-SA"/>
                      </w:rPr>
                    </m:ctrlPr>
                  </m:sSubPr>
                  <m:e>
                    <m:r>
                      <m:rPr/>
                      <w:rPr>
                        <w:rFonts w:hint="default" w:ascii="Cambria Math" w:hAnsi="Cambria Math" w:cs="宋体"/>
                        <w:sz w:val="21"/>
                        <w:highlight w:val="none"/>
                        <w:lang w:val="en-US" w:eastAsia="zh-CN" w:bidi="ar-SA"/>
                      </w:rPr>
                      <m:t>ODP</m:t>
                    </m:r>
                    <m:ctrlPr>
                      <w:rPr>
                        <w:rFonts w:ascii="Cambria Math" w:hAnsi="Cambria Math" w:cs="宋体"/>
                        <w:i/>
                        <w:sz w:val="21"/>
                        <w:highlight w:val="none"/>
                        <w:lang w:val="en-US" w:bidi="ar-SA"/>
                      </w:rPr>
                    </m:ctrlPr>
                  </m:e>
                  <m:sub>
                    <m:r>
                      <m:rPr/>
                      <w:rPr>
                        <w:rFonts w:hint="default" w:ascii="Cambria Math" w:hAnsi="Cambria Math" w:cs="宋体"/>
                        <w:sz w:val="21"/>
                        <w:highlight w:val="none"/>
                        <w:lang w:val="en-US" w:eastAsia="zh-CN" w:bidi="ar-SA"/>
                      </w:rPr>
                      <m:t>i</m:t>
                    </m:r>
                    <m:ctrlPr>
                      <w:rPr>
                        <w:rFonts w:ascii="Cambria Math" w:hAnsi="Cambria Math" w:cs="宋体"/>
                        <w:i/>
                        <w:sz w:val="21"/>
                        <w:highlight w:val="none"/>
                        <w:lang w:val="en-US" w:bidi="ar-SA"/>
                      </w:rPr>
                    </m:ctrlPr>
                  </m:sub>
                </m:sSub>
                <m:r>
                  <m:rPr/>
                  <w:rPr>
                    <w:rFonts w:hint="default" w:ascii="Cambria Math" w:hAnsi="Cambria Math" w:cs="宋体"/>
                    <w:sz w:val="21"/>
                    <w:highlight w:val="none"/>
                    <w:lang w:val="en-US" w:eastAsia="zh-CN" w:bidi="ar-SA"/>
                  </w:rPr>
                  <m:t>−m</m:t>
                </m:r>
                <m:ctrlPr>
                  <w:rPr>
                    <w:rFonts w:hint="eastAsia" w:ascii="Cambria Math" w:hAnsi="Cambria Math" w:cs="宋体"/>
                    <w:i/>
                    <w:sz w:val="21"/>
                    <w:highlight w:val="none"/>
                    <w:lang w:val="en-US" w:eastAsia="zh-CN" w:bidi="ar-SA"/>
                  </w:rPr>
                </m:ctrlPr>
              </m:e>
              <m:sub>
                <m:r>
                  <m:rPr/>
                  <w:rPr>
                    <w:rFonts w:hint="default" w:ascii="Cambria Math" w:hAnsi="Cambria Math" w:cs="宋体"/>
                    <w:sz w:val="21"/>
                    <w:highlight w:val="none"/>
                    <w:lang w:val="en-US" w:eastAsia="zh-CN" w:bidi="ar-SA"/>
                  </w:rPr>
                  <m:t>i</m:t>
                </m:r>
                <m:ctrlPr>
                  <w:rPr>
                    <w:rFonts w:hint="eastAsia" w:ascii="Cambria Math" w:hAnsi="Cambria Math" w:cs="宋体"/>
                    <w:i/>
                    <w:sz w:val="21"/>
                    <w:highlight w:val="none"/>
                    <w:lang w:val="en-US" w:eastAsia="zh-CN" w:bidi="ar-SA"/>
                  </w:rPr>
                </m:ctrlPr>
              </m:sub>
            </m:sSub>
            <m:r>
              <m:rPr/>
              <w:rPr>
                <w:rFonts w:ascii="Cambria Math" w:hAnsi="Cambria Math" w:cs="宋体"/>
                <w:sz w:val="21"/>
                <w:highlight w:val="none"/>
                <w:lang w:val="en-US" w:bidi="ar-SA"/>
              </w:rPr>
              <m:t>×</m:t>
            </m:r>
            <m:sSubSup>
              <m:sSubSupPr>
                <m:ctrlPr>
                  <w:rPr>
                    <w:rFonts w:ascii="Cambria Math" w:hAnsi="Cambria Math" w:cs="宋体"/>
                    <w:i/>
                    <w:sz w:val="21"/>
                    <w:highlight w:val="none"/>
                    <w:lang w:val="en-US" w:bidi="ar-SA"/>
                  </w:rPr>
                </m:ctrlPr>
              </m:sSubSupPr>
              <m:e>
                <m:r>
                  <m:rPr/>
                  <w:rPr>
                    <w:rFonts w:hint="default" w:ascii="Cambria Math" w:hAnsi="Cambria Math" w:cs="宋体"/>
                    <w:sz w:val="21"/>
                    <w:highlight w:val="none"/>
                    <w:lang w:val="en-US" w:eastAsia="zh-CN" w:bidi="ar-SA"/>
                  </w:rPr>
                  <m:t>ODP</m:t>
                </m:r>
                <m:ctrlPr>
                  <w:rPr>
                    <w:rFonts w:ascii="Cambria Math" w:hAnsi="Cambria Math" w:cs="宋体"/>
                    <w:i/>
                    <w:sz w:val="21"/>
                    <w:highlight w:val="none"/>
                    <w:lang w:val="en-US" w:bidi="ar-SA"/>
                  </w:rPr>
                </m:ctrlPr>
              </m:e>
              <m:sub>
                <m:r>
                  <m:rPr/>
                  <w:rPr>
                    <w:rFonts w:hint="default" w:ascii="Cambria Math" w:hAnsi="Cambria Math" w:cs="宋体"/>
                    <w:sz w:val="21"/>
                    <w:highlight w:val="none"/>
                    <w:lang w:val="en-US" w:eastAsia="zh-CN" w:bidi="ar-SA"/>
                  </w:rPr>
                  <m:t>i</m:t>
                </m:r>
                <m:ctrlPr>
                  <w:rPr>
                    <w:rFonts w:ascii="Cambria Math" w:hAnsi="Cambria Math" w:cs="宋体"/>
                    <w:i/>
                    <w:sz w:val="21"/>
                    <w:highlight w:val="none"/>
                    <w:lang w:val="en-US" w:bidi="ar-SA"/>
                  </w:rPr>
                </m:ctrlPr>
              </m:sub>
              <m:sup>
                <m:r>
                  <m:rPr/>
                  <w:rPr>
                    <w:rFonts w:hint="default" w:ascii="Cambria Math" w:hAnsi="Cambria Math" w:cs="宋体"/>
                    <w:sz w:val="21"/>
                    <w:highlight w:val="none"/>
                    <w:lang w:val="en-US" w:eastAsia="zh-CN" w:bidi="ar-SA"/>
                  </w:rPr>
                  <m:t>'</m:t>
                </m:r>
                <m:ctrlPr>
                  <w:rPr>
                    <w:rFonts w:ascii="Cambria Math" w:hAnsi="Cambria Math" w:cs="宋体"/>
                    <w:i/>
                    <w:sz w:val="21"/>
                    <w:highlight w:val="none"/>
                    <w:lang w:val="en-US" w:bidi="ar-SA"/>
                  </w:rPr>
                </m:ctrlPr>
              </m:sup>
            </m:sSubSup>
            <m:ctrlPr>
              <w:rPr>
                <w:rFonts w:hint="eastAsia" w:ascii="Cambria Math" w:hAnsi="Cambria Math" w:cs="宋体"/>
                <w:i/>
                <w:sz w:val="21"/>
                <w:highlight w:val="none"/>
                <w:lang w:val="en-US" w:eastAsia="zh-CN" w:bidi="ar-SA"/>
              </w:rPr>
            </m:ctrlPr>
          </m:e>
        </m:nary>
      </m:oMath>
      <w:r>
        <w:rPr>
          <w:rFonts w:hint="eastAsia" w:hAnsi="Cambria Math" w:cs="宋体"/>
          <w:i w:val="0"/>
          <w:sz w:val="21"/>
          <w:highlight w:val="none"/>
          <w:lang w:val="en-US" w:eastAsia="zh-CN" w:bidi="ar-SA"/>
        </w:rPr>
        <w:t>）</w:t>
      </w:r>
      <w:r>
        <w:rPr>
          <w:rFonts w:hint="eastAsia" w:hAnsi="Cambria Math" w:cs="宋体"/>
          <w:i w:val="0"/>
          <w:iCs/>
          <w:highlight w:val="none"/>
          <w:lang w:val="en-US"/>
        </w:rPr>
        <w:tab/>
      </w:r>
      <w:r>
        <w:rPr>
          <w:rFonts w:hint="eastAsia" w:hAnsi="Cambria Math" w:cs="宋体"/>
          <w:i w:val="0"/>
          <w:iCs w:val="0"/>
          <w:sz w:val="21"/>
          <w:highlight w:val="none"/>
          <w:lang w:val="en-US" w:eastAsia="zh-CN" w:bidi="ar-SA"/>
        </w:rPr>
        <w:t>（B.5）</w:t>
      </w:r>
    </w:p>
    <w:p w14:paraId="02A28BFB">
      <w:pPr>
        <w:pStyle w:val="26"/>
        <w:keepNext w:val="0"/>
        <w:keepLines w:val="0"/>
        <w:pageBreakBefore w:val="0"/>
        <w:widowControl/>
        <w:kinsoku/>
        <w:wordWrap/>
        <w:overflowPunct/>
        <w:topLinePunct w:val="0"/>
        <w:autoSpaceDE w:val="0"/>
        <w:autoSpaceDN w:val="0"/>
        <w:bidi w:val="0"/>
        <w:adjustRightInd/>
        <w:snapToGrid/>
        <w:ind w:left="0" w:leftChars="0" w:firstLine="420" w:firstLineChars="200"/>
        <w:jc w:val="left"/>
        <w:textAlignment w:val="auto"/>
        <w:rPr>
          <w:rFonts w:hint="eastAsia" w:hAnsi="Cambria Math" w:cs="宋体"/>
          <w:i w:val="0"/>
          <w:sz w:val="21"/>
          <w:highlight w:val="none"/>
          <w:lang w:val="en-US" w:eastAsia="zh-CN" w:bidi="ar-SA"/>
        </w:rPr>
      </w:pPr>
      <w:r>
        <w:rPr>
          <w:rFonts w:hint="eastAsia" w:hAnsi="Cambria Math" w:cs="宋体"/>
          <w:i w:val="0"/>
          <w:sz w:val="21"/>
          <w:highlight w:val="none"/>
          <w:lang w:val="en-US" w:eastAsia="zh-CN" w:bidi="ar-SA"/>
        </w:rPr>
        <w:t>式中：</w:t>
      </w:r>
    </w:p>
    <w:p w14:paraId="2A969190">
      <w:pPr>
        <w:pStyle w:val="132"/>
        <w:ind w:firstLine="420" w:firstLineChars="200"/>
        <w:rPr>
          <w:rFonts w:hint="eastAsia" w:hAnsi="宋体" w:cs="宋体"/>
          <w:highlight w:val="none"/>
        </w:rPr>
      </w:pPr>
      <m:oMath>
        <m:r>
          <m:rPr/>
          <w:rPr>
            <w:rFonts w:hint="default" w:ascii="Cambria Math" w:hAnsi="Cambria Math" w:cs="宋体"/>
            <w:highlight w:val="none"/>
            <w:lang w:val="en-US" w:eastAsia="zh-CN"/>
          </w:rPr>
          <m:t>R</m:t>
        </m:r>
      </m:oMath>
      <w:r>
        <w:rPr>
          <w:rFonts w:hint="eastAsia" w:hAnsi="Cambria Math" w:cs="宋体"/>
          <w:b w:val="0"/>
          <w:i w:val="0"/>
          <w:iCs/>
          <w:highlight w:val="none"/>
          <w:lang w:val="en-US" w:eastAsia="zh-CN"/>
        </w:rPr>
        <w:t xml:space="preserve"> </w:t>
      </w:r>
      <w:r>
        <w:rPr>
          <w:rFonts w:hint="eastAsia" w:hAnsi="宋体" w:cs="宋体"/>
          <w:highlight w:val="none"/>
          <w:lang w:eastAsia="zh-CN"/>
        </w:rPr>
        <w:t>——</w:t>
      </w:r>
      <w:r>
        <w:rPr>
          <w:rFonts w:hint="eastAsia" w:hAnsi="宋体" w:cs="宋体"/>
          <w:highlight w:val="none"/>
          <w:lang w:val="en-US" w:eastAsia="zh-CN"/>
        </w:rPr>
        <w:t>消耗臭氧层物质替代量</w:t>
      </w:r>
      <w:r>
        <w:rPr>
          <w:rFonts w:hint="eastAsia" w:hAnsi="宋体" w:cs="宋体"/>
          <w:highlight w:val="none"/>
        </w:rPr>
        <w:t>，</w:t>
      </w:r>
      <w:r>
        <w:rPr>
          <w:rFonts w:hint="eastAsia" w:hAnsi="宋体" w:cs="宋体"/>
          <w:highlight w:val="none"/>
          <w:lang w:val="en-US" w:eastAsia="zh-CN"/>
        </w:rPr>
        <w:t>单位为吨（t）</w:t>
      </w:r>
      <w:r>
        <w:rPr>
          <w:rFonts w:hint="eastAsia" w:hAnsi="宋体" w:cs="宋体"/>
          <w:highlight w:val="none"/>
        </w:rPr>
        <w:t>；</w:t>
      </w:r>
    </w:p>
    <w:p w14:paraId="3D5791C2">
      <w:pPr>
        <w:pStyle w:val="132"/>
        <w:ind w:firstLine="420" w:firstLineChars="200"/>
        <w:rPr>
          <w:rFonts w:hint="eastAsia" w:hAnsi="宋体" w:cs="宋体"/>
          <w:highlight w:val="none"/>
          <w:lang w:val="en-US" w:eastAsia="zh-CN"/>
        </w:rPr>
      </w:pPr>
      <m:oMath>
        <m:sSub>
          <m:sSubPr>
            <m:ctrlPr>
              <w:rPr>
                <w:rFonts w:hint="eastAsia" w:ascii="Cambria Math" w:hAnsi="Cambria Math" w:cs="宋体"/>
                <w:i/>
                <w:iCs/>
                <w:highlight w:val="none"/>
                <w:lang w:val="en-US" w:eastAsia="zh-CN"/>
              </w:rPr>
            </m:ctrlPr>
          </m:sSubPr>
          <m:e>
            <m:r>
              <m:rPr/>
              <w:rPr>
                <w:rFonts w:hint="default" w:ascii="Cambria Math" w:hAnsi="Cambria Math" w:cs="宋体"/>
                <w:highlight w:val="none"/>
                <w:lang w:val="en-US" w:eastAsia="zh-CN"/>
              </w:rPr>
              <m:t>m</m:t>
            </m:r>
            <m:ctrlPr>
              <w:rPr>
                <w:rFonts w:hint="eastAsia" w:ascii="Cambria Math" w:hAnsi="Cambria Math" w:cs="宋体"/>
                <w:i/>
                <w:iCs/>
                <w:highlight w:val="none"/>
                <w:lang w:val="en-US" w:eastAsia="zh-CN"/>
              </w:rPr>
            </m:ctrlPr>
          </m:e>
          <m:sub>
            <m:r>
              <m:rPr/>
              <w:rPr>
                <w:rFonts w:hint="default" w:ascii="Cambria Math" w:hAnsi="Cambria Math" w:cs="宋体"/>
                <w:highlight w:val="none"/>
                <w:lang w:val="en-US" w:eastAsia="zh-CN"/>
              </w:rPr>
              <m:t>i</m:t>
            </m:r>
            <m:ctrlPr>
              <w:rPr>
                <w:rFonts w:hint="eastAsia" w:ascii="Cambria Math" w:hAnsi="Cambria Math" w:cs="宋体"/>
                <w:i/>
                <w:iCs/>
                <w:highlight w:val="none"/>
                <w:lang w:val="en-US" w:eastAsia="zh-CN"/>
              </w:rPr>
            </m:ctrlPr>
          </m:sub>
        </m:sSub>
      </m:oMath>
      <w:r>
        <w:rPr>
          <w:rFonts w:hint="eastAsia" w:hAnsi="Cambria Math" w:cs="宋体"/>
          <w:i w:val="0"/>
          <w:iCs/>
          <w:highlight w:val="none"/>
          <w:lang w:val="en-US" w:eastAsia="zh-CN"/>
        </w:rPr>
        <w:t xml:space="preserve"> </w:t>
      </w:r>
      <w:r>
        <w:rPr>
          <w:rFonts w:hint="eastAsia" w:hAnsi="宋体" w:cs="宋体"/>
          <w:highlight w:val="none"/>
          <w:lang w:eastAsia="zh-CN"/>
        </w:rPr>
        <w:t>——</w:t>
      </w:r>
      <w:r>
        <w:rPr>
          <w:rFonts w:hint="eastAsia" w:hAnsi="宋体" w:cs="宋体"/>
          <w:highlight w:val="none"/>
          <w:lang w:val="en-US" w:eastAsia="zh-CN"/>
        </w:rPr>
        <w:t>第i类消耗臭氧物质被替代量，单位为吨（t）；</w:t>
      </w:r>
    </w:p>
    <w:p w14:paraId="3052EB63">
      <w:pPr>
        <w:pStyle w:val="132"/>
        <w:ind w:firstLine="420" w:firstLineChars="200"/>
        <w:rPr>
          <w:rFonts w:hint="eastAsia" w:hAnsi="宋体" w:cs="宋体"/>
          <w:highlight w:val="none"/>
          <w:lang w:val="en-US" w:eastAsia="zh-CN"/>
        </w:rPr>
      </w:pPr>
      <m:oMath>
        <m:sSub>
          <m:sSubPr>
            <m:ctrlPr>
              <w:rPr>
                <w:rFonts w:hint="eastAsia" w:ascii="Cambria Math" w:hAnsi="Cambria Math" w:cs="宋体"/>
                <w:i/>
                <w:iCs/>
                <w:highlight w:val="none"/>
                <w:lang w:val="en-US" w:eastAsia="zh-CN"/>
              </w:rPr>
            </m:ctrlPr>
          </m:sSubPr>
          <m:e>
            <m:r>
              <m:rPr/>
              <w:rPr>
                <w:rFonts w:hint="default" w:ascii="Cambria Math" w:hAnsi="Cambria Math" w:cs="宋体"/>
                <w:highlight w:val="none"/>
                <w:lang w:val="en-US" w:eastAsia="zh-CN"/>
              </w:rPr>
              <m:t>ODP</m:t>
            </m:r>
            <m:ctrlPr>
              <w:rPr>
                <w:rFonts w:hint="eastAsia" w:ascii="Cambria Math" w:hAnsi="Cambria Math" w:cs="宋体"/>
                <w:i/>
                <w:iCs/>
                <w:highlight w:val="none"/>
                <w:lang w:val="en-US" w:eastAsia="zh-CN"/>
              </w:rPr>
            </m:ctrlPr>
          </m:e>
          <m:sub>
            <m:r>
              <m:rPr/>
              <w:rPr>
                <w:rFonts w:hint="default" w:ascii="Cambria Math" w:hAnsi="Cambria Math" w:cs="宋体"/>
                <w:highlight w:val="none"/>
                <w:lang w:val="en-US" w:eastAsia="zh-CN"/>
              </w:rPr>
              <m:t>i</m:t>
            </m:r>
            <m:ctrlPr>
              <w:rPr>
                <w:rFonts w:hint="eastAsia" w:ascii="Cambria Math" w:hAnsi="Cambria Math" w:cs="宋体"/>
                <w:i/>
                <w:iCs/>
                <w:highlight w:val="none"/>
                <w:lang w:val="en-US" w:eastAsia="zh-CN"/>
              </w:rPr>
            </m:ctrlPr>
          </m:sub>
        </m:sSub>
      </m:oMath>
      <w:r>
        <w:rPr>
          <w:rFonts w:hint="eastAsia" w:hAnsi="Cambria Math" w:cs="宋体"/>
          <w:i w:val="0"/>
          <w:iCs/>
          <w:highlight w:val="none"/>
          <w:lang w:val="en-US" w:eastAsia="zh-CN"/>
        </w:rPr>
        <w:t xml:space="preserve"> </w:t>
      </w:r>
      <w:r>
        <w:rPr>
          <w:rFonts w:hint="eastAsia" w:hAnsi="宋体" w:cs="宋体"/>
          <w:highlight w:val="none"/>
          <w:lang w:eastAsia="zh-CN"/>
        </w:rPr>
        <w:t>——</w:t>
      </w:r>
      <w:r>
        <w:rPr>
          <w:rFonts w:hint="eastAsia" w:hAnsi="宋体" w:cs="宋体"/>
          <w:highlight w:val="none"/>
          <w:lang w:val="en-US" w:eastAsia="zh-CN"/>
        </w:rPr>
        <w:t>第i类消耗臭氧物质的臭氧消耗潜能值，无量纲，采用国家生态环境部最新发布数据；</w:t>
      </w:r>
    </w:p>
    <w:p w14:paraId="658707C8">
      <w:pPr>
        <w:pStyle w:val="132"/>
        <w:ind w:firstLine="420" w:firstLineChars="200"/>
        <w:rPr>
          <w:rFonts w:hint="eastAsia" w:hAnsi="宋体" w:cs="宋体"/>
          <w:highlight w:val="none"/>
          <w:lang w:val="en-US" w:eastAsia="zh-CN"/>
        </w:rPr>
      </w:pPr>
      <m:oMath>
        <m:sSubSup>
          <m:sSubSupPr>
            <m:ctrlPr>
              <w:rPr>
                <w:rFonts w:ascii="Cambria Math" w:hAnsi="Cambria Math" w:cs="宋体"/>
                <w:i/>
                <w:iCs/>
                <w:highlight w:val="none"/>
                <w:lang w:val="en-US"/>
              </w:rPr>
            </m:ctrlPr>
          </m:sSubSupPr>
          <m:e>
            <m:r>
              <m:rPr/>
              <w:rPr>
                <w:rFonts w:hint="default" w:ascii="Cambria Math" w:hAnsi="Cambria Math" w:cs="宋体"/>
                <w:highlight w:val="none"/>
                <w:lang w:val="en-US" w:eastAsia="zh-CN"/>
              </w:rPr>
              <m:t>ODP</m:t>
            </m:r>
            <m:ctrlPr>
              <w:rPr>
                <w:rFonts w:ascii="Cambria Math" w:hAnsi="Cambria Math" w:cs="宋体"/>
                <w:i/>
                <w:iCs/>
                <w:highlight w:val="none"/>
                <w:lang w:val="en-US"/>
              </w:rPr>
            </m:ctrlPr>
          </m:e>
          <m:sub>
            <m:r>
              <m:rPr/>
              <w:rPr>
                <w:rFonts w:hint="default" w:ascii="Cambria Math" w:hAnsi="Cambria Math" w:cs="宋体"/>
                <w:highlight w:val="none"/>
                <w:lang w:val="en-US" w:eastAsia="zh-CN"/>
              </w:rPr>
              <m:t>i</m:t>
            </m:r>
            <m:ctrlPr>
              <w:rPr>
                <w:rFonts w:ascii="Cambria Math" w:hAnsi="Cambria Math" w:cs="宋体"/>
                <w:i/>
                <w:iCs/>
                <w:highlight w:val="none"/>
                <w:lang w:val="en-US"/>
              </w:rPr>
            </m:ctrlPr>
          </m:sub>
          <m:sup>
            <m:r>
              <m:rPr/>
              <w:rPr>
                <w:rFonts w:hint="default" w:ascii="Cambria Math" w:hAnsi="Cambria Math" w:cs="宋体"/>
                <w:highlight w:val="none"/>
                <w:lang w:val="en-US" w:eastAsia="zh-CN"/>
              </w:rPr>
              <m:t>'</m:t>
            </m:r>
            <m:ctrlPr>
              <w:rPr>
                <w:rFonts w:ascii="Cambria Math" w:hAnsi="Cambria Math" w:cs="宋体"/>
                <w:i/>
                <w:iCs/>
                <w:highlight w:val="none"/>
                <w:lang w:val="en-US"/>
              </w:rPr>
            </m:ctrlPr>
          </m:sup>
        </m:sSubSup>
      </m:oMath>
      <w:r>
        <w:rPr>
          <w:rFonts w:hint="eastAsia" w:hAnsi="Cambria Math" w:cs="宋体"/>
          <w:i w:val="0"/>
          <w:iCs/>
          <w:highlight w:val="none"/>
          <w:lang w:val="en-US" w:eastAsia="zh-CN"/>
        </w:rPr>
        <w:t xml:space="preserve"> </w:t>
      </w:r>
      <w:r>
        <w:rPr>
          <w:rFonts w:hint="eastAsia" w:hAnsi="宋体" w:cs="宋体"/>
          <w:highlight w:val="none"/>
          <w:lang w:eastAsia="zh-CN"/>
        </w:rPr>
        <w:t>——</w:t>
      </w:r>
      <w:r>
        <w:rPr>
          <w:rFonts w:hint="eastAsia" w:hAnsi="宋体" w:cs="宋体"/>
          <w:highlight w:val="none"/>
          <w:lang w:val="en-US" w:eastAsia="zh-CN"/>
        </w:rPr>
        <w:t>替代第i类消耗臭氧物质的臭氧消耗潜能值，无量纲。</w:t>
      </w:r>
    </w:p>
    <w:p w14:paraId="2BB86777">
      <w:pPr>
        <w:pStyle w:val="60"/>
        <w:keepNext w:val="0"/>
        <w:keepLines w:val="0"/>
        <w:pageBreakBefore w:val="0"/>
        <w:widowControl/>
        <w:numPr>
          <w:ilvl w:val="-1"/>
          <w:numId w:val="0"/>
        </w:numPr>
        <w:kinsoku/>
        <w:wordWrap/>
        <w:overflowPunct/>
        <w:topLinePunct w:val="0"/>
        <w:autoSpaceDE/>
        <w:autoSpaceDN/>
        <w:bidi w:val="0"/>
        <w:adjustRightInd/>
        <w:snapToGrid/>
        <w:spacing w:before="156" w:after="156"/>
        <w:ind w:left="0" w:firstLine="0"/>
        <w:textAlignment w:val="auto"/>
        <w:outlineLvl w:val="9"/>
        <w:rPr>
          <w:rFonts w:hint="default" w:hAnsi="Times New Roman" w:cs="Times New Roman"/>
          <w:highlight w:val="none"/>
          <w:lang w:val="en-US"/>
        </w:rPr>
      </w:pPr>
      <w:r>
        <w:rPr>
          <w:rFonts w:hint="eastAsia"/>
          <w:highlight w:val="none"/>
          <w:lang w:val="en-US" w:eastAsia="zh-CN"/>
        </w:rPr>
        <w:t>B</w:t>
      </w:r>
      <w:r>
        <w:rPr>
          <w:rFonts w:hint="eastAsia" w:ascii="黑体"/>
          <w:highlight w:val="none"/>
          <w:lang w:val="en-US" w:eastAsia="zh-CN"/>
        </w:rPr>
        <w:t>.</w:t>
      </w:r>
      <w:r>
        <w:rPr>
          <w:rFonts w:hint="eastAsia"/>
          <w:highlight w:val="none"/>
          <w:lang w:val="en-US" w:eastAsia="zh-CN"/>
        </w:rPr>
        <w:t>3</w:t>
      </w:r>
      <w:r>
        <w:rPr>
          <w:rFonts w:hint="eastAsia" w:ascii="黑体"/>
          <w:highlight w:val="none"/>
          <w:lang w:val="en-US" w:eastAsia="zh-CN"/>
        </w:rPr>
        <w:t xml:space="preserve">  </w:t>
      </w:r>
      <w:r>
        <w:rPr>
          <w:rFonts w:hint="eastAsia"/>
          <w:highlight w:val="none"/>
          <w:lang w:val="en-US" w:eastAsia="zh-CN"/>
        </w:rPr>
        <w:t>节能量</w:t>
      </w:r>
    </w:p>
    <w:p w14:paraId="70CF03F3">
      <w:pPr>
        <w:pStyle w:val="26"/>
        <w:rPr>
          <w:rFonts w:hAnsi="宋体" w:cs="宋体"/>
          <w:highlight w:val="none"/>
        </w:rPr>
      </w:pPr>
      <w:r>
        <w:rPr>
          <w:rFonts w:hint="eastAsia" w:hAnsi="宋体" w:cs="宋体"/>
          <w:highlight w:val="none"/>
          <w:lang w:val="en-US" w:eastAsia="zh-CN"/>
        </w:rPr>
        <w:t>对油气田甲烷采收利用的节能量</w:t>
      </w:r>
      <w:r>
        <w:rPr>
          <w:rFonts w:hint="eastAsia" w:hAnsi="宋体" w:cs="宋体"/>
          <w:highlight w:val="none"/>
        </w:rPr>
        <w:t>计算公式</w:t>
      </w:r>
      <w:r>
        <w:rPr>
          <w:rFonts w:hint="eastAsia" w:hAnsi="宋体" w:cs="宋体"/>
          <w:highlight w:val="none"/>
          <w:lang w:val="en-US" w:eastAsia="zh-CN"/>
        </w:rPr>
        <w:t>见公式（B.6）。</w:t>
      </w:r>
    </w:p>
    <w:p w14:paraId="4FA7294D">
      <w:pPr>
        <w:keepNext w:val="0"/>
        <w:keepLines w:val="0"/>
        <w:pageBreakBefore w:val="0"/>
        <w:widowControl/>
        <w:tabs>
          <w:tab w:val="right" w:leader="middleDot" w:pos="7560"/>
        </w:tabs>
        <w:kinsoku/>
        <w:wordWrap/>
        <w:overflowPunct/>
        <w:topLinePunct w:val="0"/>
        <w:autoSpaceDE w:val="0"/>
        <w:autoSpaceDN w:val="0"/>
        <w:bidi w:val="0"/>
        <w:adjustRightInd/>
        <w:snapToGrid/>
        <w:ind w:firstLine="0" w:firstLineChars="0"/>
        <w:jc w:val="right"/>
        <w:textAlignment w:val="auto"/>
        <w:rPr>
          <w:rFonts w:hint="eastAsia" w:ascii="宋体" w:hAnsi="宋体" w:eastAsia="宋体" w:cs="宋体"/>
          <w:sz w:val="21"/>
          <w:highlight w:val="none"/>
          <w:lang w:val="en-US" w:eastAsia="zh-CN" w:bidi="ar-SA"/>
        </w:rPr>
      </w:pPr>
      <w:r>
        <w:rPr>
          <w:rFonts w:hint="eastAsia" w:ascii="宋体" w:hAnsi="Cambria Math" w:eastAsia="宋体" w:cs="宋体"/>
          <w:b w:val="0"/>
          <w:i w:val="0"/>
          <w:sz w:val="21"/>
          <w:highlight w:val="none"/>
          <w:lang w:val="en-US" w:eastAsia="zh-CN" w:bidi="ar-SA"/>
        </w:rPr>
        <w:t xml:space="preserve">    </w:t>
      </w:r>
      <m:oMath>
        <m:r>
          <m:rPr/>
          <w:rPr>
            <w:rFonts w:hint="default" w:ascii="Cambria Math" w:hAnsi="Cambria Math" w:cs="宋体"/>
            <w:sz w:val="21"/>
            <w:highlight w:val="none"/>
            <w:lang w:val="en-US" w:eastAsia="zh-CN" w:bidi="ar-SA"/>
          </w:rPr>
          <m:t>E</m:t>
        </m:r>
        <m:r>
          <m:rPr/>
          <w:rPr>
            <w:rFonts w:hint="eastAsia" w:ascii="Cambria Math" w:hAnsi="Cambria Math" w:cs="宋体"/>
            <w:sz w:val="21"/>
            <w:highlight w:val="none"/>
            <w:lang w:val="en-US" w:eastAsia="zh-CN" w:bidi="ar-SA"/>
          </w:rPr>
          <m:t>=</m:t>
        </m:r>
        <m:sSub>
          <m:sSubPr>
            <m:ctrlPr>
              <w:rPr>
                <w:rFonts w:hint="eastAsia" w:ascii="Cambria Math" w:hAnsi="Cambria Math" w:cs="宋体"/>
                <w:i/>
                <w:sz w:val="21"/>
                <w:highlight w:val="none"/>
                <w:lang w:val="en-US" w:eastAsia="zh-CN" w:bidi="ar-SA"/>
              </w:rPr>
            </m:ctrlPr>
          </m:sSubPr>
          <m:e>
            <m:r>
              <m:rPr/>
              <w:rPr>
                <w:rFonts w:hint="default" w:ascii="Cambria Math" w:hAnsi="Cambria Math" w:cs="宋体"/>
                <w:sz w:val="21"/>
                <w:highlight w:val="none"/>
                <w:lang w:val="en-US" w:eastAsia="zh-CN" w:bidi="ar-SA"/>
              </w:rPr>
              <m:t>m</m:t>
            </m:r>
            <m:ctrlPr>
              <w:rPr>
                <w:rFonts w:hint="eastAsia" w:ascii="Cambria Math" w:hAnsi="Cambria Math" w:cs="宋体"/>
                <w:i/>
                <w:sz w:val="21"/>
                <w:highlight w:val="none"/>
                <w:lang w:val="en-US" w:eastAsia="zh-CN" w:bidi="ar-SA"/>
              </w:rPr>
            </m:ctrlPr>
          </m:e>
          <m:sub>
            <m:sSub>
              <m:sSubPr>
                <m:ctrlPr>
                  <w:rPr>
                    <w:rFonts w:hint="eastAsia" w:ascii="Cambria Math" w:hAnsi="Cambria Math" w:cs="宋体"/>
                    <w:i/>
                    <w:sz w:val="21"/>
                    <w:highlight w:val="none"/>
                    <w:lang w:val="en-US" w:eastAsia="zh-CN" w:bidi="ar-SA"/>
                  </w:rPr>
                </m:ctrlPr>
              </m:sSubPr>
              <m:e>
                <m:r>
                  <m:rPr/>
                  <w:rPr>
                    <w:rFonts w:hint="default" w:ascii="Cambria Math" w:hAnsi="Cambria Math" w:cs="宋体"/>
                    <w:sz w:val="21"/>
                    <w:highlight w:val="none"/>
                    <w:lang w:val="en-US" w:eastAsia="zh-CN" w:bidi="ar-SA"/>
                  </w:rPr>
                  <m:t>CH</m:t>
                </m:r>
                <m:ctrlPr>
                  <w:rPr>
                    <w:rFonts w:hint="eastAsia" w:ascii="Cambria Math" w:hAnsi="Cambria Math" w:cs="宋体"/>
                    <w:i/>
                    <w:sz w:val="21"/>
                    <w:highlight w:val="none"/>
                    <w:lang w:val="en-US" w:eastAsia="zh-CN" w:bidi="ar-SA"/>
                  </w:rPr>
                </m:ctrlPr>
              </m:e>
              <m:sub>
                <m:r>
                  <m:rPr/>
                  <w:rPr>
                    <w:rFonts w:hint="default" w:ascii="Cambria Math" w:hAnsi="Cambria Math" w:cs="宋体"/>
                    <w:sz w:val="21"/>
                    <w:highlight w:val="none"/>
                    <w:lang w:val="en-US" w:eastAsia="zh-CN" w:bidi="ar-SA"/>
                  </w:rPr>
                  <m:t>4</m:t>
                </m:r>
                <m:ctrlPr>
                  <w:rPr>
                    <w:rFonts w:hint="eastAsia" w:ascii="Cambria Math" w:hAnsi="Cambria Math" w:cs="宋体"/>
                    <w:i/>
                    <w:sz w:val="21"/>
                    <w:highlight w:val="none"/>
                    <w:lang w:val="en-US" w:eastAsia="zh-CN" w:bidi="ar-SA"/>
                  </w:rPr>
                </m:ctrlPr>
              </m:sub>
            </m:sSub>
            <m:ctrlPr>
              <w:rPr>
                <w:rFonts w:hint="eastAsia" w:ascii="Cambria Math" w:hAnsi="Cambria Math" w:cs="宋体"/>
                <w:i/>
                <w:sz w:val="21"/>
                <w:highlight w:val="none"/>
                <w:lang w:val="en-US" w:eastAsia="zh-CN" w:bidi="ar-SA"/>
              </w:rPr>
            </m:ctrlPr>
          </m:sub>
        </m:sSub>
        <m:r>
          <m:rPr/>
          <w:rPr>
            <w:rFonts w:hint="default" w:ascii="Cambria Math" w:hAnsi="Cambria Math" w:cs="Cambria Math"/>
            <w:sz w:val="21"/>
            <w:highlight w:val="none"/>
            <w:lang w:val="en-US" w:eastAsia="zh-CN" w:bidi="ar-SA"/>
          </w:rPr>
          <m:t>×</m:t>
        </m:r>
        <m:sSub>
          <m:sSubPr>
            <m:ctrlPr>
              <w:rPr>
                <w:rFonts w:hint="default" w:ascii="Cambria Math" w:hAnsi="Cambria Math" w:cs="Cambria Math"/>
                <w:i/>
                <w:sz w:val="21"/>
                <w:highlight w:val="none"/>
                <w:lang w:val="en-US" w:eastAsia="zh-CN" w:bidi="ar-SA"/>
              </w:rPr>
            </m:ctrlPr>
          </m:sSubPr>
          <m:e>
            <m:r>
              <m:rPr/>
              <w:rPr>
                <w:rFonts w:hint="default" w:ascii="Cambria Math" w:hAnsi="Cambria Math" w:cs="Cambria Math"/>
                <w:sz w:val="21"/>
                <w:highlight w:val="none"/>
                <w:lang w:val="en-US" w:eastAsia="zh-CN" w:bidi="ar-SA"/>
              </w:rPr>
              <m:t>β</m:t>
            </m:r>
            <m:ctrlPr>
              <w:rPr>
                <w:rFonts w:hint="default" w:ascii="Cambria Math" w:hAnsi="Cambria Math" w:cs="Cambria Math"/>
                <w:i/>
                <w:sz w:val="21"/>
                <w:highlight w:val="none"/>
                <w:lang w:val="en-US" w:eastAsia="zh-CN" w:bidi="ar-SA"/>
              </w:rPr>
            </m:ctrlPr>
          </m:e>
          <m:sub>
            <m:r>
              <m:rPr/>
              <w:rPr>
                <w:rFonts w:hint="default" w:ascii="Cambria Math" w:hAnsi="Cambria Math" w:cs="Cambria Math"/>
                <w:sz w:val="21"/>
                <w:highlight w:val="none"/>
                <w:lang w:val="en-US" w:eastAsia="zh-CN" w:bidi="ar-SA"/>
              </w:rPr>
              <m:t>i</m:t>
            </m:r>
            <m:ctrlPr>
              <w:rPr>
                <w:rFonts w:hint="default" w:ascii="Cambria Math" w:hAnsi="Cambria Math" w:cs="Cambria Math"/>
                <w:i/>
                <w:sz w:val="21"/>
                <w:highlight w:val="none"/>
                <w:lang w:val="en-US" w:eastAsia="zh-CN" w:bidi="ar-SA"/>
              </w:rPr>
            </m:ctrlPr>
          </m:sub>
        </m:sSub>
      </m:oMath>
      <w:r>
        <w:rPr>
          <w:rFonts w:hint="eastAsia" w:ascii="宋体" w:hAnsi="Cambria Math" w:eastAsia="宋体" w:cs="宋体"/>
          <w:i w:val="0"/>
          <w:iCs w:val="0"/>
          <w:sz w:val="21"/>
          <w:highlight w:val="none"/>
          <w:lang w:val="en-US" w:eastAsia="zh-CN" w:bidi="ar-SA"/>
        </w:rPr>
        <w:t xml:space="preserve"> </w:t>
      </w:r>
      <w:r>
        <w:rPr>
          <w:rFonts w:hint="eastAsia" w:ascii="宋体" w:hAnsi="Cambria Math" w:eastAsia="宋体" w:cs="宋体"/>
          <w:i w:val="0"/>
          <w:iCs/>
          <w:sz w:val="21"/>
          <w:highlight w:val="none"/>
          <w:lang w:val="en-US" w:eastAsia="zh-CN" w:bidi="ar-SA"/>
        </w:rPr>
        <w:tab/>
      </w:r>
      <w:r>
        <w:rPr>
          <w:rFonts w:hint="eastAsia" w:ascii="宋体" w:hAnsi="Cambria Math" w:eastAsia="宋体" w:cs="宋体"/>
          <w:i w:val="0"/>
          <w:iCs w:val="0"/>
          <w:sz w:val="21"/>
          <w:highlight w:val="none"/>
          <w:lang w:val="en-US" w:eastAsia="zh-CN" w:bidi="ar-SA"/>
        </w:rPr>
        <w:t>（B.</w:t>
      </w:r>
      <w:r>
        <w:rPr>
          <w:rFonts w:hint="eastAsia" w:ascii="宋体" w:hAnsi="Cambria Math" w:cs="宋体"/>
          <w:i w:val="0"/>
          <w:iCs w:val="0"/>
          <w:sz w:val="21"/>
          <w:highlight w:val="none"/>
          <w:lang w:val="en-US" w:eastAsia="zh-CN" w:bidi="ar-SA"/>
        </w:rPr>
        <w:t>6</w:t>
      </w:r>
      <w:r>
        <w:rPr>
          <w:rFonts w:hint="eastAsia" w:ascii="宋体" w:hAnsi="Cambria Math" w:eastAsia="宋体" w:cs="宋体"/>
          <w:i w:val="0"/>
          <w:iCs w:val="0"/>
          <w:sz w:val="21"/>
          <w:highlight w:val="none"/>
          <w:lang w:val="en-US" w:eastAsia="zh-CN" w:bidi="ar-SA"/>
        </w:rPr>
        <w:t>）</w:t>
      </w:r>
    </w:p>
    <w:p w14:paraId="59EA5E18">
      <w:pPr>
        <w:autoSpaceDE w:val="0"/>
        <w:autoSpaceDN w:val="0"/>
        <w:ind w:firstLine="420" w:firstLineChars="200"/>
        <w:jc w:val="both"/>
        <w:rPr>
          <w:rFonts w:hint="eastAsia" w:ascii="宋体" w:hAnsi="宋体" w:eastAsia="宋体" w:cs="宋体"/>
          <w:sz w:val="21"/>
          <w:highlight w:val="none"/>
          <w:lang w:val="en-US" w:eastAsia="zh-CN" w:bidi="ar-SA"/>
        </w:rPr>
      </w:pPr>
      <w:r>
        <w:rPr>
          <w:rFonts w:hint="eastAsia" w:ascii="宋体" w:hAnsi="宋体" w:eastAsia="宋体" w:cs="宋体"/>
          <w:sz w:val="21"/>
          <w:highlight w:val="none"/>
          <w:lang w:val="en-US" w:eastAsia="zh-CN" w:bidi="ar-SA"/>
        </w:rPr>
        <w:t>式中：</w:t>
      </w:r>
    </w:p>
    <w:p w14:paraId="0A455C23">
      <w:pPr>
        <w:autoSpaceDE w:val="0"/>
        <w:autoSpaceDN w:val="0"/>
        <w:ind w:firstLine="420" w:firstLineChars="200"/>
        <w:jc w:val="both"/>
        <w:rPr>
          <w:rFonts w:hint="eastAsia" w:ascii="宋体" w:hAnsi="宋体" w:eastAsia="宋体" w:cs="宋体"/>
          <w:sz w:val="21"/>
          <w:highlight w:val="none"/>
          <w:lang w:val="en-US" w:eastAsia="zh-CN" w:bidi="ar-SA"/>
        </w:rPr>
      </w:pPr>
      <m:oMath>
        <m:r>
          <m:rPr/>
          <w:rPr>
            <w:rFonts w:hint="default" w:ascii="Cambria Math" w:hAnsi="Cambria Math" w:cs="宋体"/>
            <w:highlight w:val="none"/>
            <w:lang w:val="en-US" w:eastAsia="zh-CN"/>
          </w:rPr>
          <m:t>E</m:t>
        </m:r>
      </m:oMath>
      <w:r>
        <w:rPr>
          <w:rFonts w:hint="eastAsia" w:ascii="宋体" w:hAnsi="Cambria Math" w:eastAsia="宋体" w:cs="宋体"/>
          <w:i w:val="0"/>
          <w:spacing w:val="28"/>
          <w:sz w:val="21"/>
          <w:highlight w:val="none"/>
          <w:lang w:val="en-US" w:eastAsia="zh-CN" w:bidi="ar-SA"/>
        </w:rPr>
        <w:t xml:space="preserve"> </w:t>
      </w:r>
      <w:r>
        <w:rPr>
          <w:rFonts w:hint="eastAsia" w:ascii="宋体" w:hAnsi="宋体" w:eastAsia="宋体" w:cs="宋体"/>
          <w:sz w:val="21"/>
          <w:highlight w:val="none"/>
          <w:lang w:val="en-US" w:eastAsia="zh-CN" w:bidi="ar-SA"/>
        </w:rPr>
        <w:t>——标准煤节约量，单位为吨标准煤（t）；</w:t>
      </w:r>
    </w:p>
    <w:p w14:paraId="7D579AB6">
      <w:pPr>
        <w:autoSpaceDE w:val="0"/>
        <w:autoSpaceDN w:val="0"/>
        <w:ind w:firstLine="420" w:firstLineChars="200"/>
        <w:jc w:val="both"/>
        <w:rPr>
          <w:rFonts w:hint="eastAsia" w:ascii="宋体" w:hAnsi="宋体" w:eastAsia="宋体" w:cs="宋体"/>
          <w:sz w:val="21"/>
          <w:highlight w:val="none"/>
          <w:lang w:val="en-US" w:eastAsia="zh-CN" w:bidi="ar-SA"/>
        </w:rPr>
      </w:pPr>
      <m:oMath>
        <m:sSub>
          <m:sSubPr>
            <m:ctrlPr>
              <w:rPr>
                <w:rFonts w:hint="eastAsia" w:ascii="Cambria Math" w:hAnsi="Cambria Math" w:cs="宋体"/>
                <w:i/>
                <w:iCs/>
                <w:highlight w:val="none"/>
                <w:lang w:val="en-US" w:eastAsia="zh-CN"/>
              </w:rPr>
            </m:ctrlPr>
          </m:sSubPr>
          <m:e>
            <m:r>
              <m:rPr/>
              <w:rPr>
                <w:rFonts w:hint="default" w:ascii="Cambria Math" w:hAnsi="Cambria Math" w:cs="宋体"/>
                <w:highlight w:val="none"/>
                <w:lang w:val="en-US" w:eastAsia="zh-CN"/>
              </w:rPr>
              <m:t>m</m:t>
            </m:r>
            <m:ctrlPr>
              <w:rPr>
                <w:rFonts w:hint="eastAsia" w:ascii="Cambria Math" w:hAnsi="Cambria Math" w:cs="宋体"/>
                <w:i/>
                <w:iCs/>
                <w:highlight w:val="none"/>
                <w:lang w:val="en-US" w:eastAsia="zh-CN"/>
              </w:rPr>
            </m:ctrlPr>
          </m:e>
          <m:sub>
            <m:sSub>
              <m:sSubPr>
                <m:ctrlPr>
                  <w:rPr>
                    <w:rFonts w:hint="eastAsia" w:ascii="Cambria Math" w:hAnsi="Cambria Math" w:cs="宋体"/>
                    <w:i/>
                    <w:iCs/>
                    <w:highlight w:val="none"/>
                    <w:lang w:val="en-US" w:eastAsia="zh-CN"/>
                  </w:rPr>
                </m:ctrlPr>
              </m:sSubPr>
              <m:e>
                <m:r>
                  <m:rPr/>
                  <w:rPr>
                    <w:rFonts w:hint="default" w:ascii="Cambria Math" w:hAnsi="Cambria Math" w:cs="宋体"/>
                    <w:highlight w:val="none"/>
                    <w:lang w:val="en-US" w:eastAsia="zh-CN"/>
                  </w:rPr>
                  <m:t>CH</m:t>
                </m:r>
                <m:ctrlPr>
                  <w:rPr>
                    <w:rFonts w:hint="eastAsia" w:ascii="Cambria Math" w:hAnsi="Cambria Math" w:cs="宋体"/>
                    <w:i/>
                    <w:iCs/>
                    <w:highlight w:val="none"/>
                    <w:lang w:val="en-US" w:eastAsia="zh-CN"/>
                  </w:rPr>
                </m:ctrlPr>
              </m:e>
              <m:sub>
                <m:r>
                  <m:rPr/>
                  <w:rPr>
                    <w:rFonts w:hint="default" w:ascii="Cambria Math" w:hAnsi="Cambria Math" w:cs="宋体"/>
                    <w:highlight w:val="none"/>
                    <w:lang w:val="en-US" w:eastAsia="zh-CN"/>
                  </w:rPr>
                  <m:t>4</m:t>
                </m:r>
                <m:ctrlPr>
                  <w:rPr>
                    <w:rFonts w:hint="eastAsia" w:ascii="Cambria Math" w:hAnsi="Cambria Math" w:cs="宋体"/>
                    <w:i/>
                    <w:iCs/>
                    <w:highlight w:val="none"/>
                    <w:lang w:val="en-US" w:eastAsia="zh-CN"/>
                  </w:rPr>
                </m:ctrlPr>
              </m:sub>
            </m:sSub>
            <m:ctrlPr>
              <w:rPr>
                <w:rFonts w:hint="eastAsia" w:ascii="Cambria Math" w:hAnsi="Cambria Math" w:cs="宋体"/>
                <w:i/>
                <w:iCs/>
                <w:highlight w:val="none"/>
                <w:lang w:val="en-US" w:eastAsia="zh-CN"/>
              </w:rPr>
            </m:ctrlPr>
          </m:sub>
        </m:sSub>
      </m:oMath>
      <w:r>
        <w:rPr>
          <w:rFonts w:hint="eastAsia" w:ascii="宋体" w:hAnsi="宋体" w:eastAsia="宋体" w:cs="宋体"/>
          <w:sz w:val="21"/>
          <w:highlight w:val="none"/>
          <w:lang w:val="en-US" w:eastAsia="zh-CN" w:bidi="ar-SA"/>
        </w:rPr>
        <w:t>——</w:t>
      </w:r>
      <w:r>
        <w:rPr>
          <w:rFonts w:hint="eastAsia" w:ascii="宋体" w:hAnsi="宋体" w:cs="宋体"/>
          <w:sz w:val="21"/>
          <w:highlight w:val="none"/>
          <w:lang w:val="en-US" w:eastAsia="zh-CN" w:bidi="ar-SA"/>
        </w:rPr>
        <w:t>油气田甲烷采收用于供能、发电的甲烷消耗量，单位为吨（t）</w:t>
      </w:r>
      <w:r>
        <w:rPr>
          <w:rFonts w:hint="eastAsia" w:ascii="宋体" w:hAnsi="宋体" w:eastAsia="宋体" w:cs="宋体"/>
          <w:sz w:val="21"/>
          <w:highlight w:val="none"/>
          <w:lang w:val="en-US" w:eastAsia="zh-CN" w:bidi="ar-SA"/>
        </w:rPr>
        <w:t>；</w:t>
      </w:r>
    </w:p>
    <w:p w14:paraId="3946F84E">
      <w:pPr>
        <w:autoSpaceDE/>
        <w:autoSpaceDN/>
        <w:ind w:left="1134" w:leftChars="200" w:hanging="714" w:hangingChars="340"/>
        <w:jc w:val="both"/>
        <w:rPr>
          <w:rFonts w:hint="eastAsia" w:ascii="宋体" w:hAnsi="宋体" w:eastAsia="宋体" w:cs="宋体"/>
          <w:sz w:val="21"/>
          <w:highlight w:val="none"/>
          <w:lang w:val="en-US" w:eastAsia="zh-CN" w:bidi="ar-SA"/>
        </w:rPr>
      </w:pPr>
      <m:oMath>
        <m:sSub>
          <m:sSubPr>
            <m:ctrlPr>
              <w:rPr>
                <w:rFonts w:hint="eastAsia" w:ascii="Cambria Math" w:hAnsi="Cambria Math" w:eastAsiaTheme="minorEastAsia" w:cstheme="minorEastAsia"/>
                <w:i/>
                <w:iCs/>
                <w:highlight w:val="none"/>
                <w:lang w:val="en-US"/>
              </w:rPr>
            </m:ctrlPr>
          </m:sSubPr>
          <m:e>
            <m:r>
              <m:rPr/>
              <w:rPr>
                <w:rFonts w:hint="default" w:ascii="Cambria Math" w:hAnsi="Cambria Math" w:eastAsiaTheme="minorEastAsia" w:cstheme="minorEastAsia"/>
                <w:highlight w:val="none"/>
                <w:lang w:val="en-US"/>
              </w:rPr>
              <m:t>β</m:t>
            </m:r>
            <m:ctrlPr>
              <w:rPr>
                <w:rFonts w:hint="eastAsia" w:ascii="Cambria Math" w:hAnsi="Cambria Math" w:eastAsiaTheme="minorEastAsia" w:cstheme="minorEastAsia"/>
                <w:i/>
                <w:iCs/>
                <w:highlight w:val="none"/>
                <w:lang w:val="en-US"/>
              </w:rPr>
            </m:ctrlPr>
          </m:e>
          <m:sub>
            <m:r>
              <m:rPr/>
              <w:rPr>
                <w:rFonts w:hint="default" w:ascii="Cambria Math" w:hAnsi="Cambria Math" w:eastAsiaTheme="minorEastAsia" w:cstheme="minorEastAsia"/>
                <w:highlight w:val="none"/>
                <w:lang w:val="en-US" w:eastAsia="zh-CN"/>
              </w:rPr>
              <m:t>i</m:t>
            </m:r>
            <m:ctrlPr>
              <w:rPr>
                <w:rFonts w:hint="eastAsia" w:ascii="Cambria Math" w:hAnsi="Cambria Math" w:eastAsiaTheme="minorEastAsia" w:cstheme="minorEastAsia"/>
                <w:i/>
                <w:iCs/>
                <w:highlight w:val="none"/>
                <w:lang w:val="en-US"/>
              </w:rPr>
            </m:ctrlPr>
          </m:sub>
        </m:sSub>
      </m:oMath>
      <w:r>
        <w:rPr>
          <w:rFonts w:hint="eastAsia" w:ascii="宋体" w:hAnsi="Cambria Math" w:eastAsia="宋体" w:cs="宋体"/>
          <w:i w:val="0"/>
          <w:spacing w:val="0"/>
          <w:sz w:val="21"/>
          <w:highlight w:val="none"/>
          <w:lang w:val="en-US" w:eastAsia="zh-CN" w:bidi="ar-SA"/>
        </w:rPr>
        <w:t xml:space="preserve"> </w:t>
      </w:r>
      <w:r>
        <w:rPr>
          <w:rFonts w:hint="eastAsia" w:ascii="宋体" w:hAnsi="宋体" w:eastAsia="宋体" w:cs="宋体"/>
          <w:sz w:val="21"/>
          <w:highlight w:val="none"/>
          <w:lang w:val="en-US" w:eastAsia="zh-CN" w:bidi="ar-SA"/>
        </w:rPr>
        <w:t>——设备消费能源品种的折标系数，单位为千克标准煤每千克或千克标准煤每千瓦时（kg/kg、kg/kwh）。</w:t>
      </w:r>
    </w:p>
    <w:p w14:paraId="3F8A29FC">
      <w:pPr>
        <w:widowControl w:val="0"/>
        <w:numPr>
          <w:ilvl w:val="0"/>
          <w:numId w:val="6"/>
        </w:numPr>
        <w:autoSpaceDE w:val="0"/>
        <w:autoSpaceDN w:val="0"/>
        <w:bidi w:val="0"/>
        <w:ind w:left="726" w:hanging="363"/>
        <w:jc w:val="both"/>
        <w:rPr>
          <w:rFonts w:ascii="宋体" w:hAnsi="宋体" w:eastAsia="宋体" w:cs="宋体"/>
          <w:sz w:val="18"/>
          <w:szCs w:val="18"/>
          <w:highlight w:val="none"/>
          <w:lang w:val="en-US" w:eastAsia="zh-CN" w:bidi="ar-SA"/>
        </w:rPr>
      </w:pPr>
      <w:r>
        <w:rPr>
          <w:rFonts w:hint="eastAsia" w:ascii="宋体" w:hAnsi="Times New Roman" w:eastAsia="宋体" w:cs="Times New Roman"/>
          <w:sz w:val="18"/>
          <w:szCs w:val="18"/>
          <w:highlight w:val="none"/>
          <w:lang w:val="en-US" w:eastAsia="zh-CN" w:bidi="ar-SA"/>
        </w:rPr>
        <w:t>在无法获得实际折标系数相关材料时，不同能源的折标煤系数见GB/T 2589-2020。</w:t>
      </w:r>
    </w:p>
    <w:p w14:paraId="0DC49A66">
      <w:pPr>
        <w:rPr>
          <w:rFonts w:hint="eastAsia"/>
          <w:highlight w:val="none"/>
          <w:lang w:val="en-US" w:eastAsia="zh-CN"/>
        </w:rPr>
      </w:pPr>
      <w:r>
        <w:rPr>
          <w:rFonts w:hint="eastAsia"/>
          <w:highlight w:val="none"/>
          <w:lang w:val="en-US" w:eastAsia="zh-CN"/>
        </w:rPr>
        <w:br w:type="page"/>
      </w:r>
    </w:p>
    <w:p w14:paraId="385E54CF">
      <w:pPr>
        <w:pStyle w:val="26"/>
        <w:rPr>
          <w:rFonts w:hint="eastAsia"/>
          <w:highlight w:val="none"/>
          <w:lang w:val="en-US" w:eastAsia="zh-CN"/>
        </w:rPr>
      </w:pPr>
    </w:p>
    <w:p w14:paraId="4FFE8657">
      <w:pPr>
        <w:pStyle w:val="89"/>
        <w:rPr>
          <w:rFonts w:ascii="Times New Roman"/>
          <w:highlight w:val="none"/>
        </w:rPr>
      </w:pPr>
      <w:bookmarkStart w:id="128" w:name="_Toc23591"/>
      <w:r>
        <w:rPr>
          <w:rFonts w:ascii="Times New Roman"/>
          <w:highlight w:val="none"/>
        </w:rPr>
        <w:br w:type="textWrapping"/>
      </w:r>
      <w:r>
        <w:rPr>
          <w:rFonts w:ascii="Times New Roman"/>
          <w:highlight w:val="none"/>
        </w:rPr>
        <w:t>（资料性）</w:t>
      </w:r>
      <w:r>
        <w:rPr>
          <w:rFonts w:ascii="Times New Roman"/>
          <w:highlight w:val="none"/>
        </w:rPr>
        <w:br w:type="textWrapping"/>
      </w:r>
      <w:r>
        <w:rPr>
          <w:rFonts w:hint="eastAsia" w:ascii="Times New Roman"/>
          <w:highlight w:val="none"/>
          <w:lang w:val="en-US" w:eastAsia="zh-CN"/>
        </w:rPr>
        <w:t>温室气体控制领域</w:t>
      </w:r>
      <w:r>
        <w:rPr>
          <w:rFonts w:hint="eastAsia" w:ascii="Times New Roman"/>
          <w:highlight w:val="none"/>
          <w:lang w:eastAsia="zh-CN"/>
        </w:rPr>
        <w:t>绿色低碳产业</w:t>
      </w:r>
      <w:r>
        <w:rPr>
          <w:rFonts w:hint="eastAsia" w:ascii="Times New Roman"/>
          <w:highlight w:val="none"/>
          <w:lang w:val="en-US" w:eastAsia="zh-CN"/>
        </w:rPr>
        <w:t>企业</w:t>
      </w:r>
      <w:r>
        <w:rPr>
          <w:rFonts w:hint="eastAsia" w:ascii="Times New Roman"/>
          <w:highlight w:val="none"/>
        </w:rPr>
        <w:t>认定评价报告模板</w:t>
      </w:r>
      <w:bookmarkEnd w:id="122"/>
      <w:bookmarkEnd w:id="128"/>
    </w:p>
    <w:p w14:paraId="403DA566">
      <w:pPr>
        <w:pStyle w:val="92"/>
        <w:numPr>
          <w:ilvl w:val="1"/>
          <w:numId w:val="0"/>
        </w:numPr>
        <w:spacing w:before="156" w:after="156"/>
        <w:jc w:val="both"/>
        <w:rPr>
          <w:rFonts w:ascii="Times New Roman" w:eastAsia="Times New Roman"/>
          <w:highlight w:val="none"/>
        </w:rPr>
      </w:pPr>
      <w:r>
        <w:rPr>
          <w:rFonts w:hint="eastAsia" w:hAnsi="黑体" w:cs="黑体"/>
          <w:highlight w:val="none"/>
          <w:lang w:val="en-US" w:eastAsia="zh-CN"/>
        </w:rPr>
        <w:t>C</w:t>
      </w:r>
      <w:r>
        <w:rPr>
          <w:rFonts w:hint="eastAsia" w:hAnsi="黑体" w:cs="黑体"/>
          <w:highlight w:val="none"/>
        </w:rPr>
        <w:t>.1</w:t>
      </w:r>
      <w:r>
        <w:rPr>
          <w:rFonts w:hint="eastAsia" w:hAnsi="黑体" w:cs="黑体"/>
          <w:highlight w:val="none"/>
          <w:lang w:val="en-US" w:eastAsia="zh-CN"/>
        </w:rPr>
        <w:t xml:space="preserve">  </w:t>
      </w:r>
      <w:r>
        <w:rPr>
          <w:rFonts w:hint="eastAsia" w:hAnsi="黑体" w:cs="黑体"/>
          <w:highlight w:val="none"/>
        </w:rPr>
        <w:t>封面</w:t>
      </w:r>
    </w:p>
    <w:p w14:paraId="019CA997">
      <w:pPr>
        <w:pStyle w:val="26"/>
        <w:rPr>
          <w:rFonts w:hint="eastAsia" w:hAnsi="宋体" w:cs="宋体"/>
          <w:szCs w:val="24"/>
          <w:highlight w:val="none"/>
        </w:rPr>
      </w:pPr>
      <w:r>
        <w:rPr>
          <w:rFonts w:hint="eastAsia" w:ascii="Times New Roman"/>
          <w:szCs w:val="24"/>
          <w:highlight w:val="none"/>
          <w:lang w:val="en-US" w:eastAsia="zh-CN"/>
        </w:rPr>
        <w:t>温室气体控制领域</w:t>
      </w:r>
      <w:r>
        <w:rPr>
          <w:rFonts w:hint="eastAsia" w:ascii="Times New Roman"/>
          <w:szCs w:val="24"/>
          <w:highlight w:val="none"/>
          <w:lang w:eastAsia="zh-CN"/>
        </w:rPr>
        <w:t>绿色低碳产业</w:t>
      </w:r>
      <w:r>
        <w:rPr>
          <w:rFonts w:hint="eastAsia" w:ascii="Times New Roman"/>
          <w:szCs w:val="24"/>
          <w:highlight w:val="none"/>
          <w:lang w:val="en-US" w:eastAsia="zh-CN"/>
        </w:rPr>
        <w:t>企业</w:t>
      </w:r>
      <w:r>
        <w:rPr>
          <w:rFonts w:hint="eastAsia" w:ascii="Times New Roman"/>
          <w:szCs w:val="24"/>
          <w:highlight w:val="none"/>
        </w:rPr>
        <w:t>认定评价报告封面</w:t>
      </w:r>
      <w:r>
        <w:rPr>
          <w:rFonts w:hint="eastAsia" w:hAnsi="宋体" w:cs="宋体"/>
          <w:szCs w:val="24"/>
          <w:highlight w:val="none"/>
        </w:rPr>
        <w:t>要求见表</w:t>
      </w:r>
      <w:r>
        <w:rPr>
          <w:rFonts w:hint="eastAsia" w:hAnsi="宋体" w:cs="宋体"/>
          <w:szCs w:val="24"/>
          <w:highlight w:val="none"/>
          <w:lang w:val="en-US" w:eastAsia="zh-CN"/>
        </w:rPr>
        <w:t>C</w:t>
      </w:r>
      <w:r>
        <w:rPr>
          <w:rFonts w:hint="eastAsia" w:hAnsi="宋体" w:cs="宋体"/>
          <w:szCs w:val="24"/>
          <w:highlight w:val="none"/>
        </w:rPr>
        <w:t>.1。</w:t>
      </w:r>
    </w:p>
    <w:p w14:paraId="71A3E1A4">
      <w:pPr>
        <w:pStyle w:val="92"/>
        <w:numPr>
          <w:ilvl w:val="1"/>
          <w:numId w:val="0"/>
        </w:numPr>
        <w:tabs>
          <w:tab w:val="clear" w:pos="0"/>
        </w:tabs>
        <w:spacing w:before="156" w:after="156"/>
        <w:rPr>
          <w:rFonts w:hint="eastAsia" w:hAnsi="黑体"/>
          <w:highlight w:val="none"/>
        </w:rPr>
      </w:pPr>
      <w:r>
        <w:rPr>
          <w:rFonts w:hint="eastAsia" w:hAnsi="黑体"/>
          <w:highlight w:val="none"/>
        </w:rPr>
        <w:t>表</w:t>
      </w:r>
      <w:r>
        <w:rPr>
          <w:rFonts w:hint="eastAsia" w:hAnsi="黑体"/>
          <w:highlight w:val="none"/>
          <w:lang w:val="en-US" w:eastAsia="zh-CN"/>
        </w:rPr>
        <w:t>C</w:t>
      </w:r>
      <w:r>
        <w:rPr>
          <w:rFonts w:hint="eastAsia" w:hAnsi="黑体"/>
          <w:highlight w:val="none"/>
        </w:rPr>
        <w:t>.1</w:t>
      </w:r>
      <w:r>
        <w:rPr>
          <w:rFonts w:hint="eastAsia" w:hAnsi="黑体"/>
          <w:highlight w:val="none"/>
          <w:lang w:val="en-US" w:eastAsia="zh-CN"/>
        </w:rPr>
        <w:t xml:space="preserve">  温室气体控制领域</w:t>
      </w:r>
      <w:r>
        <w:rPr>
          <w:rFonts w:hint="eastAsia" w:hAnsi="黑体"/>
          <w:highlight w:val="none"/>
          <w:lang w:eastAsia="zh-CN"/>
        </w:rPr>
        <w:t>绿色低碳产业</w:t>
      </w:r>
      <w:r>
        <w:rPr>
          <w:rFonts w:hint="eastAsia" w:hAnsi="黑体"/>
          <w:highlight w:val="none"/>
          <w:lang w:val="en-US" w:eastAsia="zh-CN"/>
        </w:rPr>
        <w:t>企业</w:t>
      </w:r>
      <w:r>
        <w:rPr>
          <w:rFonts w:hint="eastAsia" w:hAnsi="黑体"/>
          <w:highlight w:val="none"/>
        </w:rPr>
        <w:t>认定评价报告封面</w:t>
      </w:r>
    </w:p>
    <w:p w14:paraId="3DDFADB1">
      <w:pPr>
        <w:pStyle w:val="26"/>
        <w:jc w:val="center"/>
        <w:rPr>
          <w:rFonts w:hAnsi="黑体"/>
          <w:highlight w:val="none"/>
        </w:rPr>
      </w:pPr>
      <w:r>
        <w:rPr>
          <w:rFonts w:ascii="Times New Roman"/>
          <w:szCs w:val="24"/>
          <w:highlight w:val="none"/>
        </w:rPr>
        <mc:AlternateContent>
          <mc:Choice Requires="wps">
            <w:drawing>
              <wp:inline distT="45720" distB="45720" distL="114300" distR="114300">
                <wp:extent cx="4937125" cy="3308985"/>
                <wp:effectExtent l="9525" t="9525" r="25400" b="15240"/>
                <wp:docPr id="2" name="文本框 2"/>
                <wp:cNvGraphicFramePr/>
                <a:graphic xmlns:a="http://schemas.openxmlformats.org/drawingml/2006/main">
                  <a:graphicData uri="http://schemas.microsoft.com/office/word/2010/wordprocessingShape">
                    <wps:wsp>
                      <wps:cNvSpPr txBox="1"/>
                      <wps:spPr>
                        <a:xfrm>
                          <a:off x="0" y="0"/>
                          <a:ext cx="4937125" cy="3308985"/>
                        </a:xfrm>
                        <a:prstGeom prst="rect">
                          <a:avLst/>
                        </a:prstGeom>
                        <a:noFill/>
                        <a:ln w="19050" cap="flat" cmpd="sng">
                          <a:solidFill>
                            <a:srgbClr val="000000"/>
                          </a:solidFill>
                          <a:prstDash val="solid"/>
                          <a:miter/>
                          <a:headEnd type="none" w="med" len="med"/>
                          <a:tailEnd type="none" w="med" len="med"/>
                        </a:ln>
                      </wps:spPr>
                      <wps:txbx>
                        <w:txbxContent>
                          <w:p w14:paraId="002C8E9E">
                            <w:pPr>
                              <w:pStyle w:val="26"/>
                              <w:spacing w:line="360" w:lineRule="auto"/>
                              <w:ind w:firstLine="422"/>
                              <w:jc w:val="center"/>
                              <w:rPr>
                                <w:b/>
                                <w:szCs w:val="24"/>
                              </w:rPr>
                            </w:pPr>
                          </w:p>
                          <w:p w14:paraId="361C2736">
                            <w:pPr>
                              <w:pStyle w:val="26"/>
                              <w:keepNext w:val="0"/>
                              <w:keepLines w:val="0"/>
                              <w:pageBreakBefore w:val="0"/>
                              <w:widowControl/>
                              <w:kinsoku/>
                              <w:wordWrap/>
                              <w:overflowPunct/>
                              <w:topLinePunct w:val="0"/>
                              <w:bidi w:val="0"/>
                              <w:adjustRightInd/>
                              <w:snapToGrid/>
                              <w:spacing w:line="360" w:lineRule="auto"/>
                              <w:ind w:firstLine="0" w:firstLineChars="0"/>
                              <w:jc w:val="center"/>
                              <w:textAlignment w:val="auto"/>
                              <w:rPr>
                                <w:rFonts w:hint="eastAsia"/>
                                <w:b/>
                                <w:szCs w:val="24"/>
                              </w:rPr>
                            </w:pPr>
                          </w:p>
                          <w:p w14:paraId="015EEDDC">
                            <w:pPr>
                              <w:pStyle w:val="26"/>
                              <w:keepNext w:val="0"/>
                              <w:keepLines w:val="0"/>
                              <w:pageBreakBefore w:val="0"/>
                              <w:widowControl/>
                              <w:kinsoku/>
                              <w:wordWrap/>
                              <w:overflowPunct/>
                              <w:topLinePunct w:val="0"/>
                              <w:bidi w:val="0"/>
                              <w:adjustRightInd/>
                              <w:snapToGrid/>
                              <w:spacing w:line="360" w:lineRule="auto"/>
                              <w:ind w:firstLine="0" w:firstLineChars="0"/>
                              <w:jc w:val="center"/>
                              <w:textAlignment w:val="auto"/>
                              <w:rPr>
                                <w:b/>
                                <w:szCs w:val="24"/>
                              </w:rPr>
                            </w:pPr>
                            <w:r>
                              <w:rPr>
                                <w:rFonts w:hint="eastAsia"/>
                                <w:b/>
                                <w:szCs w:val="24"/>
                              </w:rPr>
                              <w:t>XXX公司</w:t>
                            </w:r>
                          </w:p>
                          <w:p w14:paraId="2FA7D2EF">
                            <w:pPr>
                              <w:pStyle w:val="26"/>
                              <w:keepNext w:val="0"/>
                              <w:keepLines w:val="0"/>
                              <w:pageBreakBefore w:val="0"/>
                              <w:widowControl/>
                              <w:kinsoku/>
                              <w:wordWrap/>
                              <w:overflowPunct/>
                              <w:topLinePunct w:val="0"/>
                              <w:bidi w:val="0"/>
                              <w:adjustRightInd w:val="0"/>
                              <w:snapToGrid/>
                              <w:spacing w:line="360" w:lineRule="auto"/>
                              <w:ind w:firstLine="0" w:firstLineChars="0"/>
                              <w:jc w:val="center"/>
                              <w:textAlignment w:val="auto"/>
                              <w:rPr>
                                <w:b/>
                                <w:szCs w:val="24"/>
                              </w:rPr>
                            </w:pPr>
                            <w:r>
                              <w:rPr>
                                <w:rFonts w:hint="eastAsia"/>
                                <w:b/>
                                <w:szCs w:val="24"/>
                                <w:lang w:val="en-US" w:eastAsia="zh-CN"/>
                              </w:rPr>
                              <w:t>温室气体控制领域</w:t>
                            </w:r>
                            <w:r>
                              <w:rPr>
                                <w:rFonts w:hint="eastAsia"/>
                                <w:b/>
                                <w:szCs w:val="24"/>
                              </w:rPr>
                              <w:t>绿色</w:t>
                            </w:r>
                            <w:r>
                              <w:rPr>
                                <w:rFonts w:hint="eastAsia"/>
                                <w:b/>
                                <w:szCs w:val="24"/>
                                <w:lang w:val="en-US" w:eastAsia="zh-CN"/>
                              </w:rPr>
                              <w:t>低碳</w:t>
                            </w:r>
                            <w:r>
                              <w:rPr>
                                <w:rFonts w:hint="eastAsia"/>
                                <w:b/>
                                <w:szCs w:val="24"/>
                              </w:rPr>
                              <w:t>产业</w:t>
                            </w:r>
                            <w:r>
                              <w:rPr>
                                <w:rFonts w:hint="eastAsia"/>
                                <w:b/>
                                <w:szCs w:val="24"/>
                                <w:lang w:val="en-US" w:eastAsia="zh-CN"/>
                              </w:rPr>
                              <w:t>企业</w:t>
                            </w:r>
                            <w:r>
                              <w:rPr>
                                <w:rFonts w:hint="eastAsia"/>
                                <w:b/>
                                <w:szCs w:val="24"/>
                              </w:rPr>
                              <w:t>认定评价报告</w:t>
                            </w:r>
                          </w:p>
                          <w:p w14:paraId="195C00E9">
                            <w:pPr>
                              <w:pStyle w:val="26"/>
                              <w:keepNext w:val="0"/>
                              <w:keepLines w:val="0"/>
                              <w:pageBreakBefore w:val="0"/>
                              <w:widowControl/>
                              <w:kinsoku/>
                              <w:wordWrap/>
                              <w:overflowPunct/>
                              <w:topLinePunct w:val="0"/>
                              <w:bidi w:val="0"/>
                              <w:adjustRightInd w:val="0"/>
                              <w:snapToGrid/>
                              <w:spacing w:line="360" w:lineRule="auto"/>
                              <w:ind w:firstLine="0" w:firstLineChars="0"/>
                              <w:jc w:val="center"/>
                              <w:textAlignment w:val="auto"/>
                              <w:rPr>
                                <w:b/>
                                <w:szCs w:val="24"/>
                              </w:rPr>
                            </w:pPr>
                          </w:p>
                          <w:p w14:paraId="67E412FA">
                            <w:pPr>
                              <w:pStyle w:val="26"/>
                              <w:keepNext w:val="0"/>
                              <w:keepLines w:val="0"/>
                              <w:pageBreakBefore w:val="0"/>
                              <w:widowControl/>
                              <w:kinsoku/>
                              <w:wordWrap/>
                              <w:overflowPunct/>
                              <w:topLinePunct w:val="0"/>
                              <w:bidi w:val="0"/>
                              <w:adjustRightInd w:val="0"/>
                              <w:snapToGrid/>
                              <w:spacing w:line="360" w:lineRule="auto"/>
                              <w:ind w:firstLine="0" w:firstLineChars="0"/>
                              <w:jc w:val="left"/>
                              <w:textAlignment w:val="auto"/>
                              <w:rPr>
                                <w:b/>
                                <w:szCs w:val="24"/>
                              </w:rPr>
                            </w:pPr>
                          </w:p>
                          <w:p w14:paraId="3E5D864D">
                            <w:pPr>
                              <w:pStyle w:val="26"/>
                              <w:keepNext w:val="0"/>
                              <w:keepLines w:val="0"/>
                              <w:pageBreakBefore w:val="0"/>
                              <w:widowControl/>
                              <w:kinsoku/>
                              <w:wordWrap/>
                              <w:overflowPunct/>
                              <w:topLinePunct w:val="0"/>
                              <w:bidi w:val="0"/>
                              <w:adjustRightInd w:val="0"/>
                              <w:snapToGrid/>
                              <w:spacing w:line="360" w:lineRule="auto"/>
                              <w:ind w:firstLine="1687" w:firstLineChars="800"/>
                              <w:jc w:val="left"/>
                              <w:textAlignment w:val="auto"/>
                              <w:rPr>
                                <w:b/>
                                <w:szCs w:val="24"/>
                              </w:rPr>
                            </w:pPr>
                            <w:r>
                              <w:rPr>
                                <w:rFonts w:hint="eastAsia"/>
                                <w:b/>
                                <w:szCs w:val="24"/>
                              </w:rPr>
                              <w:t>申报单位：</w:t>
                            </w:r>
                            <w:r>
                              <w:rPr>
                                <w:rFonts w:hint="eastAsia"/>
                                <w:b/>
                                <w:szCs w:val="24"/>
                                <w:u w:val="single"/>
                              </w:rPr>
                              <w:t xml:space="preserve">               （盖章）  </w:t>
                            </w:r>
                            <w:r>
                              <w:rPr>
                                <w:rFonts w:hint="eastAsia"/>
                                <w:b/>
                                <w:szCs w:val="24"/>
                              </w:rPr>
                              <w:t xml:space="preserve">         </w:t>
                            </w:r>
                          </w:p>
                          <w:p w14:paraId="4C38E8B1">
                            <w:pPr>
                              <w:pStyle w:val="26"/>
                              <w:keepNext w:val="0"/>
                              <w:keepLines w:val="0"/>
                              <w:pageBreakBefore w:val="0"/>
                              <w:widowControl/>
                              <w:kinsoku/>
                              <w:wordWrap/>
                              <w:overflowPunct/>
                              <w:topLinePunct w:val="0"/>
                              <w:bidi w:val="0"/>
                              <w:adjustRightInd w:val="0"/>
                              <w:snapToGrid/>
                              <w:spacing w:line="360" w:lineRule="auto"/>
                              <w:ind w:firstLine="1687" w:firstLineChars="800"/>
                              <w:jc w:val="left"/>
                              <w:textAlignment w:val="auto"/>
                              <w:rPr>
                                <w:b/>
                                <w:szCs w:val="24"/>
                                <w:u w:val="single"/>
                              </w:rPr>
                            </w:pPr>
                            <w:r>
                              <w:rPr>
                                <w:rFonts w:hint="eastAsia"/>
                                <w:b/>
                                <w:szCs w:val="24"/>
                              </w:rPr>
                              <w:t>编写人：</w:t>
                            </w:r>
                            <w:r>
                              <w:rPr>
                                <w:rFonts w:hint="eastAsia"/>
                                <w:b/>
                                <w:szCs w:val="24"/>
                                <w:u w:val="single"/>
                              </w:rPr>
                              <w:t xml:space="preserve">                           </w:t>
                            </w:r>
                          </w:p>
                          <w:p w14:paraId="0C7B3A2E">
                            <w:pPr>
                              <w:pStyle w:val="26"/>
                              <w:keepNext w:val="0"/>
                              <w:keepLines w:val="0"/>
                              <w:pageBreakBefore w:val="0"/>
                              <w:widowControl/>
                              <w:kinsoku/>
                              <w:wordWrap/>
                              <w:overflowPunct/>
                              <w:topLinePunct w:val="0"/>
                              <w:bidi w:val="0"/>
                              <w:adjustRightInd w:val="0"/>
                              <w:snapToGrid/>
                              <w:spacing w:line="360" w:lineRule="auto"/>
                              <w:ind w:firstLine="1687" w:firstLineChars="800"/>
                              <w:jc w:val="left"/>
                              <w:textAlignment w:val="auto"/>
                              <w:rPr>
                                <w:b/>
                                <w:szCs w:val="24"/>
                                <w:u w:val="single"/>
                              </w:rPr>
                            </w:pPr>
                            <w:r>
                              <w:rPr>
                                <w:rFonts w:hint="eastAsia"/>
                                <w:b/>
                                <w:szCs w:val="24"/>
                              </w:rPr>
                              <w:t>责任人：</w:t>
                            </w:r>
                            <w:r>
                              <w:rPr>
                                <w:rFonts w:hint="eastAsia"/>
                                <w:b/>
                                <w:szCs w:val="24"/>
                                <w:u w:val="single"/>
                              </w:rPr>
                              <w:t xml:space="preserve">                           </w:t>
                            </w:r>
                          </w:p>
                          <w:p w14:paraId="63A8142B">
                            <w:pPr>
                              <w:pStyle w:val="26"/>
                              <w:keepNext w:val="0"/>
                              <w:keepLines w:val="0"/>
                              <w:pageBreakBefore w:val="0"/>
                              <w:widowControl/>
                              <w:kinsoku/>
                              <w:wordWrap/>
                              <w:overflowPunct/>
                              <w:topLinePunct w:val="0"/>
                              <w:bidi w:val="0"/>
                              <w:adjustRightInd w:val="0"/>
                              <w:snapToGrid/>
                              <w:spacing w:line="360" w:lineRule="auto"/>
                              <w:ind w:firstLine="1687" w:firstLineChars="800"/>
                              <w:jc w:val="left"/>
                              <w:textAlignment w:val="auto"/>
                              <w:rPr>
                                <w:szCs w:val="24"/>
                              </w:rPr>
                            </w:pPr>
                            <w:r>
                              <w:rPr>
                                <w:rFonts w:hint="eastAsia"/>
                                <w:b/>
                                <w:szCs w:val="24"/>
                              </w:rPr>
                              <w:t>报告日期：</w:t>
                            </w:r>
                            <w:r>
                              <w:rPr>
                                <w:rFonts w:hint="eastAsia"/>
                                <w:b/>
                                <w:szCs w:val="24"/>
                                <w:u w:val="single"/>
                              </w:rPr>
                              <w:t xml:space="preserve">         </w:t>
                            </w:r>
                            <w:r>
                              <w:rPr>
                                <w:rFonts w:hint="eastAsia"/>
                                <w:szCs w:val="24"/>
                                <w:u w:val="single"/>
                              </w:rPr>
                              <w:t xml:space="preserve">                </w:t>
                            </w:r>
                            <w:r>
                              <w:rPr>
                                <w:rFonts w:hint="eastAsia"/>
                                <w:szCs w:val="24"/>
                              </w:rPr>
                              <w:t xml:space="preserve">           </w:t>
                            </w:r>
                          </w:p>
                        </w:txbxContent>
                      </wps:txbx>
                      <wps:bodyPr vert="horz" wrap="square" anchor="t" anchorCtr="0" upright="1"/>
                    </wps:wsp>
                  </a:graphicData>
                </a:graphic>
              </wp:inline>
            </w:drawing>
          </mc:Choice>
          <mc:Fallback>
            <w:pict>
              <v:shape id="_x0000_s1026" o:spid="_x0000_s1026" o:spt="202" type="#_x0000_t202" style="height:260.55pt;width:388.75pt;" filled="f" stroked="t" coordsize="21600,21600" o:gfxdata="UEsDBAoAAAAAAIdO4kAAAAAAAAAAAAAAAAAEAAAAZHJzL1BLAwQUAAAACACHTuJAhxLcLtcAAAAF&#10;AQAADwAAAGRycy9kb3ducmV2LnhtbE2PzU7DMBCE75X6DtYicWsdVyqhIU4PFb2gciAtUrm58RIH&#10;4nVquz+8PYYLXFYazWjm23J5tT07ow+dIwlimgFDapzuqJWw264n98BCVKRV7wglfGGAZTUelarQ&#10;7kIveK5jy1IJhUJJMDEOBeehMWhVmLoBKXnvzlsVk/Qt115dUrnt+SzL7rhVHaUFowZcGWw+65OV&#10;sPaPdbcTxh8Xm6f92/F1+zxsPqS8vRHZA7CI1/gXhh/8hA5VYjq4E+nAegnpkfh7k5fn+RzYQcJ8&#10;JgTwquT/6atvUEsDBBQAAAAIAIdO4kDIDu/KJQIAAEIEAAAOAAAAZHJzL2Uyb0RvYy54bWytU82O&#10;0zAQviPxDpbvNGlLoY02XYktywUB0sIDTG0nseQ/bLdJeQB4A05cuPNcfQ7GTrcLy6UHckgm4/E3&#10;830zc3U9aEX2wgdpTU2nk5ISYZjl0rQ1/fTx9tmSkhDBcFDWiJoeRKDX66dPrnpXiZntrOLCEwQx&#10;oepdTbsYXVUUgXVCQ5hYJwweNtZriPjr24J76BFdq2JWli+K3nruvGUiBPRuxkN6QvSXANqmkUxs&#10;LNtpYeKI6oWCiJRCJ12g61xt0wgW3zdNEJGomiLTmN+YBO1tehfrK6haD66T7FQCXFLCI04apMGk&#10;Z6gNRCA7L/+B0pJ5G2wTJ8zqYiSSFUEW0/KRNncdOJG5oNTBnUUP/w+Wvdt/8ETyms4oMaCx4cfv&#10;344/fh1/fiWzJE/vQoVRdw7j4vDKDjg09/6AzsR6aLxOX+RD8BzFPZzFFUMkDJ3PV/OX09mCEoZn&#10;83m5XC0XCad4uO58iG+E1SQZNfXYvSwq7N+GOIbeh6Rsxt5KpXIHlSE91rUqF5ibAY5lg+OApnZI&#10;LZg24wSrJE930u3g2+2N8mQPaTTycyrnr7CUcAOhG+PyUQqDSssofLY6Afy14SQeHMpncGtoqkYL&#10;TokSuGTJypERpLokEjVRBqVJ2o8aJysO2wFhkrm1/ID9wDVGnTrrv2BGHGKk+nkHHvODYeiuKWow&#10;mjdxnPqd87Lt8FZuYs6Ao5XbcFqDNLt//uc6HlZ//Rt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H&#10;Etwu1wAAAAUBAAAPAAAAAAAAAAEAIAAAACIAAABkcnMvZG93bnJldi54bWxQSwECFAAUAAAACACH&#10;TuJAyA7vyiUCAABCBAAADgAAAAAAAAABACAAAAAmAQAAZHJzL2Uyb0RvYy54bWxQSwUGAAAAAAYA&#10;BgBZAQAAvQUAAAAA&#10;">
                <v:fill on="f" focussize="0,0"/>
                <v:stroke weight="1.5pt" color="#000000" joinstyle="miter"/>
                <v:imagedata o:title=""/>
                <o:lock v:ext="edit" aspectratio="f"/>
                <v:textbox>
                  <w:txbxContent>
                    <w:p w14:paraId="002C8E9E">
                      <w:pPr>
                        <w:pStyle w:val="26"/>
                        <w:spacing w:line="360" w:lineRule="auto"/>
                        <w:ind w:firstLine="422"/>
                        <w:jc w:val="center"/>
                        <w:rPr>
                          <w:b/>
                          <w:szCs w:val="24"/>
                        </w:rPr>
                      </w:pPr>
                    </w:p>
                    <w:p w14:paraId="361C2736">
                      <w:pPr>
                        <w:pStyle w:val="26"/>
                        <w:keepNext w:val="0"/>
                        <w:keepLines w:val="0"/>
                        <w:pageBreakBefore w:val="0"/>
                        <w:widowControl/>
                        <w:kinsoku/>
                        <w:wordWrap/>
                        <w:overflowPunct/>
                        <w:topLinePunct w:val="0"/>
                        <w:bidi w:val="0"/>
                        <w:adjustRightInd/>
                        <w:snapToGrid/>
                        <w:spacing w:line="360" w:lineRule="auto"/>
                        <w:ind w:firstLine="0" w:firstLineChars="0"/>
                        <w:jc w:val="center"/>
                        <w:textAlignment w:val="auto"/>
                        <w:rPr>
                          <w:rFonts w:hint="eastAsia"/>
                          <w:b/>
                          <w:szCs w:val="24"/>
                        </w:rPr>
                      </w:pPr>
                    </w:p>
                    <w:p w14:paraId="015EEDDC">
                      <w:pPr>
                        <w:pStyle w:val="26"/>
                        <w:keepNext w:val="0"/>
                        <w:keepLines w:val="0"/>
                        <w:pageBreakBefore w:val="0"/>
                        <w:widowControl/>
                        <w:kinsoku/>
                        <w:wordWrap/>
                        <w:overflowPunct/>
                        <w:topLinePunct w:val="0"/>
                        <w:bidi w:val="0"/>
                        <w:adjustRightInd/>
                        <w:snapToGrid/>
                        <w:spacing w:line="360" w:lineRule="auto"/>
                        <w:ind w:firstLine="0" w:firstLineChars="0"/>
                        <w:jc w:val="center"/>
                        <w:textAlignment w:val="auto"/>
                        <w:rPr>
                          <w:b/>
                          <w:szCs w:val="24"/>
                        </w:rPr>
                      </w:pPr>
                      <w:r>
                        <w:rPr>
                          <w:rFonts w:hint="eastAsia"/>
                          <w:b/>
                          <w:szCs w:val="24"/>
                        </w:rPr>
                        <w:t>XXX公司</w:t>
                      </w:r>
                    </w:p>
                    <w:p w14:paraId="2FA7D2EF">
                      <w:pPr>
                        <w:pStyle w:val="26"/>
                        <w:keepNext w:val="0"/>
                        <w:keepLines w:val="0"/>
                        <w:pageBreakBefore w:val="0"/>
                        <w:widowControl/>
                        <w:kinsoku/>
                        <w:wordWrap/>
                        <w:overflowPunct/>
                        <w:topLinePunct w:val="0"/>
                        <w:bidi w:val="0"/>
                        <w:adjustRightInd w:val="0"/>
                        <w:snapToGrid/>
                        <w:spacing w:line="360" w:lineRule="auto"/>
                        <w:ind w:firstLine="0" w:firstLineChars="0"/>
                        <w:jc w:val="center"/>
                        <w:textAlignment w:val="auto"/>
                        <w:rPr>
                          <w:b/>
                          <w:szCs w:val="24"/>
                        </w:rPr>
                      </w:pPr>
                      <w:r>
                        <w:rPr>
                          <w:rFonts w:hint="eastAsia"/>
                          <w:b/>
                          <w:szCs w:val="24"/>
                          <w:lang w:val="en-US" w:eastAsia="zh-CN"/>
                        </w:rPr>
                        <w:t>温室气体控制领域</w:t>
                      </w:r>
                      <w:r>
                        <w:rPr>
                          <w:rFonts w:hint="eastAsia"/>
                          <w:b/>
                          <w:szCs w:val="24"/>
                        </w:rPr>
                        <w:t>绿色</w:t>
                      </w:r>
                      <w:r>
                        <w:rPr>
                          <w:rFonts w:hint="eastAsia"/>
                          <w:b/>
                          <w:szCs w:val="24"/>
                          <w:lang w:val="en-US" w:eastAsia="zh-CN"/>
                        </w:rPr>
                        <w:t>低碳</w:t>
                      </w:r>
                      <w:r>
                        <w:rPr>
                          <w:rFonts w:hint="eastAsia"/>
                          <w:b/>
                          <w:szCs w:val="24"/>
                        </w:rPr>
                        <w:t>产业</w:t>
                      </w:r>
                      <w:r>
                        <w:rPr>
                          <w:rFonts w:hint="eastAsia"/>
                          <w:b/>
                          <w:szCs w:val="24"/>
                          <w:lang w:val="en-US" w:eastAsia="zh-CN"/>
                        </w:rPr>
                        <w:t>企业</w:t>
                      </w:r>
                      <w:r>
                        <w:rPr>
                          <w:rFonts w:hint="eastAsia"/>
                          <w:b/>
                          <w:szCs w:val="24"/>
                        </w:rPr>
                        <w:t>认定评价报告</w:t>
                      </w:r>
                    </w:p>
                    <w:p w14:paraId="195C00E9">
                      <w:pPr>
                        <w:pStyle w:val="26"/>
                        <w:keepNext w:val="0"/>
                        <w:keepLines w:val="0"/>
                        <w:pageBreakBefore w:val="0"/>
                        <w:widowControl/>
                        <w:kinsoku/>
                        <w:wordWrap/>
                        <w:overflowPunct/>
                        <w:topLinePunct w:val="0"/>
                        <w:bidi w:val="0"/>
                        <w:adjustRightInd w:val="0"/>
                        <w:snapToGrid/>
                        <w:spacing w:line="360" w:lineRule="auto"/>
                        <w:ind w:firstLine="0" w:firstLineChars="0"/>
                        <w:jc w:val="center"/>
                        <w:textAlignment w:val="auto"/>
                        <w:rPr>
                          <w:b/>
                          <w:szCs w:val="24"/>
                        </w:rPr>
                      </w:pPr>
                    </w:p>
                    <w:p w14:paraId="67E412FA">
                      <w:pPr>
                        <w:pStyle w:val="26"/>
                        <w:keepNext w:val="0"/>
                        <w:keepLines w:val="0"/>
                        <w:pageBreakBefore w:val="0"/>
                        <w:widowControl/>
                        <w:kinsoku/>
                        <w:wordWrap/>
                        <w:overflowPunct/>
                        <w:topLinePunct w:val="0"/>
                        <w:bidi w:val="0"/>
                        <w:adjustRightInd w:val="0"/>
                        <w:snapToGrid/>
                        <w:spacing w:line="360" w:lineRule="auto"/>
                        <w:ind w:firstLine="0" w:firstLineChars="0"/>
                        <w:jc w:val="left"/>
                        <w:textAlignment w:val="auto"/>
                        <w:rPr>
                          <w:b/>
                          <w:szCs w:val="24"/>
                        </w:rPr>
                      </w:pPr>
                    </w:p>
                    <w:p w14:paraId="3E5D864D">
                      <w:pPr>
                        <w:pStyle w:val="26"/>
                        <w:keepNext w:val="0"/>
                        <w:keepLines w:val="0"/>
                        <w:pageBreakBefore w:val="0"/>
                        <w:widowControl/>
                        <w:kinsoku/>
                        <w:wordWrap/>
                        <w:overflowPunct/>
                        <w:topLinePunct w:val="0"/>
                        <w:bidi w:val="0"/>
                        <w:adjustRightInd w:val="0"/>
                        <w:snapToGrid/>
                        <w:spacing w:line="360" w:lineRule="auto"/>
                        <w:ind w:firstLine="1687" w:firstLineChars="800"/>
                        <w:jc w:val="left"/>
                        <w:textAlignment w:val="auto"/>
                        <w:rPr>
                          <w:b/>
                          <w:szCs w:val="24"/>
                        </w:rPr>
                      </w:pPr>
                      <w:r>
                        <w:rPr>
                          <w:rFonts w:hint="eastAsia"/>
                          <w:b/>
                          <w:szCs w:val="24"/>
                        </w:rPr>
                        <w:t>申报单位：</w:t>
                      </w:r>
                      <w:r>
                        <w:rPr>
                          <w:rFonts w:hint="eastAsia"/>
                          <w:b/>
                          <w:szCs w:val="24"/>
                          <w:u w:val="single"/>
                        </w:rPr>
                        <w:t xml:space="preserve">               （盖章）  </w:t>
                      </w:r>
                      <w:r>
                        <w:rPr>
                          <w:rFonts w:hint="eastAsia"/>
                          <w:b/>
                          <w:szCs w:val="24"/>
                        </w:rPr>
                        <w:t xml:space="preserve">         </w:t>
                      </w:r>
                    </w:p>
                    <w:p w14:paraId="4C38E8B1">
                      <w:pPr>
                        <w:pStyle w:val="26"/>
                        <w:keepNext w:val="0"/>
                        <w:keepLines w:val="0"/>
                        <w:pageBreakBefore w:val="0"/>
                        <w:widowControl/>
                        <w:kinsoku/>
                        <w:wordWrap/>
                        <w:overflowPunct/>
                        <w:topLinePunct w:val="0"/>
                        <w:bidi w:val="0"/>
                        <w:adjustRightInd w:val="0"/>
                        <w:snapToGrid/>
                        <w:spacing w:line="360" w:lineRule="auto"/>
                        <w:ind w:firstLine="1687" w:firstLineChars="800"/>
                        <w:jc w:val="left"/>
                        <w:textAlignment w:val="auto"/>
                        <w:rPr>
                          <w:b/>
                          <w:szCs w:val="24"/>
                          <w:u w:val="single"/>
                        </w:rPr>
                      </w:pPr>
                      <w:r>
                        <w:rPr>
                          <w:rFonts w:hint="eastAsia"/>
                          <w:b/>
                          <w:szCs w:val="24"/>
                        </w:rPr>
                        <w:t>编写人：</w:t>
                      </w:r>
                      <w:r>
                        <w:rPr>
                          <w:rFonts w:hint="eastAsia"/>
                          <w:b/>
                          <w:szCs w:val="24"/>
                          <w:u w:val="single"/>
                        </w:rPr>
                        <w:t xml:space="preserve">                           </w:t>
                      </w:r>
                    </w:p>
                    <w:p w14:paraId="0C7B3A2E">
                      <w:pPr>
                        <w:pStyle w:val="26"/>
                        <w:keepNext w:val="0"/>
                        <w:keepLines w:val="0"/>
                        <w:pageBreakBefore w:val="0"/>
                        <w:widowControl/>
                        <w:kinsoku/>
                        <w:wordWrap/>
                        <w:overflowPunct/>
                        <w:topLinePunct w:val="0"/>
                        <w:bidi w:val="0"/>
                        <w:adjustRightInd w:val="0"/>
                        <w:snapToGrid/>
                        <w:spacing w:line="360" w:lineRule="auto"/>
                        <w:ind w:firstLine="1687" w:firstLineChars="800"/>
                        <w:jc w:val="left"/>
                        <w:textAlignment w:val="auto"/>
                        <w:rPr>
                          <w:b/>
                          <w:szCs w:val="24"/>
                          <w:u w:val="single"/>
                        </w:rPr>
                      </w:pPr>
                      <w:r>
                        <w:rPr>
                          <w:rFonts w:hint="eastAsia"/>
                          <w:b/>
                          <w:szCs w:val="24"/>
                        </w:rPr>
                        <w:t>责任人：</w:t>
                      </w:r>
                      <w:r>
                        <w:rPr>
                          <w:rFonts w:hint="eastAsia"/>
                          <w:b/>
                          <w:szCs w:val="24"/>
                          <w:u w:val="single"/>
                        </w:rPr>
                        <w:t xml:space="preserve">                           </w:t>
                      </w:r>
                    </w:p>
                    <w:p w14:paraId="63A8142B">
                      <w:pPr>
                        <w:pStyle w:val="26"/>
                        <w:keepNext w:val="0"/>
                        <w:keepLines w:val="0"/>
                        <w:pageBreakBefore w:val="0"/>
                        <w:widowControl/>
                        <w:kinsoku/>
                        <w:wordWrap/>
                        <w:overflowPunct/>
                        <w:topLinePunct w:val="0"/>
                        <w:bidi w:val="0"/>
                        <w:adjustRightInd w:val="0"/>
                        <w:snapToGrid/>
                        <w:spacing w:line="360" w:lineRule="auto"/>
                        <w:ind w:firstLine="1687" w:firstLineChars="800"/>
                        <w:jc w:val="left"/>
                        <w:textAlignment w:val="auto"/>
                        <w:rPr>
                          <w:szCs w:val="24"/>
                        </w:rPr>
                      </w:pPr>
                      <w:r>
                        <w:rPr>
                          <w:rFonts w:hint="eastAsia"/>
                          <w:b/>
                          <w:szCs w:val="24"/>
                        </w:rPr>
                        <w:t>报告日期：</w:t>
                      </w:r>
                      <w:r>
                        <w:rPr>
                          <w:rFonts w:hint="eastAsia"/>
                          <w:b/>
                          <w:szCs w:val="24"/>
                          <w:u w:val="single"/>
                        </w:rPr>
                        <w:t xml:space="preserve">         </w:t>
                      </w:r>
                      <w:r>
                        <w:rPr>
                          <w:rFonts w:hint="eastAsia"/>
                          <w:szCs w:val="24"/>
                          <w:u w:val="single"/>
                        </w:rPr>
                        <w:t xml:space="preserve">                </w:t>
                      </w:r>
                      <w:r>
                        <w:rPr>
                          <w:rFonts w:hint="eastAsia"/>
                          <w:szCs w:val="24"/>
                        </w:rPr>
                        <w:t xml:space="preserve">           </w:t>
                      </w:r>
                    </w:p>
                  </w:txbxContent>
                </v:textbox>
                <w10:wrap type="none"/>
                <w10:anchorlock/>
              </v:shape>
            </w:pict>
          </mc:Fallback>
        </mc:AlternateContent>
      </w:r>
    </w:p>
    <w:p w14:paraId="59D92033">
      <w:pPr>
        <w:pStyle w:val="92"/>
        <w:numPr>
          <w:ilvl w:val="1"/>
          <w:numId w:val="0"/>
        </w:numPr>
        <w:spacing w:before="156" w:after="156"/>
        <w:jc w:val="both"/>
        <w:rPr>
          <w:rFonts w:ascii="Times New Roman" w:eastAsia="Times New Roman"/>
          <w:highlight w:val="none"/>
        </w:rPr>
      </w:pPr>
      <w:r>
        <w:rPr>
          <w:rFonts w:hint="eastAsia" w:hAnsi="黑体" w:cs="黑体"/>
          <w:highlight w:val="none"/>
          <w:lang w:val="en-US" w:eastAsia="zh-CN"/>
        </w:rPr>
        <w:t>C</w:t>
      </w:r>
      <w:r>
        <w:rPr>
          <w:rFonts w:hint="eastAsia" w:ascii="黑体" w:hAnsi="黑体" w:eastAsia="黑体" w:cs="黑体"/>
          <w:highlight w:val="none"/>
        </w:rPr>
        <w:t>.2</w:t>
      </w:r>
      <w:r>
        <w:rPr>
          <w:rFonts w:hint="eastAsia" w:hAnsi="黑体" w:cs="黑体"/>
          <w:highlight w:val="none"/>
          <w:lang w:val="en-US" w:eastAsia="zh-CN"/>
        </w:rPr>
        <w:t xml:space="preserve">  </w:t>
      </w:r>
      <w:r>
        <w:rPr>
          <w:rFonts w:hint="eastAsia" w:ascii="黑体" w:hAnsi="黑体" w:eastAsia="黑体" w:cs="黑体"/>
          <w:highlight w:val="none"/>
        </w:rPr>
        <w:t>基本信息</w:t>
      </w:r>
    </w:p>
    <w:p w14:paraId="1C1B2CBB">
      <w:pPr>
        <w:pStyle w:val="26"/>
        <w:rPr>
          <w:rFonts w:hAnsi="宋体"/>
          <w:szCs w:val="24"/>
          <w:highlight w:val="none"/>
        </w:rPr>
      </w:pPr>
      <w:r>
        <w:rPr>
          <w:rFonts w:hint="eastAsia" w:hAnsi="宋体"/>
          <w:szCs w:val="24"/>
          <w:highlight w:val="none"/>
        </w:rPr>
        <w:t>基本信息的填报要求见表</w:t>
      </w:r>
      <w:r>
        <w:rPr>
          <w:rFonts w:hint="eastAsia" w:hAnsi="宋体"/>
          <w:szCs w:val="24"/>
          <w:highlight w:val="none"/>
          <w:lang w:val="en-US" w:eastAsia="zh-CN"/>
        </w:rPr>
        <w:t>C</w:t>
      </w:r>
      <w:r>
        <w:rPr>
          <w:rFonts w:hint="eastAsia" w:hAnsi="宋体"/>
          <w:szCs w:val="24"/>
          <w:highlight w:val="none"/>
        </w:rPr>
        <w:t>.2。</w:t>
      </w:r>
    </w:p>
    <w:p w14:paraId="0B3B4991">
      <w:pPr>
        <w:pStyle w:val="92"/>
        <w:numPr>
          <w:ilvl w:val="1"/>
          <w:numId w:val="0"/>
        </w:numPr>
        <w:tabs>
          <w:tab w:val="clear" w:pos="0"/>
        </w:tabs>
        <w:spacing w:before="156" w:after="156"/>
        <w:rPr>
          <w:rFonts w:hAnsi="黑体"/>
          <w:highlight w:val="none"/>
        </w:rPr>
      </w:pPr>
      <w:r>
        <w:rPr>
          <w:rFonts w:hint="eastAsia" w:hAnsi="黑体"/>
          <w:highlight w:val="none"/>
        </w:rPr>
        <w:t>表</w:t>
      </w:r>
      <w:r>
        <w:rPr>
          <w:rFonts w:hint="eastAsia" w:hAnsi="黑体"/>
          <w:highlight w:val="none"/>
          <w:lang w:val="en-US" w:eastAsia="zh-CN"/>
        </w:rPr>
        <w:t>C</w:t>
      </w:r>
      <w:r>
        <w:rPr>
          <w:rFonts w:hint="eastAsia" w:hAnsi="黑体"/>
          <w:highlight w:val="none"/>
        </w:rPr>
        <w:t>.2</w:t>
      </w:r>
      <w:r>
        <w:rPr>
          <w:rFonts w:hint="eastAsia" w:hAnsi="黑体"/>
          <w:highlight w:val="none"/>
          <w:lang w:val="en-US" w:eastAsia="zh-CN"/>
        </w:rPr>
        <w:t xml:space="preserve">  </w:t>
      </w:r>
      <w:r>
        <w:rPr>
          <w:rFonts w:hint="eastAsia" w:hAnsi="黑体"/>
          <w:highlight w:val="none"/>
        </w:rPr>
        <w:t>基本信息</w:t>
      </w:r>
    </w:p>
    <w:tbl>
      <w:tblPr>
        <w:tblStyle w:val="36"/>
        <w:tblW w:w="4994" w:type="pct"/>
        <w:jc w:val="center"/>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autofit"/>
        <w:tblCellMar>
          <w:top w:w="0" w:type="dxa"/>
          <w:left w:w="108" w:type="dxa"/>
          <w:bottom w:w="0" w:type="dxa"/>
          <w:right w:w="108" w:type="dxa"/>
        </w:tblCellMar>
      </w:tblPr>
      <w:tblGrid>
        <w:gridCol w:w="1959"/>
        <w:gridCol w:w="3845"/>
        <w:gridCol w:w="1549"/>
        <w:gridCol w:w="2206"/>
      </w:tblGrid>
      <w:tr w14:paraId="6D33EF0A">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cantSplit/>
          <w:trHeight w:val="482" w:hRule="atLeast"/>
          <w:jc w:val="center"/>
        </w:trPr>
        <w:tc>
          <w:tcPr>
            <w:tcW w:w="1025" w:type="pct"/>
            <w:tcBorders>
              <w:tl2br w:val="nil"/>
              <w:tr2bl w:val="nil"/>
            </w:tcBorders>
            <w:vAlign w:val="center"/>
          </w:tcPr>
          <w:p w14:paraId="0AC2E72A">
            <w:pPr>
              <w:keepNext w:val="0"/>
              <w:keepLines w:val="0"/>
              <w:widowControl/>
              <w:suppressLineNumbers w:val="0"/>
              <w:spacing w:before="0" w:beforeAutospacing="0" w:after="0" w:afterAutospacing="0"/>
              <w:ind w:left="0" w:right="0"/>
              <w:jc w:val="center"/>
              <w:rPr>
                <w:rFonts w:hint="default"/>
                <w:color w:val="000000"/>
                <w:kern w:val="0"/>
                <w:sz w:val="18"/>
                <w:szCs w:val="18"/>
                <w:highlight w:val="none"/>
              </w:rPr>
            </w:pPr>
            <w:r>
              <w:rPr>
                <w:rFonts w:hint="eastAsia"/>
                <w:color w:val="000000"/>
                <w:kern w:val="0"/>
                <w:sz w:val="18"/>
                <w:szCs w:val="18"/>
                <w:highlight w:val="none"/>
              </w:rPr>
              <w:t>企事业单位名称</w:t>
            </w:r>
          </w:p>
        </w:tc>
        <w:tc>
          <w:tcPr>
            <w:tcW w:w="3974" w:type="pct"/>
            <w:gridSpan w:val="3"/>
            <w:tcBorders>
              <w:tl2br w:val="nil"/>
              <w:tr2bl w:val="nil"/>
            </w:tcBorders>
            <w:vAlign w:val="center"/>
          </w:tcPr>
          <w:p w14:paraId="46CEFB1B">
            <w:pPr>
              <w:keepNext w:val="0"/>
              <w:keepLines w:val="0"/>
              <w:widowControl/>
              <w:suppressLineNumbers w:val="0"/>
              <w:spacing w:before="0" w:beforeAutospacing="0" w:after="0" w:afterAutospacing="0"/>
              <w:ind w:left="0" w:right="0"/>
              <w:rPr>
                <w:rFonts w:hint="default"/>
                <w:color w:val="000000"/>
                <w:kern w:val="0"/>
                <w:sz w:val="18"/>
                <w:szCs w:val="18"/>
                <w:highlight w:val="none"/>
              </w:rPr>
            </w:pPr>
          </w:p>
        </w:tc>
      </w:tr>
      <w:tr w14:paraId="28C6C9C9">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cantSplit/>
          <w:trHeight w:val="490" w:hRule="atLeast"/>
          <w:jc w:val="center"/>
        </w:trPr>
        <w:tc>
          <w:tcPr>
            <w:tcW w:w="1025" w:type="pct"/>
            <w:tcBorders>
              <w:tl2br w:val="nil"/>
              <w:tr2bl w:val="nil"/>
            </w:tcBorders>
            <w:vAlign w:val="center"/>
          </w:tcPr>
          <w:p w14:paraId="73E79109">
            <w:pPr>
              <w:keepNext w:val="0"/>
              <w:keepLines w:val="0"/>
              <w:widowControl/>
              <w:suppressLineNumbers w:val="0"/>
              <w:spacing w:before="0" w:beforeAutospacing="0" w:after="0" w:afterAutospacing="0"/>
              <w:ind w:left="0" w:right="0"/>
              <w:jc w:val="center"/>
              <w:rPr>
                <w:rFonts w:hint="eastAsia"/>
                <w:color w:val="000000"/>
                <w:kern w:val="0"/>
                <w:sz w:val="18"/>
                <w:szCs w:val="18"/>
                <w:highlight w:val="none"/>
              </w:rPr>
            </w:pPr>
            <w:r>
              <w:rPr>
                <w:rFonts w:hint="eastAsia"/>
                <w:color w:val="000000"/>
                <w:kern w:val="0"/>
                <w:sz w:val="18"/>
                <w:szCs w:val="18"/>
                <w:highlight w:val="none"/>
              </w:rPr>
              <w:t>单位性质</w:t>
            </w:r>
          </w:p>
        </w:tc>
        <w:tc>
          <w:tcPr>
            <w:tcW w:w="3974" w:type="pct"/>
            <w:gridSpan w:val="3"/>
            <w:tcBorders>
              <w:tl2br w:val="nil"/>
              <w:tr2bl w:val="nil"/>
            </w:tcBorders>
            <w:vAlign w:val="center"/>
          </w:tcPr>
          <w:p w14:paraId="1CDDBB97">
            <w:pPr>
              <w:keepNext w:val="0"/>
              <w:keepLines w:val="0"/>
              <w:widowControl/>
              <w:suppressLineNumbers w:val="0"/>
              <w:spacing w:before="0" w:beforeAutospacing="0" w:after="0" w:afterAutospacing="0"/>
              <w:ind w:left="0" w:right="0"/>
              <w:rPr>
                <w:rFonts w:hint="default"/>
                <w:color w:val="000000"/>
                <w:kern w:val="0"/>
                <w:sz w:val="18"/>
                <w:szCs w:val="18"/>
                <w:highlight w:val="none"/>
              </w:rPr>
            </w:pPr>
            <w:r>
              <w:rPr>
                <w:rFonts w:hint="eastAsia"/>
                <w:color w:val="000000"/>
                <w:kern w:val="0"/>
                <w:sz w:val="18"/>
                <w:szCs w:val="18"/>
                <w:highlight w:val="none"/>
              </w:rPr>
              <w:t>内资（□国有□集体□民营）□中外合资□港澳台□外商独资</w:t>
            </w:r>
          </w:p>
        </w:tc>
      </w:tr>
      <w:tr w14:paraId="177C2980">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cantSplit/>
          <w:trHeight w:val="507" w:hRule="atLeast"/>
          <w:jc w:val="center"/>
        </w:trPr>
        <w:tc>
          <w:tcPr>
            <w:tcW w:w="1025" w:type="pct"/>
            <w:tcBorders>
              <w:tl2br w:val="nil"/>
              <w:tr2bl w:val="nil"/>
            </w:tcBorders>
            <w:vAlign w:val="center"/>
          </w:tcPr>
          <w:p w14:paraId="2F817FF8">
            <w:pPr>
              <w:keepNext w:val="0"/>
              <w:keepLines w:val="0"/>
              <w:widowControl/>
              <w:suppressLineNumbers w:val="0"/>
              <w:spacing w:before="0" w:beforeAutospacing="0" w:after="0" w:afterAutospacing="0"/>
              <w:ind w:left="0" w:right="0"/>
              <w:jc w:val="center"/>
              <w:rPr>
                <w:rFonts w:hint="default"/>
                <w:color w:val="000000"/>
                <w:kern w:val="0"/>
                <w:sz w:val="18"/>
                <w:szCs w:val="18"/>
                <w:highlight w:val="none"/>
              </w:rPr>
            </w:pPr>
            <w:r>
              <w:rPr>
                <w:rFonts w:hint="eastAsia"/>
                <w:color w:val="000000"/>
                <w:kern w:val="0"/>
                <w:sz w:val="18"/>
                <w:szCs w:val="18"/>
                <w:highlight w:val="none"/>
              </w:rPr>
              <w:t>通讯地址</w:t>
            </w:r>
          </w:p>
        </w:tc>
        <w:tc>
          <w:tcPr>
            <w:tcW w:w="3974" w:type="pct"/>
            <w:gridSpan w:val="3"/>
            <w:tcBorders>
              <w:tl2br w:val="nil"/>
              <w:tr2bl w:val="nil"/>
            </w:tcBorders>
            <w:vAlign w:val="center"/>
          </w:tcPr>
          <w:p w14:paraId="4AEA8F3C">
            <w:pPr>
              <w:keepNext w:val="0"/>
              <w:keepLines w:val="0"/>
              <w:widowControl/>
              <w:suppressLineNumbers w:val="0"/>
              <w:spacing w:before="0" w:beforeAutospacing="0" w:after="0" w:afterAutospacing="0"/>
              <w:ind w:left="0" w:right="0"/>
              <w:rPr>
                <w:rFonts w:hint="default"/>
                <w:color w:val="000000"/>
                <w:kern w:val="0"/>
                <w:sz w:val="18"/>
                <w:szCs w:val="18"/>
                <w:highlight w:val="none"/>
              </w:rPr>
            </w:pPr>
          </w:p>
        </w:tc>
      </w:tr>
      <w:tr w14:paraId="0DE054B5">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cantSplit/>
          <w:trHeight w:val="539" w:hRule="atLeast"/>
          <w:jc w:val="center"/>
        </w:trPr>
        <w:tc>
          <w:tcPr>
            <w:tcW w:w="1025" w:type="pct"/>
            <w:tcBorders>
              <w:tl2br w:val="nil"/>
              <w:tr2bl w:val="nil"/>
            </w:tcBorders>
            <w:vAlign w:val="center"/>
          </w:tcPr>
          <w:p w14:paraId="5F883FBF">
            <w:pPr>
              <w:keepNext w:val="0"/>
              <w:keepLines w:val="0"/>
              <w:widowControl/>
              <w:suppressLineNumbers w:val="0"/>
              <w:spacing w:before="0" w:beforeAutospacing="0" w:after="0" w:afterAutospacing="0"/>
              <w:ind w:left="0" w:right="0"/>
              <w:jc w:val="center"/>
              <w:rPr>
                <w:rFonts w:hint="default"/>
                <w:color w:val="000000"/>
                <w:kern w:val="0"/>
                <w:sz w:val="18"/>
                <w:szCs w:val="18"/>
                <w:highlight w:val="none"/>
              </w:rPr>
            </w:pPr>
            <w:r>
              <w:rPr>
                <w:rFonts w:hint="eastAsia"/>
                <w:color w:val="000000"/>
                <w:kern w:val="0"/>
                <w:sz w:val="18"/>
                <w:szCs w:val="18"/>
                <w:highlight w:val="none"/>
              </w:rPr>
              <w:t>统一社会</w:t>
            </w:r>
          </w:p>
          <w:p w14:paraId="5A7FA634">
            <w:pPr>
              <w:keepNext w:val="0"/>
              <w:keepLines w:val="0"/>
              <w:widowControl/>
              <w:suppressLineNumbers w:val="0"/>
              <w:spacing w:before="0" w:beforeAutospacing="0" w:after="0" w:afterAutospacing="0"/>
              <w:ind w:left="0" w:right="0"/>
              <w:jc w:val="center"/>
              <w:rPr>
                <w:rFonts w:hint="eastAsia" w:ascii="Times New Roman" w:hAnsi="Times New Roman" w:eastAsia="宋体" w:cs="Times New Roman"/>
                <w:color w:val="000000"/>
                <w:kern w:val="0"/>
                <w:sz w:val="18"/>
                <w:szCs w:val="18"/>
                <w:highlight w:val="none"/>
                <w:lang w:val="en-US" w:eastAsia="zh-CN" w:bidi="ar-SA"/>
              </w:rPr>
            </w:pPr>
            <w:r>
              <w:rPr>
                <w:rFonts w:hint="eastAsia"/>
                <w:color w:val="000000"/>
                <w:kern w:val="0"/>
                <w:sz w:val="18"/>
                <w:szCs w:val="18"/>
                <w:highlight w:val="none"/>
              </w:rPr>
              <w:t>信用代码</w:t>
            </w:r>
          </w:p>
        </w:tc>
        <w:tc>
          <w:tcPr>
            <w:tcW w:w="2011" w:type="pct"/>
            <w:tcBorders>
              <w:tl2br w:val="nil"/>
              <w:tr2bl w:val="nil"/>
            </w:tcBorders>
            <w:vAlign w:val="center"/>
          </w:tcPr>
          <w:p w14:paraId="1D03A917">
            <w:pPr>
              <w:keepNext w:val="0"/>
              <w:keepLines w:val="0"/>
              <w:widowControl/>
              <w:suppressLineNumbers w:val="0"/>
              <w:spacing w:before="0" w:beforeAutospacing="0" w:after="0" w:afterAutospacing="0"/>
              <w:ind w:left="0" w:right="0"/>
              <w:jc w:val="center"/>
              <w:rPr>
                <w:rFonts w:hint="default" w:ascii="Times New Roman" w:hAnsi="Times New Roman" w:eastAsia="宋体" w:cs="Times New Roman"/>
                <w:color w:val="000000"/>
                <w:kern w:val="0"/>
                <w:sz w:val="18"/>
                <w:szCs w:val="18"/>
                <w:highlight w:val="none"/>
                <w:lang w:val="en-US" w:eastAsia="zh-CN" w:bidi="ar-SA"/>
              </w:rPr>
            </w:pPr>
          </w:p>
        </w:tc>
        <w:tc>
          <w:tcPr>
            <w:tcW w:w="810" w:type="pct"/>
            <w:tcBorders>
              <w:tl2br w:val="nil"/>
              <w:tr2bl w:val="nil"/>
            </w:tcBorders>
            <w:vAlign w:val="center"/>
          </w:tcPr>
          <w:p w14:paraId="0E916BA0">
            <w:pPr>
              <w:keepNext w:val="0"/>
              <w:keepLines w:val="0"/>
              <w:widowControl/>
              <w:suppressLineNumbers w:val="0"/>
              <w:spacing w:before="0" w:beforeAutospacing="0" w:after="0" w:afterAutospacing="0"/>
              <w:ind w:left="0" w:right="0"/>
              <w:jc w:val="center"/>
              <w:rPr>
                <w:rFonts w:hint="default" w:ascii="Times New Roman" w:hAnsi="Times New Roman" w:eastAsia="宋体" w:cs="Times New Roman"/>
                <w:color w:val="000000"/>
                <w:kern w:val="0"/>
                <w:sz w:val="18"/>
                <w:szCs w:val="18"/>
                <w:highlight w:val="none"/>
                <w:lang w:val="en-US" w:eastAsia="zh-CN" w:bidi="ar-SA"/>
              </w:rPr>
            </w:pPr>
            <w:r>
              <w:rPr>
                <w:rFonts w:hint="eastAsia"/>
                <w:color w:val="000000"/>
                <w:kern w:val="0"/>
                <w:sz w:val="18"/>
                <w:szCs w:val="18"/>
                <w:highlight w:val="none"/>
              </w:rPr>
              <w:t>法定代表人</w:t>
            </w:r>
          </w:p>
        </w:tc>
        <w:tc>
          <w:tcPr>
            <w:tcW w:w="1152" w:type="pct"/>
            <w:tcBorders>
              <w:tl2br w:val="nil"/>
              <w:tr2bl w:val="nil"/>
            </w:tcBorders>
            <w:vAlign w:val="center"/>
          </w:tcPr>
          <w:p w14:paraId="2E3B8EF2">
            <w:pPr>
              <w:keepNext w:val="0"/>
              <w:keepLines w:val="0"/>
              <w:widowControl/>
              <w:suppressLineNumbers w:val="0"/>
              <w:spacing w:before="0" w:beforeAutospacing="0" w:after="0" w:afterAutospacing="0"/>
              <w:ind w:left="0" w:right="0"/>
              <w:jc w:val="center"/>
              <w:rPr>
                <w:rFonts w:hint="default" w:ascii="Times New Roman" w:hAnsi="Times New Roman" w:eastAsia="宋体" w:cs="Times New Roman"/>
                <w:color w:val="000000"/>
                <w:kern w:val="0"/>
                <w:sz w:val="18"/>
                <w:szCs w:val="18"/>
                <w:highlight w:val="none"/>
                <w:lang w:val="en-US" w:eastAsia="zh-CN" w:bidi="ar-SA"/>
              </w:rPr>
            </w:pPr>
          </w:p>
        </w:tc>
      </w:tr>
      <w:tr w14:paraId="5FFC7C5D">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cantSplit/>
          <w:trHeight w:val="499" w:hRule="atLeast"/>
          <w:jc w:val="center"/>
        </w:trPr>
        <w:tc>
          <w:tcPr>
            <w:tcW w:w="1025" w:type="pct"/>
            <w:tcBorders>
              <w:tl2br w:val="nil"/>
              <w:tr2bl w:val="nil"/>
            </w:tcBorders>
            <w:vAlign w:val="center"/>
          </w:tcPr>
          <w:p w14:paraId="35152B92">
            <w:pPr>
              <w:keepNext w:val="0"/>
              <w:keepLines w:val="0"/>
              <w:widowControl/>
              <w:suppressLineNumbers w:val="0"/>
              <w:spacing w:before="0" w:beforeAutospacing="0" w:after="0" w:afterAutospacing="0"/>
              <w:ind w:left="0" w:right="0"/>
              <w:jc w:val="center"/>
              <w:rPr>
                <w:rFonts w:hint="eastAsia" w:ascii="Times New Roman" w:hAnsi="Times New Roman" w:eastAsia="宋体" w:cs="Times New Roman"/>
                <w:color w:val="000000"/>
                <w:kern w:val="0"/>
                <w:sz w:val="18"/>
                <w:szCs w:val="18"/>
                <w:highlight w:val="none"/>
                <w:lang w:val="en-US" w:eastAsia="zh-CN" w:bidi="ar-SA"/>
              </w:rPr>
            </w:pPr>
            <w:r>
              <w:rPr>
                <w:rFonts w:hint="eastAsia"/>
                <w:color w:val="000000"/>
                <w:kern w:val="0"/>
                <w:sz w:val="18"/>
                <w:szCs w:val="18"/>
                <w:highlight w:val="none"/>
              </w:rPr>
              <w:t>成立日期</w:t>
            </w:r>
          </w:p>
        </w:tc>
        <w:tc>
          <w:tcPr>
            <w:tcW w:w="2011" w:type="pct"/>
            <w:tcBorders>
              <w:tl2br w:val="nil"/>
              <w:tr2bl w:val="nil"/>
            </w:tcBorders>
            <w:vAlign w:val="center"/>
          </w:tcPr>
          <w:p w14:paraId="37D5AFF7">
            <w:pPr>
              <w:keepNext w:val="0"/>
              <w:keepLines w:val="0"/>
              <w:suppressLineNumbers w:val="0"/>
              <w:spacing w:before="0" w:beforeAutospacing="0" w:after="0" w:afterAutospacing="0"/>
              <w:ind w:left="0" w:right="0"/>
              <w:jc w:val="left"/>
              <w:rPr>
                <w:rFonts w:hint="default" w:ascii="Times New Roman" w:hAnsi="Times New Roman" w:eastAsia="宋体" w:cs="Times New Roman"/>
                <w:kern w:val="2"/>
                <w:sz w:val="18"/>
                <w:szCs w:val="18"/>
                <w:highlight w:val="none"/>
                <w:lang w:val="en-US" w:eastAsia="zh-CN" w:bidi="ar-SA"/>
              </w:rPr>
            </w:pPr>
          </w:p>
        </w:tc>
        <w:tc>
          <w:tcPr>
            <w:tcW w:w="810" w:type="pct"/>
            <w:tcBorders>
              <w:tl2br w:val="nil"/>
              <w:tr2bl w:val="nil"/>
            </w:tcBorders>
            <w:vAlign w:val="center"/>
          </w:tcPr>
          <w:p w14:paraId="070FCE70">
            <w:pPr>
              <w:keepNext w:val="0"/>
              <w:keepLines w:val="0"/>
              <w:widowControl/>
              <w:suppressLineNumbers w:val="0"/>
              <w:spacing w:before="0" w:beforeAutospacing="0" w:after="0" w:afterAutospacing="0"/>
              <w:ind w:left="0" w:right="0"/>
              <w:jc w:val="center"/>
              <w:rPr>
                <w:rFonts w:hint="default" w:ascii="Times New Roman" w:hAnsi="Times New Roman" w:eastAsia="宋体" w:cs="Times New Roman"/>
                <w:color w:val="000000"/>
                <w:kern w:val="0"/>
                <w:sz w:val="18"/>
                <w:szCs w:val="18"/>
                <w:highlight w:val="none"/>
                <w:lang w:val="en-US" w:eastAsia="zh-CN" w:bidi="ar-SA"/>
              </w:rPr>
            </w:pPr>
            <w:r>
              <w:rPr>
                <w:rFonts w:hint="eastAsia"/>
                <w:color w:val="000000"/>
                <w:kern w:val="0"/>
                <w:sz w:val="18"/>
                <w:szCs w:val="18"/>
                <w:highlight w:val="none"/>
              </w:rPr>
              <w:t>注册资本</w:t>
            </w:r>
          </w:p>
        </w:tc>
        <w:tc>
          <w:tcPr>
            <w:tcW w:w="1152" w:type="pct"/>
            <w:tcBorders>
              <w:tl2br w:val="nil"/>
              <w:tr2bl w:val="nil"/>
            </w:tcBorders>
            <w:vAlign w:val="center"/>
          </w:tcPr>
          <w:p w14:paraId="3534C780">
            <w:pPr>
              <w:keepNext w:val="0"/>
              <w:keepLines w:val="0"/>
              <w:widowControl/>
              <w:suppressLineNumbers w:val="0"/>
              <w:spacing w:before="0" w:beforeAutospacing="0" w:after="0" w:afterAutospacing="0"/>
              <w:ind w:left="0" w:right="0"/>
              <w:rPr>
                <w:rFonts w:hint="default" w:ascii="Times New Roman" w:hAnsi="Times New Roman" w:eastAsia="宋体" w:cs="Times New Roman"/>
                <w:color w:val="000000"/>
                <w:kern w:val="0"/>
                <w:sz w:val="18"/>
                <w:szCs w:val="18"/>
                <w:highlight w:val="none"/>
                <w:lang w:val="en-US" w:eastAsia="zh-CN" w:bidi="ar-SA"/>
              </w:rPr>
            </w:pPr>
          </w:p>
        </w:tc>
      </w:tr>
      <w:tr w14:paraId="2A4BFE45">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5000" w:type="pct"/>
            <w:gridSpan w:val="4"/>
            <w:tcBorders>
              <w:bottom w:val="single" w:color="000000" w:sz="12" w:space="0"/>
            </w:tcBorders>
            <w:vAlign w:val="center"/>
          </w:tcPr>
          <w:p w14:paraId="555C3A0A">
            <w:pPr>
              <w:keepNext w:val="0"/>
              <w:keepLines w:val="0"/>
              <w:widowControl/>
              <w:suppressLineNumbers w:val="0"/>
              <w:spacing w:before="0" w:beforeAutospacing="0" w:after="0" w:afterAutospacing="0"/>
              <w:ind w:left="0" w:right="0"/>
              <w:jc w:val="center"/>
              <w:rPr>
                <w:rFonts w:hint="default" w:ascii="Times New Roman" w:hAnsi="Times New Roman" w:eastAsia="宋体" w:cs="Times New Roman"/>
                <w:color w:val="000000"/>
                <w:kern w:val="0"/>
                <w:sz w:val="18"/>
                <w:szCs w:val="18"/>
                <w:highlight w:val="none"/>
                <w:lang w:val="en-US" w:eastAsia="zh-CN" w:bidi="ar-SA"/>
              </w:rPr>
            </w:pPr>
            <w:r>
              <w:rPr>
                <w:rFonts w:hint="eastAsia" w:ascii="黑体" w:hAnsi="黑体" w:eastAsia="黑体" w:cs="黑体"/>
                <w:color w:val="000000"/>
                <w:kern w:val="0"/>
                <w:sz w:val="18"/>
                <w:szCs w:val="18"/>
                <w:highlight w:val="none"/>
                <w:lang w:val="en-US" w:eastAsia="zh-CN"/>
              </w:rPr>
              <w:t>表C.2</w:t>
            </w:r>
            <w:r>
              <w:rPr>
                <w:rFonts w:hint="eastAsia" w:asciiTheme="minorEastAsia" w:hAnsiTheme="minorEastAsia" w:eastAsiaTheme="minorEastAsia" w:cstheme="minorEastAsia"/>
                <w:color w:val="000000"/>
                <w:kern w:val="0"/>
                <w:sz w:val="18"/>
                <w:szCs w:val="18"/>
                <w:highlight w:val="none"/>
                <w:lang w:val="en-US" w:eastAsia="zh-CN"/>
              </w:rPr>
              <w:t>（第2页/共2页）</w:t>
            </w:r>
          </w:p>
        </w:tc>
      </w:tr>
      <w:tr w14:paraId="1BDE54DF">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1025" w:type="pct"/>
            <w:tcBorders>
              <w:top w:val="single" w:color="000000" w:sz="12" w:space="0"/>
              <w:tl2br w:val="nil"/>
              <w:tr2bl w:val="nil"/>
            </w:tcBorders>
            <w:vAlign w:val="center"/>
          </w:tcPr>
          <w:p w14:paraId="0A935177">
            <w:pPr>
              <w:keepNext w:val="0"/>
              <w:keepLines w:val="0"/>
              <w:widowControl/>
              <w:suppressLineNumbers w:val="0"/>
              <w:spacing w:before="0" w:beforeAutospacing="0" w:after="0" w:afterAutospacing="0"/>
              <w:ind w:left="0" w:right="0"/>
              <w:jc w:val="center"/>
              <w:rPr>
                <w:rFonts w:hint="eastAsia" w:ascii="Times New Roman" w:hAnsi="Times New Roman" w:eastAsia="宋体" w:cs="Times New Roman"/>
                <w:color w:val="000000"/>
                <w:kern w:val="0"/>
                <w:sz w:val="18"/>
                <w:szCs w:val="18"/>
                <w:highlight w:val="none"/>
                <w:lang w:val="en-US" w:eastAsia="zh-CN" w:bidi="ar-SA"/>
              </w:rPr>
            </w:pPr>
            <w:r>
              <w:rPr>
                <w:rFonts w:hint="eastAsia"/>
                <w:color w:val="000000"/>
                <w:kern w:val="0"/>
                <w:sz w:val="18"/>
                <w:szCs w:val="18"/>
                <w:highlight w:val="none"/>
              </w:rPr>
              <w:t>联系人</w:t>
            </w:r>
          </w:p>
        </w:tc>
        <w:tc>
          <w:tcPr>
            <w:tcW w:w="2011" w:type="pct"/>
            <w:tcBorders>
              <w:top w:val="single" w:color="000000" w:sz="12" w:space="0"/>
              <w:tl2br w:val="nil"/>
              <w:tr2bl w:val="nil"/>
            </w:tcBorders>
            <w:vAlign w:val="center"/>
          </w:tcPr>
          <w:p w14:paraId="2C49A615">
            <w:pPr>
              <w:keepNext w:val="0"/>
              <w:keepLines w:val="0"/>
              <w:widowControl/>
              <w:suppressLineNumbers w:val="0"/>
              <w:spacing w:before="0" w:beforeAutospacing="0" w:after="0" w:afterAutospacing="0"/>
              <w:ind w:left="0" w:right="0"/>
              <w:jc w:val="left"/>
              <w:rPr>
                <w:rFonts w:hint="default" w:ascii="Times New Roman" w:hAnsi="Times New Roman" w:eastAsia="宋体" w:cs="Times New Roman"/>
                <w:color w:val="000000"/>
                <w:kern w:val="0"/>
                <w:sz w:val="18"/>
                <w:szCs w:val="18"/>
                <w:highlight w:val="none"/>
                <w:lang w:val="en-US" w:eastAsia="zh-CN" w:bidi="ar-SA"/>
              </w:rPr>
            </w:pPr>
          </w:p>
        </w:tc>
        <w:tc>
          <w:tcPr>
            <w:tcW w:w="810" w:type="pct"/>
            <w:tcBorders>
              <w:top w:val="single" w:color="000000" w:sz="12" w:space="0"/>
              <w:tl2br w:val="nil"/>
              <w:tr2bl w:val="nil"/>
            </w:tcBorders>
            <w:vAlign w:val="center"/>
          </w:tcPr>
          <w:p w14:paraId="0C396B8D">
            <w:pPr>
              <w:keepNext w:val="0"/>
              <w:keepLines w:val="0"/>
              <w:widowControl/>
              <w:suppressLineNumbers w:val="0"/>
              <w:spacing w:before="0" w:beforeAutospacing="0" w:after="0" w:afterAutospacing="0"/>
              <w:ind w:left="0" w:right="0"/>
              <w:jc w:val="center"/>
              <w:rPr>
                <w:rFonts w:hint="eastAsia" w:ascii="Times New Roman" w:hAnsi="Times New Roman" w:eastAsia="宋体" w:cs="Times New Roman"/>
                <w:color w:val="000000"/>
                <w:kern w:val="0"/>
                <w:sz w:val="18"/>
                <w:szCs w:val="18"/>
                <w:highlight w:val="none"/>
                <w:lang w:val="en-US" w:eastAsia="zh-CN" w:bidi="ar-SA"/>
              </w:rPr>
            </w:pPr>
            <w:r>
              <w:rPr>
                <w:rFonts w:hint="eastAsia"/>
                <w:color w:val="000000"/>
                <w:kern w:val="0"/>
                <w:sz w:val="18"/>
                <w:szCs w:val="18"/>
                <w:highlight w:val="none"/>
              </w:rPr>
              <w:t>联系电话</w:t>
            </w:r>
          </w:p>
        </w:tc>
        <w:tc>
          <w:tcPr>
            <w:tcW w:w="1152" w:type="pct"/>
            <w:tcBorders>
              <w:top w:val="single" w:color="000000" w:sz="12" w:space="0"/>
              <w:tl2br w:val="nil"/>
              <w:tr2bl w:val="nil"/>
            </w:tcBorders>
            <w:vAlign w:val="center"/>
          </w:tcPr>
          <w:p w14:paraId="544958D2">
            <w:pPr>
              <w:keepNext w:val="0"/>
              <w:keepLines w:val="0"/>
              <w:widowControl/>
              <w:suppressLineNumbers w:val="0"/>
              <w:spacing w:before="0" w:beforeAutospacing="0" w:after="0" w:afterAutospacing="0"/>
              <w:ind w:left="0" w:right="0"/>
              <w:rPr>
                <w:rFonts w:hint="default" w:ascii="Times New Roman" w:hAnsi="Times New Roman" w:eastAsia="宋体" w:cs="Times New Roman"/>
                <w:color w:val="000000"/>
                <w:kern w:val="0"/>
                <w:sz w:val="18"/>
                <w:szCs w:val="18"/>
                <w:highlight w:val="none"/>
                <w:lang w:val="en-US" w:eastAsia="zh-CN" w:bidi="ar-SA"/>
              </w:rPr>
            </w:pPr>
          </w:p>
        </w:tc>
      </w:tr>
      <w:tr w14:paraId="78AB5764">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1025" w:type="pct"/>
            <w:tcBorders>
              <w:tl2br w:val="nil"/>
              <w:tr2bl w:val="nil"/>
            </w:tcBorders>
            <w:vAlign w:val="center"/>
          </w:tcPr>
          <w:p w14:paraId="7AE602CA">
            <w:pPr>
              <w:keepNext w:val="0"/>
              <w:keepLines w:val="0"/>
              <w:widowControl/>
              <w:suppressLineNumbers w:val="0"/>
              <w:spacing w:before="0" w:beforeAutospacing="0" w:after="0" w:afterAutospacing="0"/>
              <w:ind w:left="0" w:right="0"/>
              <w:jc w:val="center"/>
              <w:rPr>
                <w:rFonts w:hint="default" w:eastAsia="宋体"/>
                <w:color w:val="000000"/>
                <w:kern w:val="0"/>
                <w:sz w:val="18"/>
                <w:szCs w:val="18"/>
                <w:highlight w:val="none"/>
                <w:lang w:val="en-US" w:eastAsia="zh-CN"/>
              </w:rPr>
            </w:pPr>
            <w:r>
              <w:rPr>
                <w:rFonts w:hint="eastAsia"/>
                <w:color w:val="000000"/>
                <w:kern w:val="0"/>
                <w:sz w:val="18"/>
                <w:szCs w:val="18"/>
                <w:highlight w:val="none"/>
              </w:rPr>
              <w:t>所属行业</w:t>
            </w:r>
            <w:r>
              <w:rPr>
                <w:rFonts w:hint="eastAsia"/>
                <w:color w:val="000000"/>
                <w:kern w:val="0"/>
                <w:sz w:val="18"/>
                <w:szCs w:val="18"/>
                <w:highlight w:val="none"/>
                <w:lang w:val="en-US" w:eastAsia="zh-CN"/>
              </w:rPr>
              <w:t>及代码</w:t>
            </w:r>
            <w:r>
              <w:rPr>
                <w:rFonts w:hint="eastAsia" w:ascii="宋体" w:hAnsi="宋体" w:eastAsia="宋体" w:cs="宋体"/>
                <w:color w:val="000000"/>
                <w:kern w:val="0"/>
                <w:sz w:val="18"/>
                <w:szCs w:val="18"/>
                <w:highlight w:val="none"/>
                <w:vertAlign w:val="superscript"/>
                <w:lang w:val="en-US" w:eastAsia="zh-CN"/>
              </w:rPr>
              <w:t>a</w:t>
            </w:r>
          </w:p>
        </w:tc>
        <w:tc>
          <w:tcPr>
            <w:tcW w:w="3974" w:type="pct"/>
            <w:gridSpan w:val="3"/>
            <w:tcBorders>
              <w:tl2br w:val="nil"/>
              <w:tr2bl w:val="nil"/>
            </w:tcBorders>
            <w:vAlign w:val="center"/>
          </w:tcPr>
          <w:p w14:paraId="76BED098">
            <w:pPr>
              <w:keepNext w:val="0"/>
              <w:keepLines w:val="0"/>
              <w:widowControl/>
              <w:suppressLineNumbers w:val="0"/>
              <w:spacing w:before="0" w:beforeAutospacing="0" w:after="0" w:afterAutospacing="0"/>
              <w:ind w:left="0" w:right="0"/>
              <w:rPr>
                <w:rFonts w:hint="default"/>
                <w:color w:val="000000"/>
                <w:kern w:val="0"/>
                <w:sz w:val="18"/>
                <w:szCs w:val="18"/>
                <w:highlight w:val="none"/>
              </w:rPr>
            </w:pPr>
          </w:p>
        </w:tc>
      </w:tr>
      <w:tr w14:paraId="57108DAE">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cantSplit/>
          <w:trHeight w:val="2674" w:hRule="atLeast"/>
          <w:jc w:val="center"/>
        </w:trPr>
        <w:tc>
          <w:tcPr>
            <w:tcW w:w="5000" w:type="pct"/>
            <w:gridSpan w:val="4"/>
            <w:tcBorders>
              <w:bottom w:val="single" w:color="000000" w:sz="12" w:space="0"/>
              <w:tl2br w:val="nil"/>
              <w:tr2bl w:val="nil"/>
            </w:tcBorders>
            <w:vAlign w:val="center"/>
          </w:tcPr>
          <w:p w14:paraId="39312CEB">
            <w:pPr>
              <w:keepNext w:val="0"/>
              <w:keepLines w:val="0"/>
              <w:widowControl/>
              <w:suppressLineNumbers w:val="0"/>
              <w:spacing w:before="0" w:beforeAutospacing="0" w:after="0" w:afterAutospacing="0"/>
              <w:ind w:left="0" w:right="0"/>
              <w:rPr>
                <w:rFonts w:hint="default"/>
                <w:b/>
                <w:kern w:val="0"/>
                <w:sz w:val="18"/>
                <w:szCs w:val="18"/>
                <w:highlight w:val="none"/>
              </w:rPr>
            </w:pPr>
            <w:r>
              <w:rPr>
                <w:rFonts w:hint="eastAsia"/>
                <w:b/>
                <w:kern w:val="0"/>
                <w:sz w:val="18"/>
                <w:szCs w:val="18"/>
                <w:highlight w:val="none"/>
              </w:rPr>
              <w:t>材料真实性承诺</w:t>
            </w:r>
            <w:r>
              <w:rPr>
                <w:rFonts w:hint="eastAsia"/>
                <w:b/>
                <w:kern w:val="0"/>
                <w:sz w:val="18"/>
                <w:szCs w:val="18"/>
                <w:highlight w:val="none"/>
                <w:lang w:eastAsia="zh-CN"/>
              </w:rPr>
              <w:t>：</w:t>
            </w:r>
          </w:p>
          <w:p w14:paraId="0F414CE1">
            <w:pPr>
              <w:keepNext w:val="0"/>
              <w:keepLines w:val="0"/>
              <w:widowControl/>
              <w:suppressLineNumbers w:val="0"/>
              <w:spacing w:before="0" w:beforeAutospacing="0" w:after="0" w:afterAutospacing="0"/>
              <w:ind w:left="0" w:right="0" w:firstLine="372" w:firstLineChars="207"/>
              <w:rPr>
                <w:rFonts w:hint="default"/>
                <w:kern w:val="0"/>
                <w:sz w:val="18"/>
                <w:szCs w:val="18"/>
                <w:highlight w:val="none"/>
              </w:rPr>
            </w:pPr>
          </w:p>
          <w:p w14:paraId="2AB81180">
            <w:pPr>
              <w:keepNext w:val="0"/>
              <w:keepLines w:val="0"/>
              <w:widowControl/>
              <w:suppressLineNumbers w:val="0"/>
              <w:spacing w:before="0" w:beforeAutospacing="0" w:after="0" w:afterAutospacing="0"/>
              <w:ind w:left="0" w:right="0" w:firstLine="372" w:firstLineChars="207"/>
              <w:rPr>
                <w:rFonts w:hint="default"/>
                <w:kern w:val="0"/>
                <w:sz w:val="18"/>
                <w:szCs w:val="18"/>
                <w:highlight w:val="none"/>
              </w:rPr>
            </w:pPr>
          </w:p>
          <w:p w14:paraId="5CA594A6">
            <w:pPr>
              <w:keepNext w:val="0"/>
              <w:keepLines w:val="0"/>
              <w:widowControl/>
              <w:suppressLineNumbers w:val="0"/>
              <w:spacing w:before="0" w:beforeAutospacing="0" w:after="0" w:afterAutospacing="0"/>
              <w:ind w:left="0" w:right="0" w:firstLine="372" w:firstLineChars="207"/>
              <w:rPr>
                <w:rFonts w:hint="default"/>
                <w:kern w:val="0"/>
                <w:sz w:val="18"/>
                <w:szCs w:val="18"/>
                <w:highlight w:val="none"/>
              </w:rPr>
            </w:pPr>
          </w:p>
          <w:p w14:paraId="090C7D97">
            <w:pPr>
              <w:pStyle w:val="12"/>
              <w:keepNext w:val="0"/>
              <w:keepLines w:val="0"/>
              <w:suppressLineNumbers w:val="0"/>
              <w:spacing w:before="0" w:beforeAutospacing="0" w:after="0" w:afterAutospacing="0"/>
              <w:ind w:left="0" w:right="0"/>
              <w:rPr>
                <w:rFonts w:hint="default"/>
                <w:highlight w:val="none"/>
              </w:rPr>
            </w:pPr>
          </w:p>
          <w:p w14:paraId="4DB4ABA3">
            <w:pPr>
              <w:keepNext w:val="0"/>
              <w:keepLines w:val="0"/>
              <w:widowControl/>
              <w:suppressLineNumbers w:val="0"/>
              <w:spacing w:before="0" w:beforeAutospacing="0" w:after="0" w:afterAutospacing="0"/>
              <w:ind w:left="0" w:right="0" w:firstLine="372" w:firstLineChars="207"/>
              <w:rPr>
                <w:rFonts w:hint="default"/>
                <w:kern w:val="0"/>
                <w:sz w:val="18"/>
                <w:szCs w:val="18"/>
                <w:highlight w:val="none"/>
              </w:rPr>
            </w:pPr>
            <w:r>
              <w:rPr>
                <w:rFonts w:hint="eastAsia"/>
                <w:kern w:val="0"/>
                <w:sz w:val="18"/>
                <w:szCs w:val="18"/>
                <w:highlight w:val="none"/>
              </w:rPr>
              <w:t>我单位郑重承诺：本次申报绿色</w:t>
            </w:r>
            <w:r>
              <w:rPr>
                <w:rFonts w:hint="eastAsia"/>
                <w:kern w:val="0"/>
                <w:sz w:val="18"/>
                <w:szCs w:val="18"/>
                <w:highlight w:val="none"/>
                <w:lang w:val="en-US" w:eastAsia="zh-CN"/>
              </w:rPr>
              <w:t>低碳</w:t>
            </w:r>
            <w:r>
              <w:rPr>
                <w:rFonts w:hint="eastAsia"/>
                <w:kern w:val="0"/>
                <w:sz w:val="18"/>
                <w:szCs w:val="18"/>
                <w:highlight w:val="none"/>
              </w:rPr>
              <w:t>产业</w:t>
            </w:r>
            <w:r>
              <w:rPr>
                <w:rFonts w:hint="eastAsia"/>
                <w:kern w:val="0"/>
                <w:sz w:val="18"/>
                <w:szCs w:val="18"/>
                <w:highlight w:val="none"/>
                <w:lang w:val="en-US" w:eastAsia="zh-CN"/>
              </w:rPr>
              <w:t>企业</w:t>
            </w:r>
            <w:r>
              <w:rPr>
                <w:rFonts w:hint="eastAsia"/>
                <w:kern w:val="0"/>
                <w:sz w:val="18"/>
                <w:szCs w:val="18"/>
                <w:highlight w:val="none"/>
              </w:rPr>
              <w:t>认定所提交的相关数据和信息均真实、有效，愿接受并积极配合主管部门的跟踪抽查。如有违反，愿承担由此产生的相应责任。</w:t>
            </w:r>
          </w:p>
          <w:p w14:paraId="55587C52">
            <w:pPr>
              <w:keepNext w:val="0"/>
              <w:keepLines w:val="0"/>
              <w:widowControl/>
              <w:suppressLineNumbers w:val="0"/>
              <w:spacing w:before="0" w:beforeAutospacing="0" w:after="0" w:afterAutospacing="0"/>
              <w:ind w:left="0" w:right="0" w:firstLine="372" w:firstLineChars="207"/>
              <w:rPr>
                <w:rFonts w:hint="default"/>
                <w:kern w:val="0"/>
                <w:sz w:val="18"/>
                <w:szCs w:val="18"/>
                <w:highlight w:val="none"/>
              </w:rPr>
            </w:pPr>
          </w:p>
          <w:p w14:paraId="37559EAC">
            <w:pPr>
              <w:keepNext w:val="0"/>
              <w:keepLines w:val="0"/>
              <w:widowControl/>
              <w:suppressLineNumbers w:val="0"/>
              <w:spacing w:before="0" w:beforeAutospacing="0" w:after="0" w:afterAutospacing="0"/>
              <w:ind w:left="0" w:right="0" w:firstLine="372" w:firstLineChars="207"/>
              <w:rPr>
                <w:rFonts w:hint="default"/>
                <w:kern w:val="0"/>
                <w:sz w:val="18"/>
                <w:szCs w:val="18"/>
                <w:highlight w:val="none"/>
              </w:rPr>
            </w:pPr>
          </w:p>
          <w:p w14:paraId="0F7772E3">
            <w:pPr>
              <w:keepNext w:val="0"/>
              <w:keepLines w:val="0"/>
              <w:widowControl/>
              <w:suppressLineNumbers w:val="0"/>
              <w:spacing w:before="0" w:beforeAutospacing="0" w:after="0" w:afterAutospacing="0"/>
              <w:ind w:left="0" w:right="0" w:firstLine="372" w:firstLineChars="207"/>
              <w:rPr>
                <w:rFonts w:hint="default"/>
                <w:kern w:val="0"/>
                <w:sz w:val="18"/>
                <w:szCs w:val="18"/>
                <w:highlight w:val="none"/>
              </w:rPr>
            </w:pPr>
          </w:p>
          <w:p w14:paraId="477A562C">
            <w:pPr>
              <w:keepNext w:val="0"/>
              <w:keepLines w:val="0"/>
              <w:widowControl/>
              <w:suppressLineNumbers w:val="0"/>
              <w:wordWrap w:val="0"/>
              <w:spacing w:before="0" w:beforeAutospacing="0" w:after="0" w:afterAutospacing="0"/>
              <w:ind w:left="0" w:right="0"/>
              <w:jc w:val="center"/>
              <w:rPr>
                <w:rFonts w:hint="default"/>
                <w:b/>
                <w:kern w:val="0"/>
                <w:sz w:val="18"/>
                <w:szCs w:val="18"/>
                <w:highlight w:val="none"/>
              </w:rPr>
            </w:pPr>
            <w:r>
              <w:rPr>
                <w:rFonts w:hint="eastAsia"/>
                <w:b/>
                <w:kern w:val="0"/>
                <w:sz w:val="18"/>
                <w:szCs w:val="18"/>
                <w:highlight w:val="none"/>
              </w:rPr>
              <w:t xml:space="preserve">                           </w:t>
            </w:r>
            <w:r>
              <w:rPr>
                <w:rFonts w:hint="eastAsia"/>
                <w:b/>
                <w:kern w:val="0"/>
                <w:sz w:val="18"/>
                <w:szCs w:val="18"/>
                <w:highlight w:val="none"/>
                <w:lang w:val="en-US" w:eastAsia="zh-CN"/>
              </w:rPr>
              <w:t xml:space="preserve">                     </w:t>
            </w:r>
            <w:r>
              <w:rPr>
                <w:rFonts w:hint="eastAsia"/>
                <w:b/>
                <w:kern w:val="0"/>
                <w:sz w:val="18"/>
                <w:szCs w:val="18"/>
                <w:highlight w:val="none"/>
              </w:rPr>
              <w:t xml:space="preserve">法人或单位负责人签字：          </w:t>
            </w:r>
          </w:p>
          <w:p w14:paraId="5D4A7E67">
            <w:pPr>
              <w:keepNext w:val="0"/>
              <w:keepLines w:val="0"/>
              <w:widowControl/>
              <w:suppressLineNumbers w:val="0"/>
              <w:spacing w:before="0" w:beforeAutospacing="0" w:after="0" w:afterAutospacing="0"/>
              <w:ind w:left="0" w:right="0"/>
              <w:rPr>
                <w:rFonts w:hint="eastAsia"/>
                <w:b/>
                <w:kern w:val="0"/>
                <w:sz w:val="18"/>
                <w:szCs w:val="18"/>
                <w:highlight w:val="none"/>
              </w:rPr>
            </w:pPr>
            <w:r>
              <w:rPr>
                <w:rFonts w:hint="eastAsia"/>
                <w:b/>
                <w:kern w:val="0"/>
                <w:sz w:val="18"/>
                <w:szCs w:val="18"/>
                <w:highlight w:val="none"/>
              </w:rPr>
              <w:t xml:space="preserve">                                         </w:t>
            </w:r>
            <w:r>
              <w:rPr>
                <w:rFonts w:hint="eastAsia"/>
                <w:b/>
                <w:kern w:val="0"/>
                <w:sz w:val="18"/>
                <w:szCs w:val="18"/>
                <w:highlight w:val="none"/>
                <w:lang w:val="en-US" w:eastAsia="zh-CN"/>
              </w:rPr>
              <w:t xml:space="preserve">             </w:t>
            </w:r>
            <w:r>
              <w:rPr>
                <w:rFonts w:hint="eastAsia"/>
                <w:b/>
                <w:kern w:val="0"/>
                <w:sz w:val="18"/>
                <w:szCs w:val="18"/>
                <w:highlight w:val="none"/>
              </w:rPr>
              <w:t xml:space="preserve">   </w:t>
            </w:r>
            <w:r>
              <w:rPr>
                <w:rFonts w:hint="eastAsia"/>
                <w:b/>
                <w:kern w:val="0"/>
                <w:sz w:val="18"/>
                <w:szCs w:val="18"/>
                <w:highlight w:val="none"/>
                <w:lang w:val="en-US" w:eastAsia="zh-CN"/>
              </w:rPr>
              <w:t xml:space="preserve">           </w:t>
            </w:r>
            <w:r>
              <w:rPr>
                <w:rFonts w:hint="eastAsia"/>
                <w:b/>
                <w:kern w:val="0"/>
                <w:sz w:val="18"/>
                <w:szCs w:val="18"/>
                <w:highlight w:val="none"/>
              </w:rPr>
              <w:t>（公章）</w:t>
            </w:r>
          </w:p>
          <w:p w14:paraId="10D76F23">
            <w:pPr>
              <w:keepNext w:val="0"/>
              <w:keepLines w:val="0"/>
              <w:widowControl/>
              <w:suppressLineNumbers w:val="0"/>
              <w:wordWrap w:val="0"/>
              <w:spacing w:before="0" w:beforeAutospacing="0" w:after="0" w:afterAutospacing="0"/>
              <w:ind w:left="0" w:right="0"/>
              <w:jc w:val="center"/>
              <w:rPr>
                <w:rFonts w:hint="eastAsia"/>
                <w:b/>
                <w:kern w:val="0"/>
                <w:sz w:val="18"/>
                <w:szCs w:val="18"/>
                <w:highlight w:val="none"/>
              </w:rPr>
            </w:pPr>
            <w:r>
              <w:rPr>
                <w:rFonts w:hint="eastAsia"/>
                <w:b/>
                <w:kern w:val="0"/>
                <w:sz w:val="18"/>
                <w:szCs w:val="18"/>
                <w:highlight w:val="none"/>
              </w:rPr>
              <w:t xml:space="preserve">                           日期：     </w:t>
            </w:r>
          </w:p>
          <w:p w14:paraId="1AA9268C">
            <w:pPr>
              <w:keepNext w:val="0"/>
              <w:keepLines w:val="0"/>
              <w:widowControl/>
              <w:suppressLineNumbers w:val="0"/>
              <w:wordWrap w:val="0"/>
              <w:spacing w:before="0" w:beforeAutospacing="0" w:after="0" w:afterAutospacing="0"/>
              <w:ind w:left="0" w:right="0"/>
              <w:jc w:val="center"/>
              <w:rPr>
                <w:rFonts w:hint="eastAsia"/>
                <w:b/>
                <w:kern w:val="0"/>
                <w:sz w:val="18"/>
                <w:szCs w:val="18"/>
                <w:highlight w:val="none"/>
              </w:rPr>
            </w:pPr>
          </w:p>
          <w:p w14:paraId="6B39B3E9">
            <w:pPr>
              <w:keepNext w:val="0"/>
              <w:keepLines w:val="0"/>
              <w:widowControl/>
              <w:suppressLineNumbers w:val="0"/>
              <w:wordWrap w:val="0"/>
              <w:spacing w:before="0" w:beforeAutospacing="0" w:after="0" w:afterAutospacing="0"/>
              <w:ind w:left="0" w:right="0"/>
              <w:jc w:val="center"/>
              <w:rPr>
                <w:rFonts w:hint="default"/>
                <w:b/>
                <w:kern w:val="0"/>
                <w:sz w:val="18"/>
                <w:szCs w:val="18"/>
                <w:highlight w:val="none"/>
              </w:rPr>
            </w:pPr>
            <w:r>
              <w:rPr>
                <w:rFonts w:hint="eastAsia"/>
                <w:b/>
                <w:kern w:val="0"/>
                <w:sz w:val="18"/>
                <w:szCs w:val="18"/>
                <w:highlight w:val="none"/>
              </w:rPr>
              <w:t xml:space="preserve">      </w:t>
            </w:r>
          </w:p>
        </w:tc>
      </w:tr>
      <w:tr w14:paraId="27449E96">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cantSplit/>
          <w:trHeight w:val="90" w:hRule="atLeast"/>
          <w:jc w:val="center"/>
        </w:trPr>
        <w:tc>
          <w:tcPr>
            <w:tcW w:w="5000" w:type="pct"/>
            <w:gridSpan w:val="4"/>
            <w:tcBorders>
              <w:top w:val="single" w:color="000000" w:sz="12" w:space="0"/>
            </w:tcBorders>
            <w:vAlign w:val="center"/>
          </w:tcPr>
          <w:p w14:paraId="7B407139">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ind w:left="0" w:right="0" w:firstLine="360" w:firstLineChars="200"/>
              <w:jc w:val="left"/>
              <w:textAlignment w:val="auto"/>
              <w:rPr>
                <w:rFonts w:hint="default" w:eastAsia="宋体"/>
                <w:b/>
                <w:kern w:val="0"/>
                <w:sz w:val="18"/>
                <w:szCs w:val="18"/>
                <w:highlight w:val="none"/>
                <w:lang w:val="en-US" w:eastAsia="zh-CN"/>
              </w:rPr>
            </w:pPr>
            <w:r>
              <w:rPr>
                <w:rFonts w:hint="eastAsia" w:ascii="宋体" w:hAnsi="宋体" w:eastAsia="宋体" w:cs="宋体"/>
                <w:b w:val="0"/>
                <w:bCs/>
                <w:kern w:val="0"/>
                <w:sz w:val="18"/>
                <w:szCs w:val="18"/>
                <w:highlight w:val="none"/>
                <w:vertAlign w:val="superscript"/>
                <w:lang w:val="en-US" w:eastAsia="zh-CN"/>
              </w:rPr>
              <w:t>a</w:t>
            </w:r>
            <w:r>
              <w:rPr>
                <w:rFonts w:hint="eastAsia" w:ascii="宋体" w:hAnsi="宋体" w:eastAsia="宋体" w:cs="宋体"/>
                <w:b w:val="0"/>
                <w:bCs/>
                <w:kern w:val="0"/>
                <w:sz w:val="18"/>
                <w:szCs w:val="18"/>
                <w:highlight w:val="none"/>
                <w:lang w:val="en-US" w:eastAsia="zh-CN"/>
              </w:rPr>
              <w:t xml:space="preserve">  行业类别参照相关政府职能部门发布的绿色低碳产业相关指导目录的第三级分类进行填报。</w:t>
            </w:r>
          </w:p>
        </w:tc>
      </w:tr>
    </w:tbl>
    <w:p w14:paraId="625EC907">
      <w:pPr>
        <w:pStyle w:val="92"/>
        <w:numPr>
          <w:ilvl w:val="1"/>
          <w:numId w:val="0"/>
        </w:numPr>
        <w:spacing w:before="156" w:after="156"/>
        <w:jc w:val="both"/>
        <w:rPr>
          <w:rFonts w:hAnsi="黑体" w:cs="黑体"/>
          <w:highlight w:val="none"/>
        </w:rPr>
      </w:pPr>
      <w:r>
        <w:rPr>
          <w:rFonts w:hint="eastAsia" w:hAnsi="黑体" w:cs="黑体"/>
          <w:highlight w:val="none"/>
          <w:lang w:val="en-US" w:eastAsia="zh-CN"/>
        </w:rPr>
        <w:t>C.3  基本情况概述</w:t>
      </w:r>
    </w:p>
    <w:p w14:paraId="6EBA8053">
      <w:pPr>
        <w:pStyle w:val="26"/>
        <w:rPr>
          <w:rFonts w:ascii="Times New Roman" w:eastAsia="Times New Roman"/>
          <w:szCs w:val="24"/>
          <w:highlight w:val="none"/>
        </w:rPr>
      </w:pPr>
      <w:r>
        <w:rPr>
          <w:rFonts w:hint="eastAsia" w:ascii="Times New Roman"/>
          <w:szCs w:val="24"/>
          <w:highlight w:val="none"/>
        </w:rPr>
        <w:t>概述企事业单位的</w:t>
      </w:r>
      <w:r>
        <w:rPr>
          <w:rFonts w:hint="eastAsia" w:ascii="Times New Roman"/>
          <w:szCs w:val="24"/>
          <w:highlight w:val="none"/>
          <w:lang w:val="en-US" w:eastAsia="zh-CN"/>
        </w:rPr>
        <w:t>经营范围、申请认定评价的绿色业务经营情况、在绿色发展方面开展的重点工作及取得的成效等。</w:t>
      </w:r>
    </w:p>
    <w:p w14:paraId="6DE099DF">
      <w:pPr>
        <w:pStyle w:val="92"/>
        <w:numPr>
          <w:ilvl w:val="1"/>
          <w:numId w:val="0"/>
        </w:numPr>
        <w:spacing w:before="156" w:after="156"/>
        <w:jc w:val="both"/>
        <w:rPr>
          <w:rFonts w:hint="default" w:hAnsi="黑体" w:cs="黑体"/>
          <w:highlight w:val="none"/>
          <w:lang w:val="en-US"/>
        </w:rPr>
      </w:pPr>
      <w:r>
        <w:rPr>
          <w:rFonts w:hint="eastAsia" w:hAnsi="黑体" w:cs="黑体"/>
          <w:highlight w:val="none"/>
          <w:lang w:val="en-US" w:eastAsia="zh-CN"/>
        </w:rPr>
        <w:t>C.4  评价工作概述</w:t>
      </w:r>
    </w:p>
    <w:p w14:paraId="3B6423D8">
      <w:pPr>
        <w:pStyle w:val="26"/>
        <w:rPr>
          <w:rFonts w:ascii="Times New Roman" w:eastAsia="Times New Roman"/>
          <w:szCs w:val="24"/>
          <w:highlight w:val="none"/>
        </w:rPr>
      </w:pPr>
      <w:r>
        <w:rPr>
          <w:rFonts w:hint="eastAsia" w:ascii="Times New Roman"/>
          <w:szCs w:val="24"/>
          <w:highlight w:val="none"/>
          <w:lang w:val="en-US" w:eastAsia="zh-CN"/>
        </w:rPr>
        <w:t>概述绿色低碳产业企业认定申报工作具体开展情况，包括但不限于工作组设立情况、收集资料类型、报告编制情况等。</w:t>
      </w:r>
      <w:r>
        <w:rPr>
          <w:rFonts w:hint="eastAsia" w:ascii="Times New Roman"/>
          <w:szCs w:val="24"/>
          <w:highlight w:val="none"/>
        </w:rPr>
        <w:t xml:space="preserve"> </w:t>
      </w:r>
    </w:p>
    <w:p w14:paraId="0D665629">
      <w:pPr>
        <w:pStyle w:val="92"/>
        <w:numPr>
          <w:ilvl w:val="1"/>
          <w:numId w:val="0"/>
        </w:numPr>
        <w:spacing w:before="156" w:after="156"/>
        <w:jc w:val="both"/>
        <w:rPr>
          <w:rFonts w:hint="default" w:ascii="Times New Roman" w:eastAsia="Times New Roman"/>
          <w:highlight w:val="none"/>
          <w:lang w:val="en-US"/>
        </w:rPr>
      </w:pPr>
      <w:r>
        <w:rPr>
          <w:rFonts w:hint="eastAsia" w:hAnsi="黑体" w:cs="黑体"/>
          <w:highlight w:val="none"/>
          <w:lang w:val="en-US" w:eastAsia="zh-CN"/>
        </w:rPr>
        <w:t>C.5  绿色低碳产业企业认定情况</w:t>
      </w:r>
    </w:p>
    <w:p w14:paraId="7BDC63BE">
      <w:pPr>
        <w:pStyle w:val="92"/>
        <w:numPr>
          <w:ilvl w:val="1"/>
          <w:numId w:val="0"/>
        </w:numPr>
        <w:spacing w:before="156" w:after="156"/>
        <w:jc w:val="both"/>
        <w:rPr>
          <w:rFonts w:hAnsi="黑体" w:cs="黑体"/>
          <w:highlight w:val="none"/>
        </w:rPr>
      </w:pPr>
      <w:r>
        <w:rPr>
          <w:rFonts w:hint="eastAsia" w:hAnsi="黑体" w:cs="黑体"/>
          <w:highlight w:val="none"/>
          <w:lang w:val="en-US" w:eastAsia="zh-CN"/>
        </w:rPr>
        <w:t>C.5.1  符合性评价</w:t>
      </w:r>
    </w:p>
    <w:p w14:paraId="58014A6E">
      <w:pPr>
        <w:pStyle w:val="26"/>
        <w:rPr>
          <w:rFonts w:hint="eastAsia" w:ascii="宋体" w:hAnsi="宋体" w:eastAsia="宋体" w:cs="宋体"/>
          <w:szCs w:val="24"/>
          <w:highlight w:val="none"/>
          <w:lang w:val="en-US" w:eastAsia="zh-CN"/>
        </w:rPr>
      </w:pPr>
      <w:r>
        <w:rPr>
          <w:rFonts w:hint="eastAsia" w:ascii="宋体" w:hAnsi="宋体" w:eastAsia="宋体" w:cs="宋体"/>
          <w:szCs w:val="24"/>
          <w:highlight w:val="none"/>
          <w:lang w:val="en-US" w:eastAsia="zh-CN"/>
        </w:rPr>
        <w:t>对以下内容进行具体描述：</w:t>
      </w:r>
    </w:p>
    <w:p w14:paraId="22120CCB">
      <w:pPr>
        <w:pStyle w:val="26"/>
        <w:ind w:left="840" w:leftChars="200" w:hanging="420" w:hangingChars="200"/>
        <w:rPr>
          <w:rFonts w:hint="eastAsia" w:ascii="宋体" w:hAnsi="宋体" w:eastAsia="宋体" w:cs="宋体"/>
          <w:szCs w:val="24"/>
          <w:highlight w:val="none"/>
          <w:lang w:eastAsia="zh-CN"/>
        </w:rPr>
      </w:pPr>
      <w:r>
        <w:rPr>
          <w:rFonts w:hint="eastAsia" w:ascii="宋体" w:hAnsi="宋体" w:eastAsia="宋体" w:cs="宋体"/>
          <w:szCs w:val="24"/>
          <w:highlight w:val="none"/>
          <w:lang w:val="en-US" w:eastAsia="zh-CN"/>
        </w:rPr>
        <w:t>——</w:t>
      </w:r>
      <w:r>
        <w:rPr>
          <w:rFonts w:hint="eastAsia" w:ascii="宋体" w:hAnsi="宋体" w:eastAsia="宋体" w:cs="宋体"/>
          <w:szCs w:val="24"/>
          <w:highlight w:val="none"/>
        </w:rPr>
        <w:t>目录符合</w:t>
      </w:r>
      <w:r>
        <w:rPr>
          <w:rFonts w:hint="eastAsia" w:ascii="宋体" w:hAnsi="宋体" w:eastAsia="宋体" w:cs="宋体"/>
          <w:szCs w:val="24"/>
          <w:highlight w:val="none"/>
          <w:lang w:eastAsia="zh-CN"/>
        </w:rPr>
        <w:t>：</w:t>
      </w:r>
      <w:r>
        <w:rPr>
          <w:rFonts w:hint="eastAsia" w:ascii="宋体" w:hAnsi="宋体" w:eastAsia="宋体" w:cs="宋体"/>
          <w:szCs w:val="24"/>
          <w:highlight w:val="none"/>
        </w:rPr>
        <w:t>主要描述申报认定评价的</w:t>
      </w:r>
      <w:r>
        <w:rPr>
          <w:rFonts w:hint="eastAsia" w:ascii="宋体" w:hAnsi="宋体" w:eastAsia="宋体" w:cs="宋体"/>
          <w:szCs w:val="24"/>
          <w:highlight w:val="none"/>
          <w:lang w:val="en-US" w:eastAsia="zh-CN"/>
        </w:rPr>
        <w:t>绿色业务</w:t>
      </w:r>
      <w:r>
        <w:rPr>
          <w:rFonts w:hint="eastAsia" w:ascii="宋体" w:hAnsi="宋体" w:eastAsia="宋体" w:cs="宋体"/>
          <w:szCs w:val="24"/>
          <w:highlight w:val="none"/>
        </w:rPr>
        <w:t>属于</w:t>
      </w:r>
      <w:r>
        <w:rPr>
          <w:rFonts w:hint="eastAsia" w:hAnsi="宋体" w:cs="宋体"/>
          <w:szCs w:val="24"/>
          <w:highlight w:val="none"/>
          <w:lang w:val="en-US" w:eastAsia="zh-CN"/>
        </w:rPr>
        <w:t>温室气体控制</w:t>
      </w:r>
      <w:r>
        <w:rPr>
          <w:rFonts w:hint="eastAsia" w:ascii="宋体" w:hAnsi="宋体" w:eastAsia="宋体" w:cs="宋体"/>
          <w:szCs w:val="24"/>
          <w:highlight w:val="none"/>
          <w:lang w:val="en-US" w:eastAsia="zh-CN"/>
        </w:rPr>
        <w:t>领域</w:t>
      </w:r>
      <w:r>
        <w:rPr>
          <w:rFonts w:hint="eastAsia" w:ascii="宋体" w:hAnsi="宋体" w:eastAsia="宋体" w:cs="宋体"/>
          <w:szCs w:val="24"/>
          <w:highlight w:val="none"/>
        </w:rPr>
        <w:t>，且其</w:t>
      </w:r>
      <w:r>
        <w:rPr>
          <w:rFonts w:hint="eastAsia" w:hAnsi="宋体" w:cs="宋体"/>
          <w:szCs w:val="24"/>
          <w:highlight w:val="none"/>
          <w:lang w:val="en-US" w:eastAsia="zh-CN"/>
        </w:rPr>
        <w:t>温室气体控制</w:t>
      </w:r>
      <w:r>
        <w:rPr>
          <w:rFonts w:hint="eastAsia" w:ascii="宋体" w:hAnsi="宋体" w:eastAsia="宋体" w:cs="宋体"/>
          <w:szCs w:val="24"/>
          <w:highlight w:val="none"/>
          <w:lang w:val="en-US" w:eastAsia="zh-CN"/>
        </w:rPr>
        <w:t>领域</w:t>
      </w:r>
      <w:r>
        <w:rPr>
          <w:rFonts w:hint="eastAsia" w:ascii="宋体" w:hAnsi="宋体" w:eastAsia="宋体" w:cs="宋体"/>
          <w:szCs w:val="24"/>
          <w:highlight w:val="none"/>
        </w:rPr>
        <w:t>绿色业务占比达到50%</w:t>
      </w:r>
      <w:r>
        <w:rPr>
          <w:rFonts w:hint="eastAsia" w:ascii="宋体" w:hAnsi="宋体" w:eastAsia="宋体" w:cs="宋体"/>
          <w:szCs w:val="24"/>
          <w:highlight w:val="none"/>
          <w:lang w:val="en-US" w:eastAsia="zh-CN"/>
        </w:rPr>
        <w:t>及</w:t>
      </w:r>
      <w:r>
        <w:rPr>
          <w:rFonts w:hint="eastAsia" w:ascii="宋体" w:hAnsi="宋体" w:eastAsia="宋体" w:cs="宋体"/>
          <w:szCs w:val="24"/>
          <w:highlight w:val="none"/>
        </w:rPr>
        <w:t>以上</w:t>
      </w:r>
      <w:r>
        <w:rPr>
          <w:rFonts w:hint="eastAsia" w:ascii="宋体" w:hAnsi="宋体" w:eastAsia="宋体" w:cs="宋体"/>
          <w:szCs w:val="24"/>
          <w:highlight w:val="none"/>
          <w:lang w:eastAsia="zh-CN"/>
        </w:rPr>
        <w:t>，</w:t>
      </w:r>
      <w:r>
        <w:rPr>
          <w:rFonts w:hint="eastAsia" w:ascii="宋体" w:hAnsi="宋体" w:eastAsia="宋体" w:cs="宋体"/>
          <w:szCs w:val="24"/>
          <w:highlight w:val="none"/>
        </w:rPr>
        <w:t>或</w:t>
      </w:r>
      <w:r>
        <w:rPr>
          <w:rFonts w:hint="eastAsia" w:ascii="宋体" w:hAnsi="宋体" w:eastAsia="宋体" w:cs="宋体"/>
          <w:szCs w:val="24"/>
          <w:highlight w:val="none"/>
          <w:lang w:val="en-US" w:eastAsia="zh-CN"/>
        </w:rPr>
        <w:t>绿色业务</w:t>
      </w:r>
      <w:r>
        <w:rPr>
          <w:rFonts w:hint="eastAsia" w:ascii="宋体" w:hAnsi="宋体" w:eastAsia="宋体" w:cs="宋体"/>
          <w:szCs w:val="24"/>
          <w:highlight w:val="none"/>
        </w:rPr>
        <w:t>规模达到1亿元</w:t>
      </w:r>
      <w:r>
        <w:rPr>
          <w:rFonts w:hint="eastAsia" w:hAnsi="宋体" w:cs="宋体"/>
          <w:szCs w:val="24"/>
          <w:highlight w:val="none"/>
          <w:lang w:eastAsia="zh-CN"/>
        </w:rPr>
        <w:t>；</w:t>
      </w:r>
      <w:r>
        <w:rPr>
          <w:rFonts w:hint="eastAsia" w:ascii="宋体" w:hAnsi="宋体" w:eastAsia="宋体" w:cs="宋体"/>
          <w:szCs w:val="24"/>
          <w:highlight w:val="none"/>
        </w:rPr>
        <w:t>或在</w:t>
      </w:r>
      <w:r>
        <w:rPr>
          <w:rFonts w:hint="eastAsia" w:hAnsi="宋体" w:cs="宋体"/>
          <w:szCs w:val="24"/>
          <w:highlight w:val="none"/>
          <w:lang w:val="en-US" w:eastAsia="zh-CN"/>
        </w:rPr>
        <w:t>当地</w:t>
      </w:r>
      <w:r>
        <w:rPr>
          <w:rFonts w:hint="eastAsia" w:ascii="宋体" w:hAnsi="宋体" w:eastAsia="宋体" w:cs="宋体"/>
          <w:szCs w:val="24"/>
          <w:highlight w:val="none"/>
        </w:rPr>
        <w:t>具备一定市场规模</w:t>
      </w:r>
      <w:r>
        <w:rPr>
          <w:rFonts w:hint="eastAsia" w:hAnsi="宋体" w:cs="宋体"/>
          <w:szCs w:val="24"/>
          <w:highlight w:val="none"/>
          <w:lang w:eastAsia="zh-CN"/>
        </w:rPr>
        <w:t>、</w:t>
      </w:r>
      <w:r>
        <w:rPr>
          <w:rFonts w:hint="eastAsia" w:ascii="宋体" w:hAnsi="宋体" w:eastAsia="宋体" w:cs="宋体"/>
          <w:szCs w:val="24"/>
          <w:highlight w:val="none"/>
        </w:rPr>
        <w:t>经</w:t>
      </w:r>
      <w:r>
        <w:rPr>
          <w:rFonts w:hint="eastAsia" w:ascii="宋体" w:hAnsi="宋体" w:eastAsia="宋体" w:cs="宋体"/>
          <w:szCs w:val="24"/>
          <w:highlight w:val="none"/>
          <w:lang w:val="en-US" w:eastAsia="zh-CN"/>
        </w:rPr>
        <w:t>相关政府职能部门</w:t>
      </w:r>
      <w:r>
        <w:rPr>
          <w:rFonts w:hint="eastAsia" w:ascii="宋体" w:hAnsi="宋体" w:eastAsia="宋体" w:cs="宋体"/>
          <w:szCs w:val="24"/>
          <w:highlight w:val="none"/>
        </w:rPr>
        <w:t>认可的相关行业</w:t>
      </w:r>
      <w:r>
        <w:rPr>
          <w:rFonts w:hint="eastAsia" w:ascii="宋体" w:hAnsi="宋体" w:eastAsia="宋体" w:cs="宋体"/>
          <w:szCs w:val="24"/>
          <w:highlight w:val="none"/>
          <w:lang w:eastAsia="zh-CN"/>
        </w:rPr>
        <w:t>。</w:t>
      </w:r>
    </w:p>
    <w:p w14:paraId="77EFD907">
      <w:pPr>
        <w:pStyle w:val="26"/>
        <w:ind w:left="840" w:leftChars="200" w:hanging="420" w:hangingChars="200"/>
        <w:rPr>
          <w:rFonts w:hint="default" w:ascii="Times New Roman" w:eastAsia="Times New Roman"/>
          <w:szCs w:val="24"/>
          <w:highlight w:val="none"/>
          <w:lang w:val="en-US"/>
        </w:rPr>
      </w:pPr>
      <w:r>
        <w:rPr>
          <w:rFonts w:hint="eastAsia" w:ascii="宋体" w:hAnsi="宋体" w:eastAsia="宋体" w:cs="宋体"/>
          <w:szCs w:val="24"/>
          <w:highlight w:val="none"/>
          <w:lang w:eastAsia="zh-CN"/>
        </w:rPr>
        <w:t>——</w:t>
      </w:r>
      <w:r>
        <w:rPr>
          <w:rFonts w:hint="eastAsia" w:ascii="宋体" w:hAnsi="宋体" w:eastAsia="宋体" w:cs="宋体"/>
          <w:szCs w:val="24"/>
          <w:highlight w:val="none"/>
        </w:rPr>
        <w:t>技术符合</w:t>
      </w:r>
      <w:r>
        <w:rPr>
          <w:rFonts w:hint="eastAsia" w:hAnsi="宋体" w:cs="宋体"/>
          <w:szCs w:val="24"/>
          <w:highlight w:val="none"/>
          <w:lang w:eastAsia="zh-CN"/>
        </w:rPr>
        <w:t>：</w:t>
      </w:r>
      <w:r>
        <w:rPr>
          <w:rFonts w:hint="eastAsia" w:ascii="宋体" w:hAnsi="宋体" w:eastAsia="宋体" w:cs="宋体"/>
          <w:szCs w:val="24"/>
          <w:highlight w:val="none"/>
        </w:rPr>
        <w:t>提供的产品或服务应符合国家、广东省及深圳市相关主管部门发布文件列明的有关设计、能效、性能、安全、贮存、回收、标识、验收、管理和运维等技术要求</w:t>
      </w:r>
      <w:r>
        <w:rPr>
          <w:rFonts w:hint="eastAsia" w:ascii="宋体" w:hAnsi="宋体" w:eastAsia="宋体" w:cs="宋体"/>
          <w:szCs w:val="24"/>
          <w:highlight w:val="none"/>
          <w:lang w:val="en-US" w:eastAsia="zh-CN"/>
        </w:rPr>
        <w:t>。</w:t>
      </w:r>
    </w:p>
    <w:p w14:paraId="46F8864B">
      <w:pPr>
        <w:pStyle w:val="92"/>
        <w:numPr>
          <w:ilvl w:val="1"/>
          <w:numId w:val="0"/>
        </w:numPr>
        <w:spacing w:before="156" w:after="156"/>
        <w:jc w:val="both"/>
        <w:rPr>
          <w:rFonts w:hAnsi="黑体" w:cs="黑体"/>
          <w:highlight w:val="none"/>
        </w:rPr>
      </w:pPr>
      <w:r>
        <w:rPr>
          <w:rFonts w:hint="eastAsia" w:hAnsi="黑体" w:cs="黑体"/>
          <w:highlight w:val="none"/>
          <w:lang w:val="en-US" w:eastAsia="zh-CN"/>
        </w:rPr>
        <w:t>C</w:t>
      </w:r>
      <w:r>
        <w:rPr>
          <w:rFonts w:hint="eastAsia" w:hAnsi="黑体" w:cs="黑体"/>
          <w:highlight w:val="none"/>
        </w:rPr>
        <w:t>.</w:t>
      </w:r>
      <w:r>
        <w:rPr>
          <w:rFonts w:hint="eastAsia" w:hAnsi="黑体" w:cs="黑体"/>
          <w:highlight w:val="none"/>
          <w:lang w:val="en-US" w:eastAsia="zh-CN"/>
        </w:rPr>
        <w:t>5</w:t>
      </w:r>
      <w:r>
        <w:rPr>
          <w:rFonts w:hint="eastAsia" w:hAnsi="黑体" w:cs="黑体"/>
          <w:highlight w:val="none"/>
        </w:rPr>
        <w:t>.</w:t>
      </w:r>
      <w:r>
        <w:rPr>
          <w:rFonts w:hint="eastAsia" w:hAnsi="黑体" w:cs="黑体"/>
          <w:highlight w:val="none"/>
          <w:lang w:val="en-US" w:eastAsia="zh-CN"/>
        </w:rPr>
        <w:t xml:space="preserve">2  </w:t>
      </w:r>
      <w:r>
        <w:rPr>
          <w:rFonts w:hint="eastAsia" w:hAnsi="黑体" w:cs="黑体"/>
          <w:highlight w:val="none"/>
        </w:rPr>
        <w:t>综合评价</w:t>
      </w:r>
    </w:p>
    <w:p w14:paraId="595868CE">
      <w:pPr>
        <w:pStyle w:val="92"/>
        <w:numPr>
          <w:ilvl w:val="1"/>
          <w:numId w:val="0"/>
        </w:numPr>
        <w:spacing w:before="156" w:after="156"/>
        <w:jc w:val="both"/>
        <w:rPr>
          <w:rFonts w:ascii="Times New Roman" w:eastAsia="Times New Roman"/>
          <w:highlight w:val="none"/>
        </w:rPr>
      </w:pPr>
      <w:r>
        <w:rPr>
          <w:rFonts w:hint="eastAsia" w:hAnsi="黑体" w:cs="黑体"/>
          <w:highlight w:val="none"/>
          <w:lang w:val="en-US" w:eastAsia="zh-CN"/>
        </w:rPr>
        <w:t>C</w:t>
      </w:r>
      <w:r>
        <w:rPr>
          <w:rFonts w:hint="eastAsia" w:hAnsi="黑体" w:cs="黑体"/>
          <w:highlight w:val="none"/>
        </w:rPr>
        <w:t>.</w:t>
      </w:r>
      <w:r>
        <w:rPr>
          <w:rFonts w:hint="eastAsia" w:hAnsi="黑体" w:cs="黑体"/>
          <w:highlight w:val="none"/>
          <w:lang w:val="en-US" w:eastAsia="zh-CN"/>
        </w:rPr>
        <w:t>5</w:t>
      </w:r>
      <w:r>
        <w:rPr>
          <w:rFonts w:hint="eastAsia" w:hAnsi="黑体" w:cs="黑体"/>
          <w:highlight w:val="none"/>
        </w:rPr>
        <w:t>.</w:t>
      </w:r>
      <w:r>
        <w:rPr>
          <w:rFonts w:hint="eastAsia" w:hAnsi="黑体" w:cs="黑体"/>
          <w:highlight w:val="none"/>
          <w:lang w:val="en-US" w:eastAsia="zh-CN"/>
        </w:rPr>
        <w:t>2</w:t>
      </w:r>
      <w:r>
        <w:rPr>
          <w:rFonts w:hint="eastAsia" w:hAnsi="黑体" w:cs="黑体"/>
          <w:highlight w:val="none"/>
        </w:rPr>
        <w:t>.1</w:t>
      </w:r>
      <w:r>
        <w:rPr>
          <w:rFonts w:hint="eastAsia" w:hAnsi="黑体" w:cs="黑体"/>
          <w:highlight w:val="none"/>
          <w:lang w:val="en-US" w:eastAsia="zh-CN"/>
        </w:rPr>
        <w:t xml:space="preserve">  </w:t>
      </w:r>
      <w:r>
        <w:rPr>
          <w:rFonts w:hint="eastAsia" w:hAnsi="黑体" w:cs="黑体"/>
          <w:highlight w:val="none"/>
        </w:rPr>
        <w:t>技术表现</w:t>
      </w:r>
    </w:p>
    <w:p w14:paraId="39D54FF3">
      <w:pPr>
        <w:pStyle w:val="26"/>
        <w:rPr>
          <w:rFonts w:ascii="宋体" w:hAnsi="宋体" w:eastAsia="宋体" w:cs="宋体"/>
          <w:highlight w:val="none"/>
        </w:rPr>
      </w:pPr>
      <w:r>
        <w:rPr>
          <w:rFonts w:hint="eastAsia" w:ascii="宋体" w:hAnsi="宋体" w:eastAsia="宋体" w:cs="宋体"/>
          <w:highlight w:val="none"/>
        </w:rPr>
        <w:t>对以下内容进行具体描述：</w:t>
      </w:r>
    </w:p>
    <w:p w14:paraId="6085CAAA">
      <w:pPr>
        <w:autoSpaceDE w:val="0"/>
        <w:autoSpaceDN w:val="0"/>
        <w:ind w:left="840" w:leftChars="200" w:hanging="420" w:hangingChars="200"/>
        <w:jc w:val="both"/>
        <w:rPr>
          <w:rFonts w:ascii="宋体" w:hAnsi="宋体" w:eastAsia="宋体" w:cs="宋体"/>
          <w:sz w:val="21"/>
          <w:highlight w:val="none"/>
          <w:lang w:val="en-US" w:eastAsia="zh-CN" w:bidi="ar-SA"/>
        </w:rPr>
      </w:pPr>
      <w:r>
        <w:rPr>
          <w:rFonts w:hint="eastAsia" w:ascii="宋体" w:hAnsi="宋体" w:eastAsia="宋体" w:cs="宋体"/>
          <w:sz w:val="21"/>
          <w:highlight w:val="none"/>
          <w:lang w:val="en-US" w:eastAsia="zh-CN" w:bidi="ar-SA"/>
        </w:rPr>
        <w:t>——先进性：主要描述有效知识产权、制修订标准、关键技术先进性等情况；</w:t>
      </w:r>
    </w:p>
    <w:p w14:paraId="7E6522DD">
      <w:pPr>
        <w:pStyle w:val="26"/>
        <w:ind w:left="840" w:leftChars="200" w:hanging="420" w:hangingChars="200"/>
        <w:rPr>
          <w:rFonts w:ascii="Times New Roman" w:eastAsia="Times New Roman"/>
          <w:szCs w:val="24"/>
          <w:highlight w:val="none"/>
        </w:rPr>
      </w:pPr>
      <w:r>
        <w:rPr>
          <w:rFonts w:hint="eastAsia" w:ascii="宋体" w:hAnsi="宋体" w:eastAsia="宋体" w:cs="宋体"/>
          <w:sz w:val="21"/>
          <w:highlight w:val="none"/>
          <w:lang w:val="en-US" w:eastAsia="zh-CN" w:bidi="ar-SA"/>
        </w:rPr>
        <w:t>——环境效益：主要描述在</w:t>
      </w:r>
      <w:r>
        <w:rPr>
          <w:rFonts w:ascii="Times New Roman" w:hAnsi="Times New Roman" w:eastAsia="宋体" w:cs="Times New Roman"/>
          <w:sz w:val="21"/>
          <w:highlight w:val="none"/>
          <w:lang w:val="en-US" w:eastAsia="zh-CN" w:bidi="ar-SA"/>
        </w:rPr>
        <w:t>资源节约、环境友好、生态良好</w:t>
      </w:r>
      <w:r>
        <w:rPr>
          <w:rFonts w:hint="eastAsia" w:ascii="宋体" w:hAnsi="宋体" w:eastAsia="宋体" w:cs="宋体"/>
          <w:sz w:val="21"/>
          <w:highlight w:val="none"/>
          <w:lang w:val="en-US" w:eastAsia="zh-CN" w:bidi="ar-SA"/>
        </w:rPr>
        <w:t>等方面实际产生的环境效益贡献量和涉及的环境效益种类数量。从降碳效益、其他效益进行评估，按照</w:t>
      </w:r>
      <w:r>
        <w:rPr>
          <w:rFonts w:hint="eastAsia" w:hAnsi="宋体" w:cs="宋体"/>
          <w:sz w:val="21"/>
          <w:highlight w:val="none"/>
          <w:lang w:val="en-US" w:eastAsia="zh-CN" w:bidi="ar-SA"/>
        </w:rPr>
        <w:t>5.2.1.2</w:t>
      </w:r>
      <w:r>
        <w:rPr>
          <w:rFonts w:hint="eastAsia" w:ascii="宋体" w:hAnsi="宋体" w:eastAsia="宋体" w:cs="宋体"/>
          <w:sz w:val="21"/>
          <w:highlight w:val="none"/>
          <w:lang w:val="en-US" w:eastAsia="zh-CN" w:bidi="ar-SA"/>
        </w:rPr>
        <w:t>规定的环境效益指标进行量化评估。</w:t>
      </w:r>
    </w:p>
    <w:p w14:paraId="5DF590DC">
      <w:pPr>
        <w:pStyle w:val="92"/>
        <w:numPr>
          <w:ilvl w:val="1"/>
          <w:numId w:val="0"/>
        </w:numPr>
        <w:spacing w:before="156" w:after="156"/>
        <w:jc w:val="both"/>
        <w:rPr>
          <w:rFonts w:hAnsi="黑体" w:cs="黑体"/>
          <w:highlight w:val="none"/>
        </w:rPr>
      </w:pPr>
      <w:r>
        <w:rPr>
          <w:rFonts w:hint="eastAsia" w:hAnsi="黑体" w:cs="黑体"/>
          <w:highlight w:val="none"/>
          <w:lang w:val="en-US" w:eastAsia="zh-CN"/>
        </w:rPr>
        <w:t>C</w:t>
      </w:r>
      <w:r>
        <w:rPr>
          <w:rFonts w:hint="eastAsia" w:hAnsi="黑体" w:cs="黑体"/>
          <w:highlight w:val="none"/>
        </w:rPr>
        <w:t>.</w:t>
      </w:r>
      <w:r>
        <w:rPr>
          <w:rFonts w:hint="eastAsia" w:hAnsi="黑体" w:cs="黑体"/>
          <w:highlight w:val="none"/>
          <w:lang w:val="en-US" w:eastAsia="zh-CN"/>
        </w:rPr>
        <w:t>5</w:t>
      </w:r>
      <w:r>
        <w:rPr>
          <w:rFonts w:hint="eastAsia" w:hAnsi="黑体" w:cs="黑体"/>
          <w:highlight w:val="none"/>
        </w:rPr>
        <w:t>.</w:t>
      </w:r>
      <w:r>
        <w:rPr>
          <w:rFonts w:hint="eastAsia" w:hAnsi="黑体" w:cs="黑体"/>
          <w:highlight w:val="none"/>
          <w:lang w:val="en-US" w:eastAsia="zh-CN"/>
        </w:rPr>
        <w:t>2</w:t>
      </w:r>
      <w:r>
        <w:rPr>
          <w:rFonts w:hint="eastAsia" w:hAnsi="黑体" w:cs="黑体"/>
          <w:highlight w:val="none"/>
        </w:rPr>
        <w:t>.2</w:t>
      </w:r>
      <w:r>
        <w:rPr>
          <w:rFonts w:hint="eastAsia" w:hAnsi="黑体" w:cs="黑体"/>
          <w:highlight w:val="none"/>
          <w:lang w:val="en-US" w:eastAsia="zh-CN"/>
        </w:rPr>
        <w:t xml:space="preserve">  </w:t>
      </w:r>
      <w:r>
        <w:rPr>
          <w:rFonts w:hint="eastAsia" w:hAnsi="黑体" w:cs="黑体"/>
          <w:highlight w:val="none"/>
        </w:rPr>
        <w:t>业务表现</w:t>
      </w:r>
    </w:p>
    <w:p w14:paraId="0D7B80A9">
      <w:pPr>
        <w:autoSpaceDE w:val="0"/>
        <w:autoSpaceDN w:val="0"/>
        <w:ind w:firstLine="420" w:firstLineChars="200"/>
        <w:jc w:val="both"/>
        <w:rPr>
          <w:rFonts w:ascii="宋体" w:hAnsi="宋体" w:eastAsia="宋体" w:cs="宋体"/>
          <w:sz w:val="21"/>
          <w:highlight w:val="none"/>
          <w:lang w:val="en-US" w:eastAsia="zh-CN" w:bidi="ar-SA"/>
        </w:rPr>
      </w:pPr>
      <w:r>
        <w:rPr>
          <w:rFonts w:hint="eastAsia" w:ascii="宋体" w:hAnsi="宋体" w:eastAsia="宋体" w:cs="宋体"/>
          <w:sz w:val="21"/>
          <w:highlight w:val="none"/>
          <w:lang w:val="en-US" w:eastAsia="zh-CN" w:bidi="ar-SA"/>
        </w:rPr>
        <w:t>对以下内容进行具体描述：</w:t>
      </w:r>
    </w:p>
    <w:p w14:paraId="1A086014">
      <w:pPr>
        <w:autoSpaceDE w:val="0"/>
        <w:autoSpaceDN w:val="0"/>
        <w:ind w:left="840" w:leftChars="200" w:hanging="420" w:hangingChars="200"/>
        <w:jc w:val="both"/>
        <w:rPr>
          <w:rFonts w:ascii="宋体" w:hAnsi="宋体" w:eastAsia="宋体" w:cs="宋体"/>
          <w:sz w:val="21"/>
          <w:highlight w:val="none"/>
          <w:lang w:val="en-US" w:eastAsia="zh-CN" w:bidi="ar-SA"/>
        </w:rPr>
      </w:pPr>
      <w:r>
        <w:rPr>
          <w:rFonts w:hint="eastAsia" w:ascii="宋体" w:hAnsi="宋体" w:eastAsia="宋体" w:cs="宋体"/>
          <w:sz w:val="21"/>
          <w:highlight w:val="none"/>
          <w:lang w:val="en-US" w:eastAsia="zh-CN" w:bidi="ar-SA"/>
        </w:rPr>
        <w:t>——发展能力：主要描述团队技术实力、研发投入、运营效益水平等情况；</w:t>
      </w:r>
    </w:p>
    <w:p w14:paraId="319C8171">
      <w:pPr>
        <w:pStyle w:val="26"/>
        <w:ind w:left="840" w:leftChars="200" w:hanging="420" w:hangingChars="200"/>
        <w:rPr>
          <w:rFonts w:ascii="Times New Roman" w:eastAsia="Times New Roman"/>
          <w:szCs w:val="24"/>
          <w:highlight w:val="none"/>
        </w:rPr>
      </w:pPr>
      <w:r>
        <w:rPr>
          <w:rFonts w:hint="eastAsia" w:ascii="宋体" w:hAnsi="宋体" w:eastAsia="宋体" w:cs="宋体"/>
          <w:sz w:val="21"/>
          <w:highlight w:val="none"/>
          <w:lang w:val="en-US" w:eastAsia="zh-CN" w:bidi="ar-SA"/>
        </w:rPr>
        <w:t>——市场影响：主要描述市场占有率、稳定提供相关产品或服务的年限、引领绿色低碳产业技术创新或市场发展的情况，以及获得的国家级、省部级、市级或区级奖项、资质、荣誉、认定及证书的情况。</w:t>
      </w:r>
    </w:p>
    <w:p w14:paraId="56D5DA41">
      <w:pPr>
        <w:pStyle w:val="92"/>
        <w:numPr>
          <w:ilvl w:val="1"/>
          <w:numId w:val="0"/>
        </w:numPr>
        <w:spacing w:before="156" w:after="156"/>
        <w:jc w:val="both"/>
        <w:rPr>
          <w:rFonts w:ascii="Times New Roman" w:eastAsia="Times New Roman"/>
          <w:highlight w:val="none"/>
        </w:rPr>
      </w:pPr>
      <w:r>
        <w:rPr>
          <w:rFonts w:hint="eastAsia" w:hAnsi="黑体" w:cs="黑体"/>
          <w:highlight w:val="none"/>
          <w:lang w:val="en-US" w:eastAsia="zh-CN"/>
        </w:rPr>
        <w:t>C</w:t>
      </w:r>
      <w:r>
        <w:rPr>
          <w:rFonts w:hint="eastAsia" w:hAnsi="黑体" w:cs="黑体"/>
          <w:highlight w:val="none"/>
        </w:rPr>
        <w:t>.</w:t>
      </w:r>
      <w:r>
        <w:rPr>
          <w:rFonts w:hint="eastAsia" w:hAnsi="黑体" w:cs="黑体"/>
          <w:highlight w:val="none"/>
          <w:lang w:val="en-US" w:eastAsia="zh-CN"/>
        </w:rPr>
        <w:t>5</w:t>
      </w:r>
      <w:r>
        <w:rPr>
          <w:rFonts w:hint="eastAsia" w:hAnsi="黑体" w:cs="黑体"/>
          <w:highlight w:val="none"/>
        </w:rPr>
        <w:t>.</w:t>
      </w:r>
      <w:r>
        <w:rPr>
          <w:rFonts w:hint="eastAsia" w:hAnsi="黑体" w:cs="黑体"/>
          <w:highlight w:val="none"/>
          <w:lang w:val="en-US" w:eastAsia="zh-CN"/>
        </w:rPr>
        <w:t>2</w:t>
      </w:r>
      <w:r>
        <w:rPr>
          <w:rFonts w:hint="eastAsia" w:hAnsi="黑体" w:cs="黑体"/>
          <w:highlight w:val="none"/>
        </w:rPr>
        <w:t>.3</w:t>
      </w:r>
      <w:r>
        <w:rPr>
          <w:rFonts w:hint="eastAsia" w:hAnsi="黑体" w:cs="黑体"/>
          <w:highlight w:val="none"/>
          <w:lang w:val="en-US" w:eastAsia="zh-CN"/>
        </w:rPr>
        <w:t xml:space="preserve">  </w:t>
      </w:r>
      <w:r>
        <w:rPr>
          <w:rFonts w:hint="eastAsia" w:hAnsi="黑体" w:cs="黑体"/>
          <w:highlight w:val="none"/>
        </w:rPr>
        <w:t>环境表现</w:t>
      </w:r>
    </w:p>
    <w:p w14:paraId="37BA56B7">
      <w:pPr>
        <w:autoSpaceDE w:val="0"/>
        <w:autoSpaceDN w:val="0"/>
        <w:ind w:firstLine="420" w:firstLineChars="200"/>
        <w:jc w:val="both"/>
        <w:rPr>
          <w:rFonts w:ascii="宋体" w:hAnsi="宋体" w:eastAsia="宋体" w:cs="宋体"/>
          <w:sz w:val="21"/>
          <w:highlight w:val="none"/>
          <w:lang w:val="en-US" w:eastAsia="zh-CN" w:bidi="ar-SA"/>
        </w:rPr>
      </w:pPr>
      <w:r>
        <w:rPr>
          <w:rFonts w:hint="eastAsia" w:ascii="宋体" w:hAnsi="宋体" w:eastAsia="宋体" w:cs="宋体"/>
          <w:sz w:val="21"/>
          <w:highlight w:val="none"/>
          <w:lang w:val="en-US" w:eastAsia="zh-CN" w:bidi="ar-SA"/>
        </w:rPr>
        <w:t>对以下内容进行具体描述：</w:t>
      </w:r>
    </w:p>
    <w:p w14:paraId="5A047D63">
      <w:pPr>
        <w:autoSpaceDE w:val="0"/>
        <w:autoSpaceDN w:val="0"/>
        <w:ind w:left="850" w:leftChars="204" w:hanging="422" w:hangingChars="201"/>
        <w:jc w:val="both"/>
        <w:rPr>
          <w:rFonts w:ascii="宋体" w:hAnsi="宋体" w:eastAsia="宋体" w:cs="宋体"/>
          <w:sz w:val="21"/>
          <w:highlight w:val="none"/>
          <w:lang w:val="en-US" w:eastAsia="zh-CN" w:bidi="ar-SA"/>
        </w:rPr>
      </w:pPr>
      <w:r>
        <w:rPr>
          <w:rFonts w:hint="eastAsia" w:ascii="宋体" w:hAnsi="宋体" w:eastAsia="宋体" w:cs="宋体"/>
          <w:sz w:val="21"/>
          <w:highlight w:val="none"/>
          <w:lang w:val="en-US" w:eastAsia="zh-CN" w:bidi="ar-SA"/>
        </w:rPr>
        <w:t>——温室气体排放水平：主要描述温室气体排放</w:t>
      </w:r>
      <w:r>
        <w:rPr>
          <w:rFonts w:hint="eastAsia" w:ascii="宋体" w:hAnsi="宋体" w:cs="宋体"/>
          <w:sz w:val="21"/>
          <w:highlight w:val="none"/>
          <w:lang w:val="en-US" w:eastAsia="zh-CN" w:bidi="ar-SA"/>
        </w:rPr>
        <w:t>强度</w:t>
      </w:r>
      <w:r>
        <w:rPr>
          <w:rFonts w:hint="eastAsia" w:ascii="宋体" w:hAnsi="宋体" w:eastAsia="宋体" w:cs="宋体"/>
          <w:sz w:val="21"/>
          <w:highlight w:val="none"/>
          <w:lang w:val="en-US" w:eastAsia="zh-CN" w:bidi="ar-SA"/>
        </w:rPr>
        <w:t>及下降情况；</w:t>
      </w:r>
    </w:p>
    <w:p w14:paraId="448934CB">
      <w:pPr>
        <w:autoSpaceDE w:val="0"/>
        <w:autoSpaceDN w:val="0"/>
        <w:ind w:firstLine="420" w:firstLineChars="200"/>
        <w:jc w:val="both"/>
        <w:rPr>
          <w:rFonts w:ascii="宋体" w:hAnsi="宋体" w:eastAsia="宋体" w:cs="宋体"/>
          <w:sz w:val="21"/>
          <w:highlight w:val="none"/>
          <w:lang w:val="en-US" w:eastAsia="zh-CN" w:bidi="ar-SA"/>
        </w:rPr>
      </w:pPr>
      <w:r>
        <w:rPr>
          <w:rFonts w:hint="eastAsia" w:ascii="宋体" w:hAnsi="宋体" w:eastAsia="宋体" w:cs="宋体"/>
          <w:sz w:val="21"/>
          <w:highlight w:val="none"/>
          <w:lang w:val="en-US" w:eastAsia="zh-CN" w:bidi="ar-SA"/>
        </w:rPr>
        <w:t>——工艺设备材料：主要描述采购的工艺、设备和原材料与优先推荐目录的匹配情况；</w:t>
      </w:r>
    </w:p>
    <w:p w14:paraId="501AD60C">
      <w:pPr>
        <w:autoSpaceDE w:val="0"/>
        <w:autoSpaceDN w:val="0"/>
        <w:ind w:firstLine="420" w:firstLineChars="200"/>
        <w:jc w:val="both"/>
        <w:rPr>
          <w:rFonts w:ascii="宋体" w:hAnsi="宋体" w:eastAsia="宋体" w:cs="宋体"/>
          <w:sz w:val="21"/>
          <w:highlight w:val="none"/>
          <w:lang w:val="en-US" w:eastAsia="zh-CN" w:bidi="ar-SA"/>
        </w:rPr>
      </w:pPr>
      <w:r>
        <w:rPr>
          <w:rFonts w:hint="eastAsia" w:ascii="宋体" w:hAnsi="宋体" w:eastAsia="宋体" w:cs="宋体"/>
          <w:sz w:val="21"/>
          <w:highlight w:val="none"/>
          <w:lang w:val="en-US" w:eastAsia="zh-CN" w:bidi="ar-SA"/>
        </w:rPr>
        <w:t>——能源资源利用：主要描述可再生能源占比、非常规水资源利用率等情况；</w:t>
      </w:r>
    </w:p>
    <w:p w14:paraId="0DEE893B">
      <w:pPr>
        <w:pStyle w:val="26"/>
        <w:rPr>
          <w:rFonts w:ascii="Times New Roman"/>
          <w:szCs w:val="24"/>
          <w:highlight w:val="none"/>
        </w:rPr>
      </w:pPr>
      <w:r>
        <w:rPr>
          <w:rFonts w:hint="eastAsia" w:ascii="宋体" w:hAnsi="宋体" w:eastAsia="宋体" w:cs="宋体"/>
          <w:sz w:val="21"/>
          <w:highlight w:val="none"/>
          <w:lang w:val="en-US" w:eastAsia="zh-CN" w:bidi="ar-SA"/>
        </w:rPr>
        <w:t>——污染物排放水平：主要描述污染物排放及达标情况。</w:t>
      </w:r>
    </w:p>
    <w:p w14:paraId="2A6D45D8">
      <w:pPr>
        <w:pStyle w:val="92"/>
        <w:numPr>
          <w:ilvl w:val="1"/>
          <w:numId w:val="0"/>
        </w:numPr>
        <w:spacing w:before="156" w:after="156"/>
        <w:jc w:val="both"/>
        <w:rPr>
          <w:rFonts w:ascii="Times New Roman" w:eastAsia="Times New Roman"/>
          <w:highlight w:val="none"/>
        </w:rPr>
      </w:pPr>
      <w:r>
        <w:rPr>
          <w:rFonts w:hint="eastAsia" w:hAnsi="黑体" w:cs="黑体"/>
          <w:highlight w:val="none"/>
          <w:lang w:val="en-US" w:eastAsia="zh-CN"/>
        </w:rPr>
        <w:t>C</w:t>
      </w:r>
      <w:r>
        <w:rPr>
          <w:rFonts w:hint="eastAsia" w:hAnsi="黑体" w:cs="黑体"/>
          <w:highlight w:val="none"/>
        </w:rPr>
        <w:t>.</w:t>
      </w:r>
      <w:r>
        <w:rPr>
          <w:rFonts w:hint="eastAsia" w:hAnsi="黑体" w:cs="黑体"/>
          <w:highlight w:val="none"/>
          <w:lang w:val="en-US" w:eastAsia="zh-CN"/>
        </w:rPr>
        <w:t>5</w:t>
      </w:r>
      <w:r>
        <w:rPr>
          <w:rFonts w:hint="eastAsia" w:hAnsi="黑体" w:cs="黑体"/>
          <w:highlight w:val="none"/>
        </w:rPr>
        <w:t>.</w:t>
      </w:r>
      <w:r>
        <w:rPr>
          <w:rFonts w:hint="eastAsia" w:hAnsi="黑体" w:cs="黑体"/>
          <w:highlight w:val="none"/>
          <w:lang w:val="en-US" w:eastAsia="zh-CN"/>
        </w:rPr>
        <w:t>2</w:t>
      </w:r>
      <w:r>
        <w:rPr>
          <w:rFonts w:hint="eastAsia" w:hAnsi="黑体" w:cs="黑体"/>
          <w:highlight w:val="none"/>
        </w:rPr>
        <w:t>.4</w:t>
      </w:r>
      <w:r>
        <w:rPr>
          <w:rFonts w:hint="eastAsia" w:hAnsi="黑体" w:cs="黑体"/>
          <w:highlight w:val="none"/>
          <w:lang w:val="en-US" w:eastAsia="zh-CN"/>
        </w:rPr>
        <w:t xml:space="preserve">  </w:t>
      </w:r>
      <w:r>
        <w:rPr>
          <w:rFonts w:hint="eastAsia" w:hAnsi="黑体" w:cs="黑体"/>
          <w:highlight w:val="none"/>
        </w:rPr>
        <w:t>社会表现</w:t>
      </w:r>
    </w:p>
    <w:p w14:paraId="32B2A8C8">
      <w:pPr>
        <w:autoSpaceDE w:val="0"/>
        <w:autoSpaceDN w:val="0"/>
        <w:ind w:firstLine="420" w:firstLineChars="200"/>
        <w:jc w:val="both"/>
        <w:rPr>
          <w:rFonts w:ascii="宋体" w:hAnsi="宋体" w:eastAsia="宋体" w:cs="宋体"/>
          <w:sz w:val="21"/>
          <w:highlight w:val="none"/>
          <w:lang w:val="en-US" w:eastAsia="zh-CN" w:bidi="ar-SA"/>
        </w:rPr>
      </w:pPr>
      <w:r>
        <w:rPr>
          <w:rFonts w:hint="eastAsia" w:ascii="宋体" w:hAnsi="宋体" w:eastAsia="宋体" w:cs="宋体"/>
          <w:sz w:val="21"/>
          <w:highlight w:val="none"/>
          <w:lang w:val="en-US" w:eastAsia="zh-CN" w:bidi="ar-SA"/>
        </w:rPr>
        <w:t>对以下内容进行具体描述：</w:t>
      </w:r>
    </w:p>
    <w:p w14:paraId="11AD68B5">
      <w:pPr>
        <w:autoSpaceDE w:val="0"/>
        <w:autoSpaceDN w:val="0"/>
        <w:ind w:left="840" w:leftChars="200" w:hanging="420" w:hangingChars="200"/>
        <w:jc w:val="both"/>
        <w:rPr>
          <w:rFonts w:ascii="宋体" w:hAnsi="宋体" w:eastAsia="宋体" w:cs="宋体"/>
          <w:sz w:val="21"/>
          <w:highlight w:val="none"/>
          <w:lang w:val="en-US" w:eastAsia="zh-CN" w:bidi="ar-SA"/>
        </w:rPr>
      </w:pPr>
      <w:r>
        <w:rPr>
          <w:rFonts w:hint="eastAsia" w:ascii="宋体" w:hAnsi="宋体" w:eastAsia="宋体" w:cs="宋体"/>
          <w:sz w:val="21"/>
          <w:highlight w:val="none"/>
          <w:lang w:val="en-US" w:eastAsia="zh-CN" w:bidi="ar-SA"/>
        </w:rPr>
        <w:t>——内部行动：主要描述绿色行动、信息披露、低碳培训等情况；</w:t>
      </w:r>
    </w:p>
    <w:p w14:paraId="53EB711A">
      <w:pPr>
        <w:pStyle w:val="26"/>
        <w:rPr>
          <w:rFonts w:ascii="Times New Roman" w:eastAsia="Times New Roman"/>
          <w:szCs w:val="24"/>
          <w:highlight w:val="none"/>
        </w:rPr>
      </w:pPr>
      <w:r>
        <w:rPr>
          <w:rFonts w:hint="eastAsia" w:ascii="宋体" w:hAnsi="宋体" w:eastAsia="宋体" w:cs="宋体"/>
          <w:sz w:val="21"/>
          <w:highlight w:val="none"/>
          <w:lang w:val="en-US" w:eastAsia="zh-CN" w:bidi="ar-SA"/>
        </w:rPr>
        <w:t>——社会责任：主要描述履行公共关系和社会公益责任、实施质量/环境/供应链绿色化管理等情况。</w:t>
      </w:r>
    </w:p>
    <w:p w14:paraId="53C0B220">
      <w:pPr>
        <w:pStyle w:val="92"/>
        <w:numPr>
          <w:ilvl w:val="1"/>
          <w:numId w:val="0"/>
        </w:numPr>
        <w:spacing w:before="156" w:after="156"/>
        <w:jc w:val="both"/>
        <w:rPr>
          <w:rFonts w:hAnsi="黑体" w:cs="黑体"/>
          <w:highlight w:val="none"/>
        </w:rPr>
      </w:pPr>
      <w:r>
        <w:rPr>
          <w:rFonts w:hint="eastAsia" w:hAnsi="黑体" w:cs="黑体"/>
          <w:highlight w:val="none"/>
          <w:lang w:val="en-US" w:eastAsia="zh-CN"/>
        </w:rPr>
        <w:t>C</w:t>
      </w:r>
      <w:r>
        <w:rPr>
          <w:rFonts w:hint="eastAsia" w:hAnsi="黑体" w:cs="黑体"/>
          <w:highlight w:val="none"/>
        </w:rPr>
        <w:t>.</w:t>
      </w:r>
      <w:r>
        <w:rPr>
          <w:rFonts w:hint="eastAsia" w:hAnsi="黑体" w:cs="黑体"/>
          <w:highlight w:val="none"/>
          <w:lang w:val="en-US" w:eastAsia="zh-CN"/>
        </w:rPr>
        <w:t xml:space="preserve">6  </w:t>
      </w:r>
      <w:r>
        <w:rPr>
          <w:rFonts w:hint="eastAsia" w:hAnsi="黑体" w:cs="黑体"/>
          <w:highlight w:val="none"/>
        </w:rPr>
        <w:t>评</w:t>
      </w:r>
      <w:r>
        <w:rPr>
          <w:rFonts w:hint="eastAsia" w:hAnsi="黑体" w:cs="黑体"/>
          <w:highlight w:val="none"/>
          <w:lang w:val="en-US" w:eastAsia="zh-CN"/>
        </w:rPr>
        <w:t>价</w:t>
      </w:r>
      <w:r>
        <w:rPr>
          <w:rFonts w:hint="eastAsia" w:hAnsi="黑体" w:cs="黑体"/>
          <w:highlight w:val="none"/>
        </w:rPr>
        <w:t>表</w:t>
      </w:r>
    </w:p>
    <w:p w14:paraId="717F355B">
      <w:pPr>
        <w:pStyle w:val="26"/>
        <w:rPr>
          <w:rFonts w:asciiTheme="minorEastAsia" w:hAnsiTheme="minorEastAsia" w:eastAsiaTheme="minorEastAsia"/>
          <w:szCs w:val="24"/>
          <w:highlight w:val="none"/>
        </w:rPr>
      </w:pPr>
      <w:r>
        <w:rPr>
          <w:rFonts w:hint="eastAsia" w:asciiTheme="minorEastAsia" w:hAnsiTheme="minorEastAsia" w:eastAsiaTheme="minorEastAsia"/>
          <w:szCs w:val="24"/>
          <w:highlight w:val="none"/>
          <w:lang w:val="en-US" w:eastAsia="zh-CN"/>
        </w:rPr>
        <w:t>绿色低碳产业企业认定评价</w:t>
      </w:r>
      <w:r>
        <w:rPr>
          <w:rFonts w:hint="eastAsia" w:asciiTheme="minorEastAsia" w:hAnsiTheme="minorEastAsia" w:eastAsiaTheme="minorEastAsia"/>
          <w:szCs w:val="24"/>
          <w:highlight w:val="none"/>
        </w:rPr>
        <w:t>见表</w:t>
      </w:r>
      <w:r>
        <w:rPr>
          <w:rFonts w:hint="eastAsia" w:asciiTheme="minorEastAsia" w:hAnsiTheme="minorEastAsia" w:eastAsiaTheme="minorEastAsia"/>
          <w:szCs w:val="24"/>
          <w:highlight w:val="none"/>
          <w:lang w:val="en-US" w:eastAsia="zh-CN"/>
        </w:rPr>
        <w:t>C</w:t>
      </w:r>
      <w:r>
        <w:rPr>
          <w:rFonts w:hint="eastAsia" w:asciiTheme="minorEastAsia" w:hAnsiTheme="minorEastAsia" w:eastAsiaTheme="minorEastAsia"/>
          <w:szCs w:val="24"/>
          <w:highlight w:val="none"/>
        </w:rPr>
        <w:t>.3</w:t>
      </w:r>
      <w:r>
        <w:rPr>
          <w:rFonts w:hint="eastAsia" w:asciiTheme="minorEastAsia" w:hAnsiTheme="minorEastAsia" w:eastAsiaTheme="minorEastAsia"/>
          <w:szCs w:val="24"/>
          <w:highlight w:val="none"/>
          <w:lang w:val="en-US" w:eastAsia="zh-CN"/>
        </w:rPr>
        <w:t>和</w:t>
      </w:r>
      <w:r>
        <w:rPr>
          <w:rFonts w:hint="eastAsia" w:asciiTheme="minorEastAsia" w:hAnsiTheme="minorEastAsia" w:eastAsiaTheme="minorEastAsia"/>
          <w:szCs w:val="24"/>
          <w:highlight w:val="none"/>
        </w:rPr>
        <w:t>表</w:t>
      </w:r>
      <w:r>
        <w:rPr>
          <w:rFonts w:hint="eastAsia" w:asciiTheme="minorEastAsia" w:hAnsiTheme="minorEastAsia" w:eastAsiaTheme="minorEastAsia"/>
          <w:szCs w:val="24"/>
          <w:highlight w:val="none"/>
          <w:lang w:val="en-US" w:eastAsia="zh-CN"/>
        </w:rPr>
        <w:t>C</w:t>
      </w:r>
      <w:r>
        <w:rPr>
          <w:rFonts w:hint="eastAsia" w:asciiTheme="minorEastAsia" w:hAnsiTheme="minorEastAsia" w:eastAsiaTheme="minorEastAsia"/>
          <w:szCs w:val="24"/>
          <w:highlight w:val="none"/>
        </w:rPr>
        <w:t>.4。</w:t>
      </w:r>
    </w:p>
    <w:p w14:paraId="0FAF5D7D">
      <w:pPr>
        <w:pStyle w:val="92"/>
        <w:numPr>
          <w:ilvl w:val="1"/>
          <w:numId w:val="0"/>
        </w:numPr>
        <w:spacing w:before="156" w:after="156"/>
        <w:rPr>
          <w:rFonts w:hint="eastAsia" w:ascii="Times New Roman" w:eastAsia="黑体"/>
          <w:highlight w:val="none"/>
          <w:lang w:val="en-US" w:eastAsia="zh-CN"/>
        </w:rPr>
      </w:pPr>
      <w:r>
        <w:rPr>
          <w:rFonts w:hint="eastAsia" w:hAnsi="黑体" w:cs="黑体"/>
          <w:highlight w:val="none"/>
        </w:rPr>
        <w:t>表</w:t>
      </w:r>
      <w:r>
        <w:rPr>
          <w:rFonts w:hint="eastAsia" w:hAnsi="黑体" w:cs="黑体"/>
          <w:highlight w:val="none"/>
          <w:lang w:val="en-US" w:eastAsia="zh-CN"/>
        </w:rPr>
        <w:t>C</w:t>
      </w:r>
      <w:r>
        <w:rPr>
          <w:rFonts w:hint="eastAsia" w:hAnsi="黑体" w:cs="黑体"/>
          <w:highlight w:val="none"/>
        </w:rPr>
        <w:t>.</w:t>
      </w:r>
      <w:r>
        <w:rPr>
          <w:rFonts w:hint="eastAsia" w:hAnsi="黑体" w:cs="黑体"/>
          <w:highlight w:val="none"/>
          <w:lang w:val="en-US" w:eastAsia="zh-CN"/>
        </w:rPr>
        <w:t xml:space="preserve">3  </w:t>
      </w:r>
      <w:r>
        <w:rPr>
          <w:rFonts w:hint="eastAsia" w:hAnsi="黑体" w:cs="黑体"/>
          <w:highlight w:val="none"/>
        </w:rPr>
        <w:t>符合性</w:t>
      </w:r>
      <w:r>
        <w:rPr>
          <w:rFonts w:hint="eastAsia" w:hAnsi="黑体" w:cs="黑体"/>
          <w:highlight w:val="none"/>
          <w:lang w:val="en-US" w:eastAsia="zh-CN"/>
        </w:rPr>
        <w:t>评价</w:t>
      </w:r>
    </w:p>
    <w:tbl>
      <w:tblPr>
        <w:tblStyle w:val="36"/>
        <w:tblW w:w="4994"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726"/>
        <w:gridCol w:w="1034"/>
        <w:gridCol w:w="4271"/>
        <w:gridCol w:w="1988"/>
        <w:gridCol w:w="1540"/>
      </w:tblGrid>
      <w:tr w14:paraId="29A9323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32" w:hRule="atLeast"/>
          <w:jc w:val="center"/>
        </w:trPr>
        <w:tc>
          <w:tcPr>
            <w:tcW w:w="380" w:type="pct"/>
            <w:tcBorders>
              <w:bottom w:val="single" w:color="auto" w:sz="12" w:space="0"/>
            </w:tcBorders>
            <w:vAlign w:val="center"/>
          </w:tcPr>
          <w:p w14:paraId="4319B190">
            <w:pPr>
              <w:keepNext w:val="0"/>
              <w:keepLines w:val="0"/>
              <w:pageBreakBefore w:val="0"/>
              <w:suppressLineNumbers w:val="0"/>
              <w:kinsoku/>
              <w:wordWrap/>
              <w:overflowPunct/>
              <w:topLinePunct w:val="0"/>
              <w:bidi w:val="0"/>
              <w:adjustRightInd/>
              <w:snapToGrid/>
              <w:spacing w:before="0" w:beforeAutospacing="0" w:after="0" w:afterAutospacing="0" w:line="240" w:lineRule="auto"/>
              <w:ind w:left="0" w:right="0"/>
              <w:jc w:val="center"/>
              <w:textAlignment w:val="auto"/>
              <w:rPr>
                <w:rFonts w:hint="default"/>
                <w:b/>
                <w:sz w:val="18"/>
                <w:szCs w:val="18"/>
                <w:highlight w:val="none"/>
              </w:rPr>
            </w:pPr>
            <w:r>
              <w:rPr>
                <w:rFonts w:hint="eastAsia"/>
                <w:b/>
                <w:sz w:val="18"/>
                <w:szCs w:val="18"/>
                <w:highlight w:val="none"/>
              </w:rPr>
              <w:t>序号</w:t>
            </w:r>
          </w:p>
        </w:tc>
        <w:tc>
          <w:tcPr>
            <w:tcW w:w="541" w:type="pct"/>
            <w:tcBorders>
              <w:bottom w:val="single" w:color="auto" w:sz="12" w:space="0"/>
            </w:tcBorders>
            <w:vAlign w:val="center"/>
          </w:tcPr>
          <w:p w14:paraId="780682AA">
            <w:pPr>
              <w:keepNext w:val="0"/>
              <w:keepLines w:val="0"/>
              <w:pageBreakBefore w:val="0"/>
              <w:suppressLineNumbers w:val="0"/>
              <w:kinsoku/>
              <w:wordWrap/>
              <w:overflowPunct/>
              <w:topLinePunct w:val="0"/>
              <w:bidi w:val="0"/>
              <w:adjustRightInd/>
              <w:snapToGrid/>
              <w:spacing w:before="0" w:beforeAutospacing="0" w:after="0" w:afterAutospacing="0" w:line="240" w:lineRule="auto"/>
              <w:ind w:left="0" w:right="0"/>
              <w:jc w:val="center"/>
              <w:textAlignment w:val="auto"/>
              <w:rPr>
                <w:rFonts w:hint="default"/>
                <w:b/>
                <w:sz w:val="18"/>
                <w:szCs w:val="18"/>
                <w:highlight w:val="none"/>
              </w:rPr>
            </w:pPr>
            <w:r>
              <w:rPr>
                <w:rFonts w:hint="eastAsia"/>
                <w:b/>
                <w:sz w:val="18"/>
                <w:szCs w:val="18"/>
                <w:highlight w:val="none"/>
              </w:rPr>
              <w:t>指标</w:t>
            </w:r>
          </w:p>
        </w:tc>
        <w:tc>
          <w:tcPr>
            <w:tcW w:w="2234" w:type="pct"/>
            <w:tcBorders>
              <w:bottom w:val="single" w:color="auto" w:sz="12" w:space="0"/>
            </w:tcBorders>
            <w:vAlign w:val="center"/>
          </w:tcPr>
          <w:p w14:paraId="30E4E6C1">
            <w:pPr>
              <w:keepNext w:val="0"/>
              <w:keepLines w:val="0"/>
              <w:pageBreakBefore w:val="0"/>
              <w:suppressLineNumbers w:val="0"/>
              <w:kinsoku/>
              <w:wordWrap/>
              <w:overflowPunct/>
              <w:topLinePunct w:val="0"/>
              <w:bidi w:val="0"/>
              <w:adjustRightInd/>
              <w:snapToGrid/>
              <w:spacing w:before="0" w:beforeAutospacing="0" w:after="0" w:afterAutospacing="0" w:line="240" w:lineRule="auto"/>
              <w:ind w:left="0" w:right="0"/>
              <w:jc w:val="center"/>
              <w:textAlignment w:val="auto"/>
              <w:rPr>
                <w:rFonts w:hint="default"/>
                <w:b/>
                <w:sz w:val="18"/>
                <w:szCs w:val="18"/>
                <w:highlight w:val="none"/>
              </w:rPr>
            </w:pPr>
            <w:r>
              <w:rPr>
                <w:rFonts w:hint="eastAsia"/>
                <w:b/>
                <w:sz w:val="18"/>
                <w:szCs w:val="18"/>
                <w:highlight w:val="none"/>
              </w:rPr>
              <w:t>符合性评价内容</w:t>
            </w:r>
          </w:p>
        </w:tc>
        <w:tc>
          <w:tcPr>
            <w:tcW w:w="1040" w:type="pct"/>
            <w:tcBorders>
              <w:bottom w:val="single" w:color="auto" w:sz="12" w:space="0"/>
            </w:tcBorders>
            <w:vAlign w:val="center"/>
          </w:tcPr>
          <w:p w14:paraId="0CC2698F">
            <w:pPr>
              <w:keepNext w:val="0"/>
              <w:keepLines w:val="0"/>
              <w:pageBreakBefore w:val="0"/>
              <w:suppressLineNumbers w:val="0"/>
              <w:kinsoku/>
              <w:wordWrap/>
              <w:overflowPunct/>
              <w:topLinePunct w:val="0"/>
              <w:bidi w:val="0"/>
              <w:adjustRightInd/>
              <w:snapToGrid/>
              <w:spacing w:before="0" w:beforeAutospacing="0" w:after="0" w:afterAutospacing="0" w:line="240" w:lineRule="auto"/>
              <w:ind w:left="0" w:right="0"/>
              <w:jc w:val="center"/>
              <w:textAlignment w:val="auto"/>
              <w:rPr>
                <w:rFonts w:hint="default"/>
                <w:b/>
                <w:sz w:val="18"/>
                <w:szCs w:val="18"/>
                <w:highlight w:val="none"/>
              </w:rPr>
            </w:pPr>
            <w:r>
              <w:rPr>
                <w:rFonts w:hint="eastAsia"/>
                <w:b/>
                <w:sz w:val="18"/>
                <w:szCs w:val="18"/>
                <w:highlight w:val="none"/>
              </w:rPr>
              <w:t>评价结果（是/否）</w:t>
            </w:r>
          </w:p>
        </w:tc>
        <w:tc>
          <w:tcPr>
            <w:tcW w:w="802" w:type="pct"/>
            <w:tcBorders>
              <w:bottom w:val="single" w:color="auto" w:sz="12" w:space="0"/>
            </w:tcBorders>
            <w:vAlign w:val="center"/>
          </w:tcPr>
          <w:p w14:paraId="478CA5B1">
            <w:pPr>
              <w:keepNext w:val="0"/>
              <w:keepLines w:val="0"/>
              <w:pageBreakBefore w:val="0"/>
              <w:suppressLineNumbers w:val="0"/>
              <w:kinsoku/>
              <w:wordWrap/>
              <w:overflowPunct/>
              <w:topLinePunct w:val="0"/>
              <w:bidi w:val="0"/>
              <w:adjustRightInd/>
              <w:snapToGrid/>
              <w:spacing w:before="0" w:beforeAutospacing="0" w:after="0" w:afterAutospacing="0" w:line="240" w:lineRule="auto"/>
              <w:ind w:left="0" w:right="0"/>
              <w:jc w:val="center"/>
              <w:textAlignment w:val="auto"/>
              <w:rPr>
                <w:rFonts w:hint="eastAsia" w:eastAsia="宋体"/>
                <w:b/>
                <w:sz w:val="18"/>
                <w:szCs w:val="18"/>
                <w:highlight w:val="none"/>
                <w:lang w:val="en-US" w:eastAsia="zh-CN"/>
              </w:rPr>
            </w:pPr>
            <w:r>
              <w:rPr>
                <w:rFonts w:hint="eastAsia"/>
                <w:b/>
                <w:sz w:val="18"/>
                <w:szCs w:val="18"/>
                <w:highlight w:val="none"/>
              </w:rPr>
              <w:t>佐证材料备注</w:t>
            </w:r>
            <w:r>
              <w:rPr>
                <w:rFonts w:hint="eastAsia" w:ascii="宋体" w:hAnsi="宋体" w:eastAsia="宋体" w:cs="宋体"/>
                <w:b w:val="0"/>
                <w:bCs/>
                <w:sz w:val="18"/>
                <w:szCs w:val="18"/>
                <w:highlight w:val="none"/>
                <w:vertAlign w:val="superscript"/>
                <w:lang w:val="en-US" w:eastAsia="zh-CN"/>
              </w:rPr>
              <w:t>a</w:t>
            </w:r>
          </w:p>
        </w:tc>
      </w:tr>
      <w:tr w14:paraId="7DD687C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564" w:hRule="atLeast"/>
          <w:jc w:val="center"/>
        </w:trPr>
        <w:tc>
          <w:tcPr>
            <w:tcW w:w="380" w:type="pct"/>
            <w:tcBorders>
              <w:top w:val="single" w:color="auto" w:sz="12" w:space="0"/>
              <w:tl2br w:val="nil"/>
              <w:tr2bl w:val="nil"/>
            </w:tcBorders>
            <w:vAlign w:val="center"/>
          </w:tcPr>
          <w:p w14:paraId="615A2144">
            <w:pPr>
              <w:keepNext w:val="0"/>
              <w:keepLines w:val="0"/>
              <w:pageBreakBefore w:val="0"/>
              <w:widowControl/>
              <w:suppressLineNumbers w:val="0"/>
              <w:kinsoku/>
              <w:wordWrap/>
              <w:overflowPunct/>
              <w:topLinePunct w:val="0"/>
              <w:bidi w:val="0"/>
              <w:adjustRightInd/>
              <w:snapToGrid/>
              <w:spacing w:before="0" w:beforeAutospacing="0" w:after="0" w:afterAutospacing="0" w:line="240" w:lineRule="auto"/>
              <w:ind w:left="0" w:right="0"/>
              <w:jc w:val="center"/>
              <w:textAlignment w:val="auto"/>
              <w:rPr>
                <w:rFonts w:hint="default" w:asciiTheme="minorEastAsia" w:hAnsiTheme="minorEastAsia" w:eastAsiaTheme="minorEastAsia"/>
                <w:color w:val="000000"/>
                <w:kern w:val="0"/>
                <w:sz w:val="18"/>
                <w:szCs w:val="18"/>
                <w:highlight w:val="none"/>
              </w:rPr>
            </w:pPr>
            <w:r>
              <w:rPr>
                <w:rFonts w:hint="eastAsia" w:asciiTheme="minorEastAsia" w:hAnsiTheme="minorEastAsia" w:eastAsiaTheme="minorEastAsia"/>
                <w:color w:val="000000"/>
                <w:kern w:val="0"/>
                <w:sz w:val="18"/>
                <w:szCs w:val="18"/>
                <w:highlight w:val="none"/>
              </w:rPr>
              <w:t>1</w:t>
            </w:r>
          </w:p>
        </w:tc>
        <w:tc>
          <w:tcPr>
            <w:tcW w:w="541" w:type="pct"/>
            <w:tcBorders>
              <w:top w:val="single" w:color="auto" w:sz="12" w:space="0"/>
              <w:tl2br w:val="nil"/>
              <w:tr2bl w:val="nil"/>
            </w:tcBorders>
            <w:vAlign w:val="center"/>
          </w:tcPr>
          <w:p w14:paraId="4ADD9F9D">
            <w:pPr>
              <w:keepNext w:val="0"/>
              <w:keepLines w:val="0"/>
              <w:pageBreakBefore w:val="0"/>
              <w:widowControl/>
              <w:suppressLineNumbers w:val="0"/>
              <w:kinsoku/>
              <w:wordWrap/>
              <w:overflowPunct/>
              <w:topLinePunct w:val="0"/>
              <w:bidi w:val="0"/>
              <w:adjustRightInd/>
              <w:snapToGrid/>
              <w:spacing w:before="0" w:beforeAutospacing="0" w:after="0" w:afterAutospacing="0" w:line="240" w:lineRule="auto"/>
              <w:ind w:left="0" w:right="0"/>
              <w:jc w:val="center"/>
              <w:textAlignment w:val="auto"/>
              <w:rPr>
                <w:rFonts w:hint="default"/>
                <w:color w:val="000000"/>
                <w:kern w:val="0"/>
                <w:sz w:val="18"/>
                <w:szCs w:val="18"/>
                <w:highlight w:val="none"/>
              </w:rPr>
            </w:pPr>
            <w:r>
              <w:rPr>
                <w:rFonts w:hint="eastAsia"/>
                <w:color w:val="000000"/>
                <w:kern w:val="0"/>
                <w:sz w:val="18"/>
                <w:szCs w:val="18"/>
                <w:highlight w:val="none"/>
              </w:rPr>
              <w:t>目录符合</w:t>
            </w:r>
          </w:p>
        </w:tc>
        <w:tc>
          <w:tcPr>
            <w:tcW w:w="2234" w:type="pct"/>
            <w:tcBorders>
              <w:top w:val="single" w:color="auto" w:sz="12" w:space="0"/>
              <w:tl2br w:val="nil"/>
              <w:tr2bl w:val="nil"/>
            </w:tcBorders>
            <w:vAlign w:val="center"/>
          </w:tcPr>
          <w:p w14:paraId="3BD32869">
            <w:pPr>
              <w:keepNext w:val="0"/>
              <w:keepLines w:val="0"/>
              <w:pageBreakBefore w:val="0"/>
              <w:widowControl/>
              <w:suppressLineNumbers w:val="0"/>
              <w:tabs>
                <w:tab w:val="center" w:pos="4201"/>
                <w:tab w:val="right" w:leader="dot" w:pos="9298"/>
              </w:tabs>
              <w:kinsoku/>
              <w:wordWrap/>
              <w:overflowPunct/>
              <w:topLinePunct w:val="0"/>
              <w:autoSpaceDE w:val="0"/>
              <w:autoSpaceDN w:val="0"/>
              <w:bidi w:val="0"/>
              <w:adjustRightInd/>
              <w:snapToGrid/>
              <w:spacing w:before="0" w:beforeAutospacing="0" w:after="0" w:afterAutospacing="0" w:line="240" w:lineRule="auto"/>
              <w:ind w:left="0" w:right="0"/>
              <w:textAlignment w:val="auto"/>
              <w:rPr>
                <w:rFonts w:hint="eastAsia" w:ascii="宋体" w:hAnsi="宋体" w:eastAsia="宋体" w:cs="宋体"/>
                <w:kern w:val="0"/>
                <w:sz w:val="18"/>
                <w:szCs w:val="18"/>
                <w:highlight w:val="none"/>
              </w:rPr>
            </w:pPr>
            <w:r>
              <w:rPr>
                <w:rFonts w:hint="eastAsia" w:ascii="宋体" w:hAnsi="宋体" w:eastAsia="宋体" w:cs="宋体"/>
                <w:sz w:val="18"/>
                <w:szCs w:val="18"/>
                <w:highlight w:val="none"/>
                <w:lang w:val="en-US" w:eastAsia="zh-CN"/>
              </w:rPr>
              <w:t>申报认定评价的绿色业务属于</w:t>
            </w:r>
            <w:r>
              <w:rPr>
                <w:rFonts w:hint="eastAsia" w:ascii="宋体" w:hAnsi="宋体" w:cs="宋体"/>
                <w:sz w:val="18"/>
                <w:szCs w:val="18"/>
                <w:highlight w:val="none"/>
                <w:lang w:val="en-US" w:eastAsia="zh-CN"/>
              </w:rPr>
              <w:t>温室气体控制</w:t>
            </w:r>
            <w:r>
              <w:rPr>
                <w:rFonts w:hint="eastAsia" w:ascii="宋体" w:hAnsi="宋体" w:eastAsia="宋体" w:cs="宋体"/>
                <w:sz w:val="18"/>
                <w:szCs w:val="18"/>
                <w:highlight w:val="none"/>
                <w:lang w:val="en-US" w:eastAsia="zh-CN"/>
              </w:rPr>
              <w:t>领域，且其</w:t>
            </w:r>
            <w:r>
              <w:rPr>
                <w:rFonts w:hint="eastAsia" w:ascii="宋体" w:hAnsi="宋体" w:cs="宋体"/>
                <w:sz w:val="18"/>
                <w:szCs w:val="18"/>
                <w:highlight w:val="none"/>
                <w:lang w:val="en-US" w:eastAsia="zh-CN"/>
              </w:rPr>
              <w:t>温室气体控制</w:t>
            </w:r>
            <w:r>
              <w:rPr>
                <w:rFonts w:hint="eastAsia" w:ascii="宋体" w:hAnsi="宋体" w:eastAsia="宋体" w:cs="宋体"/>
                <w:sz w:val="18"/>
                <w:szCs w:val="18"/>
                <w:highlight w:val="none"/>
                <w:lang w:val="en-US" w:eastAsia="zh-CN"/>
              </w:rPr>
              <w:t>领域绿色业务占比达到50%及以上，或绿色业务规模达到1亿元</w:t>
            </w:r>
            <w:r>
              <w:rPr>
                <w:rFonts w:hint="eastAsia" w:ascii="宋体" w:hAnsi="宋体" w:cs="宋体"/>
                <w:sz w:val="18"/>
                <w:szCs w:val="18"/>
                <w:highlight w:val="none"/>
                <w:lang w:val="en-US" w:eastAsia="zh-CN"/>
              </w:rPr>
              <w:t>；</w:t>
            </w:r>
            <w:r>
              <w:rPr>
                <w:rFonts w:hint="eastAsia" w:ascii="宋体" w:hAnsi="宋体" w:eastAsia="宋体" w:cs="宋体"/>
                <w:sz w:val="18"/>
                <w:szCs w:val="18"/>
                <w:highlight w:val="none"/>
                <w:lang w:val="en-US" w:eastAsia="zh-CN"/>
              </w:rPr>
              <w:t>或在</w:t>
            </w:r>
            <w:r>
              <w:rPr>
                <w:rFonts w:hint="eastAsia" w:ascii="宋体" w:hAnsi="宋体" w:cs="宋体"/>
                <w:sz w:val="18"/>
                <w:szCs w:val="18"/>
                <w:highlight w:val="none"/>
                <w:lang w:val="en-US" w:eastAsia="zh-CN"/>
              </w:rPr>
              <w:t>当地</w:t>
            </w:r>
            <w:r>
              <w:rPr>
                <w:rFonts w:hint="eastAsia" w:ascii="宋体" w:hAnsi="宋体" w:eastAsia="宋体" w:cs="宋体"/>
                <w:sz w:val="18"/>
                <w:szCs w:val="18"/>
                <w:highlight w:val="none"/>
                <w:lang w:val="en-US" w:eastAsia="zh-CN"/>
              </w:rPr>
              <w:t>具备一定市场规模</w:t>
            </w:r>
            <w:r>
              <w:rPr>
                <w:rFonts w:hint="eastAsia" w:ascii="宋体" w:hAnsi="宋体" w:cs="宋体"/>
                <w:sz w:val="18"/>
                <w:szCs w:val="18"/>
                <w:highlight w:val="none"/>
                <w:lang w:val="en-US" w:eastAsia="zh-CN"/>
              </w:rPr>
              <w:t>、</w:t>
            </w:r>
            <w:r>
              <w:rPr>
                <w:rFonts w:hint="eastAsia" w:ascii="宋体" w:hAnsi="宋体" w:eastAsia="宋体" w:cs="宋体"/>
                <w:sz w:val="18"/>
                <w:szCs w:val="18"/>
                <w:highlight w:val="none"/>
                <w:lang w:val="en-US" w:eastAsia="zh-CN"/>
              </w:rPr>
              <w:t>经相关政府职能部门认可的相关行业</w:t>
            </w:r>
          </w:p>
        </w:tc>
        <w:tc>
          <w:tcPr>
            <w:tcW w:w="1040" w:type="pct"/>
            <w:tcBorders>
              <w:top w:val="single" w:color="auto" w:sz="12" w:space="0"/>
              <w:tl2br w:val="nil"/>
              <w:tr2bl w:val="nil"/>
            </w:tcBorders>
            <w:vAlign w:val="center"/>
          </w:tcPr>
          <w:p w14:paraId="50F502D9">
            <w:pPr>
              <w:keepNext w:val="0"/>
              <w:keepLines w:val="0"/>
              <w:pageBreakBefore w:val="0"/>
              <w:suppressLineNumbers w:val="0"/>
              <w:kinsoku/>
              <w:wordWrap/>
              <w:overflowPunct/>
              <w:topLinePunct w:val="0"/>
              <w:bidi w:val="0"/>
              <w:adjustRightInd/>
              <w:snapToGrid/>
              <w:spacing w:before="0" w:beforeAutospacing="0" w:after="0" w:afterAutospacing="0" w:line="240" w:lineRule="auto"/>
              <w:ind w:left="0" w:right="0"/>
              <w:jc w:val="center"/>
              <w:textAlignment w:val="auto"/>
              <w:rPr>
                <w:rFonts w:hint="default" w:ascii="宋体" w:hAnsi="宋体" w:cs="宋体"/>
                <w:sz w:val="18"/>
                <w:szCs w:val="18"/>
                <w:highlight w:val="none"/>
              </w:rPr>
            </w:pPr>
          </w:p>
        </w:tc>
        <w:tc>
          <w:tcPr>
            <w:tcW w:w="802" w:type="pct"/>
            <w:tcBorders>
              <w:top w:val="single" w:color="auto" w:sz="12" w:space="0"/>
              <w:tl2br w:val="nil"/>
              <w:tr2bl w:val="nil"/>
            </w:tcBorders>
            <w:vAlign w:val="center"/>
          </w:tcPr>
          <w:p w14:paraId="2E0B6EB2">
            <w:pPr>
              <w:keepNext w:val="0"/>
              <w:keepLines w:val="0"/>
              <w:pageBreakBefore w:val="0"/>
              <w:suppressLineNumbers w:val="0"/>
              <w:kinsoku/>
              <w:wordWrap/>
              <w:overflowPunct/>
              <w:topLinePunct w:val="0"/>
              <w:bidi w:val="0"/>
              <w:adjustRightInd/>
              <w:snapToGrid/>
              <w:spacing w:before="0" w:beforeAutospacing="0" w:after="0" w:afterAutospacing="0" w:line="240" w:lineRule="auto"/>
              <w:ind w:left="0" w:right="0"/>
              <w:jc w:val="center"/>
              <w:textAlignment w:val="auto"/>
              <w:rPr>
                <w:rFonts w:hint="default" w:ascii="宋体" w:hAnsi="宋体" w:cs="宋体"/>
                <w:sz w:val="18"/>
                <w:szCs w:val="18"/>
                <w:highlight w:val="none"/>
              </w:rPr>
            </w:pPr>
          </w:p>
        </w:tc>
      </w:tr>
      <w:tr w14:paraId="362EF22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528" w:hRule="atLeast"/>
          <w:jc w:val="center"/>
        </w:trPr>
        <w:tc>
          <w:tcPr>
            <w:tcW w:w="380" w:type="pct"/>
            <w:tcBorders>
              <w:bottom w:val="single" w:color="auto" w:sz="12" w:space="0"/>
              <w:tl2br w:val="nil"/>
              <w:tr2bl w:val="nil"/>
            </w:tcBorders>
            <w:vAlign w:val="center"/>
          </w:tcPr>
          <w:p w14:paraId="2E706E7B">
            <w:pPr>
              <w:keepNext w:val="0"/>
              <w:keepLines w:val="0"/>
              <w:pageBreakBefore w:val="0"/>
              <w:widowControl/>
              <w:suppressLineNumbers w:val="0"/>
              <w:kinsoku/>
              <w:wordWrap/>
              <w:overflowPunct/>
              <w:topLinePunct w:val="0"/>
              <w:bidi w:val="0"/>
              <w:adjustRightInd/>
              <w:snapToGrid/>
              <w:spacing w:before="0" w:beforeAutospacing="0" w:after="0" w:afterAutospacing="0" w:line="240" w:lineRule="auto"/>
              <w:ind w:left="0" w:right="0"/>
              <w:jc w:val="center"/>
              <w:textAlignment w:val="auto"/>
              <w:rPr>
                <w:rFonts w:hint="default" w:asciiTheme="minorEastAsia" w:hAnsiTheme="minorEastAsia" w:eastAsiaTheme="minorEastAsia"/>
                <w:color w:val="000000"/>
                <w:kern w:val="0"/>
                <w:sz w:val="18"/>
                <w:szCs w:val="18"/>
                <w:highlight w:val="none"/>
              </w:rPr>
            </w:pPr>
            <w:r>
              <w:rPr>
                <w:rFonts w:hint="eastAsia" w:asciiTheme="minorEastAsia" w:hAnsiTheme="minorEastAsia" w:eastAsiaTheme="minorEastAsia"/>
                <w:color w:val="000000"/>
                <w:kern w:val="0"/>
                <w:sz w:val="18"/>
                <w:szCs w:val="18"/>
                <w:highlight w:val="none"/>
              </w:rPr>
              <w:t>2</w:t>
            </w:r>
          </w:p>
        </w:tc>
        <w:tc>
          <w:tcPr>
            <w:tcW w:w="541" w:type="pct"/>
            <w:tcBorders>
              <w:bottom w:val="single" w:color="auto" w:sz="12" w:space="0"/>
              <w:tl2br w:val="nil"/>
              <w:tr2bl w:val="nil"/>
            </w:tcBorders>
            <w:vAlign w:val="center"/>
          </w:tcPr>
          <w:p w14:paraId="4C8267A4">
            <w:pPr>
              <w:keepNext w:val="0"/>
              <w:keepLines w:val="0"/>
              <w:pageBreakBefore w:val="0"/>
              <w:widowControl/>
              <w:suppressLineNumbers w:val="0"/>
              <w:kinsoku/>
              <w:wordWrap/>
              <w:overflowPunct/>
              <w:topLinePunct w:val="0"/>
              <w:bidi w:val="0"/>
              <w:adjustRightInd/>
              <w:snapToGrid/>
              <w:spacing w:before="0" w:beforeAutospacing="0" w:after="0" w:afterAutospacing="0" w:line="240" w:lineRule="auto"/>
              <w:ind w:left="0" w:right="0"/>
              <w:jc w:val="center"/>
              <w:textAlignment w:val="auto"/>
              <w:rPr>
                <w:rFonts w:hint="default"/>
                <w:color w:val="000000"/>
                <w:kern w:val="0"/>
                <w:sz w:val="18"/>
                <w:szCs w:val="18"/>
                <w:highlight w:val="none"/>
              </w:rPr>
            </w:pPr>
            <w:r>
              <w:rPr>
                <w:rFonts w:hint="eastAsia"/>
                <w:kern w:val="0"/>
                <w:sz w:val="18"/>
                <w:szCs w:val="18"/>
                <w:highlight w:val="none"/>
              </w:rPr>
              <w:t>技术符合</w:t>
            </w:r>
          </w:p>
        </w:tc>
        <w:tc>
          <w:tcPr>
            <w:tcW w:w="2234" w:type="pct"/>
            <w:tcBorders>
              <w:bottom w:val="single" w:color="auto" w:sz="12" w:space="0"/>
              <w:tl2br w:val="nil"/>
              <w:tr2bl w:val="nil"/>
            </w:tcBorders>
            <w:vAlign w:val="center"/>
          </w:tcPr>
          <w:p w14:paraId="05EC6D2B">
            <w:pPr>
              <w:keepNext w:val="0"/>
              <w:keepLines w:val="0"/>
              <w:pageBreakBefore w:val="0"/>
              <w:widowControl/>
              <w:suppressLineNumbers w:val="0"/>
              <w:tabs>
                <w:tab w:val="center" w:pos="4201"/>
                <w:tab w:val="right" w:leader="dot" w:pos="9298"/>
              </w:tabs>
              <w:kinsoku/>
              <w:wordWrap/>
              <w:overflowPunct/>
              <w:topLinePunct w:val="0"/>
              <w:autoSpaceDE w:val="0"/>
              <w:autoSpaceDN w:val="0"/>
              <w:bidi w:val="0"/>
              <w:adjustRightInd/>
              <w:snapToGrid/>
              <w:spacing w:before="0" w:beforeAutospacing="0" w:after="0" w:afterAutospacing="0" w:line="240" w:lineRule="auto"/>
              <w:ind w:left="0" w:right="0"/>
              <w:textAlignment w:val="auto"/>
              <w:rPr>
                <w:rFonts w:hint="eastAsia" w:ascii="宋体" w:hAnsi="宋体" w:eastAsia="宋体" w:cs="宋体"/>
                <w:kern w:val="0"/>
                <w:sz w:val="18"/>
                <w:szCs w:val="18"/>
                <w:highlight w:val="none"/>
              </w:rPr>
            </w:pPr>
            <w:r>
              <w:rPr>
                <w:rFonts w:hint="eastAsia" w:ascii="宋体" w:hAnsi="宋体" w:eastAsia="宋体" w:cs="宋体"/>
                <w:sz w:val="18"/>
                <w:szCs w:val="18"/>
                <w:highlight w:val="none"/>
                <w:lang w:val="en-US" w:eastAsia="zh-CN"/>
              </w:rPr>
              <w:t>提供的产品或服务应符合国家、广东省及深圳市相关主管部门发布文件列明的有关设计、能效、性能、安全、贮存、回收、标识、验收、管理和运维等技术要求</w:t>
            </w:r>
          </w:p>
        </w:tc>
        <w:tc>
          <w:tcPr>
            <w:tcW w:w="1040" w:type="pct"/>
            <w:tcBorders>
              <w:bottom w:val="single" w:color="auto" w:sz="12" w:space="0"/>
              <w:tl2br w:val="nil"/>
              <w:tr2bl w:val="nil"/>
            </w:tcBorders>
            <w:vAlign w:val="center"/>
          </w:tcPr>
          <w:p w14:paraId="5C76CD49">
            <w:pPr>
              <w:keepNext w:val="0"/>
              <w:keepLines w:val="0"/>
              <w:pageBreakBefore w:val="0"/>
              <w:suppressLineNumbers w:val="0"/>
              <w:kinsoku/>
              <w:wordWrap/>
              <w:overflowPunct/>
              <w:topLinePunct w:val="0"/>
              <w:bidi w:val="0"/>
              <w:adjustRightInd/>
              <w:snapToGrid/>
              <w:spacing w:before="0" w:beforeAutospacing="0" w:after="0" w:afterAutospacing="0" w:line="240" w:lineRule="auto"/>
              <w:ind w:left="0" w:right="0"/>
              <w:jc w:val="center"/>
              <w:textAlignment w:val="auto"/>
              <w:rPr>
                <w:rFonts w:hint="default" w:ascii="宋体" w:hAnsi="宋体" w:cs="宋体"/>
                <w:sz w:val="18"/>
                <w:szCs w:val="18"/>
                <w:highlight w:val="none"/>
              </w:rPr>
            </w:pPr>
          </w:p>
        </w:tc>
        <w:tc>
          <w:tcPr>
            <w:tcW w:w="802" w:type="pct"/>
            <w:tcBorders>
              <w:bottom w:val="single" w:color="auto" w:sz="12" w:space="0"/>
              <w:tl2br w:val="nil"/>
              <w:tr2bl w:val="nil"/>
            </w:tcBorders>
            <w:vAlign w:val="center"/>
          </w:tcPr>
          <w:p w14:paraId="339046E4">
            <w:pPr>
              <w:keepNext w:val="0"/>
              <w:keepLines w:val="0"/>
              <w:pageBreakBefore w:val="0"/>
              <w:suppressLineNumbers w:val="0"/>
              <w:kinsoku/>
              <w:wordWrap/>
              <w:overflowPunct/>
              <w:topLinePunct w:val="0"/>
              <w:bidi w:val="0"/>
              <w:adjustRightInd/>
              <w:snapToGrid/>
              <w:spacing w:before="0" w:beforeAutospacing="0" w:after="0" w:afterAutospacing="0" w:line="240" w:lineRule="auto"/>
              <w:ind w:left="0" w:right="0"/>
              <w:jc w:val="center"/>
              <w:textAlignment w:val="auto"/>
              <w:rPr>
                <w:rFonts w:hint="default" w:ascii="宋体" w:hAnsi="宋体" w:cs="宋体"/>
                <w:sz w:val="18"/>
                <w:szCs w:val="18"/>
                <w:highlight w:val="none"/>
              </w:rPr>
            </w:pPr>
          </w:p>
        </w:tc>
      </w:tr>
      <w:tr w14:paraId="439E804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5000" w:type="pct"/>
            <w:gridSpan w:val="5"/>
            <w:tcBorders>
              <w:top w:val="single" w:color="auto" w:sz="12" w:space="0"/>
            </w:tcBorders>
            <w:vAlign w:val="center"/>
          </w:tcPr>
          <w:p w14:paraId="22BA11F1">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360" w:firstLineChars="200"/>
              <w:jc w:val="left"/>
              <w:textAlignment w:val="auto"/>
              <w:rPr>
                <w:rFonts w:hint="eastAsia" w:ascii="宋体" w:hAnsi="宋体" w:cs="宋体"/>
                <w:sz w:val="18"/>
                <w:szCs w:val="18"/>
                <w:highlight w:val="none"/>
              </w:rPr>
            </w:pPr>
            <w:r>
              <w:rPr>
                <w:rStyle w:val="157"/>
                <w:rFonts w:hint="eastAsia" w:asciiTheme="minorEastAsia" w:hAnsiTheme="minorEastAsia" w:eastAsiaTheme="minorEastAsia" w:cstheme="minorEastAsia"/>
                <w:sz w:val="18"/>
                <w:szCs w:val="18"/>
                <w:highlight w:val="none"/>
                <w:vertAlign w:val="superscript"/>
              </w:rPr>
              <w:t>a</w:t>
            </w:r>
            <w:r>
              <w:rPr>
                <w:rFonts w:hint="eastAsia" w:cs="宋体" w:asciiTheme="minorEastAsia" w:hAnsiTheme="minorEastAsia" w:eastAsiaTheme="minorEastAsia"/>
                <w:sz w:val="18"/>
                <w:szCs w:val="18"/>
                <w:highlight w:val="none"/>
              </w:rPr>
              <w:t xml:space="preserve"> 给出材料对应的具体页码，例如，见第4页。</w:t>
            </w:r>
          </w:p>
        </w:tc>
      </w:tr>
    </w:tbl>
    <w:p w14:paraId="3388512F">
      <w:pPr>
        <w:pStyle w:val="92"/>
        <w:numPr>
          <w:ilvl w:val="1"/>
          <w:numId w:val="0"/>
        </w:numPr>
        <w:tabs>
          <w:tab w:val="clear" w:pos="0"/>
        </w:tabs>
        <w:spacing w:before="156" w:after="156"/>
        <w:rPr>
          <w:rFonts w:hAnsi="黑体"/>
          <w:highlight w:val="none"/>
        </w:rPr>
      </w:pPr>
      <w:r>
        <w:rPr>
          <w:rFonts w:hint="eastAsia" w:hAnsi="黑体"/>
          <w:highlight w:val="none"/>
        </w:rPr>
        <w:t>表</w:t>
      </w:r>
      <w:r>
        <w:rPr>
          <w:rFonts w:hint="eastAsia" w:hAnsi="黑体"/>
          <w:highlight w:val="none"/>
          <w:lang w:val="en-US" w:eastAsia="zh-CN"/>
        </w:rPr>
        <w:t>C</w:t>
      </w:r>
      <w:r>
        <w:rPr>
          <w:rFonts w:hint="eastAsia" w:hAnsi="黑体"/>
          <w:highlight w:val="none"/>
        </w:rPr>
        <w:t>.</w:t>
      </w:r>
      <w:r>
        <w:rPr>
          <w:rFonts w:hint="eastAsia" w:hAnsi="黑体"/>
          <w:highlight w:val="none"/>
          <w:lang w:val="en-US" w:eastAsia="zh-CN"/>
        </w:rPr>
        <w:t xml:space="preserve">4  </w:t>
      </w:r>
      <w:r>
        <w:rPr>
          <w:rFonts w:hint="eastAsia" w:hAnsi="黑体"/>
          <w:highlight w:val="none"/>
        </w:rPr>
        <w:t>综合评价</w:t>
      </w:r>
    </w:p>
    <w:tbl>
      <w:tblPr>
        <w:tblStyle w:val="36"/>
        <w:tblW w:w="4994" w:type="pct"/>
        <w:jc w:val="center"/>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autofit"/>
        <w:tblCellMar>
          <w:top w:w="0" w:type="dxa"/>
          <w:left w:w="108" w:type="dxa"/>
          <w:bottom w:w="0" w:type="dxa"/>
          <w:right w:w="108" w:type="dxa"/>
        </w:tblCellMar>
      </w:tblPr>
      <w:tblGrid>
        <w:gridCol w:w="1192"/>
        <w:gridCol w:w="1434"/>
        <w:gridCol w:w="2761"/>
        <w:gridCol w:w="1138"/>
        <w:gridCol w:w="1354"/>
        <w:gridCol w:w="1680"/>
      </w:tblGrid>
      <w:tr w14:paraId="5E637AF0">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90" w:hRule="atLeast"/>
          <w:tblHeader/>
          <w:jc w:val="center"/>
        </w:trPr>
        <w:tc>
          <w:tcPr>
            <w:tcW w:w="624" w:type="pct"/>
            <w:tcBorders>
              <w:bottom w:val="single" w:color="000000" w:sz="12" w:space="0"/>
            </w:tcBorders>
            <w:vAlign w:val="center"/>
          </w:tcPr>
          <w:p w14:paraId="4B6EC63B">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b/>
                <w:kern w:val="0"/>
                <w:sz w:val="18"/>
                <w:szCs w:val="18"/>
                <w:highlight w:val="none"/>
              </w:rPr>
            </w:pPr>
            <w:r>
              <w:rPr>
                <w:rFonts w:hint="eastAsia"/>
                <w:b/>
                <w:kern w:val="0"/>
                <w:sz w:val="18"/>
                <w:szCs w:val="18"/>
                <w:highlight w:val="none"/>
              </w:rPr>
              <w:t>一级指标</w:t>
            </w:r>
          </w:p>
        </w:tc>
        <w:tc>
          <w:tcPr>
            <w:tcW w:w="750" w:type="pct"/>
            <w:tcBorders>
              <w:bottom w:val="single" w:color="000000" w:sz="12" w:space="0"/>
            </w:tcBorders>
            <w:vAlign w:val="center"/>
          </w:tcPr>
          <w:p w14:paraId="0AFA142B">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b/>
                <w:kern w:val="0"/>
                <w:sz w:val="18"/>
                <w:szCs w:val="18"/>
                <w:highlight w:val="none"/>
              </w:rPr>
            </w:pPr>
            <w:r>
              <w:rPr>
                <w:rFonts w:hint="eastAsia"/>
                <w:b/>
                <w:kern w:val="0"/>
                <w:sz w:val="18"/>
                <w:szCs w:val="18"/>
                <w:highlight w:val="none"/>
              </w:rPr>
              <w:t>二级指标</w:t>
            </w:r>
          </w:p>
        </w:tc>
        <w:tc>
          <w:tcPr>
            <w:tcW w:w="1444" w:type="pct"/>
            <w:tcBorders>
              <w:bottom w:val="single" w:color="000000" w:sz="12" w:space="0"/>
            </w:tcBorders>
            <w:vAlign w:val="center"/>
          </w:tcPr>
          <w:p w14:paraId="0459699C">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b/>
                <w:kern w:val="0"/>
                <w:sz w:val="18"/>
                <w:szCs w:val="18"/>
                <w:highlight w:val="none"/>
              </w:rPr>
            </w:pPr>
            <w:r>
              <w:rPr>
                <w:rFonts w:hint="eastAsia"/>
                <w:b/>
                <w:kern w:val="0"/>
                <w:sz w:val="18"/>
                <w:szCs w:val="18"/>
                <w:highlight w:val="none"/>
              </w:rPr>
              <w:t>三级指标</w:t>
            </w:r>
          </w:p>
        </w:tc>
        <w:tc>
          <w:tcPr>
            <w:tcW w:w="594" w:type="pct"/>
            <w:tcBorders>
              <w:bottom w:val="single" w:color="000000" w:sz="12" w:space="0"/>
            </w:tcBorders>
            <w:vAlign w:val="center"/>
          </w:tcPr>
          <w:p w14:paraId="5973A85B">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eastAsia" w:eastAsia="宋体"/>
                <w:b/>
                <w:kern w:val="0"/>
                <w:sz w:val="18"/>
                <w:szCs w:val="18"/>
                <w:highlight w:val="none"/>
                <w:lang w:eastAsia="zh-CN"/>
              </w:rPr>
            </w:pPr>
            <w:r>
              <w:rPr>
                <w:rFonts w:hint="eastAsia"/>
                <w:b/>
                <w:kern w:val="0"/>
                <w:sz w:val="18"/>
                <w:szCs w:val="18"/>
                <w:highlight w:val="none"/>
              </w:rPr>
              <w:t>分值</w:t>
            </w:r>
            <w:r>
              <w:rPr>
                <w:rFonts w:hint="eastAsia"/>
                <w:b/>
                <w:kern w:val="0"/>
                <w:sz w:val="18"/>
                <w:szCs w:val="18"/>
                <w:highlight w:val="none"/>
                <w:lang w:eastAsia="zh-CN"/>
              </w:rPr>
              <w:t>（</w:t>
            </w:r>
            <w:r>
              <w:rPr>
                <w:rFonts w:hint="eastAsia"/>
                <w:b/>
                <w:kern w:val="0"/>
                <w:sz w:val="18"/>
                <w:szCs w:val="18"/>
                <w:highlight w:val="none"/>
                <w:lang w:val="en-US" w:eastAsia="zh-CN"/>
              </w:rPr>
              <w:t>分</w:t>
            </w:r>
            <w:r>
              <w:rPr>
                <w:rFonts w:hint="eastAsia"/>
                <w:b/>
                <w:kern w:val="0"/>
                <w:sz w:val="18"/>
                <w:szCs w:val="18"/>
                <w:highlight w:val="none"/>
                <w:lang w:eastAsia="zh-CN"/>
              </w:rPr>
              <w:t>）</w:t>
            </w:r>
          </w:p>
        </w:tc>
        <w:tc>
          <w:tcPr>
            <w:tcW w:w="708" w:type="pct"/>
            <w:tcBorders>
              <w:bottom w:val="single" w:color="000000" w:sz="12" w:space="0"/>
            </w:tcBorders>
            <w:vAlign w:val="center"/>
          </w:tcPr>
          <w:p w14:paraId="065C101D">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eastAsia" w:eastAsia="宋体"/>
                <w:b/>
                <w:kern w:val="0"/>
                <w:sz w:val="18"/>
                <w:szCs w:val="18"/>
                <w:highlight w:val="none"/>
                <w:lang w:eastAsia="zh-CN"/>
              </w:rPr>
            </w:pPr>
            <w:r>
              <w:rPr>
                <w:rFonts w:hint="eastAsia"/>
                <w:b/>
                <w:kern w:val="0"/>
                <w:sz w:val="18"/>
                <w:szCs w:val="18"/>
                <w:highlight w:val="none"/>
                <w:lang w:val="en-US" w:eastAsia="zh-CN"/>
              </w:rPr>
              <w:t>评价</w:t>
            </w:r>
            <w:r>
              <w:rPr>
                <w:rFonts w:hint="eastAsia"/>
                <w:b/>
                <w:kern w:val="0"/>
                <w:sz w:val="18"/>
                <w:szCs w:val="18"/>
                <w:highlight w:val="none"/>
              </w:rPr>
              <w:t>得分</w:t>
            </w:r>
            <w:r>
              <w:rPr>
                <w:rFonts w:hint="eastAsia"/>
                <w:b/>
                <w:kern w:val="0"/>
                <w:sz w:val="18"/>
                <w:szCs w:val="18"/>
                <w:highlight w:val="none"/>
                <w:lang w:eastAsia="zh-CN"/>
              </w:rPr>
              <w:t>（</w:t>
            </w:r>
            <w:r>
              <w:rPr>
                <w:rFonts w:hint="eastAsia"/>
                <w:b/>
                <w:kern w:val="0"/>
                <w:sz w:val="18"/>
                <w:szCs w:val="18"/>
                <w:highlight w:val="none"/>
                <w:lang w:val="en-US" w:eastAsia="zh-CN"/>
              </w:rPr>
              <w:t>分</w:t>
            </w:r>
            <w:r>
              <w:rPr>
                <w:rFonts w:hint="eastAsia"/>
                <w:b/>
                <w:kern w:val="0"/>
                <w:sz w:val="18"/>
                <w:szCs w:val="18"/>
                <w:highlight w:val="none"/>
                <w:lang w:eastAsia="zh-CN"/>
              </w:rPr>
              <w:t>）</w:t>
            </w:r>
          </w:p>
        </w:tc>
        <w:tc>
          <w:tcPr>
            <w:tcW w:w="878" w:type="pct"/>
            <w:tcBorders>
              <w:bottom w:val="single" w:color="000000" w:sz="12" w:space="0"/>
            </w:tcBorders>
            <w:vAlign w:val="center"/>
          </w:tcPr>
          <w:p w14:paraId="0F7A2EEA">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eastAsia" w:eastAsia="宋体"/>
                <w:b/>
                <w:kern w:val="0"/>
                <w:sz w:val="18"/>
                <w:szCs w:val="18"/>
                <w:highlight w:val="none"/>
                <w:lang w:val="en-US" w:eastAsia="zh-CN"/>
              </w:rPr>
            </w:pPr>
            <w:r>
              <w:rPr>
                <w:rFonts w:hint="eastAsia"/>
                <w:b/>
                <w:kern w:val="0"/>
                <w:sz w:val="18"/>
                <w:szCs w:val="18"/>
                <w:highlight w:val="none"/>
              </w:rPr>
              <w:t>佐证材料备注</w:t>
            </w:r>
            <w:r>
              <w:rPr>
                <w:rFonts w:hint="eastAsia" w:ascii="宋体" w:hAnsi="宋体" w:eastAsia="宋体" w:cs="宋体"/>
                <w:b w:val="0"/>
                <w:bCs/>
                <w:kern w:val="0"/>
                <w:sz w:val="18"/>
                <w:szCs w:val="18"/>
                <w:highlight w:val="none"/>
                <w:vertAlign w:val="superscript"/>
                <w:lang w:val="en-US" w:eastAsia="zh-CN"/>
              </w:rPr>
              <w:t>a</w:t>
            </w:r>
          </w:p>
        </w:tc>
      </w:tr>
      <w:tr w14:paraId="5433671D">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17" w:hRule="exact"/>
          <w:jc w:val="center"/>
        </w:trPr>
        <w:tc>
          <w:tcPr>
            <w:tcW w:w="624" w:type="pct"/>
            <w:vMerge w:val="restart"/>
            <w:tcBorders>
              <w:top w:val="single" w:color="000000" w:sz="12" w:space="0"/>
              <w:tl2br w:val="nil"/>
              <w:tr2bl w:val="nil"/>
            </w:tcBorders>
            <w:vAlign w:val="center"/>
          </w:tcPr>
          <w:p w14:paraId="11298102">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hAnsi="宋体" w:cs="宋体"/>
                <w:kern w:val="0"/>
                <w:sz w:val="18"/>
                <w:szCs w:val="18"/>
                <w:highlight w:val="none"/>
              </w:rPr>
            </w:pPr>
            <w:r>
              <w:rPr>
                <w:rFonts w:hint="eastAsia" w:ascii="宋体" w:hAnsi="宋体" w:cs="宋体"/>
                <w:kern w:val="0"/>
                <w:sz w:val="18"/>
                <w:szCs w:val="18"/>
                <w:highlight w:val="none"/>
              </w:rPr>
              <w:t>技术表现</w:t>
            </w:r>
          </w:p>
        </w:tc>
        <w:tc>
          <w:tcPr>
            <w:tcW w:w="750" w:type="pct"/>
            <w:vMerge w:val="restart"/>
            <w:tcBorders>
              <w:top w:val="single" w:color="000000" w:sz="12" w:space="0"/>
              <w:tl2br w:val="nil"/>
              <w:tr2bl w:val="nil"/>
            </w:tcBorders>
            <w:vAlign w:val="center"/>
          </w:tcPr>
          <w:p w14:paraId="1DBE8C61">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hAnsi="宋体" w:cs="宋体"/>
                <w:kern w:val="0"/>
                <w:sz w:val="18"/>
                <w:szCs w:val="18"/>
                <w:highlight w:val="none"/>
              </w:rPr>
            </w:pPr>
            <w:r>
              <w:rPr>
                <w:rFonts w:hint="eastAsia" w:ascii="宋体" w:hAnsi="宋体" w:cs="宋体"/>
                <w:kern w:val="0"/>
                <w:sz w:val="18"/>
                <w:szCs w:val="18"/>
                <w:highlight w:val="none"/>
              </w:rPr>
              <w:t>先进性</w:t>
            </w:r>
          </w:p>
        </w:tc>
        <w:tc>
          <w:tcPr>
            <w:tcW w:w="1444" w:type="pct"/>
            <w:tcBorders>
              <w:top w:val="single" w:color="000000" w:sz="12" w:space="0"/>
              <w:tl2br w:val="nil"/>
              <w:tr2bl w:val="nil"/>
            </w:tcBorders>
            <w:vAlign w:val="center"/>
          </w:tcPr>
          <w:p w14:paraId="291A73F6">
            <w:pPr>
              <w:pStyle w:val="26"/>
              <w:keepNext w:val="0"/>
              <w:keepLines w:val="0"/>
              <w:widowControl/>
              <w:suppressLineNumbers w:val="0"/>
              <w:spacing w:before="0" w:beforeAutospacing="0" w:after="0" w:afterAutospacing="0"/>
              <w:ind w:left="0" w:right="0" w:firstLine="0" w:firstLineChars="0"/>
              <w:jc w:val="center"/>
              <w:rPr>
                <w:rFonts w:hint="default" w:hAnsi="宋体" w:cs="宋体"/>
                <w:sz w:val="18"/>
                <w:szCs w:val="18"/>
                <w:highlight w:val="none"/>
              </w:rPr>
            </w:pPr>
            <w:r>
              <w:rPr>
                <w:rFonts w:hint="eastAsia" w:hAnsi="宋体" w:cs="宋体"/>
                <w:sz w:val="18"/>
                <w:szCs w:val="18"/>
                <w:highlight w:val="none"/>
              </w:rPr>
              <w:t>有效知识产权</w:t>
            </w:r>
          </w:p>
        </w:tc>
        <w:tc>
          <w:tcPr>
            <w:tcW w:w="594" w:type="pct"/>
            <w:tcBorders>
              <w:top w:val="single" w:color="000000" w:sz="12" w:space="0"/>
              <w:tl2br w:val="nil"/>
              <w:tr2bl w:val="nil"/>
            </w:tcBorders>
            <w:vAlign w:val="center"/>
          </w:tcPr>
          <w:p w14:paraId="5C911BC2">
            <w:pPr>
              <w:keepNext w:val="0"/>
              <w:keepLines w:val="0"/>
              <w:widowControl/>
              <w:suppressLineNumbers w:val="0"/>
              <w:spacing w:before="0" w:beforeAutospacing="0" w:after="0" w:afterAutospacing="0"/>
              <w:ind w:left="0" w:right="0"/>
              <w:jc w:val="center"/>
              <w:textAlignment w:val="center"/>
              <w:rPr>
                <w:rFonts w:hint="default" w:ascii="宋体" w:hAnsi="宋体" w:cs="宋体"/>
                <w:kern w:val="0"/>
                <w:sz w:val="18"/>
                <w:szCs w:val="18"/>
                <w:highlight w:val="none"/>
              </w:rPr>
            </w:pPr>
            <w:r>
              <w:rPr>
                <w:rFonts w:hint="eastAsia" w:ascii="宋体" w:hAnsi="宋体" w:cs="宋体"/>
                <w:color w:val="000000"/>
                <w:kern w:val="0"/>
                <w:sz w:val="18"/>
                <w:szCs w:val="18"/>
                <w:highlight w:val="none"/>
                <w:lang w:bidi="ar"/>
              </w:rPr>
              <w:t>4</w:t>
            </w:r>
          </w:p>
        </w:tc>
        <w:tc>
          <w:tcPr>
            <w:tcW w:w="708" w:type="pct"/>
            <w:tcBorders>
              <w:top w:val="single" w:color="000000" w:sz="12" w:space="0"/>
              <w:tl2br w:val="nil"/>
              <w:tr2bl w:val="nil"/>
            </w:tcBorders>
            <w:vAlign w:val="center"/>
          </w:tcPr>
          <w:p w14:paraId="21C9DC88">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hAnsi="宋体" w:cs="宋体"/>
                <w:kern w:val="0"/>
                <w:sz w:val="18"/>
                <w:szCs w:val="18"/>
                <w:highlight w:val="none"/>
              </w:rPr>
            </w:pPr>
          </w:p>
        </w:tc>
        <w:tc>
          <w:tcPr>
            <w:tcW w:w="878" w:type="pct"/>
            <w:tcBorders>
              <w:top w:val="single" w:color="000000" w:sz="12" w:space="0"/>
              <w:tl2br w:val="nil"/>
              <w:tr2bl w:val="nil"/>
            </w:tcBorders>
            <w:vAlign w:val="center"/>
          </w:tcPr>
          <w:p w14:paraId="65B4B7C3">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hAnsi="宋体" w:cs="宋体"/>
                <w:kern w:val="0"/>
                <w:sz w:val="18"/>
                <w:szCs w:val="18"/>
                <w:highlight w:val="none"/>
              </w:rPr>
            </w:pPr>
          </w:p>
        </w:tc>
      </w:tr>
      <w:tr w14:paraId="4FAB4F60">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17" w:hRule="exact"/>
          <w:jc w:val="center"/>
        </w:trPr>
        <w:tc>
          <w:tcPr>
            <w:tcW w:w="624" w:type="pct"/>
            <w:vMerge w:val="continue"/>
            <w:tcBorders>
              <w:tl2br w:val="nil"/>
              <w:tr2bl w:val="nil"/>
            </w:tcBorders>
            <w:vAlign w:val="center"/>
          </w:tcPr>
          <w:p w14:paraId="0FC6DAA3">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hAnsi="宋体" w:cs="宋体"/>
                <w:kern w:val="0"/>
                <w:sz w:val="18"/>
                <w:szCs w:val="18"/>
                <w:highlight w:val="none"/>
              </w:rPr>
            </w:pPr>
          </w:p>
        </w:tc>
        <w:tc>
          <w:tcPr>
            <w:tcW w:w="750" w:type="pct"/>
            <w:vMerge w:val="continue"/>
            <w:tcBorders>
              <w:tl2br w:val="nil"/>
              <w:tr2bl w:val="nil"/>
            </w:tcBorders>
            <w:vAlign w:val="center"/>
          </w:tcPr>
          <w:p w14:paraId="58D5521B">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hAnsi="宋体" w:cs="宋体"/>
                <w:kern w:val="0"/>
                <w:sz w:val="18"/>
                <w:szCs w:val="18"/>
                <w:highlight w:val="none"/>
              </w:rPr>
            </w:pPr>
          </w:p>
        </w:tc>
        <w:tc>
          <w:tcPr>
            <w:tcW w:w="1444" w:type="pct"/>
            <w:tcBorders>
              <w:tl2br w:val="nil"/>
              <w:tr2bl w:val="nil"/>
            </w:tcBorders>
            <w:vAlign w:val="center"/>
          </w:tcPr>
          <w:p w14:paraId="4BB3BC0C">
            <w:pPr>
              <w:pStyle w:val="26"/>
              <w:keepNext w:val="0"/>
              <w:keepLines w:val="0"/>
              <w:widowControl/>
              <w:suppressLineNumbers w:val="0"/>
              <w:spacing w:before="0" w:beforeAutospacing="0" w:after="0" w:afterAutospacing="0"/>
              <w:ind w:left="0" w:right="0" w:firstLine="0" w:firstLineChars="0"/>
              <w:jc w:val="center"/>
              <w:rPr>
                <w:rFonts w:hint="default" w:hAnsi="宋体" w:cs="宋体"/>
                <w:sz w:val="18"/>
                <w:szCs w:val="18"/>
                <w:highlight w:val="none"/>
              </w:rPr>
            </w:pPr>
            <w:r>
              <w:rPr>
                <w:rFonts w:hint="eastAsia" w:hAnsi="宋体" w:cs="宋体"/>
                <w:sz w:val="18"/>
                <w:szCs w:val="18"/>
                <w:highlight w:val="none"/>
              </w:rPr>
              <w:t>制修订标准</w:t>
            </w:r>
          </w:p>
        </w:tc>
        <w:tc>
          <w:tcPr>
            <w:tcW w:w="594" w:type="pct"/>
            <w:tcBorders>
              <w:tl2br w:val="nil"/>
              <w:tr2bl w:val="nil"/>
            </w:tcBorders>
            <w:vAlign w:val="center"/>
          </w:tcPr>
          <w:p w14:paraId="2C896B5F">
            <w:pPr>
              <w:keepNext w:val="0"/>
              <w:keepLines w:val="0"/>
              <w:widowControl/>
              <w:suppressLineNumbers w:val="0"/>
              <w:spacing w:before="0" w:beforeAutospacing="0" w:after="0" w:afterAutospacing="0"/>
              <w:ind w:left="0" w:right="0"/>
              <w:jc w:val="center"/>
              <w:textAlignment w:val="center"/>
              <w:rPr>
                <w:rFonts w:hint="default" w:ascii="宋体" w:hAnsi="宋体" w:cs="宋体"/>
                <w:kern w:val="0"/>
                <w:sz w:val="18"/>
                <w:szCs w:val="18"/>
                <w:highlight w:val="none"/>
              </w:rPr>
            </w:pPr>
            <w:r>
              <w:rPr>
                <w:rFonts w:hint="eastAsia" w:ascii="宋体" w:hAnsi="宋体" w:cs="宋体"/>
                <w:color w:val="000000"/>
                <w:kern w:val="0"/>
                <w:sz w:val="18"/>
                <w:szCs w:val="18"/>
                <w:highlight w:val="none"/>
                <w:lang w:bidi="ar"/>
              </w:rPr>
              <w:t>4</w:t>
            </w:r>
          </w:p>
        </w:tc>
        <w:tc>
          <w:tcPr>
            <w:tcW w:w="708" w:type="pct"/>
            <w:tcBorders>
              <w:tl2br w:val="nil"/>
              <w:tr2bl w:val="nil"/>
            </w:tcBorders>
            <w:vAlign w:val="center"/>
          </w:tcPr>
          <w:p w14:paraId="4A88488B">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hAnsi="宋体" w:cs="宋体"/>
                <w:kern w:val="0"/>
                <w:sz w:val="18"/>
                <w:szCs w:val="18"/>
                <w:highlight w:val="none"/>
              </w:rPr>
            </w:pPr>
          </w:p>
        </w:tc>
        <w:tc>
          <w:tcPr>
            <w:tcW w:w="878" w:type="pct"/>
            <w:tcBorders>
              <w:tl2br w:val="nil"/>
              <w:tr2bl w:val="nil"/>
            </w:tcBorders>
            <w:vAlign w:val="center"/>
          </w:tcPr>
          <w:p w14:paraId="7763BCFA">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hAnsi="宋体" w:cs="宋体"/>
                <w:kern w:val="0"/>
                <w:sz w:val="18"/>
                <w:szCs w:val="18"/>
                <w:highlight w:val="none"/>
              </w:rPr>
            </w:pPr>
          </w:p>
        </w:tc>
      </w:tr>
      <w:tr w14:paraId="54A8577B">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17" w:hRule="exact"/>
          <w:jc w:val="center"/>
        </w:trPr>
        <w:tc>
          <w:tcPr>
            <w:tcW w:w="624" w:type="pct"/>
            <w:vMerge w:val="continue"/>
            <w:tcBorders>
              <w:tl2br w:val="nil"/>
              <w:tr2bl w:val="nil"/>
            </w:tcBorders>
            <w:vAlign w:val="center"/>
          </w:tcPr>
          <w:p w14:paraId="0BCB0F40">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hAnsi="宋体" w:cs="宋体"/>
                <w:kern w:val="0"/>
                <w:sz w:val="18"/>
                <w:szCs w:val="18"/>
                <w:highlight w:val="none"/>
              </w:rPr>
            </w:pPr>
          </w:p>
        </w:tc>
        <w:tc>
          <w:tcPr>
            <w:tcW w:w="750" w:type="pct"/>
            <w:vMerge w:val="continue"/>
            <w:tcBorders>
              <w:tl2br w:val="nil"/>
              <w:tr2bl w:val="nil"/>
            </w:tcBorders>
            <w:vAlign w:val="center"/>
          </w:tcPr>
          <w:p w14:paraId="6E333680">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hAnsi="宋体" w:cs="宋体"/>
                <w:kern w:val="0"/>
                <w:sz w:val="18"/>
                <w:szCs w:val="18"/>
                <w:highlight w:val="none"/>
              </w:rPr>
            </w:pPr>
          </w:p>
        </w:tc>
        <w:tc>
          <w:tcPr>
            <w:tcW w:w="1444" w:type="pct"/>
            <w:tcBorders>
              <w:tl2br w:val="nil"/>
              <w:tr2bl w:val="nil"/>
            </w:tcBorders>
            <w:vAlign w:val="center"/>
          </w:tcPr>
          <w:p w14:paraId="62F6BBB6">
            <w:pPr>
              <w:pStyle w:val="26"/>
              <w:keepNext w:val="0"/>
              <w:keepLines w:val="0"/>
              <w:widowControl/>
              <w:suppressLineNumbers w:val="0"/>
              <w:spacing w:before="0" w:beforeAutospacing="0" w:after="0" w:afterAutospacing="0"/>
              <w:ind w:left="0" w:right="0" w:firstLine="0" w:firstLineChars="0"/>
              <w:jc w:val="center"/>
              <w:rPr>
                <w:rFonts w:hint="default" w:hAnsi="宋体" w:cs="宋体"/>
                <w:sz w:val="18"/>
                <w:szCs w:val="18"/>
                <w:highlight w:val="none"/>
              </w:rPr>
            </w:pPr>
            <w:r>
              <w:rPr>
                <w:rFonts w:hint="eastAsia" w:hAnsi="宋体" w:cs="宋体"/>
                <w:sz w:val="18"/>
                <w:szCs w:val="18"/>
                <w:highlight w:val="none"/>
                <w:lang w:val="en-US" w:eastAsia="zh-CN"/>
              </w:rPr>
              <w:t>关键</w:t>
            </w:r>
            <w:r>
              <w:rPr>
                <w:rFonts w:hint="eastAsia" w:hAnsi="宋体" w:cs="宋体"/>
                <w:sz w:val="18"/>
                <w:szCs w:val="18"/>
                <w:highlight w:val="none"/>
              </w:rPr>
              <w:t>技术先进水平</w:t>
            </w:r>
          </w:p>
        </w:tc>
        <w:tc>
          <w:tcPr>
            <w:tcW w:w="594" w:type="pct"/>
            <w:tcBorders>
              <w:tl2br w:val="nil"/>
              <w:tr2bl w:val="nil"/>
            </w:tcBorders>
            <w:vAlign w:val="center"/>
          </w:tcPr>
          <w:p w14:paraId="6C27A2FA">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kern w:val="0"/>
                <w:sz w:val="18"/>
                <w:szCs w:val="18"/>
                <w:highlight w:val="none"/>
                <w:lang w:val="en-US" w:eastAsia="zh-CN"/>
              </w:rPr>
            </w:pPr>
            <w:r>
              <w:rPr>
                <w:rFonts w:hint="eastAsia" w:ascii="宋体" w:hAnsi="宋体" w:cs="宋体"/>
                <w:color w:val="000000"/>
                <w:kern w:val="0"/>
                <w:sz w:val="18"/>
                <w:szCs w:val="18"/>
                <w:highlight w:val="none"/>
                <w:lang w:val="en-US" w:eastAsia="zh-CN" w:bidi="ar"/>
              </w:rPr>
              <w:t>12</w:t>
            </w:r>
          </w:p>
        </w:tc>
        <w:tc>
          <w:tcPr>
            <w:tcW w:w="708" w:type="pct"/>
            <w:tcBorders>
              <w:tl2br w:val="nil"/>
              <w:tr2bl w:val="nil"/>
            </w:tcBorders>
            <w:vAlign w:val="center"/>
          </w:tcPr>
          <w:p w14:paraId="4C4A9447">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hAnsi="宋体" w:cs="宋体"/>
                <w:kern w:val="0"/>
                <w:sz w:val="18"/>
                <w:szCs w:val="18"/>
                <w:highlight w:val="none"/>
              </w:rPr>
            </w:pPr>
          </w:p>
        </w:tc>
        <w:tc>
          <w:tcPr>
            <w:tcW w:w="878" w:type="pct"/>
            <w:tcBorders>
              <w:tl2br w:val="nil"/>
              <w:tr2bl w:val="nil"/>
            </w:tcBorders>
            <w:vAlign w:val="center"/>
          </w:tcPr>
          <w:p w14:paraId="7201AC6D">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hAnsi="宋体" w:cs="宋体"/>
                <w:kern w:val="0"/>
                <w:sz w:val="18"/>
                <w:szCs w:val="18"/>
                <w:highlight w:val="none"/>
              </w:rPr>
            </w:pPr>
          </w:p>
        </w:tc>
      </w:tr>
      <w:tr w14:paraId="47801F59">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17" w:hRule="exact"/>
          <w:jc w:val="center"/>
        </w:trPr>
        <w:tc>
          <w:tcPr>
            <w:tcW w:w="624" w:type="pct"/>
            <w:vMerge w:val="continue"/>
            <w:tcBorders>
              <w:tl2br w:val="nil"/>
              <w:tr2bl w:val="nil"/>
            </w:tcBorders>
            <w:vAlign w:val="center"/>
          </w:tcPr>
          <w:p w14:paraId="476936D7">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hAnsi="宋体" w:cs="宋体"/>
                <w:kern w:val="0"/>
                <w:sz w:val="18"/>
                <w:szCs w:val="18"/>
                <w:highlight w:val="none"/>
              </w:rPr>
            </w:pPr>
          </w:p>
        </w:tc>
        <w:tc>
          <w:tcPr>
            <w:tcW w:w="2194" w:type="pct"/>
            <w:gridSpan w:val="2"/>
            <w:tcBorders>
              <w:tl2br w:val="nil"/>
              <w:tr2bl w:val="nil"/>
            </w:tcBorders>
            <w:vAlign w:val="center"/>
          </w:tcPr>
          <w:p w14:paraId="5C7BB715">
            <w:pPr>
              <w:keepNext w:val="0"/>
              <w:keepLines w:val="0"/>
              <w:suppressLineNumbers w:val="0"/>
              <w:spacing w:before="0" w:beforeAutospacing="0" w:after="0" w:afterAutospacing="0"/>
              <w:ind w:left="0" w:right="0" w:firstLine="0" w:firstLineChars="0"/>
              <w:jc w:val="center"/>
              <w:rPr>
                <w:rFonts w:hint="default" w:hAnsi="宋体" w:cs="宋体"/>
                <w:sz w:val="18"/>
                <w:szCs w:val="18"/>
                <w:highlight w:val="none"/>
              </w:rPr>
            </w:pPr>
            <w:r>
              <w:rPr>
                <w:rFonts w:hint="eastAsia" w:ascii="宋体" w:hAnsi="宋体" w:cs="宋体"/>
                <w:kern w:val="0"/>
                <w:sz w:val="18"/>
                <w:szCs w:val="18"/>
                <w:highlight w:val="none"/>
                <w:lang w:val="en-US" w:eastAsia="zh-CN"/>
              </w:rPr>
              <w:t>环境效益</w:t>
            </w:r>
          </w:p>
        </w:tc>
        <w:tc>
          <w:tcPr>
            <w:tcW w:w="594" w:type="pct"/>
            <w:tcBorders>
              <w:tl2br w:val="nil"/>
              <w:tr2bl w:val="nil"/>
            </w:tcBorders>
            <w:vAlign w:val="center"/>
          </w:tcPr>
          <w:p w14:paraId="63073E3E">
            <w:pPr>
              <w:keepNext w:val="0"/>
              <w:keepLines w:val="0"/>
              <w:widowControl/>
              <w:suppressLineNumbers w:val="0"/>
              <w:spacing w:before="0" w:beforeAutospacing="0" w:after="0" w:afterAutospacing="0"/>
              <w:ind w:left="0" w:right="0"/>
              <w:jc w:val="center"/>
              <w:textAlignment w:val="center"/>
              <w:rPr>
                <w:rFonts w:hint="default" w:ascii="宋体" w:hAnsi="宋体" w:cs="宋体"/>
                <w:kern w:val="0"/>
                <w:sz w:val="18"/>
                <w:szCs w:val="18"/>
                <w:highlight w:val="none"/>
              </w:rPr>
            </w:pPr>
            <w:r>
              <w:rPr>
                <w:rFonts w:hint="eastAsia" w:ascii="宋体" w:hAnsi="宋体" w:cs="宋体"/>
                <w:color w:val="000000"/>
                <w:kern w:val="0"/>
                <w:sz w:val="18"/>
                <w:szCs w:val="18"/>
                <w:highlight w:val="none"/>
                <w:lang w:val="en-US" w:eastAsia="zh-CN" w:bidi="ar"/>
              </w:rPr>
              <w:t>2</w:t>
            </w:r>
            <w:r>
              <w:rPr>
                <w:rFonts w:hint="eastAsia" w:ascii="宋体" w:hAnsi="宋体" w:cs="宋体"/>
                <w:color w:val="000000"/>
                <w:kern w:val="0"/>
                <w:sz w:val="18"/>
                <w:szCs w:val="18"/>
                <w:highlight w:val="none"/>
                <w:lang w:bidi="ar"/>
              </w:rPr>
              <w:t>0</w:t>
            </w:r>
          </w:p>
        </w:tc>
        <w:tc>
          <w:tcPr>
            <w:tcW w:w="708" w:type="pct"/>
            <w:tcBorders>
              <w:tl2br w:val="nil"/>
              <w:tr2bl w:val="nil"/>
            </w:tcBorders>
            <w:vAlign w:val="center"/>
          </w:tcPr>
          <w:p w14:paraId="2256245E">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hAnsi="宋体" w:cs="宋体"/>
                <w:kern w:val="0"/>
                <w:sz w:val="18"/>
                <w:szCs w:val="18"/>
                <w:highlight w:val="none"/>
              </w:rPr>
            </w:pPr>
          </w:p>
        </w:tc>
        <w:tc>
          <w:tcPr>
            <w:tcW w:w="878" w:type="pct"/>
            <w:tcBorders>
              <w:tl2br w:val="nil"/>
              <w:tr2bl w:val="nil"/>
            </w:tcBorders>
            <w:vAlign w:val="center"/>
          </w:tcPr>
          <w:p w14:paraId="0064ABD8">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hAnsi="宋体" w:cs="宋体"/>
                <w:kern w:val="0"/>
                <w:sz w:val="18"/>
                <w:szCs w:val="18"/>
                <w:highlight w:val="none"/>
              </w:rPr>
            </w:pPr>
          </w:p>
        </w:tc>
      </w:tr>
      <w:tr w14:paraId="4F714BDE">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17" w:hRule="exact"/>
          <w:jc w:val="center"/>
        </w:trPr>
        <w:tc>
          <w:tcPr>
            <w:tcW w:w="624" w:type="pct"/>
            <w:vMerge w:val="restart"/>
            <w:tcBorders>
              <w:tl2br w:val="nil"/>
              <w:tr2bl w:val="nil"/>
            </w:tcBorders>
            <w:vAlign w:val="center"/>
          </w:tcPr>
          <w:p w14:paraId="00086FEA">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hAnsi="宋体" w:cs="宋体"/>
                <w:kern w:val="0"/>
                <w:sz w:val="18"/>
                <w:szCs w:val="18"/>
                <w:highlight w:val="none"/>
              </w:rPr>
            </w:pPr>
            <w:r>
              <w:rPr>
                <w:rFonts w:hint="eastAsia" w:ascii="宋体" w:hAnsi="宋体" w:cs="宋体"/>
                <w:kern w:val="0"/>
                <w:sz w:val="18"/>
                <w:szCs w:val="18"/>
                <w:highlight w:val="none"/>
              </w:rPr>
              <w:t>业务表现</w:t>
            </w:r>
          </w:p>
        </w:tc>
        <w:tc>
          <w:tcPr>
            <w:tcW w:w="750" w:type="pct"/>
            <w:vMerge w:val="restart"/>
            <w:tcBorders>
              <w:tl2br w:val="nil"/>
              <w:tr2bl w:val="nil"/>
            </w:tcBorders>
            <w:vAlign w:val="center"/>
          </w:tcPr>
          <w:p w14:paraId="17F90B06">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hAnsi="宋体" w:cs="宋体"/>
                <w:kern w:val="0"/>
                <w:sz w:val="18"/>
                <w:szCs w:val="18"/>
                <w:highlight w:val="none"/>
              </w:rPr>
            </w:pPr>
            <w:r>
              <w:rPr>
                <w:rFonts w:hint="eastAsia" w:ascii="宋体" w:hAnsi="宋体" w:cs="宋体"/>
                <w:kern w:val="0"/>
                <w:sz w:val="18"/>
                <w:szCs w:val="18"/>
                <w:highlight w:val="none"/>
              </w:rPr>
              <w:t>发展能力</w:t>
            </w:r>
          </w:p>
        </w:tc>
        <w:tc>
          <w:tcPr>
            <w:tcW w:w="1444" w:type="pct"/>
            <w:tcBorders>
              <w:tl2br w:val="nil"/>
              <w:tr2bl w:val="nil"/>
            </w:tcBorders>
            <w:vAlign w:val="center"/>
          </w:tcPr>
          <w:p w14:paraId="2DA346AD">
            <w:pPr>
              <w:pStyle w:val="26"/>
              <w:keepNext w:val="0"/>
              <w:keepLines w:val="0"/>
              <w:widowControl/>
              <w:suppressLineNumbers w:val="0"/>
              <w:spacing w:before="0" w:beforeAutospacing="0" w:after="0" w:afterAutospacing="0"/>
              <w:ind w:left="0" w:right="0" w:firstLine="0" w:firstLineChars="0"/>
              <w:jc w:val="center"/>
              <w:rPr>
                <w:rFonts w:hint="default" w:hAnsi="宋体" w:cs="宋体"/>
                <w:sz w:val="18"/>
                <w:szCs w:val="18"/>
                <w:highlight w:val="none"/>
              </w:rPr>
            </w:pPr>
            <w:r>
              <w:rPr>
                <w:rFonts w:hint="eastAsia" w:hAnsi="宋体" w:cs="宋体"/>
                <w:sz w:val="18"/>
                <w:szCs w:val="18"/>
                <w:highlight w:val="none"/>
              </w:rPr>
              <w:t>团队技术实力</w:t>
            </w:r>
          </w:p>
        </w:tc>
        <w:tc>
          <w:tcPr>
            <w:tcW w:w="594" w:type="pct"/>
            <w:tcBorders>
              <w:tl2br w:val="nil"/>
              <w:tr2bl w:val="nil"/>
            </w:tcBorders>
            <w:vAlign w:val="center"/>
          </w:tcPr>
          <w:p w14:paraId="57F68833">
            <w:pPr>
              <w:keepNext w:val="0"/>
              <w:keepLines w:val="0"/>
              <w:widowControl/>
              <w:suppressLineNumbers w:val="0"/>
              <w:spacing w:before="0" w:beforeAutospacing="0" w:after="0" w:afterAutospacing="0"/>
              <w:ind w:left="0" w:right="0"/>
              <w:jc w:val="center"/>
              <w:textAlignment w:val="center"/>
              <w:rPr>
                <w:rFonts w:hint="default" w:ascii="宋体" w:hAnsi="宋体" w:cs="宋体"/>
                <w:kern w:val="0"/>
                <w:sz w:val="18"/>
                <w:szCs w:val="18"/>
                <w:highlight w:val="none"/>
              </w:rPr>
            </w:pPr>
            <w:r>
              <w:rPr>
                <w:rFonts w:hint="eastAsia" w:ascii="宋体" w:hAnsi="宋体" w:cs="宋体"/>
                <w:color w:val="000000"/>
                <w:kern w:val="0"/>
                <w:sz w:val="18"/>
                <w:szCs w:val="18"/>
                <w:highlight w:val="none"/>
                <w:lang w:bidi="ar"/>
              </w:rPr>
              <w:t>8</w:t>
            </w:r>
          </w:p>
        </w:tc>
        <w:tc>
          <w:tcPr>
            <w:tcW w:w="708" w:type="pct"/>
            <w:tcBorders>
              <w:tl2br w:val="nil"/>
              <w:tr2bl w:val="nil"/>
            </w:tcBorders>
            <w:vAlign w:val="center"/>
          </w:tcPr>
          <w:p w14:paraId="2A298E8D">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hAnsi="宋体" w:cs="宋体"/>
                <w:kern w:val="0"/>
                <w:sz w:val="18"/>
                <w:szCs w:val="18"/>
                <w:highlight w:val="none"/>
              </w:rPr>
            </w:pPr>
          </w:p>
        </w:tc>
        <w:tc>
          <w:tcPr>
            <w:tcW w:w="878" w:type="pct"/>
            <w:tcBorders>
              <w:tl2br w:val="nil"/>
              <w:tr2bl w:val="nil"/>
            </w:tcBorders>
            <w:vAlign w:val="center"/>
          </w:tcPr>
          <w:p w14:paraId="78A9BBC5">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hAnsi="宋体" w:cs="宋体"/>
                <w:kern w:val="0"/>
                <w:sz w:val="18"/>
                <w:szCs w:val="18"/>
                <w:highlight w:val="none"/>
              </w:rPr>
            </w:pPr>
          </w:p>
        </w:tc>
      </w:tr>
      <w:tr w14:paraId="19A0192B">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17" w:hRule="exact"/>
          <w:jc w:val="center"/>
        </w:trPr>
        <w:tc>
          <w:tcPr>
            <w:tcW w:w="624" w:type="pct"/>
            <w:vMerge w:val="continue"/>
            <w:tcBorders>
              <w:tl2br w:val="nil"/>
              <w:tr2bl w:val="nil"/>
            </w:tcBorders>
            <w:vAlign w:val="center"/>
          </w:tcPr>
          <w:p w14:paraId="362464BE">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hAnsi="宋体" w:cs="宋体"/>
                <w:kern w:val="0"/>
                <w:sz w:val="18"/>
                <w:szCs w:val="18"/>
                <w:highlight w:val="none"/>
              </w:rPr>
            </w:pPr>
          </w:p>
        </w:tc>
        <w:tc>
          <w:tcPr>
            <w:tcW w:w="750" w:type="pct"/>
            <w:vMerge w:val="continue"/>
            <w:tcBorders>
              <w:tl2br w:val="nil"/>
              <w:tr2bl w:val="nil"/>
            </w:tcBorders>
            <w:vAlign w:val="center"/>
          </w:tcPr>
          <w:p w14:paraId="14FD40F6">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hAnsi="宋体" w:cs="宋体"/>
                <w:kern w:val="0"/>
                <w:sz w:val="18"/>
                <w:szCs w:val="18"/>
                <w:highlight w:val="none"/>
              </w:rPr>
            </w:pPr>
          </w:p>
        </w:tc>
        <w:tc>
          <w:tcPr>
            <w:tcW w:w="1444" w:type="pct"/>
            <w:tcBorders>
              <w:tl2br w:val="nil"/>
              <w:tr2bl w:val="nil"/>
            </w:tcBorders>
            <w:vAlign w:val="center"/>
          </w:tcPr>
          <w:p w14:paraId="79292BFA">
            <w:pPr>
              <w:pStyle w:val="26"/>
              <w:keepNext w:val="0"/>
              <w:keepLines w:val="0"/>
              <w:widowControl/>
              <w:suppressLineNumbers w:val="0"/>
              <w:spacing w:before="0" w:beforeAutospacing="0" w:after="0" w:afterAutospacing="0"/>
              <w:ind w:left="0" w:right="0" w:firstLine="0" w:firstLineChars="0"/>
              <w:jc w:val="center"/>
              <w:rPr>
                <w:rFonts w:hint="default" w:hAnsi="宋体" w:cs="宋体"/>
                <w:sz w:val="18"/>
                <w:szCs w:val="18"/>
                <w:highlight w:val="none"/>
              </w:rPr>
            </w:pPr>
            <w:r>
              <w:rPr>
                <w:rFonts w:hint="eastAsia" w:hAnsi="宋体" w:cs="宋体"/>
                <w:sz w:val="18"/>
                <w:szCs w:val="18"/>
                <w:highlight w:val="none"/>
              </w:rPr>
              <w:t>研发投入</w:t>
            </w:r>
          </w:p>
        </w:tc>
        <w:tc>
          <w:tcPr>
            <w:tcW w:w="594" w:type="pct"/>
            <w:tcBorders>
              <w:tl2br w:val="nil"/>
              <w:tr2bl w:val="nil"/>
            </w:tcBorders>
            <w:vAlign w:val="center"/>
          </w:tcPr>
          <w:p w14:paraId="48038E96">
            <w:pPr>
              <w:keepNext w:val="0"/>
              <w:keepLines w:val="0"/>
              <w:widowControl/>
              <w:suppressLineNumbers w:val="0"/>
              <w:spacing w:before="0" w:beforeAutospacing="0" w:after="0" w:afterAutospacing="0"/>
              <w:ind w:left="0" w:right="0"/>
              <w:jc w:val="center"/>
              <w:textAlignment w:val="center"/>
              <w:rPr>
                <w:rFonts w:hint="default" w:ascii="宋体" w:hAnsi="宋体" w:cs="宋体"/>
                <w:kern w:val="0"/>
                <w:sz w:val="18"/>
                <w:szCs w:val="18"/>
                <w:highlight w:val="none"/>
              </w:rPr>
            </w:pPr>
            <w:r>
              <w:rPr>
                <w:rFonts w:hint="eastAsia" w:ascii="宋体" w:hAnsi="宋体" w:cs="宋体"/>
                <w:color w:val="000000"/>
                <w:kern w:val="0"/>
                <w:sz w:val="18"/>
                <w:szCs w:val="18"/>
                <w:highlight w:val="none"/>
                <w:lang w:bidi="ar"/>
              </w:rPr>
              <w:t>6</w:t>
            </w:r>
          </w:p>
        </w:tc>
        <w:tc>
          <w:tcPr>
            <w:tcW w:w="708" w:type="pct"/>
            <w:tcBorders>
              <w:tl2br w:val="nil"/>
              <w:tr2bl w:val="nil"/>
            </w:tcBorders>
            <w:vAlign w:val="center"/>
          </w:tcPr>
          <w:p w14:paraId="236A5C2D">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hAnsi="宋体" w:cs="宋体"/>
                <w:kern w:val="0"/>
                <w:sz w:val="18"/>
                <w:szCs w:val="18"/>
                <w:highlight w:val="none"/>
              </w:rPr>
            </w:pPr>
          </w:p>
        </w:tc>
        <w:tc>
          <w:tcPr>
            <w:tcW w:w="878" w:type="pct"/>
            <w:tcBorders>
              <w:tl2br w:val="nil"/>
              <w:tr2bl w:val="nil"/>
            </w:tcBorders>
            <w:vAlign w:val="center"/>
          </w:tcPr>
          <w:p w14:paraId="55F5341B">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hAnsi="宋体" w:cs="宋体"/>
                <w:kern w:val="0"/>
                <w:sz w:val="18"/>
                <w:szCs w:val="18"/>
                <w:highlight w:val="none"/>
              </w:rPr>
            </w:pPr>
          </w:p>
        </w:tc>
      </w:tr>
      <w:tr w14:paraId="0336A448">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17" w:hRule="exact"/>
          <w:jc w:val="center"/>
        </w:trPr>
        <w:tc>
          <w:tcPr>
            <w:tcW w:w="624" w:type="pct"/>
            <w:vMerge w:val="continue"/>
            <w:tcBorders>
              <w:tl2br w:val="nil"/>
              <w:tr2bl w:val="nil"/>
            </w:tcBorders>
            <w:vAlign w:val="center"/>
          </w:tcPr>
          <w:p w14:paraId="6586C50C">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hAnsi="宋体" w:cs="宋体"/>
                <w:kern w:val="0"/>
                <w:sz w:val="18"/>
                <w:szCs w:val="18"/>
                <w:highlight w:val="none"/>
              </w:rPr>
            </w:pPr>
          </w:p>
        </w:tc>
        <w:tc>
          <w:tcPr>
            <w:tcW w:w="750" w:type="pct"/>
            <w:vMerge w:val="continue"/>
            <w:tcBorders>
              <w:tl2br w:val="nil"/>
              <w:tr2bl w:val="nil"/>
            </w:tcBorders>
            <w:vAlign w:val="center"/>
          </w:tcPr>
          <w:p w14:paraId="071A51DD">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hAnsi="宋体" w:cs="宋体"/>
                <w:kern w:val="0"/>
                <w:sz w:val="18"/>
                <w:szCs w:val="18"/>
                <w:highlight w:val="none"/>
              </w:rPr>
            </w:pPr>
          </w:p>
        </w:tc>
        <w:tc>
          <w:tcPr>
            <w:tcW w:w="1444" w:type="pct"/>
            <w:tcBorders>
              <w:tl2br w:val="nil"/>
              <w:tr2bl w:val="nil"/>
            </w:tcBorders>
            <w:vAlign w:val="center"/>
          </w:tcPr>
          <w:p w14:paraId="63C03DAC">
            <w:pPr>
              <w:pStyle w:val="26"/>
              <w:keepNext w:val="0"/>
              <w:keepLines w:val="0"/>
              <w:widowControl/>
              <w:suppressLineNumbers w:val="0"/>
              <w:spacing w:before="0" w:beforeAutospacing="0" w:after="0" w:afterAutospacing="0"/>
              <w:ind w:left="0" w:right="0" w:firstLine="0" w:firstLineChars="0"/>
              <w:jc w:val="center"/>
              <w:rPr>
                <w:rFonts w:hint="default" w:hAnsi="宋体" w:eastAsia="宋体" w:cs="宋体"/>
                <w:sz w:val="18"/>
                <w:szCs w:val="18"/>
                <w:highlight w:val="none"/>
                <w:lang w:val="en-US" w:eastAsia="zh-CN"/>
              </w:rPr>
            </w:pPr>
            <w:r>
              <w:rPr>
                <w:rFonts w:hint="eastAsia" w:hAnsi="宋体" w:cs="宋体"/>
                <w:sz w:val="18"/>
                <w:szCs w:val="18"/>
                <w:highlight w:val="none"/>
                <w:lang w:val="en-US" w:eastAsia="zh-CN"/>
              </w:rPr>
              <w:t>运营效益水平</w:t>
            </w:r>
          </w:p>
        </w:tc>
        <w:tc>
          <w:tcPr>
            <w:tcW w:w="594" w:type="pct"/>
            <w:tcBorders>
              <w:tl2br w:val="nil"/>
              <w:tr2bl w:val="nil"/>
            </w:tcBorders>
            <w:vAlign w:val="center"/>
          </w:tcPr>
          <w:p w14:paraId="75C1C6BB">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kern w:val="0"/>
                <w:sz w:val="18"/>
                <w:szCs w:val="18"/>
                <w:highlight w:val="none"/>
                <w:lang w:eastAsia="zh-CN"/>
              </w:rPr>
            </w:pPr>
            <w:r>
              <w:rPr>
                <w:rFonts w:hint="eastAsia" w:ascii="宋体" w:hAnsi="宋体" w:cs="宋体"/>
                <w:color w:val="000000"/>
                <w:kern w:val="0"/>
                <w:sz w:val="18"/>
                <w:szCs w:val="18"/>
                <w:highlight w:val="none"/>
                <w:lang w:val="en-US" w:eastAsia="zh-CN" w:bidi="ar"/>
              </w:rPr>
              <w:t>4</w:t>
            </w:r>
          </w:p>
        </w:tc>
        <w:tc>
          <w:tcPr>
            <w:tcW w:w="708" w:type="pct"/>
            <w:tcBorders>
              <w:tl2br w:val="nil"/>
              <w:tr2bl w:val="nil"/>
            </w:tcBorders>
            <w:vAlign w:val="center"/>
          </w:tcPr>
          <w:p w14:paraId="20609E6D">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hAnsi="宋体" w:cs="宋体"/>
                <w:kern w:val="0"/>
                <w:sz w:val="18"/>
                <w:szCs w:val="18"/>
                <w:highlight w:val="none"/>
              </w:rPr>
            </w:pPr>
          </w:p>
        </w:tc>
        <w:tc>
          <w:tcPr>
            <w:tcW w:w="878" w:type="pct"/>
            <w:tcBorders>
              <w:tl2br w:val="nil"/>
              <w:tr2bl w:val="nil"/>
            </w:tcBorders>
            <w:vAlign w:val="center"/>
          </w:tcPr>
          <w:p w14:paraId="495C960E">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hAnsi="宋体" w:cs="宋体"/>
                <w:kern w:val="0"/>
                <w:sz w:val="18"/>
                <w:szCs w:val="18"/>
                <w:highlight w:val="none"/>
              </w:rPr>
            </w:pPr>
          </w:p>
        </w:tc>
      </w:tr>
      <w:tr w14:paraId="773C033A">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17" w:hRule="exact"/>
          <w:jc w:val="center"/>
        </w:trPr>
        <w:tc>
          <w:tcPr>
            <w:tcW w:w="624" w:type="pct"/>
            <w:vMerge w:val="continue"/>
            <w:tcBorders>
              <w:tl2br w:val="nil"/>
              <w:tr2bl w:val="nil"/>
            </w:tcBorders>
            <w:vAlign w:val="center"/>
          </w:tcPr>
          <w:p w14:paraId="2561C124">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hAnsi="宋体" w:cs="宋体"/>
                <w:kern w:val="0"/>
                <w:sz w:val="18"/>
                <w:szCs w:val="18"/>
                <w:highlight w:val="none"/>
              </w:rPr>
            </w:pPr>
          </w:p>
        </w:tc>
        <w:tc>
          <w:tcPr>
            <w:tcW w:w="750" w:type="pct"/>
            <w:vMerge w:val="restart"/>
            <w:tcBorders>
              <w:tl2br w:val="nil"/>
              <w:tr2bl w:val="nil"/>
            </w:tcBorders>
            <w:vAlign w:val="center"/>
          </w:tcPr>
          <w:p w14:paraId="1984CC14">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hAnsi="宋体" w:cs="宋体"/>
                <w:kern w:val="0"/>
                <w:sz w:val="18"/>
                <w:szCs w:val="18"/>
                <w:highlight w:val="none"/>
              </w:rPr>
            </w:pPr>
            <w:r>
              <w:rPr>
                <w:rFonts w:hint="eastAsia" w:ascii="宋体" w:hAnsi="宋体" w:cs="宋体"/>
                <w:kern w:val="0"/>
                <w:sz w:val="18"/>
                <w:szCs w:val="18"/>
                <w:highlight w:val="none"/>
              </w:rPr>
              <w:t>市场影响</w:t>
            </w:r>
          </w:p>
        </w:tc>
        <w:tc>
          <w:tcPr>
            <w:tcW w:w="1444" w:type="pct"/>
            <w:tcBorders>
              <w:tl2br w:val="nil"/>
              <w:tr2bl w:val="nil"/>
            </w:tcBorders>
            <w:vAlign w:val="center"/>
          </w:tcPr>
          <w:p w14:paraId="7AB755E0">
            <w:pPr>
              <w:pStyle w:val="26"/>
              <w:keepNext w:val="0"/>
              <w:keepLines w:val="0"/>
              <w:widowControl/>
              <w:suppressLineNumbers w:val="0"/>
              <w:spacing w:before="0" w:beforeAutospacing="0" w:after="0" w:afterAutospacing="0"/>
              <w:ind w:left="0" w:right="0" w:firstLine="0" w:firstLineChars="0"/>
              <w:jc w:val="center"/>
              <w:rPr>
                <w:rFonts w:hint="default" w:hAnsi="宋体" w:cs="宋体"/>
                <w:sz w:val="18"/>
                <w:szCs w:val="18"/>
                <w:highlight w:val="none"/>
              </w:rPr>
            </w:pPr>
            <w:r>
              <w:rPr>
                <w:rFonts w:hint="eastAsia" w:hAnsi="宋体" w:cs="宋体"/>
                <w:sz w:val="18"/>
                <w:szCs w:val="18"/>
                <w:highlight w:val="none"/>
              </w:rPr>
              <w:t>市场竞争力</w:t>
            </w:r>
          </w:p>
        </w:tc>
        <w:tc>
          <w:tcPr>
            <w:tcW w:w="594" w:type="pct"/>
            <w:tcBorders>
              <w:tl2br w:val="nil"/>
              <w:tr2bl w:val="nil"/>
            </w:tcBorders>
            <w:vAlign w:val="center"/>
          </w:tcPr>
          <w:p w14:paraId="78D60D3A">
            <w:pPr>
              <w:keepNext w:val="0"/>
              <w:keepLines w:val="0"/>
              <w:widowControl/>
              <w:suppressLineNumbers w:val="0"/>
              <w:spacing w:before="0" w:beforeAutospacing="0" w:after="0" w:afterAutospacing="0"/>
              <w:ind w:left="0" w:right="0"/>
              <w:jc w:val="center"/>
              <w:textAlignment w:val="center"/>
              <w:rPr>
                <w:rFonts w:hint="default" w:ascii="宋体" w:hAnsi="宋体" w:cs="宋体"/>
                <w:kern w:val="0"/>
                <w:sz w:val="18"/>
                <w:szCs w:val="18"/>
                <w:highlight w:val="none"/>
              </w:rPr>
            </w:pPr>
            <w:r>
              <w:rPr>
                <w:rFonts w:hint="eastAsia" w:ascii="宋体" w:hAnsi="宋体" w:cs="宋体"/>
                <w:color w:val="000000"/>
                <w:kern w:val="0"/>
                <w:sz w:val="18"/>
                <w:szCs w:val="18"/>
                <w:highlight w:val="none"/>
                <w:lang w:bidi="ar"/>
              </w:rPr>
              <w:t>8</w:t>
            </w:r>
          </w:p>
        </w:tc>
        <w:tc>
          <w:tcPr>
            <w:tcW w:w="708" w:type="pct"/>
            <w:tcBorders>
              <w:tl2br w:val="nil"/>
              <w:tr2bl w:val="nil"/>
            </w:tcBorders>
            <w:vAlign w:val="center"/>
          </w:tcPr>
          <w:p w14:paraId="1A1813BA">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hAnsi="宋体" w:cs="宋体"/>
                <w:kern w:val="0"/>
                <w:sz w:val="18"/>
                <w:szCs w:val="18"/>
                <w:highlight w:val="none"/>
              </w:rPr>
            </w:pPr>
          </w:p>
        </w:tc>
        <w:tc>
          <w:tcPr>
            <w:tcW w:w="878" w:type="pct"/>
            <w:tcBorders>
              <w:tl2br w:val="nil"/>
              <w:tr2bl w:val="nil"/>
            </w:tcBorders>
            <w:vAlign w:val="center"/>
          </w:tcPr>
          <w:p w14:paraId="5B5942E1">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hAnsi="宋体" w:cs="宋体"/>
                <w:kern w:val="0"/>
                <w:sz w:val="18"/>
                <w:szCs w:val="18"/>
                <w:highlight w:val="none"/>
              </w:rPr>
            </w:pPr>
          </w:p>
        </w:tc>
      </w:tr>
      <w:tr w14:paraId="192F2300">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17" w:hRule="exact"/>
          <w:jc w:val="center"/>
        </w:trPr>
        <w:tc>
          <w:tcPr>
            <w:tcW w:w="624" w:type="pct"/>
            <w:vMerge w:val="continue"/>
            <w:tcBorders>
              <w:tl2br w:val="nil"/>
              <w:tr2bl w:val="nil"/>
            </w:tcBorders>
            <w:vAlign w:val="center"/>
          </w:tcPr>
          <w:p w14:paraId="52EBA108">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hAnsi="宋体" w:cs="宋体"/>
                <w:kern w:val="0"/>
                <w:sz w:val="18"/>
                <w:szCs w:val="18"/>
                <w:highlight w:val="none"/>
              </w:rPr>
            </w:pPr>
          </w:p>
        </w:tc>
        <w:tc>
          <w:tcPr>
            <w:tcW w:w="750" w:type="pct"/>
            <w:vMerge w:val="continue"/>
            <w:tcBorders>
              <w:tl2br w:val="nil"/>
              <w:tr2bl w:val="nil"/>
            </w:tcBorders>
            <w:vAlign w:val="center"/>
          </w:tcPr>
          <w:p w14:paraId="0E64CAAE">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hAnsi="宋体" w:cs="宋体"/>
                <w:kern w:val="0"/>
                <w:sz w:val="18"/>
                <w:szCs w:val="18"/>
                <w:highlight w:val="none"/>
              </w:rPr>
            </w:pPr>
          </w:p>
        </w:tc>
        <w:tc>
          <w:tcPr>
            <w:tcW w:w="1444" w:type="pct"/>
            <w:tcBorders>
              <w:tl2br w:val="nil"/>
              <w:tr2bl w:val="nil"/>
            </w:tcBorders>
            <w:vAlign w:val="center"/>
          </w:tcPr>
          <w:p w14:paraId="6D10D3AE">
            <w:pPr>
              <w:pStyle w:val="26"/>
              <w:keepNext w:val="0"/>
              <w:keepLines w:val="0"/>
              <w:widowControl/>
              <w:suppressLineNumbers w:val="0"/>
              <w:spacing w:before="0" w:beforeAutospacing="0" w:after="0" w:afterAutospacing="0"/>
              <w:ind w:left="0" w:right="0" w:firstLine="0" w:firstLineChars="0"/>
              <w:jc w:val="center"/>
              <w:rPr>
                <w:rFonts w:hint="default" w:hAnsi="宋体" w:cs="宋体"/>
                <w:sz w:val="18"/>
                <w:szCs w:val="18"/>
                <w:highlight w:val="none"/>
              </w:rPr>
            </w:pPr>
            <w:r>
              <w:rPr>
                <w:rFonts w:hint="eastAsia" w:hAnsi="宋体" w:cs="宋体"/>
                <w:sz w:val="18"/>
                <w:szCs w:val="18"/>
                <w:highlight w:val="none"/>
              </w:rPr>
              <w:t>产业影响力</w:t>
            </w:r>
          </w:p>
        </w:tc>
        <w:tc>
          <w:tcPr>
            <w:tcW w:w="594" w:type="pct"/>
            <w:tcBorders>
              <w:tl2br w:val="nil"/>
              <w:tr2bl w:val="nil"/>
            </w:tcBorders>
            <w:vAlign w:val="center"/>
          </w:tcPr>
          <w:p w14:paraId="7E6095E8">
            <w:pPr>
              <w:keepNext w:val="0"/>
              <w:keepLines w:val="0"/>
              <w:widowControl/>
              <w:suppressLineNumbers w:val="0"/>
              <w:spacing w:before="0" w:beforeAutospacing="0" w:after="0" w:afterAutospacing="0"/>
              <w:ind w:left="0" w:right="0"/>
              <w:jc w:val="center"/>
              <w:textAlignment w:val="center"/>
              <w:rPr>
                <w:rFonts w:hint="default" w:ascii="宋体" w:hAnsi="宋体" w:cs="宋体"/>
                <w:kern w:val="0"/>
                <w:sz w:val="18"/>
                <w:szCs w:val="18"/>
                <w:highlight w:val="none"/>
              </w:rPr>
            </w:pPr>
            <w:r>
              <w:rPr>
                <w:rFonts w:hint="eastAsia" w:ascii="宋体" w:hAnsi="宋体" w:cs="宋体"/>
                <w:color w:val="000000"/>
                <w:kern w:val="0"/>
                <w:sz w:val="18"/>
                <w:szCs w:val="18"/>
                <w:highlight w:val="none"/>
                <w:lang w:bidi="ar"/>
              </w:rPr>
              <w:t>7</w:t>
            </w:r>
          </w:p>
        </w:tc>
        <w:tc>
          <w:tcPr>
            <w:tcW w:w="708" w:type="pct"/>
            <w:tcBorders>
              <w:tl2br w:val="nil"/>
              <w:tr2bl w:val="nil"/>
            </w:tcBorders>
            <w:vAlign w:val="center"/>
          </w:tcPr>
          <w:p w14:paraId="3842AD0E">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hAnsi="宋体" w:cs="宋体"/>
                <w:kern w:val="0"/>
                <w:sz w:val="18"/>
                <w:szCs w:val="18"/>
                <w:highlight w:val="none"/>
              </w:rPr>
            </w:pPr>
          </w:p>
        </w:tc>
        <w:tc>
          <w:tcPr>
            <w:tcW w:w="878" w:type="pct"/>
            <w:tcBorders>
              <w:tl2br w:val="nil"/>
              <w:tr2bl w:val="nil"/>
            </w:tcBorders>
            <w:vAlign w:val="center"/>
          </w:tcPr>
          <w:p w14:paraId="1899F519">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hAnsi="宋体" w:cs="宋体"/>
                <w:kern w:val="0"/>
                <w:sz w:val="18"/>
                <w:szCs w:val="18"/>
                <w:highlight w:val="none"/>
              </w:rPr>
            </w:pPr>
          </w:p>
        </w:tc>
      </w:tr>
      <w:tr w14:paraId="5580B918">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17" w:hRule="exact"/>
          <w:jc w:val="center"/>
        </w:trPr>
        <w:tc>
          <w:tcPr>
            <w:tcW w:w="624" w:type="pct"/>
            <w:vMerge w:val="continue"/>
            <w:tcBorders>
              <w:tl2br w:val="nil"/>
              <w:tr2bl w:val="nil"/>
            </w:tcBorders>
            <w:vAlign w:val="center"/>
          </w:tcPr>
          <w:p w14:paraId="2C8B6DFD">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hAnsi="宋体" w:cs="宋体"/>
                <w:kern w:val="0"/>
                <w:sz w:val="18"/>
                <w:szCs w:val="18"/>
                <w:highlight w:val="none"/>
              </w:rPr>
            </w:pPr>
          </w:p>
        </w:tc>
        <w:tc>
          <w:tcPr>
            <w:tcW w:w="750" w:type="pct"/>
            <w:vMerge w:val="continue"/>
            <w:tcBorders>
              <w:tl2br w:val="nil"/>
              <w:tr2bl w:val="nil"/>
            </w:tcBorders>
            <w:vAlign w:val="center"/>
          </w:tcPr>
          <w:p w14:paraId="1CC0496C">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hAnsi="宋体" w:cs="宋体"/>
                <w:kern w:val="0"/>
                <w:sz w:val="18"/>
                <w:szCs w:val="18"/>
                <w:highlight w:val="none"/>
              </w:rPr>
            </w:pPr>
          </w:p>
        </w:tc>
        <w:tc>
          <w:tcPr>
            <w:tcW w:w="1444" w:type="pct"/>
            <w:tcBorders>
              <w:tl2br w:val="nil"/>
              <w:tr2bl w:val="nil"/>
            </w:tcBorders>
            <w:vAlign w:val="center"/>
          </w:tcPr>
          <w:p w14:paraId="3898DDD9">
            <w:pPr>
              <w:pStyle w:val="26"/>
              <w:keepNext w:val="0"/>
              <w:keepLines w:val="0"/>
              <w:widowControl/>
              <w:suppressLineNumbers w:val="0"/>
              <w:spacing w:before="0" w:beforeAutospacing="0" w:after="0" w:afterAutospacing="0"/>
              <w:ind w:left="0" w:right="0" w:firstLine="0" w:firstLineChars="0"/>
              <w:jc w:val="center"/>
              <w:rPr>
                <w:rFonts w:hint="default" w:hAnsi="宋体" w:cs="宋体"/>
                <w:sz w:val="18"/>
                <w:szCs w:val="18"/>
                <w:highlight w:val="none"/>
              </w:rPr>
            </w:pPr>
            <w:r>
              <w:rPr>
                <w:rFonts w:hint="eastAsia" w:hAnsi="宋体" w:cs="宋体"/>
                <w:sz w:val="18"/>
                <w:szCs w:val="18"/>
                <w:highlight w:val="none"/>
              </w:rPr>
              <w:t>行业资质荣誉</w:t>
            </w:r>
          </w:p>
        </w:tc>
        <w:tc>
          <w:tcPr>
            <w:tcW w:w="594" w:type="pct"/>
            <w:tcBorders>
              <w:tl2br w:val="nil"/>
              <w:tr2bl w:val="nil"/>
            </w:tcBorders>
            <w:vAlign w:val="center"/>
          </w:tcPr>
          <w:p w14:paraId="278F274C">
            <w:pPr>
              <w:keepNext w:val="0"/>
              <w:keepLines w:val="0"/>
              <w:widowControl/>
              <w:suppressLineNumbers w:val="0"/>
              <w:spacing w:before="0" w:beforeAutospacing="0" w:after="0" w:afterAutospacing="0"/>
              <w:ind w:left="0" w:right="0"/>
              <w:jc w:val="center"/>
              <w:textAlignment w:val="center"/>
              <w:rPr>
                <w:rFonts w:hint="default" w:ascii="宋体" w:hAnsi="宋体" w:cs="宋体"/>
                <w:kern w:val="0"/>
                <w:sz w:val="18"/>
                <w:szCs w:val="18"/>
                <w:highlight w:val="none"/>
              </w:rPr>
            </w:pPr>
            <w:r>
              <w:rPr>
                <w:rFonts w:hint="eastAsia" w:ascii="宋体" w:hAnsi="宋体" w:cs="宋体"/>
                <w:color w:val="000000"/>
                <w:kern w:val="0"/>
                <w:sz w:val="18"/>
                <w:szCs w:val="18"/>
                <w:highlight w:val="none"/>
                <w:lang w:bidi="ar"/>
              </w:rPr>
              <w:t>5</w:t>
            </w:r>
          </w:p>
        </w:tc>
        <w:tc>
          <w:tcPr>
            <w:tcW w:w="708" w:type="pct"/>
            <w:tcBorders>
              <w:tl2br w:val="nil"/>
              <w:tr2bl w:val="nil"/>
            </w:tcBorders>
            <w:vAlign w:val="center"/>
          </w:tcPr>
          <w:p w14:paraId="411AB815">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hAnsi="宋体" w:cs="宋体"/>
                <w:kern w:val="0"/>
                <w:sz w:val="18"/>
                <w:szCs w:val="18"/>
                <w:highlight w:val="none"/>
              </w:rPr>
            </w:pPr>
          </w:p>
        </w:tc>
        <w:tc>
          <w:tcPr>
            <w:tcW w:w="878" w:type="pct"/>
            <w:tcBorders>
              <w:tl2br w:val="nil"/>
              <w:tr2bl w:val="nil"/>
            </w:tcBorders>
            <w:vAlign w:val="center"/>
          </w:tcPr>
          <w:p w14:paraId="06861188">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hAnsi="宋体" w:cs="宋体"/>
                <w:kern w:val="0"/>
                <w:sz w:val="18"/>
                <w:szCs w:val="18"/>
                <w:highlight w:val="none"/>
              </w:rPr>
            </w:pPr>
          </w:p>
        </w:tc>
      </w:tr>
      <w:tr w14:paraId="2B77BBE9">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17" w:hRule="exact"/>
          <w:jc w:val="center"/>
        </w:trPr>
        <w:tc>
          <w:tcPr>
            <w:tcW w:w="624" w:type="pct"/>
            <w:vMerge w:val="restart"/>
            <w:tcBorders>
              <w:tl2br w:val="nil"/>
              <w:tr2bl w:val="nil"/>
            </w:tcBorders>
            <w:vAlign w:val="center"/>
          </w:tcPr>
          <w:p w14:paraId="64DFDAA0">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hAnsi="宋体" w:cs="宋体"/>
                <w:kern w:val="0"/>
                <w:sz w:val="18"/>
                <w:szCs w:val="18"/>
                <w:highlight w:val="none"/>
              </w:rPr>
            </w:pPr>
            <w:r>
              <w:rPr>
                <w:rFonts w:hint="eastAsia" w:ascii="宋体" w:hAnsi="宋体" w:cs="宋体"/>
                <w:kern w:val="0"/>
                <w:sz w:val="18"/>
                <w:szCs w:val="18"/>
                <w:highlight w:val="none"/>
              </w:rPr>
              <w:t>环境表现</w:t>
            </w:r>
          </w:p>
        </w:tc>
        <w:tc>
          <w:tcPr>
            <w:tcW w:w="2194" w:type="pct"/>
            <w:gridSpan w:val="2"/>
            <w:tcBorders>
              <w:tl2br w:val="nil"/>
              <w:tr2bl w:val="nil"/>
            </w:tcBorders>
            <w:vAlign w:val="center"/>
          </w:tcPr>
          <w:p w14:paraId="486A5541">
            <w:pPr>
              <w:keepNext w:val="0"/>
              <w:keepLines w:val="0"/>
              <w:suppressLineNumbers w:val="0"/>
              <w:autoSpaceDE w:val="0"/>
              <w:autoSpaceDN w:val="0"/>
              <w:spacing w:before="0" w:beforeAutospacing="0" w:after="0" w:afterAutospacing="0"/>
              <w:ind w:left="0" w:right="0"/>
              <w:jc w:val="center"/>
              <w:rPr>
                <w:rFonts w:hint="default" w:hAnsi="宋体" w:cs="宋体"/>
                <w:sz w:val="18"/>
                <w:szCs w:val="18"/>
                <w:highlight w:val="none"/>
              </w:rPr>
            </w:pPr>
            <w:r>
              <w:rPr>
                <w:rFonts w:hint="eastAsia" w:ascii="宋体" w:hAnsi="宋体" w:cs="宋体"/>
                <w:sz w:val="18"/>
                <w:szCs w:val="18"/>
                <w:highlight w:val="none"/>
              </w:rPr>
              <w:t>温室气体排放水平</w:t>
            </w:r>
          </w:p>
        </w:tc>
        <w:tc>
          <w:tcPr>
            <w:tcW w:w="594" w:type="pct"/>
            <w:tcBorders>
              <w:tl2br w:val="nil"/>
              <w:tr2bl w:val="nil"/>
            </w:tcBorders>
            <w:vAlign w:val="center"/>
          </w:tcPr>
          <w:p w14:paraId="7678F7C0">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kern w:val="0"/>
                <w:sz w:val="18"/>
                <w:szCs w:val="18"/>
                <w:highlight w:val="none"/>
                <w:lang w:eastAsia="zh-CN"/>
              </w:rPr>
            </w:pPr>
            <w:r>
              <w:rPr>
                <w:rFonts w:hint="eastAsia" w:ascii="宋体" w:hAnsi="宋体" w:cs="宋体"/>
                <w:color w:val="000000"/>
                <w:kern w:val="0"/>
                <w:sz w:val="18"/>
                <w:szCs w:val="18"/>
                <w:highlight w:val="none"/>
                <w:lang w:bidi="ar"/>
              </w:rPr>
              <w:t>4</w:t>
            </w:r>
          </w:p>
        </w:tc>
        <w:tc>
          <w:tcPr>
            <w:tcW w:w="708" w:type="pct"/>
            <w:tcBorders>
              <w:tl2br w:val="nil"/>
              <w:tr2bl w:val="nil"/>
            </w:tcBorders>
            <w:vAlign w:val="center"/>
          </w:tcPr>
          <w:p w14:paraId="32B06F67">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hAnsi="宋体" w:cs="宋体"/>
                <w:kern w:val="0"/>
                <w:sz w:val="18"/>
                <w:szCs w:val="18"/>
                <w:highlight w:val="none"/>
              </w:rPr>
            </w:pPr>
          </w:p>
        </w:tc>
        <w:tc>
          <w:tcPr>
            <w:tcW w:w="878" w:type="pct"/>
            <w:tcBorders>
              <w:tl2br w:val="nil"/>
              <w:tr2bl w:val="nil"/>
            </w:tcBorders>
            <w:vAlign w:val="center"/>
          </w:tcPr>
          <w:p w14:paraId="59EB05B3">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hAnsi="宋体" w:cs="宋体"/>
                <w:kern w:val="0"/>
                <w:sz w:val="18"/>
                <w:szCs w:val="18"/>
                <w:highlight w:val="none"/>
              </w:rPr>
            </w:pPr>
          </w:p>
        </w:tc>
      </w:tr>
      <w:tr w14:paraId="55B8AF16">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17" w:hRule="exact"/>
          <w:jc w:val="center"/>
        </w:trPr>
        <w:tc>
          <w:tcPr>
            <w:tcW w:w="624" w:type="pct"/>
            <w:vMerge w:val="continue"/>
            <w:tcBorders>
              <w:tl2br w:val="nil"/>
              <w:tr2bl w:val="nil"/>
            </w:tcBorders>
            <w:vAlign w:val="center"/>
          </w:tcPr>
          <w:p w14:paraId="4FACC53F">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hAnsi="宋体" w:cs="宋体"/>
                <w:kern w:val="0"/>
                <w:sz w:val="18"/>
                <w:szCs w:val="18"/>
                <w:highlight w:val="none"/>
              </w:rPr>
            </w:pPr>
          </w:p>
        </w:tc>
        <w:tc>
          <w:tcPr>
            <w:tcW w:w="750" w:type="pct"/>
            <w:vMerge w:val="restart"/>
            <w:tcBorders>
              <w:tl2br w:val="nil"/>
              <w:tr2bl w:val="nil"/>
            </w:tcBorders>
            <w:vAlign w:val="center"/>
          </w:tcPr>
          <w:p w14:paraId="0DB7EF71">
            <w:pPr>
              <w:pStyle w:val="26"/>
              <w:keepNext w:val="0"/>
              <w:keepLines w:val="0"/>
              <w:widowControl/>
              <w:suppressLineNumbers w:val="0"/>
              <w:spacing w:before="0" w:beforeAutospacing="0" w:after="0" w:afterAutospacing="0"/>
              <w:ind w:left="0" w:right="0" w:firstLine="0" w:firstLineChars="0"/>
              <w:jc w:val="center"/>
              <w:rPr>
                <w:rFonts w:hint="default" w:hAnsi="宋体" w:eastAsia="宋体" w:cs="宋体"/>
                <w:sz w:val="18"/>
                <w:szCs w:val="18"/>
                <w:highlight w:val="none"/>
                <w:lang w:val="en-US" w:eastAsia="zh-CN"/>
              </w:rPr>
            </w:pPr>
            <w:r>
              <w:rPr>
                <w:rFonts w:hint="eastAsia" w:hAnsi="宋体" w:cs="宋体"/>
                <w:sz w:val="18"/>
                <w:szCs w:val="18"/>
                <w:highlight w:val="none"/>
                <w:lang w:val="en-US" w:eastAsia="zh-CN"/>
              </w:rPr>
              <w:t>工艺设备材料</w:t>
            </w:r>
          </w:p>
        </w:tc>
        <w:tc>
          <w:tcPr>
            <w:tcW w:w="1444" w:type="pct"/>
            <w:tcBorders>
              <w:tl2br w:val="nil"/>
              <w:tr2bl w:val="nil"/>
            </w:tcBorders>
            <w:vAlign w:val="center"/>
          </w:tcPr>
          <w:p w14:paraId="4E9B1B13">
            <w:pPr>
              <w:keepNext w:val="0"/>
              <w:keepLines w:val="0"/>
              <w:suppressLineNumbers w:val="0"/>
              <w:autoSpaceDE w:val="0"/>
              <w:autoSpaceDN w:val="0"/>
              <w:spacing w:before="0" w:beforeAutospacing="0" w:after="0" w:afterAutospacing="0"/>
              <w:ind w:left="0" w:right="0"/>
              <w:jc w:val="center"/>
              <w:rPr>
                <w:rFonts w:hint="default" w:ascii="宋体" w:hAnsi="宋体" w:eastAsia="宋体" w:cs="宋体"/>
                <w:sz w:val="18"/>
                <w:szCs w:val="18"/>
                <w:highlight w:val="none"/>
                <w:lang w:val="en-US" w:eastAsia="zh-CN"/>
              </w:rPr>
            </w:pPr>
            <w:r>
              <w:rPr>
                <w:rFonts w:hint="eastAsia" w:ascii="宋体" w:hAnsi="宋体" w:cs="宋体"/>
                <w:sz w:val="18"/>
                <w:szCs w:val="18"/>
                <w:highlight w:val="none"/>
                <w:lang w:val="en-US" w:eastAsia="zh-CN"/>
              </w:rPr>
              <w:t>工艺绿色化水平</w:t>
            </w:r>
          </w:p>
        </w:tc>
        <w:tc>
          <w:tcPr>
            <w:tcW w:w="594" w:type="pct"/>
            <w:tcBorders>
              <w:tl2br w:val="nil"/>
              <w:tr2bl w:val="nil"/>
            </w:tcBorders>
            <w:vAlign w:val="center"/>
          </w:tcPr>
          <w:p w14:paraId="23608A9C">
            <w:pPr>
              <w:keepNext w:val="0"/>
              <w:keepLines w:val="0"/>
              <w:widowControl/>
              <w:suppressLineNumbers w:val="0"/>
              <w:spacing w:before="0" w:beforeAutospacing="0" w:after="0" w:afterAutospacing="0"/>
              <w:ind w:left="0" w:right="0"/>
              <w:jc w:val="center"/>
              <w:textAlignment w:val="center"/>
              <w:rPr>
                <w:rFonts w:hint="default" w:ascii="宋体" w:hAnsi="宋体" w:cs="宋体"/>
                <w:color w:val="000000"/>
                <w:kern w:val="0"/>
                <w:sz w:val="18"/>
                <w:szCs w:val="18"/>
                <w:highlight w:val="none"/>
                <w:lang w:val="en-US" w:eastAsia="zh-CN" w:bidi="ar"/>
              </w:rPr>
            </w:pPr>
            <w:r>
              <w:rPr>
                <w:rFonts w:hint="eastAsia" w:ascii="宋体" w:hAnsi="宋体" w:cs="宋体"/>
                <w:color w:val="000000"/>
                <w:kern w:val="0"/>
                <w:sz w:val="18"/>
                <w:szCs w:val="18"/>
                <w:highlight w:val="none"/>
                <w:lang w:val="en-US" w:eastAsia="zh-CN" w:bidi="ar"/>
              </w:rPr>
              <w:t>1</w:t>
            </w:r>
          </w:p>
        </w:tc>
        <w:tc>
          <w:tcPr>
            <w:tcW w:w="708" w:type="pct"/>
            <w:tcBorders>
              <w:tl2br w:val="nil"/>
              <w:tr2bl w:val="nil"/>
            </w:tcBorders>
            <w:vAlign w:val="center"/>
          </w:tcPr>
          <w:p w14:paraId="3D09F448">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hAnsi="宋体" w:cs="宋体"/>
                <w:kern w:val="0"/>
                <w:sz w:val="18"/>
                <w:szCs w:val="18"/>
                <w:highlight w:val="none"/>
              </w:rPr>
            </w:pPr>
          </w:p>
        </w:tc>
        <w:tc>
          <w:tcPr>
            <w:tcW w:w="878" w:type="pct"/>
            <w:tcBorders>
              <w:tl2br w:val="nil"/>
              <w:tr2bl w:val="nil"/>
            </w:tcBorders>
            <w:vAlign w:val="center"/>
          </w:tcPr>
          <w:p w14:paraId="020705AA">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hAnsi="宋体" w:cs="宋体"/>
                <w:kern w:val="0"/>
                <w:sz w:val="18"/>
                <w:szCs w:val="18"/>
                <w:highlight w:val="none"/>
              </w:rPr>
            </w:pPr>
          </w:p>
        </w:tc>
      </w:tr>
      <w:tr w14:paraId="69096642">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17" w:hRule="exact"/>
          <w:jc w:val="center"/>
        </w:trPr>
        <w:tc>
          <w:tcPr>
            <w:tcW w:w="624" w:type="pct"/>
            <w:vMerge w:val="continue"/>
            <w:tcBorders>
              <w:tl2br w:val="nil"/>
              <w:tr2bl w:val="nil"/>
            </w:tcBorders>
            <w:vAlign w:val="center"/>
          </w:tcPr>
          <w:p w14:paraId="2CFF8066">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hAnsi="宋体" w:cs="宋体"/>
                <w:kern w:val="0"/>
                <w:sz w:val="18"/>
                <w:szCs w:val="18"/>
                <w:highlight w:val="none"/>
              </w:rPr>
            </w:pPr>
          </w:p>
        </w:tc>
        <w:tc>
          <w:tcPr>
            <w:tcW w:w="750" w:type="pct"/>
            <w:vMerge w:val="continue"/>
            <w:tcBorders>
              <w:tl2br w:val="nil"/>
              <w:tr2bl w:val="nil"/>
            </w:tcBorders>
            <w:vAlign w:val="center"/>
          </w:tcPr>
          <w:p w14:paraId="6A81D32C">
            <w:pPr>
              <w:pStyle w:val="26"/>
              <w:keepNext w:val="0"/>
              <w:keepLines w:val="0"/>
              <w:widowControl/>
              <w:suppressLineNumbers w:val="0"/>
              <w:spacing w:before="0" w:beforeAutospacing="0" w:after="0" w:afterAutospacing="0"/>
              <w:ind w:left="0" w:right="0" w:firstLine="0" w:firstLineChars="0"/>
              <w:jc w:val="center"/>
              <w:rPr>
                <w:rFonts w:hint="eastAsia" w:hAnsi="宋体" w:cs="宋体"/>
                <w:sz w:val="18"/>
                <w:szCs w:val="18"/>
                <w:highlight w:val="none"/>
              </w:rPr>
            </w:pPr>
          </w:p>
        </w:tc>
        <w:tc>
          <w:tcPr>
            <w:tcW w:w="1444" w:type="pct"/>
            <w:tcBorders>
              <w:tl2br w:val="nil"/>
              <w:tr2bl w:val="nil"/>
            </w:tcBorders>
            <w:vAlign w:val="center"/>
          </w:tcPr>
          <w:p w14:paraId="40659356">
            <w:pPr>
              <w:keepNext w:val="0"/>
              <w:keepLines w:val="0"/>
              <w:suppressLineNumbers w:val="0"/>
              <w:autoSpaceDE w:val="0"/>
              <w:autoSpaceDN w:val="0"/>
              <w:spacing w:before="0" w:beforeAutospacing="0" w:after="0" w:afterAutospacing="0"/>
              <w:ind w:left="0" w:right="0"/>
              <w:jc w:val="center"/>
              <w:rPr>
                <w:rFonts w:hint="eastAsia" w:ascii="宋体" w:hAnsi="宋体" w:eastAsia="宋体" w:cs="宋体"/>
                <w:sz w:val="18"/>
                <w:szCs w:val="18"/>
                <w:highlight w:val="none"/>
                <w:lang w:val="en-US" w:eastAsia="zh-CN"/>
              </w:rPr>
            </w:pPr>
            <w:r>
              <w:rPr>
                <w:rFonts w:hint="eastAsia" w:ascii="宋体" w:hAnsi="宋体" w:cs="宋体"/>
                <w:sz w:val="18"/>
                <w:szCs w:val="18"/>
                <w:highlight w:val="none"/>
                <w:lang w:val="en-US" w:eastAsia="zh-CN"/>
              </w:rPr>
              <w:t>设备绿色化水平</w:t>
            </w:r>
          </w:p>
        </w:tc>
        <w:tc>
          <w:tcPr>
            <w:tcW w:w="594" w:type="pct"/>
            <w:tcBorders>
              <w:tl2br w:val="nil"/>
              <w:tr2bl w:val="nil"/>
            </w:tcBorders>
            <w:vAlign w:val="center"/>
          </w:tcPr>
          <w:p w14:paraId="36E11B4D">
            <w:pPr>
              <w:keepNext w:val="0"/>
              <w:keepLines w:val="0"/>
              <w:widowControl/>
              <w:suppressLineNumbers w:val="0"/>
              <w:spacing w:before="0" w:beforeAutospacing="0" w:after="0" w:afterAutospacing="0"/>
              <w:ind w:left="0" w:right="0"/>
              <w:jc w:val="center"/>
              <w:textAlignment w:val="center"/>
              <w:rPr>
                <w:rFonts w:hint="default" w:ascii="宋体" w:hAnsi="宋体" w:cs="宋体"/>
                <w:color w:val="000000"/>
                <w:kern w:val="0"/>
                <w:sz w:val="18"/>
                <w:szCs w:val="18"/>
                <w:highlight w:val="none"/>
                <w:lang w:val="en-US" w:eastAsia="zh-CN" w:bidi="ar"/>
              </w:rPr>
            </w:pPr>
            <w:r>
              <w:rPr>
                <w:rFonts w:hint="eastAsia" w:ascii="宋体" w:hAnsi="宋体" w:cs="宋体"/>
                <w:color w:val="000000"/>
                <w:kern w:val="0"/>
                <w:sz w:val="18"/>
                <w:szCs w:val="18"/>
                <w:highlight w:val="none"/>
                <w:lang w:val="en-US" w:eastAsia="zh-CN" w:bidi="ar"/>
              </w:rPr>
              <w:t>1</w:t>
            </w:r>
          </w:p>
        </w:tc>
        <w:tc>
          <w:tcPr>
            <w:tcW w:w="708" w:type="pct"/>
            <w:tcBorders>
              <w:tl2br w:val="nil"/>
              <w:tr2bl w:val="nil"/>
            </w:tcBorders>
            <w:vAlign w:val="center"/>
          </w:tcPr>
          <w:p w14:paraId="13EEA855">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hAnsi="宋体" w:cs="宋体"/>
                <w:kern w:val="0"/>
                <w:sz w:val="18"/>
                <w:szCs w:val="18"/>
                <w:highlight w:val="none"/>
              </w:rPr>
            </w:pPr>
          </w:p>
        </w:tc>
        <w:tc>
          <w:tcPr>
            <w:tcW w:w="878" w:type="pct"/>
            <w:tcBorders>
              <w:tl2br w:val="nil"/>
              <w:tr2bl w:val="nil"/>
            </w:tcBorders>
            <w:vAlign w:val="center"/>
          </w:tcPr>
          <w:p w14:paraId="52CA2BBC">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hAnsi="宋体" w:cs="宋体"/>
                <w:kern w:val="0"/>
                <w:sz w:val="18"/>
                <w:szCs w:val="18"/>
                <w:highlight w:val="none"/>
              </w:rPr>
            </w:pPr>
          </w:p>
        </w:tc>
      </w:tr>
      <w:tr w14:paraId="0E5F0610">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17" w:hRule="exact"/>
          <w:jc w:val="center"/>
        </w:trPr>
        <w:tc>
          <w:tcPr>
            <w:tcW w:w="624" w:type="pct"/>
            <w:vMerge w:val="continue"/>
            <w:tcBorders>
              <w:tl2br w:val="nil"/>
              <w:tr2bl w:val="nil"/>
            </w:tcBorders>
            <w:vAlign w:val="center"/>
          </w:tcPr>
          <w:p w14:paraId="626AA373">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hAnsi="宋体" w:cs="宋体"/>
                <w:kern w:val="0"/>
                <w:sz w:val="18"/>
                <w:szCs w:val="18"/>
                <w:highlight w:val="none"/>
              </w:rPr>
            </w:pPr>
          </w:p>
        </w:tc>
        <w:tc>
          <w:tcPr>
            <w:tcW w:w="750" w:type="pct"/>
            <w:vMerge w:val="continue"/>
            <w:tcBorders>
              <w:tl2br w:val="nil"/>
              <w:tr2bl w:val="nil"/>
            </w:tcBorders>
            <w:vAlign w:val="center"/>
          </w:tcPr>
          <w:p w14:paraId="0A568970">
            <w:pPr>
              <w:pStyle w:val="26"/>
              <w:keepNext w:val="0"/>
              <w:keepLines w:val="0"/>
              <w:widowControl/>
              <w:suppressLineNumbers w:val="0"/>
              <w:spacing w:before="0" w:beforeAutospacing="0" w:after="0" w:afterAutospacing="0"/>
              <w:ind w:left="0" w:right="0" w:firstLine="0" w:firstLineChars="0"/>
              <w:jc w:val="center"/>
              <w:rPr>
                <w:rFonts w:hint="eastAsia" w:hAnsi="宋体" w:cs="宋体"/>
                <w:sz w:val="18"/>
                <w:szCs w:val="18"/>
                <w:highlight w:val="none"/>
              </w:rPr>
            </w:pPr>
          </w:p>
        </w:tc>
        <w:tc>
          <w:tcPr>
            <w:tcW w:w="1444" w:type="pct"/>
            <w:tcBorders>
              <w:tl2br w:val="nil"/>
              <w:tr2bl w:val="nil"/>
            </w:tcBorders>
            <w:vAlign w:val="center"/>
          </w:tcPr>
          <w:p w14:paraId="3C291203">
            <w:pPr>
              <w:keepNext w:val="0"/>
              <w:keepLines w:val="0"/>
              <w:suppressLineNumbers w:val="0"/>
              <w:autoSpaceDE w:val="0"/>
              <w:autoSpaceDN w:val="0"/>
              <w:spacing w:before="0" w:beforeAutospacing="0" w:after="0" w:afterAutospacing="0"/>
              <w:ind w:left="0" w:right="0"/>
              <w:jc w:val="center"/>
              <w:rPr>
                <w:rFonts w:hint="eastAsia" w:ascii="宋体" w:hAnsi="宋体" w:eastAsia="宋体" w:cs="宋体"/>
                <w:sz w:val="18"/>
                <w:szCs w:val="18"/>
                <w:highlight w:val="none"/>
                <w:lang w:val="en-US" w:eastAsia="zh-CN"/>
              </w:rPr>
            </w:pPr>
            <w:r>
              <w:rPr>
                <w:rFonts w:hint="eastAsia" w:ascii="宋体" w:hAnsi="宋体" w:cs="宋体"/>
                <w:sz w:val="18"/>
                <w:szCs w:val="18"/>
                <w:highlight w:val="none"/>
                <w:lang w:val="en-US" w:eastAsia="zh-CN"/>
              </w:rPr>
              <w:t>材料绿色化水平</w:t>
            </w:r>
          </w:p>
        </w:tc>
        <w:tc>
          <w:tcPr>
            <w:tcW w:w="594" w:type="pct"/>
            <w:tcBorders>
              <w:tl2br w:val="nil"/>
              <w:tr2bl w:val="nil"/>
            </w:tcBorders>
            <w:vAlign w:val="center"/>
          </w:tcPr>
          <w:p w14:paraId="382171AB">
            <w:pPr>
              <w:keepNext w:val="0"/>
              <w:keepLines w:val="0"/>
              <w:widowControl/>
              <w:suppressLineNumbers w:val="0"/>
              <w:spacing w:before="0" w:beforeAutospacing="0" w:after="0" w:afterAutospacing="0"/>
              <w:ind w:left="0" w:right="0"/>
              <w:jc w:val="center"/>
              <w:textAlignment w:val="center"/>
              <w:rPr>
                <w:rFonts w:hint="default" w:ascii="宋体" w:hAnsi="宋体" w:cs="宋体"/>
                <w:color w:val="000000"/>
                <w:kern w:val="0"/>
                <w:sz w:val="18"/>
                <w:szCs w:val="18"/>
                <w:highlight w:val="none"/>
                <w:lang w:val="en-US" w:eastAsia="zh-CN" w:bidi="ar"/>
              </w:rPr>
            </w:pPr>
            <w:r>
              <w:rPr>
                <w:rFonts w:hint="eastAsia" w:ascii="宋体" w:hAnsi="宋体" w:cs="宋体"/>
                <w:color w:val="000000"/>
                <w:kern w:val="0"/>
                <w:sz w:val="18"/>
                <w:szCs w:val="18"/>
                <w:highlight w:val="none"/>
                <w:lang w:val="en-US" w:eastAsia="zh-CN" w:bidi="ar"/>
              </w:rPr>
              <w:t>1</w:t>
            </w:r>
          </w:p>
        </w:tc>
        <w:tc>
          <w:tcPr>
            <w:tcW w:w="708" w:type="pct"/>
            <w:tcBorders>
              <w:tl2br w:val="nil"/>
              <w:tr2bl w:val="nil"/>
            </w:tcBorders>
            <w:vAlign w:val="center"/>
          </w:tcPr>
          <w:p w14:paraId="3A869F5F">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hAnsi="宋体" w:cs="宋体"/>
                <w:kern w:val="0"/>
                <w:sz w:val="18"/>
                <w:szCs w:val="18"/>
                <w:highlight w:val="none"/>
              </w:rPr>
            </w:pPr>
          </w:p>
        </w:tc>
        <w:tc>
          <w:tcPr>
            <w:tcW w:w="878" w:type="pct"/>
            <w:tcBorders>
              <w:tl2br w:val="nil"/>
              <w:tr2bl w:val="nil"/>
            </w:tcBorders>
            <w:vAlign w:val="center"/>
          </w:tcPr>
          <w:p w14:paraId="650175DA">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hAnsi="宋体" w:cs="宋体"/>
                <w:kern w:val="0"/>
                <w:sz w:val="18"/>
                <w:szCs w:val="18"/>
                <w:highlight w:val="none"/>
              </w:rPr>
            </w:pPr>
          </w:p>
        </w:tc>
      </w:tr>
      <w:tr w14:paraId="3DF21F5A">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17" w:hRule="exact"/>
          <w:jc w:val="center"/>
        </w:trPr>
        <w:tc>
          <w:tcPr>
            <w:tcW w:w="624" w:type="pct"/>
            <w:vMerge w:val="continue"/>
            <w:tcBorders>
              <w:tl2br w:val="nil"/>
              <w:tr2bl w:val="nil"/>
            </w:tcBorders>
            <w:vAlign w:val="center"/>
          </w:tcPr>
          <w:p w14:paraId="59DA9DD1">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hAnsi="宋体" w:cs="宋体"/>
                <w:kern w:val="0"/>
                <w:sz w:val="18"/>
                <w:szCs w:val="18"/>
                <w:highlight w:val="none"/>
              </w:rPr>
            </w:pPr>
          </w:p>
        </w:tc>
        <w:tc>
          <w:tcPr>
            <w:tcW w:w="750" w:type="pct"/>
            <w:vMerge w:val="restart"/>
            <w:tcBorders>
              <w:tl2br w:val="nil"/>
              <w:tr2bl w:val="nil"/>
            </w:tcBorders>
            <w:vAlign w:val="center"/>
          </w:tcPr>
          <w:p w14:paraId="7BBCA071">
            <w:pPr>
              <w:pStyle w:val="26"/>
              <w:keepNext w:val="0"/>
              <w:keepLines w:val="0"/>
              <w:widowControl/>
              <w:suppressLineNumbers w:val="0"/>
              <w:spacing w:before="0" w:beforeAutospacing="0" w:after="0" w:afterAutospacing="0"/>
              <w:ind w:left="0" w:right="0" w:firstLine="0" w:firstLineChars="0"/>
              <w:jc w:val="center"/>
              <w:rPr>
                <w:rFonts w:hint="default" w:hAnsi="宋体" w:cs="宋体"/>
                <w:sz w:val="18"/>
                <w:szCs w:val="18"/>
                <w:highlight w:val="none"/>
              </w:rPr>
            </w:pPr>
            <w:r>
              <w:rPr>
                <w:rFonts w:hint="eastAsia" w:hAnsi="宋体" w:cs="宋体"/>
                <w:sz w:val="18"/>
                <w:szCs w:val="18"/>
                <w:highlight w:val="none"/>
              </w:rPr>
              <w:t>能源资源利用</w:t>
            </w:r>
          </w:p>
        </w:tc>
        <w:tc>
          <w:tcPr>
            <w:tcW w:w="1444" w:type="pct"/>
            <w:tcBorders>
              <w:tl2br w:val="nil"/>
              <w:tr2bl w:val="nil"/>
            </w:tcBorders>
            <w:vAlign w:val="center"/>
          </w:tcPr>
          <w:p w14:paraId="5C335EED">
            <w:pPr>
              <w:keepNext w:val="0"/>
              <w:keepLines w:val="0"/>
              <w:suppressLineNumbers w:val="0"/>
              <w:autoSpaceDE w:val="0"/>
              <w:autoSpaceDN w:val="0"/>
              <w:spacing w:before="0" w:beforeAutospacing="0" w:after="0" w:afterAutospacing="0"/>
              <w:ind w:left="0" w:right="0"/>
              <w:jc w:val="center"/>
              <w:rPr>
                <w:rFonts w:hint="default" w:hAnsi="宋体" w:cs="宋体"/>
                <w:sz w:val="18"/>
                <w:szCs w:val="18"/>
                <w:highlight w:val="none"/>
              </w:rPr>
            </w:pPr>
            <w:r>
              <w:rPr>
                <w:rFonts w:hint="eastAsia" w:ascii="宋体" w:hAnsi="宋体" w:cs="宋体"/>
                <w:sz w:val="18"/>
                <w:szCs w:val="18"/>
                <w:highlight w:val="none"/>
              </w:rPr>
              <w:t>可再生能源占比</w:t>
            </w:r>
          </w:p>
        </w:tc>
        <w:tc>
          <w:tcPr>
            <w:tcW w:w="594" w:type="pct"/>
            <w:tcBorders>
              <w:tl2br w:val="nil"/>
              <w:tr2bl w:val="nil"/>
            </w:tcBorders>
            <w:vAlign w:val="center"/>
          </w:tcPr>
          <w:p w14:paraId="26AB183F">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kern w:val="0"/>
                <w:sz w:val="18"/>
                <w:szCs w:val="18"/>
                <w:highlight w:val="none"/>
                <w:lang w:eastAsia="zh-CN"/>
              </w:rPr>
            </w:pPr>
            <w:r>
              <w:rPr>
                <w:rFonts w:hint="eastAsia" w:ascii="宋体" w:hAnsi="宋体" w:cs="宋体"/>
                <w:color w:val="000000"/>
                <w:kern w:val="0"/>
                <w:sz w:val="18"/>
                <w:szCs w:val="18"/>
                <w:highlight w:val="none"/>
                <w:lang w:val="en-US" w:eastAsia="zh-CN" w:bidi="ar"/>
              </w:rPr>
              <w:t>3</w:t>
            </w:r>
          </w:p>
        </w:tc>
        <w:tc>
          <w:tcPr>
            <w:tcW w:w="708" w:type="pct"/>
            <w:tcBorders>
              <w:tl2br w:val="nil"/>
              <w:tr2bl w:val="nil"/>
            </w:tcBorders>
            <w:vAlign w:val="center"/>
          </w:tcPr>
          <w:p w14:paraId="3C90EAC0">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hAnsi="宋体" w:cs="宋体"/>
                <w:kern w:val="0"/>
                <w:sz w:val="18"/>
                <w:szCs w:val="18"/>
                <w:highlight w:val="none"/>
              </w:rPr>
            </w:pPr>
          </w:p>
        </w:tc>
        <w:tc>
          <w:tcPr>
            <w:tcW w:w="878" w:type="pct"/>
            <w:tcBorders>
              <w:tl2br w:val="nil"/>
              <w:tr2bl w:val="nil"/>
            </w:tcBorders>
            <w:vAlign w:val="center"/>
          </w:tcPr>
          <w:p w14:paraId="4934A40E">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hAnsi="宋体" w:cs="宋体"/>
                <w:kern w:val="0"/>
                <w:sz w:val="18"/>
                <w:szCs w:val="18"/>
                <w:highlight w:val="none"/>
              </w:rPr>
            </w:pPr>
          </w:p>
        </w:tc>
      </w:tr>
      <w:tr w14:paraId="29D24013">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17" w:hRule="exact"/>
          <w:jc w:val="center"/>
        </w:trPr>
        <w:tc>
          <w:tcPr>
            <w:tcW w:w="624" w:type="pct"/>
            <w:vMerge w:val="continue"/>
            <w:tcBorders>
              <w:tl2br w:val="nil"/>
              <w:tr2bl w:val="nil"/>
            </w:tcBorders>
            <w:vAlign w:val="center"/>
          </w:tcPr>
          <w:p w14:paraId="04010060">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hAnsi="宋体" w:cs="宋体"/>
                <w:kern w:val="0"/>
                <w:sz w:val="18"/>
                <w:szCs w:val="18"/>
                <w:highlight w:val="none"/>
              </w:rPr>
            </w:pPr>
          </w:p>
        </w:tc>
        <w:tc>
          <w:tcPr>
            <w:tcW w:w="750" w:type="pct"/>
            <w:vMerge w:val="continue"/>
            <w:tcBorders>
              <w:tl2br w:val="nil"/>
              <w:tr2bl w:val="nil"/>
            </w:tcBorders>
            <w:vAlign w:val="center"/>
          </w:tcPr>
          <w:p w14:paraId="7866B83A">
            <w:pPr>
              <w:pStyle w:val="26"/>
              <w:keepNext w:val="0"/>
              <w:keepLines w:val="0"/>
              <w:widowControl/>
              <w:suppressLineNumbers w:val="0"/>
              <w:spacing w:before="0" w:beforeAutospacing="0" w:after="0" w:afterAutospacing="0"/>
              <w:ind w:left="0" w:right="0" w:firstLine="0" w:firstLineChars="0"/>
              <w:jc w:val="center"/>
              <w:rPr>
                <w:rFonts w:hint="default" w:hAnsi="宋体" w:cs="宋体"/>
                <w:sz w:val="18"/>
                <w:szCs w:val="18"/>
                <w:highlight w:val="none"/>
              </w:rPr>
            </w:pPr>
          </w:p>
        </w:tc>
        <w:tc>
          <w:tcPr>
            <w:tcW w:w="1444" w:type="pct"/>
            <w:tcBorders>
              <w:tl2br w:val="nil"/>
              <w:tr2bl w:val="nil"/>
            </w:tcBorders>
            <w:vAlign w:val="center"/>
          </w:tcPr>
          <w:p w14:paraId="6170096A">
            <w:pPr>
              <w:keepNext w:val="0"/>
              <w:keepLines w:val="0"/>
              <w:suppressLineNumbers w:val="0"/>
              <w:autoSpaceDE w:val="0"/>
              <w:autoSpaceDN w:val="0"/>
              <w:spacing w:before="0" w:beforeAutospacing="0" w:after="0" w:afterAutospacing="0"/>
              <w:ind w:left="0" w:right="0"/>
              <w:jc w:val="center"/>
              <w:rPr>
                <w:rFonts w:hint="default" w:hAnsi="宋体" w:cs="宋体"/>
                <w:sz w:val="18"/>
                <w:szCs w:val="18"/>
                <w:highlight w:val="none"/>
              </w:rPr>
            </w:pPr>
            <w:r>
              <w:rPr>
                <w:rFonts w:hint="eastAsia" w:ascii="宋体" w:hAnsi="宋体" w:cs="宋体"/>
                <w:sz w:val="18"/>
                <w:szCs w:val="18"/>
                <w:highlight w:val="none"/>
              </w:rPr>
              <w:t>非常规水资源利用率</w:t>
            </w:r>
          </w:p>
        </w:tc>
        <w:tc>
          <w:tcPr>
            <w:tcW w:w="594" w:type="pct"/>
            <w:tcBorders>
              <w:tl2br w:val="nil"/>
              <w:tr2bl w:val="nil"/>
            </w:tcBorders>
            <w:vAlign w:val="center"/>
          </w:tcPr>
          <w:p w14:paraId="2D00B3BD">
            <w:pPr>
              <w:keepNext w:val="0"/>
              <w:keepLines w:val="0"/>
              <w:widowControl/>
              <w:suppressLineNumbers w:val="0"/>
              <w:spacing w:before="0" w:beforeAutospacing="0" w:after="0" w:afterAutospacing="0"/>
              <w:ind w:left="0" w:right="0"/>
              <w:jc w:val="center"/>
              <w:textAlignment w:val="center"/>
              <w:rPr>
                <w:rFonts w:hint="eastAsia" w:hAnsi="宋体" w:eastAsia="宋体" w:cs="宋体"/>
                <w:sz w:val="18"/>
                <w:szCs w:val="18"/>
                <w:highlight w:val="none"/>
                <w:lang w:eastAsia="zh-CN"/>
              </w:rPr>
            </w:pPr>
            <w:r>
              <w:rPr>
                <w:rFonts w:hint="eastAsia" w:ascii="宋体" w:hAnsi="宋体" w:cs="宋体"/>
                <w:color w:val="000000"/>
                <w:kern w:val="0"/>
                <w:sz w:val="18"/>
                <w:szCs w:val="18"/>
                <w:highlight w:val="none"/>
                <w:lang w:val="en-US" w:eastAsia="zh-CN" w:bidi="ar"/>
              </w:rPr>
              <w:t>1</w:t>
            </w:r>
          </w:p>
        </w:tc>
        <w:tc>
          <w:tcPr>
            <w:tcW w:w="708" w:type="pct"/>
            <w:tcBorders>
              <w:tl2br w:val="nil"/>
              <w:tr2bl w:val="nil"/>
            </w:tcBorders>
            <w:vAlign w:val="center"/>
          </w:tcPr>
          <w:p w14:paraId="3046AAB3">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hAnsi="宋体" w:cs="宋体"/>
                <w:kern w:val="0"/>
                <w:sz w:val="18"/>
                <w:szCs w:val="18"/>
                <w:highlight w:val="none"/>
              </w:rPr>
            </w:pPr>
          </w:p>
        </w:tc>
        <w:tc>
          <w:tcPr>
            <w:tcW w:w="878" w:type="pct"/>
            <w:tcBorders>
              <w:tl2br w:val="nil"/>
              <w:tr2bl w:val="nil"/>
            </w:tcBorders>
            <w:vAlign w:val="center"/>
          </w:tcPr>
          <w:p w14:paraId="138734E7">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hAnsi="宋体" w:cs="宋体"/>
                <w:kern w:val="0"/>
                <w:sz w:val="18"/>
                <w:szCs w:val="18"/>
                <w:highlight w:val="none"/>
              </w:rPr>
            </w:pPr>
          </w:p>
        </w:tc>
      </w:tr>
      <w:tr w14:paraId="3F6E3AE5">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17" w:hRule="exact"/>
          <w:jc w:val="center"/>
        </w:trPr>
        <w:tc>
          <w:tcPr>
            <w:tcW w:w="624" w:type="pct"/>
            <w:vMerge w:val="continue"/>
            <w:tcBorders>
              <w:tl2br w:val="nil"/>
              <w:tr2bl w:val="nil"/>
            </w:tcBorders>
            <w:vAlign w:val="center"/>
          </w:tcPr>
          <w:p w14:paraId="6B94EE00">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hAnsi="宋体" w:cs="宋体"/>
                <w:kern w:val="0"/>
                <w:sz w:val="18"/>
                <w:szCs w:val="18"/>
                <w:highlight w:val="none"/>
              </w:rPr>
            </w:pPr>
          </w:p>
        </w:tc>
        <w:tc>
          <w:tcPr>
            <w:tcW w:w="2194" w:type="pct"/>
            <w:gridSpan w:val="2"/>
            <w:tcBorders>
              <w:tl2br w:val="nil"/>
              <w:tr2bl w:val="nil"/>
            </w:tcBorders>
            <w:vAlign w:val="center"/>
          </w:tcPr>
          <w:p w14:paraId="217CDA8F">
            <w:pPr>
              <w:keepNext w:val="0"/>
              <w:keepLines w:val="0"/>
              <w:suppressLineNumbers w:val="0"/>
              <w:autoSpaceDE w:val="0"/>
              <w:autoSpaceDN w:val="0"/>
              <w:spacing w:before="0" w:beforeAutospacing="0" w:after="0" w:afterAutospacing="0"/>
              <w:ind w:left="0" w:right="0"/>
              <w:jc w:val="center"/>
              <w:rPr>
                <w:rFonts w:hint="default" w:hAnsi="宋体" w:cs="宋体"/>
                <w:sz w:val="18"/>
                <w:szCs w:val="18"/>
                <w:highlight w:val="none"/>
              </w:rPr>
            </w:pPr>
            <w:r>
              <w:rPr>
                <w:rFonts w:hint="eastAsia" w:ascii="宋体" w:hAnsi="宋体" w:cs="宋体"/>
                <w:sz w:val="18"/>
                <w:szCs w:val="18"/>
                <w:highlight w:val="none"/>
              </w:rPr>
              <w:t>污染物排放水平</w:t>
            </w:r>
          </w:p>
        </w:tc>
        <w:tc>
          <w:tcPr>
            <w:tcW w:w="594" w:type="pct"/>
            <w:tcBorders>
              <w:tl2br w:val="nil"/>
              <w:tr2bl w:val="nil"/>
            </w:tcBorders>
            <w:vAlign w:val="center"/>
          </w:tcPr>
          <w:p w14:paraId="1C06DC3E">
            <w:pPr>
              <w:keepNext w:val="0"/>
              <w:keepLines w:val="0"/>
              <w:widowControl/>
              <w:suppressLineNumbers w:val="0"/>
              <w:spacing w:before="0" w:beforeAutospacing="0" w:after="0" w:afterAutospacing="0"/>
              <w:ind w:left="0" w:right="0"/>
              <w:jc w:val="center"/>
              <w:textAlignment w:val="center"/>
              <w:rPr>
                <w:rFonts w:hint="default" w:ascii="宋体" w:hAnsi="宋体" w:cs="宋体"/>
                <w:kern w:val="0"/>
                <w:sz w:val="18"/>
                <w:szCs w:val="18"/>
                <w:highlight w:val="none"/>
              </w:rPr>
            </w:pPr>
            <w:r>
              <w:rPr>
                <w:rFonts w:hint="eastAsia" w:ascii="宋体" w:hAnsi="宋体" w:cs="宋体"/>
                <w:color w:val="000000"/>
                <w:kern w:val="0"/>
                <w:sz w:val="18"/>
                <w:szCs w:val="18"/>
                <w:highlight w:val="none"/>
                <w:lang w:bidi="ar"/>
              </w:rPr>
              <w:t>4</w:t>
            </w:r>
          </w:p>
        </w:tc>
        <w:tc>
          <w:tcPr>
            <w:tcW w:w="708" w:type="pct"/>
            <w:tcBorders>
              <w:tl2br w:val="nil"/>
              <w:tr2bl w:val="nil"/>
            </w:tcBorders>
            <w:vAlign w:val="center"/>
          </w:tcPr>
          <w:p w14:paraId="6A625922">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hAnsi="宋体" w:cs="宋体"/>
                <w:kern w:val="0"/>
                <w:sz w:val="18"/>
                <w:szCs w:val="18"/>
                <w:highlight w:val="none"/>
              </w:rPr>
            </w:pPr>
          </w:p>
        </w:tc>
        <w:tc>
          <w:tcPr>
            <w:tcW w:w="878" w:type="pct"/>
            <w:tcBorders>
              <w:tl2br w:val="nil"/>
              <w:tr2bl w:val="nil"/>
            </w:tcBorders>
            <w:vAlign w:val="center"/>
          </w:tcPr>
          <w:p w14:paraId="039E4D53">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hAnsi="宋体" w:cs="宋体"/>
                <w:kern w:val="0"/>
                <w:sz w:val="18"/>
                <w:szCs w:val="18"/>
                <w:highlight w:val="none"/>
              </w:rPr>
            </w:pPr>
          </w:p>
        </w:tc>
      </w:tr>
      <w:tr w14:paraId="61A98CBA">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17" w:hRule="exact"/>
          <w:jc w:val="center"/>
        </w:trPr>
        <w:tc>
          <w:tcPr>
            <w:tcW w:w="624" w:type="pct"/>
            <w:vMerge w:val="restart"/>
            <w:tcBorders>
              <w:tl2br w:val="nil"/>
              <w:tr2bl w:val="nil"/>
            </w:tcBorders>
            <w:vAlign w:val="center"/>
          </w:tcPr>
          <w:p w14:paraId="7D355227">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hAnsi="宋体" w:cs="宋体"/>
                <w:kern w:val="0"/>
                <w:sz w:val="18"/>
                <w:szCs w:val="18"/>
                <w:highlight w:val="none"/>
              </w:rPr>
            </w:pPr>
            <w:r>
              <w:rPr>
                <w:rFonts w:hint="eastAsia" w:ascii="宋体" w:hAnsi="宋体" w:cs="宋体"/>
                <w:kern w:val="0"/>
                <w:sz w:val="18"/>
                <w:szCs w:val="18"/>
                <w:highlight w:val="none"/>
              </w:rPr>
              <w:t>社会表现</w:t>
            </w:r>
          </w:p>
        </w:tc>
        <w:tc>
          <w:tcPr>
            <w:tcW w:w="750" w:type="pct"/>
            <w:vMerge w:val="restart"/>
            <w:tcBorders>
              <w:tl2br w:val="nil"/>
              <w:tr2bl w:val="nil"/>
            </w:tcBorders>
            <w:vAlign w:val="center"/>
          </w:tcPr>
          <w:p w14:paraId="4DA6F1AC">
            <w:pPr>
              <w:pStyle w:val="26"/>
              <w:keepNext w:val="0"/>
              <w:keepLines w:val="0"/>
              <w:widowControl/>
              <w:suppressLineNumbers w:val="0"/>
              <w:spacing w:before="0" w:beforeAutospacing="0" w:after="0" w:afterAutospacing="0"/>
              <w:ind w:left="0" w:right="0" w:firstLine="0" w:firstLineChars="0"/>
              <w:jc w:val="center"/>
              <w:rPr>
                <w:rFonts w:hint="default" w:hAnsi="宋体" w:cs="宋体"/>
                <w:sz w:val="18"/>
                <w:szCs w:val="18"/>
                <w:highlight w:val="none"/>
              </w:rPr>
            </w:pPr>
            <w:r>
              <w:rPr>
                <w:rFonts w:hint="eastAsia" w:hAnsi="宋体" w:cs="宋体"/>
                <w:sz w:val="18"/>
                <w:szCs w:val="18"/>
                <w:highlight w:val="none"/>
              </w:rPr>
              <w:t>内部行动</w:t>
            </w:r>
          </w:p>
        </w:tc>
        <w:tc>
          <w:tcPr>
            <w:tcW w:w="1444" w:type="pct"/>
            <w:tcBorders>
              <w:tl2br w:val="nil"/>
              <w:tr2bl w:val="nil"/>
            </w:tcBorders>
            <w:vAlign w:val="center"/>
          </w:tcPr>
          <w:p w14:paraId="475A8120">
            <w:pPr>
              <w:pStyle w:val="26"/>
              <w:keepNext w:val="0"/>
              <w:keepLines w:val="0"/>
              <w:widowControl/>
              <w:suppressLineNumbers w:val="0"/>
              <w:spacing w:before="0" w:beforeAutospacing="0" w:after="0" w:afterAutospacing="0"/>
              <w:ind w:left="0" w:right="0" w:firstLine="0" w:firstLineChars="0"/>
              <w:jc w:val="center"/>
              <w:rPr>
                <w:rFonts w:hint="default" w:hAnsi="宋体" w:eastAsia="宋体" w:cs="宋体"/>
                <w:sz w:val="18"/>
                <w:szCs w:val="18"/>
                <w:highlight w:val="none"/>
                <w:lang w:val="en-US" w:eastAsia="zh-CN"/>
              </w:rPr>
            </w:pPr>
            <w:r>
              <w:rPr>
                <w:rFonts w:hint="eastAsia" w:hAnsi="宋体" w:cs="宋体"/>
                <w:sz w:val="18"/>
                <w:szCs w:val="18"/>
                <w:highlight w:val="none"/>
                <w:lang w:val="en-US" w:eastAsia="zh-CN"/>
              </w:rPr>
              <w:t>绿色行动</w:t>
            </w:r>
          </w:p>
        </w:tc>
        <w:tc>
          <w:tcPr>
            <w:tcW w:w="594" w:type="pct"/>
            <w:tcBorders>
              <w:tl2br w:val="nil"/>
              <w:tr2bl w:val="nil"/>
            </w:tcBorders>
            <w:vAlign w:val="center"/>
          </w:tcPr>
          <w:p w14:paraId="0208BD6E">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kern w:val="0"/>
                <w:sz w:val="18"/>
                <w:szCs w:val="18"/>
                <w:highlight w:val="none"/>
                <w:lang w:val="en-US" w:eastAsia="zh-CN"/>
              </w:rPr>
            </w:pPr>
            <w:r>
              <w:rPr>
                <w:rFonts w:hint="eastAsia" w:ascii="宋体" w:hAnsi="宋体" w:cs="宋体"/>
                <w:color w:val="000000"/>
                <w:kern w:val="0"/>
                <w:sz w:val="18"/>
                <w:szCs w:val="18"/>
                <w:highlight w:val="none"/>
                <w:lang w:val="en-US" w:eastAsia="zh-CN" w:bidi="ar"/>
              </w:rPr>
              <w:t>2</w:t>
            </w:r>
          </w:p>
        </w:tc>
        <w:tc>
          <w:tcPr>
            <w:tcW w:w="708" w:type="pct"/>
            <w:tcBorders>
              <w:tl2br w:val="nil"/>
              <w:tr2bl w:val="nil"/>
            </w:tcBorders>
            <w:vAlign w:val="center"/>
          </w:tcPr>
          <w:p w14:paraId="1F9EDA57">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hAnsi="宋体" w:cs="宋体"/>
                <w:kern w:val="0"/>
                <w:sz w:val="18"/>
                <w:szCs w:val="18"/>
                <w:highlight w:val="none"/>
              </w:rPr>
            </w:pPr>
          </w:p>
        </w:tc>
        <w:tc>
          <w:tcPr>
            <w:tcW w:w="878" w:type="pct"/>
            <w:tcBorders>
              <w:tl2br w:val="nil"/>
              <w:tr2bl w:val="nil"/>
            </w:tcBorders>
            <w:vAlign w:val="center"/>
          </w:tcPr>
          <w:p w14:paraId="242A8C63">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hAnsi="宋体" w:cs="宋体"/>
                <w:kern w:val="0"/>
                <w:sz w:val="18"/>
                <w:szCs w:val="18"/>
                <w:highlight w:val="none"/>
              </w:rPr>
            </w:pPr>
          </w:p>
        </w:tc>
      </w:tr>
      <w:tr w14:paraId="6F0F0235">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17" w:hRule="exact"/>
          <w:jc w:val="center"/>
        </w:trPr>
        <w:tc>
          <w:tcPr>
            <w:tcW w:w="624" w:type="pct"/>
            <w:vMerge w:val="continue"/>
            <w:tcBorders>
              <w:tl2br w:val="nil"/>
              <w:tr2bl w:val="nil"/>
            </w:tcBorders>
            <w:vAlign w:val="center"/>
          </w:tcPr>
          <w:p w14:paraId="55D567C0">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eastAsia" w:ascii="宋体" w:hAnsi="宋体" w:cs="宋体"/>
                <w:kern w:val="0"/>
                <w:sz w:val="18"/>
                <w:szCs w:val="18"/>
                <w:highlight w:val="none"/>
              </w:rPr>
            </w:pPr>
          </w:p>
        </w:tc>
        <w:tc>
          <w:tcPr>
            <w:tcW w:w="750" w:type="pct"/>
            <w:vMerge w:val="continue"/>
            <w:tcBorders>
              <w:tl2br w:val="nil"/>
              <w:tr2bl w:val="nil"/>
            </w:tcBorders>
            <w:vAlign w:val="center"/>
          </w:tcPr>
          <w:p w14:paraId="756026EC">
            <w:pPr>
              <w:pStyle w:val="26"/>
              <w:keepNext w:val="0"/>
              <w:keepLines w:val="0"/>
              <w:widowControl/>
              <w:suppressLineNumbers w:val="0"/>
              <w:spacing w:before="0" w:beforeAutospacing="0" w:after="0" w:afterAutospacing="0"/>
              <w:ind w:left="0" w:right="0" w:firstLine="0" w:firstLineChars="0"/>
              <w:jc w:val="center"/>
              <w:rPr>
                <w:rFonts w:hint="eastAsia" w:hAnsi="宋体" w:cs="宋体"/>
                <w:sz w:val="18"/>
                <w:szCs w:val="18"/>
                <w:highlight w:val="none"/>
              </w:rPr>
            </w:pPr>
          </w:p>
        </w:tc>
        <w:tc>
          <w:tcPr>
            <w:tcW w:w="1444" w:type="pct"/>
            <w:tcBorders>
              <w:tl2br w:val="nil"/>
              <w:tr2bl w:val="nil"/>
            </w:tcBorders>
            <w:vAlign w:val="center"/>
          </w:tcPr>
          <w:p w14:paraId="30F9142E">
            <w:pPr>
              <w:pStyle w:val="26"/>
              <w:keepNext w:val="0"/>
              <w:keepLines w:val="0"/>
              <w:widowControl/>
              <w:suppressLineNumbers w:val="0"/>
              <w:spacing w:before="0" w:beforeAutospacing="0" w:after="0" w:afterAutospacing="0"/>
              <w:ind w:left="0" w:right="0" w:firstLine="0" w:firstLineChars="0"/>
              <w:jc w:val="center"/>
              <w:rPr>
                <w:rFonts w:hint="default" w:hAnsi="宋体" w:eastAsia="宋体" w:cs="宋体"/>
                <w:sz w:val="18"/>
                <w:szCs w:val="18"/>
                <w:highlight w:val="none"/>
                <w:lang w:val="en-US" w:eastAsia="zh-CN"/>
              </w:rPr>
            </w:pPr>
            <w:r>
              <w:rPr>
                <w:rFonts w:hint="eastAsia" w:hAnsi="宋体" w:cs="宋体"/>
                <w:sz w:val="18"/>
                <w:szCs w:val="18"/>
                <w:highlight w:val="none"/>
                <w:lang w:val="en-US" w:eastAsia="zh-CN"/>
              </w:rPr>
              <w:t>信息披露</w:t>
            </w:r>
          </w:p>
        </w:tc>
        <w:tc>
          <w:tcPr>
            <w:tcW w:w="594" w:type="pct"/>
            <w:tcBorders>
              <w:tl2br w:val="nil"/>
              <w:tr2bl w:val="nil"/>
            </w:tcBorders>
            <w:vAlign w:val="center"/>
          </w:tcPr>
          <w:p w14:paraId="60B6E66B">
            <w:pPr>
              <w:keepNext w:val="0"/>
              <w:keepLines w:val="0"/>
              <w:widowControl/>
              <w:suppressLineNumbers w:val="0"/>
              <w:spacing w:before="0" w:beforeAutospacing="0" w:after="0" w:afterAutospacing="0"/>
              <w:ind w:left="0" w:right="0"/>
              <w:jc w:val="center"/>
              <w:textAlignment w:val="center"/>
              <w:rPr>
                <w:rFonts w:hint="default" w:ascii="宋体" w:hAnsi="宋体" w:cs="宋体"/>
                <w:color w:val="000000"/>
                <w:kern w:val="0"/>
                <w:sz w:val="18"/>
                <w:szCs w:val="18"/>
                <w:highlight w:val="none"/>
                <w:lang w:val="en-US" w:eastAsia="zh-CN" w:bidi="ar"/>
              </w:rPr>
            </w:pPr>
            <w:r>
              <w:rPr>
                <w:rFonts w:hint="eastAsia" w:ascii="宋体" w:hAnsi="宋体" w:cs="宋体"/>
                <w:color w:val="000000"/>
                <w:kern w:val="0"/>
                <w:sz w:val="18"/>
                <w:szCs w:val="18"/>
                <w:highlight w:val="none"/>
                <w:lang w:val="en-US" w:eastAsia="zh-CN" w:bidi="ar"/>
              </w:rPr>
              <w:t>2</w:t>
            </w:r>
          </w:p>
        </w:tc>
        <w:tc>
          <w:tcPr>
            <w:tcW w:w="708" w:type="pct"/>
            <w:tcBorders>
              <w:tl2br w:val="nil"/>
              <w:tr2bl w:val="nil"/>
            </w:tcBorders>
            <w:vAlign w:val="center"/>
          </w:tcPr>
          <w:p w14:paraId="61C81AFF">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hAnsi="宋体" w:cs="宋体"/>
                <w:kern w:val="0"/>
                <w:sz w:val="18"/>
                <w:szCs w:val="18"/>
                <w:highlight w:val="none"/>
              </w:rPr>
            </w:pPr>
          </w:p>
        </w:tc>
        <w:tc>
          <w:tcPr>
            <w:tcW w:w="878" w:type="pct"/>
            <w:tcBorders>
              <w:tl2br w:val="nil"/>
              <w:tr2bl w:val="nil"/>
            </w:tcBorders>
            <w:vAlign w:val="center"/>
          </w:tcPr>
          <w:p w14:paraId="2C9481E1">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hAnsi="宋体" w:cs="宋体"/>
                <w:kern w:val="0"/>
                <w:sz w:val="18"/>
                <w:szCs w:val="18"/>
                <w:highlight w:val="none"/>
              </w:rPr>
            </w:pPr>
          </w:p>
        </w:tc>
      </w:tr>
      <w:tr w14:paraId="384F3B68">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17" w:hRule="exact"/>
          <w:jc w:val="center"/>
        </w:trPr>
        <w:tc>
          <w:tcPr>
            <w:tcW w:w="624" w:type="pct"/>
            <w:vMerge w:val="continue"/>
            <w:tcBorders>
              <w:tl2br w:val="nil"/>
              <w:tr2bl w:val="nil"/>
            </w:tcBorders>
            <w:vAlign w:val="center"/>
          </w:tcPr>
          <w:p w14:paraId="664651B1">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eastAsia" w:ascii="宋体" w:hAnsi="宋体" w:cs="宋体"/>
                <w:kern w:val="0"/>
                <w:sz w:val="18"/>
                <w:szCs w:val="18"/>
                <w:highlight w:val="none"/>
              </w:rPr>
            </w:pPr>
          </w:p>
        </w:tc>
        <w:tc>
          <w:tcPr>
            <w:tcW w:w="750" w:type="pct"/>
            <w:vMerge w:val="continue"/>
            <w:tcBorders>
              <w:tl2br w:val="nil"/>
              <w:tr2bl w:val="nil"/>
            </w:tcBorders>
            <w:vAlign w:val="center"/>
          </w:tcPr>
          <w:p w14:paraId="222F9E70">
            <w:pPr>
              <w:pStyle w:val="26"/>
              <w:keepNext w:val="0"/>
              <w:keepLines w:val="0"/>
              <w:widowControl/>
              <w:suppressLineNumbers w:val="0"/>
              <w:spacing w:before="0" w:beforeAutospacing="0" w:after="0" w:afterAutospacing="0"/>
              <w:ind w:left="0" w:right="0" w:firstLine="0" w:firstLineChars="0"/>
              <w:jc w:val="center"/>
              <w:rPr>
                <w:rFonts w:hint="eastAsia" w:hAnsi="宋体" w:cs="宋体"/>
                <w:sz w:val="18"/>
                <w:szCs w:val="18"/>
                <w:highlight w:val="none"/>
              </w:rPr>
            </w:pPr>
          </w:p>
        </w:tc>
        <w:tc>
          <w:tcPr>
            <w:tcW w:w="1444" w:type="pct"/>
            <w:tcBorders>
              <w:tl2br w:val="nil"/>
              <w:tr2bl w:val="nil"/>
            </w:tcBorders>
            <w:vAlign w:val="center"/>
          </w:tcPr>
          <w:p w14:paraId="5CBC85FA">
            <w:pPr>
              <w:pStyle w:val="26"/>
              <w:keepNext w:val="0"/>
              <w:keepLines w:val="0"/>
              <w:widowControl/>
              <w:suppressLineNumbers w:val="0"/>
              <w:spacing w:before="0" w:beforeAutospacing="0" w:after="0" w:afterAutospacing="0"/>
              <w:ind w:left="0" w:right="0" w:firstLine="0" w:firstLineChars="0"/>
              <w:jc w:val="center"/>
              <w:rPr>
                <w:rFonts w:hint="eastAsia" w:hAnsi="宋体" w:eastAsia="宋体" w:cs="宋体"/>
                <w:sz w:val="18"/>
                <w:szCs w:val="18"/>
                <w:highlight w:val="none"/>
                <w:lang w:val="en-US" w:eastAsia="zh-CN"/>
              </w:rPr>
            </w:pPr>
            <w:r>
              <w:rPr>
                <w:rFonts w:hint="eastAsia" w:hAnsi="宋体" w:cs="宋体"/>
                <w:sz w:val="18"/>
                <w:szCs w:val="18"/>
                <w:highlight w:val="none"/>
                <w:lang w:val="en-US" w:eastAsia="zh-CN"/>
              </w:rPr>
              <w:t>低碳培训</w:t>
            </w:r>
          </w:p>
        </w:tc>
        <w:tc>
          <w:tcPr>
            <w:tcW w:w="594" w:type="pct"/>
            <w:tcBorders>
              <w:tl2br w:val="nil"/>
              <w:tr2bl w:val="nil"/>
            </w:tcBorders>
            <w:vAlign w:val="center"/>
          </w:tcPr>
          <w:p w14:paraId="586AF8AC">
            <w:pPr>
              <w:keepNext w:val="0"/>
              <w:keepLines w:val="0"/>
              <w:widowControl/>
              <w:suppressLineNumbers w:val="0"/>
              <w:spacing w:before="0" w:beforeAutospacing="0" w:after="0" w:afterAutospacing="0"/>
              <w:ind w:left="0" w:right="0"/>
              <w:jc w:val="center"/>
              <w:textAlignment w:val="center"/>
              <w:rPr>
                <w:rFonts w:hint="default" w:ascii="宋体" w:hAnsi="宋体" w:cs="宋体"/>
                <w:color w:val="000000"/>
                <w:kern w:val="0"/>
                <w:sz w:val="18"/>
                <w:szCs w:val="18"/>
                <w:highlight w:val="none"/>
                <w:lang w:val="en-US" w:eastAsia="zh-CN" w:bidi="ar"/>
              </w:rPr>
            </w:pPr>
            <w:r>
              <w:rPr>
                <w:rFonts w:hint="eastAsia" w:ascii="宋体" w:hAnsi="宋体" w:cs="宋体"/>
                <w:color w:val="000000"/>
                <w:kern w:val="0"/>
                <w:sz w:val="18"/>
                <w:szCs w:val="18"/>
                <w:highlight w:val="none"/>
                <w:lang w:val="en-US" w:eastAsia="zh-CN" w:bidi="ar"/>
              </w:rPr>
              <w:t>1</w:t>
            </w:r>
          </w:p>
        </w:tc>
        <w:tc>
          <w:tcPr>
            <w:tcW w:w="708" w:type="pct"/>
            <w:tcBorders>
              <w:tl2br w:val="nil"/>
              <w:tr2bl w:val="nil"/>
            </w:tcBorders>
            <w:vAlign w:val="center"/>
          </w:tcPr>
          <w:p w14:paraId="0027A92F">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hAnsi="宋体" w:cs="宋体"/>
                <w:kern w:val="0"/>
                <w:sz w:val="18"/>
                <w:szCs w:val="18"/>
                <w:highlight w:val="none"/>
              </w:rPr>
            </w:pPr>
          </w:p>
        </w:tc>
        <w:tc>
          <w:tcPr>
            <w:tcW w:w="878" w:type="pct"/>
            <w:tcBorders>
              <w:tl2br w:val="nil"/>
              <w:tr2bl w:val="nil"/>
            </w:tcBorders>
            <w:vAlign w:val="center"/>
          </w:tcPr>
          <w:p w14:paraId="53C699E2">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hAnsi="宋体" w:cs="宋体"/>
                <w:kern w:val="0"/>
                <w:sz w:val="18"/>
                <w:szCs w:val="18"/>
                <w:highlight w:val="none"/>
              </w:rPr>
            </w:pPr>
          </w:p>
        </w:tc>
      </w:tr>
      <w:tr w14:paraId="3D66A083">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17" w:hRule="exact"/>
          <w:jc w:val="center"/>
        </w:trPr>
        <w:tc>
          <w:tcPr>
            <w:tcW w:w="624" w:type="pct"/>
            <w:vMerge w:val="continue"/>
            <w:tcBorders>
              <w:tl2br w:val="nil"/>
              <w:tr2bl w:val="nil"/>
            </w:tcBorders>
            <w:vAlign w:val="center"/>
          </w:tcPr>
          <w:p w14:paraId="7324F345">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eastAsia" w:ascii="宋体" w:hAnsi="宋体" w:cs="宋体"/>
                <w:kern w:val="0"/>
                <w:sz w:val="18"/>
                <w:szCs w:val="18"/>
                <w:highlight w:val="none"/>
              </w:rPr>
            </w:pPr>
          </w:p>
        </w:tc>
        <w:tc>
          <w:tcPr>
            <w:tcW w:w="750" w:type="pct"/>
            <w:vMerge w:val="restart"/>
            <w:tcBorders>
              <w:tl2br w:val="nil"/>
              <w:tr2bl w:val="nil"/>
            </w:tcBorders>
            <w:vAlign w:val="center"/>
          </w:tcPr>
          <w:p w14:paraId="03D9A85E">
            <w:pPr>
              <w:pStyle w:val="26"/>
              <w:keepNext w:val="0"/>
              <w:keepLines w:val="0"/>
              <w:widowControl/>
              <w:suppressLineNumbers w:val="0"/>
              <w:spacing w:before="0" w:beforeAutospacing="0" w:after="0" w:afterAutospacing="0"/>
              <w:ind w:left="0" w:right="0" w:firstLine="0" w:firstLineChars="0"/>
              <w:jc w:val="center"/>
              <w:rPr>
                <w:rFonts w:hint="default" w:hAnsi="宋体" w:eastAsia="宋体" w:cs="宋体"/>
                <w:sz w:val="18"/>
                <w:szCs w:val="18"/>
                <w:highlight w:val="none"/>
                <w:lang w:val="en-US" w:eastAsia="zh-CN"/>
              </w:rPr>
            </w:pPr>
            <w:r>
              <w:rPr>
                <w:rFonts w:hint="eastAsia" w:hAnsi="宋体" w:cs="宋体"/>
                <w:sz w:val="18"/>
                <w:szCs w:val="18"/>
                <w:highlight w:val="none"/>
                <w:lang w:val="en-US" w:eastAsia="zh-CN"/>
              </w:rPr>
              <w:t>社会责任</w:t>
            </w:r>
          </w:p>
        </w:tc>
        <w:tc>
          <w:tcPr>
            <w:tcW w:w="1444" w:type="pct"/>
            <w:tcBorders>
              <w:tl2br w:val="nil"/>
              <w:tr2bl w:val="nil"/>
            </w:tcBorders>
            <w:vAlign w:val="center"/>
          </w:tcPr>
          <w:p w14:paraId="0F980524">
            <w:pPr>
              <w:pStyle w:val="26"/>
              <w:keepNext w:val="0"/>
              <w:keepLines w:val="0"/>
              <w:widowControl/>
              <w:suppressLineNumbers w:val="0"/>
              <w:spacing w:before="0" w:beforeAutospacing="0" w:after="0" w:afterAutospacing="0"/>
              <w:ind w:left="0" w:right="0" w:firstLine="0" w:firstLineChars="0"/>
              <w:jc w:val="center"/>
              <w:rPr>
                <w:rFonts w:hint="eastAsia" w:hAnsi="宋体" w:cs="宋体"/>
                <w:sz w:val="18"/>
                <w:szCs w:val="18"/>
                <w:highlight w:val="none"/>
                <w:lang w:val="en-US" w:eastAsia="zh-CN"/>
              </w:rPr>
            </w:pPr>
            <w:r>
              <w:rPr>
                <w:rFonts w:hint="eastAsia" w:hAnsi="宋体" w:cs="宋体"/>
                <w:sz w:val="18"/>
                <w:szCs w:val="18"/>
                <w:highlight w:val="none"/>
                <w:lang w:val="en-US" w:eastAsia="zh-CN"/>
              </w:rPr>
              <w:t>公共关系和社会公益责任</w:t>
            </w:r>
          </w:p>
        </w:tc>
        <w:tc>
          <w:tcPr>
            <w:tcW w:w="594" w:type="pct"/>
            <w:tcBorders>
              <w:tl2br w:val="nil"/>
              <w:tr2bl w:val="nil"/>
            </w:tcBorders>
            <w:vAlign w:val="center"/>
          </w:tcPr>
          <w:p w14:paraId="54042838">
            <w:pPr>
              <w:keepNext w:val="0"/>
              <w:keepLines w:val="0"/>
              <w:widowControl/>
              <w:suppressLineNumbers w:val="0"/>
              <w:spacing w:before="0" w:beforeAutospacing="0" w:after="0" w:afterAutospacing="0"/>
              <w:ind w:left="0" w:right="0"/>
              <w:jc w:val="center"/>
              <w:textAlignment w:val="center"/>
              <w:rPr>
                <w:rFonts w:hint="default" w:ascii="宋体" w:hAnsi="宋体" w:cs="宋体"/>
                <w:color w:val="000000"/>
                <w:kern w:val="0"/>
                <w:sz w:val="18"/>
                <w:szCs w:val="18"/>
                <w:highlight w:val="none"/>
                <w:lang w:val="en-US" w:eastAsia="zh-CN" w:bidi="ar"/>
              </w:rPr>
            </w:pPr>
            <w:r>
              <w:rPr>
                <w:rFonts w:hint="eastAsia" w:ascii="宋体" w:hAnsi="宋体" w:cs="宋体"/>
                <w:color w:val="000000"/>
                <w:kern w:val="0"/>
                <w:sz w:val="18"/>
                <w:szCs w:val="18"/>
                <w:highlight w:val="none"/>
                <w:lang w:val="en-US" w:eastAsia="zh-CN" w:bidi="ar"/>
              </w:rPr>
              <w:t>1</w:t>
            </w:r>
          </w:p>
        </w:tc>
        <w:tc>
          <w:tcPr>
            <w:tcW w:w="708" w:type="pct"/>
            <w:tcBorders>
              <w:tl2br w:val="nil"/>
              <w:tr2bl w:val="nil"/>
            </w:tcBorders>
            <w:vAlign w:val="center"/>
          </w:tcPr>
          <w:p w14:paraId="3F0103AF">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hAnsi="宋体" w:cs="宋体"/>
                <w:kern w:val="0"/>
                <w:sz w:val="18"/>
                <w:szCs w:val="18"/>
                <w:highlight w:val="none"/>
              </w:rPr>
            </w:pPr>
          </w:p>
        </w:tc>
        <w:tc>
          <w:tcPr>
            <w:tcW w:w="878" w:type="pct"/>
            <w:tcBorders>
              <w:tl2br w:val="nil"/>
              <w:tr2bl w:val="nil"/>
            </w:tcBorders>
            <w:vAlign w:val="center"/>
          </w:tcPr>
          <w:p w14:paraId="4C18FED0">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hAnsi="宋体" w:cs="宋体"/>
                <w:kern w:val="0"/>
                <w:sz w:val="18"/>
                <w:szCs w:val="18"/>
                <w:highlight w:val="none"/>
              </w:rPr>
            </w:pPr>
          </w:p>
        </w:tc>
      </w:tr>
      <w:tr w14:paraId="4E0C65DB">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17" w:hRule="exact"/>
          <w:jc w:val="center"/>
        </w:trPr>
        <w:tc>
          <w:tcPr>
            <w:tcW w:w="624" w:type="pct"/>
            <w:vMerge w:val="continue"/>
            <w:tcBorders>
              <w:tl2br w:val="nil"/>
              <w:tr2bl w:val="nil"/>
            </w:tcBorders>
            <w:vAlign w:val="center"/>
          </w:tcPr>
          <w:p w14:paraId="5874ADF4">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eastAsia" w:ascii="宋体" w:hAnsi="宋体" w:cs="宋体"/>
                <w:kern w:val="0"/>
                <w:sz w:val="18"/>
                <w:szCs w:val="18"/>
                <w:highlight w:val="none"/>
              </w:rPr>
            </w:pPr>
          </w:p>
        </w:tc>
        <w:tc>
          <w:tcPr>
            <w:tcW w:w="750" w:type="pct"/>
            <w:vMerge w:val="continue"/>
            <w:tcBorders>
              <w:tl2br w:val="nil"/>
              <w:tr2bl w:val="nil"/>
            </w:tcBorders>
            <w:vAlign w:val="center"/>
          </w:tcPr>
          <w:p w14:paraId="0384B0BC">
            <w:pPr>
              <w:pStyle w:val="26"/>
              <w:keepNext w:val="0"/>
              <w:keepLines w:val="0"/>
              <w:widowControl/>
              <w:suppressLineNumbers w:val="0"/>
              <w:spacing w:before="0" w:beforeAutospacing="0" w:after="0" w:afterAutospacing="0"/>
              <w:ind w:left="0" w:right="0" w:firstLine="0" w:firstLineChars="0"/>
              <w:jc w:val="center"/>
              <w:rPr>
                <w:rFonts w:hint="eastAsia" w:hAnsi="宋体" w:cs="宋体"/>
                <w:sz w:val="18"/>
                <w:szCs w:val="18"/>
                <w:highlight w:val="none"/>
              </w:rPr>
            </w:pPr>
          </w:p>
        </w:tc>
        <w:tc>
          <w:tcPr>
            <w:tcW w:w="1444" w:type="pct"/>
            <w:tcBorders>
              <w:tl2br w:val="nil"/>
              <w:tr2bl w:val="nil"/>
            </w:tcBorders>
            <w:vAlign w:val="center"/>
          </w:tcPr>
          <w:p w14:paraId="79342CD6">
            <w:pPr>
              <w:pStyle w:val="26"/>
              <w:keepNext w:val="0"/>
              <w:keepLines w:val="0"/>
              <w:widowControl/>
              <w:suppressLineNumbers w:val="0"/>
              <w:spacing w:before="0" w:beforeAutospacing="0" w:after="0" w:afterAutospacing="0"/>
              <w:ind w:left="0" w:right="0" w:firstLine="0" w:firstLineChars="0"/>
              <w:jc w:val="center"/>
              <w:rPr>
                <w:rFonts w:hint="eastAsia" w:hAnsi="宋体" w:cs="宋体"/>
                <w:sz w:val="18"/>
                <w:szCs w:val="18"/>
                <w:highlight w:val="none"/>
                <w:lang w:val="en-US" w:eastAsia="zh-CN"/>
              </w:rPr>
            </w:pPr>
            <w:r>
              <w:rPr>
                <w:rFonts w:hint="eastAsia" w:hAnsi="宋体" w:cs="宋体"/>
                <w:sz w:val="18"/>
                <w:szCs w:val="18"/>
                <w:highlight w:val="none"/>
                <w:lang w:val="en-US" w:eastAsia="zh-CN"/>
              </w:rPr>
              <w:t>绿色化管理</w:t>
            </w:r>
          </w:p>
        </w:tc>
        <w:tc>
          <w:tcPr>
            <w:tcW w:w="594" w:type="pct"/>
            <w:tcBorders>
              <w:tl2br w:val="nil"/>
              <w:tr2bl w:val="nil"/>
            </w:tcBorders>
            <w:vAlign w:val="center"/>
          </w:tcPr>
          <w:p w14:paraId="19DB8FC9">
            <w:pPr>
              <w:keepNext w:val="0"/>
              <w:keepLines w:val="0"/>
              <w:widowControl/>
              <w:suppressLineNumbers w:val="0"/>
              <w:spacing w:before="0" w:beforeAutospacing="0" w:after="0" w:afterAutospacing="0"/>
              <w:ind w:left="0" w:right="0"/>
              <w:jc w:val="center"/>
              <w:textAlignment w:val="center"/>
              <w:rPr>
                <w:rFonts w:hint="default" w:ascii="宋体" w:hAnsi="宋体" w:cs="宋体"/>
                <w:color w:val="000000"/>
                <w:kern w:val="0"/>
                <w:sz w:val="18"/>
                <w:szCs w:val="18"/>
                <w:highlight w:val="none"/>
                <w:lang w:val="en-US" w:eastAsia="zh-CN" w:bidi="ar"/>
              </w:rPr>
            </w:pPr>
            <w:r>
              <w:rPr>
                <w:rFonts w:hint="eastAsia" w:ascii="宋体" w:hAnsi="宋体" w:cs="宋体"/>
                <w:color w:val="000000"/>
                <w:kern w:val="0"/>
                <w:sz w:val="18"/>
                <w:szCs w:val="18"/>
                <w:highlight w:val="none"/>
                <w:lang w:val="en-US" w:eastAsia="zh-CN" w:bidi="ar"/>
              </w:rPr>
              <w:t>1</w:t>
            </w:r>
          </w:p>
        </w:tc>
        <w:tc>
          <w:tcPr>
            <w:tcW w:w="708" w:type="pct"/>
            <w:tcBorders>
              <w:tl2br w:val="nil"/>
              <w:tr2bl w:val="nil"/>
            </w:tcBorders>
            <w:vAlign w:val="center"/>
          </w:tcPr>
          <w:p w14:paraId="75CA1A1C">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hAnsi="宋体" w:cs="宋体"/>
                <w:kern w:val="0"/>
                <w:sz w:val="18"/>
                <w:szCs w:val="18"/>
                <w:highlight w:val="none"/>
              </w:rPr>
            </w:pPr>
          </w:p>
        </w:tc>
        <w:tc>
          <w:tcPr>
            <w:tcW w:w="878" w:type="pct"/>
            <w:tcBorders>
              <w:tl2br w:val="nil"/>
              <w:tr2bl w:val="nil"/>
            </w:tcBorders>
            <w:vAlign w:val="center"/>
          </w:tcPr>
          <w:p w14:paraId="6F4B2590">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hAnsi="宋体" w:cs="宋体"/>
                <w:kern w:val="0"/>
                <w:sz w:val="18"/>
                <w:szCs w:val="18"/>
                <w:highlight w:val="none"/>
              </w:rPr>
            </w:pPr>
          </w:p>
        </w:tc>
      </w:tr>
      <w:tr w14:paraId="50036186">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17" w:hRule="exact"/>
          <w:jc w:val="center"/>
        </w:trPr>
        <w:tc>
          <w:tcPr>
            <w:tcW w:w="3413" w:type="pct"/>
            <w:gridSpan w:val="4"/>
            <w:tcBorders>
              <w:bottom w:val="single" w:color="000000" w:sz="12" w:space="0"/>
              <w:tl2br w:val="nil"/>
              <w:tr2bl w:val="nil"/>
            </w:tcBorders>
            <w:vAlign w:val="center"/>
          </w:tcPr>
          <w:p w14:paraId="4EE33B1E">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b/>
                <w:kern w:val="0"/>
                <w:sz w:val="18"/>
                <w:szCs w:val="18"/>
                <w:highlight w:val="none"/>
              </w:rPr>
            </w:pPr>
            <w:r>
              <w:rPr>
                <w:rFonts w:hint="eastAsia"/>
                <w:b/>
                <w:kern w:val="0"/>
                <w:sz w:val="18"/>
                <w:szCs w:val="18"/>
                <w:highlight w:val="none"/>
              </w:rPr>
              <w:t>总得分</w:t>
            </w:r>
          </w:p>
        </w:tc>
        <w:tc>
          <w:tcPr>
            <w:tcW w:w="708" w:type="pct"/>
            <w:tcBorders>
              <w:bottom w:val="single" w:color="000000" w:sz="12" w:space="0"/>
              <w:tl2br w:val="nil"/>
              <w:tr2bl w:val="nil"/>
            </w:tcBorders>
            <w:vAlign w:val="center"/>
          </w:tcPr>
          <w:p w14:paraId="058E2D19">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b/>
                <w:kern w:val="0"/>
                <w:sz w:val="18"/>
                <w:szCs w:val="18"/>
                <w:highlight w:val="none"/>
              </w:rPr>
            </w:pPr>
          </w:p>
        </w:tc>
        <w:tc>
          <w:tcPr>
            <w:tcW w:w="878" w:type="pct"/>
            <w:tcBorders>
              <w:bottom w:val="single" w:color="000000" w:sz="12" w:space="0"/>
              <w:tl2br w:val="nil"/>
              <w:tr2bl w:val="nil"/>
            </w:tcBorders>
            <w:vAlign w:val="center"/>
          </w:tcPr>
          <w:p w14:paraId="752507FB">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b/>
                <w:kern w:val="0"/>
                <w:sz w:val="18"/>
                <w:szCs w:val="18"/>
                <w:highlight w:val="none"/>
              </w:rPr>
            </w:pPr>
          </w:p>
        </w:tc>
      </w:tr>
      <w:tr w14:paraId="3F8CCC85">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90" w:hRule="atLeast"/>
          <w:jc w:val="center"/>
        </w:trPr>
        <w:tc>
          <w:tcPr>
            <w:tcW w:w="5000" w:type="pct"/>
            <w:gridSpan w:val="6"/>
            <w:tcBorders>
              <w:top w:val="single" w:color="000000" w:sz="12" w:space="0"/>
            </w:tcBorders>
            <w:vAlign w:val="center"/>
          </w:tcPr>
          <w:p w14:paraId="3E201E1D">
            <w:pPr>
              <w:keepNext w:val="0"/>
              <w:keepLines w:val="0"/>
              <w:pageBreakBefore w:val="0"/>
              <w:widowControl/>
              <w:suppressLineNumbers w:val="0"/>
              <w:tabs>
                <w:tab w:val="center" w:pos="4201"/>
                <w:tab w:val="right" w:leader="dot" w:pos="9298"/>
              </w:tabs>
              <w:kinsoku/>
              <w:wordWrap/>
              <w:overflowPunct/>
              <w:topLinePunct w:val="0"/>
              <w:autoSpaceDE w:val="0"/>
              <w:autoSpaceDN w:val="0"/>
              <w:bidi w:val="0"/>
              <w:adjustRightInd/>
              <w:snapToGrid/>
              <w:spacing w:before="0" w:beforeAutospacing="0" w:after="0" w:afterAutospacing="0"/>
              <w:ind w:left="0" w:right="0" w:firstLine="360" w:firstLineChars="200"/>
              <w:jc w:val="both"/>
              <w:textAlignment w:val="auto"/>
              <w:rPr>
                <w:rFonts w:hint="default"/>
                <w:b/>
                <w:kern w:val="0"/>
                <w:sz w:val="18"/>
                <w:szCs w:val="18"/>
                <w:highlight w:val="none"/>
              </w:rPr>
            </w:pPr>
            <w:r>
              <w:rPr>
                <w:rStyle w:val="157"/>
                <w:rFonts w:hint="eastAsia" w:asciiTheme="minorEastAsia" w:hAnsiTheme="minorEastAsia" w:eastAsiaTheme="minorEastAsia" w:cstheme="minorEastAsia"/>
                <w:sz w:val="18"/>
                <w:szCs w:val="18"/>
                <w:highlight w:val="none"/>
                <w:vertAlign w:val="superscript"/>
              </w:rPr>
              <w:t>a</w:t>
            </w:r>
            <w:r>
              <w:rPr>
                <w:rFonts w:hint="eastAsia" w:cs="宋体" w:asciiTheme="minorEastAsia" w:hAnsiTheme="minorEastAsia" w:eastAsiaTheme="minorEastAsia"/>
                <w:sz w:val="18"/>
                <w:szCs w:val="18"/>
                <w:highlight w:val="none"/>
              </w:rPr>
              <w:t xml:space="preserve"> 给出材料对应的具体页码，例如，见第4页。</w:t>
            </w:r>
          </w:p>
        </w:tc>
      </w:tr>
    </w:tbl>
    <w:p w14:paraId="413DF835">
      <w:pPr>
        <w:numPr>
          <w:ilvl w:val="1"/>
          <w:numId w:val="0"/>
        </w:numPr>
        <w:spacing w:before="156" w:beforeLines="50" w:after="156" w:afterLines="50"/>
        <w:jc w:val="center"/>
        <w:rPr>
          <w:rFonts w:ascii="黑体" w:hAnsi="黑体" w:eastAsia="黑体"/>
          <w:szCs w:val="21"/>
          <w:highlight w:val="none"/>
        </w:rPr>
      </w:pPr>
      <w:r>
        <w:rPr>
          <w:rFonts w:hint="eastAsia" w:ascii="黑体" w:hAnsi="黑体" w:eastAsia="黑体"/>
          <w:szCs w:val="21"/>
          <w:highlight w:val="none"/>
        </w:rPr>
        <w:t>表</w:t>
      </w:r>
      <w:r>
        <w:rPr>
          <w:rFonts w:hint="eastAsia" w:ascii="黑体" w:hAnsi="黑体" w:eastAsia="黑体"/>
          <w:szCs w:val="21"/>
          <w:highlight w:val="none"/>
          <w:lang w:val="en-US" w:eastAsia="zh-CN"/>
        </w:rPr>
        <w:t>C</w:t>
      </w:r>
      <w:r>
        <w:rPr>
          <w:rFonts w:hint="eastAsia" w:ascii="黑体" w:hAnsi="黑体" w:eastAsia="黑体"/>
          <w:szCs w:val="21"/>
          <w:highlight w:val="none"/>
        </w:rPr>
        <w:t>.</w:t>
      </w:r>
      <w:r>
        <w:rPr>
          <w:rFonts w:hint="eastAsia" w:ascii="黑体" w:hAnsi="黑体" w:eastAsia="黑体"/>
          <w:szCs w:val="21"/>
          <w:highlight w:val="none"/>
          <w:lang w:val="en-US" w:eastAsia="zh-CN"/>
        </w:rPr>
        <w:t xml:space="preserve">5  </w:t>
      </w:r>
      <w:r>
        <w:rPr>
          <w:rFonts w:hint="eastAsia" w:ascii="黑体" w:hAnsi="黑体" w:eastAsia="黑体"/>
          <w:szCs w:val="21"/>
          <w:highlight w:val="none"/>
        </w:rPr>
        <w:t>关键技术先进性指标评分</w:t>
      </w:r>
    </w:p>
    <w:tbl>
      <w:tblPr>
        <w:tblStyle w:val="36"/>
        <w:tblW w:w="4994" w:type="pct"/>
        <w:jc w:val="center"/>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autofit"/>
        <w:tblCellMar>
          <w:top w:w="0" w:type="dxa"/>
          <w:left w:w="108" w:type="dxa"/>
          <w:bottom w:w="0" w:type="dxa"/>
          <w:right w:w="108" w:type="dxa"/>
        </w:tblCellMar>
      </w:tblPr>
      <w:tblGrid>
        <w:gridCol w:w="1051"/>
        <w:gridCol w:w="998"/>
        <w:gridCol w:w="1019"/>
        <w:gridCol w:w="1380"/>
        <w:gridCol w:w="1030"/>
        <w:gridCol w:w="1654"/>
        <w:gridCol w:w="1290"/>
        <w:gridCol w:w="1137"/>
      </w:tblGrid>
      <w:tr w14:paraId="7EFAEE99">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90" w:hRule="atLeast"/>
          <w:tblHeader/>
          <w:jc w:val="center"/>
        </w:trPr>
        <w:tc>
          <w:tcPr>
            <w:tcW w:w="1051" w:type="dxa"/>
            <w:tcBorders>
              <w:bottom w:val="single" w:color="000000" w:sz="12" w:space="0"/>
            </w:tcBorders>
            <w:vAlign w:val="center"/>
          </w:tcPr>
          <w:p w14:paraId="72883509">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eastAsia" w:ascii="宋体" w:hAnsi="宋体" w:eastAsia="宋体" w:cs="宋体"/>
                <w:b/>
                <w:kern w:val="0"/>
                <w:sz w:val="18"/>
                <w:szCs w:val="18"/>
                <w:highlight w:val="none"/>
                <w:lang w:val="en-US" w:eastAsia="zh-CN"/>
              </w:rPr>
            </w:pPr>
            <w:r>
              <w:rPr>
                <w:rFonts w:hint="eastAsia" w:ascii="宋体" w:hAnsi="宋体" w:eastAsia="宋体" w:cs="宋体"/>
                <w:b/>
                <w:kern w:val="0"/>
                <w:sz w:val="18"/>
                <w:szCs w:val="18"/>
                <w:highlight w:val="none"/>
              </w:rPr>
              <w:t>所属行业</w:t>
            </w:r>
            <w:r>
              <w:rPr>
                <w:rFonts w:hint="eastAsia" w:ascii="宋体" w:hAnsi="宋体" w:eastAsia="宋体" w:cs="宋体"/>
                <w:b w:val="0"/>
                <w:bCs/>
                <w:kern w:val="0"/>
                <w:sz w:val="18"/>
                <w:szCs w:val="18"/>
                <w:highlight w:val="none"/>
                <w:vertAlign w:val="superscript"/>
                <w:lang w:val="en-US" w:eastAsia="zh-CN"/>
              </w:rPr>
              <w:t>a</w:t>
            </w:r>
          </w:p>
        </w:tc>
        <w:tc>
          <w:tcPr>
            <w:tcW w:w="998" w:type="dxa"/>
            <w:tcBorders>
              <w:bottom w:val="single" w:color="000000" w:sz="12" w:space="0"/>
            </w:tcBorders>
            <w:vAlign w:val="center"/>
          </w:tcPr>
          <w:p w14:paraId="4EF66D05">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eastAsia" w:ascii="宋体" w:hAnsi="宋体" w:eastAsia="宋体" w:cs="宋体"/>
                <w:b/>
                <w:kern w:val="0"/>
                <w:sz w:val="18"/>
                <w:szCs w:val="18"/>
                <w:highlight w:val="none"/>
                <w:lang w:val="en-US" w:eastAsia="zh-CN"/>
              </w:rPr>
            </w:pPr>
            <w:r>
              <w:rPr>
                <w:rFonts w:hint="eastAsia" w:ascii="宋体" w:hAnsi="宋体" w:eastAsia="宋体" w:cs="宋体"/>
                <w:b/>
                <w:kern w:val="0"/>
                <w:sz w:val="18"/>
                <w:szCs w:val="18"/>
                <w:highlight w:val="none"/>
              </w:rPr>
              <w:t>评价环节</w:t>
            </w:r>
            <w:r>
              <w:rPr>
                <w:rFonts w:hint="eastAsia" w:ascii="宋体" w:hAnsi="宋体" w:eastAsia="宋体" w:cs="宋体"/>
                <w:b w:val="0"/>
                <w:bCs/>
                <w:kern w:val="0"/>
                <w:sz w:val="18"/>
                <w:szCs w:val="18"/>
                <w:highlight w:val="none"/>
                <w:vertAlign w:val="superscript"/>
                <w:lang w:val="en-US" w:eastAsia="zh-CN"/>
              </w:rPr>
              <w:t>b</w:t>
            </w:r>
          </w:p>
        </w:tc>
        <w:tc>
          <w:tcPr>
            <w:tcW w:w="1019" w:type="dxa"/>
            <w:tcBorders>
              <w:bottom w:val="single" w:color="000000" w:sz="12" w:space="0"/>
            </w:tcBorders>
            <w:vAlign w:val="center"/>
          </w:tcPr>
          <w:p w14:paraId="52AE9DB6">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eastAsia" w:ascii="宋体" w:hAnsi="宋体" w:eastAsia="宋体" w:cs="宋体"/>
                <w:b/>
                <w:kern w:val="0"/>
                <w:sz w:val="18"/>
                <w:szCs w:val="18"/>
                <w:highlight w:val="none"/>
                <w:lang w:val="en-US" w:eastAsia="zh-CN"/>
              </w:rPr>
            </w:pPr>
            <w:r>
              <w:rPr>
                <w:rFonts w:hint="eastAsia" w:ascii="宋体" w:hAnsi="宋体" w:eastAsia="宋体" w:cs="宋体"/>
                <w:b/>
                <w:kern w:val="0"/>
                <w:sz w:val="18"/>
                <w:szCs w:val="18"/>
                <w:highlight w:val="none"/>
              </w:rPr>
              <w:t>评价对象</w:t>
            </w:r>
            <w:r>
              <w:rPr>
                <w:rFonts w:hint="eastAsia" w:ascii="宋体" w:hAnsi="宋体" w:eastAsia="宋体" w:cs="宋体"/>
                <w:b w:val="0"/>
                <w:bCs/>
                <w:kern w:val="0"/>
                <w:sz w:val="18"/>
                <w:szCs w:val="18"/>
                <w:highlight w:val="none"/>
                <w:vertAlign w:val="superscript"/>
                <w:lang w:val="en-US" w:eastAsia="zh-CN"/>
              </w:rPr>
              <w:t>c</w:t>
            </w:r>
          </w:p>
        </w:tc>
        <w:tc>
          <w:tcPr>
            <w:tcW w:w="1380" w:type="dxa"/>
            <w:tcBorders>
              <w:bottom w:val="single" w:color="000000" w:sz="12" w:space="0"/>
            </w:tcBorders>
            <w:vAlign w:val="center"/>
          </w:tcPr>
          <w:p w14:paraId="173589F5">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eastAsia" w:ascii="宋体" w:hAnsi="宋体" w:eastAsia="宋体" w:cs="宋体"/>
                <w:b/>
                <w:kern w:val="0"/>
                <w:sz w:val="18"/>
                <w:szCs w:val="18"/>
                <w:highlight w:val="none"/>
                <w:lang w:val="en-US" w:eastAsia="zh-CN"/>
              </w:rPr>
            </w:pPr>
            <w:r>
              <w:rPr>
                <w:rFonts w:hint="eastAsia" w:ascii="宋体" w:hAnsi="宋体" w:eastAsia="宋体" w:cs="宋体"/>
                <w:b/>
                <w:kern w:val="0"/>
                <w:sz w:val="18"/>
                <w:szCs w:val="18"/>
                <w:highlight w:val="none"/>
              </w:rPr>
              <w:t>核心评价指标</w:t>
            </w:r>
            <w:r>
              <w:rPr>
                <w:rFonts w:hint="eastAsia" w:ascii="宋体" w:hAnsi="宋体" w:eastAsia="宋体" w:cs="宋体"/>
                <w:b w:val="0"/>
                <w:bCs/>
                <w:kern w:val="0"/>
                <w:sz w:val="18"/>
                <w:szCs w:val="18"/>
                <w:highlight w:val="none"/>
                <w:vertAlign w:val="superscript"/>
                <w:lang w:val="en-US" w:eastAsia="zh-CN"/>
              </w:rPr>
              <w:t>c</w:t>
            </w:r>
          </w:p>
        </w:tc>
        <w:tc>
          <w:tcPr>
            <w:tcW w:w="1030" w:type="dxa"/>
            <w:tcBorders>
              <w:bottom w:val="single" w:color="000000" w:sz="12" w:space="0"/>
            </w:tcBorders>
            <w:vAlign w:val="center"/>
          </w:tcPr>
          <w:p w14:paraId="45D46E74">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eastAsia" w:ascii="宋体" w:hAnsi="宋体" w:eastAsia="宋体" w:cs="宋体"/>
                <w:b/>
                <w:kern w:val="0"/>
                <w:sz w:val="18"/>
                <w:szCs w:val="18"/>
                <w:highlight w:val="none"/>
                <w:lang w:val="en-US" w:eastAsia="zh-CN"/>
              </w:rPr>
            </w:pPr>
            <w:r>
              <w:rPr>
                <w:rFonts w:hint="eastAsia" w:ascii="宋体" w:hAnsi="宋体" w:eastAsia="宋体" w:cs="宋体"/>
                <w:b/>
                <w:kern w:val="0"/>
                <w:sz w:val="18"/>
                <w:szCs w:val="18"/>
                <w:highlight w:val="none"/>
              </w:rPr>
              <w:t>参考标准</w:t>
            </w:r>
            <w:r>
              <w:rPr>
                <w:rFonts w:hint="eastAsia" w:ascii="宋体" w:hAnsi="宋体" w:cs="宋体"/>
                <w:b w:val="0"/>
                <w:bCs/>
                <w:kern w:val="0"/>
                <w:sz w:val="18"/>
                <w:szCs w:val="18"/>
                <w:highlight w:val="none"/>
                <w:vertAlign w:val="superscript"/>
                <w:lang w:val="en-US" w:eastAsia="zh-CN"/>
              </w:rPr>
              <w:t>d</w:t>
            </w:r>
          </w:p>
        </w:tc>
        <w:tc>
          <w:tcPr>
            <w:tcW w:w="1654" w:type="dxa"/>
            <w:tcBorders>
              <w:bottom w:val="single" w:color="000000" w:sz="12" w:space="0"/>
            </w:tcBorders>
            <w:vAlign w:val="center"/>
          </w:tcPr>
          <w:p w14:paraId="0BCB5590">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eastAsia" w:ascii="宋体" w:hAnsi="宋体" w:eastAsia="宋体" w:cs="宋体"/>
                <w:b/>
                <w:kern w:val="0"/>
                <w:sz w:val="18"/>
                <w:szCs w:val="18"/>
                <w:highlight w:val="none"/>
                <w:lang w:val="en-US" w:eastAsia="zh-CN"/>
              </w:rPr>
            </w:pPr>
            <w:r>
              <w:rPr>
                <w:rFonts w:hint="eastAsia" w:ascii="宋体" w:hAnsi="宋体" w:eastAsia="宋体" w:cs="宋体"/>
                <w:b/>
                <w:kern w:val="0"/>
                <w:sz w:val="18"/>
                <w:szCs w:val="18"/>
                <w:highlight w:val="none"/>
              </w:rPr>
              <w:t>标准参考值/要求</w:t>
            </w:r>
            <w:r>
              <w:rPr>
                <w:rFonts w:hint="eastAsia" w:ascii="宋体" w:hAnsi="宋体" w:cs="宋体"/>
                <w:b w:val="0"/>
                <w:bCs/>
                <w:kern w:val="0"/>
                <w:sz w:val="18"/>
                <w:szCs w:val="18"/>
                <w:highlight w:val="none"/>
                <w:vertAlign w:val="superscript"/>
                <w:lang w:val="en-US" w:eastAsia="zh-CN"/>
              </w:rPr>
              <w:t>e</w:t>
            </w:r>
          </w:p>
        </w:tc>
        <w:tc>
          <w:tcPr>
            <w:tcW w:w="1290" w:type="dxa"/>
            <w:tcBorders>
              <w:bottom w:val="single" w:color="000000" w:sz="12" w:space="0"/>
            </w:tcBorders>
            <w:vAlign w:val="center"/>
          </w:tcPr>
          <w:p w14:paraId="7409C8AE">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eastAsia" w:ascii="宋体" w:hAnsi="宋体" w:eastAsia="宋体" w:cs="宋体"/>
                <w:b/>
                <w:kern w:val="0"/>
                <w:sz w:val="18"/>
                <w:szCs w:val="18"/>
                <w:highlight w:val="none"/>
                <w:lang w:val="en-US" w:eastAsia="zh-CN"/>
              </w:rPr>
            </w:pPr>
            <w:r>
              <w:rPr>
                <w:rFonts w:hint="eastAsia" w:ascii="宋体" w:hAnsi="宋体" w:eastAsia="宋体" w:cs="宋体"/>
                <w:b/>
                <w:kern w:val="0"/>
                <w:sz w:val="18"/>
                <w:szCs w:val="18"/>
                <w:highlight w:val="none"/>
              </w:rPr>
              <w:t>自评值/要求</w:t>
            </w:r>
            <w:r>
              <w:rPr>
                <w:rFonts w:hint="eastAsia" w:ascii="宋体" w:hAnsi="宋体" w:cs="宋体"/>
                <w:b w:val="0"/>
                <w:bCs/>
                <w:kern w:val="0"/>
                <w:sz w:val="18"/>
                <w:szCs w:val="18"/>
                <w:highlight w:val="none"/>
                <w:vertAlign w:val="superscript"/>
                <w:lang w:val="en-US" w:eastAsia="zh-CN"/>
              </w:rPr>
              <w:t>f</w:t>
            </w:r>
          </w:p>
        </w:tc>
        <w:tc>
          <w:tcPr>
            <w:tcW w:w="1137" w:type="dxa"/>
            <w:tcBorders>
              <w:bottom w:val="single" w:color="000000" w:sz="12" w:space="0"/>
            </w:tcBorders>
            <w:vAlign w:val="center"/>
          </w:tcPr>
          <w:p w14:paraId="5C804230">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eastAsia" w:ascii="宋体" w:hAnsi="宋体" w:eastAsia="宋体" w:cs="宋体"/>
                <w:b/>
                <w:kern w:val="0"/>
                <w:sz w:val="18"/>
                <w:szCs w:val="18"/>
                <w:highlight w:val="none"/>
                <w:lang w:val="en-US" w:eastAsia="zh-CN"/>
              </w:rPr>
            </w:pPr>
            <w:r>
              <w:rPr>
                <w:rFonts w:hint="eastAsia" w:ascii="宋体" w:hAnsi="宋体" w:eastAsia="宋体" w:cs="宋体"/>
                <w:b/>
                <w:kern w:val="0"/>
                <w:sz w:val="18"/>
                <w:szCs w:val="18"/>
                <w:highlight w:val="none"/>
              </w:rPr>
              <w:t>佐证材料</w:t>
            </w:r>
            <w:r>
              <w:rPr>
                <w:rFonts w:hint="eastAsia" w:ascii="宋体" w:hAnsi="宋体" w:cs="宋体"/>
                <w:b w:val="0"/>
                <w:bCs/>
                <w:kern w:val="0"/>
                <w:sz w:val="18"/>
                <w:szCs w:val="18"/>
                <w:highlight w:val="none"/>
                <w:vertAlign w:val="superscript"/>
                <w:lang w:val="en-US" w:eastAsia="zh-CN"/>
              </w:rPr>
              <w:t>g</w:t>
            </w:r>
          </w:p>
        </w:tc>
      </w:tr>
      <w:tr w14:paraId="1FDAE4E8">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68" w:hRule="atLeast"/>
          <w:jc w:val="center"/>
        </w:trPr>
        <w:tc>
          <w:tcPr>
            <w:tcW w:w="1051" w:type="dxa"/>
            <w:tcBorders>
              <w:top w:val="single" w:color="000000" w:sz="12" w:space="0"/>
              <w:bottom w:val="single" w:color="000000" w:sz="12" w:space="0"/>
              <w:tl2br w:val="nil"/>
              <w:tr2bl w:val="nil"/>
            </w:tcBorders>
            <w:vAlign w:val="center"/>
          </w:tcPr>
          <w:p w14:paraId="1DC61C92">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hAnsi="宋体" w:cs="宋体"/>
                <w:kern w:val="0"/>
                <w:sz w:val="18"/>
                <w:szCs w:val="18"/>
                <w:highlight w:val="none"/>
              </w:rPr>
            </w:pPr>
          </w:p>
        </w:tc>
        <w:tc>
          <w:tcPr>
            <w:tcW w:w="998" w:type="dxa"/>
            <w:tcBorders>
              <w:top w:val="single" w:color="000000" w:sz="12" w:space="0"/>
              <w:bottom w:val="single" w:color="000000" w:sz="12" w:space="0"/>
              <w:tl2br w:val="nil"/>
              <w:tr2bl w:val="nil"/>
            </w:tcBorders>
            <w:vAlign w:val="center"/>
          </w:tcPr>
          <w:p w14:paraId="512E0FDB">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hAnsi="宋体" w:cs="宋体"/>
                <w:kern w:val="0"/>
                <w:sz w:val="18"/>
                <w:szCs w:val="18"/>
                <w:highlight w:val="none"/>
              </w:rPr>
            </w:pPr>
          </w:p>
        </w:tc>
        <w:tc>
          <w:tcPr>
            <w:tcW w:w="1019" w:type="dxa"/>
            <w:tcBorders>
              <w:top w:val="single" w:color="000000" w:sz="12" w:space="0"/>
              <w:bottom w:val="single" w:color="000000" w:sz="12" w:space="0"/>
              <w:tl2br w:val="nil"/>
              <w:tr2bl w:val="nil"/>
            </w:tcBorders>
            <w:vAlign w:val="center"/>
          </w:tcPr>
          <w:p w14:paraId="13F98F2F">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hAnsi="宋体" w:cs="宋体"/>
                <w:kern w:val="0"/>
                <w:sz w:val="18"/>
                <w:szCs w:val="18"/>
                <w:highlight w:val="none"/>
              </w:rPr>
            </w:pPr>
          </w:p>
        </w:tc>
        <w:tc>
          <w:tcPr>
            <w:tcW w:w="1380" w:type="dxa"/>
            <w:tcBorders>
              <w:top w:val="single" w:color="000000" w:sz="12" w:space="0"/>
              <w:bottom w:val="single" w:color="000000" w:sz="12" w:space="0"/>
              <w:tl2br w:val="nil"/>
              <w:tr2bl w:val="nil"/>
            </w:tcBorders>
            <w:vAlign w:val="center"/>
          </w:tcPr>
          <w:p w14:paraId="7C531590">
            <w:pPr>
              <w:pStyle w:val="26"/>
              <w:keepNext w:val="0"/>
              <w:keepLines w:val="0"/>
              <w:widowControl/>
              <w:suppressLineNumbers w:val="0"/>
              <w:spacing w:before="0" w:beforeAutospacing="0" w:after="0" w:afterAutospacing="0"/>
              <w:ind w:left="0" w:right="0" w:firstLine="0" w:firstLineChars="0"/>
              <w:jc w:val="center"/>
              <w:rPr>
                <w:rFonts w:hint="default" w:hAnsi="宋体" w:cs="宋体"/>
                <w:sz w:val="18"/>
                <w:szCs w:val="18"/>
                <w:highlight w:val="none"/>
              </w:rPr>
            </w:pPr>
          </w:p>
        </w:tc>
        <w:tc>
          <w:tcPr>
            <w:tcW w:w="1030" w:type="dxa"/>
            <w:tcBorders>
              <w:top w:val="single" w:color="000000" w:sz="12" w:space="0"/>
              <w:bottom w:val="single" w:color="000000" w:sz="12" w:space="0"/>
              <w:tl2br w:val="nil"/>
              <w:tr2bl w:val="nil"/>
            </w:tcBorders>
            <w:vAlign w:val="center"/>
          </w:tcPr>
          <w:p w14:paraId="3037410E">
            <w:pPr>
              <w:keepNext w:val="0"/>
              <w:keepLines w:val="0"/>
              <w:widowControl/>
              <w:suppressLineNumbers w:val="0"/>
              <w:spacing w:before="0" w:beforeAutospacing="0" w:after="0" w:afterAutospacing="0"/>
              <w:ind w:left="0" w:right="0"/>
              <w:jc w:val="center"/>
              <w:textAlignment w:val="center"/>
              <w:rPr>
                <w:rFonts w:hint="default" w:ascii="宋体" w:hAnsi="宋体" w:cs="宋体"/>
                <w:kern w:val="0"/>
                <w:sz w:val="18"/>
                <w:szCs w:val="18"/>
                <w:highlight w:val="none"/>
              </w:rPr>
            </w:pPr>
          </w:p>
        </w:tc>
        <w:tc>
          <w:tcPr>
            <w:tcW w:w="1654" w:type="dxa"/>
            <w:tcBorders>
              <w:top w:val="single" w:color="000000" w:sz="12" w:space="0"/>
              <w:bottom w:val="single" w:color="000000" w:sz="12" w:space="0"/>
              <w:tl2br w:val="nil"/>
              <w:tr2bl w:val="nil"/>
            </w:tcBorders>
            <w:vAlign w:val="center"/>
          </w:tcPr>
          <w:p w14:paraId="09558E61">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hAnsi="宋体" w:cs="宋体"/>
                <w:kern w:val="0"/>
                <w:sz w:val="18"/>
                <w:szCs w:val="18"/>
                <w:highlight w:val="none"/>
              </w:rPr>
            </w:pPr>
          </w:p>
        </w:tc>
        <w:tc>
          <w:tcPr>
            <w:tcW w:w="1290" w:type="dxa"/>
            <w:tcBorders>
              <w:top w:val="single" w:color="000000" w:sz="12" w:space="0"/>
              <w:bottom w:val="single" w:color="000000" w:sz="12" w:space="0"/>
              <w:tl2br w:val="nil"/>
              <w:tr2bl w:val="nil"/>
            </w:tcBorders>
            <w:vAlign w:val="center"/>
          </w:tcPr>
          <w:p w14:paraId="66125CAC">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hAnsi="宋体" w:cs="宋体"/>
                <w:kern w:val="0"/>
                <w:sz w:val="18"/>
                <w:szCs w:val="18"/>
                <w:highlight w:val="none"/>
              </w:rPr>
            </w:pPr>
          </w:p>
        </w:tc>
        <w:tc>
          <w:tcPr>
            <w:tcW w:w="1137" w:type="dxa"/>
            <w:tcBorders>
              <w:top w:val="single" w:color="000000" w:sz="12" w:space="0"/>
              <w:bottom w:val="single" w:color="000000" w:sz="12" w:space="0"/>
              <w:tl2br w:val="nil"/>
              <w:tr2bl w:val="nil"/>
            </w:tcBorders>
            <w:vAlign w:val="center"/>
          </w:tcPr>
          <w:p w14:paraId="1F825174">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hAnsi="宋体" w:cs="宋体"/>
                <w:kern w:val="0"/>
                <w:sz w:val="18"/>
                <w:szCs w:val="18"/>
                <w:highlight w:val="none"/>
              </w:rPr>
            </w:pPr>
          </w:p>
        </w:tc>
      </w:tr>
      <w:tr w14:paraId="33DCDA85">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1776" w:hRule="atLeast"/>
          <w:jc w:val="center"/>
        </w:trPr>
        <w:tc>
          <w:tcPr>
            <w:tcW w:w="9559" w:type="dxa"/>
            <w:gridSpan w:val="8"/>
            <w:tcBorders>
              <w:top w:val="single" w:color="000000" w:sz="12" w:space="0"/>
            </w:tcBorders>
            <w:vAlign w:val="center"/>
          </w:tcPr>
          <w:p w14:paraId="0B9B58FC">
            <w:pPr>
              <w:keepNext w:val="0"/>
              <w:keepLines w:val="0"/>
              <w:pageBreakBefore w:val="0"/>
              <w:widowControl/>
              <w:suppressLineNumbers w:val="0"/>
              <w:tabs>
                <w:tab w:val="center" w:pos="4201"/>
                <w:tab w:val="right" w:leader="dot" w:pos="9298"/>
              </w:tabs>
              <w:kinsoku/>
              <w:wordWrap/>
              <w:overflowPunct/>
              <w:topLinePunct w:val="0"/>
              <w:autoSpaceDE w:val="0"/>
              <w:autoSpaceDN w:val="0"/>
              <w:bidi w:val="0"/>
              <w:adjustRightInd/>
              <w:snapToGrid/>
              <w:spacing w:before="0" w:beforeAutospacing="0" w:after="0" w:afterAutospacing="0"/>
              <w:ind w:left="0" w:right="0" w:firstLine="360" w:firstLineChars="200"/>
              <w:jc w:val="left"/>
              <w:textAlignment w:val="auto"/>
              <w:rPr>
                <w:rFonts w:hint="eastAsia" w:ascii="宋体" w:hAnsi="宋体" w:cs="宋体"/>
                <w:kern w:val="0"/>
                <w:sz w:val="18"/>
                <w:szCs w:val="18"/>
                <w:highlight w:val="none"/>
                <w:lang w:eastAsia="zh-CN"/>
              </w:rPr>
            </w:pPr>
            <w:r>
              <w:rPr>
                <w:rFonts w:hint="eastAsia" w:ascii="宋体" w:hAnsi="宋体" w:cs="宋体"/>
                <w:kern w:val="0"/>
                <w:sz w:val="18"/>
                <w:szCs w:val="18"/>
                <w:highlight w:val="none"/>
                <w:vertAlign w:val="superscript"/>
                <w:lang w:val="en-US" w:eastAsia="zh-CN"/>
              </w:rPr>
              <w:t>a</w:t>
            </w:r>
            <w:r>
              <w:rPr>
                <w:rFonts w:hint="eastAsia" w:ascii="宋体" w:hAnsi="宋体" w:cs="宋体"/>
                <w:kern w:val="0"/>
                <w:sz w:val="18"/>
                <w:szCs w:val="18"/>
                <w:highlight w:val="none"/>
                <w:lang w:val="en-US" w:eastAsia="zh-CN"/>
              </w:rPr>
              <w:t xml:space="preserve">  </w:t>
            </w:r>
            <w:r>
              <w:rPr>
                <w:rFonts w:hint="eastAsia" w:ascii="宋体" w:hAnsi="宋体" w:cs="宋体"/>
                <w:kern w:val="0"/>
                <w:sz w:val="18"/>
                <w:szCs w:val="18"/>
                <w:highlight w:val="none"/>
              </w:rPr>
              <w:t>所属行业根据</w:t>
            </w:r>
            <w:r>
              <w:rPr>
                <w:rFonts w:hint="eastAsia" w:ascii="宋体" w:hAnsi="宋体" w:cs="宋体"/>
                <w:kern w:val="0"/>
                <w:sz w:val="18"/>
                <w:szCs w:val="18"/>
                <w:highlight w:val="none"/>
                <w:lang w:val="en-US" w:eastAsia="zh-CN"/>
              </w:rPr>
              <w:t>相关政府职能部门发布的绿色低碳产业指导目录</w:t>
            </w:r>
            <w:r>
              <w:rPr>
                <w:rFonts w:hint="eastAsia" w:ascii="宋体" w:hAnsi="宋体" w:cs="宋体"/>
                <w:kern w:val="0"/>
                <w:sz w:val="18"/>
                <w:szCs w:val="18"/>
                <w:highlight w:val="none"/>
              </w:rPr>
              <w:t>分类填写</w:t>
            </w:r>
            <w:r>
              <w:rPr>
                <w:rFonts w:hint="eastAsia" w:ascii="宋体" w:hAnsi="宋体" w:cs="宋体"/>
                <w:kern w:val="0"/>
                <w:sz w:val="18"/>
                <w:szCs w:val="18"/>
                <w:highlight w:val="none"/>
                <w:lang w:eastAsia="zh-CN"/>
              </w:rPr>
              <w:t>。</w:t>
            </w:r>
          </w:p>
          <w:p w14:paraId="446AC8D2">
            <w:pPr>
              <w:keepNext w:val="0"/>
              <w:keepLines w:val="0"/>
              <w:pageBreakBefore w:val="0"/>
              <w:widowControl/>
              <w:suppressLineNumbers w:val="0"/>
              <w:tabs>
                <w:tab w:val="center" w:pos="4201"/>
                <w:tab w:val="right" w:leader="dot" w:pos="9298"/>
              </w:tabs>
              <w:kinsoku/>
              <w:wordWrap/>
              <w:overflowPunct/>
              <w:topLinePunct w:val="0"/>
              <w:autoSpaceDE w:val="0"/>
              <w:autoSpaceDN w:val="0"/>
              <w:bidi w:val="0"/>
              <w:adjustRightInd/>
              <w:snapToGrid/>
              <w:spacing w:before="0" w:beforeAutospacing="0" w:after="0" w:afterAutospacing="0"/>
              <w:ind w:left="0" w:right="0" w:firstLine="360" w:firstLineChars="200"/>
              <w:jc w:val="left"/>
              <w:textAlignment w:val="auto"/>
              <w:rPr>
                <w:rFonts w:hint="eastAsia" w:ascii="宋体" w:hAnsi="宋体" w:cs="宋体"/>
                <w:kern w:val="0"/>
                <w:sz w:val="18"/>
                <w:szCs w:val="18"/>
                <w:highlight w:val="none"/>
                <w:lang w:eastAsia="zh-CN"/>
              </w:rPr>
            </w:pPr>
            <w:r>
              <w:rPr>
                <w:rFonts w:hint="eastAsia" w:ascii="宋体" w:hAnsi="宋体" w:cs="宋体"/>
                <w:kern w:val="0"/>
                <w:sz w:val="18"/>
                <w:szCs w:val="18"/>
                <w:highlight w:val="none"/>
                <w:vertAlign w:val="superscript"/>
                <w:lang w:val="en-US" w:eastAsia="zh-CN"/>
              </w:rPr>
              <w:t>b</w:t>
            </w:r>
            <w:r>
              <w:rPr>
                <w:rFonts w:hint="eastAsia" w:ascii="宋体" w:hAnsi="宋体" w:cs="宋体"/>
                <w:kern w:val="0"/>
                <w:sz w:val="18"/>
                <w:szCs w:val="18"/>
                <w:highlight w:val="none"/>
                <w:lang w:val="en-US" w:eastAsia="zh-CN"/>
              </w:rPr>
              <w:t xml:space="preserve">  </w:t>
            </w:r>
            <w:r>
              <w:rPr>
                <w:rFonts w:hint="eastAsia" w:ascii="宋体" w:hAnsi="宋体" w:cs="宋体"/>
                <w:kern w:val="0"/>
                <w:sz w:val="18"/>
                <w:szCs w:val="18"/>
                <w:highlight w:val="none"/>
              </w:rPr>
              <w:t>评价环节按生产制造、建设运营选择填写</w:t>
            </w:r>
            <w:r>
              <w:rPr>
                <w:rFonts w:hint="eastAsia" w:ascii="宋体" w:hAnsi="宋体" w:cs="宋体"/>
                <w:kern w:val="0"/>
                <w:sz w:val="18"/>
                <w:szCs w:val="18"/>
                <w:highlight w:val="none"/>
                <w:lang w:eastAsia="zh-CN"/>
              </w:rPr>
              <w:t>。</w:t>
            </w:r>
          </w:p>
          <w:p w14:paraId="78D8C0CD">
            <w:pPr>
              <w:keepNext w:val="0"/>
              <w:keepLines w:val="0"/>
              <w:pageBreakBefore w:val="0"/>
              <w:widowControl/>
              <w:suppressLineNumbers w:val="0"/>
              <w:tabs>
                <w:tab w:val="center" w:pos="4201"/>
                <w:tab w:val="right" w:leader="dot" w:pos="9298"/>
              </w:tabs>
              <w:kinsoku/>
              <w:wordWrap/>
              <w:overflowPunct/>
              <w:topLinePunct w:val="0"/>
              <w:autoSpaceDE w:val="0"/>
              <w:autoSpaceDN w:val="0"/>
              <w:bidi w:val="0"/>
              <w:adjustRightInd/>
              <w:snapToGrid/>
              <w:spacing w:before="0" w:beforeAutospacing="0" w:after="0" w:afterAutospacing="0"/>
              <w:ind w:left="0" w:right="0" w:firstLine="360" w:firstLineChars="200"/>
              <w:jc w:val="left"/>
              <w:textAlignment w:val="auto"/>
              <w:rPr>
                <w:rFonts w:hint="eastAsia" w:ascii="宋体" w:hAnsi="宋体" w:cs="宋体"/>
                <w:kern w:val="0"/>
                <w:sz w:val="18"/>
                <w:szCs w:val="18"/>
                <w:highlight w:val="none"/>
              </w:rPr>
            </w:pPr>
            <w:r>
              <w:rPr>
                <w:rFonts w:hint="eastAsia" w:ascii="宋体" w:hAnsi="宋体" w:cs="宋体"/>
                <w:kern w:val="0"/>
                <w:sz w:val="18"/>
                <w:szCs w:val="18"/>
                <w:highlight w:val="none"/>
                <w:vertAlign w:val="superscript"/>
                <w:lang w:val="en-US" w:eastAsia="zh-CN"/>
              </w:rPr>
              <w:t>c</w:t>
            </w:r>
            <w:r>
              <w:rPr>
                <w:rFonts w:hint="eastAsia" w:ascii="宋体" w:hAnsi="宋体" w:cs="宋体"/>
                <w:kern w:val="0"/>
                <w:sz w:val="18"/>
                <w:szCs w:val="18"/>
                <w:highlight w:val="none"/>
                <w:lang w:val="en-US" w:eastAsia="zh-CN"/>
              </w:rPr>
              <w:t xml:space="preserve">  </w:t>
            </w:r>
            <w:r>
              <w:rPr>
                <w:rFonts w:hint="eastAsia" w:ascii="宋体" w:hAnsi="宋体" w:cs="宋体"/>
                <w:kern w:val="0"/>
                <w:sz w:val="18"/>
                <w:szCs w:val="18"/>
                <w:highlight w:val="none"/>
              </w:rPr>
              <w:t>评价对象、核心评价指标均参照</w:t>
            </w:r>
            <w:r>
              <w:rPr>
                <w:rFonts w:hint="eastAsia" w:ascii="宋体" w:hAnsi="宋体" w:cs="宋体"/>
                <w:kern w:val="0"/>
                <w:sz w:val="18"/>
                <w:szCs w:val="18"/>
                <w:highlight w:val="none"/>
                <w:lang w:val="en-US" w:eastAsia="zh-CN"/>
              </w:rPr>
              <w:t>附录A</w:t>
            </w:r>
            <w:r>
              <w:rPr>
                <w:rFonts w:hint="eastAsia" w:ascii="宋体" w:hAnsi="宋体" w:cs="宋体"/>
                <w:kern w:val="0"/>
                <w:sz w:val="18"/>
                <w:szCs w:val="18"/>
                <w:highlight w:val="none"/>
              </w:rPr>
              <w:t>填写。</w:t>
            </w:r>
          </w:p>
          <w:p w14:paraId="7CB4A655">
            <w:pPr>
              <w:keepNext w:val="0"/>
              <w:keepLines w:val="0"/>
              <w:pageBreakBefore w:val="0"/>
              <w:widowControl/>
              <w:suppressLineNumbers w:val="0"/>
              <w:tabs>
                <w:tab w:val="center" w:pos="4201"/>
                <w:tab w:val="right" w:leader="dot" w:pos="9298"/>
              </w:tabs>
              <w:kinsoku/>
              <w:wordWrap/>
              <w:overflowPunct/>
              <w:topLinePunct w:val="0"/>
              <w:autoSpaceDE w:val="0"/>
              <w:autoSpaceDN w:val="0"/>
              <w:bidi w:val="0"/>
              <w:adjustRightInd/>
              <w:snapToGrid/>
              <w:spacing w:before="0" w:beforeAutospacing="0" w:after="0" w:afterAutospacing="0"/>
              <w:ind w:left="0" w:right="0" w:firstLine="360" w:firstLineChars="200"/>
              <w:jc w:val="left"/>
              <w:textAlignment w:val="auto"/>
              <w:rPr>
                <w:rFonts w:hint="eastAsia" w:ascii="宋体" w:hAnsi="宋体" w:cs="宋体"/>
                <w:kern w:val="0"/>
                <w:sz w:val="18"/>
                <w:szCs w:val="18"/>
                <w:highlight w:val="none"/>
                <w:lang w:val="en-US" w:eastAsia="zh-CN"/>
              </w:rPr>
            </w:pPr>
            <w:r>
              <w:rPr>
                <w:rFonts w:hint="eastAsia" w:ascii="宋体" w:hAnsi="宋体" w:cs="宋体"/>
                <w:kern w:val="0"/>
                <w:sz w:val="18"/>
                <w:szCs w:val="18"/>
                <w:highlight w:val="none"/>
                <w:vertAlign w:val="superscript"/>
                <w:lang w:val="en-US" w:eastAsia="zh-CN"/>
              </w:rPr>
              <w:t>d</w:t>
            </w:r>
            <w:r>
              <w:rPr>
                <w:rFonts w:hint="eastAsia" w:ascii="宋体" w:hAnsi="宋体" w:cs="宋体"/>
                <w:kern w:val="0"/>
                <w:sz w:val="18"/>
                <w:szCs w:val="18"/>
                <w:highlight w:val="none"/>
                <w:lang w:val="en-US" w:eastAsia="zh-CN"/>
              </w:rPr>
              <w:t xml:space="preserve">  参照附录A填写，给出核心评价指标参考的标准名称及标准号。</w:t>
            </w:r>
          </w:p>
          <w:p w14:paraId="27965474">
            <w:pPr>
              <w:keepNext w:val="0"/>
              <w:keepLines w:val="0"/>
              <w:pageBreakBefore w:val="0"/>
              <w:widowControl/>
              <w:suppressLineNumbers w:val="0"/>
              <w:tabs>
                <w:tab w:val="center" w:pos="4201"/>
                <w:tab w:val="right" w:leader="dot" w:pos="9298"/>
              </w:tabs>
              <w:kinsoku/>
              <w:wordWrap/>
              <w:overflowPunct/>
              <w:topLinePunct w:val="0"/>
              <w:autoSpaceDE w:val="0"/>
              <w:autoSpaceDN w:val="0"/>
              <w:bidi w:val="0"/>
              <w:adjustRightInd/>
              <w:snapToGrid/>
              <w:spacing w:before="0" w:beforeAutospacing="0" w:after="0" w:afterAutospacing="0"/>
              <w:ind w:left="0" w:right="0" w:firstLine="360" w:firstLineChars="200"/>
              <w:jc w:val="left"/>
              <w:textAlignment w:val="auto"/>
              <w:rPr>
                <w:rFonts w:hint="eastAsia" w:ascii="宋体" w:hAnsi="宋体" w:cs="宋体"/>
                <w:kern w:val="0"/>
                <w:sz w:val="18"/>
                <w:szCs w:val="18"/>
                <w:highlight w:val="none"/>
                <w:lang w:val="en-US" w:eastAsia="zh-CN"/>
              </w:rPr>
            </w:pPr>
            <w:r>
              <w:rPr>
                <w:rFonts w:hint="eastAsia" w:ascii="宋体" w:hAnsi="宋体" w:cs="宋体"/>
                <w:kern w:val="0"/>
                <w:sz w:val="18"/>
                <w:szCs w:val="18"/>
                <w:highlight w:val="none"/>
                <w:vertAlign w:val="superscript"/>
                <w:lang w:val="en-US" w:eastAsia="zh-CN"/>
              </w:rPr>
              <w:t>e</w:t>
            </w:r>
            <w:r>
              <w:rPr>
                <w:rFonts w:hint="eastAsia" w:ascii="宋体" w:hAnsi="宋体" w:cs="宋体"/>
                <w:kern w:val="0"/>
                <w:sz w:val="18"/>
                <w:szCs w:val="18"/>
                <w:highlight w:val="none"/>
                <w:lang w:val="en-US" w:eastAsia="zh-CN"/>
              </w:rPr>
              <w:t xml:space="preserve">  给出参考标准中具体的参考值或要求。</w:t>
            </w:r>
          </w:p>
          <w:p w14:paraId="3EEBD2A4">
            <w:pPr>
              <w:keepNext w:val="0"/>
              <w:keepLines w:val="0"/>
              <w:pageBreakBefore w:val="0"/>
              <w:widowControl/>
              <w:suppressLineNumbers w:val="0"/>
              <w:tabs>
                <w:tab w:val="center" w:pos="4201"/>
                <w:tab w:val="right" w:leader="dot" w:pos="9298"/>
              </w:tabs>
              <w:kinsoku/>
              <w:wordWrap/>
              <w:overflowPunct/>
              <w:topLinePunct w:val="0"/>
              <w:autoSpaceDE w:val="0"/>
              <w:autoSpaceDN w:val="0"/>
              <w:bidi w:val="0"/>
              <w:adjustRightInd/>
              <w:snapToGrid/>
              <w:spacing w:before="0" w:beforeAutospacing="0" w:after="0" w:afterAutospacing="0"/>
              <w:ind w:left="0" w:right="0" w:firstLine="360" w:firstLineChars="200"/>
              <w:jc w:val="left"/>
              <w:textAlignment w:val="auto"/>
              <w:rPr>
                <w:rFonts w:hint="eastAsia" w:ascii="宋体" w:hAnsi="宋体" w:cs="宋体"/>
                <w:kern w:val="0"/>
                <w:sz w:val="18"/>
                <w:szCs w:val="18"/>
                <w:highlight w:val="none"/>
                <w:lang w:val="en-US" w:eastAsia="zh-CN"/>
              </w:rPr>
            </w:pPr>
            <w:r>
              <w:rPr>
                <w:rFonts w:hint="eastAsia" w:ascii="宋体" w:hAnsi="宋体" w:cs="宋体"/>
                <w:kern w:val="0"/>
                <w:sz w:val="18"/>
                <w:szCs w:val="18"/>
                <w:highlight w:val="none"/>
                <w:vertAlign w:val="superscript"/>
                <w:lang w:val="en-US" w:eastAsia="zh-CN"/>
              </w:rPr>
              <w:t>f</w:t>
            </w:r>
            <w:r>
              <w:rPr>
                <w:rFonts w:hint="eastAsia" w:ascii="宋体" w:hAnsi="宋体" w:cs="宋体"/>
                <w:kern w:val="0"/>
                <w:sz w:val="18"/>
                <w:szCs w:val="18"/>
                <w:highlight w:val="none"/>
                <w:lang w:val="en-US" w:eastAsia="zh-CN"/>
              </w:rPr>
              <w:t xml:space="preserve">  对照标准参考值或要求，给出申报单位自评值或响应要求的情况。</w:t>
            </w:r>
          </w:p>
          <w:p w14:paraId="4DF7F18F">
            <w:pPr>
              <w:keepNext w:val="0"/>
              <w:keepLines w:val="0"/>
              <w:pageBreakBefore w:val="0"/>
              <w:widowControl/>
              <w:suppressLineNumbers w:val="0"/>
              <w:tabs>
                <w:tab w:val="center" w:pos="4201"/>
                <w:tab w:val="right" w:leader="dot" w:pos="9298"/>
              </w:tabs>
              <w:kinsoku/>
              <w:wordWrap/>
              <w:overflowPunct/>
              <w:topLinePunct w:val="0"/>
              <w:autoSpaceDE w:val="0"/>
              <w:autoSpaceDN w:val="0"/>
              <w:bidi w:val="0"/>
              <w:adjustRightInd/>
              <w:snapToGrid/>
              <w:spacing w:before="0" w:beforeAutospacing="0" w:after="0" w:afterAutospacing="0"/>
              <w:ind w:left="0" w:right="0" w:firstLine="360" w:firstLineChars="200"/>
              <w:jc w:val="left"/>
              <w:textAlignment w:val="auto"/>
              <w:rPr>
                <w:rFonts w:hint="default"/>
                <w:highlight w:val="none"/>
                <w:lang w:val="en-US" w:eastAsia="zh-CN"/>
              </w:rPr>
            </w:pPr>
            <w:r>
              <w:rPr>
                <w:rFonts w:hint="eastAsia" w:ascii="宋体" w:hAnsi="宋体" w:cs="宋体"/>
                <w:kern w:val="0"/>
                <w:sz w:val="18"/>
                <w:szCs w:val="18"/>
                <w:highlight w:val="none"/>
                <w:vertAlign w:val="superscript"/>
                <w:lang w:val="en-US" w:eastAsia="zh-CN"/>
              </w:rPr>
              <w:t>g</w:t>
            </w:r>
            <w:r>
              <w:rPr>
                <w:rFonts w:hint="eastAsia" w:ascii="宋体" w:hAnsi="宋体" w:cs="宋体"/>
                <w:kern w:val="0"/>
                <w:sz w:val="18"/>
                <w:szCs w:val="18"/>
                <w:highlight w:val="none"/>
                <w:lang w:val="en-US" w:eastAsia="zh-CN"/>
              </w:rPr>
              <w:t xml:space="preserve">  给出材料对应的具体页码，例如，见第4页。</w:t>
            </w:r>
          </w:p>
        </w:tc>
      </w:tr>
    </w:tbl>
    <w:p w14:paraId="678C0476">
      <w:pPr>
        <w:pStyle w:val="92"/>
        <w:numPr>
          <w:ilvl w:val="1"/>
          <w:numId w:val="0"/>
        </w:numPr>
        <w:spacing w:before="156" w:after="156"/>
        <w:jc w:val="both"/>
        <w:rPr>
          <w:rFonts w:hAnsi="黑体" w:cs="黑体"/>
          <w:highlight w:val="none"/>
        </w:rPr>
      </w:pPr>
      <w:r>
        <w:rPr>
          <w:rFonts w:hint="eastAsia" w:hAnsi="黑体" w:cs="黑体"/>
          <w:highlight w:val="none"/>
          <w:lang w:val="en-US" w:eastAsia="zh-CN"/>
        </w:rPr>
        <w:t>C</w:t>
      </w:r>
      <w:r>
        <w:rPr>
          <w:rFonts w:hint="eastAsia" w:hAnsi="黑体" w:cs="黑体"/>
          <w:highlight w:val="none"/>
        </w:rPr>
        <w:t>.7</w:t>
      </w:r>
      <w:r>
        <w:rPr>
          <w:rFonts w:hint="eastAsia" w:hAnsi="黑体" w:cs="黑体"/>
          <w:highlight w:val="none"/>
          <w:lang w:val="en-US" w:eastAsia="zh-CN"/>
        </w:rPr>
        <w:t xml:space="preserve">  </w:t>
      </w:r>
      <w:r>
        <w:rPr>
          <w:rFonts w:hint="eastAsia" w:hAnsi="黑体" w:cs="黑体"/>
          <w:highlight w:val="none"/>
        </w:rPr>
        <w:t>附录</w:t>
      </w:r>
    </w:p>
    <w:p w14:paraId="1ADA0AD2">
      <w:pPr>
        <w:pStyle w:val="26"/>
        <w:rPr>
          <w:rFonts w:hint="eastAsia"/>
          <w:szCs w:val="24"/>
          <w:highlight w:val="none"/>
        </w:rPr>
      </w:pPr>
      <w:r>
        <w:rPr>
          <w:rFonts w:hint="eastAsia"/>
          <w:szCs w:val="24"/>
          <w:highlight w:val="none"/>
        </w:rPr>
        <w:t>列明上述章节所述情况及评分表涉及的佐证材料。</w:t>
      </w:r>
    </w:p>
    <w:p w14:paraId="73B16B76">
      <w:pPr>
        <w:rPr>
          <w:rFonts w:hint="eastAsia"/>
          <w:szCs w:val="24"/>
          <w:highlight w:val="none"/>
          <w:lang w:val="en-US" w:eastAsia="zh-CN"/>
        </w:rPr>
      </w:pPr>
      <w:r>
        <w:rPr>
          <w:rFonts w:hint="eastAsia"/>
          <w:szCs w:val="24"/>
          <w:highlight w:val="none"/>
        </w:rPr>
        <w:br w:type="page"/>
      </w:r>
    </w:p>
    <w:p w14:paraId="3ACDE5B1">
      <w:pPr>
        <w:pStyle w:val="89"/>
        <w:spacing w:beforeLines="0" w:afterLines="0"/>
        <w:rPr>
          <w:rFonts w:hint="eastAsia" w:ascii="Times New Roman" w:eastAsia="Times New Roman"/>
          <w:sz w:val="21"/>
          <w:szCs w:val="20"/>
          <w:highlight w:val="none"/>
        </w:rPr>
      </w:pPr>
      <w:bookmarkStart w:id="129" w:name="_Toc17470"/>
      <w:bookmarkStart w:id="130" w:name="_Toc22428"/>
      <w:bookmarkStart w:id="131" w:name="_Toc25108"/>
      <w:r>
        <w:rPr>
          <w:rFonts w:hint="eastAsia" w:ascii="Times New Roman" w:eastAsia="Times New Roman"/>
          <w:sz w:val="21"/>
          <w:szCs w:val="20"/>
          <w:highlight w:val="none"/>
        </w:rPr>
        <w:br w:type="textWrapping"/>
      </w:r>
      <w:r>
        <w:rPr>
          <w:rFonts w:hint="eastAsia" w:ascii="Times New Roman"/>
          <w:sz w:val="21"/>
          <w:szCs w:val="20"/>
          <w:highlight w:val="none"/>
        </w:rPr>
        <w:t>（资料性）</w:t>
      </w:r>
      <w:r>
        <w:rPr>
          <w:rFonts w:hint="eastAsia" w:ascii="Times New Roman" w:eastAsia="Times New Roman"/>
          <w:sz w:val="21"/>
          <w:szCs w:val="20"/>
          <w:highlight w:val="none"/>
        </w:rPr>
        <w:br w:type="textWrapping"/>
      </w:r>
      <w:r>
        <w:rPr>
          <w:rFonts w:hint="eastAsia" w:ascii="Times New Roman"/>
          <w:sz w:val="21"/>
          <w:szCs w:val="20"/>
          <w:highlight w:val="none"/>
          <w:lang w:val="en-US" w:eastAsia="zh-CN"/>
        </w:rPr>
        <w:t>温室气体控制领域</w:t>
      </w:r>
      <w:r>
        <w:rPr>
          <w:rFonts w:hint="eastAsia" w:ascii="Times New Roman"/>
          <w:sz w:val="21"/>
          <w:szCs w:val="20"/>
          <w:highlight w:val="none"/>
        </w:rPr>
        <w:t>绿色低碳产业项目认定评价报告模板</w:t>
      </w:r>
      <w:bookmarkEnd w:id="129"/>
      <w:bookmarkEnd w:id="130"/>
      <w:bookmarkEnd w:id="131"/>
    </w:p>
    <w:p w14:paraId="58C461E8">
      <w:pPr>
        <w:numPr>
          <w:ilvl w:val="1"/>
          <w:numId w:val="0"/>
        </w:numPr>
        <w:spacing w:before="156" w:beforeLines="50" w:after="156" w:afterLines="50"/>
        <w:rPr>
          <w:rFonts w:hint="eastAsia"/>
          <w:sz w:val="21"/>
          <w:szCs w:val="21"/>
          <w:highlight w:val="none"/>
        </w:rPr>
      </w:pPr>
      <w:r>
        <w:rPr>
          <w:rFonts w:hint="eastAsia" w:ascii="黑体" w:hAnsi="黑体" w:eastAsia="黑体" w:cs="黑体"/>
          <w:sz w:val="21"/>
          <w:szCs w:val="21"/>
          <w:highlight w:val="none"/>
          <w:lang w:val="en-US" w:eastAsia="zh-CN"/>
        </w:rPr>
        <w:t>D</w:t>
      </w:r>
      <w:r>
        <w:rPr>
          <w:rFonts w:hint="eastAsia" w:ascii="黑体" w:hAnsi="黑体" w:eastAsia="黑体" w:cs="黑体"/>
          <w:sz w:val="21"/>
          <w:szCs w:val="21"/>
          <w:highlight w:val="none"/>
        </w:rPr>
        <w:t>.1</w:t>
      </w:r>
      <w:r>
        <w:rPr>
          <w:rFonts w:hint="eastAsia" w:ascii="黑体" w:hAnsi="黑体" w:eastAsia="黑体" w:cs="黑体"/>
          <w:sz w:val="21"/>
          <w:szCs w:val="21"/>
          <w:highlight w:val="none"/>
          <w:lang w:val="en-US" w:eastAsia="zh-CN"/>
        </w:rPr>
        <w:t xml:space="preserve">  </w:t>
      </w:r>
      <w:r>
        <w:rPr>
          <w:rFonts w:hint="eastAsia" w:ascii="黑体" w:hAnsi="黑体" w:eastAsia="黑体" w:cs="黑体"/>
          <w:sz w:val="21"/>
          <w:szCs w:val="21"/>
          <w:highlight w:val="none"/>
        </w:rPr>
        <w:t>封面</w:t>
      </w:r>
    </w:p>
    <w:p w14:paraId="343A20FF">
      <w:pPr>
        <w:pStyle w:val="26"/>
        <w:rPr>
          <w:rFonts w:hint="eastAsia" w:hAnsi="宋体" w:cs="宋体"/>
          <w:szCs w:val="24"/>
          <w:highlight w:val="none"/>
        </w:rPr>
      </w:pPr>
      <w:r>
        <w:rPr>
          <w:rFonts w:hint="eastAsia" w:ascii="Times New Roman"/>
          <w:szCs w:val="24"/>
          <w:highlight w:val="none"/>
          <w:lang w:val="en-US" w:eastAsia="zh-CN"/>
        </w:rPr>
        <w:t>温室气体控制领域</w:t>
      </w:r>
      <w:r>
        <w:rPr>
          <w:rFonts w:hint="eastAsia" w:ascii="Times New Roman"/>
          <w:szCs w:val="24"/>
          <w:highlight w:val="none"/>
          <w:lang w:eastAsia="zh-CN"/>
        </w:rPr>
        <w:t>绿色低碳产业</w:t>
      </w:r>
      <w:r>
        <w:rPr>
          <w:rFonts w:hint="eastAsia" w:ascii="Times New Roman"/>
          <w:szCs w:val="24"/>
          <w:highlight w:val="none"/>
          <w:lang w:val="en-US" w:eastAsia="zh-CN"/>
        </w:rPr>
        <w:t>项目</w:t>
      </w:r>
      <w:r>
        <w:rPr>
          <w:rFonts w:hint="eastAsia" w:ascii="Times New Roman"/>
          <w:szCs w:val="24"/>
          <w:highlight w:val="none"/>
        </w:rPr>
        <w:t>认定评价报告封面</w:t>
      </w:r>
      <w:r>
        <w:rPr>
          <w:rFonts w:hint="eastAsia" w:hAnsi="宋体" w:cs="宋体"/>
          <w:szCs w:val="24"/>
          <w:highlight w:val="none"/>
        </w:rPr>
        <w:t>要求见表</w:t>
      </w:r>
      <w:r>
        <w:rPr>
          <w:rFonts w:hint="eastAsia" w:hAnsi="宋体" w:cs="宋体"/>
          <w:szCs w:val="24"/>
          <w:highlight w:val="none"/>
          <w:lang w:val="en-US" w:eastAsia="zh-CN"/>
        </w:rPr>
        <w:t>D</w:t>
      </w:r>
      <w:r>
        <w:rPr>
          <w:rFonts w:hint="eastAsia" w:hAnsi="宋体" w:cs="宋体"/>
          <w:szCs w:val="24"/>
          <w:highlight w:val="none"/>
        </w:rPr>
        <w:t>.1。</w:t>
      </w:r>
    </w:p>
    <w:p w14:paraId="19FCF50E">
      <w:pPr>
        <w:widowControl w:val="0"/>
        <w:numPr>
          <w:ilvl w:val="1"/>
          <w:numId w:val="0"/>
        </w:numPr>
        <w:spacing w:before="156" w:beforeLines="50" w:after="156" w:afterLines="50"/>
        <w:jc w:val="center"/>
        <w:rPr>
          <w:rFonts w:hint="eastAsia" w:ascii="黑体" w:hAnsi="黑体" w:eastAsia="黑体" w:cs="Times New Roman"/>
          <w:kern w:val="2"/>
          <w:sz w:val="21"/>
          <w:szCs w:val="21"/>
          <w:highlight w:val="none"/>
          <w:lang w:val="en-US" w:eastAsia="zh-CN" w:bidi="ar-SA"/>
        </w:rPr>
      </w:pPr>
      <w:r>
        <w:rPr>
          <w:rFonts w:hint="eastAsia" w:ascii="黑体" w:hAnsi="黑体" w:eastAsia="黑体" w:cs="Times New Roman"/>
          <w:kern w:val="2"/>
          <w:sz w:val="21"/>
          <w:szCs w:val="21"/>
          <w:highlight w:val="none"/>
          <w:lang w:val="en-US" w:eastAsia="zh-CN" w:bidi="ar-SA"/>
        </w:rPr>
        <w:t>表D.1  温室气体控制领域绿色低碳产业项目认定评价报告封面</w:t>
      </w:r>
    </w:p>
    <w:p w14:paraId="77263050">
      <w:pPr>
        <w:pStyle w:val="26"/>
        <w:jc w:val="center"/>
        <w:rPr>
          <w:rFonts w:hAnsi="黑体"/>
          <w:highlight w:val="none"/>
        </w:rPr>
      </w:pPr>
      <w:r>
        <w:rPr>
          <w:rFonts w:ascii="Times New Roman"/>
          <w:szCs w:val="24"/>
          <w:highlight w:val="none"/>
        </w:rPr>
        <mc:AlternateContent>
          <mc:Choice Requires="wps">
            <w:drawing>
              <wp:inline distT="45720" distB="45720" distL="114300" distR="114300">
                <wp:extent cx="4999990" cy="3430270"/>
                <wp:effectExtent l="9525" t="9525" r="19685" b="27305"/>
                <wp:docPr id="16" name="文本框 16"/>
                <wp:cNvGraphicFramePr/>
                <a:graphic xmlns:a="http://schemas.openxmlformats.org/drawingml/2006/main">
                  <a:graphicData uri="http://schemas.microsoft.com/office/word/2010/wordprocessingShape">
                    <wps:wsp>
                      <wps:cNvSpPr txBox="1"/>
                      <wps:spPr>
                        <a:xfrm>
                          <a:off x="0" y="0"/>
                          <a:ext cx="4999990" cy="3430270"/>
                        </a:xfrm>
                        <a:prstGeom prst="rect">
                          <a:avLst/>
                        </a:prstGeom>
                        <a:noFill/>
                        <a:ln w="19050" cap="flat" cmpd="sng">
                          <a:solidFill>
                            <a:srgbClr val="000000"/>
                          </a:solidFill>
                          <a:prstDash val="solid"/>
                          <a:miter/>
                          <a:headEnd type="none" w="med" len="med"/>
                          <a:tailEnd type="none" w="med" len="med"/>
                        </a:ln>
                      </wps:spPr>
                      <wps:txbx>
                        <w:txbxContent>
                          <w:p w14:paraId="1D43D224">
                            <w:pPr>
                              <w:pStyle w:val="26"/>
                              <w:spacing w:line="360" w:lineRule="auto"/>
                              <w:ind w:firstLine="422"/>
                              <w:jc w:val="center"/>
                              <w:rPr>
                                <w:b/>
                                <w:szCs w:val="24"/>
                              </w:rPr>
                            </w:pPr>
                          </w:p>
                          <w:p w14:paraId="670D7B22">
                            <w:pPr>
                              <w:pStyle w:val="26"/>
                              <w:keepNext w:val="0"/>
                              <w:keepLines w:val="0"/>
                              <w:pageBreakBefore w:val="0"/>
                              <w:widowControl/>
                              <w:kinsoku/>
                              <w:wordWrap/>
                              <w:overflowPunct/>
                              <w:topLinePunct w:val="0"/>
                              <w:bidi w:val="0"/>
                              <w:adjustRightInd/>
                              <w:snapToGrid/>
                              <w:spacing w:line="360" w:lineRule="auto"/>
                              <w:ind w:firstLine="0" w:firstLineChars="0"/>
                              <w:jc w:val="center"/>
                              <w:textAlignment w:val="auto"/>
                              <w:rPr>
                                <w:rFonts w:hint="eastAsia"/>
                                <w:b/>
                                <w:szCs w:val="24"/>
                              </w:rPr>
                            </w:pPr>
                          </w:p>
                          <w:p w14:paraId="68006575">
                            <w:pPr>
                              <w:pStyle w:val="26"/>
                              <w:keepNext w:val="0"/>
                              <w:keepLines w:val="0"/>
                              <w:pageBreakBefore w:val="0"/>
                              <w:widowControl/>
                              <w:kinsoku/>
                              <w:wordWrap/>
                              <w:overflowPunct/>
                              <w:topLinePunct w:val="0"/>
                              <w:bidi w:val="0"/>
                              <w:adjustRightInd/>
                              <w:snapToGrid/>
                              <w:spacing w:line="360" w:lineRule="auto"/>
                              <w:ind w:firstLine="0" w:firstLineChars="0"/>
                              <w:jc w:val="center"/>
                              <w:textAlignment w:val="auto"/>
                              <w:rPr>
                                <w:b/>
                                <w:szCs w:val="24"/>
                              </w:rPr>
                            </w:pPr>
                            <w:r>
                              <w:rPr>
                                <w:rFonts w:hint="eastAsia"/>
                                <w:b/>
                                <w:szCs w:val="24"/>
                              </w:rPr>
                              <w:t>XXX公司</w:t>
                            </w:r>
                          </w:p>
                          <w:p w14:paraId="6A0A1B25">
                            <w:pPr>
                              <w:pStyle w:val="26"/>
                              <w:keepNext w:val="0"/>
                              <w:keepLines w:val="0"/>
                              <w:pageBreakBefore w:val="0"/>
                              <w:widowControl/>
                              <w:kinsoku/>
                              <w:wordWrap/>
                              <w:overflowPunct/>
                              <w:topLinePunct w:val="0"/>
                              <w:bidi w:val="0"/>
                              <w:adjustRightInd w:val="0"/>
                              <w:snapToGrid/>
                              <w:spacing w:line="360" w:lineRule="auto"/>
                              <w:ind w:firstLine="0" w:firstLineChars="0"/>
                              <w:jc w:val="center"/>
                              <w:textAlignment w:val="auto"/>
                              <w:rPr>
                                <w:b/>
                                <w:szCs w:val="24"/>
                              </w:rPr>
                            </w:pPr>
                            <w:r>
                              <w:rPr>
                                <w:rFonts w:hint="eastAsia"/>
                                <w:b/>
                                <w:szCs w:val="24"/>
                                <w:lang w:val="en-US" w:eastAsia="zh-CN"/>
                              </w:rPr>
                              <w:t>温室气体控制领域</w:t>
                            </w:r>
                            <w:r>
                              <w:rPr>
                                <w:rFonts w:hint="eastAsia"/>
                                <w:b/>
                                <w:szCs w:val="24"/>
                              </w:rPr>
                              <w:t>绿色</w:t>
                            </w:r>
                            <w:r>
                              <w:rPr>
                                <w:rFonts w:hint="eastAsia"/>
                                <w:b/>
                                <w:szCs w:val="24"/>
                                <w:lang w:val="en-US" w:eastAsia="zh-CN"/>
                              </w:rPr>
                              <w:t>低碳</w:t>
                            </w:r>
                            <w:r>
                              <w:rPr>
                                <w:rFonts w:hint="eastAsia"/>
                                <w:b/>
                                <w:szCs w:val="24"/>
                              </w:rPr>
                              <w:t>产业</w:t>
                            </w:r>
                            <w:r>
                              <w:rPr>
                                <w:rFonts w:hint="eastAsia"/>
                                <w:b/>
                                <w:szCs w:val="24"/>
                                <w:lang w:val="en-US" w:eastAsia="zh-CN"/>
                              </w:rPr>
                              <w:t>项目</w:t>
                            </w:r>
                            <w:r>
                              <w:rPr>
                                <w:rFonts w:hint="eastAsia"/>
                                <w:b/>
                                <w:szCs w:val="24"/>
                              </w:rPr>
                              <w:t>认定评价报告</w:t>
                            </w:r>
                          </w:p>
                          <w:p w14:paraId="5857A1BC">
                            <w:pPr>
                              <w:pStyle w:val="26"/>
                              <w:keepNext w:val="0"/>
                              <w:keepLines w:val="0"/>
                              <w:pageBreakBefore w:val="0"/>
                              <w:widowControl/>
                              <w:kinsoku/>
                              <w:wordWrap/>
                              <w:overflowPunct/>
                              <w:topLinePunct w:val="0"/>
                              <w:bidi w:val="0"/>
                              <w:adjustRightInd w:val="0"/>
                              <w:snapToGrid/>
                              <w:spacing w:line="360" w:lineRule="auto"/>
                              <w:ind w:firstLine="0" w:firstLineChars="0"/>
                              <w:jc w:val="center"/>
                              <w:textAlignment w:val="auto"/>
                              <w:rPr>
                                <w:b/>
                                <w:szCs w:val="24"/>
                              </w:rPr>
                            </w:pPr>
                          </w:p>
                          <w:p w14:paraId="7997194D">
                            <w:pPr>
                              <w:pStyle w:val="26"/>
                              <w:keepNext w:val="0"/>
                              <w:keepLines w:val="0"/>
                              <w:pageBreakBefore w:val="0"/>
                              <w:widowControl/>
                              <w:kinsoku/>
                              <w:wordWrap/>
                              <w:overflowPunct/>
                              <w:topLinePunct w:val="0"/>
                              <w:bidi w:val="0"/>
                              <w:adjustRightInd w:val="0"/>
                              <w:snapToGrid/>
                              <w:spacing w:line="360" w:lineRule="auto"/>
                              <w:ind w:firstLine="0" w:firstLineChars="0"/>
                              <w:jc w:val="left"/>
                              <w:textAlignment w:val="auto"/>
                              <w:rPr>
                                <w:b/>
                                <w:szCs w:val="24"/>
                              </w:rPr>
                            </w:pPr>
                          </w:p>
                          <w:p w14:paraId="4A508FF4">
                            <w:pPr>
                              <w:pStyle w:val="26"/>
                              <w:keepNext w:val="0"/>
                              <w:keepLines w:val="0"/>
                              <w:pageBreakBefore w:val="0"/>
                              <w:widowControl/>
                              <w:kinsoku/>
                              <w:wordWrap/>
                              <w:overflowPunct/>
                              <w:topLinePunct w:val="0"/>
                              <w:bidi w:val="0"/>
                              <w:adjustRightInd w:val="0"/>
                              <w:snapToGrid/>
                              <w:spacing w:line="360" w:lineRule="auto"/>
                              <w:ind w:firstLine="1687" w:firstLineChars="800"/>
                              <w:jc w:val="left"/>
                              <w:textAlignment w:val="auto"/>
                              <w:rPr>
                                <w:b/>
                                <w:szCs w:val="24"/>
                              </w:rPr>
                            </w:pPr>
                            <w:r>
                              <w:rPr>
                                <w:rFonts w:hint="eastAsia"/>
                                <w:b/>
                                <w:szCs w:val="24"/>
                              </w:rPr>
                              <w:t>申报单位：</w:t>
                            </w:r>
                            <w:r>
                              <w:rPr>
                                <w:rFonts w:hint="eastAsia"/>
                                <w:b/>
                                <w:szCs w:val="24"/>
                                <w:u w:val="single"/>
                              </w:rPr>
                              <w:t xml:space="preserve">               （盖章）  </w:t>
                            </w:r>
                            <w:r>
                              <w:rPr>
                                <w:rFonts w:hint="eastAsia"/>
                                <w:b/>
                                <w:szCs w:val="24"/>
                              </w:rPr>
                              <w:t xml:space="preserve">         </w:t>
                            </w:r>
                          </w:p>
                          <w:p w14:paraId="0B1A1673">
                            <w:pPr>
                              <w:pStyle w:val="26"/>
                              <w:keepNext w:val="0"/>
                              <w:keepLines w:val="0"/>
                              <w:pageBreakBefore w:val="0"/>
                              <w:widowControl/>
                              <w:kinsoku/>
                              <w:wordWrap/>
                              <w:overflowPunct/>
                              <w:topLinePunct w:val="0"/>
                              <w:bidi w:val="0"/>
                              <w:adjustRightInd w:val="0"/>
                              <w:snapToGrid/>
                              <w:spacing w:line="360" w:lineRule="auto"/>
                              <w:ind w:firstLine="1687" w:firstLineChars="800"/>
                              <w:jc w:val="left"/>
                              <w:textAlignment w:val="auto"/>
                              <w:rPr>
                                <w:b/>
                                <w:szCs w:val="24"/>
                                <w:u w:val="single"/>
                              </w:rPr>
                            </w:pPr>
                            <w:r>
                              <w:rPr>
                                <w:rFonts w:hint="eastAsia"/>
                                <w:b/>
                                <w:szCs w:val="24"/>
                              </w:rPr>
                              <w:t>编写人：</w:t>
                            </w:r>
                            <w:r>
                              <w:rPr>
                                <w:rFonts w:hint="eastAsia"/>
                                <w:b/>
                                <w:szCs w:val="24"/>
                                <w:u w:val="single"/>
                              </w:rPr>
                              <w:t xml:space="preserve">                           </w:t>
                            </w:r>
                          </w:p>
                          <w:p w14:paraId="1CDBDC41">
                            <w:pPr>
                              <w:pStyle w:val="26"/>
                              <w:keepNext w:val="0"/>
                              <w:keepLines w:val="0"/>
                              <w:pageBreakBefore w:val="0"/>
                              <w:widowControl/>
                              <w:kinsoku/>
                              <w:wordWrap/>
                              <w:overflowPunct/>
                              <w:topLinePunct w:val="0"/>
                              <w:bidi w:val="0"/>
                              <w:adjustRightInd w:val="0"/>
                              <w:snapToGrid/>
                              <w:spacing w:line="360" w:lineRule="auto"/>
                              <w:ind w:firstLine="1687" w:firstLineChars="800"/>
                              <w:jc w:val="left"/>
                              <w:textAlignment w:val="auto"/>
                              <w:rPr>
                                <w:b/>
                                <w:szCs w:val="24"/>
                                <w:u w:val="single"/>
                              </w:rPr>
                            </w:pPr>
                            <w:r>
                              <w:rPr>
                                <w:rFonts w:hint="eastAsia"/>
                                <w:b/>
                                <w:szCs w:val="24"/>
                              </w:rPr>
                              <w:t>责任人：</w:t>
                            </w:r>
                            <w:r>
                              <w:rPr>
                                <w:rFonts w:hint="eastAsia"/>
                                <w:b/>
                                <w:szCs w:val="24"/>
                                <w:u w:val="single"/>
                              </w:rPr>
                              <w:t xml:space="preserve">                           </w:t>
                            </w:r>
                          </w:p>
                          <w:p w14:paraId="7BE6363E">
                            <w:pPr>
                              <w:pStyle w:val="26"/>
                              <w:keepNext w:val="0"/>
                              <w:keepLines w:val="0"/>
                              <w:pageBreakBefore w:val="0"/>
                              <w:widowControl/>
                              <w:kinsoku/>
                              <w:wordWrap/>
                              <w:overflowPunct/>
                              <w:topLinePunct w:val="0"/>
                              <w:bidi w:val="0"/>
                              <w:adjustRightInd w:val="0"/>
                              <w:snapToGrid/>
                              <w:spacing w:line="360" w:lineRule="auto"/>
                              <w:ind w:firstLine="1687" w:firstLineChars="800"/>
                              <w:jc w:val="left"/>
                              <w:textAlignment w:val="auto"/>
                              <w:rPr>
                                <w:szCs w:val="24"/>
                              </w:rPr>
                            </w:pPr>
                            <w:r>
                              <w:rPr>
                                <w:rFonts w:hint="eastAsia"/>
                                <w:b/>
                                <w:szCs w:val="24"/>
                              </w:rPr>
                              <w:t>报告日期：</w:t>
                            </w:r>
                            <w:r>
                              <w:rPr>
                                <w:rFonts w:hint="eastAsia"/>
                                <w:b/>
                                <w:szCs w:val="24"/>
                                <w:u w:val="single"/>
                              </w:rPr>
                              <w:t xml:space="preserve">         </w:t>
                            </w:r>
                            <w:r>
                              <w:rPr>
                                <w:rFonts w:hint="eastAsia"/>
                                <w:szCs w:val="24"/>
                                <w:u w:val="single"/>
                              </w:rPr>
                              <w:t xml:space="preserve">                </w:t>
                            </w:r>
                            <w:r>
                              <w:rPr>
                                <w:rFonts w:hint="eastAsia"/>
                                <w:szCs w:val="24"/>
                              </w:rPr>
                              <w:t xml:space="preserve">           </w:t>
                            </w:r>
                          </w:p>
                        </w:txbxContent>
                      </wps:txbx>
                      <wps:bodyPr vert="horz" wrap="square" anchor="t" anchorCtr="0" upright="1"/>
                    </wps:wsp>
                  </a:graphicData>
                </a:graphic>
              </wp:inline>
            </w:drawing>
          </mc:Choice>
          <mc:Fallback>
            <w:pict>
              <v:shape id="_x0000_s1026" o:spid="_x0000_s1026" o:spt="202" type="#_x0000_t202" style="height:270.1pt;width:393.7pt;" filled="f" stroked="t" coordsize="21600,21600" o:gfxdata="UEsDBAoAAAAAAIdO4kAAAAAAAAAAAAAAAAAEAAAAZHJzL1BLAwQUAAAACACHTuJAiuAxktgAAAAF&#10;AQAADwAAAGRycy9kb3ducmV2LnhtbE2PzU7DMBCE70h9B2uRuFE7VaElxOkB0QsqB9JWKjc3XuLQ&#10;eJ3a7g9vj+HSXlYazWjm22J2th07og+tIwnZUABDqp1uqZGwWs7vp8BCVKRV5wgl/GCAWTm4KVSu&#10;3Yk+8FjFhqUSCrmSYGLsc85DbdCqMHQ9UvK+nLcqJukbrr06pXLb8ZEQj9yqltKCUT2+GKx31cFK&#10;mPvXql1lxu+fFm+bz/16+d4vvqW8u83EM7CI53gJwx9+QocyMW3dgXRgnYT0SPy/yZtMJ2NgWwkP&#10;YzECXhb8mr78BVBLAwQUAAAACACHTuJAK4qLtCMCAABEBAAADgAAAGRycy9lMm9Eb2MueG1srVPN&#10;ctMwEL4zwztodCd201KoJ05naCgXBpgpPIAiy7Zm9IekxA4PAG/AiQt3nivPwSc5TaFccsAHe727&#10;2m+/b1eL61ErshU+SGtqejYrKRGG20aarqafPt4+e0lJiMw0TFkjaroTgV4vnz5ZDK4Sc9tb1QhP&#10;UMSEanA17WN0VVEE3gvNwsw6YRBsrdcs4td3RePZgOpaFfOyvCwG6xvnLRchwLuagvRQ0Z9S0Lat&#10;5GJl+UYLE6eqXigWQSn00gW6zN22reDxfdsGEYmqKZjG/AYI7HV6F8sFqzrPXC/5oQV2SguPOGkm&#10;DUCPpVYsMrLx8p9SWnJvg23jjFtdTESyImBxVj7S5q5nTmQukDq4o+jh/5Xl77YfPJENNuGSEsM0&#10;Jr7//m3/49f+51cCHwQaXKiQd+eQGcdXdkTyvT/AmXiPrdfpC0YEcci7O8orxkg4nBdX6UGII3Z+&#10;cV7OX+QBFA/HnQ/xjbCaJKOmHvPLsrLt2xDRClLvUxKasbdSqTxDZciAvq7K5wmAYTFbLARM7UAu&#10;mC7XCVbJJp1Jp4Pv1jfKky1Ly5GfRAsYf6UlwBUL/ZSXQ9PaaBmFz+C9YM1r05C4c9DP4N7Q1I0W&#10;DSVK4JolK2dGJtUpmWhCGfSStJ80TlYc1yPKJHNtmx3mgYsMnXrrvwARawyqnzfMA58ZDndNocFk&#10;3sRp7zfOy67HqTzEjIDlyrwPFyFt75//uY+Hy7/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Irg&#10;MZLYAAAABQEAAA8AAAAAAAAAAQAgAAAAIgAAAGRycy9kb3ducmV2LnhtbFBLAQIUABQAAAAIAIdO&#10;4kAriou0IwIAAEQEAAAOAAAAAAAAAAEAIAAAACcBAABkcnMvZTJvRG9jLnhtbFBLBQYAAAAABgAG&#10;AFkBAAC8BQAAAAA=&#10;">
                <v:fill on="f" focussize="0,0"/>
                <v:stroke weight="1.5pt" color="#000000" joinstyle="miter"/>
                <v:imagedata o:title=""/>
                <o:lock v:ext="edit" aspectratio="f"/>
                <v:textbox>
                  <w:txbxContent>
                    <w:p w14:paraId="1D43D224">
                      <w:pPr>
                        <w:pStyle w:val="26"/>
                        <w:spacing w:line="360" w:lineRule="auto"/>
                        <w:ind w:firstLine="422"/>
                        <w:jc w:val="center"/>
                        <w:rPr>
                          <w:b/>
                          <w:szCs w:val="24"/>
                        </w:rPr>
                      </w:pPr>
                    </w:p>
                    <w:p w14:paraId="670D7B22">
                      <w:pPr>
                        <w:pStyle w:val="26"/>
                        <w:keepNext w:val="0"/>
                        <w:keepLines w:val="0"/>
                        <w:pageBreakBefore w:val="0"/>
                        <w:widowControl/>
                        <w:kinsoku/>
                        <w:wordWrap/>
                        <w:overflowPunct/>
                        <w:topLinePunct w:val="0"/>
                        <w:bidi w:val="0"/>
                        <w:adjustRightInd/>
                        <w:snapToGrid/>
                        <w:spacing w:line="360" w:lineRule="auto"/>
                        <w:ind w:firstLine="0" w:firstLineChars="0"/>
                        <w:jc w:val="center"/>
                        <w:textAlignment w:val="auto"/>
                        <w:rPr>
                          <w:rFonts w:hint="eastAsia"/>
                          <w:b/>
                          <w:szCs w:val="24"/>
                        </w:rPr>
                      </w:pPr>
                    </w:p>
                    <w:p w14:paraId="68006575">
                      <w:pPr>
                        <w:pStyle w:val="26"/>
                        <w:keepNext w:val="0"/>
                        <w:keepLines w:val="0"/>
                        <w:pageBreakBefore w:val="0"/>
                        <w:widowControl/>
                        <w:kinsoku/>
                        <w:wordWrap/>
                        <w:overflowPunct/>
                        <w:topLinePunct w:val="0"/>
                        <w:bidi w:val="0"/>
                        <w:adjustRightInd/>
                        <w:snapToGrid/>
                        <w:spacing w:line="360" w:lineRule="auto"/>
                        <w:ind w:firstLine="0" w:firstLineChars="0"/>
                        <w:jc w:val="center"/>
                        <w:textAlignment w:val="auto"/>
                        <w:rPr>
                          <w:b/>
                          <w:szCs w:val="24"/>
                        </w:rPr>
                      </w:pPr>
                      <w:r>
                        <w:rPr>
                          <w:rFonts w:hint="eastAsia"/>
                          <w:b/>
                          <w:szCs w:val="24"/>
                        </w:rPr>
                        <w:t>XXX公司</w:t>
                      </w:r>
                    </w:p>
                    <w:p w14:paraId="6A0A1B25">
                      <w:pPr>
                        <w:pStyle w:val="26"/>
                        <w:keepNext w:val="0"/>
                        <w:keepLines w:val="0"/>
                        <w:pageBreakBefore w:val="0"/>
                        <w:widowControl/>
                        <w:kinsoku/>
                        <w:wordWrap/>
                        <w:overflowPunct/>
                        <w:topLinePunct w:val="0"/>
                        <w:bidi w:val="0"/>
                        <w:adjustRightInd w:val="0"/>
                        <w:snapToGrid/>
                        <w:spacing w:line="360" w:lineRule="auto"/>
                        <w:ind w:firstLine="0" w:firstLineChars="0"/>
                        <w:jc w:val="center"/>
                        <w:textAlignment w:val="auto"/>
                        <w:rPr>
                          <w:b/>
                          <w:szCs w:val="24"/>
                        </w:rPr>
                      </w:pPr>
                      <w:r>
                        <w:rPr>
                          <w:rFonts w:hint="eastAsia"/>
                          <w:b/>
                          <w:szCs w:val="24"/>
                          <w:lang w:val="en-US" w:eastAsia="zh-CN"/>
                        </w:rPr>
                        <w:t>温室气体控制领域</w:t>
                      </w:r>
                      <w:r>
                        <w:rPr>
                          <w:rFonts w:hint="eastAsia"/>
                          <w:b/>
                          <w:szCs w:val="24"/>
                        </w:rPr>
                        <w:t>绿色</w:t>
                      </w:r>
                      <w:r>
                        <w:rPr>
                          <w:rFonts w:hint="eastAsia"/>
                          <w:b/>
                          <w:szCs w:val="24"/>
                          <w:lang w:val="en-US" w:eastAsia="zh-CN"/>
                        </w:rPr>
                        <w:t>低碳</w:t>
                      </w:r>
                      <w:r>
                        <w:rPr>
                          <w:rFonts w:hint="eastAsia"/>
                          <w:b/>
                          <w:szCs w:val="24"/>
                        </w:rPr>
                        <w:t>产业</w:t>
                      </w:r>
                      <w:r>
                        <w:rPr>
                          <w:rFonts w:hint="eastAsia"/>
                          <w:b/>
                          <w:szCs w:val="24"/>
                          <w:lang w:val="en-US" w:eastAsia="zh-CN"/>
                        </w:rPr>
                        <w:t>项目</w:t>
                      </w:r>
                      <w:r>
                        <w:rPr>
                          <w:rFonts w:hint="eastAsia"/>
                          <w:b/>
                          <w:szCs w:val="24"/>
                        </w:rPr>
                        <w:t>认定评价报告</w:t>
                      </w:r>
                    </w:p>
                    <w:p w14:paraId="5857A1BC">
                      <w:pPr>
                        <w:pStyle w:val="26"/>
                        <w:keepNext w:val="0"/>
                        <w:keepLines w:val="0"/>
                        <w:pageBreakBefore w:val="0"/>
                        <w:widowControl/>
                        <w:kinsoku/>
                        <w:wordWrap/>
                        <w:overflowPunct/>
                        <w:topLinePunct w:val="0"/>
                        <w:bidi w:val="0"/>
                        <w:adjustRightInd w:val="0"/>
                        <w:snapToGrid/>
                        <w:spacing w:line="360" w:lineRule="auto"/>
                        <w:ind w:firstLine="0" w:firstLineChars="0"/>
                        <w:jc w:val="center"/>
                        <w:textAlignment w:val="auto"/>
                        <w:rPr>
                          <w:b/>
                          <w:szCs w:val="24"/>
                        </w:rPr>
                      </w:pPr>
                    </w:p>
                    <w:p w14:paraId="7997194D">
                      <w:pPr>
                        <w:pStyle w:val="26"/>
                        <w:keepNext w:val="0"/>
                        <w:keepLines w:val="0"/>
                        <w:pageBreakBefore w:val="0"/>
                        <w:widowControl/>
                        <w:kinsoku/>
                        <w:wordWrap/>
                        <w:overflowPunct/>
                        <w:topLinePunct w:val="0"/>
                        <w:bidi w:val="0"/>
                        <w:adjustRightInd w:val="0"/>
                        <w:snapToGrid/>
                        <w:spacing w:line="360" w:lineRule="auto"/>
                        <w:ind w:firstLine="0" w:firstLineChars="0"/>
                        <w:jc w:val="left"/>
                        <w:textAlignment w:val="auto"/>
                        <w:rPr>
                          <w:b/>
                          <w:szCs w:val="24"/>
                        </w:rPr>
                      </w:pPr>
                    </w:p>
                    <w:p w14:paraId="4A508FF4">
                      <w:pPr>
                        <w:pStyle w:val="26"/>
                        <w:keepNext w:val="0"/>
                        <w:keepLines w:val="0"/>
                        <w:pageBreakBefore w:val="0"/>
                        <w:widowControl/>
                        <w:kinsoku/>
                        <w:wordWrap/>
                        <w:overflowPunct/>
                        <w:topLinePunct w:val="0"/>
                        <w:bidi w:val="0"/>
                        <w:adjustRightInd w:val="0"/>
                        <w:snapToGrid/>
                        <w:spacing w:line="360" w:lineRule="auto"/>
                        <w:ind w:firstLine="1687" w:firstLineChars="800"/>
                        <w:jc w:val="left"/>
                        <w:textAlignment w:val="auto"/>
                        <w:rPr>
                          <w:b/>
                          <w:szCs w:val="24"/>
                        </w:rPr>
                      </w:pPr>
                      <w:r>
                        <w:rPr>
                          <w:rFonts w:hint="eastAsia"/>
                          <w:b/>
                          <w:szCs w:val="24"/>
                        </w:rPr>
                        <w:t>申报单位：</w:t>
                      </w:r>
                      <w:r>
                        <w:rPr>
                          <w:rFonts w:hint="eastAsia"/>
                          <w:b/>
                          <w:szCs w:val="24"/>
                          <w:u w:val="single"/>
                        </w:rPr>
                        <w:t xml:space="preserve">               （盖章）  </w:t>
                      </w:r>
                      <w:r>
                        <w:rPr>
                          <w:rFonts w:hint="eastAsia"/>
                          <w:b/>
                          <w:szCs w:val="24"/>
                        </w:rPr>
                        <w:t xml:space="preserve">         </w:t>
                      </w:r>
                    </w:p>
                    <w:p w14:paraId="0B1A1673">
                      <w:pPr>
                        <w:pStyle w:val="26"/>
                        <w:keepNext w:val="0"/>
                        <w:keepLines w:val="0"/>
                        <w:pageBreakBefore w:val="0"/>
                        <w:widowControl/>
                        <w:kinsoku/>
                        <w:wordWrap/>
                        <w:overflowPunct/>
                        <w:topLinePunct w:val="0"/>
                        <w:bidi w:val="0"/>
                        <w:adjustRightInd w:val="0"/>
                        <w:snapToGrid/>
                        <w:spacing w:line="360" w:lineRule="auto"/>
                        <w:ind w:firstLine="1687" w:firstLineChars="800"/>
                        <w:jc w:val="left"/>
                        <w:textAlignment w:val="auto"/>
                        <w:rPr>
                          <w:b/>
                          <w:szCs w:val="24"/>
                          <w:u w:val="single"/>
                        </w:rPr>
                      </w:pPr>
                      <w:r>
                        <w:rPr>
                          <w:rFonts w:hint="eastAsia"/>
                          <w:b/>
                          <w:szCs w:val="24"/>
                        </w:rPr>
                        <w:t>编写人：</w:t>
                      </w:r>
                      <w:r>
                        <w:rPr>
                          <w:rFonts w:hint="eastAsia"/>
                          <w:b/>
                          <w:szCs w:val="24"/>
                          <w:u w:val="single"/>
                        </w:rPr>
                        <w:t xml:space="preserve">                           </w:t>
                      </w:r>
                    </w:p>
                    <w:p w14:paraId="1CDBDC41">
                      <w:pPr>
                        <w:pStyle w:val="26"/>
                        <w:keepNext w:val="0"/>
                        <w:keepLines w:val="0"/>
                        <w:pageBreakBefore w:val="0"/>
                        <w:widowControl/>
                        <w:kinsoku/>
                        <w:wordWrap/>
                        <w:overflowPunct/>
                        <w:topLinePunct w:val="0"/>
                        <w:bidi w:val="0"/>
                        <w:adjustRightInd w:val="0"/>
                        <w:snapToGrid/>
                        <w:spacing w:line="360" w:lineRule="auto"/>
                        <w:ind w:firstLine="1687" w:firstLineChars="800"/>
                        <w:jc w:val="left"/>
                        <w:textAlignment w:val="auto"/>
                        <w:rPr>
                          <w:b/>
                          <w:szCs w:val="24"/>
                          <w:u w:val="single"/>
                        </w:rPr>
                      </w:pPr>
                      <w:r>
                        <w:rPr>
                          <w:rFonts w:hint="eastAsia"/>
                          <w:b/>
                          <w:szCs w:val="24"/>
                        </w:rPr>
                        <w:t>责任人：</w:t>
                      </w:r>
                      <w:r>
                        <w:rPr>
                          <w:rFonts w:hint="eastAsia"/>
                          <w:b/>
                          <w:szCs w:val="24"/>
                          <w:u w:val="single"/>
                        </w:rPr>
                        <w:t xml:space="preserve">                           </w:t>
                      </w:r>
                    </w:p>
                    <w:p w14:paraId="7BE6363E">
                      <w:pPr>
                        <w:pStyle w:val="26"/>
                        <w:keepNext w:val="0"/>
                        <w:keepLines w:val="0"/>
                        <w:pageBreakBefore w:val="0"/>
                        <w:widowControl/>
                        <w:kinsoku/>
                        <w:wordWrap/>
                        <w:overflowPunct/>
                        <w:topLinePunct w:val="0"/>
                        <w:bidi w:val="0"/>
                        <w:adjustRightInd w:val="0"/>
                        <w:snapToGrid/>
                        <w:spacing w:line="360" w:lineRule="auto"/>
                        <w:ind w:firstLine="1687" w:firstLineChars="800"/>
                        <w:jc w:val="left"/>
                        <w:textAlignment w:val="auto"/>
                        <w:rPr>
                          <w:szCs w:val="24"/>
                        </w:rPr>
                      </w:pPr>
                      <w:r>
                        <w:rPr>
                          <w:rFonts w:hint="eastAsia"/>
                          <w:b/>
                          <w:szCs w:val="24"/>
                        </w:rPr>
                        <w:t>报告日期：</w:t>
                      </w:r>
                      <w:r>
                        <w:rPr>
                          <w:rFonts w:hint="eastAsia"/>
                          <w:b/>
                          <w:szCs w:val="24"/>
                          <w:u w:val="single"/>
                        </w:rPr>
                        <w:t xml:space="preserve">         </w:t>
                      </w:r>
                      <w:r>
                        <w:rPr>
                          <w:rFonts w:hint="eastAsia"/>
                          <w:szCs w:val="24"/>
                          <w:u w:val="single"/>
                        </w:rPr>
                        <w:t xml:space="preserve">                </w:t>
                      </w:r>
                      <w:r>
                        <w:rPr>
                          <w:rFonts w:hint="eastAsia"/>
                          <w:szCs w:val="24"/>
                        </w:rPr>
                        <w:t xml:space="preserve">           </w:t>
                      </w:r>
                    </w:p>
                  </w:txbxContent>
                </v:textbox>
                <w10:wrap type="none"/>
                <w10:anchorlock/>
              </v:shape>
            </w:pict>
          </mc:Fallback>
        </mc:AlternateContent>
      </w:r>
    </w:p>
    <w:p w14:paraId="45487573">
      <w:pPr>
        <w:numPr>
          <w:ilvl w:val="1"/>
          <w:numId w:val="0"/>
        </w:numPr>
        <w:spacing w:before="156" w:beforeLines="50" w:after="156" w:afterLines="50"/>
        <w:rPr>
          <w:rFonts w:hint="eastAsia"/>
          <w:sz w:val="21"/>
          <w:szCs w:val="21"/>
          <w:highlight w:val="none"/>
        </w:rPr>
      </w:pPr>
      <w:r>
        <w:rPr>
          <w:rFonts w:hint="eastAsia" w:ascii="黑体" w:hAnsi="黑体" w:eastAsia="黑体" w:cs="黑体"/>
          <w:sz w:val="21"/>
          <w:szCs w:val="21"/>
          <w:highlight w:val="none"/>
          <w:lang w:val="en-US" w:eastAsia="zh-CN"/>
        </w:rPr>
        <w:t>D</w:t>
      </w:r>
      <w:r>
        <w:rPr>
          <w:rFonts w:hint="eastAsia" w:ascii="黑体" w:hAnsi="黑体" w:eastAsia="黑体" w:cs="黑体"/>
          <w:sz w:val="21"/>
          <w:szCs w:val="21"/>
          <w:highlight w:val="none"/>
        </w:rPr>
        <w:t>.2</w:t>
      </w:r>
      <w:r>
        <w:rPr>
          <w:rFonts w:hint="eastAsia" w:ascii="黑体" w:hAnsi="黑体" w:eastAsia="黑体" w:cs="黑体"/>
          <w:sz w:val="21"/>
          <w:szCs w:val="21"/>
          <w:highlight w:val="none"/>
          <w:lang w:val="en-US" w:eastAsia="zh-CN"/>
        </w:rPr>
        <w:t xml:space="preserve">  </w:t>
      </w:r>
      <w:r>
        <w:rPr>
          <w:rFonts w:hint="eastAsia" w:ascii="黑体" w:hAnsi="黑体" w:eastAsia="黑体" w:cs="黑体"/>
          <w:sz w:val="21"/>
          <w:szCs w:val="21"/>
          <w:highlight w:val="none"/>
        </w:rPr>
        <w:t>基本信息</w:t>
      </w:r>
    </w:p>
    <w:p w14:paraId="75594DE9">
      <w:pPr>
        <w:pStyle w:val="26"/>
        <w:spacing w:beforeLines="0" w:afterLines="0"/>
        <w:rPr>
          <w:rFonts w:hint="eastAsia" w:ascii="Times New Roman" w:eastAsia="Times New Roman"/>
          <w:sz w:val="21"/>
          <w:szCs w:val="24"/>
          <w:highlight w:val="none"/>
        </w:rPr>
      </w:pPr>
      <w:r>
        <w:rPr>
          <w:rFonts w:hint="eastAsia" w:ascii="Times New Roman"/>
          <w:sz w:val="21"/>
          <w:szCs w:val="24"/>
          <w:highlight w:val="none"/>
          <w:lang w:val="en-US" w:eastAsia="zh-CN"/>
        </w:rPr>
        <w:t>项目</w:t>
      </w:r>
      <w:r>
        <w:rPr>
          <w:rFonts w:hint="eastAsia" w:ascii="Times New Roman"/>
          <w:sz w:val="21"/>
          <w:szCs w:val="24"/>
          <w:highlight w:val="none"/>
        </w:rPr>
        <w:t>基本信息的填报要求见</w:t>
      </w:r>
      <w:r>
        <w:rPr>
          <w:rFonts w:hint="eastAsia" w:hAnsi="宋体" w:cs="宋体"/>
          <w:sz w:val="21"/>
          <w:szCs w:val="24"/>
          <w:highlight w:val="none"/>
        </w:rPr>
        <w:t>表</w:t>
      </w:r>
      <w:r>
        <w:rPr>
          <w:rFonts w:hint="eastAsia" w:hAnsi="宋体" w:cs="宋体"/>
          <w:sz w:val="21"/>
          <w:szCs w:val="24"/>
          <w:highlight w:val="none"/>
          <w:lang w:val="en-US" w:eastAsia="zh-CN"/>
        </w:rPr>
        <w:t>D</w:t>
      </w:r>
      <w:r>
        <w:rPr>
          <w:rFonts w:hint="eastAsia" w:hAnsi="宋体" w:cs="宋体"/>
          <w:sz w:val="21"/>
          <w:szCs w:val="24"/>
          <w:highlight w:val="none"/>
        </w:rPr>
        <w:t>.2</w:t>
      </w:r>
      <w:r>
        <w:rPr>
          <w:rFonts w:hint="eastAsia" w:ascii="Times New Roman"/>
          <w:sz w:val="21"/>
          <w:szCs w:val="24"/>
          <w:highlight w:val="none"/>
        </w:rPr>
        <w:t>。</w:t>
      </w:r>
    </w:p>
    <w:p w14:paraId="4468355D">
      <w:pPr>
        <w:keepNext w:val="0"/>
        <w:keepLines w:val="0"/>
        <w:pageBreakBefore w:val="0"/>
        <w:widowControl w:val="0"/>
        <w:numPr>
          <w:ilvl w:val="1"/>
          <w:numId w:val="0"/>
        </w:numPr>
        <w:kinsoku/>
        <w:wordWrap/>
        <w:overflowPunct/>
        <w:topLinePunct w:val="0"/>
        <w:autoSpaceDE/>
        <w:autoSpaceDN/>
        <w:bidi w:val="0"/>
        <w:adjustRightInd/>
        <w:snapToGrid/>
        <w:spacing w:before="156" w:beforeLines="50" w:after="156" w:afterLines="50"/>
        <w:jc w:val="center"/>
        <w:textAlignment w:val="auto"/>
        <w:rPr>
          <w:rFonts w:hint="eastAsia" w:ascii="黑体" w:hAnsi="黑体" w:eastAsia="黑体" w:cs="黑体"/>
          <w:sz w:val="21"/>
          <w:szCs w:val="21"/>
          <w:highlight w:val="none"/>
        </w:rPr>
      </w:pPr>
      <w:r>
        <w:rPr>
          <w:rFonts w:hint="eastAsia" w:ascii="黑体" w:hAnsi="黑体" w:eastAsia="黑体" w:cs="黑体"/>
          <w:sz w:val="21"/>
          <w:szCs w:val="21"/>
          <w:highlight w:val="none"/>
        </w:rPr>
        <w:t>表</w:t>
      </w:r>
      <w:r>
        <w:rPr>
          <w:rFonts w:hint="eastAsia" w:ascii="黑体" w:hAnsi="黑体" w:eastAsia="黑体" w:cs="黑体"/>
          <w:sz w:val="21"/>
          <w:szCs w:val="21"/>
          <w:highlight w:val="none"/>
          <w:lang w:val="en-US" w:eastAsia="zh-CN"/>
        </w:rPr>
        <w:t>D</w:t>
      </w:r>
      <w:r>
        <w:rPr>
          <w:rFonts w:hint="eastAsia" w:ascii="黑体" w:hAnsi="黑体" w:eastAsia="黑体" w:cs="黑体"/>
          <w:sz w:val="21"/>
          <w:szCs w:val="21"/>
          <w:highlight w:val="none"/>
        </w:rPr>
        <w:t>.2</w:t>
      </w:r>
      <w:r>
        <w:rPr>
          <w:rFonts w:hint="eastAsia" w:ascii="黑体" w:hAnsi="黑体" w:eastAsia="黑体" w:cs="黑体"/>
          <w:sz w:val="21"/>
          <w:szCs w:val="21"/>
          <w:highlight w:val="none"/>
          <w:lang w:val="en-US" w:eastAsia="zh-CN"/>
        </w:rPr>
        <w:t xml:space="preserve">  </w:t>
      </w:r>
      <w:r>
        <w:rPr>
          <w:rFonts w:hint="eastAsia" w:ascii="黑体" w:hAnsi="黑体" w:eastAsia="黑体" w:cs="黑体"/>
          <w:sz w:val="21"/>
          <w:szCs w:val="21"/>
          <w:highlight w:val="none"/>
        </w:rPr>
        <w:t>基本信息</w:t>
      </w:r>
    </w:p>
    <w:tbl>
      <w:tblPr>
        <w:tblStyle w:val="36"/>
        <w:tblW w:w="4994" w:type="pct"/>
        <w:jc w:val="center"/>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autofit"/>
        <w:tblCellMar>
          <w:top w:w="0" w:type="dxa"/>
          <w:left w:w="108" w:type="dxa"/>
          <w:bottom w:w="0" w:type="dxa"/>
          <w:right w:w="108" w:type="dxa"/>
        </w:tblCellMar>
      </w:tblPr>
      <w:tblGrid>
        <w:gridCol w:w="1950"/>
        <w:gridCol w:w="3841"/>
        <w:gridCol w:w="1543"/>
        <w:gridCol w:w="2225"/>
      </w:tblGrid>
      <w:tr w14:paraId="7EC10799">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cantSplit/>
          <w:trHeight w:val="624" w:hRule="atLeast"/>
          <w:jc w:val="center"/>
        </w:trPr>
        <w:tc>
          <w:tcPr>
            <w:tcW w:w="1020" w:type="pct"/>
            <w:tcBorders>
              <w:tl2br w:val="nil"/>
              <w:tr2bl w:val="nil"/>
            </w:tcBorders>
            <w:vAlign w:val="center"/>
          </w:tcPr>
          <w:p w14:paraId="57D3AA0A">
            <w:pPr>
              <w:keepNext w:val="0"/>
              <w:keepLines w:val="0"/>
              <w:widowControl/>
              <w:suppressLineNumbers w:val="0"/>
              <w:spacing w:before="0" w:beforeAutospacing="0" w:after="0" w:afterAutospacing="0"/>
              <w:ind w:left="0" w:right="0"/>
              <w:jc w:val="center"/>
              <w:rPr>
                <w:rFonts w:hint="default"/>
                <w:color w:val="000000"/>
                <w:kern w:val="0"/>
                <w:sz w:val="18"/>
                <w:szCs w:val="18"/>
                <w:highlight w:val="none"/>
              </w:rPr>
            </w:pPr>
            <w:r>
              <w:rPr>
                <w:rFonts w:hint="eastAsia"/>
                <w:color w:val="000000"/>
                <w:kern w:val="0"/>
                <w:sz w:val="18"/>
                <w:szCs w:val="18"/>
                <w:highlight w:val="none"/>
              </w:rPr>
              <w:t>企事业单位名称</w:t>
            </w:r>
          </w:p>
        </w:tc>
        <w:tc>
          <w:tcPr>
            <w:tcW w:w="3979" w:type="pct"/>
            <w:gridSpan w:val="3"/>
            <w:tcBorders>
              <w:tl2br w:val="nil"/>
              <w:tr2bl w:val="nil"/>
            </w:tcBorders>
            <w:vAlign w:val="center"/>
          </w:tcPr>
          <w:p w14:paraId="40FD2367">
            <w:pPr>
              <w:keepNext w:val="0"/>
              <w:keepLines w:val="0"/>
              <w:widowControl/>
              <w:suppressLineNumbers w:val="0"/>
              <w:spacing w:before="0" w:beforeAutospacing="0" w:after="0" w:afterAutospacing="0"/>
              <w:ind w:left="0" w:right="0"/>
              <w:rPr>
                <w:rFonts w:hint="default"/>
                <w:color w:val="000000"/>
                <w:kern w:val="0"/>
                <w:sz w:val="18"/>
                <w:szCs w:val="18"/>
                <w:highlight w:val="none"/>
              </w:rPr>
            </w:pPr>
          </w:p>
        </w:tc>
      </w:tr>
      <w:tr w14:paraId="718E4FCD">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cantSplit/>
          <w:trHeight w:val="624" w:hRule="atLeast"/>
          <w:jc w:val="center"/>
        </w:trPr>
        <w:tc>
          <w:tcPr>
            <w:tcW w:w="1020" w:type="pct"/>
            <w:tcBorders>
              <w:tl2br w:val="nil"/>
              <w:tr2bl w:val="nil"/>
            </w:tcBorders>
            <w:vAlign w:val="center"/>
          </w:tcPr>
          <w:p w14:paraId="22C9A2C8">
            <w:pPr>
              <w:keepNext w:val="0"/>
              <w:keepLines w:val="0"/>
              <w:widowControl/>
              <w:suppressLineNumbers w:val="0"/>
              <w:spacing w:before="0" w:beforeAutospacing="0" w:after="0" w:afterAutospacing="0"/>
              <w:ind w:left="0" w:right="0"/>
              <w:jc w:val="center"/>
              <w:rPr>
                <w:rFonts w:hint="eastAsia"/>
                <w:color w:val="000000"/>
                <w:kern w:val="0"/>
                <w:sz w:val="18"/>
                <w:szCs w:val="18"/>
                <w:highlight w:val="none"/>
              </w:rPr>
            </w:pPr>
            <w:r>
              <w:rPr>
                <w:rFonts w:hint="eastAsia"/>
                <w:color w:val="000000"/>
                <w:kern w:val="0"/>
                <w:sz w:val="18"/>
                <w:szCs w:val="18"/>
                <w:highlight w:val="none"/>
              </w:rPr>
              <w:t>单位性质</w:t>
            </w:r>
          </w:p>
        </w:tc>
        <w:tc>
          <w:tcPr>
            <w:tcW w:w="3979" w:type="pct"/>
            <w:gridSpan w:val="3"/>
            <w:tcBorders>
              <w:tl2br w:val="nil"/>
              <w:tr2bl w:val="nil"/>
            </w:tcBorders>
            <w:vAlign w:val="center"/>
          </w:tcPr>
          <w:p w14:paraId="26CC0133">
            <w:pPr>
              <w:keepNext w:val="0"/>
              <w:keepLines w:val="0"/>
              <w:widowControl/>
              <w:suppressLineNumbers w:val="0"/>
              <w:spacing w:before="0" w:beforeAutospacing="0" w:after="0" w:afterAutospacing="0"/>
              <w:ind w:left="0" w:right="0"/>
              <w:rPr>
                <w:rFonts w:hint="default"/>
                <w:color w:val="000000"/>
                <w:kern w:val="0"/>
                <w:sz w:val="18"/>
                <w:szCs w:val="18"/>
                <w:highlight w:val="none"/>
              </w:rPr>
            </w:pPr>
            <w:r>
              <w:rPr>
                <w:rFonts w:hint="eastAsia"/>
                <w:color w:val="000000"/>
                <w:kern w:val="0"/>
                <w:sz w:val="18"/>
                <w:szCs w:val="18"/>
                <w:highlight w:val="none"/>
              </w:rPr>
              <w:t>内资（□国有□集体□民营）□中外合资□港澳台□外商独资</w:t>
            </w:r>
          </w:p>
        </w:tc>
      </w:tr>
      <w:tr w14:paraId="2D921FF3">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cantSplit/>
          <w:trHeight w:val="624" w:hRule="atLeast"/>
          <w:jc w:val="center"/>
        </w:trPr>
        <w:tc>
          <w:tcPr>
            <w:tcW w:w="1020" w:type="pct"/>
            <w:tcBorders>
              <w:tl2br w:val="nil"/>
              <w:tr2bl w:val="nil"/>
            </w:tcBorders>
            <w:vAlign w:val="center"/>
          </w:tcPr>
          <w:p w14:paraId="55A081A9">
            <w:pPr>
              <w:keepNext w:val="0"/>
              <w:keepLines w:val="0"/>
              <w:widowControl/>
              <w:suppressLineNumbers w:val="0"/>
              <w:spacing w:before="0" w:beforeAutospacing="0" w:after="0" w:afterAutospacing="0"/>
              <w:ind w:left="0" w:right="0"/>
              <w:jc w:val="center"/>
              <w:rPr>
                <w:rFonts w:hint="default"/>
                <w:color w:val="000000"/>
                <w:kern w:val="0"/>
                <w:sz w:val="18"/>
                <w:szCs w:val="18"/>
                <w:highlight w:val="none"/>
              </w:rPr>
            </w:pPr>
            <w:r>
              <w:rPr>
                <w:rFonts w:hint="eastAsia"/>
                <w:color w:val="000000"/>
                <w:kern w:val="0"/>
                <w:sz w:val="18"/>
                <w:szCs w:val="18"/>
                <w:highlight w:val="none"/>
              </w:rPr>
              <w:t>通讯地址</w:t>
            </w:r>
          </w:p>
        </w:tc>
        <w:tc>
          <w:tcPr>
            <w:tcW w:w="3979" w:type="pct"/>
            <w:gridSpan w:val="3"/>
            <w:tcBorders>
              <w:tl2br w:val="nil"/>
              <w:tr2bl w:val="nil"/>
            </w:tcBorders>
            <w:vAlign w:val="center"/>
          </w:tcPr>
          <w:p w14:paraId="2CB040E7">
            <w:pPr>
              <w:keepNext w:val="0"/>
              <w:keepLines w:val="0"/>
              <w:widowControl/>
              <w:suppressLineNumbers w:val="0"/>
              <w:spacing w:before="0" w:beforeAutospacing="0" w:after="0" w:afterAutospacing="0"/>
              <w:ind w:left="0" w:right="0"/>
              <w:rPr>
                <w:rFonts w:hint="default"/>
                <w:color w:val="000000"/>
                <w:kern w:val="0"/>
                <w:sz w:val="18"/>
                <w:szCs w:val="18"/>
                <w:highlight w:val="none"/>
              </w:rPr>
            </w:pPr>
          </w:p>
        </w:tc>
      </w:tr>
      <w:tr w14:paraId="27C09242">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cantSplit/>
          <w:trHeight w:val="624" w:hRule="atLeast"/>
          <w:jc w:val="center"/>
        </w:trPr>
        <w:tc>
          <w:tcPr>
            <w:tcW w:w="1020" w:type="pct"/>
            <w:tcBorders>
              <w:tl2br w:val="nil"/>
              <w:tr2bl w:val="nil"/>
            </w:tcBorders>
            <w:vAlign w:val="center"/>
          </w:tcPr>
          <w:p w14:paraId="5828BDF2">
            <w:pPr>
              <w:keepNext w:val="0"/>
              <w:keepLines w:val="0"/>
              <w:widowControl/>
              <w:suppressLineNumbers w:val="0"/>
              <w:spacing w:before="0" w:beforeAutospacing="0" w:after="0" w:afterAutospacing="0"/>
              <w:ind w:left="0" w:right="0"/>
              <w:jc w:val="center"/>
              <w:rPr>
                <w:rFonts w:hint="default"/>
                <w:color w:val="000000"/>
                <w:kern w:val="0"/>
                <w:sz w:val="18"/>
                <w:szCs w:val="18"/>
                <w:highlight w:val="none"/>
              </w:rPr>
            </w:pPr>
            <w:r>
              <w:rPr>
                <w:rFonts w:hint="eastAsia"/>
                <w:color w:val="000000"/>
                <w:kern w:val="0"/>
                <w:sz w:val="18"/>
                <w:szCs w:val="18"/>
                <w:highlight w:val="none"/>
              </w:rPr>
              <w:t>统一社会</w:t>
            </w:r>
          </w:p>
          <w:p w14:paraId="2278DDD2">
            <w:pPr>
              <w:keepNext w:val="0"/>
              <w:keepLines w:val="0"/>
              <w:widowControl/>
              <w:suppressLineNumbers w:val="0"/>
              <w:spacing w:before="0" w:beforeAutospacing="0" w:after="0" w:afterAutospacing="0"/>
              <w:ind w:left="0" w:right="0"/>
              <w:jc w:val="center"/>
              <w:rPr>
                <w:rFonts w:hint="eastAsia" w:ascii="Times New Roman" w:hAnsi="Times New Roman" w:eastAsia="宋体" w:cs="Times New Roman"/>
                <w:color w:val="000000"/>
                <w:kern w:val="0"/>
                <w:sz w:val="18"/>
                <w:szCs w:val="18"/>
                <w:highlight w:val="none"/>
                <w:lang w:val="en-US" w:eastAsia="zh-CN" w:bidi="ar-SA"/>
              </w:rPr>
            </w:pPr>
            <w:r>
              <w:rPr>
                <w:rFonts w:hint="eastAsia"/>
                <w:color w:val="000000"/>
                <w:kern w:val="0"/>
                <w:sz w:val="18"/>
                <w:szCs w:val="18"/>
                <w:highlight w:val="none"/>
              </w:rPr>
              <w:t>信用代码</w:t>
            </w:r>
          </w:p>
        </w:tc>
        <w:tc>
          <w:tcPr>
            <w:tcW w:w="2009" w:type="pct"/>
            <w:tcBorders>
              <w:tl2br w:val="nil"/>
              <w:tr2bl w:val="nil"/>
            </w:tcBorders>
            <w:vAlign w:val="center"/>
          </w:tcPr>
          <w:p w14:paraId="5D32A0E9">
            <w:pPr>
              <w:keepNext w:val="0"/>
              <w:keepLines w:val="0"/>
              <w:widowControl/>
              <w:suppressLineNumbers w:val="0"/>
              <w:spacing w:before="0" w:beforeAutospacing="0" w:after="0" w:afterAutospacing="0"/>
              <w:ind w:left="0" w:right="0"/>
              <w:jc w:val="center"/>
              <w:rPr>
                <w:rFonts w:hint="default" w:ascii="Times New Roman" w:hAnsi="Times New Roman" w:eastAsia="宋体" w:cs="Times New Roman"/>
                <w:color w:val="000000"/>
                <w:kern w:val="0"/>
                <w:sz w:val="18"/>
                <w:szCs w:val="18"/>
                <w:highlight w:val="none"/>
                <w:lang w:val="en-US" w:eastAsia="zh-CN" w:bidi="ar-SA"/>
              </w:rPr>
            </w:pPr>
          </w:p>
        </w:tc>
        <w:tc>
          <w:tcPr>
            <w:tcW w:w="807" w:type="pct"/>
            <w:tcBorders>
              <w:tl2br w:val="nil"/>
              <w:tr2bl w:val="nil"/>
            </w:tcBorders>
            <w:vAlign w:val="center"/>
          </w:tcPr>
          <w:p w14:paraId="4F1CC408">
            <w:pPr>
              <w:keepNext w:val="0"/>
              <w:keepLines w:val="0"/>
              <w:widowControl/>
              <w:suppressLineNumbers w:val="0"/>
              <w:spacing w:before="0" w:beforeAutospacing="0" w:after="0" w:afterAutospacing="0"/>
              <w:ind w:left="0" w:right="0"/>
              <w:jc w:val="center"/>
              <w:rPr>
                <w:rFonts w:hint="default" w:ascii="Times New Roman" w:hAnsi="Times New Roman" w:eastAsia="宋体" w:cs="Times New Roman"/>
                <w:color w:val="000000"/>
                <w:kern w:val="0"/>
                <w:sz w:val="18"/>
                <w:szCs w:val="18"/>
                <w:highlight w:val="none"/>
                <w:lang w:val="en-US" w:eastAsia="zh-CN" w:bidi="ar-SA"/>
              </w:rPr>
            </w:pPr>
            <w:r>
              <w:rPr>
                <w:rFonts w:hint="eastAsia"/>
                <w:color w:val="000000"/>
                <w:kern w:val="0"/>
                <w:sz w:val="18"/>
                <w:szCs w:val="18"/>
                <w:highlight w:val="none"/>
              </w:rPr>
              <w:t>法定代表人</w:t>
            </w:r>
          </w:p>
        </w:tc>
        <w:tc>
          <w:tcPr>
            <w:tcW w:w="1162" w:type="pct"/>
            <w:tcBorders>
              <w:tl2br w:val="nil"/>
              <w:tr2bl w:val="nil"/>
            </w:tcBorders>
            <w:vAlign w:val="center"/>
          </w:tcPr>
          <w:p w14:paraId="6761838C">
            <w:pPr>
              <w:keepNext w:val="0"/>
              <w:keepLines w:val="0"/>
              <w:widowControl/>
              <w:suppressLineNumbers w:val="0"/>
              <w:spacing w:before="0" w:beforeAutospacing="0" w:after="0" w:afterAutospacing="0"/>
              <w:ind w:left="0" w:right="0"/>
              <w:jc w:val="center"/>
              <w:rPr>
                <w:rFonts w:hint="default" w:ascii="Times New Roman" w:hAnsi="Times New Roman" w:eastAsia="宋体" w:cs="Times New Roman"/>
                <w:color w:val="000000"/>
                <w:kern w:val="0"/>
                <w:sz w:val="18"/>
                <w:szCs w:val="18"/>
                <w:highlight w:val="none"/>
                <w:lang w:val="en-US" w:eastAsia="zh-CN" w:bidi="ar-SA"/>
              </w:rPr>
            </w:pPr>
          </w:p>
        </w:tc>
      </w:tr>
      <w:tr w14:paraId="08101465">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cantSplit/>
          <w:trHeight w:val="624" w:hRule="atLeast"/>
          <w:jc w:val="center"/>
        </w:trPr>
        <w:tc>
          <w:tcPr>
            <w:tcW w:w="1020" w:type="pct"/>
            <w:tcBorders>
              <w:bottom w:val="single" w:color="000000" w:sz="12" w:space="0"/>
              <w:tl2br w:val="nil"/>
              <w:tr2bl w:val="nil"/>
            </w:tcBorders>
            <w:vAlign w:val="center"/>
          </w:tcPr>
          <w:p w14:paraId="6F981F91">
            <w:pPr>
              <w:keepNext w:val="0"/>
              <w:keepLines w:val="0"/>
              <w:widowControl/>
              <w:suppressLineNumbers w:val="0"/>
              <w:spacing w:before="0" w:beforeAutospacing="0" w:after="0" w:afterAutospacing="0"/>
              <w:ind w:left="0" w:right="0"/>
              <w:jc w:val="center"/>
              <w:rPr>
                <w:rFonts w:hint="eastAsia" w:ascii="Times New Roman" w:hAnsi="Times New Roman" w:eastAsia="宋体" w:cs="Times New Roman"/>
                <w:color w:val="000000"/>
                <w:kern w:val="0"/>
                <w:sz w:val="18"/>
                <w:szCs w:val="18"/>
                <w:highlight w:val="none"/>
                <w:lang w:val="en-US" w:eastAsia="zh-CN" w:bidi="ar-SA"/>
              </w:rPr>
            </w:pPr>
            <w:r>
              <w:rPr>
                <w:rFonts w:hint="eastAsia"/>
                <w:color w:val="000000"/>
                <w:kern w:val="0"/>
                <w:sz w:val="18"/>
                <w:szCs w:val="18"/>
                <w:highlight w:val="none"/>
              </w:rPr>
              <w:t>成立日期</w:t>
            </w:r>
          </w:p>
        </w:tc>
        <w:tc>
          <w:tcPr>
            <w:tcW w:w="2009" w:type="pct"/>
            <w:tcBorders>
              <w:bottom w:val="single" w:color="000000" w:sz="12" w:space="0"/>
              <w:tl2br w:val="nil"/>
              <w:tr2bl w:val="nil"/>
            </w:tcBorders>
            <w:vAlign w:val="center"/>
          </w:tcPr>
          <w:p w14:paraId="06FC9707">
            <w:pPr>
              <w:keepNext w:val="0"/>
              <w:keepLines w:val="0"/>
              <w:suppressLineNumbers w:val="0"/>
              <w:spacing w:before="0" w:beforeAutospacing="0" w:after="0" w:afterAutospacing="0"/>
              <w:ind w:left="0" w:right="0"/>
              <w:jc w:val="left"/>
              <w:rPr>
                <w:rFonts w:hint="default" w:ascii="Times New Roman" w:hAnsi="Times New Roman" w:eastAsia="宋体" w:cs="Times New Roman"/>
                <w:kern w:val="2"/>
                <w:sz w:val="18"/>
                <w:szCs w:val="18"/>
                <w:highlight w:val="none"/>
                <w:lang w:val="en-US" w:eastAsia="zh-CN" w:bidi="ar-SA"/>
              </w:rPr>
            </w:pPr>
          </w:p>
        </w:tc>
        <w:tc>
          <w:tcPr>
            <w:tcW w:w="807" w:type="pct"/>
            <w:tcBorders>
              <w:bottom w:val="single" w:color="000000" w:sz="12" w:space="0"/>
              <w:tl2br w:val="nil"/>
              <w:tr2bl w:val="nil"/>
            </w:tcBorders>
            <w:vAlign w:val="center"/>
          </w:tcPr>
          <w:p w14:paraId="0A36A93B">
            <w:pPr>
              <w:keepNext w:val="0"/>
              <w:keepLines w:val="0"/>
              <w:widowControl/>
              <w:suppressLineNumbers w:val="0"/>
              <w:spacing w:before="0" w:beforeAutospacing="0" w:after="0" w:afterAutospacing="0"/>
              <w:ind w:left="0" w:right="0"/>
              <w:jc w:val="center"/>
              <w:rPr>
                <w:rFonts w:hint="default" w:ascii="Times New Roman" w:hAnsi="Times New Roman" w:eastAsia="宋体" w:cs="Times New Roman"/>
                <w:color w:val="000000"/>
                <w:kern w:val="0"/>
                <w:sz w:val="18"/>
                <w:szCs w:val="18"/>
                <w:highlight w:val="none"/>
                <w:lang w:val="en-US" w:eastAsia="zh-CN" w:bidi="ar-SA"/>
              </w:rPr>
            </w:pPr>
            <w:r>
              <w:rPr>
                <w:rFonts w:hint="eastAsia"/>
                <w:color w:val="000000"/>
                <w:kern w:val="0"/>
                <w:sz w:val="18"/>
                <w:szCs w:val="18"/>
                <w:highlight w:val="none"/>
              </w:rPr>
              <w:t>注册资本</w:t>
            </w:r>
          </w:p>
        </w:tc>
        <w:tc>
          <w:tcPr>
            <w:tcW w:w="1162" w:type="pct"/>
            <w:tcBorders>
              <w:bottom w:val="single" w:color="000000" w:sz="12" w:space="0"/>
              <w:tl2br w:val="nil"/>
              <w:tr2bl w:val="nil"/>
            </w:tcBorders>
            <w:vAlign w:val="center"/>
          </w:tcPr>
          <w:p w14:paraId="2270E667">
            <w:pPr>
              <w:keepNext w:val="0"/>
              <w:keepLines w:val="0"/>
              <w:widowControl/>
              <w:suppressLineNumbers w:val="0"/>
              <w:spacing w:before="0" w:beforeAutospacing="0" w:after="0" w:afterAutospacing="0"/>
              <w:ind w:left="0" w:right="0"/>
              <w:rPr>
                <w:rFonts w:hint="default" w:ascii="Times New Roman" w:hAnsi="Times New Roman" w:eastAsia="宋体" w:cs="Times New Roman"/>
                <w:color w:val="000000"/>
                <w:kern w:val="0"/>
                <w:sz w:val="18"/>
                <w:szCs w:val="18"/>
                <w:highlight w:val="none"/>
                <w:lang w:val="en-US" w:eastAsia="zh-CN" w:bidi="ar-SA"/>
              </w:rPr>
            </w:pPr>
          </w:p>
        </w:tc>
      </w:tr>
      <w:tr w14:paraId="66D6E294">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cantSplit/>
          <w:trHeight w:val="624" w:hRule="atLeast"/>
          <w:jc w:val="center"/>
        </w:trPr>
        <w:tc>
          <w:tcPr>
            <w:tcW w:w="5000" w:type="pct"/>
            <w:gridSpan w:val="4"/>
            <w:tcBorders>
              <w:top w:val="single" w:color="000000" w:sz="12" w:space="0"/>
              <w:bottom w:val="single" w:color="000000" w:sz="12" w:space="0"/>
            </w:tcBorders>
            <w:vAlign w:val="center"/>
          </w:tcPr>
          <w:p w14:paraId="373630DA">
            <w:pPr>
              <w:keepNext w:val="0"/>
              <w:keepLines w:val="0"/>
              <w:widowControl/>
              <w:suppressLineNumbers w:val="0"/>
              <w:spacing w:before="0" w:beforeAutospacing="0" w:after="0" w:afterAutospacing="0"/>
              <w:ind w:left="0" w:right="0"/>
              <w:jc w:val="center"/>
              <w:rPr>
                <w:rFonts w:hint="default" w:ascii="Times New Roman" w:hAnsi="Times New Roman" w:eastAsia="宋体" w:cs="Times New Roman"/>
                <w:color w:val="000000"/>
                <w:kern w:val="0"/>
                <w:sz w:val="18"/>
                <w:szCs w:val="18"/>
                <w:highlight w:val="none"/>
                <w:lang w:val="en-US" w:eastAsia="zh-CN" w:bidi="ar-SA"/>
              </w:rPr>
            </w:pPr>
            <w:r>
              <w:rPr>
                <w:rFonts w:hint="eastAsia" w:ascii="黑体" w:hAnsi="黑体" w:eastAsia="黑体" w:cs="黑体"/>
                <w:color w:val="000000"/>
                <w:kern w:val="0"/>
                <w:sz w:val="18"/>
                <w:szCs w:val="18"/>
                <w:highlight w:val="none"/>
                <w:lang w:val="en-US" w:eastAsia="zh-CN"/>
              </w:rPr>
              <w:t>表D.2</w:t>
            </w:r>
            <w:r>
              <w:rPr>
                <w:rFonts w:hint="eastAsia" w:asciiTheme="minorEastAsia" w:hAnsiTheme="minorEastAsia" w:eastAsiaTheme="minorEastAsia" w:cstheme="minorEastAsia"/>
                <w:color w:val="000000"/>
                <w:kern w:val="0"/>
                <w:sz w:val="18"/>
                <w:szCs w:val="18"/>
                <w:highlight w:val="none"/>
                <w:lang w:val="en-US" w:eastAsia="zh-CN"/>
              </w:rPr>
              <w:t>（第2页/共2页）</w:t>
            </w:r>
          </w:p>
        </w:tc>
      </w:tr>
      <w:tr w14:paraId="3D78D478">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1020" w:type="pct"/>
            <w:tcBorders>
              <w:top w:val="single" w:color="000000" w:sz="12" w:space="0"/>
              <w:tl2br w:val="nil"/>
              <w:tr2bl w:val="nil"/>
            </w:tcBorders>
            <w:vAlign w:val="center"/>
          </w:tcPr>
          <w:p w14:paraId="06F6EF22">
            <w:pPr>
              <w:keepNext w:val="0"/>
              <w:keepLines w:val="0"/>
              <w:widowControl/>
              <w:suppressLineNumbers w:val="0"/>
              <w:spacing w:before="0" w:beforeAutospacing="0" w:after="0" w:afterAutospacing="0"/>
              <w:ind w:left="0" w:right="0"/>
              <w:jc w:val="center"/>
              <w:rPr>
                <w:rFonts w:hint="eastAsia" w:ascii="Times New Roman" w:hAnsi="Times New Roman" w:eastAsia="宋体" w:cs="Times New Roman"/>
                <w:color w:val="000000"/>
                <w:kern w:val="0"/>
                <w:sz w:val="18"/>
                <w:szCs w:val="18"/>
                <w:highlight w:val="none"/>
                <w:lang w:val="en-US" w:eastAsia="zh-CN" w:bidi="ar-SA"/>
              </w:rPr>
            </w:pPr>
            <w:r>
              <w:rPr>
                <w:rFonts w:hint="eastAsia"/>
                <w:color w:val="000000"/>
                <w:kern w:val="0"/>
                <w:sz w:val="18"/>
                <w:szCs w:val="18"/>
                <w:highlight w:val="none"/>
              </w:rPr>
              <w:t>联系人</w:t>
            </w:r>
          </w:p>
        </w:tc>
        <w:tc>
          <w:tcPr>
            <w:tcW w:w="2009" w:type="pct"/>
            <w:tcBorders>
              <w:top w:val="single" w:color="000000" w:sz="12" w:space="0"/>
              <w:tl2br w:val="nil"/>
              <w:tr2bl w:val="nil"/>
            </w:tcBorders>
            <w:vAlign w:val="center"/>
          </w:tcPr>
          <w:p w14:paraId="1061E32E">
            <w:pPr>
              <w:keepNext w:val="0"/>
              <w:keepLines w:val="0"/>
              <w:widowControl/>
              <w:suppressLineNumbers w:val="0"/>
              <w:spacing w:before="0" w:beforeAutospacing="0" w:after="0" w:afterAutospacing="0"/>
              <w:ind w:left="0" w:right="0"/>
              <w:jc w:val="left"/>
              <w:rPr>
                <w:rFonts w:hint="default" w:ascii="Times New Roman" w:hAnsi="Times New Roman" w:eastAsia="宋体" w:cs="Times New Roman"/>
                <w:color w:val="000000"/>
                <w:kern w:val="0"/>
                <w:sz w:val="18"/>
                <w:szCs w:val="18"/>
                <w:highlight w:val="none"/>
                <w:lang w:val="en-US" w:eastAsia="zh-CN" w:bidi="ar-SA"/>
              </w:rPr>
            </w:pPr>
          </w:p>
        </w:tc>
        <w:tc>
          <w:tcPr>
            <w:tcW w:w="807" w:type="pct"/>
            <w:tcBorders>
              <w:top w:val="single" w:color="000000" w:sz="12" w:space="0"/>
              <w:tl2br w:val="nil"/>
              <w:tr2bl w:val="nil"/>
            </w:tcBorders>
            <w:vAlign w:val="center"/>
          </w:tcPr>
          <w:p w14:paraId="2C840DB7">
            <w:pPr>
              <w:keepNext w:val="0"/>
              <w:keepLines w:val="0"/>
              <w:widowControl/>
              <w:suppressLineNumbers w:val="0"/>
              <w:spacing w:before="0" w:beforeAutospacing="0" w:after="0" w:afterAutospacing="0"/>
              <w:ind w:left="0" w:right="0"/>
              <w:jc w:val="center"/>
              <w:rPr>
                <w:rFonts w:hint="eastAsia" w:ascii="Times New Roman" w:hAnsi="Times New Roman" w:eastAsia="宋体" w:cs="Times New Roman"/>
                <w:color w:val="000000"/>
                <w:kern w:val="0"/>
                <w:sz w:val="18"/>
                <w:szCs w:val="18"/>
                <w:highlight w:val="none"/>
                <w:lang w:val="en-US" w:eastAsia="zh-CN" w:bidi="ar-SA"/>
              </w:rPr>
            </w:pPr>
            <w:r>
              <w:rPr>
                <w:rFonts w:hint="eastAsia"/>
                <w:color w:val="000000"/>
                <w:kern w:val="0"/>
                <w:sz w:val="18"/>
                <w:szCs w:val="18"/>
                <w:highlight w:val="none"/>
              </w:rPr>
              <w:t>联系电话</w:t>
            </w:r>
          </w:p>
        </w:tc>
        <w:tc>
          <w:tcPr>
            <w:tcW w:w="1162" w:type="pct"/>
            <w:tcBorders>
              <w:top w:val="single" w:color="000000" w:sz="12" w:space="0"/>
              <w:tl2br w:val="nil"/>
              <w:tr2bl w:val="nil"/>
            </w:tcBorders>
            <w:vAlign w:val="center"/>
          </w:tcPr>
          <w:p w14:paraId="1C626224">
            <w:pPr>
              <w:keepNext w:val="0"/>
              <w:keepLines w:val="0"/>
              <w:widowControl/>
              <w:suppressLineNumbers w:val="0"/>
              <w:spacing w:before="0" w:beforeAutospacing="0" w:after="0" w:afterAutospacing="0"/>
              <w:ind w:left="0" w:right="0"/>
              <w:rPr>
                <w:rFonts w:hint="default" w:ascii="Times New Roman" w:hAnsi="Times New Roman" w:eastAsia="宋体" w:cs="Times New Roman"/>
                <w:color w:val="000000"/>
                <w:kern w:val="0"/>
                <w:sz w:val="18"/>
                <w:szCs w:val="18"/>
                <w:highlight w:val="none"/>
                <w:lang w:val="en-US" w:eastAsia="zh-CN" w:bidi="ar-SA"/>
              </w:rPr>
            </w:pPr>
          </w:p>
        </w:tc>
      </w:tr>
      <w:tr w14:paraId="205C8961">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1020" w:type="pct"/>
            <w:tcBorders>
              <w:tl2br w:val="nil"/>
              <w:tr2bl w:val="nil"/>
            </w:tcBorders>
            <w:vAlign w:val="center"/>
          </w:tcPr>
          <w:p w14:paraId="0AF2803C">
            <w:pPr>
              <w:keepNext w:val="0"/>
              <w:keepLines w:val="0"/>
              <w:widowControl/>
              <w:suppressLineNumbers w:val="0"/>
              <w:spacing w:before="0" w:beforeAutospacing="0" w:after="0" w:afterAutospacing="0"/>
              <w:ind w:left="0" w:right="0"/>
              <w:jc w:val="center"/>
              <w:rPr>
                <w:rFonts w:hint="default" w:eastAsia="宋体"/>
                <w:color w:val="000000"/>
                <w:kern w:val="0"/>
                <w:sz w:val="18"/>
                <w:szCs w:val="18"/>
                <w:highlight w:val="none"/>
                <w:lang w:val="en-US" w:eastAsia="zh-CN"/>
              </w:rPr>
            </w:pPr>
            <w:r>
              <w:rPr>
                <w:rFonts w:hint="eastAsia"/>
                <w:color w:val="000000"/>
                <w:kern w:val="0"/>
                <w:sz w:val="18"/>
                <w:szCs w:val="18"/>
                <w:highlight w:val="none"/>
                <w:lang w:val="en-US" w:eastAsia="zh-CN"/>
              </w:rPr>
              <w:t>项目名称</w:t>
            </w:r>
          </w:p>
        </w:tc>
        <w:tc>
          <w:tcPr>
            <w:tcW w:w="3979" w:type="pct"/>
            <w:gridSpan w:val="3"/>
            <w:tcBorders>
              <w:tl2br w:val="nil"/>
              <w:tr2bl w:val="nil"/>
            </w:tcBorders>
            <w:vAlign w:val="center"/>
          </w:tcPr>
          <w:p w14:paraId="2061635D">
            <w:pPr>
              <w:keepNext w:val="0"/>
              <w:keepLines w:val="0"/>
              <w:widowControl/>
              <w:suppressLineNumbers w:val="0"/>
              <w:spacing w:before="0" w:beforeAutospacing="0" w:after="0" w:afterAutospacing="0"/>
              <w:ind w:left="0" w:right="0"/>
              <w:rPr>
                <w:rFonts w:hint="default" w:ascii="Times New Roman" w:hAnsi="Times New Roman" w:eastAsia="宋体" w:cs="Times New Roman"/>
                <w:color w:val="000000"/>
                <w:kern w:val="0"/>
                <w:sz w:val="18"/>
                <w:szCs w:val="18"/>
                <w:highlight w:val="none"/>
                <w:lang w:val="en-US" w:eastAsia="zh-CN" w:bidi="ar-SA"/>
              </w:rPr>
            </w:pPr>
          </w:p>
        </w:tc>
      </w:tr>
      <w:tr w14:paraId="44ABB63B">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1020" w:type="pct"/>
            <w:tcBorders>
              <w:tl2br w:val="nil"/>
              <w:tr2bl w:val="nil"/>
            </w:tcBorders>
            <w:vAlign w:val="center"/>
          </w:tcPr>
          <w:p w14:paraId="5D8109F7">
            <w:pPr>
              <w:keepNext w:val="0"/>
              <w:keepLines w:val="0"/>
              <w:widowControl/>
              <w:suppressLineNumbers w:val="0"/>
              <w:spacing w:before="0" w:beforeAutospacing="0" w:after="0" w:afterAutospacing="0"/>
              <w:ind w:left="0" w:right="0"/>
              <w:jc w:val="center"/>
              <w:rPr>
                <w:rFonts w:hint="default" w:eastAsia="宋体"/>
                <w:color w:val="000000"/>
                <w:kern w:val="0"/>
                <w:sz w:val="18"/>
                <w:szCs w:val="18"/>
                <w:highlight w:val="none"/>
                <w:lang w:val="en-US" w:eastAsia="zh-CN"/>
              </w:rPr>
            </w:pPr>
            <w:r>
              <w:rPr>
                <w:rFonts w:hint="eastAsia"/>
                <w:color w:val="000000"/>
                <w:kern w:val="0"/>
                <w:sz w:val="18"/>
                <w:szCs w:val="18"/>
                <w:highlight w:val="none"/>
              </w:rPr>
              <w:t>所属行业</w:t>
            </w:r>
            <w:r>
              <w:rPr>
                <w:rFonts w:hint="eastAsia" w:ascii="Times New Roman" w:eastAsia="宋体"/>
                <w:color w:val="000000"/>
                <w:kern w:val="0"/>
                <w:sz w:val="18"/>
                <w:szCs w:val="18"/>
                <w:highlight w:val="none"/>
                <w:lang w:val="en-US" w:eastAsia="zh-CN"/>
              </w:rPr>
              <w:t>及代码</w:t>
            </w:r>
            <w:r>
              <w:rPr>
                <w:rFonts w:hint="eastAsia" w:ascii="宋体" w:hAnsi="宋体" w:eastAsia="宋体" w:cs="宋体"/>
                <w:color w:val="000000"/>
                <w:kern w:val="0"/>
                <w:sz w:val="18"/>
                <w:szCs w:val="18"/>
                <w:highlight w:val="none"/>
                <w:vertAlign w:val="superscript"/>
                <w:lang w:val="en-US" w:eastAsia="zh-CN"/>
              </w:rPr>
              <w:t>a</w:t>
            </w:r>
          </w:p>
        </w:tc>
        <w:tc>
          <w:tcPr>
            <w:tcW w:w="3979" w:type="pct"/>
            <w:gridSpan w:val="3"/>
            <w:tcBorders>
              <w:tl2br w:val="nil"/>
              <w:tr2bl w:val="nil"/>
            </w:tcBorders>
            <w:vAlign w:val="center"/>
          </w:tcPr>
          <w:p w14:paraId="771E84BE">
            <w:pPr>
              <w:keepNext w:val="0"/>
              <w:keepLines w:val="0"/>
              <w:widowControl/>
              <w:suppressLineNumbers w:val="0"/>
              <w:spacing w:before="0" w:beforeAutospacing="0" w:after="0" w:afterAutospacing="0"/>
              <w:ind w:left="0" w:right="0"/>
              <w:rPr>
                <w:rFonts w:hint="default"/>
                <w:color w:val="000000"/>
                <w:kern w:val="0"/>
                <w:sz w:val="18"/>
                <w:szCs w:val="18"/>
                <w:highlight w:val="none"/>
              </w:rPr>
            </w:pPr>
          </w:p>
        </w:tc>
      </w:tr>
      <w:tr w14:paraId="7A922E01">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cantSplit/>
          <w:trHeight w:val="2674" w:hRule="atLeast"/>
          <w:jc w:val="center"/>
        </w:trPr>
        <w:tc>
          <w:tcPr>
            <w:tcW w:w="5000" w:type="pct"/>
            <w:gridSpan w:val="4"/>
            <w:tcBorders>
              <w:bottom w:val="single" w:color="000000" w:sz="12" w:space="0"/>
              <w:tl2br w:val="nil"/>
              <w:tr2bl w:val="nil"/>
            </w:tcBorders>
            <w:vAlign w:val="center"/>
          </w:tcPr>
          <w:p w14:paraId="3BEA7085">
            <w:pPr>
              <w:keepNext w:val="0"/>
              <w:keepLines w:val="0"/>
              <w:widowControl/>
              <w:suppressLineNumbers w:val="0"/>
              <w:spacing w:before="0" w:beforeAutospacing="0" w:after="0" w:afterAutospacing="0"/>
              <w:ind w:left="0" w:right="0"/>
              <w:rPr>
                <w:rFonts w:hint="default"/>
                <w:b/>
                <w:kern w:val="0"/>
                <w:sz w:val="18"/>
                <w:szCs w:val="18"/>
                <w:highlight w:val="none"/>
              </w:rPr>
            </w:pPr>
            <w:r>
              <w:rPr>
                <w:rFonts w:hint="eastAsia"/>
                <w:b/>
                <w:kern w:val="0"/>
                <w:sz w:val="18"/>
                <w:szCs w:val="18"/>
                <w:highlight w:val="none"/>
              </w:rPr>
              <w:t>材料真实性承诺</w:t>
            </w:r>
            <w:r>
              <w:rPr>
                <w:rFonts w:hint="eastAsia"/>
                <w:b/>
                <w:kern w:val="0"/>
                <w:sz w:val="18"/>
                <w:szCs w:val="18"/>
                <w:highlight w:val="none"/>
                <w:lang w:eastAsia="zh-CN"/>
              </w:rPr>
              <w:t>：</w:t>
            </w:r>
          </w:p>
          <w:p w14:paraId="0FDA7197">
            <w:pPr>
              <w:keepNext w:val="0"/>
              <w:keepLines w:val="0"/>
              <w:widowControl/>
              <w:suppressLineNumbers w:val="0"/>
              <w:spacing w:before="0" w:beforeAutospacing="0" w:after="0" w:afterAutospacing="0"/>
              <w:ind w:left="0" w:right="0" w:firstLine="372" w:firstLineChars="207"/>
              <w:rPr>
                <w:rFonts w:hint="default"/>
                <w:kern w:val="0"/>
                <w:sz w:val="18"/>
                <w:szCs w:val="18"/>
                <w:highlight w:val="none"/>
              </w:rPr>
            </w:pPr>
          </w:p>
          <w:p w14:paraId="390D5F56">
            <w:pPr>
              <w:keepNext w:val="0"/>
              <w:keepLines w:val="0"/>
              <w:widowControl/>
              <w:suppressLineNumbers w:val="0"/>
              <w:spacing w:before="0" w:beforeAutospacing="0" w:after="0" w:afterAutospacing="0"/>
              <w:ind w:left="0" w:right="0" w:firstLine="372" w:firstLineChars="207"/>
              <w:rPr>
                <w:rFonts w:hint="default"/>
                <w:kern w:val="0"/>
                <w:sz w:val="18"/>
                <w:szCs w:val="18"/>
                <w:highlight w:val="none"/>
              </w:rPr>
            </w:pPr>
          </w:p>
          <w:p w14:paraId="01B1D472">
            <w:pPr>
              <w:pStyle w:val="12"/>
              <w:keepNext w:val="0"/>
              <w:keepLines w:val="0"/>
              <w:suppressLineNumbers w:val="0"/>
              <w:spacing w:before="0" w:beforeAutospacing="0" w:after="0" w:afterAutospacing="0"/>
              <w:ind w:left="0" w:right="0"/>
              <w:rPr>
                <w:rFonts w:hint="default"/>
                <w:highlight w:val="none"/>
              </w:rPr>
            </w:pPr>
          </w:p>
          <w:p w14:paraId="0AE92ECE">
            <w:pPr>
              <w:keepNext w:val="0"/>
              <w:keepLines w:val="0"/>
              <w:widowControl/>
              <w:suppressLineNumbers w:val="0"/>
              <w:spacing w:before="0" w:beforeAutospacing="0" w:after="0" w:afterAutospacing="0"/>
              <w:ind w:left="0" w:right="0" w:firstLine="372" w:firstLineChars="207"/>
              <w:rPr>
                <w:rFonts w:hint="default"/>
                <w:kern w:val="0"/>
                <w:sz w:val="18"/>
                <w:szCs w:val="18"/>
                <w:highlight w:val="none"/>
              </w:rPr>
            </w:pPr>
            <w:r>
              <w:rPr>
                <w:rFonts w:hint="eastAsia"/>
                <w:kern w:val="0"/>
                <w:sz w:val="18"/>
                <w:szCs w:val="18"/>
                <w:highlight w:val="none"/>
              </w:rPr>
              <w:t>我单位郑重承诺：本次申报绿色</w:t>
            </w:r>
            <w:r>
              <w:rPr>
                <w:rFonts w:hint="eastAsia" w:ascii="Times New Roman" w:eastAsia="宋体"/>
                <w:kern w:val="0"/>
                <w:sz w:val="18"/>
                <w:szCs w:val="18"/>
                <w:highlight w:val="none"/>
                <w:lang w:val="en-US" w:eastAsia="zh-CN"/>
              </w:rPr>
              <w:t>低碳</w:t>
            </w:r>
            <w:r>
              <w:rPr>
                <w:rFonts w:hint="eastAsia"/>
                <w:kern w:val="0"/>
                <w:sz w:val="18"/>
                <w:szCs w:val="18"/>
                <w:highlight w:val="none"/>
              </w:rPr>
              <w:t>产业</w:t>
            </w:r>
            <w:r>
              <w:rPr>
                <w:rFonts w:hint="eastAsia" w:ascii="Times New Roman" w:eastAsia="宋体"/>
                <w:kern w:val="0"/>
                <w:sz w:val="18"/>
                <w:szCs w:val="18"/>
                <w:highlight w:val="none"/>
                <w:lang w:val="en-US" w:eastAsia="zh-CN"/>
              </w:rPr>
              <w:t>企业</w:t>
            </w:r>
            <w:r>
              <w:rPr>
                <w:rFonts w:hint="eastAsia"/>
                <w:kern w:val="0"/>
                <w:sz w:val="18"/>
                <w:szCs w:val="18"/>
                <w:highlight w:val="none"/>
              </w:rPr>
              <w:t>认定所提交的相关数据和信息均真实、有效，愿接受并积极配合主管部门的跟踪抽查。如有违反，愿承担由此产生的相应责任。</w:t>
            </w:r>
          </w:p>
          <w:p w14:paraId="79C92CCD">
            <w:pPr>
              <w:keepNext w:val="0"/>
              <w:keepLines w:val="0"/>
              <w:widowControl/>
              <w:suppressLineNumbers w:val="0"/>
              <w:spacing w:before="0" w:beforeAutospacing="0" w:after="0" w:afterAutospacing="0"/>
              <w:ind w:left="0" w:right="0" w:firstLine="372" w:firstLineChars="207"/>
              <w:rPr>
                <w:rFonts w:hint="default"/>
                <w:kern w:val="0"/>
                <w:sz w:val="18"/>
                <w:szCs w:val="18"/>
                <w:highlight w:val="none"/>
              </w:rPr>
            </w:pPr>
          </w:p>
          <w:p w14:paraId="28D10912">
            <w:pPr>
              <w:keepNext w:val="0"/>
              <w:keepLines w:val="0"/>
              <w:widowControl/>
              <w:suppressLineNumbers w:val="0"/>
              <w:spacing w:before="0" w:beforeAutospacing="0" w:after="0" w:afterAutospacing="0"/>
              <w:ind w:left="0" w:right="0" w:firstLine="372" w:firstLineChars="207"/>
              <w:rPr>
                <w:rFonts w:hint="default"/>
                <w:kern w:val="0"/>
                <w:sz w:val="18"/>
                <w:szCs w:val="18"/>
                <w:highlight w:val="none"/>
              </w:rPr>
            </w:pPr>
          </w:p>
          <w:p w14:paraId="7158DD91">
            <w:pPr>
              <w:keepNext w:val="0"/>
              <w:keepLines w:val="0"/>
              <w:widowControl/>
              <w:suppressLineNumbers w:val="0"/>
              <w:spacing w:before="0" w:beforeAutospacing="0" w:after="0" w:afterAutospacing="0"/>
              <w:ind w:left="0" w:right="0" w:firstLine="372" w:firstLineChars="207"/>
              <w:rPr>
                <w:rFonts w:hint="default"/>
                <w:kern w:val="0"/>
                <w:sz w:val="18"/>
                <w:szCs w:val="18"/>
                <w:highlight w:val="none"/>
              </w:rPr>
            </w:pPr>
          </w:p>
          <w:p w14:paraId="5CE0226E">
            <w:pPr>
              <w:keepNext w:val="0"/>
              <w:keepLines w:val="0"/>
              <w:widowControl/>
              <w:suppressLineNumbers w:val="0"/>
              <w:wordWrap w:val="0"/>
              <w:spacing w:before="0" w:beforeAutospacing="0" w:after="0" w:afterAutospacing="0"/>
              <w:ind w:left="0" w:right="0"/>
              <w:jc w:val="center"/>
              <w:rPr>
                <w:rFonts w:hint="default"/>
                <w:b/>
                <w:kern w:val="0"/>
                <w:sz w:val="18"/>
                <w:szCs w:val="18"/>
                <w:highlight w:val="none"/>
              </w:rPr>
            </w:pPr>
            <w:r>
              <w:rPr>
                <w:rFonts w:hint="eastAsia"/>
                <w:b/>
                <w:kern w:val="0"/>
                <w:sz w:val="18"/>
                <w:szCs w:val="18"/>
                <w:highlight w:val="none"/>
              </w:rPr>
              <w:t xml:space="preserve">                          </w:t>
            </w:r>
            <w:r>
              <w:rPr>
                <w:rFonts w:hint="eastAsia"/>
                <w:b/>
                <w:kern w:val="0"/>
                <w:sz w:val="18"/>
                <w:szCs w:val="18"/>
                <w:highlight w:val="none"/>
                <w:lang w:val="en-US" w:eastAsia="zh-CN"/>
              </w:rPr>
              <w:t xml:space="preserve">               </w:t>
            </w:r>
            <w:r>
              <w:rPr>
                <w:rFonts w:hint="eastAsia"/>
                <w:b/>
                <w:kern w:val="0"/>
                <w:sz w:val="18"/>
                <w:szCs w:val="18"/>
                <w:highlight w:val="none"/>
              </w:rPr>
              <w:t xml:space="preserve"> 法人或单位负责人签字：          </w:t>
            </w:r>
          </w:p>
          <w:p w14:paraId="5B3F39EA">
            <w:pPr>
              <w:keepNext w:val="0"/>
              <w:keepLines w:val="0"/>
              <w:widowControl/>
              <w:suppressLineNumbers w:val="0"/>
              <w:spacing w:before="0" w:beforeAutospacing="0" w:after="0" w:afterAutospacing="0"/>
              <w:ind w:left="0" w:right="0"/>
              <w:rPr>
                <w:rFonts w:hint="eastAsia"/>
                <w:b/>
                <w:kern w:val="0"/>
                <w:sz w:val="18"/>
                <w:szCs w:val="18"/>
                <w:highlight w:val="none"/>
              </w:rPr>
            </w:pPr>
            <w:r>
              <w:rPr>
                <w:rFonts w:hint="eastAsia"/>
                <w:b/>
                <w:kern w:val="0"/>
                <w:sz w:val="18"/>
                <w:szCs w:val="18"/>
                <w:highlight w:val="none"/>
              </w:rPr>
              <w:t xml:space="preserve">                                         </w:t>
            </w:r>
            <w:r>
              <w:rPr>
                <w:rFonts w:hint="eastAsia" w:ascii="Times New Roman" w:eastAsia="宋体"/>
                <w:b/>
                <w:kern w:val="0"/>
                <w:sz w:val="18"/>
                <w:szCs w:val="18"/>
                <w:highlight w:val="none"/>
                <w:lang w:val="en-US" w:eastAsia="zh-CN"/>
              </w:rPr>
              <w:t xml:space="preserve">             </w:t>
            </w:r>
            <w:r>
              <w:rPr>
                <w:rFonts w:hint="eastAsia"/>
                <w:b/>
                <w:kern w:val="0"/>
                <w:sz w:val="18"/>
                <w:szCs w:val="18"/>
                <w:highlight w:val="none"/>
              </w:rPr>
              <w:t xml:space="preserve"> </w:t>
            </w:r>
            <w:r>
              <w:rPr>
                <w:rFonts w:hint="eastAsia"/>
                <w:b/>
                <w:kern w:val="0"/>
                <w:sz w:val="18"/>
                <w:szCs w:val="18"/>
                <w:highlight w:val="none"/>
                <w:lang w:val="en-US" w:eastAsia="zh-CN"/>
              </w:rPr>
              <w:t xml:space="preserve">        </w:t>
            </w:r>
            <w:r>
              <w:rPr>
                <w:rFonts w:hint="eastAsia"/>
                <w:b/>
                <w:kern w:val="0"/>
                <w:sz w:val="18"/>
                <w:szCs w:val="18"/>
                <w:highlight w:val="none"/>
              </w:rPr>
              <w:t xml:space="preserve">  （公章）</w:t>
            </w:r>
          </w:p>
          <w:p w14:paraId="405CEAAD">
            <w:pPr>
              <w:keepNext w:val="0"/>
              <w:keepLines w:val="0"/>
              <w:widowControl/>
              <w:suppressLineNumbers w:val="0"/>
              <w:wordWrap w:val="0"/>
              <w:spacing w:before="0" w:beforeAutospacing="0" w:after="0" w:afterAutospacing="0"/>
              <w:ind w:left="0" w:right="0"/>
              <w:jc w:val="center"/>
              <w:rPr>
                <w:rFonts w:hint="default"/>
                <w:highlight w:val="none"/>
              </w:rPr>
            </w:pPr>
            <w:r>
              <w:rPr>
                <w:rFonts w:hint="eastAsia"/>
                <w:b/>
                <w:kern w:val="0"/>
                <w:sz w:val="18"/>
                <w:szCs w:val="18"/>
                <w:highlight w:val="none"/>
              </w:rPr>
              <w:t xml:space="preserve">                           日期：           </w:t>
            </w:r>
          </w:p>
          <w:p w14:paraId="0C2B5ADF">
            <w:pPr>
              <w:pStyle w:val="12"/>
              <w:keepNext w:val="0"/>
              <w:keepLines w:val="0"/>
              <w:suppressLineNumbers w:val="0"/>
              <w:spacing w:before="0" w:beforeAutospacing="0" w:after="0" w:afterAutospacing="0"/>
              <w:ind w:left="0" w:right="0"/>
              <w:rPr>
                <w:rFonts w:hint="default"/>
                <w:highlight w:val="none"/>
              </w:rPr>
            </w:pPr>
          </w:p>
          <w:p w14:paraId="21AD2B77">
            <w:pPr>
              <w:pStyle w:val="12"/>
              <w:keepNext w:val="0"/>
              <w:keepLines w:val="0"/>
              <w:suppressLineNumbers w:val="0"/>
              <w:spacing w:before="0" w:beforeAutospacing="0" w:after="0" w:afterAutospacing="0"/>
              <w:ind w:left="0" w:right="0"/>
              <w:rPr>
                <w:rFonts w:hint="default"/>
                <w:highlight w:val="none"/>
              </w:rPr>
            </w:pPr>
          </w:p>
        </w:tc>
      </w:tr>
      <w:tr w14:paraId="430ABD63">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cantSplit/>
          <w:trHeight w:val="90" w:hRule="atLeast"/>
          <w:jc w:val="center"/>
        </w:trPr>
        <w:tc>
          <w:tcPr>
            <w:tcW w:w="5000" w:type="pct"/>
            <w:gridSpan w:val="4"/>
            <w:tcBorders>
              <w:top w:val="single" w:color="000000" w:sz="12" w:space="0"/>
            </w:tcBorders>
            <w:vAlign w:val="center"/>
          </w:tcPr>
          <w:p w14:paraId="1EDF01A4">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ind w:left="0" w:right="0" w:firstLine="360" w:firstLineChars="200"/>
              <w:jc w:val="left"/>
              <w:textAlignment w:val="auto"/>
              <w:rPr>
                <w:rFonts w:hint="default" w:eastAsia="宋体"/>
                <w:b/>
                <w:kern w:val="0"/>
                <w:sz w:val="18"/>
                <w:szCs w:val="18"/>
                <w:highlight w:val="none"/>
                <w:lang w:val="en-US" w:eastAsia="zh-CN"/>
              </w:rPr>
            </w:pPr>
            <w:r>
              <w:rPr>
                <w:rFonts w:hint="eastAsia" w:ascii="宋体" w:hAnsi="宋体" w:eastAsia="宋体" w:cs="宋体"/>
                <w:b w:val="0"/>
                <w:bCs/>
                <w:kern w:val="0"/>
                <w:sz w:val="18"/>
                <w:szCs w:val="18"/>
                <w:highlight w:val="none"/>
                <w:vertAlign w:val="superscript"/>
                <w:lang w:val="en-US" w:eastAsia="zh-CN"/>
              </w:rPr>
              <w:t>a</w:t>
            </w:r>
            <w:r>
              <w:rPr>
                <w:rFonts w:hint="eastAsia" w:ascii="宋体" w:hAnsi="宋体" w:eastAsia="宋体" w:cs="宋体"/>
                <w:b w:val="0"/>
                <w:bCs/>
                <w:kern w:val="0"/>
                <w:sz w:val="18"/>
                <w:szCs w:val="18"/>
                <w:highlight w:val="none"/>
                <w:lang w:val="en-US" w:eastAsia="zh-CN"/>
              </w:rPr>
              <w:t xml:space="preserve">  行业类别参照相关政府职能部门发布的绿色低碳产业相关指导目录的第三级分类进行填报。</w:t>
            </w:r>
          </w:p>
        </w:tc>
      </w:tr>
    </w:tbl>
    <w:p w14:paraId="4EBFA8FC">
      <w:pPr>
        <w:numPr>
          <w:ilvl w:val="1"/>
          <w:numId w:val="0"/>
        </w:numPr>
        <w:spacing w:before="156" w:beforeLines="50" w:after="156" w:afterLines="50"/>
        <w:rPr>
          <w:rFonts w:hint="eastAsia" w:ascii="黑体" w:hAnsi="黑体" w:eastAsia="黑体" w:cs="黑体"/>
          <w:sz w:val="21"/>
          <w:szCs w:val="21"/>
          <w:highlight w:val="none"/>
        </w:rPr>
      </w:pPr>
      <w:r>
        <w:rPr>
          <w:rFonts w:hint="eastAsia" w:ascii="黑体" w:hAnsi="黑体" w:eastAsia="黑体" w:cs="黑体"/>
          <w:sz w:val="21"/>
          <w:szCs w:val="21"/>
          <w:highlight w:val="none"/>
          <w:lang w:val="en-US" w:eastAsia="zh-CN"/>
        </w:rPr>
        <w:t>D</w:t>
      </w:r>
      <w:r>
        <w:rPr>
          <w:rFonts w:hint="eastAsia" w:ascii="黑体" w:hAnsi="黑体" w:eastAsia="黑体" w:cs="黑体"/>
          <w:sz w:val="21"/>
          <w:szCs w:val="21"/>
          <w:highlight w:val="none"/>
        </w:rPr>
        <w:t>.3</w:t>
      </w:r>
      <w:r>
        <w:rPr>
          <w:rFonts w:hint="eastAsia" w:ascii="黑体" w:hAnsi="黑体" w:eastAsia="黑体" w:cs="黑体"/>
          <w:sz w:val="21"/>
          <w:szCs w:val="21"/>
          <w:highlight w:val="none"/>
          <w:lang w:val="en-US" w:eastAsia="zh-CN"/>
        </w:rPr>
        <w:t xml:space="preserve">  基本情况概述</w:t>
      </w:r>
    </w:p>
    <w:p w14:paraId="3F2D0298">
      <w:pPr>
        <w:pStyle w:val="26"/>
        <w:spacing w:beforeLines="0" w:afterLines="0"/>
        <w:rPr>
          <w:rFonts w:hint="eastAsia" w:ascii="Times New Roman"/>
          <w:sz w:val="21"/>
          <w:szCs w:val="24"/>
          <w:highlight w:val="none"/>
          <w:lang w:val="en-US" w:eastAsia="zh-CN"/>
        </w:rPr>
      </w:pPr>
      <w:r>
        <w:rPr>
          <w:rFonts w:hint="eastAsia" w:ascii="Times New Roman"/>
          <w:sz w:val="21"/>
          <w:szCs w:val="24"/>
          <w:highlight w:val="none"/>
        </w:rPr>
        <w:t>概述</w:t>
      </w:r>
      <w:r>
        <w:rPr>
          <w:rFonts w:hint="eastAsia" w:ascii="Times New Roman"/>
          <w:sz w:val="21"/>
          <w:szCs w:val="24"/>
          <w:highlight w:val="none"/>
          <w:lang w:val="en-US" w:eastAsia="zh-CN"/>
        </w:rPr>
        <w:t>企事业单位经营范围、温室气体控制领域相关项目、项目建设运营状况、环境影响评价、社会影响评价以及固定资产投资节能审查相关情况等。</w:t>
      </w:r>
    </w:p>
    <w:p w14:paraId="705F74E1">
      <w:pPr>
        <w:numPr>
          <w:ilvl w:val="1"/>
          <w:numId w:val="0"/>
        </w:numPr>
        <w:spacing w:before="156" w:beforeLines="50" w:after="156" w:afterLines="50"/>
        <w:rPr>
          <w:rFonts w:hint="default" w:ascii="黑体" w:hAnsi="黑体" w:eastAsia="黑体" w:cs="黑体"/>
          <w:sz w:val="21"/>
          <w:szCs w:val="21"/>
          <w:highlight w:val="none"/>
          <w:lang w:val="en-US"/>
        </w:rPr>
      </w:pPr>
      <w:r>
        <w:rPr>
          <w:rFonts w:hint="eastAsia" w:ascii="黑体" w:hAnsi="黑体" w:eastAsia="黑体" w:cs="黑体"/>
          <w:sz w:val="21"/>
          <w:szCs w:val="21"/>
          <w:highlight w:val="none"/>
          <w:lang w:val="en-US" w:eastAsia="zh-CN"/>
        </w:rPr>
        <w:t>D</w:t>
      </w:r>
      <w:r>
        <w:rPr>
          <w:rFonts w:hint="eastAsia" w:ascii="黑体" w:hAnsi="黑体" w:eastAsia="黑体" w:cs="黑体"/>
          <w:sz w:val="21"/>
          <w:szCs w:val="21"/>
          <w:highlight w:val="none"/>
        </w:rPr>
        <w:t>.</w:t>
      </w:r>
      <w:r>
        <w:rPr>
          <w:rFonts w:hint="eastAsia" w:ascii="黑体" w:hAnsi="黑体" w:eastAsia="黑体" w:cs="黑体"/>
          <w:sz w:val="21"/>
          <w:szCs w:val="21"/>
          <w:highlight w:val="none"/>
          <w:lang w:val="en-US" w:eastAsia="zh-CN"/>
        </w:rPr>
        <w:t>4  评价工作概述</w:t>
      </w:r>
    </w:p>
    <w:p w14:paraId="38B2A376">
      <w:pPr>
        <w:pStyle w:val="26"/>
        <w:keepNext w:val="0"/>
        <w:keepLines w:val="0"/>
        <w:pageBreakBefore w:val="0"/>
        <w:widowControl/>
        <w:kinsoku/>
        <w:wordWrap/>
        <w:overflowPunct/>
        <w:topLinePunct w:val="0"/>
        <w:autoSpaceDE w:val="0"/>
        <w:autoSpaceDN w:val="0"/>
        <w:bidi w:val="0"/>
        <w:adjustRightInd/>
        <w:snapToGrid/>
        <w:spacing w:beforeLines="0" w:afterLines="0"/>
        <w:ind w:left="0" w:leftChars="0" w:firstLine="420" w:firstLineChars="200"/>
        <w:textAlignment w:val="auto"/>
        <w:rPr>
          <w:rFonts w:hint="eastAsia" w:ascii="Times New Roman"/>
          <w:sz w:val="21"/>
          <w:szCs w:val="24"/>
          <w:highlight w:val="none"/>
          <w:lang w:val="en-US" w:eastAsia="zh-CN"/>
        </w:rPr>
      </w:pPr>
      <w:r>
        <w:rPr>
          <w:rFonts w:hint="eastAsia" w:ascii="Times New Roman"/>
          <w:sz w:val="21"/>
          <w:szCs w:val="24"/>
          <w:highlight w:val="none"/>
        </w:rPr>
        <w:t>概述</w:t>
      </w:r>
      <w:r>
        <w:rPr>
          <w:rFonts w:hint="eastAsia" w:ascii="Times New Roman"/>
          <w:sz w:val="21"/>
          <w:szCs w:val="24"/>
          <w:highlight w:val="none"/>
          <w:lang w:val="en-US" w:eastAsia="zh-CN"/>
        </w:rPr>
        <w:t>绿色低碳产业项目认定申报工作具体开展情况，包括但不限于工作组设立情况、收集资料类型、报告编制情况等。</w:t>
      </w:r>
    </w:p>
    <w:p w14:paraId="740066AE">
      <w:pPr>
        <w:numPr>
          <w:ilvl w:val="1"/>
          <w:numId w:val="0"/>
        </w:numPr>
        <w:spacing w:before="156" w:beforeLines="50" w:after="156" w:afterLines="50"/>
        <w:rPr>
          <w:rFonts w:hint="eastAsia"/>
          <w:sz w:val="21"/>
          <w:szCs w:val="21"/>
          <w:highlight w:val="none"/>
        </w:rPr>
      </w:pPr>
      <w:r>
        <w:rPr>
          <w:rFonts w:hint="eastAsia" w:ascii="黑体" w:hAnsi="黑体" w:eastAsia="黑体" w:cs="黑体"/>
          <w:sz w:val="21"/>
          <w:szCs w:val="21"/>
          <w:highlight w:val="none"/>
          <w:lang w:val="en-US" w:eastAsia="zh-CN"/>
        </w:rPr>
        <w:t>D</w:t>
      </w:r>
      <w:r>
        <w:rPr>
          <w:rFonts w:hint="eastAsia" w:ascii="黑体" w:hAnsi="黑体" w:eastAsia="黑体" w:cs="黑体"/>
          <w:sz w:val="21"/>
          <w:szCs w:val="21"/>
          <w:highlight w:val="none"/>
        </w:rPr>
        <w:t>.</w:t>
      </w:r>
      <w:r>
        <w:rPr>
          <w:rFonts w:hint="eastAsia" w:ascii="黑体" w:hAnsi="黑体" w:eastAsia="黑体" w:cs="黑体"/>
          <w:sz w:val="21"/>
          <w:szCs w:val="21"/>
          <w:highlight w:val="none"/>
          <w:lang w:val="en-US" w:eastAsia="zh-CN"/>
        </w:rPr>
        <w:t xml:space="preserve">5  </w:t>
      </w:r>
      <w:r>
        <w:rPr>
          <w:rFonts w:hint="eastAsia" w:ascii="黑体" w:hAnsi="黑体" w:eastAsia="黑体" w:cs="黑体"/>
          <w:sz w:val="21"/>
          <w:szCs w:val="21"/>
          <w:highlight w:val="none"/>
        </w:rPr>
        <w:t>绿色低碳产业项目认定情况</w:t>
      </w:r>
    </w:p>
    <w:p w14:paraId="6EE74500">
      <w:pPr>
        <w:numPr>
          <w:ilvl w:val="1"/>
          <w:numId w:val="0"/>
        </w:numPr>
        <w:spacing w:before="156" w:beforeLines="50" w:after="156" w:afterLines="50"/>
        <w:rPr>
          <w:rFonts w:hint="eastAsia" w:ascii="黑体" w:hAnsi="黑体" w:eastAsia="黑体" w:cs="黑体"/>
          <w:sz w:val="21"/>
          <w:szCs w:val="21"/>
          <w:highlight w:val="none"/>
          <w:lang w:val="en-US" w:eastAsia="zh-CN"/>
        </w:rPr>
      </w:pPr>
      <w:r>
        <w:rPr>
          <w:rFonts w:hint="eastAsia" w:ascii="黑体" w:hAnsi="黑体" w:eastAsia="黑体" w:cs="黑体"/>
          <w:sz w:val="21"/>
          <w:szCs w:val="21"/>
          <w:highlight w:val="none"/>
          <w:lang w:val="en-US" w:eastAsia="zh-CN"/>
        </w:rPr>
        <w:t>D</w:t>
      </w:r>
      <w:r>
        <w:rPr>
          <w:rFonts w:hint="eastAsia" w:ascii="黑体" w:hAnsi="黑体" w:eastAsia="黑体" w:cs="黑体"/>
          <w:sz w:val="21"/>
          <w:szCs w:val="21"/>
          <w:highlight w:val="none"/>
        </w:rPr>
        <w:t>.</w:t>
      </w:r>
      <w:r>
        <w:rPr>
          <w:rFonts w:hint="eastAsia" w:ascii="黑体" w:hAnsi="黑体" w:eastAsia="黑体" w:cs="黑体"/>
          <w:sz w:val="21"/>
          <w:szCs w:val="21"/>
          <w:highlight w:val="none"/>
          <w:lang w:val="en-US" w:eastAsia="zh-CN"/>
        </w:rPr>
        <w:t>5</w:t>
      </w:r>
      <w:r>
        <w:rPr>
          <w:rFonts w:hint="eastAsia" w:ascii="黑体" w:hAnsi="黑体" w:eastAsia="黑体" w:cs="黑体"/>
          <w:sz w:val="21"/>
          <w:szCs w:val="21"/>
          <w:highlight w:val="none"/>
        </w:rPr>
        <w:t>.</w:t>
      </w:r>
      <w:r>
        <w:rPr>
          <w:rFonts w:hint="eastAsia" w:ascii="黑体" w:hAnsi="黑体" w:eastAsia="黑体" w:cs="黑体"/>
          <w:sz w:val="21"/>
          <w:szCs w:val="21"/>
          <w:highlight w:val="none"/>
          <w:lang w:val="en-US" w:eastAsia="zh-CN"/>
        </w:rPr>
        <w:t xml:space="preserve">1  </w:t>
      </w:r>
      <w:r>
        <w:rPr>
          <w:rFonts w:hint="eastAsia" w:ascii="黑体" w:hAnsi="黑体" w:eastAsia="黑体" w:cs="黑体"/>
          <w:sz w:val="21"/>
          <w:szCs w:val="21"/>
          <w:highlight w:val="none"/>
        </w:rPr>
        <w:t>符合性评价</w:t>
      </w:r>
    </w:p>
    <w:p w14:paraId="4976491B">
      <w:pPr>
        <w:autoSpaceDE w:val="0"/>
        <w:autoSpaceDN w:val="0"/>
        <w:ind w:firstLine="420" w:firstLineChars="200"/>
        <w:jc w:val="both"/>
        <w:rPr>
          <w:rFonts w:ascii="宋体" w:hAnsi="宋体" w:eastAsia="宋体" w:cs="宋体"/>
          <w:sz w:val="21"/>
          <w:highlight w:val="none"/>
          <w:lang w:val="en-US" w:eastAsia="zh-CN" w:bidi="ar-SA"/>
        </w:rPr>
      </w:pPr>
      <w:r>
        <w:rPr>
          <w:rFonts w:hint="eastAsia" w:ascii="宋体" w:hAnsi="宋体" w:eastAsia="宋体" w:cs="宋体"/>
          <w:sz w:val="21"/>
          <w:highlight w:val="none"/>
          <w:lang w:val="en-US" w:eastAsia="zh-CN" w:bidi="ar-SA"/>
        </w:rPr>
        <w:t>对以下内容进行具体描述：</w:t>
      </w:r>
    </w:p>
    <w:p w14:paraId="57E5E112">
      <w:pPr>
        <w:autoSpaceDE w:val="0"/>
        <w:autoSpaceDN w:val="0"/>
        <w:ind w:left="840" w:leftChars="200" w:hanging="420" w:hangingChars="200"/>
        <w:jc w:val="both"/>
        <w:rPr>
          <w:rFonts w:ascii="宋体" w:hAnsi="宋体" w:eastAsia="宋体" w:cs="宋体"/>
          <w:sz w:val="21"/>
          <w:highlight w:val="none"/>
          <w:lang w:val="en-US" w:eastAsia="zh-CN" w:bidi="ar-SA"/>
        </w:rPr>
      </w:pPr>
      <w:r>
        <w:rPr>
          <w:rFonts w:hint="eastAsia" w:ascii="宋体" w:hAnsi="宋体" w:eastAsia="宋体" w:cs="宋体"/>
          <w:sz w:val="21"/>
          <w:highlight w:val="none"/>
          <w:lang w:val="en-US" w:eastAsia="zh-CN" w:bidi="ar-SA"/>
        </w:rPr>
        <w:t>——申报认定评价的</w:t>
      </w:r>
      <w:r>
        <w:rPr>
          <w:rFonts w:hint="eastAsia" w:ascii="宋体" w:hAnsi="宋体" w:cs="宋体"/>
          <w:sz w:val="21"/>
          <w:highlight w:val="none"/>
          <w:lang w:val="en-US" w:eastAsia="zh-CN" w:bidi="ar-SA"/>
        </w:rPr>
        <w:t>项目</w:t>
      </w:r>
      <w:r>
        <w:rPr>
          <w:rFonts w:hint="eastAsia" w:ascii="宋体" w:hAnsi="宋体" w:eastAsia="宋体" w:cs="宋体"/>
          <w:sz w:val="21"/>
          <w:highlight w:val="none"/>
          <w:lang w:val="en-US" w:eastAsia="zh-CN" w:bidi="ar-SA"/>
        </w:rPr>
        <w:t>应属于</w:t>
      </w:r>
      <w:r>
        <w:rPr>
          <w:rFonts w:hint="eastAsia" w:ascii="宋体" w:hAnsi="宋体" w:cs="宋体"/>
          <w:sz w:val="21"/>
          <w:highlight w:val="none"/>
          <w:lang w:val="en-US" w:eastAsia="zh-CN" w:bidi="ar-SA"/>
        </w:rPr>
        <w:t>温室气体控制</w:t>
      </w:r>
      <w:r>
        <w:rPr>
          <w:rFonts w:hint="eastAsia" w:ascii="宋体" w:hAnsi="宋体" w:eastAsia="宋体" w:cs="宋体"/>
          <w:sz w:val="21"/>
          <w:highlight w:val="none"/>
          <w:lang w:val="en-US" w:eastAsia="zh-CN" w:bidi="ar-SA"/>
        </w:rPr>
        <w:t>领域，或在</w:t>
      </w:r>
      <w:r>
        <w:rPr>
          <w:rFonts w:hint="eastAsia" w:ascii="宋体" w:hAnsi="宋体" w:cs="宋体"/>
          <w:sz w:val="21"/>
          <w:highlight w:val="none"/>
          <w:lang w:val="en-US" w:eastAsia="zh-CN" w:bidi="ar-SA"/>
        </w:rPr>
        <w:t>当地</w:t>
      </w:r>
      <w:r>
        <w:rPr>
          <w:rFonts w:hint="eastAsia" w:ascii="宋体" w:hAnsi="宋体" w:eastAsia="宋体" w:cs="宋体"/>
          <w:sz w:val="21"/>
          <w:highlight w:val="none"/>
          <w:lang w:val="en-US" w:eastAsia="zh-CN" w:bidi="ar-SA"/>
        </w:rPr>
        <w:t>具备一定市场规模</w:t>
      </w:r>
      <w:r>
        <w:rPr>
          <w:rFonts w:hint="eastAsia" w:ascii="宋体" w:hAnsi="宋体" w:cs="宋体"/>
          <w:sz w:val="21"/>
          <w:highlight w:val="none"/>
          <w:lang w:val="en-US" w:eastAsia="zh-CN" w:bidi="ar-SA"/>
        </w:rPr>
        <w:t>、</w:t>
      </w:r>
      <w:r>
        <w:rPr>
          <w:rFonts w:hint="eastAsia" w:ascii="宋体" w:hAnsi="宋体" w:eastAsia="宋体" w:cs="宋体"/>
          <w:sz w:val="21"/>
          <w:highlight w:val="none"/>
          <w:lang w:val="en-US" w:eastAsia="zh-CN" w:bidi="ar-SA"/>
        </w:rPr>
        <w:t>经相关政府职能部门认可的其他相关行业；</w:t>
      </w:r>
    </w:p>
    <w:p w14:paraId="23045CED">
      <w:pPr>
        <w:pStyle w:val="26"/>
        <w:spacing w:beforeLines="0" w:afterLines="0"/>
        <w:ind w:left="840" w:leftChars="200" w:hanging="420" w:hangingChars="200"/>
        <w:rPr>
          <w:rFonts w:hint="eastAsia" w:hAnsi="宋体" w:cs="宋体"/>
          <w:sz w:val="21"/>
          <w:szCs w:val="24"/>
          <w:highlight w:val="none"/>
        </w:rPr>
      </w:pPr>
      <w:r>
        <w:rPr>
          <w:rFonts w:hint="eastAsia" w:ascii="宋体" w:hAnsi="宋体" w:eastAsia="宋体" w:cs="宋体"/>
          <w:sz w:val="21"/>
          <w:highlight w:val="none"/>
          <w:lang w:val="en-US" w:eastAsia="zh-CN" w:bidi="ar-SA"/>
        </w:rPr>
        <w:t>——技术符合：提供的产品或服务应符合国家、广东省及深圳市相关主管部门发布文件列明的有关设计、能效、性能、安全、贮存、回收、标识、验收、管理和运维等技术要求。</w:t>
      </w:r>
    </w:p>
    <w:p w14:paraId="20ECBA83">
      <w:pPr>
        <w:numPr>
          <w:ilvl w:val="1"/>
          <w:numId w:val="0"/>
        </w:numPr>
        <w:spacing w:before="156" w:beforeLines="50" w:after="156" w:afterLines="50"/>
        <w:rPr>
          <w:rFonts w:hint="eastAsia"/>
          <w:sz w:val="21"/>
          <w:szCs w:val="21"/>
          <w:highlight w:val="none"/>
        </w:rPr>
      </w:pPr>
      <w:r>
        <w:rPr>
          <w:rFonts w:hint="eastAsia" w:ascii="黑体" w:hAnsi="黑体" w:eastAsia="黑体" w:cs="黑体"/>
          <w:sz w:val="21"/>
          <w:szCs w:val="21"/>
          <w:highlight w:val="none"/>
          <w:lang w:val="en-US" w:eastAsia="zh-CN"/>
        </w:rPr>
        <w:t>D</w:t>
      </w:r>
      <w:r>
        <w:rPr>
          <w:rFonts w:hint="eastAsia" w:ascii="黑体" w:hAnsi="黑体" w:eastAsia="黑体" w:cs="黑体"/>
          <w:sz w:val="21"/>
          <w:szCs w:val="21"/>
          <w:highlight w:val="none"/>
        </w:rPr>
        <w:t>.</w:t>
      </w:r>
      <w:r>
        <w:rPr>
          <w:rFonts w:hint="eastAsia" w:ascii="黑体" w:hAnsi="黑体" w:eastAsia="黑体" w:cs="黑体"/>
          <w:sz w:val="21"/>
          <w:szCs w:val="21"/>
          <w:highlight w:val="none"/>
          <w:lang w:val="en-US" w:eastAsia="zh-CN"/>
        </w:rPr>
        <w:t>5</w:t>
      </w:r>
      <w:r>
        <w:rPr>
          <w:rFonts w:hint="eastAsia" w:ascii="黑体" w:hAnsi="黑体" w:eastAsia="黑体" w:cs="黑体"/>
          <w:sz w:val="21"/>
          <w:szCs w:val="21"/>
          <w:highlight w:val="none"/>
        </w:rPr>
        <w:t>.</w:t>
      </w:r>
      <w:r>
        <w:rPr>
          <w:rFonts w:hint="eastAsia" w:ascii="黑体" w:hAnsi="黑体" w:eastAsia="黑体" w:cs="黑体"/>
          <w:sz w:val="21"/>
          <w:szCs w:val="21"/>
          <w:highlight w:val="none"/>
          <w:lang w:val="en-US" w:eastAsia="zh-CN"/>
        </w:rPr>
        <w:t xml:space="preserve">2  </w:t>
      </w:r>
      <w:r>
        <w:rPr>
          <w:rFonts w:hint="eastAsia" w:ascii="黑体" w:hAnsi="黑体" w:eastAsia="黑体" w:cs="黑体"/>
          <w:sz w:val="21"/>
          <w:szCs w:val="21"/>
          <w:highlight w:val="none"/>
        </w:rPr>
        <w:t>综合评价</w:t>
      </w:r>
    </w:p>
    <w:p w14:paraId="7B98201C">
      <w:pPr>
        <w:numPr>
          <w:ilvl w:val="1"/>
          <w:numId w:val="0"/>
        </w:numPr>
        <w:spacing w:before="156" w:beforeLines="50" w:after="156" w:afterLines="50"/>
        <w:rPr>
          <w:rFonts w:hint="default" w:ascii="黑体" w:hAnsi="黑体" w:eastAsia="黑体" w:cs="黑体"/>
          <w:sz w:val="21"/>
          <w:szCs w:val="21"/>
          <w:highlight w:val="none"/>
          <w:lang w:val="en-US" w:eastAsia="zh-CN"/>
        </w:rPr>
      </w:pPr>
      <w:r>
        <w:rPr>
          <w:rFonts w:hint="eastAsia" w:ascii="黑体" w:hAnsi="黑体" w:eastAsia="黑体" w:cs="黑体"/>
          <w:sz w:val="21"/>
          <w:szCs w:val="21"/>
          <w:highlight w:val="none"/>
          <w:lang w:val="en-US" w:eastAsia="zh-CN"/>
        </w:rPr>
        <w:t>D</w:t>
      </w:r>
      <w:r>
        <w:rPr>
          <w:rFonts w:hint="eastAsia" w:ascii="黑体" w:hAnsi="黑体" w:eastAsia="黑体" w:cs="黑体"/>
          <w:sz w:val="21"/>
          <w:szCs w:val="21"/>
          <w:highlight w:val="none"/>
        </w:rPr>
        <w:t>.</w:t>
      </w:r>
      <w:r>
        <w:rPr>
          <w:rFonts w:hint="eastAsia" w:ascii="黑体" w:hAnsi="黑体" w:eastAsia="黑体" w:cs="黑体"/>
          <w:sz w:val="21"/>
          <w:szCs w:val="21"/>
          <w:highlight w:val="none"/>
          <w:lang w:val="en-US" w:eastAsia="zh-CN"/>
        </w:rPr>
        <w:t>5</w:t>
      </w:r>
      <w:r>
        <w:rPr>
          <w:rFonts w:hint="eastAsia" w:ascii="黑体" w:hAnsi="黑体" w:eastAsia="黑体" w:cs="黑体"/>
          <w:sz w:val="21"/>
          <w:szCs w:val="21"/>
          <w:highlight w:val="none"/>
        </w:rPr>
        <w:t>.</w:t>
      </w:r>
      <w:r>
        <w:rPr>
          <w:rFonts w:hint="eastAsia" w:ascii="黑体" w:hAnsi="黑体" w:eastAsia="黑体" w:cs="黑体"/>
          <w:sz w:val="21"/>
          <w:szCs w:val="21"/>
          <w:highlight w:val="none"/>
          <w:lang w:val="en-US" w:eastAsia="zh-CN"/>
        </w:rPr>
        <w:t>2</w:t>
      </w:r>
      <w:r>
        <w:rPr>
          <w:rFonts w:hint="eastAsia" w:ascii="黑体" w:hAnsi="黑体" w:eastAsia="黑体" w:cs="黑体"/>
          <w:sz w:val="21"/>
          <w:szCs w:val="21"/>
          <w:highlight w:val="none"/>
        </w:rPr>
        <w:t>.1</w:t>
      </w:r>
      <w:r>
        <w:rPr>
          <w:rFonts w:hint="eastAsia" w:ascii="黑体" w:hAnsi="黑体" w:eastAsia="黑体" w:cs="黑体"/>
          <w:sz w:val="21"/>
          <w:szCs w:val="21"/>
          <w:highlight w:val="none"/>
          <w:lang w:val="en-US" w:eastAsia="zh-CN"/>
        </w:rPr>
        <w:t xml:space="preserve">  </w:t>
      </w:r>
      <w:r>
        <w:rPr>
          <w:rFonts w:hint="eastAsia" w:ascii="黑体" w:hAnsi="黑体" w:eastAsia="黑体" w:cs="黑体"/>
          <w:sz w:val="21"/>
          <w:szCs w:val="21"/>
          <w:highlight w:val="none"/>
        </w:rPr>
        <w:t>技术表现</w:t>
      </w:r>
    </w:p>
    <w:p w14:paraId="74D44FB3">
      <w:pPr>
        <w:autoSpaceDE w:val="0"/>
        <w:autoSpaceDN w:val="0"/>
        <w:ind w:firstLine="420" w:firstLineChars="200"/>
        <w:jc w:val="both"/>
        <w:rPr>
          <w:rFonts w:ascii="宋体" w:hAnsi="宋体" w:eastAsia="宋体" w:cs="宋体"/>
          <w:sz w:val="21"/>
          <w:highlight w:val="none"/>
          <w:lang w:val="en-US" w:eastAsia="zh-CN" w:bidi="ar-SA"/>
        </w:rPr>
      </w:pPr>
      <w:r>
        <w:rPr>
          <w:rFonts w:hint="eastAsia" w:ascii="宋体" w:hAnsi="宋体" w:eastAsia="宋体" w:cs="宋体"/>
          <w:sz w:val="21"/>
          <w:highlight w:val="none"/>
          <w:lang w:val="en-US" w:eastAsia="zh-CN" w:bidi="ar-SA"/>
        </w:rPr>
        <w:t>对以下内容进行具体描述：</w:t>
      </w:r>
    </w:p>
    <w:p w14:paraId="5EFD3CD2">
      <w:pPr>
        <w:autoSpaceDE w:val="0"/>
        <w:autoSpaceDN w:val="0"/>
        <w:ind w:left="840" w:leftChars="200" w:hanging="420" w:hangingChars="200"/>
        <w:jc w:val="both"/>
        <w:rPr>
          <w:rFonts w:ascii="宋体" w:hAnsi="宋体" w:eastAsia="宋体" w:cs="宋体"/>
          <w:sz w:val="21"/>
          <w:highlight w:val="none"/>
          <w:lang w:val="en-US" w:eastAsia="zh-CN" w:bidi="ar-SA"/>
        </w:rPr>
      </w:pPr>
      <w:r>
        <w:rPr>
          <w:rFonts w:hint="eastAsia" w:ascii="宋体" w:hAnsi="宋体" w:eastAsia="宋体" w:cs="宋体"/>
          <w:sz w:val="21"/>
          <w:highlight w:val="none"/>
          <w:lang w:val="en-US" w:eastAsia="zh-CN" w:bidi="ar-SA"/>
        </w:rPr>
        <w:t>——有效知识产权：主要描述项目直接应用的、与</w:t>
      </w:r>
      <w:r>
        <w:rPr>
          <w:rFonts w:hint="eastAsia" w:ascii="宋体" w:hAnsi="宋体" w:cs="宋体"/>
          <w:sz w:val="21"/>
          <w:highlight w:val="none"/>
          <w:lang w:val="en-US" w:eastAsia="zh-CN" w:bidi="ar-SA"/>
        </w:rPr>
        <w:t>温室气体控制</w:t>
      </w:r>
      <w:r>
        <w:rPr>
          <w:rFonts w:hint="eastAsia" w:ascii="宋体" w:hAnsi="宋体" w:eastAsia="宋体" w:cs="宋体"/>
          <w:sz w:val="21"/>
          <w:highlight w:val="none"/>
          <w:lang w:val="en-US" w:eastAsia="zh-CN" w:bidi="ar-SA"/>
        </w:rPr>
        <w:t>领域相关的有效知识产权数量的情况；</w:t>
      </w:r>
    </w:p>
    <w:p w14:paraId="24555669">
      <w:pPr>
        <w:autoSpaceDE w:val="0"/>
        <w:autoSpaceDN w:val="0"/>
        <w:ind w:left="840" w:leftChars="200" w:hanging="420" w:hangingChars="200"/>
        <w:jc w:val="both"/>
        <w:rPr>
          <w:rFonts w:ascii="宋体" w:hAnsi="宋体" w:eastAsia="宋体" w:cs="宋体"/>
          <w:sz w:val="21"/>
          <w:highlight w:val="none"/>
          <w:lang w:val="en-US" w:eastAsia="zh-CN" w:bidi="ar-SA"/>
        </w:rPr>
      </w:pPr>
      <w:r>
        <w:rPr>
          <w:rFonts w:hint="eastAsia" w:ascii="宋体" w:hAnsi="宋体" w:eastAsia="宋体" w:cs="宋体"/>
          <w:sz w:val="21"/>
          <w:highlight w:val="none"/>
          <w:lang w:val="en-US" w:eastAsia="zh-CN" w:bidi="ar-SA"/>
        </w:rPr>
        <w:t>——关键技术先进性：主要描述</w:t>
      </w:r>
      <w:r>
        <w:rPr>
          <w:rFonts w:hint="eastAsia" w:ascii="Times New Roman" w:hAnsi="Times New Roman" w:eastAsia="宋体" w:cs="Times New Roman"/>
          <w:sz w:val="21"/>
          <w:highlight w:val="none"/>
          <w:lang w:val="en-US" w:eastAsia="zh-CN" w:bidi="ar-SA"/>
        </w:rPr>
        <w:t>项目应用的关键技术在行业内或地区内能达到的领先水平情况</w:t>
      </w:r>
      <w:r>
        <w:rPr>
          <w:rFonts w:hint="eastAsia" w:ascii="宋体" w:hAnsi="宋体" w:eastAsia="宋体" w:cs="宋体"/>
          <w:sz w:val="21"/>
          <w:highlight w:val="none"/>
          <w:lang w:val="en-US" w:eastAsia="zh-CN" w:bidi="ar-SA"/>
        </w:rPr>
        <w:t>；</w:t>
      </w:r>
    </w:p>
    <w:p w14:paraId="0BFC7D29">
      <w:pPr>
        <w:pStyle w:val="26"/>
        <w:spacing w:beforeLines="0" w:afterLines="0"/>
        <w:ind w:left="840" w:leftChars="200" w:hanging="420" w:hangingChars="200"/>
        <w:rPr>
          <w:rFonts w:hint="eastAsia" w:hAnsi="宋体" w:cs="宋体"/>
          <w:sz w:val="21"/>
          <w:szCs w:val="24"/>
          <w:highlight w:val="none"/>
        </w:rPr>
      </w:pPr>
      <w:r>
        <w:rPr>
          <w:rFonts w:hint="eastAsia" w:ascii="宋体" w:hAnsi="宋体" w:eastAsia="宋体" w:cs="宋体"/>
          <w:sz w:val="21"/>
          <w:highlight w:val="none"/>
          <w:lang w:val="en-US" w:eastAsia="zh-CN" w:bidi="ar-SA"/>
        </w:rPr>
        <w:t>——环境效益：主要描述在资源节约、环境友好、生态良好等方面实际产生的环境效益贡献量和涉及的环境效益种类数量。从降碳效益、</w:t>
      </w:r>
      <w:r>
        <w:rPr>
          <w:rFonts w:hint="eastAsia" w:hAnsi="宋体" w:cs="宋体"/>
          <w:sz w:val="21"/>
          <w:highlight w:val="none"/>
          <w:lang w:val="en-US" w:eastAsia="zh-CN" w:bidi="ar-SA"/>
        </w:rPr>
        <w:t>其他</w:t>
      </w:r>
      <w:r>
        <w:rPr>
          <w:rFonts w:hint="eastAsia" w:ascii="宋体" w:hAnsi="宋体" w:eastAsia="宋体" w:cs="宋体"/>
          <w:sz w:val="21"/>
          <w:highlight w:val="none"/>
          <w:lang w:val="en-US" w:eastAsia="zh-CN" w:bidi="ar-SA"/>
        </w:rPr>
        <w:t>效益进行评估，按照</w:t>
      </w:r>
      <w:r>
        <w:rPr>
          <w:rFonts w:hint="eastAsia" w:hAnsi="宋体" w:cs="宋体"/>
          <w:sz w:val="21"/>
          <w:highlight w:val="none"/>
          <w:lang w:val="en-US" w:eastAsia="zh-CN" w:bidi="ar-SA"/>
        </w:rPr>
        <w:t>5.2.1.2</w:t>
      </w:r>
      <w:r>
        <w:rPr>
          <w:rFonts w:hint="eastAsia" w:ascii="宋体" w:hAnsi="宋体" w:eastAsia="宋体" w:cs="宋体"/>
          <w:sz w:val="21"/>
          <w:highlight w:val="none"/>
          <w:lang w:val="en-US" w:eastAsia="zh-CN" w:bidi="ar-SA"/>
        </w:rPr>
        <w:t>规定的环境效益指标进行量化评估。</w:t>
      </w:r>
    </w:p>
    <w:p w14:paraId="478A4BB2">
      <w:pPr>
        <w:numPr>
          <w:ilvl w:val="1"/>
          <w:numId w:val="0"/>
        </w:numPr>
        <w:spacing w:before="156" w:beforeLines="50" w:after="156" w:afterLines="50"/>
        <w:rPr>
          <w:rFonts w:hint="eastAsia" w:ascii="黑体" w:hAnsi="黑体" w:eastAsia="黑体" w:cs="黑体"/>
          <w:sz w:val="21"/>
          <w:szCs w:val="21"/>
          <w:highlight w:val="none"/>
          <w:lang w:val="en-US" w:eastAsia="zh-CN"/>
        </w:rPr>
      </w:pPr>
      <w:r>
        <w:rPr>
          <w:rFonts w:hint="eastAsia" w:ascii="黑体" w:hAnsi="黑体" w:eastAsia="黑体" w:cs="黑体"/>
          <w:sz w:val="21"/>
          <w:szCs w:val="21"/>
          <w:highlight w:val="none"/>
          <w:lang w:val="en-US" w:eastAsia="zh-CN"/>
        </w:rPr>
        <w:t>D</w:t>
      </w:r>
      <w:r>
        <w:rPr>
          <w:rFonts w:hint="eastAsia" w:ascii="黑体" w:hAnsi="黑体" w:eastAsia="黑体" w:cs="黑体"/>
          <w:sz w:val="21"/>
          <w:szCs w:val="21"/>
          <w:highlight w:val="none"/>
        </w:rPr>
        <w:t>.</w:t>
      </w:r>
      <w:r>
        <w:rPr>
          <w:rFonts w:hint="eastAsia" w:ascii="黑体" w:hAnsi="黑体" w:eastAsia="黑体" w:cs="黑体"/>
          <w:sz w:val="21"/>
          <w:szCs w:val="21"/>
          <w:highlight w:val="none"/>
          <w:lang w:val="en-US" w:eastAsia="zh-CN"/>
        </w:rPr>
        <w:t>5</w:t>
      </w:r>
      <w:r>
        <w:rPr>
          <w:rFonts w:hint="eastAsia" w:ascii="黑体" w:hAnsi="黑体" w:eastAsia="黑体" w:cs="黑体"/>
          <w:sz w:val="21"/>
          <w:szCs w:val="21"/>
          <w:highlight w:val="none"/>
        </w:rPr>
        <w:t>.</w:t>
      </w:r>
      <w:r>
        <w:rPr>
          <w:rFonts w:hint="eastAsia" w:ascii="黑体" w:hAnsi="黑体" w:eastAsia="黑体" w:cs="黑体"/>
          <w:sz w:val="21"/>
          <w:szCs w:val="21"/>
          <w:highlight w:val="none"/>
          <w:lang w:val="en-US" w:eastAsia="zh-CN"/>
        </w:rPr>
        <w:t>2</w:t>
      </w:r>
      <w:r>
        <w:rPr>
          <w:rFonts w:hint="eastAsia" w:ascii="黑体" w:hAnsi="黑体" w:eastAsia="黑体" w:cs="黑体"/>
          <w:sz w:val="21"/>
          <w:szCs w:val="21"/>
          <w:highlight w:val="none"/>
        </w:rPr>
        <w:t>.2</w:t>
      </w:r>
      <w:r>
        <w:rPr>
          <w:rFonts w:hint="eastAsia" w:ascii="黑体" w:hAnsi="黑体" w:eastAsia="黑体" w:cs="黑体"/>
          <w:sz w:val="21"/>
          <w:szCs w:val="21"/>
          <w:highlight w:val="none"/>
          <w:lang w:val="en-US" w:eastAsia="zh-CN"/>
        </w:rPr>
        <w:t xml:space="preserve">  </w:t>
      </w:r>
      <w:r>
        <w:rPr>
          <w:rFonts w:hint="eastAsia" w:ascii="黑体" w:hAnsi="黑体" w:eastAsia="黑体" w:cs="黑体"/>
          <w:sz w:val="21"/>
          <w:szCs w:val="21"/>
          <w:highlight w:val="none"/>
        </w:rPr>
        <w:t>环境表现</w:t>
      </w:r>
    </w:p>
    <w:p w14:paraId="1FEF70BD">
      <w:pPr>
        <w:autoSpaceDE w:val="0"/>
        <w:autoSpaceDN w:val="0"/>
        <w:ind w:firstLine="420" w:firstLineChars="200"/>
        <w:jc w:val="both"/>
        <w:rPr>
          <w:rFonts w:ascii="宋体" w:hAnsi="宋体" w:eastAsia="宋体" w:cs="宋体"/>
          <w:sz w:val="21"/>
          <w:highlight w:val="none"/>
          <w:lang w:val="en-US" w:eastAsia="zh-CN" w:bidi="ar-SA"/>
        </w:rPr>
      </w:pPr>
      <w:r>
        <w:rPr>
          <w:rFonts w:hint="eastAsia" w:ascii="宋体" w:hAnsi="宋体" w:eastAsia="宋体" w:cs="宋体"/>
          <w:sz w:val="21"/>
          <w:highlight w:val="none"/>
          <w:lang w:val="en-US" w:eastAsia="zh-CN" w:bidi="ar-SA"/>
        </w:rPr>
        <w:t>对以下内容进行具体描述：</w:t>
      </w:r>
    </w:p>
    <w:p w14:paraId="6CE02543">
      <w:pPr>
        <w:autoSpaceDE w:val="0"/>
        <w:autoSpaceDN w:val="0"/>
        <w:ind w:left="850" w:leftChars="204" w:hanging="422" w:hangingChars="201"/>
        <w:jc w:val="both"/>
        <w:rPr>
          <w:rFonts w:hint="eastAsia" w:ascii="宋体" w:hAnsi="宋体" w:eastAsia="宋体" w:cs="宋体"/>
          <w:sz w:val="21"/>
          <w:highlight w:val="none"/>
          <w:lang w:val="en-US" w:eastAsia="zh-CN" w:bidi="ar-SA"/>
        </w:rPr>
      </w:pPr>
      <w:r>
        <w:rPr>
          <w:rFonts w:hint="eastAsia" w:ascii="宋体" w:hAnsi="宋体" w:eastAsia="宋体" w:cs="宋体"/>
          <w:sz w:val="21"/>
          <w:highlight w:val="none"/>
          <w:lang w:val="en-US" w:eastAsia="zh-CN" w:bidi="ar-SA"/>
        </w:rPr>
        <w:t>——绿色低碳运营：主要描述项目单位总投资综合能耗、单位总投资用水量、单位总投资用地面积、单位总投资碳排放量、可再生能源占比等方面的情况；</w:t>
      </w:r>
    </w:p>
    <w:p w14:paraId="37589636">
      <w:pPr>
        <w:autoSpaceDE w:val="0"/>
        <w:autoSpaceDN w:val="0"/>
        <w:ind w:left="850" w:leftChars="204" w:hanging="422" w:hangingChars="201"/>
        <w:jc w:val="both"/>
        <w:rPr>
          <w:highlight w:val="none"/>
          <w:lang w:val="en-US" w:eastAsia="zh-CN"/>
        </w:rPr>
      </w:pPr>
      <w:r>
        <w:rPr>
          <w:rFonts w:hint="eastAsia" w:ascii="宋体" w:hAnsi="宋体" w:eastAsia="宋体" w:cs="宋体"/>
          <w:sz w:val="21"/>
          <w:highlight w:val="none"/>
          <w:lang w:val="en-US" w:eastAsia="zh-CN" w:bidi="ar-SA"/>
        </w:rPr>
        <w:t>——工艺设备材料：主要描述项目采用的工艺、设备、材料的绿色化水平的情况；</w:t>
      </w:r>
    </w:p>
    <w:p w14:paraId="3E1C838F">
      <w:pPr>
        <w:pStyle w:val="26"/>
        <w:spacing w:beforeLines="0" w:afterLines="0"/>
        <w:rPr>
          <w:rFonts w:hint="eastAsia" w:hAnsi="宋体" w:cs="宋体"/>
          <w:sz w:val="21"/>
          <w:szCs w:val="24"/>
          <w:highlight w:val="none"/>
        </w:rPr>
      </w:pPr>
      <w:r>
        <w:rPr>
          <w:rFonts w:hint="eastAsia" w:ascii="宋体" w:hAnsi="宋体" w:eastAsia="宋体" w:cs="宋体"/>
          <w:sz w:val="21"/>
          <w:highlight w:val="none"/>
          <w:lang w:val="en-US" w:eastAsia="zh-CN" w:bidi="ar-SA"/>
        </w:rPr>
        <w:t>——污染物排放水平：主要描述项目自身生产运营过程向环境排放污染物的情况。</w:t>
      </w:r>
    </w:p>
    <w:p w14:paraId="3EAD3E2C">
      <w:pPr>
        <w:numPr>
          <w:ilvl w:val="1"/>
          <w:numId w:val="0"/>
        </w:numPr>
        <w:spacing w:before="156" w:beforeLines="50" w:after="156" w:afterLines="50"/>
        <w:rPr>
          <w:rFonts w:hint="eastAsia"/>
          <w:sz w:val="21"/>
          <w:szCs w:val="21"/>
          <w:highlight w:val="none"/>
        </w:rPr>
      </w:pPr>
      <w:r>
        <w:rPr>
          <w:rFonts w:hint="eastAsia" w:ascii="黑体" w:hAnsi="黑体" w:eastAsia="黑体" w:cs="黑体"/>
          <w:sz w:val="21"/>
          <w:szCs w:val="21"/>
          <w:highlight w:val="none"/>
          <w:lang w:val="en-US" w:eastAsia="zh-CN"/>
        </w:rPr>
        <w:t>D</w:t>
      </w:r>
      <w:r>
        <w:rPr>
          <w:rFonts w:hint="eastAsia" w:ascii="黑体" w:hAnsi="黑体" w:eastAsia="黑体" w:cs="黑体"/>
          <w:sz w:val="21"/>
          <w:szCs w:val="21"/>
          <w:highlight w:val="none"/>
        </w:rPr>
        <w:t>.</w:t>
      </w:r>
      <w:r>
        <w:rPr>
          <w:rFonts w:hint="eastAsia" w:ascii="黑体" w:hAnsi="黑体" w:eastAsia="黑体" w:cs="黑体"/>
          <w:sz w:val="21"/>
          <w:szCs w:val="21"/>
          <w:highlight w:val="none"/>
          <w:lang w:val="en-US" w:eastAsia="zh-CN"/>
        </w:rPr>
        <w:t xml:space="preserve">6  </w:t>
      </w:r>
      <w:r>
        <w:rPr>
          <w:rFonts w:hint="eastAsia" w:ascii="黑体" w:hAnsi="黑体" w:eastAsia="黑体" w:cs="黑体"/>
          <w:sz w:val="21"/>
          <w:szCs w:val="21"/>
          <w:highlight w:val="none"/>
        </w:rPr>
        <w:t>评价表</w:t>
      </w:r>
    </w:p>
    <w:p w14:paraId="3F478CD7">
      <w:pPr>
        <w:pStyle w:val="26"/>
        <w:spacing w:beforeLines="0" w:afterLines="0"/>
        <w:rPr>
          <w:rFonts w:hint="eastAsia" w:hAnsi="宋体" w:cs="宋体"/>
          <w:sz w:val="21"/>
          <w:szCs w:val="24"/>
          <w:highlight w:val="none"/>
        </w:rPr>
      </w:pPr>
      <w:r>
        <w:rPr>
          <w:rFonts w:hint="eastAsia" w:ascii="Times New Roman"/>
          <w:sz w:val="21"/>
          <w:szCs w:val="24"/>
          <w:highlight w:val="none"/>
        </w:rPr>
        <w:t>绿色低碳产业项目认定评价</w:t>
      </w:r>
      <w:r>
        <w:rPr>
          <w:rFonts w:hint="eastAsia" w:hAnsi="宋体" w:cs="宋体"/>
          <w:sz w:val="21"/>
          <w:szCs w:val="24"/>
          <w:highlight w:val="none"/>
        </w:rPr>
        <w:t>见表</w:t>
      </w:r>
      <w:r>
        <w:rPr>
          <w:rFonts w:hint="eastAsia" w:hAnsi="宋体" w:cs="宋体"/>
          <w:sz w:val="21"/>
          <w:szCs w:val="24"/>
          <w:highlight w:val="none"/>
          <w:lang w:val="en-US" w:eastAsia="zh-CN"/>
        </w:rPr>
        <w:t>D</w:t>
      </w:r>
      <w:r>
        <w:rPr>
          <w:rFonts w:hint="eastAsia" w:hAnsi="宋体" w:cs="宋体"/>
          <w:sz w:val="21"/>
          <w:szCs w:val="24"/>
          <w:highlight w:val="none"/>
        </w:rPr>
        <w:t>.3</w:t>
      </w:r>
      <w:r>
        <w:rPr>
          <w:rFonts w:hint="eastAsia" w:hAnsi="宋体" w:cs="宋体"/>
          <w:sz w:val="21"/>
          <w:szCs w:val="24"/>
          <w:highlight w:val="none"/>
          <w:lang w:val="en-US" w:eastAsia="zh-CN"/>
        </w:rPr>
        <w:t>和</w:t>
      </w:r>
      <w:r>
        <w:rPr>
          <w:rFonts w:hint="eastAsia" w:hAnsi="宋体" w:cs="宋体"/>
          <w:sz w:val="21"/>
          <w:szCs w:val="24"/>
          <w:highlight w:val="none"/>
        </w:rPr>
        <w:t>表</w:t>
      </w:r>
      <w:r>
        <w:rPr>
          <w:rFonts w:hint="eastAsia" w:hAnsi="宋体" w:cs="宋体"/>
          <w:sz w:val="21"/>
          <w:szCs w:val="24"/>
          <w:highlight w:val="none"/>
          <w:lang w:val="en-US" w:eastAsia="zh-CN"/>
        </w:rPr>
        <w:t>D</w:t>
      </w:r>
      <w:r>
        <w:rPr>
          <w:rFonts w:hint="eastAsia" w:hAnsi="宋体" w:cs="宋体"/>
          <w:sz w:val="21"/>
          <w:szCs w:val="24"/>
          <w:highlight w:val="none"/>
        </w:rPr>
        <w:t>.4。</w:t>
      </w:r>
    </w:p>
    <w:p w14:paraId="4E8E24F4">
      <w:pPr>
        <w:numPr>
          <w:ilvl w:val="1"/>
          <w:numId w:val="0"/>
        </w:numPr>
        <w:spacing w:before="156" w:beforeLines="50" w:after="156" w:afterLines="50"/>
        <w:jc w:val="center"/>
        <w:rPr>
          <w:rFonts w:hint="eastAsia"/>
          <w:sz w:val="21"/>
          <w:szCs w:val="21"/>
          <w:highlight w:val="none"/>
        </w:rPr>
      </w:pPr>
      <w:r>
        <w:rPr>
          <w:rFonts w:hint="eastAsia" w:ascii="黑体" w:hAnsi="黑体" w:eastAsia="黑体" w:cs="黑体"/>
          <w:sz w:val="21"/>
          <w:szCs w:val="21"/>
          <w:highlight w:val="none"/>
        </w:rPr>
        <w:t>表</w:t>
      </w:r>
      <w:r>
        <w:rPr>
          <w:rFonts w:hint="eastAsia" w:ascii="黑体" w:hAnsi="黑体" w:eastAsia="黑体" w:cs="黑体"/>
          <w:sz w:val="21"/>
          <w:szCs w:val="21"/>
          <w:highlight w:val="none"/>
          <w:lang w:val="en-US" w:eastAsia="zh-CN"/>
        </w:rPr>
        <w:t>D</w:t>
      </w:r>
      <w:r>
        <w:rPr>
          <w:rFonts w:hint="eastAsia" w:ascii="黑体" w:hAnsi="黑体" w:eastAsia="黑体" w:cs="黑体"/>
          <w:sz w:val="21"/>
          <w:szCs w:val="21"/>
          <w:highlight w:val="none"/>
        </w:rPr>
        <w:t>.</w:t>
      </w:r>
      <w:r>
        <w:rPr>
          <w:rFonts w:hint="eastAsia" w:ascii="黑体" w:hAnsi="黑体" w:eastAsia="黑体" w:cs="黑体"/>
          <w:sz w:val="21"/>
          <w:szCs w:val="21"/>
          <w:highlight w:val="none"/>
          <w:lang w:val="en-US" w:eastAsia="zh-CN"/>
        </w:rPr>
        <w:t xml:space="preserve">3  </w:t>
      </w:r>
      <w:r>
        <w:rPr>
          <w:rFonts w:hint="eastAsia" w:ascii="黑体" w:hAnsi="黑体" w:eastAsia="黑体" w:cs="黑体"/>
          <w:sz w:val="21"/>
          <w:szCs w:val="21"/>
          <w:highlight w:val="none"/>
        </w:rPr>
        <w:t>符合性评价</w:t>
      </w:r>
    </w:p>
    <w:tbl>
      <w:tblPr>
        <w:tblStyle w:val="36"/>
        <w:tblW w:w="4994"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579"/>
        <w:gridCol w:w="1027"/>
        <w:gridCol w:w="4015"/>
        <w:gridCol w:w="1975"/>
        <w:gridCol w:w="1963"/>
      </w:tblGrid>
      <w:tr w14:paraId="6054531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303" w:type="pct"/>
            <w:tcBorders>
              <w:bottom w:val="single" w:color="auto" w:sz="12" w:space="0"/>
            </w:tcBorders>
            <w:noWrap w:val="0"/>
            <w:vAlign w:val="center"/>
          </w:tcPr>
          <w:p w14:paraId="7427FD70">
            <w:pPr>
              <w:keepNext w:val="0"/>
              <w:keepLines w:val="0"/>
              <w:pageBreakBefore w:val="0"/>
              <w:suppressLineNumbers w:val="0"/>
              <w:kinsoku/>
              <w:wordWrap/>
              <w:overflowPunct/>
              <w:topLinePunct w:val="0"/>
              <w:autoSpaceDE/>
              <w:autoSpaceDN/>
              <w:bidi w:val="0"/>
              <w:adjustRightInd/>
              <w:snapToGrid/>
              <w:spacing w:before="0" w:beforeLines="0" w:beforeAutospacing="0" w:after="0" w:afterLines="0" w:afterAutospacing="0" w:line="240" w:lineRule="auto"/>
              <w:ind w:left="0" w:right="0"/>
              <w:jc w:val="center"/>
              <w:textAlignment w:val="auto"/>
              <w:rPr>
                <w:rFonts w:hint="eastAsia" w:ascii="宋体" w:hAnsi="宋体" w:eastAsia="宋体"/>
                <w:b/>
                <w:sz w:val="18"/>
                <w:szCs w:val="18"/>
                <w:highlight w:val="none"/>
              </w:rPr>
            </w:pPr>
            <w:r>
              <w:rPr>
                <w:rFonts w:hint="eastAsia" w:ascii="宋体" w:hAnsi="宋体" w:eastAsia="宋体"/>
                <w:b/>
                <w:sz w:val="18"/>
                <w:szCs w:val="18"/>
                <w:highlight w:val="none"/>
              </w:rPr>
              <w:t>序号</w:t>
            </w:r>
          </w:p>
        </w:tc>
        <w:tc>
          <w:tcPr>
            <w:tcW w:w="537" w:type="pct"/>
            <w:tcBorders>
              <w:bottom w:val="single" w:color="auto" w:sz="12" w:space="0"/>
            </w:tcBorders>
            <w:noWrap w:val="0"/>
            <w:vAlign w:val="center"/>
          </w:tcPr>
          <w:p w14:paraId="12F04003">
            <w:pPr>
              <w:keepNext w:val="0"/>
              <w:keepLines w:val="0"/>
              <w:pageBreakBefore w:val="0"/>
              <w:suppressLineNumbers w:val="0"/>
              <w:kinsoku/>
              <w:wordWrap/>
              <w:overflowPunct/>
              <w:topLinePunct w:val="0"/>
              <w:autoSpaceDE/>
              <w:autoSpaceDN/>
              <w:bidi w:val="0"/>
              <w:adjustRightInd/>
              <w:snapToGrid/>
              <w:spacing w:before="0" w:beforeLines="0" w:beforeAutospacing="0" w:after="0" w:afterLines="0" w:afterAutospacing="0" w:line="240" w:lineRule="auto"/>
              <w:ind w:left="0" w:right="0"/>
              <w:jc w:val="center"/>
              <w:textAlignment w:val="auto"/>
              <w:rPr>
                <w:rFonts w:hint="eastAsia" w:ascii="宋体" w:hAnsi="宋体" w:eastAsia="宋体"/>
                <w:b/>
                <w:sz w:val="18"/>
                <w:szCs w:val="18"/>
                <w:highlight w:val="none"/>
              </w:rPr>
            </w:pPr>
            <w:r>
              <w:rPr>
                <w:rFonts w:hint="eastAsia" w:ascii="宋体" w:hAnsi="宋体" w:eastAsia="宋体"/>
                <w:b/>
                <w:sz w:val="18"/>
                <w:szCs w:val="18"/>
                <w:highlight w:val="none"/>
              </w:rPr>
              <w:t>指标</w:t>
            </w:r>
          </w:p>
        </w:tc>
        <w:tc>
          <w:tcPr>
            <w:tcW w:w="2100" w:type="pct"/>
            <w:tcBorders>
              <w:bottom w:val="single" w:color="auto" w:sz="12" w:space="0"/>
            </w:tcBorders>
            <w:noWrap w:val="0"/>
            <w:vAlign w:val="center"/>
          </w:tcPr>
          <w:p w14:paraId="71E5B5F5">
            <w:pPr>
              <w:keepNext w:val="0"/>
              <w:keepLines w:val="0"/>
              <w:pageBreakBefore w:val="0"/>
              <w:suppressLineNumbers w:val="0"/>
              <w:kinsoku/>
              <w:wordWrap/>
              <w:overflowPunct/>
              <w:topLinePunct w:val="0"/>
              <w:autoSpaceDE/>
              <w:autoSpaceDN/>
              <w:bidi w:val="0"/>
              <w:adjustRightInd/>
              <w:snapToGrid/>
              <w:spacing w:before="0" w:beforeLines="0" w:beforeAutospacing="0" w:after="0" w:afterLines="0" w:afterAutospacing="0" w:line="240" w:lineRule="auto"/>
              <w:ind w:left="0" w:right="0"/>
              <w:jc w:val="center"/>
              <w:textAlignment w:val="auto"/>
              <w:rPr>
                <w:rFonts w:hint="eastAsia" w:ascii="宋体" w:hAnsi="宋体" w:eastAsia="宋体"/>
                <w:b/>
                <w:sz w:val="18"/>
                <w:szCs w:val="18"/>
                <w:highlight w:val="none"/>
              </w:rPr>
            </w:pPr>
            <w:r>
              <w:rPr>
                <w:rFonts w:hint="eastAsia" w:ascii="宋体" w:hAnsi="宋体" w:eastAsia="宋体"/>
                <w:b/>
                <w:sz w:val="18"/>
                <w:szCs w:val="18"/>
                <w:highlight w:val="none"/>
              </w:rPr>
              <w:t>符合性评价内容</w:t>
            </w:r>
          </w:p>
        </w:tc>
        <w:tc>
          <w:tcPr>
            <w:tcW w:w="1033" w:type="pct"/>
            <w:tcBorders>
              <w:bottom w:val="single" w:color="auto" w:sz="12" w:space="0"/>
            </w:tcBorders>
            <w:noWrap w:val="0"/>
            <w:vAlign w:val="center"/>
          </w:tcPr>
          <w:p w14:paraId="0E9C012D">
            <w:pPr>
              <w:keepNext w:val="0"/>
              <w:keepLines w:val="0"/>
              <w:pageBreakBefore w:val="0"/>
              <w:suppressLineNumbers w:val="0"/>
              <w:kinsoku/>
              <w:wordWrap/>
              <w:overflowPunct/>
              <w:topLinePunct w:val="0"/>
              <w:autoSpaceDE/>
              <w:autoSpaceDN/>
              <w:bidi w:val="0"/>
              <w:adjustRightInd/>
              <w:snapToGrid/>
              <w:spacing w:before="0" w:beforeLines="0" w:beforeAutospacing="0" w:after="0" w:afterLines="0" w:afterAutospacing="0" w:line="240" w:lineRule="auto"/>
              <w:ind w:left="0" w:right="0"/>
              <w:jc w:val="center"/>
              <w:textAlignment w:val="auto"/>
              <w:rPr>
                <w:rFonts w:hint="eastAsia" w:ascii="宋体" w:hAnsi="宋体" w:eastAsia="宋体"/>
                <w:b/>
                <w:sz w:val="18"/>
                <w:szCs w:val="18"/>
                <w:highlight w:val="none"/>
              </w:rPr>
            </w:pPr>
            <w:r>
              <w:rPr>
                <w:rFonts w:hint="eastAsia" w:ascii="宋体" w:hAnsi="宋体" w:eastAsia="宋体" w:cs="宋体"/>
                <w:b/>
                <w:sz w:val="18"/>
                <w:szCs w:val="18"/>
                <w:highlight w:val="none"/>
              </w:rPr>
              <w:t>评价结果（是/否）</w:t>
            </w:r>
          </w:p>
        </w:tc>
        <w:tc>
          <w:tcPr>
            <w:tcW w:w="1025" w:type="pct"/>
            <w:tcBorders>
              <w:bottom w:val="single" w:color="auto" w:sz="12" w:space="0"/>
            </w:tcBorders>
            <w:noWrap w:val="0"/>
            <w:vAlign w:val="center"/>
          </w:tcPr>
          <w:p w14:paraId="607FE310">
            <w:pPr>
              <w:keepNext w:val="0"/>
              <w:keepLines w:val="0"/>
              <w:pageBreakBefore w:val="0"/>
              <w:suppressLineNumbers w:val="0"/>
              <w:kinsoku/>
              <w:wordWrap/>
              <w:overflowPunct/>
              <w:topLinePunct w:val="0"/>
              <w:autoSpaceDE/>
              <w:autoSpaceDN/>
              <w:bidi w:val="0"/>
              <w:adjustRightInd/>
              <w:snapToGrid/>
              <w:spacing w:before="0" w:beforeLines="0" w:beforeAutospacing="0" w:after="0" w:afterLines="0" w:afterAutospacing="0" w:line="240" w:lineRule="auto"/>
              <w:ind w:left="0" w:right="0"/>
              <w:jc w:val="center"/>
              <w:textAlignment w:val="auto"/>
              <w:rPr>
                <w:rFonts w:hint="eastAsia" w:ascii="宋体" w:hAnsi="宋体" w:eastAsia="宋体"/>
                <w:b/>
                <w:sz w:val="18"/>
                <w:szCs w:val="18"/>
                <w:highlight w:val="none"/>
                <w:lang w:val="en-US" w:eastAsia="zh-CN"/>
              </w:rPr>
            </w:pPr>
            <w:r>
              <w:rPr>
                <w:rFonts w:hint="eastAsia" w:ascii="宋体" w:hAnsi="宋体" w:eastAsia="宋体"/>
                <w:b/>
                <w:sz w:val="18"/>
                <w:szCs w:val="18"/>
                <w:highlight w:val="none"/>
              </w:rPr>
              <w:t>佐证材料备注</w:t>
            </w:r>
            <w:r>
              <w:rPr>
                <w:rFonts w:hint="eastAsia" w:ascii="宋体" w:hAnsi="宋体"/>
                <w:b w:val="0"/>
                <w:bCs/>
                <w:sz w:val="18"/>
                <w:szCs w:val="18"/>
                <w:highlight w:val="none"/>
                <w:vertAlign w:val="superscript"/>
                <w:lang w:val="en-US" w:eastAsia="zh-CN"/>
              </w:rPr>
              <w:t>a</w:t>
            </w:r>
          </w:p>
        </w:tc>
      </w:tr>
      <w:tr w14:paraId="4CDE91F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67" w:hRule="atLeast"/>
          <w:jc w:val="center"/>
        </w:trPr>
        <w:tc>
          <w:tcPr>
            <w:tcW w:w="303" w:type="pct"/>
            <w:tcBorders>
              <w:top w:val="single" w:color="auto" w:sz="12" w:space="0"/>
              <w:tl2br w:val="nil"/>
              <w:tr2bl w:val="nil"/>
            </w:tcBorders>
            <w:noWrap w:val="0"/>
            <w:vAlign w:val="center"/>
          </w:tcPr>
          <w:p w14:paraId="10237819">
            <w:pPr>
              <w:keepNext w:val="0"/>
              <w:keepLines w:val="0"/>
              <w:pageBreakBefore w:val="0"/>
              <w:widowControl/>
              <w:suppressLineNumbers w:val="0"/>
              <w:kinsoku/>
              <w:wordWrap/>
              <w:overflowPunct/>
              <w:topLinePunct w:val="0"/>
              <w:autoSpaceDE/>
              <w:autoSpaceDN/>
              <w:bidi w:val="0"/>
              <w:adjustRightInd/>
              <w:snapToGrid/>
              <w:spacing w:before="0" w:beforeLines="0" w:beforeAutospacing="0" w:after="0" w:afterLines="0" w:afterAutospacing="0" w:line="240" w:lineRule="auto"/>
              <w:ind w:left="0" w:right="0"/>
              <w:jc w:val="center"/>
              <w:textAlignment w:val="auto"/>
              <w:rPr>
                <w:rFonts w:hint="eastAsia" w:ascii="宋体" w:hAnsi="宋体" w:eastAsia="宋体"/>
                <w:color w:val="000000"/>
                <w:kern w:val="0"/>
                <w:sz w:val="18"/>
                <w:szCs w:val="18"/>
                <w:highlight w:val="none"/>
              </w:rPr>
            </w:pPr>
            <w:r>
              <w:rPr>
                <w:rFonts w:hint="eastAsia" w:ascii="宋体" w:hAnsi="宋体" w:eastAsia="宋体"/>
                <w:color w:val="000000"/>
                <w:kern w:val="0"/>
                <w:sz w:val="18"/>
                <w:szCs w:val="18"/>
                <w:highlight w:val="none"/>
              </w:rPr>
              <w:t>1</w:t>
            </w:r>
          </w:p>
        </w:tc>
        <w:tc>
          <w:tcPr>
            <w:tcW w:w="537" w:type="pct"/>
            <w:tcBorders>
              <w:top w:val="single" w:color="auto" w:sz="12" w:space="0"/>
              <w:tl2br w:val="nil"/>
              <w:tr2bl w:val="nil"/>
            </w:tcBorders>
            <w:noWrap w:val="0"/>
            <w:vAlign w:val="center"/>
          </w:tcPr>
          <w:p w14:paraId="041B35D4">
            <w:pPr>
              <w:keepNext w:val="0"/>
              <w:keepLines w:val="0"/>
              <w:pageBreakBefore w:val="0"/>
              <w:widowControl/>
              <w:suppressLineNumbers w:val="0"/>
              <w:kinsoku/>
              <w:wordWrap/>
              <w:overflowPunct/>
              <w:topLinePunct w:val="0"/>
              <w:autoSpaceDE/>
              <w:autoSpaceDN/>
              <w:bidi w:val="0"/>
              <w:adjustRightInd/>
              <w:snapToGrid/>
              <w:spacing w:before="0" w:beforeLines="0" w:beforeAutospacing="0" w:after="0" w:afterLines="0" w:afterAutospacing="0" w:line="240" w:lineRule="auto"/>
              <w:ind w:left="0" w:right="0"/>
              <w:jc w:val="center"/>
              <w:textAlignment w:val="auto"/>
              <w:rPr>
                <w:rFonts w:hint="eastAsia" w:ascii="宋体" w:hAnsi="宋体" w:eastAsia="宋体"/>
                <w:color w:val="000000"/>
                <w:kern w:val="0"/>
                <w:sz w:val="18"/>
                <w:szCs w:val="18"/>
                <w:highlight w:val="none"/>
              </w:rPr>
            </w:pPr>
            <w:r>
              <w:rPr>
                <w:rFonts w:hint="eastAsia" w:ascii="宋体" w:hAnsi="宋体" w:eastAsia="宋体"/>
                <w:color w:val="000000"/>
                <w:kern w:val="0"/>
                <w:sz w:val="18"/>
                <w:szCs w:val="18"/>
                <w:highlight w:val="none"/>
              </w:rPr>
              <w:t>目录符合</w:t>
            </w:r>
          </w:p>
        </w:tc>
        <w:tc>
          <w:tcPr>
            <w:tcW w:w="2100" w:type="pct"/>
            <w:tcBorders>
              <w:top w:val="single" w:color="auto" w:sz="12" w:space="0"/>
              <w:tl2br w:val="nil"/>
              <w:tr2bl w:val="nil"/>
            </w:tcBorders>
            <w:noWrap w:val="0"/>
            <w:vAlign w:val="center"/>
          </w:tcPr>
          <w:p w14:paraId="7172EDED">
            <w:pPr>
              <w:keepNext w:val="0"/>
              <w:keepLines w:val="0"/>
              <w:pageBreakBefore w:val="0"/>
              <w:widowControl/>
              <w:suppressLineNumbers w:val="0"/>
              <w:kinsoku/>
              <w:wordWrap/>
              <w:overflowPunct/>
              <w:topLinePunct w:val="0"/>
              <w:autoSpaceDE/>
              <w:autoSpaceDN/>
              <w:bidi w:val="0"/>
              <w:adjustRightInd/>
              <w:snapToGrid/>
              <w:spacing w:before="0" w:beforeLines="0" w:beforeAutospacing="0" w:after="0" w:afterLines="0" w:afterAutospacing="0" w:line="240" w:lineRule="auto"/>
              <w:ind w:left="0" w:right="0"/>
              <w:textAlignment w:val="auto"/>
              <w:rPr>
                <w:rFonts w:hint="eastAsia" w:ascii="宋体" w:hAnsi="宋体" w:eastAsia="宋体"/>
                <w:color w:val="000000"/>
                <w:kern w:val="0"/>
                <w:sz w:val="18"/>
                <w:szCs w:val="18"/>
                <w:highlight w:val="none"/>
              </w:rPr>
            </w:pPr>
            <w:r>
              <w:rPr>
                <w:rFonts w:hint="eastAsia" w:ascii="宋体" w:hAnsi="宋体" w:eastAsia="宋体"/>
                <w:color w:val="000000"/>
                <w:kern w:val="0"/>
                <w:sz w:val="18"/>
                <w:szCs w:val="18"/>
                <w:highlight w:val="none"/>
                <w:lang w:val="en-US" w:eastAsia="zh-CN"/>
              </w:rPr>
              <w:t>申报认定评价的项目属于</w:t>
            </w:r>
            <w:r>
              <w:rPr>
                <w:rFonts w:hint="eastAsia" w:ascii="宋体" w:hAnsi="宋体"/>
                <w:color w:val="000000"/>
                <w:kern w:val="0"/>
                <w:sz w:val="18"/>
                <w:szCs w:val="18"/>
                <w:highlight w:val="none"/>
                <w:lang w:val="en-US" w:eastAsia="zh-CN"/>
              </w:rPr>
              <w:t>温室气体控制</w:t>
            </w:r>
            <w:r>
              <w:rPr>
                <w:rFonts w:hint="eastAsia" w:ascii="宋体" w:hAnsi="宋体" w:eastAsia="宋体"/>
                <w:color w:val="000000"/>
                <w:kern w:val="0"/>
                <w:sz w:val="18"/>
                <w:szCs w:val="18"/>
                <w:highlight w:val="none"/>
                <w:lang w:val="en-US" w:eastAsia="zh-CN"/>
              </w:rPr>
              <w:t>领域，或在</w:t>
            </w:r>
            <w:r>
              <w:rPr>
                <w:rFonts w:hint="eastAsia" w:ascii="宋体" w:hAnsi="宋体"/>
                <w:color w:val="000000"/>
                <w:kern w:val="0"/>
                <w:sz w:val="18"/>
                <w:szCs w:val="18"/>
                <w:highlight w:val="none"/>
                <w:lang w:val="en-US" w:eastAsia="zh-CN"/>
              </w:rPr>
              <w:t>当地</w:t>
            </w:r>
            <w:r>
              <w:rPr>
                <w:rFonts w:hint="eastAsia" w:ascii="宋体" w:hAnsi="宋体" w:eastAsia="宋体"/>
                <w:color w:val="000000"/>
                <w:kern w:val="0"/>
                <w:sz w:val="18"/>
                <w:szCs w:val="18"/>
                <w:highlight w:val="none"/>
                <w:lang w:val="en-US" w:eastAsia="zh-CN"/>
              </w:rPr>
              <w:t>具备一定市场规模</w:t>
            </w:r>
            <w:r>
              <w:rPr>
                <w:rFonts w:hint="eastAsia" w:ascii="宋体" w:hAnsi="宋体"/>
                <w:color w:val="000000"/>
                <w:kern w:val="0"/>
                <w:sz w:val="18"/>
                <w:szCs w:val="18"/>
                <w:highlight w:val="none"/>
                <w:lang w:val="en-US" w:eastAsia="zh-CN"/>
              </w:rPr>
              <w:t>、</w:t>
            </w:r>
            <w:r>
              <w:rPr>
                <w:rFonts w:hint="eastAsia" w:ascii="宋体" w:hAnsi="宋体" w:eastAsia="宋体"/>
                <w:color w:val="000000"/>
                <w:kern w:val="0"/>
                <w:sz w:val="18"/>
                <w:szCs w:val="18"/>
                <w:highlight w:val="none"/>
                <w:lang w:val="en-US" w:eastAsia="zh-CN"/>
              </w:rPr>
              <w:t>经相关政府职能部门认可的其他相关行业</w:t>
            </w:r>
          </w:p>
        </w:tc>
        <w:tc>
          <w:tcPr>
            <w:tcW w:w="1033" w:type="pct"/>
            <w:tcBorders>
              <w:top w:val="single" w:color="auto" w:sz="12" w:space="0"/>
              <w:tl2br w:val="nil"/>
              <w:tr2bl w:val="nil"/>
            </w:tcBorders>
            <w:noWrap w:val="0"/>
            <w:vAlign w:val="center"/>
          </w:tcPr>
          <w:p w14:paraId="0DEAB83D">
            <w:pPr>
              <w:keepNext w:val="0"/>
              <w:keepLines w:val="0"/>
              <w:pageBreakBefore w:val="0"/>
              <w:suppressLineNumbers w:val="0"/>
              <w:kinsoku/>
              <w:wordWrap/>
              <w:overflowPunct/>
              <w:topLinePunct w:val="0"/>
              <w:autoSpaceDE/>
              <w:autoSpaceDN/>
              <w:bidi w:val="0"/>
              <w:adjustRightInd/>
              <w:snapToGrid/>
              <w:spacing w:before="0" w:beforeLines="0" w:beforeAutospacing="0" w:after="0" w:afterLines="0" w:afterAutospacing="0" w:line="240" w:lineRule="auto"/>
              <w:ind w:left="0" w:right="0"/>
              <w:jc w:val="center"/>
              <w:textAlignment w:val="auto"/>
              <w:rPr>
                <w:rFonts w:hint="eastAsia" w:ascii="宋体" w:hAnsi="宋体" w:eastAsia="宋体"/>
                <w:sz w:val="18"/>
                <w:szCs w:val="18"/>
                <w:highlight w:val="none"/>
              </w:rPr>
            </w:pPr>
          </w:p>
        </w:tc>
        <w:tc>
          <w:tcPr>
            <w:tcW w:w="1025" w:type="pct"/>
            <w:tcBorders>
              <w:top w:val="single" w:color="auto" w:sz="12" w:space="0"/>
              <w:tl2br w:val="nil"/>
              <w:tr2bl w:val="nil"/>
            </w:tcBorders>
            <w:noWrap w:val="0"/>
            <w:vAlign w:val="center"/>
          </w:tcPr>
          <w:p w14:paraId="277C1777">
            <w:pPr>
              <w:keepNext w:val="0"/>
              <w:keepLines w:val="0"/>
              <w:pageBreakBefore w:val="0"/>
              <w:suppressLineNumbers w:val="0"/>
              <w:kinsoku/>
              <w:wordWrap/>
              <w:overflowPunct/>
              <w:topLinePunct w:val="0"/>
              <w:autoSpaceDE/>
              <w:autoSpaceDN/>
              <w:bidi w:val="0"/>
              <w:adjustRightInd/>
              <w:snapToGrid/>
              <w:spacing w:before="0" w:beforeLines="0" w:beforeAutospacing="0" w:after="0" w:afterLines="0" w:afterAutospacing="0" w:line="240" w:lineRule="auto"/>
              <w:ind w:left="0" w:right="0"/>
              <w:jc w:val="center"/>
              <w:textAlignment w:val="auto"/>
              <w:rPr>
                <w:rFonts w:hint="eastAsia" w:ascii="宋体" w:hAnsi="宋体" w:eastAsia="宋体" w:cs="宋体"/>
                <w:sz w:val="18"/>
                <w:szCs w:val="18"/>
                <w:highlight w:val="none"/>
              </w:rPr>
            </w:pPr>
          </w:p>
        </w:tc>
      </w:tr>
      <w:tr w14:paraId="0BD3ED7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85" w:hRule="atLeast"/>
          <w:jc w:val="center"/>
        </w:trPr>
        <w:tc>
          <w:tcPr>
            <w:tcW w:w="303" w:type="pct"/>
            <w:tcBorders>
              <w:bottom w:val="single" w:color="auto" w:sz="12" w:space="0"/>
              <w:tl2br w:val="nil"/>
              <w:tr2bl w:val="nil"/>
            </w:tcBorders>
            <w:noWrap w:val="0"/>
            <w:vAlign w:val="center"/>
          </w:tcPr>
          <w:p w14:paraId="5D32F105">
            <w:pPr>
              <w:keepNext w:val="0"/>
              <w:keepLines w:val="0"/>
              <w:pageBreakBefore w:val="0"/>
              <w:widowControl/>
              <w:suppressLineNumbers w:val="0"/>
              <w:kinsoku/>
              <w:wordWrap/>
              <w:overflowPunct/>
              <w:topLinePunct w:val="0"/>
              <w:autoSpaceDE/>
              <w:autoSpaceDN/>
              <w:bidi w:val="0"/>
              <w:adjustRightInd/>
              <w:snapToGrid/>
              <w:spacing w:before="0" w:beforeLines="0" w:beforeAutospacing="0" w:after="0" w:afterLines="0" w:afterAutospacing="0" w:line="240" w:lineRule="auto"/>
              <w:ind w:left="0" w:right="0"/>
              <w:jc w:val="center"/>
              <w:textAlignment w:val="auto"/>
              <w:rPr>
                <w:rFonts w:hint="eastAsia" w:ascii="宋体" w:hAnsi="宋体" w:eastAsia="宋体"/>
                <w:color w:val="000000"/>
                <w:kern w:val="0"/>
                <w:sz w:val="18"/>
                <w:szCs w:val="18"/>
                <w:highlight w:val="none"/>
              </w:rPr>
            </w:pPr>
            <w:r>
              <w:rPr>
                <w:rFonts w:hint="eastAsia" w:ascii="宋体" w:hAnsi="宋体" w:eastAsia="宋体"/>
                <w:color w:val="000000"/>
                <w:kern w:val="0"/>
                <w:sz w:val="18"/>
                <w:szCs w:val="18"/>
                <w:highlight w:val="none"/>
              </w:rPr>
              <w:t>2</w:t>
            </w:r>
          </w:p>
        </w:tc>
        <w:tc>
          <w:tcPr>
            <w:tcW w:w="537" w:type="pct"/>
            <w:tcBorders>
              <w:bottom w:val="single" w:color="auto" w:sz="12" w:space="0"/>
              <w:tl2br w:val="nil"/>
              <w:tr2bl w:val="nil"/>
            </w:tcBorders>
            <w:noWrap w:val="0"/>
            <w:vAlign w:val="center"/>
          </w:tcPr>
          <w:p w14:paraId="20EC9449">
            <w:pPr>
              <w:keepNext w:val="0"/>
              <w:keepLines w:val="0"/>
              <w:pageBreakBefore w:val="0"/>
              <w:widowControl/>
              <w:suppressLineNumbers w:val="0"/>
              <w:kinsoku/>
              <w:wordWrap/>
              <w:overflowPunct/>
              <w:topLinePunct w:val="0"/>
              <w:autoSpaceDE/>
              <w:autoSpaceDN/>
              <w:bidi w:val="0"/>
              <w:adjustRightInd/>
              <w:snapToGrid/>
              <w:spacing w:before="0" w:beforeLines="0" w:beforeAutospacing="0" w:after="0" w:afterLines="0" w:afterAutospacing="0" w:line="240" w:lineRule="auto"/>
              <w:ind w:left="0" w:right="0"/>
              <w:jc w:val="center"/>
              <w:textAlignment w:val="auto"/>
              <w:rPr>
                <w:rFonts w:hint="eastAsia" w:ascii="宋体" w:hAnsi="宋体" w:eastAsia="宋体"/>
                <w:color w:val="000000"/>
                <w:kern w:val="0"/>
                <w:sz w:val="18"/>
                <w:szCs w:val="18"/>
                <w:highlight w:val="none"/>
              </w:rPr>
            </w:pPr>
            <w:r>
              <w:rPr>
                <w:rFonts w:hint="eastAsia" w:ascii="宋体" w:hAnsi="宋体" w:eastAsia="宋体"/>
                <w:kern w:val="0"/>
                <w:sz w:val="18"/>
                <w:szCs w:val="18"/>
                <w:highlight w:val="none"/>
              </w:rPr>
              <w:t>技术符合</w:t>
            </w:r>
          </w:p>
        </w:tc>
        <w:tc>
          <w:tcPr>
            <w:tcW w:w="2100" w:type="pct"/>
            <w:tcBorders>
              <w:bottom w:val="single" w:color="auto" w:sz="12" w:space="0"/>
              <w:tl2br w:val="nil"/>
              <w:tr2bl w:val="nil"/>
            </w:tcBorders>
            <w:noWrap w:val="0"/>
            <w:vAlign w:val="center"/>
          </w:tcPr>
          <w:p w14:paraId="16EA84D1">
            <w:pPr>
              <w:keepNext w:val="0"/>
              <w:keepLines w:val="0"/>
              <w:pageBreakBefore w:val="0"/>
              <w:widowControl/>
              <w:suppressLineNumbers w:val="0"/>
              <w:kinsoku/>
              <w:wordWrap/>
              <w:overflowPunct/>
              <w:topLinePunct w:val="0"/>
              <w:autoSpaceDE/>
              <w:autoSpaceDN/>
              <w:bidi w:val="0"/>
              <w:adjustRightInd/>
              <w:snapToGrid/>
              <w:spacing w:before="0" w:beforeLines="0" w:beforeAutospacing="0" w:after="0" w:afterLines="0" w:afterAutospacing="0" w:line="240" w:lineRule="auto"/>
              <w:ind w:left="0" w:right="0"/>
              <w:textAlignment w:val="auto"/>
              <w:rPr>
                <w:rFonts w:hint="eastAsia" w:ascii="宋体" w:hAnsi="宋体" w:eastAsia="宋体"/>
                <w:color w:val="000000"/>
                <w:kern w:val="0"/>
                <w:sz w:val="18"/>
                <w:szCs w:val="18"/>
                <w:highlight w:val="none"/>
              </w:rPr>
            </w:pPr>
            <w:r>
              <w:rPr>
                <w:rFonts w:hint="eastAsia" w:ascii="宋体" w:hAnsi="宋体" w:eastAsia="宋体"/>
                <w:kern w:val="0"/>
                <w:sz w:val="18"/>
                <w:szCs w:val="18"/>
                <w:highlight w:val="none"/>
                <w:lang w:val="en-US" w:eastAsia="zh-CN"/>
              </w:rPr>
              <w:t>提供的产品或服务应符合国家、广东省及深圳市相关主管部门发布文件列明的有关设计、能效、性能、安全、贮存、回收、标识、验收、管理和运维等技术要求</w:t>
            </w:r>
          </w:p>
        </w:tc>
        <w:tc>
          <w:tcPr>
            <w:tcW w:w="1033" w:type="pct"/>
            <w:tcBorders>
              <w:bottom w:val="single" w:color="auto" w:sz="12" w:space="0"/>
              <w:tl2br w:val="nil"/>
              <w:tr2bl w:val="nil"/>
            </w:tcBorders>
            <w:noWrap w:val="0"/>
            <w:vAlign w:val="center"/>
          </w:tcPr>
          <w:p w14:paraId="288AFDA9">
            <w:pPr>
              <w:keepNext w:val="0"/>
              <w:keepLines w:val="0"/>
              <w:pageBreakBefore w:val="0"/>
              <w:suppressLineNumbers w:val="0"/>
              <w:kinsoku/>
              <w:wordWrap/>
              <w:overflowPunct/>
              <w:topLinePunct w:val="0"/>
              <w:autoSpaceDE/>
              <w:autoSpaceDN/>
              <w:bidi w:val="0"/>
              <w:adjustRightInd/>
              <w:snapToGrid/>
              <w:spacing w:before="0" w:beforeLines="0" w:beforeAutospacing="0" w:after="0" w:afterLines="0" w:afterAutospacing="0" w:line="240" w:lineRule="auto"/>
              <w:ind w:left="0" w:right="0"/>
              <w:jc w:val="center"/>
              <w:textAlignment w:val="auto"/>
              <w:rPr>
                <w:rFonts w:hint="eastAsia" w:ascii="宋体" w:hAnsi="宋体" w:eastAsia="宋体"/>
                <w:sz w:val="18"/>
                <w:szCs w:val="18"/>
                <w:highlight w:val="none"/>
              </w:rPr>
            </w:pPr>
          </w:p>
        </w:tc>
        <w:tc>
          <w:tcPr>
            <w:tcW w:w="1025" w:type="pct"/>
            <w:tcBorders>
              <w:bottom w:val="single" w:color="auto" w:sz="12" w:space="0"/>
              <w:tl2br w:val="nil"/>
              <w:tr2bl w:val="nil"/>
            </w:tcBorders>
            <w:noWrap w:val="0"/>
            <w:vAlign w:val="center"/>
          </w:tcPr>
          <w:p w14:paraId="0DCCE0F0">
            <w:pPr>
              <w:keepNext w:val="0"/>
              <w:keepLines w:val="0"/>
              <w:pageBreakBefore w:val="0"/>
              <w:suppressLineNumbers w:val="0"/>
              <w:kinsoku/>
              <w:wordWrap/>
              <w:overflowPunct/>
              <w:topLinePunct w:val="0"/>
              <w:autoSpaceDE/>
              <w:autoSpaceDN/>
              <w:bidi w:val="0"/>
              <w:adjustRightInd/>
              <w:snapToGrid/>
              <w:spacing w:before="0" w:beforeLines="0" w:beforeAutospacing="0" w:after="0" w:afterLines="0" w:afterAutospacing="0" w:line="240" w:lineRule="auto"/>
              <w:ind w:left="0" w:right="0"/>
              <w:jc w:val="center"/>
              <w:textAlignment w:val="auto"/>
              <w:rPr>
                <w:rFonts w:hint="eastAsia" w:ascii="宋体" w:hAnsi="宋体" w:eastAsia="宋体" w:cs="宋体"/>
                <w:sz w:val="18"/>
                <w:szCs w:val="18"/>
                <w:highlight w:val="none"/>
              </w:rPr>
            </w:pPr>
          </w:p>
        </w:tc>
      </w:tr>
      <w:tr w14:paraId="25ED1DC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7" w:hRule="atLeast"/>
          <w:jc w:val="center"/>
        </w:trPr>
        <w:tc>
          <w:tcPr>
            <w:tcW w:w="5000" w:type="pct"/>
            <w:gridSpan w:val="5"/>
            <w:tcBorders>
              <w:top w:val="single" w:color="auto" w:sz="12" w:space="0"/>
            </w:tcBorders>
            <w:noWrap w:val="0"/>
            <w:vAlign w:val="center"/>
          </w:tcPr>
          <w:p w14:paraId="02874D55">
            <w:pPr>
              <w:keepNext w:val="0"/>
              <w:keepLines w:val="0"/>
              <w:pageBreakBefore w:val="0"/>
              <w:widowControl w:val="0"/>
              <w:suppressLineNumbers w:val="0"/>
              <w:kinsoku/>
              <w:wordWrap/>
              <w:overflowPunct/>
              <w:topLinePunct w:val="0"/>
              <w:autoSpaceDE/>
              <w:autoSpaceDN/>
              <w:bidi w:val="0"/>
              <w:adjustRightInd/>
              <w:snapToGrid/>
              <w:spacing w:before="0" w:beforeLines="0" w:beforeAutospacing="0" w:after="0" w:afterLines="0" w:afterAutospacing="0" w:line="240" w:lineRule="auto"/>
              <w:ind w:left="0" w:right="0" w:firstLine="360" w:firstLineChars="200"/>
              <w:jc w:val="left"/>
              <w:textAlignment w:val="auto"/>
              <w:rPr>
                <w:rFonts w:hint="eastAsia" w:ascii="宋体" w:hAnsi="宋体" w:eastAsia="宋体" w:cs="宋体"/>
                <w:sz w:val="18"/>
                <w:szCs w:val="18"/>
                <w:highlight w:val="none"/>
              </w:rPr>
            </w:pPr>
            <w:r>
              <w:rPr>
                <w:rStyle w:val="157"/>
                <w:rFonts w:hint="eastAsia" w:ascii="宋体" w:hAnsi="宋体" w:eastAsia="宋体" w:cs="宋体"/>
                <w:sz w:val="18"/>
                <w:szCs w:val="18"/>
                <w:highlight w:val="none"/>
                <w:vertAlign w:val="superscript"/>
              </w:rPr>
              <w:t>a</w:t>
            </w:r>
            <w:r>
              <w:rPr>
                <w:rFonts w:hint="eastAsia" w:ascii="宋体" w:hAnsi="宋体" w:eastAsia="宋体" w:cs="宋体"/>
                <w:sz w:val="18"/>
                <w:szCs w:val="18"/>
                <w:highlight w:val="none"/>
              </w:rPr>
              <w:t xml:space="preserve"> </w:t>
            </w:r>
            <w:r>
              <w:rPr>
                <w:rFonts w:hint="eastAsia" w:cs="宋体" w:asciiTheme="minorEastAsia" w:hAnsiTheme="minorEastAsia" w:eastAsiaTheme="minorEastAsia"/>
                <w:sz w:val="18"/>
                <w:szCs w:val="18"/>
                <w:highlight w:val="none"/>
              </w:rPr>
              <w:t xml:space="preserve"> 给出材料对应的具体页码，例如，见第4页。</w:t>
            </w:r>
          </w:p>
        </w:tc>
      </w:tr>
    </w:tbl>
    <w:p w14:paraId="7D040A55">
      <w:pPr>
        <w:numPr>
          <w:ilvl w:val="1"/>
          <w:numId w:val="0"/>
        </w:numPr>
        <w:spacing w:before="156" w:beforeLines="50" w:after="156" w:afterLines="50"/>
        <w:jc w:val="center"/>
        <w:rPr>
          <w:rFonts w:hint="eastAsia" w:ascii="黑体" w:hAnsi="黑体" w:eastAsia="黑体" w:cs="黑体"/>
          <w:sz w:val="21"/>
          <w:szCs w:val="21"/>
          <w:highlight w:val="none"/>
        </w:rPr>
      </w:pPr>
      <w:r>
        <w:rPr>
          <w:rFonts w:hint="eastAsia" w:ascii="黑体" w:hAnsi="黑体" w:eastAsia="黑体" w:cs="黑体"/>
          <w:sz w:val="21"/>
          <w:szCs w:val="21"/>
          <w:highlight w:val="none"/>
        </w:rPr>
        <w:t>表</w:t>
      </w:r>
      <w:r>
        <w:rPr>
          <w:rFonts w:hint="eastAsia" w:ascii="黑体" w:hAnsi="黑体" w:eastAsia="黑体" w:cs="黑体"/>
          <w:sz w:val="21"/>
          <w:szCs w:val="21"/>
          <w:highlight w:val="none"/>
          <w:lang w:val="en-US" w:eastAsia="zh-CN"/>
        </w:rPr>
        <w:t>D</w:t>
      </w:r>
      <w:r>
        <w:rPr>
          <w:rFonts w:hint="eastAsia" w:ascii="黑体" w:hAnsi="黑体" w:eastAsia="黑体" w:cs="黑体"/>
          <w:sz w:val="21"/>
          <w:szCs w:val="21"/>
          <w:highlight w:val="none"/>
        </w:rPr>
        <w:t>.</w:t>
      </w:r>
      <w:r>
        <w:rPr>
          <w:rFonts w:hint="eastAsia" w:ascii="黑体" w:hAnsi="黑体" w:eastAsia="黑体" w:cs="黑体"/>
          <w:sz w:val="21"/>
          <w:szCs w:val="21"/>
          <w:highlight w:val="none"/>
          <w:lang w:val="en-US" w:eastAsia="zh-CN"/>
        </w:rPr>
        <w:t xml:space="preserve">4  </w:t>
      </w:r>
      <w:r>
        <w:rPr>
          <w:rFonts w:hint="eastAsia" w:ascii="黑体" w:hAnsi="黑体" w:eastAsia="黑体" w:cs="黑体"/>
          <w:sz w:val="21"/>
          <w:szCs w:val="21"/>
          <w:highlight w:val="none"/>
        </w:rPr>
        <w:t>综合评价</w:t>
      </w:r>
    </w:p>
    <w:tbl>
      <w:tblPr>
        <w:tblStyle w:val="36"/>
        <w:tblpPr w:leftFromText="180" w:rightFromText="180" w:vertAnchor="text" w:tblpXSpec="center" w:tblpY="1"/>
        <w:tblOverlap w:val="never"/>
        <w:tblW w:w="4994" w:type="pct"/>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1487"/>
        <w:gridCol w:w="2506"/>
        <w:gridCol w:w="1208"/>
        <w:gridCol w:w="1732"/>
        <w:gridCol w:w="2626"/>
      </w:tblGrid>
      <w:tr w14:paraId="76D676A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4" w:hRule="atLeast"/>
          <w:tblHeader/>
        </w:trPr>
        <w:tc>
          <w:tcPr>
            <w:tcW w:w="778" w:type="pct"/>
            <w:tcBorders>
              <w:bottom w:val="single" w:color="auto" w:sz="12" w:space="0"/>
            </w:tcBorders>
            <w:noWrap w:val="0"/>
            <w:vAlign w:val="center"/>
          </w:tcPr>
          <w:p w14:paraId="6C35B3BA">
            <w:pPr>
              <w:pStyle w:val="26"/>
              <w:keepNext w:val="0"/>
              <w:keepLines w:val="0"/>
              <w:widowControl/>
              <w:suppressLineNumbers w:val="0"/>
              <w:snapToGrid w:val="0"/>
              <w:spacing w:before="0" w:beforeLines="0" w:beforeAutospacing="0" w:after="0" w:afterLines="0" w:afterAutospacing="0"/>
              <w:ind w:left="0" w:right="0" w:firstLine="0" w:firstLineChars="0"/>
              <w:jc w:val="center"/>
              <w:rPr>
                <w:rFonts w:hint="eastAsia" w:ascii="Times New Roman" w:eastAsia="Times New Roman"/>
                <w:b/>
                <w:sz w:val="18"/>
                <w:szCs w:val="18"/>
                <w:highlight w:val="none"/>
              </w:rPr>
            </w:pPr>
            <w:r>
              <w:rPr>
                <w:rFonts w:hint="eastAsia" w:ascii="Times New Roman"/>
                <w:b/>
                <w:sz w:val="18"/>
                <w:szCs w:val="18"/>
                <w:highlight w:val="none"/>
              </w:rPr>
              <w:t>一级指标</w:t>
            </w:r>
          </w:p>
        </w:tc>
        <w:tc>
          <w:tcPr>
            <w:tcW w:w="1311" w:type="pct"/>
            <w:tcBorders>
              <w:bottom w:val="single" w:color="auto" w:sz="12" w:space="0"/>
            </w:tcBorders>
            <w:noWrap w:val="0"/>
            <w:vAlign w:val="center"/>
          </w:tcPr>
          <w:p w14:paraId="06C19977">
            <w:pPr>
              <w:pStyle w:val="26"/>
              <w:keepNext w:val="0"/>
              <w:keepLines w:val="0"/>
              <w:widowControl/>
              <w:suppressLineNumbers w:val="0"/>
              <w:snapToGrid w:val="0"/>
              <w:spacing w:before="0" w:beforeLines="0" w:beforeAutospacing="0" w:after="0" w:afterLines="0" w:afterAutospacing="0"/>
              <w:ind w:left="0" w:right="0" w:firstLine="0" w:firstLineChars="0"/>
              <w:jc w:val="center"/>
              <w:rPr>
                <w:rFonts w:hint="eastAsia" w:ascii="Times New Roman" w:eastAsia="Times New Roman"/>
                <w:b/>
                <w:sz w:val="18"/>
                <w:szCs w:val="18"/>
                <w:highlight w:val="none"/>
              </w:rPr>
            </w:pPr>
            <w:r>
              <w:rPr>
                <w:rFonts w:hint="eastAsia" w:ascii="Times New Roman"/>
                <w:b/>
                <w:sz w:val="18"/>
                <w:szCs w:val="18"/>
                <w:highlight w:val="none"/>
              </w:rPr>
              <w:t>二级指标</w:t>
            </w:r>
          </w:p>
        </w:tc>
        <w:tc>
          <w:tcPr>
            <w:tcW w:w="631" w:type="pct"/>
            <w:tcBorders>
              <w:bottom w:val="single" w:color="auto" w:sz="12" w:space="0"/>
            </w:tcBorders>
            <w:noWrap w:val="0"/>
            <w:vAlign w:val="center"/>
          </w:tcPr>
          <w:p w14:paraId="596DF818">
            <w:pPr>
              <w:pStyle w:val="26"/>
              <w:keepNext w:val="0"/>
              <w:keepLines w:val="0"/>
              <w:widowControl/>
              <w:suppressLineNumbers w:val="0"/>
              <w:snapToGrid w:val="0"/>
              <w:spacing w:before="0" w:beforeLines="0" w:beforeAutospacing="0" w:after="0" w:afterLines="0" w:afterAutospacing="0"/>
              <w:ind w:left="0" w:right="0" w:firstLine="0" w:firstLineChars="0"/>
              <w:jc w:val="center"/>
              <w:rPr>
                <w:rFonts w:hint="eastAsia" w:ascii="Times New Roman" w:eastAsia="Times New Roman"/>
                <w:b/>
                <w:sz w:val="18"/>
                <w:szCs w:val="18"/>
                <w:highlight w:val="none"/>
              </w:rPr>
            </w:pPr>
            <w:r>
              <w:rPr>
                <w:rFonts w:hint="eastAsia" w:ascii="Times New Roman"/>
                <w:b/>
                <w:sz w:val="18"/>
                <w:szCs w:val="18"/>
                <w:highlight w:val="none"/>
              </w:rPr>
              <w:t>分值（分）</w:t>
            </w:r>
          </w:p>
        </w:tc>
        <w:tc>
          <w:tcPr>
            <w:tcW w:w="906" w:type="pct"/>
            <w:tcBorders>
              <w:bottom w:val="single" w:color="auto" w:sz="12" w:space="0"/>
            </w:tcBorders>
            <w:noWrap w:val="0"/>
            <w:vAlign w:val="center"/>
          </w:tcPr>
          <w:p w14:paraId="519B396A">
            <w:pPr>
              <w:pStyle w:val="26"/>
              <w:keepNext w:val="0"/>
              <w:keepLines w:val="0"/>
              <w:widowControl/>
              <w:suppressLineNumbers w:val="0"/>
              <w:snapToGrid w:val="0"/>
              <w:spacing w:before="0" w:beforeLines="0" w:beforeAutospacing="0" w:after="0" w:afterLines="0" w:afterAutospacing="0"/>
              <w:ind w:left="0" w:right="0" w:firstLine="0" w:firstLineChars="0"/>
              <w:jc w:val="center"/>
              <w:rPr>
                <w:rFonts w:hint="eastAsia" w:ascii="Times New Roman" w:eastAsia="Times New Roman"/>
                <w:b/>
                <w:sz w:val="18"/>
                <w:szCs w:val="18"/>
                <w:highlight w:val="none"/>
              </w:rPr>
            </w:pPr>
            <w:r>
              <w:rPr>
                <w:rFonts w:hint="eastAsia" w:ascii="Times New Roman"/>
                <w:b/>
                <w:sz w:val="18"/>
                <w:szCs w:val="18"/>
                <w:highlight w:val="none"/>
              </w:rPr>
              <w:t>评价得分（分）</w:t>
            </w:r>
          </w:p>
        </w:tc>
        <w:tc>
          <w:tcPr>
            <w:tcW w:w="1371" w:type="pct"/>
            <w:tcBorders>
              <w:bottom w:val="single" w:color="auto" w:sz="12" w:space="0"/>
            </w:tcBorders>
            <w:noWrap w:val="0"/>
            <w:vAlign w:val="center"/>
          </w:tcPr>
          <w:p w14:paraId="5EED5822">
            <w:pPr>
              <w:pStyle w:val="26"/>
              <w:keepNext w:val="0"/>
              <w:keepLines w:val="0"/>
              <w:widowControl/>
              <w:suppressLineNumbers w:val="0"/>
              <w:snapToGrid w:val="0"/>
              <w:spacing w:before="0" w:beforeLines="0" w:beforeAutospacing="0" w:after="0" w:afterLines="0" w:afterAutospacing="0"/>
              <w:ind w:left="0" w:right="0" w:firstLine="0" w:firstLineChars="0"/>
              <w:jc w:val="center"/>
              <w:rPr>
                <w:rFonts w:hint="eastAsia" w:ascii="Times New Roman" w:eastAsia="Times New Roman"/>
                <w:b/>
                <w:sz w:val="18"/>
                <w:szCs w:val="18"/>
                <w:highlight w:val="none"/>
              </w:rPr>
            </w:pPr>
            <w:r>
              <w:rPr>
                <w:rFonts w:hint="eastAsia" w:ascii="Times New Roman"/>
                <w:b/>
                <w:sz w:val="18"/>
                <w:szCs w:val="18"/>
                <w:highlight w:val="none"/>
              </w:rPr>
              <w:t>佐证材料备注</w:t>
            </w:r>
            <w:r>
              <w:rPr>
                <w:rFonts w:hint="eastAsia" w:ascii="宋体" w:hAnsi="宋体"/>
                <w:b w:val="0"/>
                <w:bCs/>
                <w:sz w:val="18"/>
                <w:szCs w:val="18"/>
                <w:highlight w:val="none"/>
                <w:vertAlign w:val="superscript"/>
                <w:lang w:val="en-US" w:eastAsia="zh-CN"/>
              </w:rPr>
              <w:t>a</w:t>
            </w:r>
          </w:p>
        </w:tc>
      </w:tr>
      <w:tr w14:paraId="091DCAE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4" w:hRule="atLeast"/>
        </w:trPr>
        <w:tc>
          <w:tcPr>
            <w:tcW w:w="778" w:type="pct"/>
            <w:vMerge w:val="restart"/>
            <w:tcBorders>
              <w:top w:val="single" w:color="auto" w:sz="12" w:space="0"/>
              <w:tl2br w:val="nil"/>
              <w:tr2bl w:val="nil"/>
            </w:tcBorders>
            <w:noWrap w:val="0"/>
            <w:vAlign w:val="center"/>
          </w:tcPr>
          <w:p w14:paraId="5FAC0E38">
            <w:pPr>
              <w:pStyle w:val="26"/>
              <w:keepNext w:val="0"/>
              <w:keepLines w:val="0"/>
              <w:widowControl/>
              <w:suppressLineNumbers w:val="0"/>
              <w:snapToGrid w:val="0"/>
              <w:spacing w:before="0" w:beforeLines="0" w:beforeAutospacing="0" w:after="0" w:afterLines="0" w:afterAutospacing="0"/>
              <w:ind w:left="0" w:right="0" w:firstLine="0" w:firstLineChars="0"/>
              <w:jc w:val="center"/>
              <w:rPr>
                <w:rFonts w:hint="eastAsia" w:hAnsi="宋体" w:cs="宋体"/>
                <w:sz w:val="18"/>
                <w:szCs w:val="18"/>
                <w:highlight w:val="none"/>
              </w:rPr>
            </w:pPr>
            <w:r>
              <w:rPr>
                <w:rFonts w:hint="eastAsia" w:hAnsi="宋体" w:cs="宋体"/>
                <w:sz w:val="18"/>
                <w:szCs w:val="18"/>
                <w:highlight w:val="none"/>
              </w:rPr>
              <w:t>技术表现</w:t>
            </w:r>
          </w:p>
        </w:tc>
        <w:tc>
          <w:tcPr>
            <w:tcW w:w="1311" w:type="pct"/>
            <w:tcBorders>
              <w:top w:val="single" w:color="auto" w:sz="12" w:space="0"/>
              <w:tl2br w:val="nil"/>
              <w:tr2bl w:val="nil"/>
            </w:tcBorders>
            <w:noWrap w:val="0"/>
            <w:vAlign w:val="center"/>
          </w:tcPr>
          <w:p w14:paraId="7ABFE52F">
            <w:pPr>
              <w:pStyle w:val="26"/>
              <w:keepNext w:val="0"/>
              <w:keepLines w:val="0"/>
              <w:widowControl/>
              <w:suppressLineNumbers w:val="0"/>
              <w:snapToGrid w:val="0"/>
              <w:spacing w:before="0" w:beforeLines="0" w:beforeAutospacing="0" w:after="0" w:afterLines="0" w:afterAutospacing="0"/>
              <w:ind w:left="0" w:right="0" w:firstLine="0" w:firstLineChars="0"/>
              <w:jc w:val="center"/>
              <w:rPr>
                <w:rFonts w:hint="eastAsia" w:hAnsi="宋体" w:cs="宋体"/>
                <w:sz w:val="18"/>
                <w:szCs w:val="18"/>
                <w:highlight w:val="none"/>
              </w:rPr>
            </w:pPr>
            <w:r>
              <w:rPr>
                <w:rFonts w:hint="eastAsia" w:hAnsi="宋体" w:cs="宋体"/>
                <w:sz w:val="18"/>
                <w:szCs w:val="18"/>
                <w:highlight w:val="none"/>
              </w:rPr>
              <w:t>有效知识产权</w:t>
            </w:r>
          </w:p>
        </w:tc>
        <w:tc>
          <w:tcPr>
            <w:tcW w:w="631" w:type="pct"/>
            <w:tcBorders>
              <w:top w:val="single" w:color="auto" w:sz="12" w:space="0"/>
              <w:tl2br w:val="nil"/>
              <w:tr2bl w:val="nil"/>
            </w:tcBorders>
            <w:noWrap w:val="0"/>
            <w:vAlign w:val="center"/>
          </w:tcPr>
          <w:p w14:paraId="3732AE7C">
            <w:pPr>
              <w:pStyle w:val="26"/>
              <w:keepNext w:val="0"/>
              <w:keepLines w:val="0"/>
              <w:widowControl/>
              <w:suppressLineNumbers w:val="0"/>
              <w:snapToGrid w:val="0"/>
              <w:spacing w:before="0" w:beforeLines="0" w:beforeAutospacing="0" w:after="0" w:afterLines="0" w:afterAutospacing="0"/>
              <w:ind w:left="0" w:right="0" w:firstLine="0" w:firstLineChars="0"/>
              <w:jc w:val="center"/>
              <w:rPr>
                <w:rFonts w:hint="eastAsia" w:hAnsi="宋体" w:cs="宋体"/>
                <w:sz w:val="18"/>
                <w:szCs w:val="18"/>
                <w:highlight w:val="none"/>
              </w:rPr>
            </w:pPr>
            <w:r>
              <w:rPr>
                <w:rFonts w:hint="eastAsia" w:hAnsi="宋体" w:cs="宋体"/>
                <w:sz w:val="18"/>
                <w:szCs w:val="18"/>
                <w:highlight w:val="none"/>
                <w:lang w:val="en-US" w:eastAsia="zh-CN"/>
              </w:rPr>
              <w:t>1</w:t>
            </w:r>
            <w:r>
              <w:rPr>
                <w:rFonts w:hint="eastAsia" w:hAnsi="宋体" w:cs="宋体"/>
                <w:sz w:val="18"/>
                <w:szCs w:val="18"/>
                <w:highlight w:val="none"/>
              </w:rPr>
              <w:t>5</w:t>
            </w:r>
          </w:p>
        </w:tc>
        <w:tc>
          <w:tcPr>
            <w:tcW w:w="906" w:type="pct"/>
            <w:tcBorders>
              <w:top w:val="single" w:color="auto" w:sz="12" w:space="0"/>
              <w:tl2br w:val="nil"/>
              <w:tr2bl w:val="nil"/>
            </w:tcBorders>
            <w:noWrap w:val="0"/>
            <w:vAlign w:val="center"/>
          </w:tcPr>
          <w:p w14:paraId="508285EF">
            <w:pPr>
              <w:pStyle w:val="26"/>
              <w:keepNext w:val="0"/>
              <w:keepLines w:val="0"/>
              <w:widowControl/>
              <w:suppressLineNumbers w:val="0"/>
              <w:snapToGrid w:val="0"/>
              <w:spacing w:before="0" w:beforeLines="0" w:beforeAutospacing="0" w:after="0" w:afterLines="0" w:afterAutospacing="0"/>
              <w:ind w:left="0" w:right="0" w:firstLine="0" w:firstLineChars="0"/>
              <w:jc w:val="center"/>
              <w:rPr>
                <w:rFonts w:hint="eastAsia" w:hAnsi="宋体" w:cs="宋体"/>
                <w:sz w:val="18"/>
                <w:szCs w:val="18"/>
                <w:highlight w:val="none"/>
              </w:rPr>
            </w:pPr>
          </w:p>
        </w:tc>
        <w:tc>
          <w:tcPr>
            <w:tcW w:w="1371" w:type="pct"/>
            <w:tcBorders>
              <w:top w:val="single" w:color="auto" w:sz="12" w:space="0"/>
              <w:tl2br w:val="nil"/>
              <w:tr2bl w:val="nil"/>
            </w:tcBorders>
            <w:noWrap w:val="0"/>
            <w:vAlign w:val="center"/>
          </w:tcPr>
          <w:p w14:paraId="16B46F20">
            <w:pPr>
              <w:pStyle w:val="26"/>
              <w:keepNext w:val="0"/>
              <w:keepLines w:val="0"/>
              <w:widowControl/>
              <w:suppressLineNumbers w:val="0"/>
              <w:snapToGrid w:val="0"/>
              <w:spacing w:before="0" w:beforeLines="0" w:beforeAutospacing="0" w:after="0" w:afterLines="0" w:afterAutospacing="0"/>
              <w:ind w:left="0" w:right="0" w:firstLine="0" w:firstLineChars="0"/>
              <w:jc w:val="center"/>
              <w:rPr>
                <w:rFonts w:hint="eastAsia" w:hAnsi="宋体" w:cs="宋体"/>
                <w:sz w:val="18"/>
                <w:szCs w:val="18"/>
                <w:highlight w:val="none"/>
              </w:rPr>
            </w:pPr>
          </w:p>
        </w:tc>
      </w:tr>
      <w:tr w14:paraId="7539902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4" w:hRule="atLeast"/>
        </w:trPr>
        <w:tc>
          <w:tcPr>
            <w:tcW w:w="778" w:type="pct"/>
            <w:vMerge w:val="continue"/>
            <w:tcBorders>
              <w:tl2br w:val="nil"/>
              <w:tr2bl w:val="nil"/>
            </w:tcBorders>
            <w:noWrap w:val="0"/>
            <w:vAlign w:val="center"/>
          </w:tcPr>
          <w:p w14:paraId="162F994B">
            <w:pPr>
              <w:pStyle w:val="26"/>
              <w:keepNext w:val="0"/>
              <w:keepLines w:val="0"/>
              <w:widowControl/>
              <w:suppressLineNumbers w:val="0"/>
              <w:snapToGrid w:val="0"/>
              <w:spacing w:before="0" w:beforeLines="0" w:beforeAutospacing="0" w:after="0" w:afterLines="0" w:afterAutospacing="0"/>
              <w:ind w:left="0" w:right="0" w:firstLine="0" w:firstLineChars="0"/>
              <w:jc w:val="center"/>
              <w:rPr>
                <w:rFonts w:hint="eastAsia" w:hAnsi="宋体" w:cs="宋体"/>
                <w:sz w:val="18"/>
                <w:szCs w:val="18"/>
                <w:highlight w:val="none"/>
              </w:rPr>
            </w:pPr>
          </w:p>
        </w:tc>
        <w:tc>
          <w:tcPr>
            <w:tcW w:w="1311" w:type="pct"/>
            <w:tcBorders>
              <w:tl2br w:val="nil"/>
              <w:tr2bl w:val="nil"/>
            </w:tcBorders>
            <w:noWrap w:val="0"/>
            <w:vAlign w:val="center"/>
          </w:tcPr>
          <w:p w14:paraId="71B5CF8A">
            <w:pPr>
              <w:pStyle w:val="26"/>
              <w:keepNext w:val="0"/>
              <w:keepLines w:val="0"/>
              <w:widowControl/>
              <w:suppressLineNumbers w:val="0"/>
              <w:snapToGrid w:val="0"/>
              <w:spacing w:before="0" w:beforeLines="0" w:beforeAutospacing="0" w:after="0" w:afterLines="0" w:afterAutospacing="0"/>
              <w:ind w:left="0" w:right="0" w:firstLine="0" w:firstLineChars="0"/>
              <w:jc w:val="center"/>
              <w:rPr>
                <w:rFonts w:hint="eastAsia" w:hAnsi="宋体" w:cs="宋体"/>
                <w:sz w:val="18"/>
                <w:szCs w:val="18"/>
                <w:highlight w:val="none"/>
              </w:rPr>
            </w:pPr>
            <w:r>
              <w:rPr>
                <w:rFonts w:hint="eastAsia" w:hAnsi="宋体" w:cs="宋体"/>
                <w:sz w:val="18"/>
                <w:szCs w:val="18"/>
                <w:highlight w:val="none"/>
              </w:rPr>
              <w:t>关键技术先进性</w:t>
            </w:r>
          </w:p>
        </w:tc>
        <w:tc>
          <w:tcPr>
            <w:tcW w:w="631" w:type="pct"/>
            <w:tcBorders>
              <w:tl2br w:val="nil"/>
              <w:tr2bl w:val="nil"/>
            </w:tcBorders>
            <w:noWrap w:val="0"/>
            <w:vAlign w:val="center"/>
          </w:tcPr>
          <w:p w14:paraId="237981B4">
            <w:pPr>
              <w:pStyle w:val="26"/>
              <w:keepNext w:val="0"/>
              <w:keepLines w:val="0"/>
              <w:widowControl/>
              <w:suppressLineNumbers w:val="0"/>
              <w:snapToGrid w:val="0"/>
              <w:spacing w:before="0" w:beforeLines="0" w:beforeAutospacing="0" w:after="0" w:afterLines="0" w:afterAutospacing="0"/>
              <w:ind w:left="0" w:right="0" w:firstLine="0" w:firstLineChars="0"/>
              <w:jc w:val="center"/>
              <w:rPr>
                <w:rFonts w:hint="eastAsia" w:hAnsi="宋体" w:cs="宋体"/>
                <w:sz w:val="18"/>
                <w:szCs w:val="18"/>
                <w:highlight w:val="none"/>
              </w:rPr>
            </w:pPr>
            <w:r>
              <w:rPr>
                <w:rFonts w:hint="eastAsia" w:hAnsi="宋体" w:cs="宋体"/>
                <w:sz w:val="18"/>
                <w:szCs w:val="18"/>
                <w:highlight w:val="none"/>
                <w:lang w:val="en-US" w:eastAsia="zh-CN"/>
              </w:rPr>
              <w:t>2</w:t>
            </w:r>
            <w:r>
              <w:rPr>
                <w:rFonts w:hint="eastAsia" w:hAnsi="宋体" w:cs="宋体"/>
                <w:sz w:val="18"/>
                <w:szCs w:val="18"/>
                <w:highlight w:val="none"/>
              </w:rPr>
              <w:t>5</w:t>
            </w:r>
          </w:p>
        </w:tc>
        <w:tc>
          <w:tcPr>
            <w:tcW w:w="906" w:type="pct"/>
            <w:tcBorders>
              <w:tl2br w:val="nil"/>
              <w:tr2bl w:val="nil"/>
            </w:tcBorders>
            <w:noWrap w:val="0"/>
            <w:vAlign w:val="center"/>
          </w:tcPr>
          <w:p w14:paraId="7F63F978">
            <w:pPr>
              <w:pStyle w:val="26"/>
              <w:keepNext w:val="0"/>
              <w:keepLines w:val="0"/>
              <w:widowControl/>
              <w:suppressLineNumbers w:val="0"/>
              <w:snapToGrid w:val="0"/>
              <w:spacing w:before="0" w:beforeLines="0" w:beforeAutospacing="0" w:after="0" w:afterLines="0" w:afterAutospacing="0"/>
              <w:ind w:left="0" w:right="0" w:firstLine="0" w:firstLineChars="0"/>
              <w:jc w:val="center"/>
              <w:rPr>
                <w:rFonts w:hint="eastAsia" w:hAnsi="宋体" w:cs="宋体"/>
                <w:sz w:val="18"/>
                <w:szCs w:val="18"/>
                <w:highlight w:val="none"/>
              </w:rPr>
            </w:pPr>
          </w:p>
        </w:tc>
        <w:tc>
          <w:tcPr>
            <w:tcW w:w="1371" w:type="pct"/>
            <w:tcBorders>
              <w:tl2br w:val="nil"/>
              <w:tr2bl w:val="nil"/>
            </w:tcBorders>
            <w:noWrap w:val="0"/>
            <w:vAlign w:val="center"/>
          </w:tcPr>
          <w:p w14:paraId="0E0F4CE4">
            <w:pPr>
              <w:pStyle w:val="26"/>
              <w:keepNext w:val="0"/>
              <w:keepLines w:val="0"/>
              <w:widowControl/>
              <w:suppressLineNumbers w:val="0"/>
              <w:snapToGrid w:val="0"/>
              <w:spacing w:before="0" w:beforeLines="0" w:beforeAutospacing="0" w:after="0" w:afterLines="0" w:afterAutospacing="0"/>
              <w:ind w:left="0" w:right="0" w:firstLine="0" w:firstLineChars="0"/>
              <w:jc w:val="center"/>
              <w:rPr>
                <w:rFonts w:hint="eastAsia" w:hAnsi="宋体" w:cs="宋体"/>
                <w:sz w:val="18"/>
                <w:szCs w:val="18"/>
                <w:highlight w:val="none"/>
              </w:rPr>
            </w:pPr>
          </w:p>
        </w:tc>
      </w:tr>
      <w:tr w14:paraId="41086FC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4" w:hRule="atLeast"/>
        </w:trPr>
        <w:tc>
          <w:tcPr>
            <w:tcW w:w="778" w:type="pct"/>
            <w:vMerge w:val="continue"/>
            <w:tcBorders>
              <w:tl2br w:val="nil"/>
              <w:tr2bl w:val="nil"/>
            </w:tcBorders>
            <w:noWrap w:val="0"/>
            <w:vAlign w:val="center"/>
          </w:tcPr>
          <w:p w14:paraId="109E7A30">
            <w:pPr>
              <w:pStyle w:val="26"/>
              <w:keepNext w:val="0"/>
              <w:keepLines w:val="0"/>
              <w:widowControl/>
              <w:suppressLineNumbers w:val="0"/>
              <w:snapToGrid w:val="0"/>
              <w:spacing w:before="0" w:beforeLines="0" w:beforeAutospacing="0" w:after="0" w:afterLines="0" w:afterAutospacing="0"/>
              <w:ind w:left="0" w:right="0" w:firstLine="0" w:firstLineChars="0"/>
              <w:jc w:val="center"/>
              <w:rPr>
                <w:rFonts w:hint="eastAsia" w:hAnsi="宋体" w:cs="宋体"/>
                <w:sz w:val="18"/>
                <w:szCs w:val="18"/>
                <w:highlight w:val="none"/>
              </w:rPr>
            </w:pPr>
          </w:p>
        </w:tc>
        <w:tc>
          <w:tcPr>
            <w:tcW w:w="1311" w:type="pct"/>
            <w:tcBorders>
              <w:tl2br w:val="nil"/>
              <w:tr2bl w:val="nil"/>
            </w:tcBorders>
            <w:noWrap w:val="0"/>
            <w:vAlign w:val="center"/>
          </w:tcPr>
          <w:p w14:paraId="76F119D0">
            <w:pPr>
              <w:pStyle w:val="26"/>
              <w:keepNext w:val="0"/>
              <w:keepLines w:val="0"/>
              <w:widowControl/>
              <w:suppressLineNumbers w:val="0"/>
              <w:snapToGrid w:val="0"/>
              <w:spacing w:before="0" w:beforeLines="0" w:beforeAutospacing="0" w:after="0" w:afterLines="0" w:afterAutospacing="0"/>
              <w:ind w:left="0" w:right="0" w:firstLine="0" w:firstLineChars="0"/>
              <w:jc w:val="center"/>
              <w:rPr>
                <w:rFonts w:hint="eastAsia" w:hAnsi="宋体" w:cs="宋体"/>
                <w:sz w:val="18"/>
                <w:szCs w:val="18"/>
                <w:highlight w:val="none"/>
              </w:rPr>
            </w:pPr>
            <w:r>
              <w:rPr>
                <w:rFonts w:hint="eastAsia" w:hAnsi="宋体" w:cs="宋体"/>
                <w:sz w:val="18"/>
                <w:szCs w:val="18"/>
                <w:highlight w:val="none"/>
              </w:rPr>
              <w:t>环境效益</w:t>
            </w:r>
          </w:p>
        </w:tc>
        <w:tc>
          <w:tcPr>
            <w:tcW w:w="631" w:type="pct"/>
            <w:tcBorders>
              <w:tl2br w:val="nil"/>
              <w:tr2bl w:val="nil"/>
            </w:tcBorders>
            <w:noWrap w:val="0"/>
            <w:vAlign w:val="center"/>
          </w:tcPr>
          <w:p w14:paraId="384ADBD3">
            <w:pPr>
              <w:pStyle w:val="26"/>
              <w:keepNext w:val="0"/>
              <w:keepLines w:val="0"/>
              <w:widowControl/>
              <w:suppressLineNumbers w:val="0"/>
              <w:snapToGrid w:val="0"/>
              <w:spacing w:before="0" w:beforeLines="0" w:beforeAutospacing="0" w:after="0" w:afterLines="0" w:afterAutospacing="0"/>
              <w:ind w:left="0" w:right="0" w:firstLine="0" w:firstLineChars="0"/>
              <w:jc w:val="center"/>
              <w:rPr>
                <w:rFonts w:hint="eastAsia" w:hAnsi="宋体" w:cs="宋体"/>
                <w:sz w:val="18"/>
                <w:szCs w:val="18"/>
                <w:highlight w:val="none"/>
              </w:rPr>
            </w:pPr>
            <w:r>
              <w:rPr>
                <w:rFonts w:hint="eastAsia" w:hAnsi="宋体" w:cs="宋体"/>
                <w:sz w:val="18"/>
                <w:szCs w:val="18"/>
                <w:highlight w:val="none"/>
              </w:rPr>
              <w:t>20</w:t>
            </w:r>
          </w:p>
        </w:tc>
        <w:tc>
          <w:tcPr>
            <w:tcW w:w="906" w:type="pct"/>
            <w:tcBorders>
              <w:tl2br w:val="nil"/>
              <w:tr2bl w:val="nil"/>
            </w:tcBorders>
            <w:noWrap w:val="0"/>
            <w:vAlign w:val="center"/>
          </w:tcPr>
          <w:p w14:paraId="06A1A945">
            <w:pPr>
              <w:pStyle w:val="26"/>
              <w:keepNext w:val="0"/>
              <w:keepLines w:val="0"/>
              <w:widowControl/>
              <w:suppressLineNumbers w:val="0"/>
              <w:snapToGrid w:val="0"/>
              <w:spacing w:before="0" w:beforeLines="0" w:beforeAutospacing="0" w:after="0" w:afterLines="0" w:afterAutospacing="0"/>
              <w:ind w:left="0" w:right="0" w:firstLine="0" w:firstLineChars="0"/>
              <w:jc w:val="center"/>
              <w:rPr>
                <w:rFonts w:hint="eastAsia" w:hAnsi="宋体" w:cs="宋体"/>
                <w:sz w:val="18"/>
                <w:szCs w:val="18"/>
                <w:highlight w:val="none"/>
              </w:rPr>
            </w:pPr>
          </w:p>
        </w:tc>
        <w:tc>
          <w:tcPr>
            <w:tcW w:w="1371" w:type="pct"/>
            <w:tcBorders>
              <w:tl2br w:val="nil"/>
              <w:tr2bl w:val="nil"/>
            </w:tcBorders>
            <w:noWrap w:val="0"/>
            <w:vAlign w:val="center"/>
          </w:tcPr>
          <w:p w14:paraId="7806CAEA">
            <w:pPr>
              <w:pStyle w:val="26"/>
              <w:keepNext w:val="0"/>
              <w:keepLines w:val="0"/>
              <w:widowControl/>
              <w:suppressLineNumbers w:val="0"/>
              <w:snapToGrid w:val="0"/>
              <w:spacing w:before="0" w:beforeLines="0" w:beforeAutospacing="0" w:after="0" w:afterLines="0" w:afterAutospacing="0"/>
              <w:ind w:left="0" w:right="0" w:firstLine="0" w:firstLineChars="0"/>
              <w:jc w:val="center"/>
              <w:rPr>
                <w:rFonts w:hint="eastAsia" w:hAnsi="宋体" w:cs="宋体"/>
                <w:sz w:val="18"/>
                <w:szCs w:val="18"/>
                <w:highlight w:val="none"/>
              </w:rPr>
            </w:pPr>
          </w:p>
        </w:tc>
      </w:tr>
      <w:tr w14:paraId="2E0DCA1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4" w:hRule="atLeast"/>
        </w:trPr>
        <w:tc>
          <w:tcPr>
            <w:tcW w:w="778" w:type="pct"/>
            <w:vMerge w:val="restart"/>
            <w:tcBorders>
              <w:tl2br w:val="nil"/>
              <w:tr2bl w:val="nil"/>
            </w:tcBorders>
            <w:noWrap w:val="0"/>
            <w:vAlign w:val="center"/>
          </w:tcPr>
          <w:p w14:paraId="77A5F433">
            <w:pPr>
              <w:pStyle w:val="26"/>
              <w:keepNext w:val="0"/>
              <w:keepLines w:val="0"/>
              <w:widowControl/>
              <w:suppressLineNumbers w:val="0"/>
              <w:snapToGrid w:val="0"/>
              <w:spacing w:before="0" w:beforeLines="0" w:beforeAutospacing="0" w:after="0" w:afterLines="0" w:afterAutospacing="0"/>
              <w:ind w:left="0" w:right="0" w:firstLine="0" w:firstLineChars="0"/>
              <w:jc w:val="center"/>
              <w:rPr>
                <w:rFonts w:hint="eastAsia" w:hAnsi="宋体" w:cs="宋体"/>
                <w:sz w:val="18"/>
                <w:szCs w:val="18"/>
                <w:highlight w:val="none"/>
              </w:rPr>
            </w:pPr>
            <w:r>
              <w:rPr>
                <w:rFonts w:hint="eastAsia" w:hAnsi="宋体" w:cs="宋体"/>
                <w:sz w:val="18"/>
                <w:szCs w:val="18"/>
                <w:highlight w:val="none"/>
              </w:rPr>
              <w:t>环境表现</w:t>
            </w:r>
          </w:p>
        </w:tc>
        <w:tc>
          <w:tcPr>
            <w:tcW w:w="1311" w:type="pct"/>
            <w:tcBorders>
              <w:tl2br w:val="nil"/>
              <w:tr2bl w:val="nil"/>
            </w:tcBorders>
            <w:noWrap w:val="0"/>
            <w:vAlign w:val="center"/>
          </w:tcPr>
          <w:p w14:paraId="1A5155F6">
            <w:pPr>
              <w:pStyle w:val="26"/>
              <w:keepNext w:val="0"/>
              <w:keepLines w:val="0"/>
              <w:widowControl/>
              <w:suppressLineNumbers w:val="0"/>
              <w:snapToGrid w:val="0"/>
              <w:spacing w:before="0" w:beforeLines="0" w:beforeAutospacing="0" w:after="0" w:afterLines="0" w:afterAutospacing="0"/>
              <w:ind w:left="0" w:right="0" w:firstLine="0" w:firstLineChars="0"/>
              <w:jc w:val="center"/>
              <w:rPr>
                <w:rFonts w:hint="eastAsia" w:ascii="宋体" w:hAnsi="宋体" w:eastAsia="宋体" w:cs="宋体"/>
                <w:sz w:val="18"/>
                <w:szCs w:val="18"/>
                <w:highlight w:val="none"/>
                <w:lang w:val="en-US" w:eastAsia="zh-CN" w:bidi="ar-SA"/>
              </w:rPr>
            </w:pPr>
            <w:r>
              <w:rPr>
                <w:rFonts w:hint="eastAsia" w:hAnsi="宋体" w:cs="宋体"/>
                <w:sz w:val="18"/>
                <w:szCs w:val="18"/>
                <w:highlight w:val="none"/>
              </w:rPr>
              <w:t>绿色低碳运营</w:t>
            </w:r>
          </w:p>
        </w:tc>
        <w:tc>
          <w:tcPr>
            <w:tcW w:w="631" w:type="pct"/>
            <w:tcBorders>
              <w:tl2br w:val="nil"/>
              <w:tr2bl w:val="nil"/>
            </w:tcBorders>
            <w:noWrap w:val="0"/>
            <w:vAlign w:val="center"/>
          </w:tcPr>
          <w:p w14:paraId="1AA3CB20">
            <w:pPr>
              <w:pStyle w:val="26"/>
              <w:keepNext w:val="0"/>
              <w:keepLines w:val="0"/>
              <w:widowControl/>
              <w:suppressLineNumbers w:val="0"/>
              <w:snapToGrid w:val="0"/>
              <w:spacing w:before="0" w:beforeLines="0" w:beforeAutospacing="0" w:after="0" w:afterLines="0" w:afterAutospacing="0"/>
              <w:ind w:left="0" w:right="0" w:firstLine="0" w:firstLineChars="0"/>
              <w:jc w:val="center"/>
              <w:rPr>
                <w:rFonts w:hint="eastAsia" w:ascii="宋体" w:hAnsi="宋体" w:eastAsia="宋体" w:cs="宋体"/>
                <w:sz w:val="18"/>
                <w:szCs w:val="18"/>
                <w:highlight w:val="none"/>
                <w:lang w:val="en-US" w:eastAsia="zh-CN" w:bidi="ar-SA"/>
              </w:rPr>
            </w:pPr>
            <w:r>
              <w:rPr>
                <w:rFonts w:hint="eastAsia" w:hAnsi="宋体" w:cs="宋体"/>
                <w:sz w:val="18"/>
                <w:szCs w:val="18"/>
                <w:highlight w:val="none"/>
                <w:lang w:val="en-US" w:eastAsia="zh-CN"/>
              </w:rPr>
              <w:t>20</w:t>
            </w:r>
          </w:p>
        </w:tc>
        <w:tc>
          <w:tcPr>
            <w:tcW w:w="906" w:type="pct"/>
            <w:tcBorders>
              <w:tl2br w:val="nil"/>
              <w:tr2bl w:val="nil"/>
            </w:tcBorders>
            <w:noWrap w:val="0"/>
            <w:vAlign w:val="center"/>
          </w:tcPr>
          <w:p w14:paraId="0675D22C">
            <w:pPr>
              <w:pStyle w:val="26"/>
              <w:keepNext w:val="0"/>
              <w:keepLines w:val="0"/>
              <w:widowControl/>
              <w:suppressLineNumbers w:val="0"/>
              <w:snapToGrid w:val="0"/>
              <w:spacing w:before="0" w:beforeLines="0" w:beforeAutospacing="0" w:after="0" w:afterLines="0" w:afterAutospacing="0"/>
              <w:ind w:left="0" w:right="0" w:firstLine="0" w:firstLineChars="0"/>
              <w:jc w:val="center"/>
              <w:rPr>
                <w:rFonts w:hint="eastAsia" w:hAnsi="宋体" w:cs="宋体"/>
                <w:sz w:val="18"/>
                <w:szCs w:val="18"/>
                <w:highlight w:val="none"/>
              </w:rPr>
            </w:pPr>
          </w:p>
        </w:tc>
        <w:tc>
          <w:tcPr>
            <w:tcW w:w="1371" w:type="pct"/>
            <w:tcBorders>
              <w:tl2br w:val="nil"/>
              <w:tr2bl w:val="nil"/>
            </w:tcBorders>
            <w:noWrap w:val="0"/>
            <w:vAlign w:val="center"/>
          </w:tcPr>
          <w:p w14:paraId="2F9C6B21">
            <w:pPr>
              <w:pStyle w:val="26"/>
              <w:keepNext w:val="0"/>
              <w:keepLines w:val="0"/>
              <w:widowControl/>
              <w:suppressLineNumbers w:val="0"/>
              <w:snapToGrid w:val="0"/>
              <w:spacing w:before="0" w:beforeLines="0" w:beforeAutospacing="0" w:after="0" w:afterLines="0" w:afterAutospacing="0"/>
              <w:ind w:left="0" w:right="0" w:firstLine="0" w:firstLineChars="0"/>
              <w:jc w:val="center"/>
              <w:rPr>
                <w:rFonts w:hint="eastAsia" w:hAnsi="宋体" w:cs="宋体"/>
                <w:sz w:val="18"/>
                <w:szCs w:val="18"/>
                <w:highlight w:val="none"/>
              </w:rPr>
            </w:pPr>
          </w:p>
        </w:tc>
      </w:tr>
      <w:tr w14:paraId="524042F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4" w:hRule="atLeast"/>
        </w:trPr>
        <w:tc>
          <w:tcPr>
            <w:tcW w:w="778" w:type="pct"/>
            <w:vMerge w:val="continue"/>
            <w:tcBorders>
              <w:tl2br w:val="nil"/>
              <w:tr2bl w:val="nil"/>
            </w:tcBorders>
            <w:noWrap w:val="0"/>
            <w:vAlign w:val="center"/>
          </w:tcPr>
          <w:p w14:paraId="1D452E03">
            <w:pPr>
              <w:pStyle w:val="26"/>
              <w:keepNext w:val="0"/>
              <w:keepLines w:val="0"/>
              <w:widowControl/>
              <w:suppressLineNumbers w:val="0"/>
              <w:snapToGrid w:val="0"/>
              <w:spacing w:before="0" w:beforeLines="0" w:beforeAutospacing="0" w:after="0" w:afterLines="0" w:afterAutospacing="0"/>
              <w:ind w:left="0" w:right="0" w:firstLine="0" w:firstLineChars="0"/>
              <w:jc w:val="center"/>
              <w:rPr>
                <w:rFonts w:hint="eastAsia" w:hAnsi="宋体" w:cs="宋体"/>
                <w:sz w:val="18"/>
                <w:szCs w:val="18"/>
                <w:highlight w:val="none"/>
              </w:rPr>
            </w:pPr>
          </w:p>
        </w:tc>
        <w:tc>
          <w:tcPr>
            <w:tcW w:w="1311" w:type="pct"/>
            <w:tcBorders>
              <w:tl2br w:val="nil"/>
              <w:tr2bl w:val="nil"/>
            </w:tcBorders>
            <w:noWrap w:val="0"/>
            <w:vAlign w:val="center"/>
          </w:tcPr>
          <w:p w14:paraId="6537D113">
            <w:pPr>
              <w:pStyle w:val="26"/>
              <w:keepNext w:val="0"/>
              <w:keepLines w:val="0"/>
              <w:widowControl/>
              <w:suppressLineNumbers w:val="0"/>
              <w:snapToGrid w:val="0"/>
              <w:spacing w:before="0" w:beforeLines="0" w:beforeAutospacing="0" w:after="0" w:afterLines="0" w:afterAutospacing="0"/>
              <w:ind w:left="0" w:right="0" w:firstLine="0" w:firstLineChars="0"/>
              <w:jc w:val="center"/>
              <w:rPr>
                <w:rFonts w:hint="eastAsia" w:hAnsi="宋体" w:cs="宋体"/>
                <w:sz w:val="18"/>
                <w:szCs w:val="18"/>
                <w:highlight w:val="none"/>
              </w:rPr>
            </w:pPr>
            <w:r>
              <w:rPr>
                <w:rFonts w:hint="eastAsia" w:hAnsi="宋体" w:cs="宋体"/>
                <w:sz w:val="18"/>
                <w:szCs w:val="18"/>
                <w:highlight w:val="none"/>
              </w:rPr>
              <w:t>工艺设备材料</w:t>
            </w:r>
          </w:p>
        </w:tc>
        <w:tc>
          <w:tcPr>
            <w:tcW w:w="631" w:type="pct"/>
            <w:tcBorders>
              <w:tl2br w:val="nil"/>
              <w:tr2bl w:val="nil"/>
            </w:tcBorders>
            <w:noWrap w:val="0"/>
            <w:vAlign w:val="center"/>
          </w:tcPr>
          <w:p w14:paraId="542ED315">
            <w:pPr>
              <w:pStyle w:val="26"/>
              <w:keepNext w:val="0"/>
              <w:keepLines w:val="0"/>
              <w:widowControl/>
              <w:suppressLineNumbers w:val="0"/>
              <w:snapToGrid w:val="0"/>
              <w:spacing w:before="0" w:beforeLines="0" w:beforeAutospacing="0" w:after="0" w:afterLines="0" w:afterAutospacing="0"/>
              <w:ind w:left="0" w:right="0" w:firstLine="0" w:firstLineChars="0"/>
              <w:jc w:val="center"/>
              <w:rPr>
                <w:rFonts w:hint="eastAsia" w:hAnsi="宋体" w:cs="宋体"/>
                <w:sz w:val="18"/>
                <w:szCs w:val="18"/>
                <w:highlight w:val="none"/>
              </w:rPr>
            </w:pPr>
            <w:r>
              <w:rPr>
                <w:rFonts w:hint="eastAsia" w:hAnsi="宋体" w:cs="宋体"/>
                <w:sz w:val="18"/>
                <w:szCs w:val="18"/>
                <w:highlight w:val="none"/>
              </w:rPr>
              <w:t>10</w:t>
            </w:r>
          </w:p>
        </w:tc>
        <w:tc>
          <w:tcPr>
            <w:tcW w:w="906" w:type="pct"/>
            <w:tcBorders>
              <w:tl2br w:val="nil"/>
              <w:tr2bl w:val="nil"/>
            </w:tcBorders>
            <w:noWrap w:val="0"/>
            <w:vAlign w:val="center"/>
          </w:tcPr>
          <w:p w14:paraId="00EA8D35">
            <w:pPr>
              <w:pStyle w:val="26"/>
              <w:keepNext w:val="0"/>
              <w:keepLines w:val="0"/>
              <w:widowControl/>
              <w:suppressLineNumbers w:val="0"/>
              <w:snapToGrid w:val="0"/>
              <w:spacing w:before="0" w:beforeLines="0" w:beforeAutospacing="0" w:after="0" w:afterLines="0" w:afterAutospacing="0"/>
              <w:ind w:left="0" w:right="0" w:firstLine="0" w:firstLineChars="0"/>
              <w:jc w:val="center"/>
              <w:rPr>
                <w:rFonts w:hint="eastAsia" w:hAnsi="宋体" w:cs="宋体"/>
                <w:sz w:val="18"/>
                <w:szCs w:val="18"/>
                <w:highlight w:val="none"/>
              </w:rPr>
            </w:pPr>
          </w:p>
        </w:tc>
        <w:tc>
          <w:tcPr>
            <w:tcW w:w="1371" w:type="pct"/>
            <w:tcBorders>
              <w:tl2br w:val="nil"/>
              <w:tr2bl w:val="nil"/>
            </w:tcBorders>
            <w:noWrap w:val="0"/>
            <w:vAlign w:val="center"/>
          </w:tcPr>
          <w:p w14:paraId="10CA2647">
            <w:pPr>
              <w:pStyle w:val="26"/>
              <w:keepNext w:val="0"/>
              <w:keepLines w:val="0"/>
              <w:widowControl/>
              <w:suppressLineNumbers w:val="0"/>
              <w:snapToGrid w:val="0"/>
              <w:spacing w:before="0" w:beforeLines="0" w:beforeAutospacing="0" w:after="0" w:afterLines="0" w:afterAutospacing="0"/>
              <w:ind w:left="0" w:right="0" w:firstLine="0" w:firstLineChars="0"/>
              <w:jc w:val="center"/>
              <w:rPr>
                <w:rFonts w:hint="eastAsia" w:hAnsi="宋体" w:cs="宋体"/>
                <w:sz w:val="18"/>
                <w:szCs w:val="18"/>
                <w:highlight w:val="none"/>
              </w:rPr>
            </w:pPr>
          </w:p>
        </w:tc>
      </w:tr>
      <w:tr w14:paraId="70AF073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4" w:hRule="atLeast"/>
        </w:trPr>
        <w:tc>
          <w:tcPr>
            <w:tcW w:w="778" w:type="pct"/>
            <w:vMerge w:val="continue"/>
            <w:tcBorders>
              <w:tl2br w:val="nil"/>
              <w:tr2bl w:val="nil"/>
            </w:tcBorders>
            <w:noWrap w:val="0"/>
            <w:vAlign w:val="center"/>
          </w:tcPr>
          <w:p w14:paraId="142FA597">
            <w:pPr>
              <w:pStyle w:val="26"/>
              <w:keepNext w:val="0"/>
              <w:keepLines w:val="0"/>
              <w:widowControl/>
              <w:suppressLineNumbers w:val="0"/>
              <w:snapToGrid w:val="0"/>
              <w:spacing w:before="0" w:beforeLines="0" w:beforeAutospacing="0" w:after="0" w:afterLines="0" w:afterAutospacing="0"/>
              <w:ind w:left="0" w:right="0" w:firstLine="0" w:firstLineChars="0"/>
              <w:jc w:val="center"/>
              <w:rPr>
                <w:rFonts w:hint="eastAsia" w:hAnsi="宋体" w:cs="宋体"/>
                <w:sz w:val="18"/>
                <w:szCs w:val="18"/>
                <w:highlight w:val="none"/>
              </w:rPr>
            </w:pPr>
          </w:p>
        </w:tc>
        <w:tc>
          <w:tcPr>
            <w:tcW w:w="1311" w:type="pct"/>
            <w:tcBorders>
              <w:tl2br w:val="nil"/>
              <w:tr2bl w:val="nil"/>
            </w:tcBorders>
            <w:noWrap w:val="0"/>
            <w:vAlign w:val="center"/>
          </w:tcPr>
          <w:p w14:paraId="78F3F7CC">
            <w:pPr>
              <w:pStyle w:val="26"/>
              <w:keepNext w:val="0"/>
              <w:keepLines w:val="0"/>
              <w:widowControl/>
              <w:suppressLineNumbers w:val="0"/>
              <w:snapToGrid w:val="0"/>
              <w:spacing w:before="0" w:beforeLines="0" w:beforeAutospacing="0" w:after="0" w:afterLines="0" w:afterAutospacing="0"/>
              <w:ind w:left="0" w:right="0" w:firstLine="0" w:firstLineChars="0"/>
              <w:jc w:val="center"/>
              <w:rPr>
                <w:rFonts w:hint="eastAsia" w:hAnsi="宋体" w:cs="宋体"/>
                <w:sz w:val="18"/>
                <w:szCs w:val="18"/>
                <w:highlight w:val="none"/>
              </w:rPr>
            </w:pPr>
            <w:r>
              <w:rPr>
                <w:rFonts w:hint="eastAsia" w:hAnsi="宋体" w:cs="宋体"/>
                <w:sz w:val="18"/>
                <w:szCs w:val="18"/>
                <w:highlight w:val="none"/>
              </w:rPr>
              <w:t>污染物排放水平</w:t>
            </w:r>
          </w:p>
        </w:tc>
        <w:tc>
          <w:tcPr>
            <w:tcW w:w="631" w:type="pct"/>
            <w:tcBorders>
              <w:tl2br w:val="nil"/>
              <w:tr2bl w:val="nil"/>
            </w:tcBorders>
            <w:noWrap w:val="0"/>
            <w:vAlign w:val="center"/>
          </w:tcPr>
          <w:p w14:paraId="47E568A8">
            <w:pPr>
              <w:pStyle w:val="26"/>
              <w:keepNext w:val="0"/>
              <w:keepLines w:val="0"/>
              <w:widowControl/>
              <w:suppressLineNumbers w:val="0"/>
              <w:snapToGrid w:val="0"/>
              <w:spacing w:before="0" w:beforeLines="0" w:beforeAutospacing="0" w:after="0" w:afterLines="0" w:afterAutospacing="0"/>
              <w:ind w:left="0" w:right="0" w:firstLine="0" w:firstLineChars="0"/>
              <w:jc w:val="center"/>
              <w:rPr>
                <w:rFonts w:hint="default" w:hAnsi="宋体" w:eastAsia="宋体" w:cs="宋体"/>
                <w:sz w:val="18"/>
                <w:szCs w:val="18"/>
                <w:highlight w:val="none"/>
                <w:lang w:val="en-US" w:eastAsia="zh-CN"/>
              </w:rPr>
            </w:pPr>
            <w:r>
              <w:rPr>
                <w:rFonts w:hint="eastAsia" w:hAnsi="宋体" w:cs="宋体"/>
                <w:sz w:val="18"/>
                <w:szCs w:val="18"/>
                <w:highlight w:val="none"/>
                <w:lang w:val="en-US" w:eastAsia="zh-CN"/>
              </w:rPr>
              <w:t>10</w:t>
            </w:r>
          </w:p>
        </w:tc>
        <w:tc>
          <w:tcPr>
            <w:tcW w:w="906" w:type="pct"/>
            <w:tcBorders>
              <w:tl2br w:val="nil"/>
              <w:tr2bl w:val="nil"/>
            </w:tcBorders>
            <w:noWrap w:val="0"/>
            <w:vAlign w:val="center"/>
          </w:tcPr>
          <w:p w14:paraId="2A2B6C0D">
            <w:pPr>
              <w:pStyle w:val="26"/>
              <w:keepNext w:val="0"/>
              <w:keepLines w:val="0"/>
              <w:widowControl/>
              <w:suppressLineNumbers w:val="0"/>
              <w:snapToGrid w:val="0"/>
              <w:spacing w:before="0" w:beforeLines="0" w:beforeAutospacing="0" w:after="0" w:afterLines="0" w:afterAutospacing="0"/>
              <w:ind w:left="0" w:right="0" w:firstLine="0" w:firstLineChars="0"/>
              <w:jc w:val="center"/>
              <w:rPr>
                <w:rFonts w:hint="eastAsia" w:hAnsi="宋体" w:cs="宋体"/>
                <w:sz w:val="18"/>
                <w:szCs w:val="18"/>
                <w:highlight w:val="none"/>
              </w:rPr>
            </w:pPr>
          </w:p>
        </w:tc>
        <w:tc>
          <w:tcPr>
            <w:tcW w:w="1371" w:type="pct"/>
            <w:tcBorders>
              <w:tl2br w:val="nil"/>
              <w:tr2bl w:val="nil"/>
            </w:tcBorders>
            <w:noWrap w:val="0"/>
            <w:vAlign w:val="center"/>
          </w:tcPr>
          <w:p w14:paraId="5FA619D1">
            <w:pPr>
              <w:pStyle w:val="26"/>
              <w:keepNext w:val="0"/>
              <w:keepLines w:val="0"/>
              <w:widowControl/>
              <w:suppressLineNumbers w:val="0"/>
              <w:snapToGrid w:val="0"/>
              <w:spacing w:before="0" w:beforeLines="0" w:beforeAutospacing="0" w:after="0" w:afterLines="0" w:afterAutospacing="0"/>
              <w:ind w:left="0" w:right="0" w:firstLine="0" w:firstLineChars="0"/>
              <w:jc w:val="center"/>
              <w:rPr>
                <w:rFonts w:hint="eastAsia" w:hAnsi="宋体" w:cs="宋体"/>
                <w:sz w:val="18"/>
                <w:szCs w:val="18"/>
                <w:highlight w:val="none"/>
              </w:rPr>
            </w:pPr>
          </w:p>
        </w:tc>
      </w:tr>
      <w:tr w14:paraId="6EF1FE7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4" w:hRule="atLeast"/>
        </w:trPr>
        <w:tc>
          <w:tcPr>
            <w:tcW w:w="2721" w:type="pct"/>
            <w:gridSpan w:val="3"/>
            <w:tcBorders>
              <w:bottom w:val="single" w:color="auto" w:sz="12" w:space="0"/>
              <w:tl2br w:val="nil"/>
              <w:tr2bl w:val="nil"/>
            </w:tcBorders>
            <w:noWrap w:val="0"/>
            <w:vAlign w:val="center"/>
          </w:tcPr>
          <w:p w14:paraId="6EFA93F7">
            <w:pPr>
              <w:pStyle w:val="26"/>
              <w:keepNext w:val="0"/>
              <w:keepLines w:val="0"/>
              <w:widowControl/>
              <w:suppressLineNumbers w:val="0"/>
              <w:snapToGrid w:val="0"/>
              <w:spacing w:before="0" w:beforeLines="0" w:beforeAutospacing="0" w:after="0" w:afterLines="0" w:afterAutospacing="0"/>
              <w:ind w:left="0" w:right="0" w:firstLine="0" w:firstLineChars="0"/>
              <w:jc w:val="center"/>
              <w:rPr>
                <w:rFonts w:hint="eastAsia" w:hAnsi="宋体" w:cs="宋体"/>
                <w:sz w:val="18"/>
                <w:szCs w:val="18"/>
                <w:highlight w:val="none"/>
              </w:rPr>
            </w:pPr>
            <w:r>
              <w:rPr>
                <w:rFonts w:hint="eastAsia" w:hAnsi="宋体" w:cs="宋体"/>
                <w:b/>
                <w:sz w:val="18"/>
                <w:szCs w:val="18"/>
                <w:highlight w:val="none"/>
              </w:rPr>
              <w:t>总得分</w:t>
            </w:r>
          </w:p>
        </w:tc>
        <w:tc>
          <w:tcPr>
            <w:tcW w:w="2278" w:type="pct"/>
            <w:gridSpan w:val="2"/>
            <w:tcBorders>
              <w:bottom w:val="single" w:color="auto" w:sz="12" w:space="0"/>
              <w:tl2br w:val="nil"/>
              <w:tr2bl w:val="nil"/>
            </w:tcBorders>
            <w:noWrap w:val="0"/>
            <w:vAlign w:val="center"/>
          </w:tcPr>
          <w:p w14:paraId="747A69B1">
            <w:pPr>
              <w:pStyle w:val="26"/>
              <w:keepNext w:val="0"/>
              <w:keepLines w:val="0"/>
              <w:widowControl/>
              <w:suppressLineNumbers w:val="0"/>
              <w:snapToGrid w:val="0"/>
              <w:spacing w:before="0" w:beforeLines="0" w:beforeAutospacing="0" w:after="0" w:afterLines="0" w:afterAutospacing="0"/>
              <w:ind w:left="0" w:right="0" w:firstLine="0" w:firstLineChars="0"/>
              <w:jc w:val="center"/>
              <w:rPr>
                <w:rFonts w:hint="eastAsia" w:hAnsi="宋体" w:cs="宋体"/>
                <w:sz w:val="18"/>
                <w:szCs w:val="18"/>
                <w:highlight w:val="none"/>
              </w:rPr>
            </w:pPr>
          </w:p>
        </w:tc>
      </w:tr>
      <w:tr w14:paraId="7AB92CA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4" w:hRule="atLeast"/>
        </w:trPr>
        <w:tc>
          <w:tcPr>
            <w:tcW w:w="5000" w:type="pct"/>
            <w:gridSpan w:val="5"/>
            <w:tcBorders>
              <w:top w:val="single" w:color="auto" w:sz="12" w:space="0"/>
            </w:tcBorders>
            <w:noWrap w:val="0"/>
            <w:vAlign w:val="center"/>
          </w:tcPr>
          <w:p w14:paraId="582D39D2">
            <w:pPr>
              <w:pStyle w:val="26"/>
              <w:keepNext w:val="0"/>
              <w:keepLines w:val="0"/>
              <w:pageBreakBefore w:val="0"/>
              <w:widowControl/>
              <w:suppressLineNumbers w:val="0"/>
              <w:kinsoku/>
              <w:wordWrap/>
              <w:overflowPunct/>
              <w:topLinePunct w:val="0"/>
              <w:autoSpaceDE w:val="0"/>
              <w:autoSpaceDN w:val="0"/>
              <w:bidi w:val="0"/>
              <w:adjustRightInd/>
              <w:snapToGrid w:val="0"/>
              <w:spacing w:before="0" w:beforeLines="0" w:beforeAutospacing="0" w:after="0" w:afterLines="0" w:afterAutospacing="0"/>
              <w:ind w:left="0" w:right="0" w:firstLine="360" w:firstLineChars="200"/>
              <w:jc w:val="left"/>
              <w:textAlignment w:val="auto"/>
              <w:rPr>
                <w:rFonts w:hint="eastAsia" w:hAnsi="宋体" w:cs="宋体"/>
                <w:sz w:val="18"/>
                <w:szCs w:val="18"/>
                <w:highlight w:val="none"/>
              </w:rPr>
            </w:pPr>
            <w:r>
              <w:rPr>
                <w:rStyle w:val="157"/>
                <w:rFonts w:hint="eastAsia" w:ascii="宋体" w:hAnsi="宋体" w:eastAsia="宋体" w:cs="宋体"/>
                <w:sz w:val="18"/>
                <w:szCs w:val="18"/>
                <w:highlight w:val="none"/>
                <w:vertAlign w:val="superscript"/>
              </w:rPr>
              <w:t>a</w:t>
            </w:r>
            <w:r>
              <w:rPr>
                <w:rFonts w:hint="eastAsia" w:ascii="宋体" w:hAnsi="宋体" w:eastAsia="宋体" w:cs="宋体"/>
                <w:sz w:val="18"/>
                <w:szCs w:val="18"/>
                <w:highlight w:val="none"/>
              </w:rPr>
              <w:t xml:space="preserve"> </w:t>
            </w:r>
            <w:r>
              <w:rPr>
                <w:rFonts w:hint="eastAsia" w:cs="宋体" w:asciiTheme="minorEastAsia" w:hAnsiTheme="minorEastAsia" w:eastAsiaTheme="minorEastAsia"/>
                <w:sz w:val="18"/>
                <w:szCs w:val="18"/>
                <w:highlight w:val="none"/>
              </w:rPr>
              <w:t xml:space="preserve"> 给出材料对应的具体页码，例如，见第4页。</w:t>
            </w:r>
          </w:p>
        </w:tc>
      </w:tr>
    </w:tbl>
    <w:p w14:paraId="54A8D763">
      <w:pPr>
        <w:keepNext w:val="0"/>
        <w:keepLines w:val="0"/>
        <w:pageBreakBefore w:val="0"/>
        <w:widowControl w:val="0"/>
        <w:numPr>
          <w:ilvl w:val="1"/>
          <w:numId w:val="0"/>
        </w:numPr>
        <w:kinsoku/>
        <w:wordWrap/>
        <w:overflowPunct/>
        <w:topLinePunct w:val="0"/>
        <w:autoSpaceDE/>
        <w:autoSpaceDN/>
        <w:bidi w:val="0"/>
        <w:adjustRightInd w:val="0"/>
        <w:snapToGrid w:val="0"/>
        <w:spacing w:before="313" w:beforeLines="100" w:after="156" w:afterLines="50"/>
        <w:jc w:val="center"/>
        <w:textAlignment w:val="auto"/>
        <w:rPr>
          <w:rFonts w:ascii="黑体" w:hAnsi="黑体" w:eastAsia="黑体"/>
          <w:szCs w:val="21"/>
          <w:highlight w:val="none"/>
        </w:rPr>
      </w:pPr>
      <w:r>
        <w:rPr>
          <w:rFonts w:hint="eastAsia" w:ascii="黑体" w:hAnsi="黑体" w:eastAsia="黑体"/>
          <w:szCs w:val="21"/>
          <w:highlight w:val="none"/>
        </w:rPr>
        <w:t>表</w:t>
      </w:r>
      <w:r>
        <w:rPr>
          <w:rFonts w:hint="eastAsia" w:ascii="黑体" w:hAnsi="黑体" w:eastAsia="黑体"/>
          <w:szCs w:val="21"/>
          <w:highlight w:val="none"/>
          <w:lang w:val="en-US" w:eastAsia="zh-CN"/>
        </w:rPr>
        <w:t>D</w:t>
      </w:r>
      <w:r>
        <w:rPr>
          <w:rFonts w:hint="eastAsia" w:ascii="黑体" w:hAnsi="黑体" w:eastAsia="黑体"/>
          <w:szCs w:val="21"/>
          <w:highlight w:val="none"/>
        </w:rPr>
        <w:t>.</w:t>
      </w:r>
      <w:r>
        <w:rPr>
          <w:rFonts w:hint="eastAsia" w:ascii="黑体" w:hAnsi="黑体" w:eastAsia="黑体"/>
          <w:szCs w:val="21"/>
          <w:highlight w:val="none"/>
          <w:lang w:val="en-US" w:eastAsia="zh-CN"/>
        </w:rPr>
        <w:t xml:space="preserve">5  </w:t>
      </w:r>
      <w:r>
        <w:rPr>
          <w:rFonts w:hint="eastAsia" w:ascii="黑体" w:hAnsi="黑体" w:eastAsia="黑体"/>
          <w:szCs w:val="21"/>
          <w:highlight w:val="none"/>
        </w:rPr>
        <w:t>关键技术先进性指标评分表</w:t>
      </w:r>
    </w:p>
    <w:tbl>
      <w:tblPr>
        <w:tblStyle w:val="36"/>
        <w:tblW w:w="4994" w:type="pct"/>
        <w:jc w:val="center"/>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autofit"/>
        <w:tblCellMar>
          <w:top w:w="0" w:type="dxa"/>
          <w:left w:w="108" w:type="dxa"/>
          <w:bottom w:w="0" w:type="dxa"/>
          <w:right w:w="108" w:type="dxa"/>
        </w:tblCellMar>
      </w:tblPr>
      <w:tblGrid>
        <w:gridCol w:w="1121"/>
        <w:gridCol w:w="1039"/>
        <w:gridCol w:w="1038"/>
        <w:gridCol w:w="1419"/>
        <w:gridCol w:w="1000"/>
        <w:gridCol w:w="1660"/>
        <w:gridCol w:w="1284"/>
        <w:gridCol w:w="998"/>
      </w:tblGrid>
      <w:tr w14:paraId="1228BC56">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1121" w:type="dxa"/>
            <w:tcBorders>
              <w:bottom w:val="single" w:color="000000" w:sz="12" w:space="0"/>
            </w:tcBorders>
            <w:vAlign w:val="center"/>
          </w:tcPr>
          <w:p w14:paraId="2542C40A">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b/>
                <w:kern w:val="0"/>
                <w:sz w:val="18"/>
                <w:szCs w:val="18"/>
                <w:highlight w:val="none"/>
              </w:rPr>
            </w:pPr>
            <w:r>
              <w:rPr>
                <w:rFonts w:hint="eastAsia" w:ascii="宋体" w:hAnsi="宋体" w:eastAsia="宋体" w:cs="宋体"/>
                <w:b/>
                <w:kern w:val="0"/>
                <w:sz w:val="18"/>
                <w:szCs w:val="18"/>
                <w:highlight w:val="none"/>
              </w:rPr>
              <w:t>所属行业</w:t>
            </w:r>
            <w:r>
              <w:rPr>
                <w:rFonts w:hint="eastAsia" w:ascii="宋体" w:hAnsi="宋体" w:eastAsia="宋体" w:cs="宋体"/>
                <w:b w:val="0"/>
                <w:bCs/>
                <w:kern w:val="0"/>
                <w:sz w:val="18"/>
                <w:szCs w:val="18"/>
                <w:highlight w:val="none"/>
                <w:vertAlign w:val="superscript"/>
                <w:lang w:val="en-US" w:eastAsia="zh-CN"/>
              </w:rPr>
              <w:t>a</w:t>
            </w:r>
          </w:p>
        </w:tc>
        <w:tc>
          <w:tcPr>
            <w:tcW w:w="1039" w:type="dxa"/>
            <w:tcBorders>
              <w:bottom w:val="single" w:color="000000" w:sz="12" w:space="0"/>
            </w:tcBorders>
            <w:vAlign w:val="center"/>
          </w:tcPr>
          <w:p w14:paraId="5AE38702">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b/>
                <w:kern w:val="0"/>
                <w:sz w:val="18"/>
                <w:szCs w:val="18"/>
                <w:highlight w:val="none"/>
              </w:rPr>
            </w:pPr>
            <w:r>
              <w:rPr>
                <w:rFonts w:hint="eastAsia" w:ascii="宋体" w:hAnsi="宋体" w:eastAsia="宋体" w:cs="宋体"/>
                <w:b/>
                <w:kern w:val="0"/>
                <w:sz w:val="18"/>
                <w:szCs w:val="18"/>
                <w:highlight w:val="none"/>
              </w:rPr>
              <w:t>评价环节</w:t>
            </w:r>
            <w:r>
              <w:rPr>
                <w:rFonts w:hint="eastAsia" w:ascii="宋体" w:hAnsi="宋体" w:eastAsia="宋体" w:cs="宋体"/>
                <w:b w:val="0"/>
                <w:bCs/>
                <w:kern w:val="0"/>
                <w:sz w:val="18"/>
                <w:szCs w:val="18"/>
                <w:highlight w:val="none"/>
                <w:vertAlign w:val="superscript"/>
                <w:lang w:val="en-US" w:eastAsia="zh-CN"/>
              </w:rPr>
              <w:t>b</w:t>
            </w:r>
          </w:p>
        </w:tc>
        <w:tc>
          <w:tcPr>
            <w:tcW w:w="1038" w:type="dxa"/>
            <w:tcBorders>
              <w:bottom w:val="single" w:color="000000" w:sz="12" w:space="0"/>
            </w:tcBorders>
            <w:vAlign w:val="center"/>
          </w:tcPr>
          <w:p w14:paraId="42075F4E">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b/>
                <w:kern w:val="0"/>
                <w:sz w:val="18"/>
                <w:szCs w:val="18"/>
                <w:highlight w:val="none"/>
              </w:rPr>
            </w:pPr>
            <w:r>
              <w:rPr>
                <w:rFonts w:hint="eastAsia" w:ascii="宋体" w:hAnsi="宋体" w:eastAsia="宋体" w:cs="宋体"/>
                <w:b/>
                <w:kern w:val="0"/>
                <w:sz w:val="18"/>
                <w:szCs w:val="18"/>
                <w:highlight w:val="none"/>
              </w:rPr>
              <w:t>评价对象</w:t>
            </w:r>
            <w:r>
              <w:rPr>
                <w:rFonts w:hint="eastAsia" w:ascii="宋体" w:hAnsi="宋体" w:eastAsia="宋体" w:cs="宋体"/>
                <w:b w:val="0"/>
                <w:bCs/>
                <w:kern w:val="0"/>
                <w:sz w:val="18"/>
                <w:szCs w:val="18"/>
                <w:highlight w:val="none"/>
                <w:vertAlign w:val="superscript"/>
                <w:lang w:val="en-US" w:eastAsia="zh-CN"/>
              </w:rPr>
              <w:t>c</w:t>
            </w:r>
          </w:p>
        </w:tc>
        <w:tc>
          <w:tcPr>
            <w:tcW w:w="1419" w:type="dxa"/>
            <w:tcBorders>
              <w:bottom w:val="single" w:color="000000" w:sz="12" w:space="0"/>
            </w:tcBorders>
            <w:vAlign w:val="center"/>
          </w:tcPr>
          <w:p w14:paraId="6A009031">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b/>
                <w:kern w:val="0"/>
                <w:sz w:val="18"/>
                <w:szCs w:val="18"/>
                <w:highlight w:val="none"/>
              </w:rPr>
            </w:pPr>
            <w:r>
              <w:rPr>
                <w:rFonts w:hint="eastAsia" w:ascii="宋体" w:hAnsi="宋体" w:eastAsia="宋体" w:cs="宋体"/>
                <w:b/>
                <w:kern w:val="0"/>
                <w:sz w:val="18"/>
                <w:szCs w:val="18"/>
                <w:highlight w:val="none"/>
              </w:rPr>
              <w:t>核心评价指标</w:t>
            </w:r>
            <w:r>
              <w:rPr>
                <w:rFonts w:hint="eastAsia" w:ascii="宋体" w:hAnsi="宋体" w:eastAsia="宋体" w:cs="宋体"/>
                <w:b w:val="0"/>
                <w:bCs/>
                <w:kern w:val="0"/>
                <w:sz w:val="18"/>
                <w:szCs w:val="18"/>
                <w:highlight w:val="none"/>
                <w:vertAlign w:val="superscript"/>
                <w:lang w:val="en-US" w:eastAsia="zh-CN"/>
              </w:rPr>
              <w:t>c</w:t>
            </w:r>
          </w:p>
        </w:tc>
        <w:tc>
          <w:tcPr>
            <w:tcW w:w="1000" w:type="dxa"/>
            <w:tcBorders>
              <w:bottom w:val="single" w:color="000000" w:sz="12" w:space="0"/>
            </w:tcBorders>
            <w:vAlign w:val="center"/>
          </w:tcPr>
          <w:p w14:paraId="3B443ED8">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b/>
                <w:kern w:val="0"/>
                <w:sz w:val="18"/>
                <w:szCs w:val="18"/>
                <w:highlight w:val="none"/>
              </w:rPr>
            </w:pPr>
            <w:r>
              <w:rPr>
                <w:rFonts w:hint="eastAsia" w:ascii="宋体" w:hAnsi="宋体" w:eastAsia="宋体" w:cs="宋体"/>
                <w:b/>
                <w:kern w:val="0"/>
                <w:sz w:val="18"/>
                <w:szCs w:val="18"/>
                <w:highlight w:val="none"/>
              </w:rPr>
              <w:t>参考标准</w:t>
            </w:r>
            <w:r>
              <w:rPr>
                <w:rFonts w:hint="eastAsia" w:ascii="宋体" w:hAnsi="宋体" w:cs="宋体"/>
                <w:b w:val="0"/>
                <w:bCs/>
                <w:kern w:val="0"/>
                <w:sz w:val="18"/>
                <w:szCs w:val="18"/>
                <w:highlight w:val="none"/>
                <w:vertAlign w:val="superscript"/>
                <w:lang w:val="en-US" w:eastAsia="zh-CN"/>
              </w:rPr>
              <w:t>d</w:t>
            </w:r>
          </w:p>
        </w:tc>
        <w:tc>
          <w:tcPr>
            <w:tcW w:w="1660" w:type="dxa"/>
            <w:tcBorders>
              <w:bottom w:val="single" w:color="000000" w:sz="12" w:space="0"/>
            </w:tcBorders>
            <w:vAlign w:val="center"/>
          </w:tcPr>
          <w:p w14:paraId="0693076C">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eastAsia" w:eastAsia="宋体"/>
                <w:b/>
                <w:kern w:val="0"/>
                <w:sz w:val="18"/>
                <w:szCs w:val="18"/>
                <w:highlight w:val="none"/>
                <w:lang w:val="en-US" w:eastAsia="zh-CN"/>
              </w:rPr>
            </w:pPr>
            <w:r>
              <w:rPr>
                <w:rFonts w:hint="eastAsia" w:ascii="宋体" w:hAnsi="宋体" w:eastAsia="宋体" w:cs="宋体"/>
                <w:b/>
                <w:kern w:val="0"/>
                <w:sz w:val="18"/>
                <w:szCs w:val="18"/>
                <w:highlight w:val="none"/>
              </w:rPr>
              <w:t>标准参考值/要求</w:t>
            </w:r>
            <w:r>
              <w:rPr>
                <w:rFonts w:hint="eastAsia" w:ascii="宋体" w:hAnsi="宋体" w:cs="宋体"/>
                <w:b w:val="0"/>
                <w:bCs/>
                <w:kern w:val="0"/>
                <w:sz w:val="18"/>
                <w:szCs w:val="18"/>
                <w:highlight w:val="none"/>
                <w:vertAlign w:val="superscript"/>
                <w:lang w:val="en-US" w:eastAsia="zh-CN"/>
              </w:rPr>
              <w:t>e</w:t>
            </w:r>
          </w:p>
        </w:tc>
        <w:tc>
          <w:tcPr>
            <w:tcW w:w="1284" w:type="dxa"/>
            <w:tcBorders>
              <w:bottom w:val="single" w:color="000000" w:sz="12" w:space="0"/>
            </w:tcBorders>
            <w:vAlign w:val="center"/>
          </w:tcPr>
          <w:p w14:paraId="6004894C">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eastAsia" w:eastAsia="宋体"/>
                <w:b/>
                <w:kern w:val="0"/>
                <w:sz w:val="18"/>
                <w:szCs w:val="18"/>
                <w:highlight w:val="none"/>
                <w:lang w:val="en-US" w:eastAsia="zh-CN"/>
              </w:rPr>
            </w:pPr>
            <w:r>
              <w:rPr>
                <w:rFonts w:hint="eastAsia" w:ascii="宋体" w:hAnsi="宋体" w:eastAsia="宋体" w:cs="宋体"/>
                <w:b/>
                <w:kern w:val="0"/>
                <w:sz w:val="18"/>
                <w:szCs w:val="18"/>
                <w:highlight w:val="none"/>
              </w:rPr>
              <w:t>自评值/要求</w:t>
            </w:r>
            <w:r>
              <w:rPr>
                <w:rFonts w:hint="eastAsia" w:ascii="宋体" w:hAnsi="宋体" w:cs="宋体"/>
                <w:b w:val="0"/>
                <w:bCs/>
                <w:kern w:val="0"/>
                <w:sz w:val="18"/>
                <w:szCs w:val="18"/>
                <w:highlight w:val="none"/>
                <w:vertAlign w:val="superscript"/>
                <w:lang w:val="en-US" w:eastAsia="zh-CN"/>
              </w:rPr>
              <w:t>f</w:t>
            </w:r>
          </w:p>
        </w:tc>
        <w:tc>
          <w:tcPr>
            <w:tcW w:w="998" w:type="dxa"/>
            <w:tcBorders>
              <w:bottom w:val="single" w:color="000000" w:sz="12" w:space="0"/>
            </w:tcBorders>
            <w:vAlign w:val="center"/>
          </w:tcPr>
          <w:p w14:paraId="479545B7">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b/>
                <w:kern w:val="0"/>
                <w:sz w:val="18"/>
                <w:szCs w:val="18"/>
                <w:highlight w:val="none"/>
              </w:rPr>
            </w:pPr>
            <w:r>
              <w:rPr>
                <w:rFonts w:hint="eastAsia" w:ascii="宋体" w:hAnsi="宋体" w:eastAsia="宋体" w:cs="宋体"/>
                <w:b/>
                <w:kern w:val="0"/>
                <w:sz w:val="18"/>
                <w:szCs w:val="18"/>
                <w:highlight w:val="none"/>
              </w:rPr>
              <w:t>佐证材料</w:t>
            </w:r>
            <w:r>
              <w:rPr>
                <w:rFonts w:hint="eastAsia" w:ascii="宋体" w:hAnsi="宋体" w:cs="宋体"/>
                <w:b w:val="0"/>
                <w:bCs/>
                <w:kern w:val="0"/>
                <w:sz w:val="18"/>
                <w:szCs w:val="18"/>
                <w:highlight w:val="none"/>
                <w:vertAlign w:val="superscript"/>
                <w:lang w:val="en-US" w:eastAsia="zh-CN"/>
              </w:rPr>
              <w:t>g</w:t>
            </w:r>
          </w:p>
        </w:tc>
      </w:tr>
      <w:tr w14:paraId="74235F7A">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68" w:hRule="atLeast"/>
          <w:jc w:val="center"/>
        </w:trPr>
        <w:tc>
          <w:tcPr>
            <w:tcW w:w="1121" w:type="dxa"/>
            <w:tcBorders>
              <w:top w:val="single" w:color="000000" w:sz="12" w:space="0"/>
              <w:bottom w:val="single" w:color="000000" w:sz="12" w:space="0"/>
              <w:tl2br w:val="nil"/>
              <w:tr2bl w:val="nil"/>
            </w:tcBorders>
            <w:vAlign w:val="center"/>
          </w:tcPr>
          <w:p w14:paraId="1AF804BE">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hAnsi="宋体" w:cs="宋体"/>
                <w:kern w:val="0"/>
                <w:sz w:val="18"/>
                <w:szCs w:val="18"/>
                <w:highlight w:val="none"/>
              </w:rPr>
            </w:pPr>
          </w:p>
        </w:tc>
        <w:tc>
          <w:tcPr>
            <w:tcW w:w="1039" w:type="dxa"/>
            <w:tcBorders>
              <w:top w:val="single" w:color="000000" w:sz="12" w:space="0"/>
              <w:bottom w:val="single" w:color="000000" w:sz="12" w:space="0"/>
              <w:tl2br w:val="nil"/>
              <w:tr2bl w:val="nil"/>
            </w:tcBorders>
            <w:vAlign w:val="center"/>
          </w:tcPr>
          <w:p w14:paraId="7903C1FE">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hAnsi="宋体" w:cs="宋体"/>
                <w:kern w:val="0"/>
                <w:sz w:val="18"/>
                <w:szCs w:val="18"/>
                <w:highlight w:val="none"/>
              </w:rPr>
            </w:pPr>
          </w:p>
        </w:tc>
        <w:tc>
          <w:tcPr>
            <w:tcW w:w="1038" w:type="dxa"/>
            <w:tcBorders>
              <w:top w:val="single" w:color="000000" w:sz="12" w:space="0"/>
              <w:bottom w:val="single" w:color="000000" w:sz="12" w:space="0"/>
              <w:tl2br w:val="nil"/>
              <w:tr2bl w:val="nil"/>
            </w:tcBorders>
            <w:vAlign w:val="center"/>
          </w:tcPr>
          <w:p w14:paraId="72AB63BE">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hAnsi="宋体" w:cs="宋体"/>
                <w:kern w:val="0"/>
                <w:sz w:val="18"/>
                <w:szCs w:val="18"/>
                <w:highlight w:val="none"/>
              </w:rPr>
            </w:pPr>
          </w:p>
        </w:tc>
        <w:tc>
          <w:tcPr>
            <w:tcW w:w="1419" w:type="dxa"/>
            <w:tcBorders>
              <w:top w:val="single" w:color="000000" w:sz="12" w:space="0"/>
              <w:bottom w:val="single" w:color="000000" w:sz="12" w:space="0"/>
              <w:tl2br w:val="nil"/>
              <w:tr2bl w:val="nil"/>
            </w:tcBorders>
            <w:vAlign w:val="center"/>
          </w:tcPr>
          <w:p w14:paraId="01D08317">
            <w:pPr>
              <w:pStyle w:val="26"/>
              <w:keepNext w:val="0"/>
              <w:keepLines w:val="0"/>
              <w:widowControl/>
              <w:suppressLineNumbers w:val="0"/>
              <w:spacing w:before="0" w:beforeAutospacing="0" w:after="0" w:afterAutospacing="0"/>
              <w:ind w:left="0" w:right="0" w:firstLine="0" w:firstLineChars="0"/>
              <w:jc w:val="center"/>
              <w:rPr>
                <w:rFonts w:hint="default" w:hAnsi="宋体" w:cs="宋体"/>
                <w:sz w:val="18"/>
                <w:szCs w:val="18"/>
                <w:highlight w:val="none"/>
              </w:rPr>
            </w:pPr>
          </w:p>
        </w:tc>
        <w:tc>
          <w:tcPr>
            <w:tcW w:w="1000" w:type="dxa"/>
            <w:tcBorders>
              <w:top w:val="single" w:color="000000" w:sz="12" w:space="0"/>
              <w:bottom w:val="single" w:color="000000" w:sz="12" w:space="0"/>
              <w:tl2br w:val="nil"/>
              <w:tr2bl w:val="nil"/>
            </w:tcBorders>
            <w:vAlign w:val="center"/>
          </w:tcPr>
          <w:p w14:paraId="469E5132">
            <w:pPr>
              <w:keepNext w:val="0"/>
              <w:keepLines w:val="0"/>
              <w:widowControl/>
              <w:suppressLineNumbers w:val="0"/>
              <w:spacing w:before="0" w:beforeAutospacing="0" w:after="0" w:afterAutospacing="0"/>
              <w:ind w:left="0" w:right="0"/>
              <w:jc w:val="center"/>
              <w:textAlignment w:val="center"/>
              <w:rPr>
                <w:rFonts w:hint="default" w:ascii="宋体" w:hAnsi="宋体" w:cs="宋体"/>
                <w:kern w:val="0"/>
                <w:sz w:val="18"/>
                <w:szCs w:val="18"/>
                <w:highlight w:val="none"/>
              </w:rPr>
            </w:pPr>
          </w:p>
        </w:tc>
        <w:tc>
          <w:tcPr>
            <w:tcW w:w="1660" w:type="dxa"/>
            <w:tcBorders>
              <w:top w:val="single" w:color="000000" w:sz="12" w:space="0"/>
              <w:bottom w:val="single" w:color="000000" w:sz="12" w:space="0"/>
              <w:tl2br w:val="nil"/>
              <w:tr2bl w:val="nil"/>
            </w:tcBorders>
            <w:vAlign w:val="center"/>
          </w:tcPr>
          <w:p w14:paraId="6D4F5042">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hAnsi="宋体" w:cs="宋体"/>
                <w:kern w:val="0"/>
                <w:sz w:val="18"/>
                <w:szCs w:val="18"/>
                <w:highlight w:val="none"/>
              </w:rPr>
            </w:pPr>
          </w:p>
        </w:tc>
        <w:tc>
          <w:tcPr>
            <w:tcW w:w="1284" w:type="dxa"/>
            <w:tcBorders>
              <w:top w:val="single" w:color="000000" w:sz="12" w:space="0"/>
              <w:bottom w:val="single" w:color="000000" w:sz="12" w:space="0"/>
              <w:tl2br w:val="nil"/>
              <w:tr2bl w:val="nil"/>
            </w:tcBorders>
            <w:vAlign w:val="center"/>
          </w:tcPr>
          <w:p w14:paraId="5FFB66B5">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hAnsi="宋体" w:cs="宋体"/>
                <w:kern w:val="0"/>
                <w:sz w:val="18"/>
                <w:szCs w:val="18"/>
                <w:highlight w:val="none"/>
              </w:rPr>
            </w:pPr>
          </w:p>
        </w:tc>
        <w:tc>
          <w:tcPr>
            <w:tcW w:w="998" w:type="dxa"/>
            <w:tcBorders>
              <w:top w:val="single" w:color="000000" w:sz="12" w:space="0"/>
              <w:bottom w:val="single" w:color="000000" w:sz="12" w:space="0"/>
              <w:tl2br w:val="nil"/>
              <w:tr2bl w:val="nil"/>
            </w:tcBorders>
            <w:vAlign w:val="center"/>
          </w:tcPr>
          <w:p w14:paraId="6859C88B">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center"/>
              <w:rPr>
                <w:rFonts w:hint="default" w:ascii="宋体" w:hAnsi="宋体" w:cs="宋体"/>
                <w:kern w:val="0"/>
                <w:sz w:val="18"/>
                <w:szCs w:val="18"/>
                <w:highlight w:val="none"/>
              </w:rPr>
            </w:pPr>
          </w:p>
        </w:tc>
      </w:tr>
      <w:tr w14:paraId="4B5D7896">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68" w:hRule="atLeast"/>
          <w:jc w:val="center"/>
        </w:trPr>
        <w:tc>
          <w:tcPr>
            <w:tcW w:w="9559" w:type="dxa"/>
            <w:gridSpan w:val="8"/>
            <w:tcBorders>
              <w:top w:val="single" w:color="000000" w:sz="12" w:space="0"/>
            </w:tcBorders>
            <w:vAlign w:val="center"/>
          </w:tcPr>
          <w:p w14:paraId="567EC357">
            <w:pPr>
              <w:keepNext w:val="0"/>
              <w:keepLines w:val="0"/>
              <w:pageBreakBefore w:val="0"/>
              <w:widowControl/>
              <w:suppressLineNumbers w:val="0"/>
              <w:tabs>
                <w:tab w:val="center" w:pos="4201"/>
                <w:tab w:val="right" w:leader="dot" w:pos="9298"/>
              </w:tabs>
              <w:kinsoku/>
              <w:wordWrap/>
              <w:overflowPunct/>
              <w:topLinePunct w:val="0"/>
              <w:autoSpaceDE w:val="0"/>
              <w:autoSpaceDN w:val="0"/>
              <w:bidi w:val="0"/>
              <w:adjustRightInd/>
              <w:snapToGrid/>
              <w:spacing w:before="0" w:beforeAutospacing="0" w:after="0" w:afterAutospacing="0"/>
              <w:ind w:left="0" w:right="0" w:firstLine="360" w:firstLineChars="200"/>
              <w:jc w:val="left"/>
              <w:textAlignment w:val="auto"/>
              <w:rPr>
                <w:rFonts w:hint="eastAsia" w:ascii="宋体" w:hAnsi="宋体" w:cs="宋体"/>
                <w:kern w:val="0"/>
                <w:sz w:val="18"/>
                <w:szCs w:val="18"/>
                <w:highlight w:val="none"/>
                <w:lang w:eastAsia="zh-CN"/>
              </w:rPr>
            </w:pPr>
            <w:r>
              <w:rPr>
                <w:rFonts w:hint="eastAsia" w:ascii="宋体" w:hAnsi="宋体" w:cs="宋体"/>
                <w:kern w:val="0"/>
                <w:sz w:val="18"/>
                <w:szCs w:val="18"/>
                <w:highlight w:val="none"/>
                <w:vertAlign w:val="superscript"/>
                <w:lang w:val="en-US" w:eastAsia="zh-CN"/>
              </w:rPr>
              <w:t>a</w:t>
            </w:r>
            <w:r>
              <w:rPr>
                <w:rFonts w:hint="eastAsia" w:ascii="宋体" w:hAnsi="宋体" w:cs="宋体"/>
                <w:kern w:val="0"/>
                <w:sz w:val="18"/>
                <w:szCs w:val="18"/>
                <w:highlight w:val="none"/>
                <w:lang w:val="en-US" w:eastAsia="zh-CN"/>
              </w:rPr>
              <w:t xml:space="preserve">  </w:t>
            </w:r>
            <w:r>
              <w:rPr>
                <w:rFonts w:hint="eastAsia" w:ascii="宋体" w:hAnsi="宋体" w:cs="宋体"/>
                <w:kern w:val="0"/>
                <w:sz w:val="18"/>
                <w:szCs w:val="18"/>
                <w:highlight w:val="none"/>
              </w:rPr>
              <w:t>所属行业根据</w:t>
            </w:r>
            <w:r>
              <w:rPr>
                <w:rFonts w:hint="eastAsia" w:ascii="宋体" w:hAnsi="宋体" w:cs="宋体"/>
                <w:kern w:val="0"/>
                <w:sz w:val="18"/>
                <w:szCs w:val="18"/>
                <w:highlight w:val="none"/>
                <w:lang w:val="en-US" w:eastAsia="zh-CN"/>
              </w:rPr>
              <w:t>相关政府职能部门发布的绿色低碳产业指导目录</w:t>
            </w:r>
            <w:r>
              <w:rPr>
                <w:rFonts w:hint="eastAsia" w:ascii="宋体" w:hAnsi="宋体" w:cs="宋体"/>
                <w:kern w:val="0"/>
                <w:sz w:val="18"/>
                <w:szCs w:val="18"/>
                <w:highlight w:val="none"/>
              </w:rPr>
              <w:t>分类填写</w:t>
            </w:r>
            <w:r>
              <w:rPr>
                <w:rFonts w:hint="eastAsia" w:ascii="宋体" w:hAnsi="宋体" w:cs="宋体"/>
                <w:kern w:val="0"/>
                <w:sz w:val="18"/>
                <w:szCs w:val="18"/>
                <w:highlight w:val="none"/>
                <w:lang w:eastAsia="zh-CN"/>
              </w:rPr>
              <w:t>。</w:t>
            </w:r>
          </w:p>
          <w:p w14:paraId="540F526A">
            <w:pPr>
              <w:keepNext w:val="0"/>
              <w:keepLines w:val="0"/>
              <w:pageBreakBefore w:val="0"/>
              <w:widowControl/>
              <w:suppressLineNumbers w:val="0"/>
              <w:tabs>
                <w:tab w:val="center" w:pos="4201"/>
                <w:tab w:val="right" w:leader="dot" w:pos="9298"/>
              </w:tabs>
              <w:kinsoku/>
              <w:wordWrap/>
              <w:overflowPunct/>
              <w:topLinePunct w:val="0"/>
              <w:autoSpaceDE w:val="0"/>
              <w:autoSpaceDN w:val="0"/>
              <w:bidi w:val="0"/>
              <w:adjustRightInd/>
              <w:snapToGrid/>
              <w:spacing w:before="0" w:beforeAutospacing="0" w:after="0" w:afterAutospacing="0"/>
              <w:ind w:left="0" w:right="0" w:firstLine="360" w:firstLineChars="200"/>
              <w:jc w:val="left"/>
              <w:textAlignment w:val="auto"/>
              <w:rPr>
                <w:rFonts w:hint="eastAsia" w:ascii="宋体" w:hAnsi="宋体" w:cs="宋体"/>
                <w:kern w:val="0"/>
                <w:sz w:val="18"/>
                <w:szCs w:val="18"/>
                <w:highlight w:val="none"/>
                <w:lang w:eastAsia="zh-CN"/>
              </w:rPr>
            </w:pPr>
            <w:r>
              <w:rPr>
                <w:rFonts w:hint="eastAsia" w:ascii="宋体" w:hAnsi="宋体" w:cs="宋体"/>
                <w:kern w:val="0"/>
                <w:sz w:val="18"/>
                <w:szCs w:val="18"/>
                <w:highlight w:val="none"/>
                <w:vertAlign w:val="superscript"/>
                <w:lang w:val="en-US" w:eastAsia="zh-CN"/>
              </w:rPr>
              <w:t>b</w:t>
            </w:r>
            <w:r>
              <w:rPr>
                <w:rFonts w:hint="eastAsia" w:ascii="宋体" w:hAnsi="宋体" w:cs="宋体"/>
                <w:kern w:val="0"/>
                <w:sz w:val="18"/>
                <w:szCs w:val="18"/>
                <w:highlight w:val="none"/>
                <w:lang w:val="en-US" w:eastAsia="zh-CN"/>
              </w:rPr>
              <w:t xml:space="preserve">  </w:t>
            </w:r>
            <w:r>
              <w:rPr>
                <w:rFonts w:hint="eastAsia" w:ascii="宋体" w:hAnsi="宋体" w:cs="宋体"/>
                <w:kern w:val="0"/>
                <w:sz w:val="18"/>
                <w:szCs w:val="18"/>
                <w:highlight w:val="none"/>
              </w:rPr>
              <w:t>评价环节按生产制造、建设运营选择填写</w:t>
            </w:r>
            <w:r>
              <w:rPr>
                <w:rFonts w:hint="eastAsia" w:ascii="宋体" w:hAnsi="宋体" w:cs="宋体"/>
                <w:kern w:val="0"/>
                <w:sz w:val="18"/>
                <w:szCs w:val="18"/>
                <w:highlight w:val="none"/>
                <w:lang w:eastAsia="zh-CN"/>
              </w:rPr>
              <w:t>。</w:t>
            </w:r>
          </w:p>
          <w:p w14:paraId="685CED8F">
            <w:pPr>
              <w:keepNext w:val="0"/>
              <w:keepLines w:val="0"/>
              <w:pageBreakBefore w:val="0"/>
              <w:widowControl/>
              <w:suppressLineNumbers w:val="0"/>
              <w:tabs>
                <w:tab w:val="center" w:pos="4201"/>
                <w:tab w:val="right" w:leader="dot" w:pos="9298"/>
              </w:tabs>
              <w:kinsoku/>
              <w:wordWrap/>
              <w:overflowPunct/>
              <w:topLinePunct w:val="0"/>
              <w:autoSpaceDE w:val="0"/>
              <w:autoSpaceDN w:val="0"/>
              <w:bidi w:val="0"/>
              <w:adjustRightInd/>
              <w:snapToGrid/>
              <w:spacing w:before="0" w:beforeAutospacing="0" w:after="0" w:afterAutospacing="0"/>
              <w:ind w:left="0" w:right="0" w:firstLine="360" w:firstLineChars="200"/>
              <w:jc w:val="left"/>
              <w:textAlignment w:val="auto"/>
              <w:rPr>
                <w:rFonts w:hint="eastAsia" w:ascii="宋体" w:hAnsi="宋体" w:cs="宋体"/>
                <w:kern w:val="0"/>
                <w:sz w:val="18"/>
                <w:szCs w:val="18"/>
                <w:highlight w:val="none"/>
              </w:rPr>
            </w:pPr>
            <w:r>
              <w:rPr>
                <w:rFonts w:hint="eastAsia" w:ascii="宋体" w:hAnsi="宋体" w:cs="宋体"/>
                <w:kern w:val="0"/>
                <w:sz w:val="18"/>
                <w:szCs w:val="18"/>
                <w:highlight w:val="none"/>
                <w:vertAlign w:val="superscript"/>
                <w:lang w:val="en-US" w:eastAsia="zh-CN"/>
              </w:rPr>
              <w:t>c</w:t>
            </w:r>
            <w:r>
              <w:rPr>
                <w:rFonts w:hint="eastAsia" w:ascii="宋体" w:hAnsi="宋体" w:cs="宋体"/>
                <w:kern w:val="0"/>
                <w:sz w:val="18"/>
                <w:szCs w:val="18"/>
                <w:highlight w:val="none"/>
                <w:lang w:val="en-US" w:eastAsia="zh-CN"/>
              </w:rPr>
              <w:t xml:space="preserve">  </w:t>
            </w:r>
            <w:r>
              <w:rPr>
                <w:rFonts w:hint="eastAsia" w:ascii="宋体" w:hAnsi="宋体" w:cs="宋体"/>
                <w:kern w:val="0"/>
                <w:sz w:val="18"/>
                <w:szCs w:val="18"/>
                <w:highlight w:val="none"/>
              </w:rPr>
              <w:t>评价对象、核心评价指标均参照</w:t>
            </w:r>
            <w:r>
              <w:rPr>
                <w:rFonts w:hint="eastAsia" w:ascii="宋体" w:hAnsi="宋体" w:cs="宋体"/>
                <w:kern w:val="0"/>
                <w:sz w:val="18"/>
                <w:szCs w:val="18"/>
                <w:highlight w:val="none"/>
                <w:lang w:val="en-US" w:eastAsia="zh-CN"/>
              </w:rPr>
              <w:t>附录A</w:t>
            </w:r>
            <w:r>
              <w:rPr>
                <w:rFonts w:hint="eastAsia" w:ascii="宋体" w:hAnsi="宋体" w:cs="宋体"/>
                <w:kern w:val="0"/>
                <w:sz w:val="18"/>
                <w:szCs w:val="18"/>
                <w:highlight w:val="none"/>
              </w:rPr>
              <w:t>填写。</w:t>
            </w:r>
          </w:p>
          <w:p w14:paraId="60AFC7F5">
            <w:pPr>
              <w:keepNext w:val="0"/>
              <w:keepLines w:val="0"/>
              <w:pageBreakBefore w:val="0"/>
              <w:widowControl/>
              <w:suppressLineNumbers w:val="0"/>
              <w:tabs>
                <w:tab w:val="center" w:pos="4201"/>
                <w:tab w:val="right" w:leader="dot" w:pos="9298"/>
              </w:tabs>
              <w:kinsoku/>
              <w:wordWrap/>
              <w:overflowPunct/>
              <w:topLinePunct w:val="0"/>
              <w:autoSpaceDE w:val="0"/>
              <w:autoSpaceDN w:val="0"/>
              <w:bidi w:val="0"/>
              <w:adjustRightInd/>
              <w:snapToGrid/>
              <w:spacing w:before="0" w:beforeAutospacing="0" w:after="0" w:afterAutospacing="0"/>
              <w:ind w:left="0" w:right="0" w:firstLine="360" w:firstLineChars="200"/>
              <w:jc w:val="left"/>
              <w:textAlignment w:val="auto"/>
              <w:rPr>
                <w:rFonts w:hint="eastAsia" w:ascii="宋体" w:hAnsi="宋体" w:cs="宋体"/>
                <w:kern w:val="0"/>
                <w:sz w:val="18"/>
                <w:szCs w:val="18"/>
                <w:highlight w:val="none"/>
                <w:lang w:val="en-US" w:eastAsia="zh-CN"/>
              </w:rPr>
            </w:pPr>
            <w:r>
              <w:rPr>
                <w:rFonts w:hint="eastAsia" w:ascii="宋体" w:hAnsi="宋体" w:cs="宋体"/>
                <w:kern w:val="0"/>
                <w:sz w:val="18"/>
                <w:szCs w:val="18"/>
                <w:highlight w:val="none"/>
                <w:vertAlign w:val="superscript"/>
                <w:lang w:val="en-US" w:eastAsia="zh-CN"/>
              </w:rPr>
              <w:t>d</w:t>
            </w:r>
            <w:r>
              <w:rPr>
                <w:rFonts w:hint="eastAsia" w:ascii="宋体" w:hAnsi="宋体" w:cs="宋体"/>
                <w:kern w:val="0"/>
                <w:sz w:val="18"/>
                <w:szCs w:val="18"/>
                <w:highlight w:val="none"/>
                <w:lang w:val="en-US" w:eastAsia="zh-CN"/>
              </w:rPr>
              <w:t xml:space="preserve">  参照附录A填写，给出核心评价指标参考的标准名称及标准号。</w:t>
            </w:r>
          </w:p>
          <w:p w14:paraId="19743132">
            <w:pPr>
              <w:keepNext w:val="0"/>
              <w:keepLines w:val="0"/>
              <w:pageBreakBefore w:val="0"/>
              <w:widowControl/>
              <w:suppressLineNumbers w:val="0"/>
              <w:tabs>
                <w:tab w:val="center" w:pos="4201"/>
                <w:tab w:val="right" w:leader="dot" w:pos="9298"/>
              </w:tabs>
              <w:kinsoku/>
              <w:wordWrap/>
              <w:overflowPunct/>
              <w:topLinePunct w:val="0"/>
              <w:autoSpaceDE w:val="0"/>
              <w:autoSpaceDN w:val="0"/>
              <w:bidi w:val="0"/>
              <w:adjustRightInd/>
              <w:snapToGrid/>
              <w:spacing w:before="0" w:beforeAutospacing="0" w:after="0" w:afterAutospacing="0"/>
              <w:ind w:left="0" w:right="0" w:firstLine="360" w:firstLineChars="200"/>
              <w:jc w:val="left"/>
              <w:textAlignment w:val="auto"/>
              <w:rPr>
                <w:rFonts w:hint="eastAsia" w:ascii="宋体" w:hAnsi="宋体" w:cs="宋体"/>
                <w:kern w:val="0"/>
                <w:sz w:val="18"/>
                <w:szCs w:val="18"/>
                <w:highlight w:val="none"/>
                <w:lang w:val="en-US" w:eastAsia="zh-CN"/>
              </w:rPr>
            </w:pPr>
            <w:r>
              <w:rPr>
                <w:rFonts w:hint="eastAsia" w:ascii="宋体" w:hAnsi="宋体" w:cs="宋体"/>
                <w:kern w:val="0"/>
                <w:sz w:val="18"/>
                <w:szCs w:val="18"/>
                <w:highlight w:val="none"/>
                <w:vertAlign w:val="superscript"/>
                <w:lang w:val="en-US" w:eastAsia="zh-CN"/>
              </w:rPr>
              <w:t>e</w:t>
            </w:r>
            <w:r>
              <w:rPr>
                <w:rFonts w:hint="eastAsia" w:ascii="宋体" w:hAnsi="宋体" w:cs="宋体"/>
                <w:kern w:val="0"/>
                <w:sz w:val="18"/>
                <w:szCs w:val="18"/>
                <w:highlight w:val="none"/>
                <w:lang w:val="en-US" w:eastAsia="zh-CN"/>
              </w:rPr>
              <w:t xml:space="preserve">  给出参考标准中具体的参考值或要求。</w:t>
            </w:r>
          </w:p>
          <w:p w14:paraId="30519344">
            <w:pPr>
              <w:keepNext w:val="0"/>
              <w:keepLines w:val="0"/>
              <w:pageBreakBefore w:val="0"/>
              <w:widowControl/>
              <w:suppressLineNumbers w:val="0"/>
              <w:tabs>
                <w:tab w:val="center" w:pos="4201"/>
                <w:tab w:val="right" w:leader="dot" w:pos="9298"/>
              </w:tabs>
              <w:kinsoku/>
              <w:wordWrap/>
              <w:overflowPunct/>
              <w:topLinePunct w:val="0"/>
              <w:autoSpaceDE w:val="0"/>
              <w:autoSpaceDN w:val="0"/>
              <w:bidi w:val="0"/>
              <w:adjustRightInd/>
              <w:snapToGrid/>
              <w:spacing w:before="0" w:beforeAutospacing="0" w:after="0" w:afterAutospacing="0"/>
              <w:ind w:left="0" w:right="0" w:firstLine="360" w:firstLineChars="200"/>
              <w:jc w:val="left"/>
              <w:textAlignment w:val="auto"/>
              <w:rPr>
                <w:rFonts w:hint="eastAsia" w:ascii="宋体" w:hAnsi="宋体" w:cs="宋体"/>
                <w:kern w:val="0"/>
                <w:sz w:val="18"/>
                <w:szCs w:val="18"/>
                <w:highlight w:val="none"/>
                <w:lang w:val="en-US" w:eastAsia="zh-CN"/>
              </w:rPr>
            </w:pPr>
            <w:r>
              <w:rPr>
                <w:rFonts w:hint="eastAsia" w:ascii="宋体" w:hAnsi="宋体" w:cs="宋体"/>
                <w:kern w:val="0"/>
                <w:sz w:val="18"/>
                <w:szCs w:val="18"/>
                <w:highlight w:val="none"/>
                <w:vertAlign w:val="superscript"/>
                <w:lang w:val="en-US" w:eastAsia="zh-CN"/>
              </w:rPr>
              <w:t>f</w:t>
            </w:r>
            <w:r>
              <w:rPr>
                <w:rFonts w:hint="eastAsia" w:ascii="宋体" w:hAnsi="宋体" w:cs="宋体"/>
                <w:kern w:val="0"/>
                <w:sz w:val="18"/>
                <w:szCs w:val="18"/>
                <w:highlight w:val="none"/>
                <w:lang w:val="en-US" w:eastAsia="zh-CN"/>
              </w:rPr>
              <w:t xml:space="preserve">  对照标准参考值或要求，给出申报单位自评值或响应要求的情况。</w:t>
            </w:r>
          </w:p>
          <w:p w14:paraId="47D908C3">
            <w:pPr>
              <w:keepNext w:val="0"/>
              <w:keepLines w:val="0"/>
              <w:pageBreakBefore w:val="0"/>
              <w:widowControl/>
              <w:suppressLineNumbers w:val="0"/>
              <w:tabs>
                <w:tab w:val="center" w:pos="4201"/>
                <w:tab w:val="right" w:leader="dot" w:pos="9298"/>
              </w:tabs>
              <w:kinsoku/>
              <w:wordWrap/>
              <w:overflowPunct/>
              <w:topLinePunct w:val="0"/>
              <w:autoSpaceDE w:val="0"/>
              <w:autoSpaceDN w:val="0"/>
              <w:bidi w:val="0"/>
              <w:adjustRightInd/>
              <w:snapToGrid/>
              <w:spacing w:before="0" w:beforeAutospacing="0" w:after="0" w:afterAutospacing="0"/>
              <w:ind w:left="0" w:right="0" w:firstLine="360" w:firstLineChars="200"/>
              <w:jc w:val="left"/>
              <w:textAlignment w:val="auto"/>
              <w:rPr>
                <w:rFonts w:hint="default" w:ascii="宋体" w:hAnsi="宋体" w:cs="宋体"/>
                <w:kern w:val="0"/>
                <w:sz w:val="18"/>
                <w:szCs w:val="18"/>
                <w:highlight w:val="none"/>
              </w:rPr>
            </w:pPr>
            <w:r>
              <w:rPr>
                <w:rFonts w:hint="eastAsia" w:ascii="宋体" w:hAnsi="宋体" w:cs="宋体"/>
                <w:kern w:val="0"/>
                <w:sz w:val="18"/>
                <w:szCs w:val="18"/>
                <w:highlight w:val="none"/>
                <w:vertAlign w:val="superscript"/>
                <w:lang w:val="en-US" w:eastAsia="zh-CN"/>
              </w:rPr>
              <w:t>g</w:t>
            </w:r>
            <w:r>
              <w:rPr>
                <w:rFonts w:hint="eastAsia" w:ascii="宋体" w:hAnsi="宋体" w:cs="宋体"/>
                <w:kern w:val="0"/>
                <w:sz w:val="18"/>
                <w:szCs w:val="18"/>
                <w:highlight w:val="none"/>
                <w:lang w:val="en-US" w:eastAsia="zh-CN"/>
              </w:rPr>
              <w:t xml:space="preserve">  给出材料对应的具体页码，例如，见第4页。</w:t>
            </w:r>
          </w:p>
        </w:tc>
      </w:tr>
    </w:tbl>
    <w:p w14:paraId="4972781D">
      <w:pPr>
        <w:numPr>
          <w:ilvl w:val="1"/>
          <w:numId w:val="0"/>
        </w:numPr>
        <w:spacing w:before="156" w:beforeLines="50" w:after="156" w:afterLines="50"/>
        <w:rPr>
          <w:rFonts w:hint="eastAsia"/>
          <w:sz w:val="21"/>
          <w:szCs w:val="21"/>
          <w:highlight w:val="none"/>
        </w:rPr>
      </w:pPr>
      <w:r>
        <w:rPr>
          <w:rFonts w:hint="eastAsia" w:ascii="黑体" w:hAnsi="黑体" w:eastAsia="黑体" w:cs="黑体"/>
          <w:sz w:val="21"/>
          <w:szCs w:val="21"/>
          <w:highlight w:val="none"/>
          <w:lang w:val="en-US" w:eastAsia="zh-CN"/>
        </w:rPr>
        <w:t>D</w:t>
      </w:r>
      <w:r>
        <w:rPr>
          <w:rFonts w:hint="eastAsia" w:ascii="黑体" w:hAnsi="黑体" w:eastAsia="黑体" w:cs="黑体"/>
          <w:sz w:val="21"/>
          <w:szCs w:val="21"/>
          <w:highlight w:val="none"/>
        </w:rPr>
        <w:t>.7  附录</w:t>
      </w:r>
    </w:p>
    <w:p w14:paraId="4C6AC1DA">
      <w:pPr>
        <w:pStyle w:val="26"/>
        <w:keepNext w:val="0"/>
        <w:keepLines w:val="0"/>
        <w:pageBreakBefore w:val="0"/>
        <w:widowControl/>
        <w:kinsoku/>
        <w:wordWrap/>
        <w:overflowPunct/>
        <w:topLinePunct w:val="0"/>
        <w:autoSpaceDE w:val="0"/>
        <w:autoSpaceDN w:val="0"/>
        <w:bidi w:val="0"/>
        <w:adjustRightInd/>
        <w:snapToGrid/>
        <w:ind w:left="0" w:leftChars="0" w:firstLine="420" w:firstLineChars="200"/>
        <w:textAlignment w:val="auto"/>
        <w:rPr>
          <w:rFonts w:hint="eastAsia" w:eastAsia="宋体"/>
          <w:sz w:val="21"/>
          <w:szCs w:val="24"/>
          <w:highlight w:val="none"/>
        </w:rPr>
      </w:pPr>
      <w:r>
        <w:rPr>
          <w:rFonts w:hint="eastAsia" w:eastAsia="宋体"/>
          <w:sz w:val="21"/>
          <w:szCs w:val="24"/>
          <w:highlight w:val="none"/>
        </w:rPr>
        <w:t>列明上述章节所述情况及评价表涉及的佐证材料。</w:t>
      </w:r>
    </w:p>
    <w:p w14:paraId="4E1ABC39">
      <w:pPr>
        <w:pStyle w:val="89"/>
        <w:shd w:val="clear" w:color="FFFFFF" w:fill="FFFFFF"/>
        <w:ind w:left="0" w:firstLine="0"/>
        <w:rPr>
          <w:rFonts w:ascii="Times New Roman"/>
          <w:highlight w:val="none"/>
        </w:rPr>
      </w:pPr>
      <w:r>
        <w:rPr>
          <w:rFonts w:ascii="Times New Roman"/>
          <w:highlight w:val="none"/>
        </w:rPr>
        <w:br w:type="page"/>
      </w:r>
      <w:bookmarkStart w:id="132" w:name="_Toc12772"/>
      <w:bookmarkStart w:id="133" w:name="_Toc6139"/>
      <w:r>
        <w:rPr>
          <w:rFonts w:ascii="Times New Roman"/>
          <w:highlight w:val="none"/>
        </w:rPr>
        <w:br w:type="textWrapping"/>
      </w:r>
      <w:bookmarkStart w:id="134" w:name="_Toc82684171"/>
      <w:r>
        <w:rPr>
          <w:rFonts w:ascii="Times New Roman"/>
          <w:highlight w:val="none"/>
        </w:rPr>
        <w:t>（资料性）</w:t>
      </w:r>
      <w:r>
        <w:rPr>
          <w:rFonts w:ascii="Times New Roman"/>
          <w:highlight w:val="none"/>
        </w:rPr>
        <w:br w:type="textWrapping"/>
      </w:r>
      <w:bookmarkEnd w:id="134"/>
      <w:r>
        <w:rPr>
          <w:rFonts w:hint="eastAsia" w:ascii="Times New Roman"/>
          <w:highlight w:val="none"/>
          <w:lang w:val="en-US" w:eastAsia="zh-CN"/>
        </w:rPr>
        <w:t>温室气体控制领域</w:t>
      </w:r>
      <w:r>
        <w:rPr>
          <w:rFonts w:hint="eastAsia" w:ascii="Times New Roman"/>
          <w:highlight w:val="none"/>
          <w:lang w:eastAsia="zh-CN"/>
        </w:rPr>
        <w:t>绿色低碳产业</w:t>
      </w:r>
      <w:r>
        <w:rPr>
          <w:rFonts w:ascii="Times New Roman"/>
          <w:highlight w:val="none"/>
        </w:rPr>
        <w:t>认定评价指标表</w:t>
      </w:r>
      <w:bookmarkEnd w:id="132"/>
      <w:bookmarkEnd w:id="133"/>
    </w:p>
    <w:p w14:paraId="6ECE361D">
      <w:pPr>
        <w:autoSpaceDE w:val="0"/>
        <w:autoSpaceDN w:val="0"/>
        <w:spacing w:before="156" w:beforeLines="50" w:after="156" w:afterLines="50"/>
        <w:ind w:firstLine="0" w:firstLineChars="0"/>
        <w:jc w:val="both"/>
        <w:rPr>
          <w:rFonts w:ascii="宋体" w:hAnsi="宋体" w:eastAsia="宋体" w:cs="宋体"/>
          <w:sz w:val="21"/>
          <w:highlight w:val="none"/>
          <w:lang w:val="en-US" w:eastAsia="zh-CN" w:bidi="ar-SA"/>
        </w:rPr>
      </w:pPr>
      <w:r>
        <w:rPr>
          <w:rFonts w:hint="eastAsia" w:ascii="黑体" w:hAnsi="黑体" w:eastAsia="黑体" w:cs="黑体"/>
          <w:kern w:val="2"/>
          <w:sz w:val="21"/>
          <w:szCs w:val="21"/>
          <w:highlight w:val="none"/>
          <w:lang w:val="en-US" w:eastAsia="zh-CN" w:bidi="ar-SA"/>
        </w:rPr>
        <w:t>E.1  绿色低碳产业企业认定评价指标</w:t>
      </w:r>
    </w:p>
    <w:p w14:paraId="4E2CBDC4">
      <w:pPr>
        <w:autoSpaceDE w:val="0"/>
        <w:autoSpaceDN w:val="0"/>
        <w:ind w:firstLine="420" w:firstLineChars="200"/>
        <w:rPr>
          <w:rFonts w:asciiTheme="minorEastAsia" w:hAnsiTheme="minorEastAsia" w:eastAsiaTheme="minorEastAsia"/>
          <w:highlight w:val="none"/>
        </w:rPr>
      </w:pPr>
      <w:r>
        <w:rPr>
          <w:rFonts w:hint="eastAsia" w:ascii="宋体" w:hAnsi="宋体" w:cs="宋体"/>
          <w:sz w:val="21"/>
          <w:highlight w:val="none"/>
          <w:lang w:val="en-US" w:eastAsia="zh-CN" w:bidi="ar-SA"/>
        </w:rPr>
        <w:t>温室气体控制</w:t>
      </w:r>
      <w:r>
        <w:rPr>
          <w:rFonts w:hint="eastAsia" w:ascii="宋体" w:hAnsi="宋体" w:eastAsia="宋体" w:cs="宋体"/>
          <w:sz w:val="21"/>
          <w:highlight w:val="none"/>
          <w:lang w:val="en-US" w:eastAsia="zh-CN" w:bidi="ar-SA"/>
        </w:rPr>
        <w:t>领域绿色低碳产业企业认定评价指标见表</w:t>
      </w:r>
      <w:r>
        <w:rPr>
          <w:rFonts w:hint="eastAsia" w:ascii="宋体" w:hAnsi="宋体" w:cs="宋体"/>
          <w:sz w:val="21"/>
          <w:highlight w:val="none"/>
          <w:lang w:val="en-US" w:eastAsia="zh-CN" w:bidi="ar-SA"/>
        </w:rPr>
        <w:t>E</w:t>
      </w:r>
      <w:r>
        <w:rPr>
          <w:rFonts w:hint="eastAsia" w:ascii="宋体" w:hAnsi="宋体" w:eastAsia="宋体" w:cs="宋体"/>
          <w:sz w:val="21"/>
          <w:highlight w:val="none"/>
          <w:lang w:val="en-US" w:eastAsia="zh-CN" w:bidi="ar-SA"/>
        </w:rPr>
        <w:t>.1和表</w:t>
      </w:r>
      <w:r>
        <w:rPr>
          <w:rFonts w:hint="eastAsia" w:ascii="宋体" w:hAnsi="宋体" w:cs="宋体"/>
          <w:sz w:val="21"/>
          <w:highlight w:val="none"/>
          <w:lang w:val="en-US" w:eastAsia="zh-CN" w:bidi="ar-SA"/>
        </w:rPr>
        <w:t>E</w:t>
      </w:r>
      <w:r>
        <w:rPr>
          <w:rFonts w:hint="eastAsia" w:ascii="宋体" w:hAnsi="宋体" w:eastAsia="宋体" w:cs="宋体"/>
          <w:sz w:val="21"/>
          <w:highlight w:val="none"/>
          <w:lang w:val="en-US" w:eastAsia="zh-CN" w:bidi="ar-SA"/>
        </w:rPr>
        <w:t>.2。</w:t>
      </w:r>
      <w:r>
        <w:rPr>
          <w:rFonts w:hint="eastAsia" w:ascii="宋体" w:hAnsi="宋体" w:cs="宋体"/>
          <w:sz w:val="21"/>
          <w:highlight w:val="none"/>
          <w:lang w:val="en-US" w:eastAsia="zh-CN" w:bidi="ar-SA"/>
        </w:rPr>
        <w:t>温室气体控制</w:t>
      </w:r>
      <w:r>
        <w:rPr>
          <w:rFonts w:hint="eastAsia" w:ascii="宋体" w:hAnsi="宋体" w:eastAsia="宋体" w:cs="宋体"/>
          <w:sz w:val="21"/>
          <w:highlight w:val="none"/>
          <w:lang w:val="en-US" w:eastAsia="zh-CN" w:bidi="ar-SA"/>
        </w:rPr>
        <w:t>领域绿色低碳产业企业各评价指标佐证材料索引见表</w:t>
      </w:r>
      <w:r>
        <w:rPr>
          <w:rFonts w:hint="eastAsia" w:ascii="宋体" w:hAnsi="宋体" w:cs="宋体"/>
          <w:sz w:val="21"/>
          <w:highlight w:val="none"/>
          <w:lang w:val="en-US" w:eastAsia="zh-CN" w:bidi="ar-SA"/>
        </w:rPr>
        <w:t>C</w:t>
      </w:r>
      <w:r>
        <w:rPr>
          <w:rFonts w:hint="eastAsia" w:ascii="宋体" w:hAnsi="宋体" w:eastAsia="宋体" w:cs="宋体"/>
          <w:sz w:val="21"/>
          <w:highlight w:val="none"/>
          <w:lang w:val="en-US" w:eastAsia="zh-CN" w:bidi="ar-SA"/>
        </w:rPr>
        <w:t>.3、表</w:t>
      </w:r>
      <w:r>
        <w:rPr>
          <w:rFonts w:hint="eastAsia" w:ascii="宋体" w:hAnsi="宋体" w:cs="宋体"/>
          <w:sz w:val="21"/>
          <w:highlight w:val="none"/>
          <w:lang w:val="en-US" w:eastAsia="zh-CN" w:bidi="ar-SA"/>
        </w:rPr>
        <w:t>C</w:t>
      </w:r>
      <w:r>
        <w:rPr>
          <w:rFonts w:hint="eastAsia" w:ascii="宋体" w:hAnsi="宋体" w:eastAsia="宋体" w:cs="宋体"/>
          <w:sz w:val="21"/>
          <w:highlight w:val="none"/>
          <w:lang w:val="en-US" w:eastAsia="zh-CN" w:bidi="ar-SA"/>
        </w:rPr>
        <w:t>.4。</w:t>
      </w:r>
    </w:p>
    <w:p w14:paraId="2F3B0B96">
      <w:pPr>
        <w:numPr>
          <w:ilvl w:val="1"/>
          <w:numId w:val="0"/>
        </w:numPr>
        <w:spacing w:before="156" w:beforeLines="50" w:after="156" w:afterLines="50"/>
        <w:jc w:val="center"/>
        <w:rPr>
          <w:rFonts w:eastAsia="黑体"/>
          <w:szCs w:val="21"/>
          <w:highlight w:val="none"/>
        </w:rPr>
      </w:pPr>
      <w:r>
        <w:rPr>
          <w:rFonts w:hint="eastAsia" w:ascii="黑体" w:hAnsi="黑体" w:eastAsia="黑体" w:cs="黑体"/>
          <w:szCs w:val="21"/>
          <w:highlight w:val="none"/>
        </w:rPr>
        <w:t>表</w:t>
      </w:r>
      <w:r>
        <w:rPr>
          <w:rFonts w:hint="eastAsia" w:ascii="黑体" w:hAnsi="黑体" w:eastAsia="黑体" w:cs="黑体"/>
          <w:szCs w:val="21"/>
          <w:highlight w:val="none"/>
          <w:lang w:val="en-US" w:eastAsia="zh-CN"/>
        </w:rPr>
        <w:t>E</w:t>
      </w:r>
      <w:r>
        <w:rPr>
          <w:rFonts w:hint="eastAsia" w:ascii="黑体" w:hAnsi="黑体" w:eastAsia="黑体" w:cs="黑体"/>
          <w:szCs w:val="21"/>
          <w:highlight w:val="none"/>
        </w:rPr>
        <w:t>.1</w:t>
      </w:r>
      <w:r>
        <w:rPr>
          <w:rFonts w:hint="eastAsia" w:ascii="黑体" w:hAnsi="黑体" w:eastAsia="黑体" w:cs="黑体"/>
          <w:szCs w:val="21"/>
          <w:highlight w:val="none"/>
          <w:lang w:val="en-US" w:eastAsia="zh-CN"/>
        </w:rPr>
        <w:t xml:space="preserve">  温室气体控制领域</w:t>
      </w:r>
      <w:r>
        <w:rPr>
          <w:rFonts w:hint="eastAsia" w:ascii="黑体" w:hAnsi="黑体" w:eastAsia="黑体" w:cs="黑体"/>
          <w:szCs w:val="21"/>
          <w:highlight w:val="none"/>
          <w:lang w:eastAsia="zh-CN"/>
        </w:rPr>
        <w:t>绿色低碳产业</w:t>
      </w:r>
      <w:r>
        <w:rPr>
          <w:rFonts w:hint="eastAsia" w:ascii="黑体" w:hAnsi="黑体" w:eastAsia="黑体" w:cs="黑体"/>
          <w:szCs w:val="21"/>
          <w:highlight w:val="none"/>
          <w:lang w:val="en-US" w:eastAsia="zh-CN"/>
        </w:rPr>
        <w:t>企业</w:t>
      </w:r>
      <w:r>
        <w:rPr>
          <w:rFonts w:hint="eastAsia" w:ascii="黑体" w:hAnsi="黑体" w:eastAsia="黑体" w:cs="黑体"/>
          <w:szCs w:val="21"/>
          <w:highlight w:val="none"/>
        </w:rPr>
        <w:t>认定符合性评价指标</w:t>
      </w:r>
    </w:p>
    <w:tbl>
      <w:tblPr>
        <w:tblStyle w:val="37"/>
        <w:tblpPr w:leftFromText="180" w:rightFromText="180" w:vertAnchor="text" w:tblpXSpec="center" w:tblpY="1"/>
        <w:tblOverlap w:val="never"/>
        <w:tblW w:w="4994" w:type="pct"/>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1111"/>
        <w:gridCol w:w="5401"/>
        <w:gridCol w:w="1555"/>
        <w:gridCol w:w="1492"/>
      </w:tblGrid>
      <w:tr w14:paraId="7CAF8C3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581" w:type="pct"/>
            <w:tcBorders>
              <w:bottom w:val="single" w:color="auto" w:sz="12" w:space="0"/>
            </w:tcBorders>
            <w:vAlign w:val="center"/>
          </w:tcPr>
          <w:p w14:paraId="7016768F">
            <w:pPr>
              <w:keepNext w:val="0"/>
              <w:keepLines w:val="0"/>
              <w:suppressLineNumbers w:val="0"/>
              <w:autoSpaceDE w:val="0"/>
              <w:autoSpaceDN w:val="0"/>
              <w:spacing w:before="0" w:beforeAutospacing="0" w:after="0" w:afterAutospacing="0"/>
              <w:ind w:left="0" w:right="0"/>
              <w:jc w:val="center"/>
              <w:rPr>
                <w:rFonts w:hint="default" w:ascii="宋体"/>
                <w:b/>
                <w:sz w:val="18"/>
                <w:szCs w:val="18"/>
                <w:highlight w:val="none"/>
              </w:rPr>
            </w:pPr>
            <w:r>
              <w:rPr>
                <w:rFonts w:hint="eastAsia" w:ascii="宋体"/>
                <w:b/>
                <w:sz w:val="18"/>
                <w:szCs w:val="18"/>
                <w:highlight w:val="none"/>
              </w:rPr>
              <w:t>指标</w:t>
            </w:r>
          </w:p>
        </w:tc>
        <w:tc>
          <w:tcPr>
            <w:tcW w:w="2824" w:type="pct"/>
            <w:tcBorders>
              <w:bottom w:val="single" w:color="auto" w:sz="12" w:space="0"/>
            </w:tcBorders>
            <w:vAlign w:val="center"/>
          </w:tcPr>
          <w:p w14:paraId="5544D7DA">
            <w:pPr>
              <w:keepNext w:val="0"/>
              <w:keepLines w:val="0"/>
              <w:suppressLineNumbers w:val="0"/>
              <w:autoSpaceDE w:val="0"/>
              <w:autoSpaceDN w:val="0"/>
              <w:spacing w:before="0" w:beforeAutospacing="0" w:after="0" w:afterAutospacing="0"/>
              <w:ind w:left="0" w:right="0"/>
              <w:jc w:val="center"/>
              <w:rPr>
                <w:rFonts w:hint="default" w:ascii="宋体"/>
                <w:b/>
                <w:sz w:val="18"/>
                <w:szCs w:val="18"/>
                <w:highlight w:val="none"/>
              </w:rPr>
            </w:pPr>
            <w:r>
              <w:rPr>
                <w:rFonts w:hint="eastAsia" w:ascii="宋体"/>
                <w:b/>
                <w:sz w:val="18"/>
                <w:szCs w:val="18"/>
                <w:highlight w:val="none"/>
              </w:rPr>
              <w:t>符合性评价</w:t>
            </w:r>
          </w:p>
        </w:tc>
        <w:tc>
          <w:tcPr>
            <w:tcW w:w="813" w:type="pct"/>
            <w:tcBorders>
              <w:bottom w:val="single" w:color="auto" w:sz="12" w:space="0"/>
            </w:tcBorders>
            <w:vAlign w:val="center"/>
          </w:tcPr>
          <w:p w14:paraId="085BF06C">
            <w:pPr>
              <w:keepNext w:val="0"/>
              <w:keepLines w:val="0"/>
              <w:suppressLineNumbers w:val="0"/>
              <w:autoSpaceDE w:val="0"/>
              <w:autoSpaceDN w:val="0"/>
              <w:spacing w:before="0" w:beforeAutospacing="0" w:after="0" w:afterAutospacing="0"/>
              <w:ind w:left="0" w:right="0"/>
              <w:jc w:val="center"/>
              <w:rPr>
                <w:rFonts w:hint="default" w:ascii="宋体" w:eastAsia="宋体"/>
                <w:b/>
                <w:sz w:val="18"/>
                <w:szCs w:val="18"/>
                <w:highlight w:val="none"/>
                <w:lang w:val="en-US" w:eastAsia="zh-CN"/>
              </w:rPr>
            </w:pPr>
            <w:r>
              <w:rPr>
                <w:rFonts w:hint="eastAsia" w:ascii="宋体"/>
                <w:b/>
                <w:sz w:val="18"/>
                <w:szCs w:val="18"/>
                <w:highlight w:val="none"/>
                <w:lang w:val="en-US" w:eastAsia="zh-CN"/>
              </w:rPr>
              <w:t>评价标准</w:t>
            </w:r>
          </w:p>
        </w:tc>
        <w:tc>
          <w:tcPr>
            <w:tcW w:w="780" w:type="pct"/>
            <w:tcBorders>
              <w:bottom w:val="single" w:color="auto" w:sz="12" w:space="0"/>
            </w:tcBorders>
            <w:vAlign w:val="center"/>
          </w:tcPr>
          <w:p w14:paraId="6C157651">
            <w:pPr>
              <w:keepNext w:val="0"/>
              <w:keepLines w:val="0"/>
              <w:suppressLineNumbers w:val="0"/>
              <w:autoSpaceDE w:val="0"/>
              <w:autoSpaceDN w:val="0"/>
              <w:spacing w:before="0" w:beforeAutospacing="0" w:after="0" w:afterAutospacing="0"/>
              <w:ind w:left="0" w:right="0"/>
              <w:jc w:val="center"/>
              <w:rPr>
                <w:rFonts w:hint="default" w:ascii="宋体"/>
                <w:b/>
                <w:sz w:val="18"/>
                <w:szCs w:val="18"/>
                <w:highlight w:val="none"/>
              </w:rPr>
            </w:pPr>
            <w:r>
              <w:rPr>
                <w:rFonts w:hint="default" w:ascii="宋体"/>
                <w:b/>
                <w:sz w:val="18"/>
                <w:szCs w:val="18"/>
                <w:highlight w:val="none"/>
              </w:rPr>
              <w:t>评价</w:t>
            </w:r>
            <w:r>
              <w:rPr>
                <w:rFonts w:hint="eastAsia" w:ascii="宋体"/>
                <w:b/>
                <w:sz w:val="18"/>
                <w:szCs w:val="18"/>
                <w:highlight w:val="none"/>
              </w:rPr>
              <w:t>结果</w:t>
            </w:r>
          </w:p>
        </w:tc>
      </w:tr>
      <w:tr w14:paraId="3B1A677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98" w:hRule="atLeast"/>
        </w:trPr>
        <w:tc>
          <w:tcPr>
            <w:tcW w:w="581" w:type="pct"/>
            <w:tcBorders>
              <w:top w:val="single" w:color="auto" w:sz="12" w:space="0"/>
              <w:tl2br w:val="nil"/>
              <w:tr2bl w:val="nil"/>
            </w:tcBorders>
            <w:vAlign w:val="center"/>
          </w:tcPr>
          <w:p w14:paraId="76A1D4F8">
            <w:pPr>
              <w:keepNext w:val="0"/>
              <w:keepLines w:val="0"/>
              <w:suppressLineNumbers w:val="0"/>
              <w:autoSpaceDE w:val="0"/>
              <w:autoSpaceDN w:val="0"/>
              <w:spacing w:before="0" w:beforeAutospacing="0" w:after="0" w:afterAutospacing="0"/>
              <w:ind w:left="0" w:right="0"/>
              <w:jc w:val="center"/>
              <w:rPr>
                <w:rFonts w:hint="default" w:ascii="宋体"/>
                <w:b/>
                <w:sz w:val="18"/>
                <w:szCs w:val="18"/>
                <w:highlight w:val="none"/>
              </w:rPr>
            </w:pPr>
            <w:r>
              <w:rPr>
                <w:rFonts w:hint="eastAsia" w:ascii="宋体" w:hAnsi="宋体" w:cs="宋体"/>
                <w:sz w:val="18"/>
                <w:szCs w:val="18"/>
                <w:highlight w:val="none"/>
              </w:rPr>
              <w:t>目录符合</w:t>
            </w:r>
          </w:p>
        </w:tc>
        <w:tc>
          <w:tcPr>
            <w:tcW w:w="2824" w:type="pct"/>
            <w:tcBorders>
              <w:top w:val="single" w:color="auto" w:sz="12" w:space="0"/>
              <w:tl2br w:val="nil"/>
              <w:tr2bl w:val="nil"/>
            </w:tcBorders>
            <w:vAlign w:val="center"/>
          </w:tcPr>
          <w:p w14:paraId="392204B1">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both"/>
              <w:rPr>
                <w:rFonts w:hint="default" w:ascii="宋体"/>
                <w:kern w:val="0"/>
                <w:sz w:val="18"/>
                <w:szCs w:val="18"/>
                <w:highlight w:val="none"/>
              </w:rPr>
            </w:pPr>
            <w:r>
              <w:rPr>
                <w:rFonts w:hint="eastAsia" w:ascii="宋体"/>
                <w:sz w:val="18"/>
                <w:szCs w:val="18"/>
                <w:highlight w:val="none"/>
              </w:rPr>
              <w:t>申报认定评价的</w:t>
            </w:r>
            <w:r>
              <w:rPr>
                <w:rFonts w:hint="eastAsia" w:ascii="宋体"/>
                <w:sz w:val="18"/>
                <w:szCs w:val="18"/>
                <w:highlight w:val="none"/>
                <w:lang w:val="en-US" w:eastAsia="zh-CN"/>
              </w:rPr>
              <w:t>绿色业务</w:t>
            </w:r>
            <w:r>
              <w:rPr>
                <w:rFonts w:hint="eastAsia" w:ascii="宋体"/>
                <w:sz w:val="18"/>
                <w:szCs w:val="18"/>
                <w:highlight w:val="none"/>
              </w:rPr>
              <w:t>属于</w:t>
            </w:r>
            <w:r>
              <w:rPr>
                <w:rFonts w:hint="eastAsia" w:ascii="宋体"/>
                <w:sz w:val="18"/>
                <w:szCs w:val="18"/>
                <w:highlight w:val="none"/>
                <w:lang w:val="en-US" w:eastAsia="zh-CN"/>
              </w:rPr>
              <w:t>温室气体控制领域</w:t>
            </w:r>
            <w:r>
              <w:rPr>
                <w:rFonts w:hint="eastAsia" w:ascii="宋体"/>
                <w:sz w:val="18"/>
                <w:szCs w:val="18"/>
                <w:highlight w:val="none"/>
              </w:rPr>
              <w:t>，且其</w:t>
            </w:r>
            <w:r>
              <w:rPr>
                <w:rFonts w:hint="eastAsia" w:ascii="宋体"/>
                <w:sz w:val="18"/>
                <w:szCs w:val="18"/>
                <w:highlight w:val="none"/>
                <w:lang w:val="en-US" w:eastAsia="zh-CN"/>
              </w:rPr>
              <w:t>温室气体控制领域</w:t>
            </w:r>
            <w:r>
              <w:rPr>
                <w:rFonts w:hint="eastAsia" w:ascii="宋体"/>
                <w:sz w:val="18"/>
                <w:szCs w:val="18"/>
                <w:highlight w:val="none"/>
              </w:rPr>
              <w:t>绿色业务占比达到50%</w:t>
            </w:r>
            <w:r>
              <w:rPr>
                <w:rFonts w:hint="eastAsia" w:ascii="宋体"/>
                <w:sz w:val="18"/>
                <w:szCs w:val="18"/>
                <w:highlight w:val="none"/>
                <w:lang w:val="en-US" w:eastAsia="zh-CN"/>
              </w:rPr>
              <w:t>及</w:t>
            </w:r>
            <w:r>
              <w:rPr>
                <w:rFonts w:hint="eastAsia" w:ascii="宋体"/>
                <w:sz w:val="18"/>
                <w:szCs w:val="18"/>
                <w:highlight w:val="none"/>
              </w:rPr>
              <w:t>以上</w:t>
            </w:r>
            <w:r>
              <w:rPr>
                <w:rFonts w:hint="eastAsia" w:ascii="宋体"/>
                <w:sz w:val="18"/>
                <w:szCs w:val="18"/>
                <w:highlight w:val="none"/>
                <w:lang w:eastAsia="zh-CN"/>
              </w:rPr>
              <w:t>，</w:t>
            </w:r>
            <w:r>
              <w:rPr>
                <w:rFonts w:hint="eastAsia" w:ascii="宋体"/>
                <w:sz w:val="18"/>
                <w:szCs w:val="18"/>
                <w:highlight w:val="none"/>
              </w:rPr>
              <w:t>或</w:t>
            </w:r>
            <w:r>
              <w:rPr>
                <w:rFonts w:hint="eastAsia" w:ascii="宋体"/>
                <w:sz w:val="18"/>
                <w:szCs w:val="18"/>
                <w:highlight w:val="none"/>
                <w:lang w:val="en-US" w:eastAsia="zh-CN"/>
              </w:rPr>
              <w:t>绿色业务</w:t>
            </w:r>
            <w:r>
              <w:rPr>
                <w:rFonts w:hint="eastAsia" w:ascii="宋体"/>
                <w:sz w:val="18"/>
                <w:szCs w:val="18"/>
                <w:highlight w:val="none"/>
              </w:rPr>
              <w:t>规模达到1亿元</w:t>
            </w:r>
            <w:r>
              <w:rPr>
                <w:rFonts w:hint="eastAsia" w:ascii="宋体"/>
                <w:sz w:val="18"/>
                <w:szCs w:val="18"/>
                <w:highlight w:val="none"/>
                <w:lang w:eastAsia="zh-CN"/>
              </w:rPr>
              <w:t>；</w:t>
            </w:r>
            <w:r>
              <w:rPr>
                <w:rFonts w:hint="eastAsia" w:ascii="宋体"/>
                <w:sz w:val="18"/>
                <w:szCs w:val="18"/>
                <w:highlight w:val="none"/>
              </w:rPr>
              <w:t>或在</w:t>
            </w:r>
            <w:r>
              <w:rPr>
                <w:rFonts w:hint="eastAsia" w:ascii="宋体"/>
                <w:sz w:val="18"/>
                <w:szCs w:val="18"/>
                <w:highlight w:val="none"/>
                <w:lang w:val="en-US" w:eastAsia="zh-CN"/>
              </w:rPr>
              <w:t>当地</w:t>
            </w:r>
            <w:r>
              <w:rPr>
                <w:rFonts w:hint="eastAsia" w:ascii="宋体"/>
                <w:sz w:val="18"/>
                <w:szCs w:val="18"/>
                <w:highlight w:val="none"/>
              </w:rPr>
              <w:t>具备一定市场规模</w:t>
            </w:r>
            <w:r>
              <w:rPr>
                <w:rFonts w:hint="eastAsia" w:ascii="宋体"/>
                <w:sz w:val="18"/>
                <w:szCs w:val="18"/>
                <w:highlight w:val="none"/>
                <w:lang w:eastAsia="zh-CN"/>
              </w:rPr>
              <w:t>、</w:t>
            </w:r>
            <w:r>
              <w:rPr>
                <w:rFonts w:hint="eastAsia" w:ascii="宋体"/>
                <w:sz w:val="18"/>
                <w:szCs w:val="18"/>
                <w:highlight w:val="none"/>
              </w:rPr>
              <w:t>经</w:t>
            </w:r>
            <w:r>
              <w:rPr>
                <w:rFonts w:hint="eastAsia" w:ascii="宋体"/>
                <w:sz w:val="18"/>
                <w:szCs w:val="18"/>
                <w:highlight w:val="none"/>
                <w:lang w:val="en-US" w:eastAsia="zh-CN"/>
              </w:rPr>
              <w:t>相关政府职能部门</w:t>
            </w:r>
            <w:r>
              <w:rPr>
                <w:rFonts w:hint="eastAsia" w:ascii="宋体"/>
                <w:sz w:val="18"/>
                <w:szCs w:val="18"/>
                <w:highlight w:val="none"/>
              </w:rPr>
              <w:t>认可的相关行业</w:t>
            </w:r>
          </w:p>
        </w:tc>
        <w:tc>
          <w:tcPr>
            <w:tcW w:w="813" w:type="pct"/>
            <w:tcBorders>
              <w:top w:val="single" w:color="auto" w:sz="12" w:space="0"/>
              <w:tl2br w:val="nil"/>
              <w:tr2bl w:val="nil"/>
            </w:tcBorders>
            <w:vAlign w:val="center"/>
          </w:tcPr>
          <w:p w14:paraId="11073E41">
            <w:pPr>
              <w:keepNext w:val="0"/>
              <w:keepLines w:val="0"/>
              <w:suppressLineNumbers w:val="0"/>
              <w:autoSpaceDE w:val="0"/>
              <w:autoSpaceDN w:val="0"/>
              <w:spacing w:before="0" w:beforeAutospacing="0" w:after="0" w:afterAutospacing="0"/>
              <w:ind w:left="0" w:right="0"/>
              <w:jc w:val="center"/>
              <w:rPr>
                <w:rFonts w:hint="default" w:ascii="宋体" w:hAnsi="宋体" w:cs="宋体"/>
                <w:sz w:val="18"/>
                <w:szCs w:val="18"/>
                <w:highlight w:val="none"/>
              </w:rPr>
            </w:pPr>
            <w:r>
              <w:rPr>
                <w:rFonts w:hint="eastAsia" w:ascii="宋体" w:hAnsi="宋体" w:cs="宋体"/>
                <w:sz w:val="18"/>
                <w:szCs w:val="18"/>
                <w:highlight w:val="none"/>
              </w:rPr>
              <w:t>是/否</w:t>
            </w:r>
          </w:p>
        </w:tc>
        <w:tc>
          <w:tcPr>
            <w:tcW w:w="780" w:type="pct"/>
            <w:tcBorders>
              <w:top w:val="single" w:color="auto" w:sz="12" w:space="0"/>
              <w:tl2br w:val="nil"/>
              <w:tr2bl w:val="nil"/>
            </w:tcBorders>
            <w:vAlign w:val="center"/>
          </w:tcPr>
          <w:p w14:paraId="09D99887">
            <w:pPr>
              <w:keepNext w:val="0"/>
              <w:keepLines w:val="0"/>
              <w:suppressLineNumbers w:val="0"/>
              <w:autoSpaceDE w:val="0"/>
              <w:autoSpaceDN w:val="0"/>
              <w:spacing w:before="0" w:beforeAutospacing="0" w:after="0" w:afterAutospacing="0"/>
              <w:ind w:left="0" w:right="0"/>
              <w:jc w:val="center"/>
              <w:rPr>
                <w:rFonts w:hint="default" w:ascii="宋体"/>
                <w:sz w:val="18"/>
                <w:szCs w:val="18"/>
                <w:highlight w:val="none"/>
              </w:rPr>
            </w:pPr>
          </w:p>
        </w:tc>
      </w:tr>
      <w:tr w14:paraId="1EEE27F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581" w:type="pct"/>
            <w:tcBorders>
              <w:tl2br w:val="nil"/>
              <w:tr2bl w:val="nil"/>
            </w:tcBorders>
            <w:vAlign w:val="center"/>
          </w:tcPr>
          <w:p w14:paraId="7CAC7FD5">
            <w:pPr>
              <w:keepNext w:val="0"/>
              <w:keepLines w:val="0"/>
              <w:suppressLineNumbers w:val="0"/>
              <w:autoSpaceDE w:val="0"/>
              <w:autoSpaceDN w:val="0"/>
              <w:spacing w:before="0" w:beforeAutospacing="0" w:after="0" w:afterAutospacing="0"/>
              <w:ind w:left="0" w:right="0"/>
              <w:jc w:val="center"/>
              <w:rPr>
                <w:rFonts w:hint="default" w:ascii="宋体"/>
                <w:b/>
                <w:sz w:val="18"/>
                <w:szCs w:val="18"/>
                <w:highlight w:val="none"/>
              </w:rPr>
            </w:pPr>
            <w:r>
              <w:rPr>
                <w:rFonts w:hint="eastAsia" w:ascii="宋体" w:hAnsi="宋体" w:cs="宋体"/>
                <w:sz w:val="18"/>
                <w:szCs w:val="18"/>
                <w:highlight w:val="none"/>
              </w:rPr>
              <w:t>技术符合</w:t>
            </w:r>
          </w:p>
        </w:tc>
        <w:tc>
          <w:tcPr>
            <w:tcW w:w="2824" w:type="pct"/>
            <w:tcBorders>
              <w:tl2br w:val="nil"/>
              <w:tr2bl w:val="nil"/>
            </w:tcBorders>
            <w:vAlign w:val="center"/>
          </w:tcPr>
          <w:p w14:paraId="2689415A">
            <w:pPr>
              <w:keepNext w:val="0"/>
              <w:keepLines w:val="0"/>
              <w:widowControl/>
              <w:suppressLineNumbers w:val="0"/>
              <w:tabs>
                <w:tab w:val="center" w:pos="4201"/>
                <w:tab w:val="right" w:leader="dot" w:pos="9298"/>
              </w:tabs>
              <w:autoSpaceDE w:val="0"/>
              <w:autoSpaceDN w:val="0"/>
              <w:spacing w:before="0" w:beforeAutospacing="0" w:after="0" w:afterAutospacing="0"/>
              <w:ind w:left="0" w:right="0"/>
              <w:jc w:val="both"/>
              <w:rPr>
                <w:rFonts w:hint="eastAsia" w:ascii="宋体" w:eastAsia="宋体"/>
                <w:kern w:val="0"/>
                <w:sz w:val="18"/>
                <w:szCs w:val="18"/>
                <w:highlight w:val="none"/>
                <w:lang w:eastAsia="zh-CN"/>
              </w:rPr>
            </w:pPr>
            <w:r>
              <w:rPr>
                <w:rFonts w:hint="eastAsia" w:ascii="宋体"/>
                <w:sz w:val="18"/>
                <w:szCs w:val="18"/>
                <w:highlight w:val="none"/>
                <w:lang w:val="en-US" w:eastAsia="zh-CN"/>
              </w:rPr>
              <w:t>提供的产品或服务应符合国家、广东省及深圳市相关主管部门发布文件列明的有关设计、能效、性能、安全、贮存、回收、标识、验收、管理和运维等技术要求</w:t>
            </w:r>
          </w:p>
        </w:tc>
        <w:tc>
          <w:tcPr>
            <w:tcW w:w="813" w:type="pct"/>
            <w:tcBorders>
              <w:tl2br w:val="nil"/>
              <w:tr2bl w:val="nil"/>
            </w:tcBorders>
            <w:vAlign w:val="center"/>
          </w:tcPr>
          <w:p w14:paraId="7E065EB3">
            <w:pPr>
              <w:keepNext w:val="0"/>
              <w:keepLines w:val="0"/>
              <w:suppressLineNumbers w:val="0"/>
              <w:autoSpaceDE w:val="0"/>
              <w:autoSpaceDN w:val="0"/>
              <w:spacing w:before="0" w:beforeAutospacing="0" w:after="0" w:afterAutospacing="0"/>
              <w:ind w:left="0" w:right="0"/>
              <w:jc w:val="center"/>
              <w:rPr>
                <w:rFonts w:hint="default" w:ascii="宋体" w:hAnsi="宋体" w:cs="宋体"/>
                <w:sz w:val="18"/>
                <w:szCs w:val="18"/>
                <w:highlight w:val="none"/>
              </w:rPr>
            </w:pPr>
            <w:r>
              <w:rPr>
                <w:rFonts w:hint="eastAsia" w:ascii="宋体" w:hAnsi="宋体" w:cs="宋体"/>
                <w:sz w:val="18"/>
                <w:szCs w:val="18"/>
                <w:highlight w:val="none"/>
              </w:rPr>
              <w:t>是/否</w:t>
            </w:r>
          </w:p>
        </w:tc>
        <w:tc>
          <w:tcPr>
            <w:tcW w:w="780" w:type="pct"/>
            <w:tcBorders>
              <w:tl2br w:val="nil"/>
              <w:tr2bl w:val="nil"/>
            </w:tcBorders>
            <w:vAlign w:val="center"/>
          </w:tcPr>
          <w:p w14:paraId="02E51D8B">
            <w:pPr>
              <w:keepNext w:val="0"/>
              <w:keepLines w:val="0"/>
              <w:suppressLineNumbers w:val="0"/>
              <w:autoSpaceDE w:val="0"/>
              <w:autoSpaceDN w:val="0"/>
              <w:spacing w:before="0" w:beforeAutospacing="0" w:after="0" w:afterAutospacing="0"/>
              <w:ind w:left="0" w:right="0"/>
              <w:jc w:val="center"/>
              <w:rPr>
                <w:rFonts w:hint="default" w:ascii="宋体"/>
                <w:sz w:val="18"/>
                <w:szCs w:val="18"/>
                <w:highlight w:val="none"/>
              </w:rPr>
            </w:pPr>
          </w:p>
        </w:tc>
      </w:tr>
    </w:tbl>
    <w:p w14:paraId="08B09870">
      <w:pPr>
        <w:numPr>
          <w:ilvl w:val="1"/>
          <w:numId w:val="0"/>
        </w:numPr>
        <w:spacing w:before="312" w:beforeLines="100" w:after="156" w:afterLines="50"/>
        <w:jc w:val="center"/>
        <w:rPr>
          <w:rFonts w:ascii="黑体" w:hAnsi="黑体" w:eastAsia="黑体" w:cs="黑体"/>
          <w:szCs w:val="21"/>
          <w:highlight w:val="none"/>
        </w:rPr>
      </w:pPr>
      <w:r>
        <w:rPr>
          <w:rFonts w:hint="eastAsia" w:ascii="黑体" w:hAnsi="黑体" w:eastAsia="黑体" w:cs="黑体"/>
          <w:szCs w:val="21"/>
          <w:highlight w:val="none"/>
        </w:rPr>
        <w:t>表</w:t>
      </w:r>
      <w:r>
        <w:rPr>
          <w:rFonts w:hint="eastAsia" w:ascii="黑体" w:hAnsi="黑体" w:eastAsia="黑体" w:cs="黑体"/>
          <w:szCs w:val="21"/>
          <w:highlight w:val="none"/>
          <w:lang w:val="en-US" w:eastAsia="zh-CN"/>
        </w:rPr>
        <w:t>E</w:t>
      </w:r>
      <w:r>
        <w:rPr>
          <w:rFonts w:hint="eastAsia" w:ascii="黑体" w:hAnsi="黑体" w:eastAsia="黑体" w:cs="黑体"/>
          <w:szCs w:val="21"/>
          <w:highlight w:val="none"/>
        </w:rPr>
        <w:t>.2</w:t>
      </w:r>
      <w:r>
        <w:rPr>
          <w:rFonts w:hint="eastAsia" w:ascii="黑体" w:hAnsi="黑体" w:eastAsia="黑体" w:cs="黑体"/>
          <w:szCs w:val="21"/>
          <w:highlight w:val="none"/>
          <w:lang w:val="en-US" w:eastAsia="zh-CN"/>
        </w:rPr>
        <w:t xml:space="preserve">  温室气体控制领域</w:t>
      </w:r>
      <w:r>
        <w:rPr>
          <w:rFonts w:hint="eastAsia" w:ascii="黑体" w:hAnsi="黑体" w:eastAsia="黑体" w:cs="黑体"/>
          <w:szCs w:val="21"/>
          <w:highlight w:val="none"/>
          <w:lang w:eastAsia="zh-CN"/>
        </w:rPr>
        <w:t>绿色低碳产业</w:t>
      </w:r>
      <w:r>
        <w:rPr>
          <w:rFonts w:hint="eastAsia" w:ascii="黑体" w:hAnsi="黑体" w:eastAsia="黑体" w:cs="黑体"/>
          <w:szCs w:val="21"/>
          <w:highlight w:val="none"/>
          <w:lang w:val="en-US" w:eastAsia="zh-CN"/>
        </w:rPr>
        <w:t>企业</w:t>
      </w:r>
      <w:r>
        <w:rPr>
          <w:rFonts w:hint="eastAsia" w:ascii="黑体" w:hAnsi="黑体" w:eastAsia="黑体" w:cs="黑体"/>
          <w:szCs w:val="21"/>
          <w:highlight w:val="none"/>
        </w:rPr>
        <w:t>认定综合评价指标</w:t>
      </w:r>
    </w:p>
    <w:tbl>
      <w:tblPr>
        <w:tblStyle w:val="37"/>
        <w:tblpPr w:leftFromText="180" w:rightFromText="180" w:vertAnchor="text" w:tblpXSpec="center" w:tblpY="1"/>
        <w:tblOverlap w:val="never"/>
        <w:tblW w:w="4994" w:type="pct"/>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591"/>
        <w:gridCol w:w="618"/>
        <w:gridCol w:w="995"/>
        <w:gridCol w:w="2783"/>
        <w:gridCol w:w="3051"/>
        <w:gridCol w:w="759"/>
        <w:gridCol w:w="762"/>
      </w:tblGrid>
      <w:tr w14:paraId="3A2CB63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309" w:type="pct"/>
            <w:tcBorders>
              <w:bottom w:val="single" w:color="auto" w:sz="12" w:space="0"/>
            </w:tcBorders>
            <w:vAlign w:val="center"/>
          </w:tcPr>
          <w:p w14:paraId="437F81D4">
            <w:pPr>
              <w:keepNext w:val="0"/>
              <w:keepLines w:val="0"/>
              <w:suppressLineNumbers w:val="0"/>
              <w:autoSpaceDE w:val="0"/>
              <w:autoSpaceDN w:val="0"/>
              <w:spacing w:before="0" w:beforeAutospacing="0" w:after="0" w:afterAutospacing="0"/>
              <w:ind w:left="0" w:right="0"/>
              <w:jc w:val="center"/>
              <w:rPr>
                <w:rFonts w:hint="default" w:ascii="宋体"/>
                <w:b/>
                <w:sz w:val="18"/>
                <w:szCs w:val="18"/>
                <w:highlight w:val="none"/>
              </w:rPr>
            </w:pPr>
            <w:r>
              <w:rPr>
                <w:rFonts w:hint="default" w:ascii="宋体"/>
                <w:b/>
                <w:sz w:val="18"/>
                <w:szCs w:val="18"/>
                <w:highlight w:val="none"/>
              </w:rPr>
              <w:t>一级指标</w:t>
            </w:r>
          </w:p>
        </w:tc>
        <w:tc>
          <w:tcPr>
            <w:tcW w:w="323" w:type="pct"/>
            <w:tcBorders>
              <w:bottom w:val="single" w:color="auto" w:sz="12" w:space="0"/>
            </w:tcBorders>
            <w:vAlign w:val="center"/>
          </w:tcPr>
          <w:p w14:paraId="660D97C6">
            <w:pPr>
              <w:keepNext w:val="0"/>
              <w:keepLines w:val="0"/>
              <w:suppressLineNumbers w:val="0"/>
              <w:autoSpaceDE w:val="0"/>
              <w:autoSpaceDN w:val="0"/>
              <w:spacing w:before="0" w:beforeAutospacing="0" w:after="0" w:afterAutospacing="0"/>
              <w:ind w:left="0" w:right="0"/>
              <w:jc w:val="center"/>
              <w:rPr>
                <w:rFonts w:hint="default" w:ascii="宋体"/>
                <w:b/>
                <w:sz w:val="18"/>
                <w:szCs w:val="18"/>
                <w:highlight w:val="none"/>
              </w:rPr>
            </w:pPr>
            <w:r>
              <w:rPr>
                <w:rFonts w:hint="default" w:ascii="宋体"/>
                <w:b/>
                <w:sz w:val="18"/>
                <w:szCs w:val="18"/>
                <w:highlight w:val="none"/>
              </w:rPr>
              <w:t>二级指标</w:t>
            </w:r>
          </w:p>
        </w:tc>
        <w:tc>
          <w:tcPr>
            <w:tcW w:w="520" w:type="pct"/>
            <w:tcBorders>
              <w:bottom w:val="single" w:color="auto" w:sz="12" w:space="0"/>
            </w:tcBorders>
            <w:vAlign w:val="center"/>
          </w:tcPr>
          <w:p w14:paraId="48C71F92">
            <w:pPr>
              <w:keepNext w:val="0"/>
              <w:keepLines w:val="0"/>
              <w:suppressLineNumbers w:val="0"/>
              <w:autoSpaceDE w:val="0"/>
              <w:autoSpaceDN w:val="0"/>
              <w:spacing w:before="0" w:beforeAutospacing="0" w:after="0" w:afterAutospacing="0"/>
              <w:ind w:left="0" w:right="0"/>
              <w:jc w:val="center"/>
              <w:rPr>
                <w:rFonts w:hint="default" w:ascii="宋体"/>
                <w:b/>
                <w:sz w:val="18"/>
                <w:szCs w:val="18"/>
                <w:highlight w:val="none"/>
              </w:rPr>
            </w:pPr>
            <w:r>
              <w:rPr>
                <w:rFonts w:hint="default" w:ascii="宋体"/>
                <w:b/>
                <w:sz w:val="18"/>
                <w:szCs w:val="18"/>
                <w:highlight w:val="none"/>
              </w:rPr>
              <w:t>三级指标</w:t>
            </w:r>
          </w:p>
        </w:tc>
        <w:tc>
          <w:tcPr>
            <w:tcW w:w="1455" w:type="pct"/>
            <w:tcBorders>
              <w:bottom w:val="single" w:color="auto" w:sz="12" w:space="0"/>
            </w:tcBorders>
            <w:vAlign w:val="center"/>
          </w:tcPr>
          <w:p w14:paraId="1957DA37">
            <w:pPr>
              <w:keepNext w:val="0"/>
              <w:keepLines w:val="0"/>
              <w:suppressLineNumbers w:val="0"/>
              <w:autoSpaceDE w:val="0"/>
              <w:autoSpaceDN w:val="0"/>
              <w:spacing w:before="0" w:beforeAutospacing="0" w:after="0" w:afterAutospacing="0"/>
              <w:ind w:left="0" w:right="0"/>
              <w:jc w:val="center"/>
              <w:rPr>
                <w:rFonts w:hint="default" w:ascii="宋体"/>
                <w:b/>
                <w:sz w:val="18"/>
                <w:szCs w:val="18"/>
                <w:highlight w:val="none"/>
              </w:rPr>
            </w:pPr>
            <w:r>
              <w:rPr>
                <w:rFonts w:hint="eastAsia" w:ascii="宋体"/>
                <w:b/>
                <w:sz w:val="18"/>
                <w:szCs w:val="18"/>
                <w:highlight w:val="none"/>
              </w:rPr>
              <w:t>评价要求</w:t>
            </w:r>
          </w:p>
        </w:tc>
        <w:tc>
          <w:tcPr>
            <w:tcW w:w="1595" w:type="pct"/>
            <w:tcBorders>
              <w:bottom w:val="single" w:color="auto" w:sz="12" w:space="0"/>
            </w:tcBorders>
            <w:vAlign w:val="center"/>
          </w:tcPr>
          <w:p w14:paraId="4769984D">
            <w:pPr>
              <w:keepNext w:val="0"/>
              <w:keepLines w:val="0"/>
              <w:suppressLineNumbers w:val="0"/>
              <w:autoSpaceDE w:val="0"/>
              <w:autoSpaceDN w:val="0"/>
              <w:spacing w:before="0" w:beforeAutospacing="0" w:after="0" w:afterAutospacing="0"/>
              <w:ind w:left="0" w:right="0"/>
              <w:jc w:val="center"/>
              <w:rPr>
                <w:rFonts w:hint="default" w:ascii="宋体"/>
                <w:b/>
                <w:sz w:val="18"/>
                <w:szCs w:val="18"/>
                <w:highlight w:val="none"/>
              </w:rPr>
            </w:pPr>
            <w:r>
              <w:rPr>
                <w:rFonts w:hint="eastAsia" w:ascii="宋体"/>
                <w:b/>
                <w:sz w:val="18"/>
                <w:szCs w:val="18"/>
                <w:highlight w:val="none"/>
              </w:rPr>
              <w:t>评分标准</w:t>
            </w:r>
          </w:p>
        </w:tc>
        <w:tc>
          <w:tcPr>
            <w:tcW w:w="397" w:type="pct"/>
            <w:tcBorders>
              <w:bottom w:val="single" w:color="auto" w:sz="12" w:space="0"/>
            </w:tcBorders>
            <w:vAlign w:val="center"/>
          </w:tcPr>
          <w:p w14:paraId="0855AE58">
            <w:pPr>
              <w:keepNext w:val="0"/>
              <w:keepLines w:val="0"/>
              <w:suppressLineNumbers w:val="0"/>
              <w:autoSpaceDE w:val="0"/>
              <w:autoSpaceDN w:val="0"/>
              <w:spacing w:before="0" w:beforeAutospacing="0" w:after="0" w:afterAutospacing="0"/>
              <w:ind w:left="0" w:right="0"/>
              <w:rPr>
                <w:rFonts w:hint="default" w:ascii="宋体"/>
                <w:b/>
                <w:sz w:val="18"/>
                <w:szCs w:val="18"/>
                <w:highlight w:val="none"/>
              </w:rPr>
            </w:pPr>
            <w:r>
              <w:rPr>
                <w:rFonts w:hint="default" w:ascii="宋体"/>
                <w:b/>
                <w:sz w:val="18"/>
                <w:szCs w:val="18"/>
                <w:highlight w:val="none"/>
              </w:rPr>
              <w:t>分值</w:t>
            </w:r>
            <w:r>
              <w:rPr>
                <w:rFonts w:hint="eastAsia" w:ascii="宋体"/>
                <w:b/>
                <w:sz w:val="18"/>
                <w:szCs w:val="18"/>
                <w:highlight w:val="none"/>
              </w:rPr>
              <w:t>（分）</w:t>
            </w:r>
          </w:p>
        </w:tc>
        <w:tc>
          <w:tcPr>
            <w:tcW w:w="398" w:type="pct"/>
            <w:tcBorders>
              <w:bottom w:val="single" w:color="auto" w:sz="12" w:space="0"/>
            </w:tcBorders>
            <w:vAlign w:val="center"/>
          </w:tcPr>
          <w:p w14:paraId="6271B6EE">
            <w:pPr>
              <w:keepNext w:val="0"/>
              <w:keepLines w:val="0"/>
              <w:suppressLineNumbers w:val="0"/>
              <w:autoSpaceDE w:val="0"/>
              <w:autoSpaceDN w:val="0"/>
              <w:spacing w:before="0" w:beforeAutospacing="0" w:after="0" w:afterAutospacing="0"/>
              <w:ind w:left="0" w:right="0"/>
              <w:rPr>
                <w:rFonts w:hint="default" w:ascii="宋体"/>
                <w:b/>
                <w:sz w:val="18"/>
                <w:szCs w:val="18"/>
                <w:highlight w:val="none"/>
              </w:rPr>
            </w:pPr>
            <w:r>
              <w:rPr>
                <w:rFonts w:hint="default" w:ascii="宋体"/>
                <w:b/>
                <w:sz w:val="18"/>
                <w:szCs w:val="18"/>
                <w:highlight w:val="none"/>
              </w:rPr>
              <w:t>得分</w:t>
            </w:r>
            <w:r>
              <w:rPr>
                <w:rFonts w:hint="eastAsia" w:ascii="宋体"/>
                <w:b/>
                <w:sz w:val="18"/>
                <w:szCs w:val="18"/>
                <w:highlight w:val="none"/>
              </w:rPr>
              <w:t>（分）</w:t>
            </w:r>
          </w:p>
        </w:tc>
      </w:tr>
      <w:tr w14:paraId="4587E36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414" w:hRule="atLeast"/>
        </w:trPr>
        <w:tc>
          <w:tcPr>
            <w:tcW w:w="309" w:type="pct"/>
            <w:vMerge w:val="restart"/>
            <w:tcBorders>
              <w:top w:val="single" w:color="auto" w:sz="12" w:space="0"/>
              <w:tl2br w:val="nil"/>
              <w:tr2bl w:val="nil"/>
            </w:tcBorders>
            <w:vAlign w:val="center"/>
          </w:tcPr>
          <w:p w14:paraId="068EA40F">
            <w:pPr>
              <w:keepNext w:val="0"/>
              <w:keepLines w:val="0"/>
              <w:suppressLineNumbers w:val="0"/>
              <w:autoSpaceDE w:val="0"/>
              <w:autoSpaceDN w:val="0"/>
              <w:spacing w:before="0" w:beforeAutospacing="0" w:after="0" w:afterAutospacing="0"/>
              <w:ind w:left="0" w:right="0"/>
              <w:jc w:val="center"/>
              <w:rPr>
                <w:rFonts w:hint="default" w:ascii="宋体" w:hAnsi="宋体" w:cs="宋体"/>
                <w:sz w:val="18"/>
                <w:szCs w:val="18"/>
                <w:highlight w:val="none"/>
              </w:rPr>
            </w:pPr>
            <w:r>
              <w:rPr>
                <w:rFonts w:hint="eastAsia" w:ascii="宋体" w:hAnsi="宋体" w:cs="宋体"/>
                <w:sz w:val="18"/>
                <w:szCs w:val="18"/>
                <w:highlight w:val="none"/>
              </w:rPr>
              <w:t>技术表现</w:t>
            </w:r>
          </w:p>
        </w:tc>
        <w:tc>
          <w:tcPr>
            <w:tcW w:w="323" w:type="pct"/>
            <w:vMerge w:val="restart"/>
            <w:tcBorders>
              <w:top w:val="single" w:color="auto" w:sz="12" w:space="0"/>
              <w:tl2br w:val="nil"/>
              <w:tr2bl w:val="nil"/>
            </w:tcBorders>
            <w:vAlign w:val="center"/>
          </w:tcPr>
          <w:p w14:paraId="55C7E2A2">
            <w:pPr>
              <w:keepNext w:val="0"/>
              <w:keepLines w:val="0"/>
              <w:suppressLineNumbers w:val="0"/>
              <w:autoSpaceDE w:val="0"/>
              <w:autoSpaceDN w:val="0"/>
              <w:spacing w:before="0" w:beforeAutospacing="0" w:after="0" w:afterAutospacing="0"/>
              <w:ind w:left="0" w:right="0"/>
              <w:jc w:val="center"/>
              <w:rPr>
                <w:rFonts w:hint="default" w:ascii="宋体" w:hAnsi="宋体" w:cs="宋体"/>
                <w:sz w:val="18"/>
                <w:szCs w:val="18"/>
                <w:highlight w:val="none"/>
              </w:rPr>
            </w:pPr>
            <w:r>
              <w:rPr>
                <w:rFonts w:hint="eastAsia" w:ascii="宋体" w:hAnsi="宋体" w:cs="宋体"/>
                <w:sz w:val="18"/>
                <w:szCs w:val="18"/>
                <w:highlight w:val="none"/>
              </w:rPr>
              <w:t>先进性</w:t>
            </w:r>
          </w:p>
        </w:tc>
        <w:tc>
          <w:tcPr>
            <w:tcW w:w="520" w:type="pct"/>
            <w:tcBorders>
              <w:top w:val="single" w:color="auto" w:sz="12" w:space="0"/>
              <w:tl2br w:val="nil"/>
              <w:tr2bl w:val="nil"/>
            </w:tcBorders>
            <w:vAlign w:val="center"/>
          </w:tcPr>
          <w:p w14:paraId="196A60A9">
            <w:pPr>
              <w:keepNext w:val="0"/>
              <w:keepLines w:val="0"/>
              <w:suppressLineNumbers w:val="0"/>
              <w:autoSpaceDE w:val="0"/>
              <w:autoSpaceDN w:val="0"/>
              <w:spacing w:before="0" w:beforeAutospacing="0" w:after="0" w:afterAutospacing="0"/>
              <w:ind w:left="0" w:right="0"/>
              <w:jc w:val="center"/>
              <w:rPr>
                <w:rFonts w:hint="default" w:ascii="宋体" w:hAnsi="宋体" w:cs="宋体"/>
                <w:sz w:val="18"/>
                <w:szCs w:val="18"/>
                <w:highlight w:val="none"/>
              </w:rPr>
            </w:pPr>
            <w:r>
              <w:rPr>
                <w:rFonts w:hint="eastAsia" w:ascii="宋体" w:hAnsi="宋体" w:cs="宋体"/>
                <w:sz w:val="18"/>
                <w:szCs w:val="18"/>
                <w:highlight w:val="none"/>
              </w:rPr>
              <w:t>有效知识产权</w:t>
            </w:r>
          </w:p>
        </w:tc>
        <w:tc>
          <w:tcPr>
            <w:tcW w:w="1455" w:type="pct"/>
            <w:tcBorders>
              <w:top w:val="single" w:color="auto" w:sz="12" w:space="0"/>
              <w:tl2br w:val="nil"/>
              <w:tr2bl w:val="nil"/>
            </w:tcBorders>
            <w:vAlign w:val="center"/>
          </w:tcPr>
          <w:p w14:paraId="65740006">
            <w:pPr>
              <w:pStyle w:val="26"/>
              <w:keepNext w:val="0"/>
              <w:keepLines w:val="0"/>
              <w:widowControl/>
              <w:suppressLineNumbers w:val="0"/>
              <w:spacing w:before="0" w:beforeAutospacing="0" w:after="0" w:afterAutospacing="0"/>
              <w:ind w:left="0" w:right="0" w:firstLine="0" w:firstLineChars="0"/>
              <w:rPr>
                <w:rFonts w:hint="default" w:hAnsi="宋体" w:cs="宋体"/>
                <w:sz w:val="18"/>
                <w:szCs w:val="18"/>
                <w:highlight w:val="none"/>
              </w:rPr>
            </w:pPr>
            <w:r>
              <w:rPr>
                <w:rFonts w:hint="eastAsia" w:hAnsi="宋体" w:cs="宋体"/>
                <w:sz w:val="18"/>
                <w:szCs w:val="18"/>
                <w:highlight w:val="none"/>
              </w:rPr>
              <w:t>为</w:t>
            </w:r>
            <w:r>
              <w:rPr>
                <w:rFonts w:hint="eastAsia" w:hAnsi="宋体" w:cs="宋体"/>
                <w:sz w:val="18"/>
                <w:szCs w:val="18"/>
                <w:highlight w:val="none"/>
                <w:lang w:val="en-US" w:eastAsia="zh-CN"/>
              </w:rPr>
              <w:t>温室气体控制领域</w:t>
            </w:r>
            <w:r>
              <w:rPr>
                <w:rFonts w:hint="eastAsia" w:hAnsi="宋体" w:cs="宋体"/>
                <w:sz w:val="18"/>
                <w:szCs w:val="18"/>
                <w:highlight w:val="none"/>
              </w:rPr>
              <w:t>的有效知识产权，按知识产权类别和知识产权获得形式加权计算数量</w:t>
            </w:r>
          </w:p>
        </w:tc>
        <w:tc>
          <w:tcPr>
            <w:tcW w:w="1595" w:type="pct"/>
            <w:tcBorders>
              <w:top w:val="single" w:color="auto" w:sz="12" w:space="0"/>
              <w:tl2br w:val="nil"/>
              <w:tr2bl w:val="nil"/>
            </w:tcBorders>
            <w:vAlign w:val="center"/>
          </w:tcPr>
          <w:p w14:paraId="108E694F">
            <w:pPr>
              <w:pStyle w:val="26"/>
              <w:keepNext w:val="0"/>
              <w:keepLines w:val="0"/>
              <w:widowControl/>
              <w:suppressLineNumbers w:val="0"/>
              <w:spacing w:before="0" w:beforeAutospacing="0" w:after="0" w:afterAutospacing="0"/>
              <w:ind w:left="0" w:right="0" w:firstLine="0" w:firstLineChars="0"/>
              <w:jc w:val="left"/>
              <w:rPr>
                <w:rFonts w:hint="default" w:hAnsi="宋体" w:cs="宋体"/>
                <w:sz w:val="18"/>
                <w:szCs w:val="18"/>
                <w:highlight w:val="none"/>
              </w:rPr>
            </w:pPr>
            <w:r>
              <w:rPr>
                <w:rFonts w:hint="eastAsia" w:hAnsi="宋体" w:cs="宋体"/>
                <w:sz w:val="18"/>
                <w:szCs w:val="18"/>
                <w:highlight w:val="none"/>
              </w:rPr>
              <w:t>采用加权法计算后有效知识产权数量乘以0.4分</w:t>
            </w:r>
          </w:p>
        </w:tc>
        <w:tc>
          <w:tcPr>
            <w:tcW w:w="397" w:type="pct"/>
            <w:tcBorders>
              <w:top w:val="single" w:color="auto" w:sz="12" w:space="0"/>
              <w:tl2br w:val="nil"/>
              <w:tr2bl w:val="nil"/>
            </w:tcBorders>
            <w:vAlign w:val="center"/>
          </w:tcPr>
          <w:p w14:paraId="6940A879">
            <w:pPr>
              <w:keepNext w:val="0"/>
              <w:keepLines w:val="0"/>
              <w:widowControl/>
              <w:suppressLineNumbers w:val="0"/>
              <w:spacing w:before="0" w:beforeAutospacing="0" w:after="0" w:afterAutospacing="0"/>
              <w:ind w:left="0" w:right="0"/>
              <w:jc w:val="center"/>
              <w:textAlignment w:val="center"/>
              <w:rPr>
                <w:rFonts w:hint="default" w:ascii="宋体" w:hAnsi="宋体" w:cs="宋体"/>
                <w:sz w:val="18"/>
                <w:szCs w:val="18"/>
                <w:highlight w:val="none"/>
              </w:rPr>
            </w:pPr>
            <w:r>
              <w:rPr>
                <w:rFonts w:hint="eastAsia" w:ascii="宋体" w:hAnsi="宋体" w:cs="宋体"/>
                <w:color w:val="000000"/>
                <w:kern w:val="0"/>
                <w:sz w:val="18"/>
                <w:szCs w:val="18"/>
                <w:highlight w:val="none"/>
                <w:lang w:bidi="ar"/>
              </w:rPr>
              <w:t>4</w:t>
            </w:r>
          </w:p>
        </w:tc>
        <w:tc>
          <w:tcPr>
            <w:tcW w:w="398" w:type="pct"/>
            <w:tcBorders>
              <w:top w:val="single" w:color="auto" w:sz="12" w:space="0"/>
              <w:tl2br w:val="nil"/>
              <w:tr2bl w:val="nil"/>
            </w:tcBorders>
            <w:vAlign w:val="center"/>
          </w:tcPr>
          <w:p w14:paraId="63C7C362">
            <w:pPr>
              <w:keepNext w:val="0"/>
              <w:keepLines w:val="0"/>
              <w:suppressLineNumbers w:val="0"/>
              <w:autoSpaceDE w:val="0"/>
              <w:autoSpaceDN w:val="0"/>
              <w:spacing w:before="0" w:beforeAutospacing="0" w:after="0" w:afterAutospacing="0"/>
              <w:ind w:left="0" w:right="0"/>
              <w:jc w:val="center"/>
              <w:rPr>
                <w:rFonts w:hint="default" w:ascii="宋体"/>
                <w:sz w:val="18"/>
                <w:szCs w:val="18"/>
                <w:highlight w:val="none"/>
              </w:rPr>
            </w:pPr>
          </w:p>
        </w:tc>
      </w:tr>
      <w:tr w14:paraId="66F1123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401" w:hRule="atLeast"/>
        </w:trPr>
        <w:tc>
          <w:tcPr>
            <w:tcW w:w="309" w:type="pct"/>
            <w:vMerge w:val="continue"/>
            <w:tcBorders>
              <w:tl2br w:val="nil"/>
              <w:tr2bl w:val="nil"/>
            </w:tcBorders>
            <w:vAlign w:val="center"/>
          </w:tcPr>
          <w:p w14:paraId="3B76C096">
            <w:pPr>
              <w:keepNext w:val="0"/>
              <w:keepLines w:val="0"/>
              <w:suppressLineNumbers w:val="0"/>
              <w:autoSpaceDE w:val="0"/>
              <w:autoSpaceDN w:val="0"/>
              <w:spacing w:before="0" w:beforeAutospacing="0" w:after="0" w:afterAutospacing="0"/>
              <w:ind w:left="0" w:right="0"/>
              <w:jc w:val="center"/>
              <w:rPr>
                <w:rFonts w:hint="default" w:ascii="宋体" w:hAnsi="宋体" w:cs="宋体"/>
                <w:sz w:val="18"/>
                <w:szCs w:val="18"/>
                <w:highlight w:val="none"/>
              </w:rPr>
            </w:pPr>
          </w:p>
        </w:tc>
        <w:tc>
          <w:tcPr>
            <w:tcW w:w="323" w:type="pct"/>
            <w:vMerge w:val="continue"/>
            <w:tcBorders>
              <w:tl2br w:val="nil"/>
              <w:tr2bl w:val="nil"/>
            </w:tcBorders>
            <w:vAlign w:val="center"/>
          </w:tcPr>
          <w:p w14:paraId="15074314">
            <w:pPr>
              <w:keepNext w:val="0"/>
              <w:keepLines w:val="0"/>
              <w:suppressLineNumbers w:val="0"/>
              <w:autoSpaceDE w:val="0"/>
              <w:autoSpaceDN w:val="0"/>
              <w:spacing w:before="0" w:beforeAutospacing="0" w:after="0" w:afterAutospacing="0"/>
              <w:ind w:left="0" w:right="0"/>
              <w:jc w:val="center"/>
              <w:rPr>
                <w:rFonts w:hint="default" w:ascii="宋体" w:hAnsi="宋体" w:cs="宋体"/>
                <w:sz w:val="18"/>
                <w:szCs w:val="18"/>
                <w:highlight w:val="none"/>
              </w:rPr>
            </w:pPr>
          </w:p>
        </w:tc>
        <w:tc>
          <w:tcPr>
            <w:tcW w:w="520" w:type="pct"/>
            <w:tcBorders>
              <w:tl2br w:val="nil"/>
              <w:tr2bl w:val="nil"/>
            </w:tcBorders>
            <w:vAlign w:val="center"/>
          </w:tcPr>
          <w:p w14:paraId="3FD1A4EF">
            <w:pPr>
              <w:keepNext w:val="0"/>
              <w:keepLines w:val="0"/>
              <w:suppressLineNumbers w:val="0"/>
              <w:autoSpaceDE w:val="0"/>
              <w:autoSpaceDN w:val="0"/>
              <w:spacing w:before="0" w:beforeAutospacing="0" w:after="0" w:afterAutospacing="0"/>
              <w:ind w:left="0" w:right="0"/>
              <w:jc w:val="center"/>
              <w:rPr>
                <w:rFonts w:hint="eastAsia" w:ascii="宋体" w:hAnsi="宋体" w:cs="宋体"/>
                <w:sz w:val="18"/>
                <w:szCs w:val="18"/>
                <w:highlight w:val="none"/>
              </w:rPr>
            </w:pPr>
            <w:r>
              <w:rPr>
                <w:rFonts w:hint="eastAsia" w:ascii="宋体" w:hAnsi="宋体" w:cs="宋体"/>
                <w:sz w:val="18"/>
                <w:szCs w:val="18"/>
                <w:highlight w:val="none"/>
              </w:rPr>
              <w:t>制修订</w:t>
            </w:r>
          </w:p>
          <w:p w14:paraId="53F5FBBA">
            <w:pPr>
              <w:keepNext w:val="0"/>
              <w:keepLines w:val="0"/>
              <w:suppressLineNumbers w:val="0"/>
              <w:autoSpaceDE w:val="0"/>
              <w:autoSpaceDN w:val="0"/>
              <w:spacing w:before="0" w:beforeAutospacing="0" w:after="0" w:afterAutospacing="0"/>
              <w:ind w:left="0" w:right="0"/>
              <w:jc w:val="center"/>
              <w:rPr>
                <w:rFonts w:hint="default" w:ascii="宋体" w:hAnsi="宋体" w:cs="宋体"/>
                <w:sz w:val="18"/>
                <w:szCs w:val="18"/>
                <w:highlight w:val="none"/>
              </w:rPr>
            </w:pPr>
            <w:r>
              <w:rPr>
                <w:rFonts w:hint="eastAsia" w:ascii="宋体" w:hAnsi="宋体" w:cs="宋体"/>
                <w:sz w:val="18"/>
                <w:szCs w:val="18"/>
                <w:highlight w:val="none"/>
              </w:rPr>
              <w:t>标准</w:t>
            </w:r>
          </w:p>
        </w:tc>
        <w:tc>
          <w:tcPr>
            <w:tcW w:w="1455" w:type="pct"/>
            <w:tcBorders>
              <w:tl2br w:val="nil"/>
              <w:tr2bl w:val="nil"/>
            </w:tcBorders>
            <w:vAlign w:val="center"/>
          </w:tcPr>
          <w:p w14:paraId="241A941C">
            <w:pPr>
              <w:pStyle w:val="26"/>
              <w:keepNext w:val="0"/>
              <w:keepLines w:val="0"/>
              <w:widowControl/>
              <w:suppressLineNumbers w:val="0"/>
              <w:spacing w:before="0" w:beforeAutospacing="0" w:after="0" w:afterAutospacing="0"/>
              <w:ind w:left="0" w:right="0" w:firstLine="0" w:firstLineChars="0"/>
              <w:rPr>
                <w:rFonts w:hint="default" w:hAnsi="宋体" w:cs="宋体"/>
                <w:sz w:val="18"/>
                <w:szCs w:val="18"/>
                <w:highlight w:val="none"/>
              </w:rPr>
            </w:pPr>
            <w:r>
              <w:rPr>
                <w:rFonts w:hint="eastAsia" w:hAnsi="宋体" w:cs="宋体"/>
                <w:sz w:val="18"/>
                <w:szCs w:val="18"/>
                <w:highlight w:val="none"/>
              </w:rPr>
              <w:t>为近五年内在</w:t>
            </w:r>
            <w:r>
              <w:rPr>
                <w:rFonts w:hint="eastAsia" w:hAnsi="宋体" w:cs="宋体"/>
                <w:sz w:val="18"/>
                <w:szCs w:val="18"/>
                <w:highlight w:val="none"/>
                <w:lang w:val="en-US" w:eastAsia="zh-CN"/>
              </w:rPr>
              <w:t>温室气体控制领域</w:t>
            </w:r>
            <w:r>
              <w:rPr>
                <w:rFonts w:hint="eastAsia" w:hAnsi="宋体" w:cs="宋体"/>
                <w:sz w:val="18"/>
                <w:szCs w:val="18"/>
                <w:highlight w:val="none"/>
              </w:rPr>
              <w:t>已正式发布的标准，按标准类别、标准编制形式和标准制修订程度进行加权计算数量</w:t>
            </w:r>
          </w:p>
        </w:tc>
        <w:tc>
          <w:tcPr>
            <w:tcW w:w="1595" w:type="pct"/>
            <w:tcBorders>
              <w:tl2br w:val="nil"/>
              <w:tr2bl w:val="nil"/>
            </w:tcBorders>
            <w:vAlign w:val="center"/>
          </w:tcPr>
          <w:p w14:paraId="0133CB71">
            <w:pPr>
              <w:pStyle w:val="26"/>
              <w:keepNext w:val="0"/>
              <w:keepLines w:val="0"/>
              <w:widowControl/>
              <w:suppressLineNumbers w:val="0"/>
              <w:spacing w:before="0" w:beforeAutospacing="0" w:after="0" w:afterAutospacing="0"/>
              <w:ind w:left="0" w:right="0" w:firstLine="0" w:firstLineChars="0"/>
              <w:jc w:val="left"/>
              <w:rPr>
                <w:rFonts w:hint="default" w:hAnsi="宋体" w:cs="宋体"/>
                <w:sz w:val="18"/>
                <w:szCs w:val="18"/>
                <w:highlight w:val="none"/>
              </w:rPr>
            </w:pPr>
            <w:r>
              <w:rPr>
                <w:rFonts w:hint="eastAsia" w:hAnsi="宋体" w:cs="宋体"/>
                <w:sz w:val="18"/>
                <w:szCs w:val="18"/>
                <w:highlight w:val="none"/>
              </w:rPr>
              <w:t>采用加权法计算后制修订标准数量乘以2分</w:t>
            </w:r>
          </w:p>
        </w:tc>
        <w:tc>
          <w:tcPr>
            <w:tcW w:w="397" w:type="pct"/>
            <w:tcBorders>
              <w:tl2br w:val="nil"/>
              <w:tr2bl w:val="nil"/>
            </w:tcBorders>
            <w:vAlign w:val="center"/>
          </w:tcPr>
          <w:p w14:paraId="7ADB8614">
            <w:pPr>
              <w:keepNext w:val="0"/>
              <w:keepLines w:val="0"/>
              <w:widowControl/>
              <w:suppressLineNumbers w:val="0"/>
              <w:spacing w:before="0" w:beforeAutospacing="0" w:after="0" w:afterAutospacing="0"/>
              <w:ind w:left="0" w:right="0"/>
              <w:jc w:val="center"/>
              <w:textAlignment w:val="center"/>
              <w:rPr>
                <w:rFonts w:hint="default" w:ascii="宋体" w:hAnsi="宋体" w:cs="宋体"/>
                <w:sz w:val="18"/>
                <w:szCs w:val="18"/>
                <w:highlight w:val="none"/>
              </w:rPr>
            </w:pPr>
            <w:r>
              <w:rPr>
                <w:rFonts w:hint="eastAsia" w:ascii="宋体" w:hAnsi="宋体" w:cs="宋体"/>
                <w:color w:val="000000"/>
                <w:kern w:val="0"/>
                <w:sz w:val="18"/>
                <w:szCs w:val="18"/>
                <w:highlight w:val="none"/>
                <w:lang w:bidi="ar"/>
              </w:rPr>
              <w:t>4</w:t>
            </w:r>
          </w:p>
        </w:tc>
        <w:tc>
          <w:tcPr>
            <w:tcW w:w="398" w:type="pct"/>
            <w:tcBorders>
              <w:tl2br w:val="nil"/>
              <w:tr2bl w:val="nil"/>
            </w:tcBorders>
            <w:vAlign w:val="center"/>
          </w:tcPr>
          <w:p w14:paraId="51972B89">
            <w:pPr>
              <w:keepNext w:val="0"/>
              <w:keepLines w:val="0"/>
              <w:suppressLineNumbers w:val="0"/>
              <w:autoSpaceDE w:val="0"/>
              <w:autoSpaceDN w:val="0"/>
              <w:spacing w:before="0" w:beforeAutospacing="0" w:after="0" w:afterAutospacing="0"/>
              <w:ind w:left="0" w:right="0"/>
              <w:jc w:val="center"/>
              <w:rPr>
                <w:rFonts w:hint="default" w:ascii="宋体"/>
                <w:sz w:val="18"/>
                <w:szCs w:val="18"/>
                <w:highlight w:val="none"/>
              </w:rPr>
            </w:pPr>
          </w:p>
        </w:tc>
      </w:tr>
      <w:tr w14:paraId="514ED96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657" w:hRule="atLeast"/>
        </w:trPr>
        <w:tc>
          <w:tcPr>
            <w:tcW w:w="309" w:type="pct"/>
            <w:vMerge w:val="continue"/>
            <w:tcBorders>
              <w:tl2br w:val="nil"/>
              <w:tr2bl w:val="nil"/>
            </w:tcBorders>
            <w:vAlign w:val="center"/>
          </w:tcPr>
          <w:p w14:paraId="66C403F7">
            <w:pPr>
              <w:keepNext w:val="0"/>
              <w:keepLines w:val="0"/>
              <w:suppressLineNumbers w:val="0"/>
              <w:autoSpaceDE w:val="0"/>
              <w:autoSpaceDN w:val="0"/>
              <w:spacing w:before="0" w:beforeAutospacing="0" w:after="0" w:afterAutospacing="0"/>
              <w:ind w:left="0" w:right="0"/>
              <w:jc w:val="center"/>
              <w:rPr>
                <w:rFonts w:hint="default" w:ascii="宋体" w:hAnsi="宋体" w:cs="宋体"/>
                <w:sz w:val="18"/>
                <w:szCs w:val="18"/>
                <w:highlight w:val="none"/>
              </w:rPr>
            </w:pPr>
          </w:p>
        </w:tc>
        <w:tc>
          <w:tcPr>
            <w:tcW w:w="323" w:type="pct"/>
            <w:vMerge w:val="continue"/>
            <w:tcBorders>
              <w:tl2br w:val="nil"/>
              <w:tr2bl w:val="nil"/>
            </w:tcBorders>
            <w:vAlign w:val="center"/>
          </w:tcPr>
          <w:p w14:paraId="59A357EF">
            <w:pPr>
              <w:keepNext w:val="0"/>
              <w:keepLines w:val="0"/>
              <w:suppressLineNumbers w:val="0"/>
              <w:autoSpaceDE w:val="0"/>
              <w:autoSpaceDN w:val="0"/>
              <w:spacing w:before="0" w:beforeAutospacing="0" w:after="0" w:afterAutospacing="0"/>
              <w:ind w:left="0" w:right="0"/>
              <w:jc w:val="center"/>
              <w:rPr>
                <w:rFonts w:hint="default" w:ascii="宋体" w:hAnsi="宋体" w:cs="宋体"/>
                <w:sz w:val="18"/>
                <w:szCs w:val="18"/>
                <w:highlight w:val="none"/>
              </w:rPr>
            </w:pPr>
          </w:p>
        </w:tc>
        <w:tc>
          <w:tcPr>
            <w:tcW w:w="995" w:type="dxa"/>
            <w:tcBorders>
              <w:tl2br w:val="nil"/>
              <w:tr2bl w:val="nil"/>
            </w:tcBorders>
            <w:vAlign w:val="center"/>
          </w:tcPr>
          <w:p w14:paraId="55109DB8">
            <w:pPr>
              <w:keepNext w:val="0"/>
              <w:keepLines w:val="0"/>
              <w:suppressLineNumbers w:val="0"/>
              <w:autoSpaceDE w:val="0"/>
              <w:autoSpaceDN w:val="0"/>
              <w:spacing w:before="0" w:beforeAutospacing="0" w:after="0" w:afterAutospacing="0"/>
              <w:ind w:left="0" w:right="0"/>
              <w:jc w:val="center"/>
              <w:rPr>
                <w:rFonts w:hint="default" w:ascii="宋体" w:hAnsi="宋体" w:cs="宋体"/>
                <w:sz w:val="18"/>
                <w:szCs w:val="18"/>
                <w:highlight w:val="none"/>
              </w:rPr>
            </w:pPr>
            <w:r>
              <w:rPr>
                <w:rFonts w:hint="eastAsia" w:ascii="宋体"/>
                <w:sz w:val="18"/>
                <w:szCs w:val="18"/>
                <w:highlight w:val="none"/>
                <w:lang w:val="en-US" w:eastAsia="zh-CN"/>
              </w:rPr>
              <w:t>关键</w:t>
            </w:r>
            <w:r>
              <w:rPr>
                <w:rFonts w:hint="eastAsia" w:ascii="宋体"/>
                <w:sz w:val="18"/>
                <w:szCs w:val="18"/>
                <w:highlight w:val="none"/>
              </w:rPr>
              <w:t>技术先进水平</w:t>
            </w:r>
          </w:p>
        </w:tc>
        <w:tc>
          <w:tcPr>
            <w:tcW w:w="2783" w:type="dxa"/>
            <w:tcBorders>
              <w:tl2br w:val="nil"/>
              <w:tr2bl w:val="nil"/>
            </w:tcBorders>
            <w:vAlign w:val="center"/>
          </w:tcPr>
          <w:p w14:paraId="264BB312">
            <w:pPr>
              <w:keepNext w:val="0"/>
              <w:keepLines w:val="0"/>
              <w:suppressLineNumbers w:val="0"/>
              <w:autoSpaceDE w:val="0"/>
              <w:autoSpaceDN w:val="0"/>
              <w:spacing w:before="0" w:beforeAutospacing="0" w:after="0" w:afterAutospacing="0"/>
              <w:ind w:left="0" w:right="0"/>
              <w:rPr>
                <w:rFonts w:hint="default" w:ascii="宋体"/>
                <w:sz w:val="18"/>
                <w:szCs w:val="18"/>
                <w:highlight w:val="none"/>
              </w:rPr>
            </w:pPr>
            <w:r>
              <w:rPr>
                <w:rFonts w:hint="eastAsia" w:ascii="宋体"/>
                <w:sz w:val="18"/>
                <w:szCs w:val="18"/>
                <w:highlight w:val="none"/>
                <w:lang w:val="en-US" w:eastAsia="zh-CN"/>
              </w:rPr>
              <w:t>温室气体控制领域相关</w:t>
            </w:r>
            <w:r>
              <w:rPr>
                <w:rFonts w:hint="eastAsia" w:ascii="宋体"/>
                <w:sz w:val="18"/>
                <w:szCs w:val="18"/>
                <w:highlight w:val="none"/>
              </w:rPr>
              <w:t>产品或服务的</w:t>
            </w:r>
            <w:r>
              <w:rPr>
                <w:rFonts w:hint="eastAsia" w:ascii="宋体"/>
                <w:sz w:val="18"/>
                <w:szCs w:val="18"/>
                <w:highlight w:val="none"/>
                <w:lang w:val="en-US" w:eastAsia="zh-CN"/>
              </w:rPr>
              <w:t>关键</w:t>
            </w:r>
            <w:r>
              <w:rPr>
                <w:rFonts w:hint="eastAsia" w:ascii="宋体"/>
                <w:sz w:val="18"/>
                <w:szCs w:val="18"/>
                <w:highlight w:val="none"/>
              </w:rPr>
              <w:t>技术先进水平</w:t>
            </w:r>
            <w:r>
              <w:rPr>
                <w:rFonts w:hint="eastAsia" w:ascii="宋体"/>
                <w:sz w:val="18"/>
                <w:szCs w:val="18"/>
                <w:highlight w:val="none"/>
                <w:lang w:eastAsia="zh-CN"/>
              </w:rPr>
              <w:t>，选取在该行业具备典型代表性的核心技术水平</w:t>
            </w:r>
          </w:p>
        </w:tc>
        <w:tc>
          <w:tcPr>
            <w:tcW w:w="3051" w:type="dxa"/>
            <w:tcBorders>
              <w:tl2br w:val="nil"/>
              <w:tr2bl w:val="nil"/>
            </w:tcBorders>
            <w:vAlign w:val="center"/>
          </w:tcPr>
          <w:p w14:paraId="3C70254B">
            <w:pPr>
              <w:keepNext w:val="0"/>
              <w:keepLines w:val="0"/>
              <w:suppressLineNumbers w:val="0"/>
              <w:autoSpaceDE w:val="0"/>
              <w:autoSpaceDN w:val="0"/>
              <w:spacing w:before="0" w:beforeAutospacing="0" w:after="0" w:afterAutospacing="0"/>
              <w:ind w:left="0" w:right="0"/>
              <w:jc w:val="left"/>
              <w:rPr>
                <w:rFonts w:hint="default" w:ascii="宋体"/>
                <w:sz w:val="18"/>
                <w:szCs w:val="18"/>
                <w:highlight w:val="none"/>
              </w:rPr>
            </w:pPr>
            <w:r>
              <w:rPr>
                <w:rFonts w:hint="eastAsia" w:ascii="宋体"/>
                <w:sz w:val="18"/>
                <w:szCs w:val="18"/>
                <w:highlight w:val="none"/>
              </w:rPr>
              <w:t>a.</w:t>
            </w:r>
            <w:r>
              <w:rPr>
                <w:rFonts w:hint="eastAsia" w:ascii="宋体"/>
                <w:sz w:val="18"/>
                <w:szCs w:val="18"/>
                <w:highlight w:val="none"/>
                <w:lang w:val="en-US" w:eastAsia="zh-CN"/>
              </w:rPr>
              <w:t>关键</w:t>
            </w:r>
            <w:r>
              <w:rPr>
                <w:rFonts w:hint="eastAsia" w:ascii="宋体"/>
                <w:sz w:val="18"/>
                <w:szCs w:val="18"/>
                <w:highlight w:val="none"/>
              </w:rPr>
              <w:t>技术</w:t>
            </w:r>
            <w:r>
              <w:rPr>
                <w:rFonts w:hint="eastAsia" w:ascii="宋体"/>
                <w:sz w:val="18"/>
                <w:szCs w:val="18"/>
                <w:highlight w:val="none"/>
                <w:lang w:val="en-US" w:eastAsia="zh-CN"/>
              </w:rPr>
              <w:t>水平</w:t>
            </w:r>
            <w:r>
              <w:rPr>
                <w:rFonts w:hint="eastAsia" w:ascii="宋体"/>
                <w:sz w:val="18"/>
                <w:szCs w:val="18"/>
                <w:highlight w:val="none"/>
              </w:rPr>
              <w:t>处于行业领先水平，对产业（行业）具有显著技术引领作用。(</w:t>
            </w:r>
            <w:r>
              <w:rPr>
                <w:rFonts w:hint="eastAsia" w:ascii="宋体"/>
                <w:sz w:val="18"/>
                <w:szCs w:val="18"/>
                <w:highlight w:val="none"/>
                <w:lang w:val="en-US" w:eastAsia="zh-CN"/>
              </w:rPr>
              <w:t>8</w:t>
            </w:r>
            <w:r>
              <w:rPr>
                <w:rFonts w:hint="eastAsia" w:ascii="宋体"/>
                <w:sz w:val="18"/>
                <w:szCs w:val="18"/>
                <w:highlight w:val="none"/>
              </w:rPr>
              <w:t>分,</w:t>
            </w:r>
            <w:r>
              <w:rPr>
                <w:rFonts w:hint="eastAsia" w:ascii="宋体"/>
                <w:sz w:val="18"/>
                <w:szCs w:val="18"/>
                <w:highlight w:val="none"/>
                <w:lang w:val="en-US" w:eastAsia="zh-CN"/>
              </w:rPr>
              <w:t>12</w:t>
            </w:r>
            <w:r>
              <w:rPr>
                <w:rFonts w:hint="eastAsia" w:ascii="宋体"/>
                <w:sz w:val="18"/>
                <w:szCs w:val="18"/>
                <w:highlight w:val="none"/>
              </w:rPr>
              <w:t>分]</w:t>
            </w:r>
          </w:p>
          <w:p w14:paraId="14BE1916">
            <w:pPr>
              <w:keepNext w:val="0"/>
              <w:keepLines w:val="0"/>
              <w:suppressLineNumbers w:val="0"/>
              <w:autoSpaceDE w:val="0"/>
              <w:autoSpaceDN w:val="0"/>
              <w:spacing w:before="0" w:beforeAutospacing="0" w:after="0" w:afterAutospacing="0"/>
              <w:ind w:left="0" w:right="0"/>
              <w:jc w:val="left"/>
              <w:rPr>
                <w:rFonts w:hint="default" w:ascii="宋体"/>
                <w:sz w:val="18"/>
                <w:szCs w:val="18"/>
                <w:highlight w:val="none"/>
              </w:rPr>
            </w:pPr>
            <w:r>
              <w:rPr>
                <w:rFonts w:hint="eastAsia" w:ascii="宋体"/>
                <w:sz w:val="18"/>
                <w:szCs w:val="18"/>
                <w:highlight w:val="none"/>
              </w:rPr>
              <w:t>b.</w:t>
            </w:r>
            <w:r>
              <w:rPr>
                <w:rFonts w:hint="eastAsia" w:ascii="宋体"/>
                <w:sz w:val="18"/>
                <w:szCs w:val="18"/>
                <w:highlight w:val="none"/>
                <w:lang w:val="en-US" w:eastAsia="zh-CN"/>
              </w:rPr>
              <w:t>关键</w:t>
            </w:r>
            <w:r>
              <w:rPr>
                <w:rFonts w:hint="eastAsia" w:ascii="宋体"/>
                <w:sz w:val="18"/>
                <w:szCs w:val="18"/>
                <w:highlight w:val="none"/>
              </w:rPr>
              <w:t>技术</w:t>
            </w:r>
            <w:r>
              <w:rPr>
                <w:rFonts w:hint="eastAsia" w:ascii="宋体"/>
                <w:sz w:val="18"/>
                <w:szCs w:val="18"/>
                <w:highlight w:val="none"/>
                <w:lang w:val="en-US" w:eastAsia="zh-CN"/>
              </w:rPr>
              <w:t>水平</w:t>
            </w:r>
            <w:r>
              <w:rPr>
                <w:rFonts w:hint="eastAsia" w:ascii="宋体"/>
                <w:sz w:val="18"/>
                <w:szCs w:val="18"/>
                <w:highlight w:val="none"/>
              </w:rPr>
              <w:t>处于行业较好水平，对产业（行业）具有一定技术推动作用。(</w:t>
            </w:r>
            <w:r>
              <w:rPr>
                <w:rFonts w:hint="eastAsia" w:ascii="宋体"/>
                <w:sz w:val="18"/>
                <w:szCs w:val="18"/>
                <w:highlight w:val="none"/>
                <w:lang w:val="en-US" w:eastAsia="zh-CN"/>
              </w:rPr>
              <w:t>4</w:t>
            </w:r>
            <w:r>
              <w:rPr>
                <w:rFonts w:hint="eastAsia" w:ascii="宋体"/>
                <w:sz w:val="18"/>
                <w:szCs w:val="18"/>
                <w:highlight w:val="none"/>
              </w:rPr>
              <w:t>分,</w:t>
            </w:r>
            <w:r>
              <w:rPr>
                <w:rFonts w:hint="eastAsia" w:ascii="宋体"/>
                <w:sz w:val="18"/>
                <w:szCs w:val="18"/>
                <w:highlight w:val="none"/>
                <w:lang w:val="en-US" w:eastAsia="zh-CN"/>
              </w:rPr>
              <w:t>8</w:t>
            </w:r>
            <w:r>
              <w:rPr>
                <w:rFonts w:hint="eastAsia" w:ascii="宋体"/>
                <w:sz w:val="18"/>
                <w:szCs w:val="18"/>
                <w:highlight w:val="none"/>
              </w:rPr>
              <w:t>分]</w:t>
            </w:r>
          </w:p>
          <w:p w14:paraId="7D2A7E6B">
            <w:pPr>
              <w:keepNext w:val="0"/>
              <w:keepLines w:val="0"/>
              <w:suppressLineNumbers w:val="0"/>
              <w:autoSpaceDE w:val="0"/>
              <w:autoSpaceDN w:val="0"/>
              <w:spacing w:before="0" w:beforeAutospacing="0" w:after="0" w:afterAutospacing="0"/>
              <w:ind w:left="0" w:right="0"/>
              <w:jc w:val="left"/>
              <w:rPr>
                <w:rFonts w:hint="default" w:ascii="宋体"/>
                <w:sz w:val="18"/>
                <w:szCs w:val="18"/>
                <w:highlight w:val="none"/>
              </w:rPr>
            </w:pPr>
            <w:r>
              <w:rPr>
                <w:rFonts w:hint="eastAsia" w:ascii="宋体"/>
                <w:sz w:val="18"/>
                <w:szCs w:val="18"/>
                <w:highlight w:val="none"/>
              </w:rPr>
              <w:t>c.</w:t>
            </w:r>
            <w:r>
              <w:rPr>
                <w:rFonts w:hint="eastAsia" w:ascii="宋体"/>
                <w:sz w:val="18"/>
                <w:szCs w:val="18"/>
                <w:highlight w:val="none"/>
                <w:lang w:val="en-US" w:eastAsia="zh-CN"/>
              </w:rPr>
              <w:t>关键</w:t>
            </w:r>
            <w:r>
              <w:rPr>
                <w:rFonts w:hint="eastAsia" w:ascii="宋体"/>
                <w:sz w:val="18"/>
                <w:szCs w:val="18"/>
                <w:highlight w:val="none"/>
              </w:rPr>
              <w:t>技术</w:t>
            </w:r>
            <w:r>
              <w:rPr>
                <w:rFonts w:hint="eastAsia" w:ascii="宋体"/>
                <w:sz w:val="18"/>
                <w:szCs w:val="18"/>
                <w:highlight w:val="none"/>
                <w:lang w:val="en-US" w:eastAsia="zh-CN"/>
              </w:rPr>
              <w:t>水平</w:t>
            </w:r>
            <w:r>
              <w:rPr>
                <w:rFonts w:hint="eastAsia" w:ascii="宋体"/>
                <w:sz w:val="18"/>
                <w:szCs w:val="18"/>
                <w:highlight w:val="none"/>
              </w:rPr>
              <w:t>处于行业平均水平。(0分,</w:t>
            </w:r>
            <w:r>
              <w:rPr>
                <w:rFonts w:hint="eastAsia" w:ascii="宋体"/>
                <w:sz w:val="18"/>
                <w:szCs w:val="18"/>
                <w:highlight w:val="none"/>
                <w:lang w:val="en-US" w:eastAsia="zh-CN"/>
              </w:rPr>
              <w:t>4</w:t>
            </w:r>
            <w:r>
              <w:rPr>
                <w:rFonts w:hint="eastAsia" w:ascii="宋体"/>
                <w:sz w:val="18"/>
                <w:szCs w:val="18"/>
                <w:highlight w:val="none"/>
              </w:rPr>
              <w:t>分]</w:t>
            </w:r>
          </w:p>
          <w:p w14:paraId="0DB047DD">
            <w:pPr>
              <w:keepNext w:val="0"/>
              <w:keepLines w:val="0"/>
              <w:suppressLineNumbers w:val="0"/>
              <w:autoSpaceDE w:val="0"/>
              <w:autoSpaceDN w:val="0"/>
              <w:spacing w:before="0" w:beforeAutospacing="0" w:after="0" w:afterAutospacing="0"/>
              <w:ind w:left="0" w:right="0"/>
              <w:jc w:val="left"/>
              <w:rPr>
                <w:rFonts w:hint="default" w:ascii="宋体"/>
                <w:sz w:val="18"/>
                <w:szCs w:val="18"/>
                <w:highlight w:val="none"/>
              </w:rPr>
            </w:pPr>
            <w:r>
              <w:rPr>
                <w:rFonts w:hint="eastAsia" w:ascii="宋体"/>
                <w:sz w:val="18"/>
                <w:szCs w:val="18"/>
                <w:highlight w:val="none"/>
              </w:rPr>
              <w:t>d.未满足上述任何一项。（0分）</w:t>
            </w:r>
          </w:p>
        </w:tc>
        <w:tc>
          <w:tcPr>
            <w:tcW w:w="759" w:type="dxa"/>
            <w:tcBorders>
              <w:tl2br w:val="nil"/>
              <w:tr2bl w:val="nil"/>
            </w:tcBorders>
            <w:vAlign w:val="center"/>
          </w:tcPr>
          <w:p w14:paraId="2935F729">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sz w:val="18"/>
                <w:szCs w:val="18"/>
                <w:highlight w:val="none"/>
                <w:lang w:eastAsia="zh-CN"/>
              </w:rPr>
            </w:pPr>
            <w:r>
              <w:rPr>
                <w:rFonts w:hint="eastAsia" w:ascii="宋体" w:hAnsi="宋体" w:cs="宋体"/>
                <w:color w:val="000000"/>
                <w:kern w:val="0"/>
                <w:sz w:val="18"/>
                <w:szCs w:val="18"/>
                <w:highlight w:val="none"/>
                <w:lang w:val="en-US" w:eastAsia="zh-CN" w:bidi="ar"/>
              </w:rPr>
              <w:t>12</w:t>
            </w:r>
          </w:p>
        </w:tc>
        <w:tc>
          <w:tcPr>
            <w:tcW w:w="762" w:type="dxa"/>
            <w:tcBorders>
              <w:tl2br w:val="nil"/>
              <w:tr2bl w:val="nil"/>
            </w:tcBorders>
            <w:vAlign w:val="center"/>
          </w:tcPr>
          <w:p w14:paraId="3DE6EC10">
            <w:pPr>
              <w:keepNext w:val="0"/>
              <w:keepLines w:val="0"/>
              <w:suppressLineNumbers w:val="0"/>
              <w:autoSpaceDE w:val="0"/>
              <w:autoSpaceDN w:val="0"/>
              <w:spacing w:before="0" w:beforeAutospacing="0" w:after="0" w:afterAutospacing="0"/>
              <w:ind w:left="0" w:right="0"/>
              <w:jc w:val="center"/>
              <w:rPr>
                <w:rFonts w:hint="default" w:ascii="宋体"/>
                <w:sz w:val="18"/>
                <w:szCs w:val="18"/>
                <w:highlight w:val="none"/>
              </w:rPr>
            </w:pPr>
          </w:p>
        </w:tc>
      </w:tr>
    </w:tbl>
    <w:p w14:paraId="63B23B23">
      <w:pPr>
        <w:numPr>
          <w:ilvl w:val="1"/>
          <w:numId w:val="0"/>
        </w:numPr>
        <w:spacing w:before="312" w:beforeLines="100" w:after="156" w:afterLines="50"/>
        <w:jc w:val="center"/>
        <w:rPr>
          <w:rFonts w:hint="eastAsia" w:ascii="宋体" w:hAnsi="宋体" w:eastAsia="宋体" w:cs="宋体"/>
          <w:szCs w:val="21"/>
          <w:highlight w:val="none"/>
          <w:lang w:eastAsia="zh-CN"/>
        </w:rPr>
      </w:pPr>
      <w:r>
        <w:rPr>
          <w:rFonts w:hint="eastAsia" w:ascii="黑体" w:hAnsi="黑体" w:eastAsia="黑体" w:cs="黑体"/>
          <w:szCs w:val="21"/>
          <w:highlight w:val="none"/>
        </w:rPr>
        <w:t>表</w:t>
      </w:r>
      <w:r>
        <w:rPr>
          <w:rFonts w:hint="eastAsia" w:ascii="黑体" w:hAnsi="黑体" w:eastAsia="黑体" w:cs="黑体"/>
          <w:szCs w:val="21"/>
          <w:highlight w:val="none"/>
          <w:lang w:val="en-US" w:eastAsia="zh-CN"/>
        </w:rPr>
        <w:t>E</w:t>
      </w:r>
      <w:r>
        <w:rPr>
          <w:rFonts w:hint="eastAsia" w:ascii="黑体" w:hAnsi="黑体" w:eastAsia="黑体" w:cs="黑体"/>
          <w:szCs w:val="21"/>
          <w:highlight w:val="none"/>
        </w:rPr>
        <w:t>.2</w:t>
      </w:r>
      <w:r>
        <w:rPr>
          <w:rFonts w:hint="eastAsia" w:ascii="黑体" w:hAnsi="黑体" w:eastAsia="黑体" w:cs="黑体"/>
          <w:szCs w:val="21"/>
          <w:highlight w:val="none"/>
          <w:lang w:val="en-US" w:eastAsia="zh-CN"/>
        </w:rPr>
        <w:t xml:space="preserve">  温室气体控制领域</w:t>
      </w:r>
      <w:r>
        <w:rPr>
          <w:rFonts w:hint="eastAsia" w:ascii="黑体" w:hAnsi="黑体" w:eastAsia="黑体" w:cs="黑体"/>
          <w:szCs w:val="21"/>
          <w:highlight w:val="none"/>
          <w:lang w:eastAsia="zh-CN"/>
        </w:rPr>
        <w:t>绿色低碳产业</w:t>
      </w:r>
      <w:r>
        <w:rPr>
          <w:rFonts w:hint="eastAsia" w:ascii="黑体" w:hAnsi="黑体" w:eastAsia="黑体" w:cs="黑体"/>
          <w:szCs w:val="21"/>
          <w:highlight w:val="none"/>
          <w:lang w:val="en-US" w:eastAsia="zh-CN"/>
        </w:rPr>
        <w:t>企业</w:t>
      </w:r>
      <w:r>
        <w:rPr>
          <w:rFonts w:hint="eastAsia" w:ascii="黑体" w:hAnsi="黑体" w:eastAsia="黑体" w:cs="黑体"/>
          <w:szCs w:val="21"/>
          <w:highlight w:val="none"/>
        </w:rPr>
        <w:t>认定综合评价指标</w:t>
      </w:r>
      <w:r>
        <w:rPr>
          <w:rFonts w:hint="eastAsia" w:ascii="宋体" w:hAnsi="宋体" w:eastAsia="宋体" w:cs="宋体"/>
          <w:szCs w:val="21"/>
          <w:highlight w:val="none"/>
          <w:lang w:eastAsia="zh-CN"/>
        </w:rPr>
        <w:t>（</w:t>
      </w:r>
      <w:r>
        <w:rPr>
          <w:rFonts w:hint="eastAsia" w:ascii="宋体" w:hAnsi="宋体" w:eastAsia="宋体" w:cs="宋体"/>
          <w:szCs w:val="21"/>
          <w:highlight w:val="none"/>
          <w:lang w:val="en-US" w:eastAsia="zh-CN"/>
        </w:rPr>
        <w:t>续</w:t>
      </w:r>
      <w:r>
        <w:rPr>
          <w:rFonts w:hint="eastAsia" w:ascii="宋体" w:hAnsi="宋体" w:eastAsia="宋体" w:cs="宋体"/>
          <w:szCs w:val="21"/>
          <w:highlight w:val="none"/>
          <w:lang w:eastAsia="zh-CN"/>
        </w:rPr>
        <w:t>）</w:t>
      </w:r>
    </w:p>
    <w:tbl>
      <w:tblPr>
        <w:tblStyle w:val="37"/>
        <w:tblpPr w:leftFromText="180" w:rightFromText="180" w:vertAnchor="text" w:tblpXSpec="center" w:tblpY="1"/>
        <w:tblOverlap w:val="never"/>
        <w:tblW w:w="4994" w:type="pct"/>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591"/>
        <w:gridCol w:w="618"/>
        <w:gridCol w:w="1012"/>
        <w:gridCol w:w="2146"/>
        <w:gridCol w:w="3655"/>
        <w:gridCol w:w="759"/>
        <w:gridCol w:w="778"/>
      </w:tblGrid>
      <w:tr w14:paraId="6D03CF6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309" w:type="pct"/>
            <w:tcBorders>
              <w:bottom w:val="single" w:color="auto" w:sz="12" w:space="0"/>
            </w:tcBorders>
            <w:vAlign w:val="center"/>
          </w:tcPr>
          <w:p w14:paraId="0BD16194">
            <w:pPr>
              <w:keepNext w:val="0"/>
              <w:keepLines w:val="0"/>
              <w:suppressLineNumbers w:val="0"/>
              <w:autoSpaceDE w:val="0"/>
              <w:autoSpaceDN w:val="0"/>
              <w:spacing w:before="0" w:beforeAutospacing="0" w:after="0" w:afterAutospacing="0"/>
              <w:ind w:left="0" w:right="0"/>
              <w:jc w:val="center"/>
              <w:rPr>
                <w:rFonts w:hint="eastAsia" w:ascii="宋体" w:hAnsi="Times New Roman" w:eastAsia="宋体" w:cs="Times New Roman"/>
                <w:b/>
                <w:kern w:val="2"/>
                <w:sz w:val="18"/>
                <w:szCs w:val="18"/>
                <w:highlight w:val="none"/>
                <w:lang w:val="en-US" w:eastAsia="zh-CN" w:bidi="ar-SA"/>
              </w:rPr>
            </w:pPr>
            <w:r>
              <w:rPr>
                <w:rFonts w:hint="default" w:ascii="宋体"/>
                <w:b/>
                <w:sz w:val="18"/>
                <w:szCs w:val="18"/>
                <w:highlight w:val="none"/>
              </w:rPr>
              <w:t>一级指标</w:t>
            </w:r>
          </w:p>
        </w:tc>
        <w:tc>
          <w:tcPr>
            <w:tcW w:w="323" w:type="pct"/>
            <w:tcBorders>
              <w:bottom w:val="single" w:color="auto" w:sz="12" w:space="0"/>
            </w:tcBorders>
            <w:vAlign w:val="center"/>
          </w:tcPr>
          <w:p w14:paraId="6D7924AE">
            <w:pPr>
              <w:keepNext w:val="0"/>
              <w:keepLines w:val="0"/>
              <w:suppressLineNumbers w:val="0"/>
              <w:autoSpaceDE w:val="0"/>
              <w:autoSpaceDN w:val="0"/>
              <w:spacing w:before="0" w:beforeAutospacing="0" w:after="0" w:afterAutospacing="0"/>
              <w:ind w:left="0" w:right="0"/>
              <w:jc w:val="center"/>
              <w:rPr>
                <w:rFonts w:hint="eastAsia" w:ascii="宋体" w:hAnsi="Times New Roman" w:eastAsia="宋体" w:cs="Times New Roman"/>
                <w:b/>
                <w:kern w:val="2"/>
                <w:sz w:val="18"/>
                <w:szCs w:val="18"/>
                <w:highlight w:val="none"/>
                <w:lang w:val="en-US" w:eastAsia="zh-CN" w:bidi="ar-SA"/>
              </w:rPr>
            </w:pPr>
            <w:r>
              <w:rPr>
                <w:rFonts w:hint="default" w:ascii="宋体"/>
                <w:b/>
                <w:sz w:val="18"/>
                <w:szCs w:val="18"/>
                <w:highlight w:val="none"/>
              </w:rPr>
              <w:t>二级指标</w:t>
            </w:r>
          </w:p>
        </w:tc>
        <w:tc>
          <w:tcPr>
            <w:tcW w:w="529" w:type="pct"/>
            <w:tcBorders>
              <w:bottom w:val="single" w:color="auto" w:sz="12" w:space="0"/>
            </w:tcBorders>
            <w:vAlign w:val="center"/>
          </w:tcPr>
          <w:p w14:paraId="02687CE4">
            <w:pPr>
              <w:keepNext w:val="0"/>
              <w:keepLines w:val="0"/>
              <w:suppressLineNumbers w:val="0"/>
              <w:autoSpaceDE w:val="0"/>
              <w:autoSpaceDN w:val="0"/>
              <w:spacing w:before="0" w:beforeAutospacing="0" w:after="0" w:afterAutospacing="0"/>
              <w:ind w:left="0" w:right="0"/>
              <w:jc w:val="center"/>
              <w:rPr>
                <w:rFonts w:hint="eastAsia" w:ascii="宋体" w:hAnsi="Times New Roman" w:eastAsia="宋体" w:cs="Times New Roman"/>
                <w:b/>
                <w:kern w:val="2"/>
                <w:sz w:val="18"/>
                <w:szCs w:val="18"/>
                <w:highlight w:val="none"/>
                <w:lang w:val="en-US" w:eastAsia="zh-CN" w:bidi="ar-SA"/>
              </w:rPr>
            </w:pPr>
            <w:r>
              <w:rPr>
                <w:rFonts w:hint="default" w:ascii="宋体"/>
                <w:b/>
                <w:sz w:val="18"/>
                <w:szCs w:val="18"/>
                <w:highlight w:val="none"/>
              </w:rPr>
              <w:t>三级指标</w:t>
            </w:r>
          </w:p>
        </w:tc>
        <w:tc>
          <w:tcPr>
            <w:tcW w:w="1122" w:type="pct"/>
            <w:tcBorders>
              <w:bottom w:val="single" w:color="auto" w:sz="12" w:space="0"/>
            </w:tcBorders>
            <w:vAlign w:val="center"/>
          </w:tcPr>
          <w:p w14:paraId="341098F5">
            <w:pPr>
              <w:keepNext w:val="0"/>
              <w:keepLines w:val="0"/>
              <w:suppressLineNumbers w:val="0"/>
              <w:autoSpaceDE w:val="0"/>
              <w:autoSpaceDN w:val="0"/>
              <w:spacing w:before="0" w:beforeAutospacing="0" w:after="0" w:afterAutospacing="0"/>
              <w:ind w:left="0" w:right="0"/>
              <w:jc w:val="center"/>
              <w:rPr>
                <w:rFonts w:hint="eastAsia" w:ascii="宋体" w:hAnsi="Times New Roman" w:eastAsia="宋体" w:cs="Times New Roman"/>
                <w:b/>
                <w:kern w:val="2"/>
                <w:sz w:val="18"/>
                <w:szCs w:val="18"/>
                <w:highlight w:val="none"/>
                <w:lang w:val="en-US" w:eastAsia="zh-CN" w:bidi="ar-SA"/>
              </w:rPr>
            </w:pPr>
            <w:r>
              <w:rPr>
                <w:rFonts w:hint="eastAsia" w:ascii="宋体"/>
                <w:b/>
                <w:sz w:val="18"/>
                <w:szCs w:val="18"/>
                <w:highlight w:val="none"/>
              </w:rPr>
              <w:t>评价要求</w:t>
            </w:r>
          </w:p>
        </w:tc>
        <w:tc>
          <w:tcPr>
            <w:tcW w:w="1911" w:type="pct"/>
            <w:tcBorders>
              <w:bottom w:val="single" w:color="auto" w:sz="12" w:space="0"/>
            </w:tcBorders>
            <w:vAlign w:val="center"/>
          </w:tcPr>
          <w:p w14:paraId="1742E376">
            <w:pPr>
              <w:keepNext w:val="0"/>
              <w:keepLines w:val="0"/>
              <w:suppressLineNumbers w:val="0"/>
              <w:autoSpaceDE w:val="0"/>
              <w:autoSpaceDN w:val="0"/>
              <w:spacing w:before="0" w:beforeAutospacing="0" w:after="0" w:afterAutospacing="0"/>
              <w:ind w:left="0" w:right="0"/>
              <w:jc w:val="center"/>
              <w:rPr>
                <w:rFonts w:hint="eastAsia" w:ascii="宋体" w:hAnsi="Times New Roman" w:eastAsia="宋体" w:cs="Times New Roman"/>
                <w:b/>
                <w:kern w:val="2"/>
                <w:sz w:val="18"/>
                <w:szCs w:val="18"/>
                <w:highlight w:val="none"/>
                <w:lang w:val="en-US" w:eastAsia="zh-CN" w:bidi="ar-SA"/>
              </w:rPr>
            </w:pPr>
            <w:r>
              <w:rPr>
                <w:rFonts w:hint="eastAsia" w:ascii="宋体"/>
                <w:b/>
                <w:sz w:val="18"/>
                <w:szCs w:val="18"/>
                <w:highlight w:val="none"/>
              </w:rPr>
              <w:t>评分标准</w:t>
            </w:r>
          </w:p>
        </w:tc>
        <w:tc>
          <w:tcPr>
            <w:tcW w:w="397" w:type="pct"/>
            <w:tcBorders>
              <w:bottom w:val="single" w:color="auto" w:sz="12" w:space="0"/>
            </w:tcBorders>
            <w:vAlign w:val="center"/>
          </w:tcPr>
          <w:p w14:paraId="02D7CC7F">
            <w:pPr>
              <w:keepNext w:val="0"/>
              <w:keepLines w:val="0"/>
              <w:suppressLineNumbers w:val="0"/>
              <w:autoSpaceDE w:val="0"/>
              <w:autoSpaceDN w:val="0"/>
              <w:spacing w:before="0" w:beforeAutospacing="0" w:after="0" w:afterAutospacing="0"/>
              <w:ind w:left="0" w:right="0"/>
              <w:rPr>
                <w:rFonts w:hint="eastAsia" w:ascii="宋体" w:hAnsi="Times New Roman" w:eastAsia="宋体" w:cs="Times New Roman"/>
                <w:b/>
                <w:kern w:val="2"/>
                <w:sz w:val="18"/>
                <w:szCs w:val="18"/>
                <w:highlight w:val="none"/>
                <w:lang w:val="en-US" w:eastAsia="zh-CN" w:bidi="ar-SA"/>
              </w:rPr>
            </w:pPr>
            <w:r>
              <w:rPr>
                <w:rFonts w:hint="default" w:ascii="宋体"/>
                <w:b/>
                <w:sz w:val="18"/>
                <w:szCs w:val="18"/>
                <w:highlight w:val="none"/>
              </w:rPr>
              <w:t>分值</w:t>
            </w:r>
            <w:r>
              <w:rPr>
                <w:rFonts w:hint="eastAsia" w:ascii="宋体"/>
                <w:b/>
                <w:sz w:val="18"/>
                <w:szCs w:val="18"/>
                <w:highlight w:val="none"/>
              </w:rPr>
              <w:t>（分）</w:t>
            </w:r>
          </w:p>
        </w:tc>
        <w:tc>
          <w:tcPr>
            <w:tcW w:w="407" w:type="pct"/>
            <w:tcBorders>
              <w:bottom w:val="single" w:color="auto" w:sz="12" w:space="0"/>
            </w:tcBorders>
            <w:vAlign w:val="center"/>
          </w:tcPr>
          <w:p w14:paraId="5C28018F">
            <w:pPr>
              <w:keepNext w:val="0"/>
              <w:keepLines w:val="0"/>
              <w:suppressLineNumbers w:val="0"/>
              <w:autoSpaceDE w:val="0"/>
              <w:autoSpaceDN w:val="0"/>
              <w:spacing w:before="0" w:beforeAutospacing="0" w:after="0" w:afterAutospacing="0"/>
              <w:ind w:left="0" w:right="0"/>
              <w:rPr>
                <w:rFonts w:hint="default" w:ascii="宋体" w:hAnsi="Times New Roman" w:eastAsia="宋体" w:cs="Times New Roman"/>
                <w:b/>
                <w:kern w:val="2"/>
                <w:sz w:val="18"/>
                <w:szCs w:val="18"/>
                <w:highlight w:val="none"/>
                <w:lang w:val="en-US" w:eastAsia="zh-CN" w:bidi="ar-SA"/>
              </w:rPr>
            </w:pPr>
            <w:r>
              <w:rPr>
                <w:rFonts w:hint="default" w:ascii="宋体"/>
                <w:b/>
                <w:sz w:val="18"/>
                <w:szCs w:val="18"/>
                <w:highlight w:val="none"/>
              </w:rPr>
              <w:t>得分</w:t>
            </w:r>
            <w:r>
              <w:rPr>
                <w:rFonts w:hint="eastAsia" w:ascii="宋体"/>
                <w:b/>
                <w:sz w:val="18"/>
                <w:szCs w:val="18"/>
                <w:highlight w:val="none"/>
              </w:rPr>
              <w:t>（分）</w:t>
            </w:r>
          </w:p>
        </w:tc>
      </w:tr>
      <w:tr w14:paraId="08B1C71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781" w:hRule="atLeast"/>
        </w:trPr>
        <w:tc>
          <w:tcPr>
            <w:tcW w:w="309" w:type="pct"/>
            <w:tcBorders>
              <w:tl2br w:val="nil"/>
              <w:tr2bl w:val="nil"/>
            </w:tcBorders>
            <w:vAlign w:val="center"/>
          </w:tcPr>
          <w:p w14:paraId="31999548">
            <w:pPr>
              <w:keepNext w:val="0"/>
              <w:keepLines w:val="0"/>
              <w:suppressLineNumbers w:val="0"/>
              <w:autoSpaceDE w:val="0"/>
              <w:autoSpaceDN w:val="0"/>
              <w:spacing w:before="0" w:beforeAutospacing="0" w:after="0" w:afterAutospacing="0"/>
              <w:ind w:left="0" w:right="0"/>
              <w:jc w:val="center"/>
              <w:rPr>
                <w:rFonts w:hint="default" w:ascii="宋体" w:hAnsi="宋体" w:eastAsia="宋体" w:cs="宋体"/>
                <w:sz w:val="18"/>
                <w:szCs w:val="18"/>
                <w:highlight w:val="none"/>
                <w:lang w:val="en-US" w:eastAsia="zh-CN"/>
              </w:rPr>
            </w:pPr>
            <w:r>
              <w:rPr>
                <w:rFonts w:hint="eastAsia" w:ascii="宋体" w:hAnsi="宋体" w:cs="宋体"/>
                <w:sz w:val="18"/>
                <w:szCs w:val="18"/>
                <w:highlight w:val="none"/>
                <w:lang w:val="en-US" w:eastAsia="zh-CN"/>
              </w:rPr>
              <w:t>技术表现</w:t>
            </w:r>
          </w:p>
        </w:tc>
        <w:tc>
          <w:tcPr>
            <w:tcW w:w="323" w:type="pct"/>
            <w:tcBorders>
              <w:tl2br w:val="nil"/>
              <w:tr2bl w:val="nil"/>
            </w:tcBorders>
            <w:vAlign w:val="center"/>
          </w:tcPr>
          <w:p w14:paraId="59003BB4">
            <w:pPr>
              <w:keepNext w:val="0"/>
              <w:keepLines w:val="0"/>
              <w:suppressLineNumbers w:val="0"/>
              <w:autoSpaceDE w:val="0"/>
              <w:autoSpaceDN w:val="0"/>
              <w:spacing w:before="0" w:beforeAutospacing="0" w:after="0" w:afterAutospacing="0"/>
              <w:ind w:left="0" w:right="0"/>
              <w:jc w:val="center"/>
              <w:rPr>
                <w:rFonts w:hint="default" w:ascii="宋体" w:hAnsi="宋体" w:cs="宋体"/>
                <w:sz w:val="18"/>
                <w:szCs w:val="18"/>
                <w:highlight w:val="none"/>
              </w:rPr>
            </w:pPr>
            <w:r>
              <w:rPr>
                <w:rFonts w:hint="eastAsia" w:ascii="宋体" w:hAnsi="宋体" w:cs="宋体"/>
                <w:sz w:val="18"/>
                <w:szCs w:val="18"/>
                <w:highlight w:val="none"/>
              </w:rPr>
              <w:t>环境效益</w:t>
            </w:r>
          </w:p>
        </w:tc>
        <w:tc>
          <w:tcPr>
            <w:tcW w:w="1651" w:type="pct"/>
            <w:gridSpan w:val="2"/>
            <w:tcBorders>
              <w:tl2br w:val="nil"/>
              <w:tr2bl w:val="nil"/>
            </w:tcBorders>
            <w:vAlign w:val="center"/>
          </w:tcPr>
          <w:p w14:paraId="72934345">
            <w:pPr>
              <w:keepNext w:val="0"/>
              <w:keepLines w:val="0"/>
              <w:suppressLineNumbers w:val="0"/>
              <w:spacing w:before="0" w:beforeAutospacing="0" w:after="0" w:afterAutospacing="0"/>
              <w:ind w:left="0" w:right="0" w:firstLine="0" w:firstLineChars="0"/>
              <w:jc w:val="left"/>
              <w:rPr>
                <w:rFonts w:hint="default" w:hAnsi="宋体" w:cs="宋体"/>
                <w:sz w:val="18"/>
                <w:szCs w:val="18"/>
                <w:highlight w:val="none"/>
              </w:rPr>
            </w:pPr>
            <w:r>
              <w:rPr>
                <w:rFonts w:hint="eastAsia" w:hAnsi="宋体" w:cs="宋体"/>
                <w:sz w:val="18"/>
                <w:szCs w:val="18"/>
                <w:highlight w:val="none"/>
                <w:lang w:val="en-US" w:eastAsia="zh-CN"/>
              </w:rPr>
              <w:t>在温室气体控制领域取得的降碳</w:t>
            </w:r>
            <w:r>
              <w:rPr>
                <w:rFonts w:hint="eastAsia" w:hAnsi="宋体" w:cs="宋体"/>
                <w:sz w:val="18"/>
                <w:szCs w:val="18"/>
                <w:highlight w:val="none"/>
              </w:rPr>
              <w:t>效益</w:t>
            </w:r>
            <w:r>
              <w:rPr>
                <w:rFonts w:hint="eastAsia" w:hAnsi="宋体" w:cs="宋体"/>
                <w:sz w:val="18"/>
                <w:szCs w:val="18"/>
                <w:highlight w:val="none"/>
                <w:lang w:eastAsia="zh-CN"/>
              </w:rPr>
              <w:t>、</w:t>
            </w:r>
            <w:r>
              <w:rPr>
                <w:rFonts w:hint="eastAsia" w:hAnsi="宋体" w:cs="宋体"/>
                <w:sz w:val="18"/>
                <w:szCs w:val="18"/>
                <w:highlight w:val="none"/>
                <w:lang w:val="en-US" w:eastAsia="zh-CN"/>
              </w:rPr>
              <w:t>资源综合利用效益贡献量和涉及的环境效益种类数量</w:t>
            </w:r>
          </w:p>
        </w:tc>
        <w:tc>
          <w:tcPr>
            <w:tcW w:w="1911" w:type="pct"/>
            <w:tcBorders>
              <w:tl2br w:val="nil"/>
              <w:tr2bl w:val="nil"/>
            </w:tcBorders>
            <w:vAlign w:val="center"/>
          </w:tcPr>
          <w:p w14:paraId="273D0C50">
            <w:pPr>
              <w:pStyle w:val="26"/>
              <w:keepNext w:val="0"/>
              <w:keepLines w:val="0"/>
              <w:widowControl/>
              <w:suppressLineNumbers w:val="0"/>
              <w:spacing w:before="0" w:beforeAutospacing="0" w:after="0" w:afterAutospacing="0"/>
              <w:ind w:left="0" w:right="0" w:firstLine="0" w:firstLineChars="0"/>
              <w:jc w:val="left"/>
              <w:rPr>
                <w:rFonts w:hint="default" w:hAnsi="宋体" w:cs="宋体"/>
                <w:sz w:val="18"/>
                <w:szCs w:val="18"/>
                <w:highlight w:val="none"/>
              </w:rPr>
            </w:pPr>
            <w:r>
              <w:rPr>
                <w:rFonts w:hint="eastAsia" w:hAnsi="宋体" w:cs="宋体"/>
                <w:sz w:val="18"/>
                <w:szCs w:val="18"/>
                <w:highlight w:val="none"/>
              </w:rPr>
              <w:t>a.涉及环境效益种类较多，产生实际环境效益贡献量较</w:t>
            </w:r>
            <w:r>
              <w:rPr>
                <w:rFonts w:hint="eastAsia" w:hAnsi="宋体" w:cs="宋体"/>
                <w:sz w:val="18"/>
                <w:szCs w:val="18"/>
                <w:highlight w:val="none"/>
                <w:lang w:val="en-US" w:eastAsia="zh-CN"/>
              </w:rPr>
              <w:t>多</w:t>
            </w:r>
            <w:r>
              <w:rPr>
                <w:rFonts w:hint="eastAsia" w:hAnsi="宋体" w:cs="宋体"/>
                <w:sz w:val="18"/>
                <w:szCs w:val="18"/>
                <w:highlight w:val="none"/>
              </w:rPr>
              <w:t>。(</w:t>
            </w:r>
            <w:r>
              <w:rPr>
                <w:rFonts w:hint="eastAsia" w:hAnsi="宋体" w:cs="宋体"/>
                <w:sz w:val="18"/>
                <w:szCs w:val="18"/>
                <w:highlight w:val="none"/>
                <w:lang w:val="en-US" w:eastAsia="zh-CN"/>
              </w:rPr>
              <w:t>14</w:t>
            </w:r>
            <w:r>
              <w:rPr>
                <w:rFonts w:hint="eastAsia" w:hAnsi="宋体" w:cs="宋体"/>
                <w:sz w:val="18"/>
                <w:szCs w:val="18"/>
                <w:highlight w:val="none"/>
              </w:rPr>
              <w:t>分,</w:t>
            </w:r>
            <w:r>
              <w:rPr>
                <w:rFonts w:hint="eastAsia" w:hAnsi="宋体" w:cs="宋体"/>
                <w:sz w:val="18"/>
                <w:szCs w:val="18"/>
                <w:highlight w:val="none"/>
                <w:lang w:val="en-US" w:eastAsia="zh-CN"/>
              </w:rPr>
              <w:t>2</w:t>
            </w:r>
            <w:r>
              <w:rPr>
                <w:rFonts w:hint="eastAsia" w:hAnsi="宋体" w:cs="宋体"/>
                <w:sz w:val="18"/>
                <w:szCs w:val="18"/>
                <w:highlight w:val="none"/>
              </w:rPr>
              <w:t>0分]</w:t>
            </w:r>
          </w:p>
          <w:p w14:paraId="1CFED9FC">
            <w:pPr>
              <w:pStyle w:val="26"/>
              <w:keepNext w:val="0"/>
              <w:keepLines w:val="0"/>
              <w:widowControl/>
              <w:suppressLineNumbers w:val="0"/>
              <w:spacing w:before="0" w:beforeAutospacing="0" w:after="0" w:afterAutospacing="0"/>
              <w:ind w:left="0" w:right="0" w:firstLine="0" w:firstLineChars="0"/>
              <w:jc w:val="left"/>
              <w:rPr>
                <w:rFonts w:hint="default" w:hAnsi="宋体" w:cs="宋体"/>
                <w:sz w:val="18"/>
                <w:szCs w:val="18"/>
                <w:highlight w:val="none"/>
              </w:rPr>
            </w:pPr>
            <w:r>
              <w:rPr>
                <w:rFonts w:hint="eastAsia" w:hAnsi="宋体" w:cs="宋体"/>
                <w:sz w:val="18"/>
                <w:szCs w:val="18"/>
                <w:highlight w:val="none"/>
              </w:rPr>
              <w:t>b.涉及环境效益种类一般，产生实际环境效益贡献量一般。(</w:t>
            </w:r>
            <w:r>
              <w:rPr>
                <w:rFonts w:hint="eastAsia" w:hAnsi="宋体" w:cs="宋体"/>
                <w:sz w:val="18"/>
                <w:szCs w:val="18"/>
                <w:highlight w:val="none"/>
                <w:lang w:val="en-US" w:eastAsia="zh-CN"/>
              </w:rPr>
              <w:t>6</w:t>
            </w:r>
            <w:r>
              <w:rPr>
                <w:rFonts w:hint="eastAsia" w:hAnsi="宋体" w:cs="宋体"/>
                <w:sz w:val="18"/>
                <w:szCs w:val="18"/>
                <w:highlight w:val="none"/>
              </w:rPr>
              <w:t>分,</w:t>
            </w:r>
            <w:r>
              <w:rPr>
                <w:rFonts w:hint="eastAsia" w:hAnsi="宋体" w:cs="宋体"/>
                <w:sz w:val="18"/>
                <w:szCs w:val="18"/>
                <w:highlight w:val="none"/>
                <w:lang w:val="en-US" w:eastAsia="zh-CN"/>
              </w:rPr>
              <w:t>14</w:t>
            </w:r>
            <w:r>
              <w:rPr>
                <w:rFonts w:hint="eastAsia" w:hAnsi="宋体" w:cs="宋体"/>
                <w:sz w:val="18"/>
                <w:szCs w:val="18"/>
                <w:highlight w:val="none"/>
              </w:rPr>
              <w:t>分]</w:t>
            </w:r>
          </w:p>
          <w:p w14:paraId="6D9B7684">
            <w:pPr>
              <w:pStyle w:val="26"/>
              <w:keepNext w:val="0"/>
              <w:keepLines w:val="0"/>
              <w:widowControl/>
              <w:suppressLineNumbers w:val="0"/>
              <w:spacing w:before="0" w:beforeAutospacing="0" w:after="0" w:afterAutospacing="0"/>
              <w:ind w:left="0" w:right="0" w:firstLine="0" w:firstLineChars="0"/>
              <w:jc w:val="left"/>
              <w:rPr>
                <w:rFonts w:hint="default" w:hAnsi="宋体" w:cs="宋体"/>
                <w:sz w:val="18"/>
                <w:szCs w:val="18"/>
                <w:highlight w:val="none"/>
              </w:rPr>
            </w:pPr>
            <w:r>
              <w:rPr>
                <w:rFonts w:hint="eastAsia" w:hAnsi="宋体" w:cs="宋体"/>
                <w:sz w:val="18"/>
                <w:szCs w:val="18"/>
                <w:highlight w:val="none"/>
              </w:rPr>
              <w:t>c.涉及环境效益种类较少，产生实际环境效益贡献量较少。(0分,</w:t>
            </w:r>
            <w:r>
              <w:rPr>
                <w:rFonts w:hint="eastAsia" w:hAnsi="宋体" w:cs="宋体"/>
                <w:sz w:val="18"/>
                <w:szCs w:val="18"/>
                <w:highlight w:val="none"/>
                <w:lang w:val="en-US" w:eastAsia="zh-CN"/>
              </w:rPr>
              <w:t>6</w:t>
            </w:r>
            <w:r>
              <w:rPr>
                <w:rFonts w:hint="eastAsia" w:hAnsi="宋体" w:cs="宋体"/>
                <w:sz w:val="18"/>
                <w:szCs w:val="18"/>
                <w:highlight w:val="none"/>
              </w:rPr>
              <w:t>分]</w:t>
            </w:r>
          </w:p>
          <w:p w14:paraId="5F95AE2E">
            <w:pPr>
              <w:pStyle w:val="26"/>
              <w:keepNext w:val="0"/>
              <w:keepLines w:val="0"/>
              <w:widowControl/>
              <w:suppressLineNumbers w:val="0"/>
              <w:spacing w:before="0" w:beforeAutospacing="0" w:after="0" w:afterAutospacing="0"/>
              <w:ind w:left="0" w:right="0" w:firstLine="0" w:firstLineChars="0"/>
              <w:jc w:val="left"/>
              <w:rPr>
                <w:rFonts w:hint="default" w:hAnsi="宋体" w:cs="宋体"/>
                <w:sz w:val="18"/>
                <w:szCs w:val="18"/>
                <w:highlight w:val="none"/>
              </w:rPr>
            </w:pPr>
            <w:r>
              <w:rPr>
                <w:rFonts w:hint="eastAsia" w:hAnsi="宋体" w:cs="宋体"/>
                <w:sz w:val="18"/>
                <w:szCs w:val="18"/>
                <w:highlight w:val="none"/>
              </w:rPr>
              <w:t>d.未产生实际环境效益。（0分）</w:t>
            </w:r>
          </w:p>
        </w:tc>
        <w:tc>
          <w:tcPr>
            <w:tcW w:w="397" w:type="pct"/>
            <w:tcBorders>
              <w:tl2br w:val="nil"/>
              <w:tr2bl w:val="nil"/>
            </w:tcBorders>
            <w:vAlign w:val="center"/>
          </w:tcPr>
          <w:p w14:paraId="1CFF237F">
            <w:pPr>
              <w:keepNext w:val="0"/>
              <w:keepLines w:val="0"/>
              <w:widowControl/>
              <w:suppressLineNumbers w:val="0"/>
              <w:spacing w:before="0" w:beforeAutospacing="0" w:after="0" w:afterAutospacing="0"/>
              <w:ind w:left="0" w:right="0"/>
              <w:jc w:val="center"/>
              <w:textAlignment w:val="center"/>
              <w:rPr>
                <w:rFonts w:hint="default" w:ascii="宋体" w:hAnsi="宋体" w:cs="宋体"/>
                <w:sz w:val="18"/>
                <w:szCs w:val="18"/>
                <w:highlight w:val="none"/>
              </w:rPr>
            </w:pPr>
            <w:r>
              <w:rPr>
                <w:rFonts w:hint="eastAsia" w:ascii="宋体" w:hAnsi="宋体" w:cs="宋体"/>
                <w:color w:val="000000"/>
                <w:kern w:val="0"/>
                <w:sz w:val="18"/>
                <w:szCs w:val="18"/>
                <w:highlight w:val="none"/>
                <w:lang w:val="en-US" w:eastAsia="zh-CN" w:bidi="ar"/>
              </w:rPr>
              <w:t>2</w:t>
            </w:r>
            <w:r>
              <w:rPr>
                <w:rFonts w:hint="eastAsia" w:ascii="宋体" w:hAnsi="宋体" w:cs="宋体"/>
                <w:color w:val="000000"/>
                <w:kern w:val="0"/>
                <w:sz w:val="18"/>
                <w:szCs w:val="18"/>
                <w:highlight w:val="none"/>
                <w:lang w:bidi="ar"/>
              </w:rPr>
              <w:t>0</w:t>
            </w:r>
          </w:p>
        </w:tc>
        <w:tc>
          <w:tcPr>
            <w:tcW w:w="407" w:type="pct"/>
            <w:tcBorders>
              <w:tl2br w:val="nil"/>
              <w:tr2bl w:val="nil"/>
            </w:tcBorders>
            <w:vAlign w:val="center"/>
          </w:tcPr>
          <w:p w14:paraId="565DB14B">
            <w:pPr>
              <w:keepNext w:val="0"/>
              <w:keepLines w:val="0"/>
              <w:suppressLineNumbers w:val="0"/>
              <w:autoSpaceDE w:val="0"/>
              <w:autoSpaceDN w:val="0"/>
              <w:spacing w:before="0" w:beforeAutospacing="0" w:after="0" w:afterAutospacing="0"/>
              <w:ind w:left="0" w:right="0"/>
              <w:jc w:val="center"/>
              <w:rPr>
                <w:rFonts w:hint="default" w:ascii="宋体"/>
                <w:sz w:val="18"/>
                <w:szCs w:val="18"/>
                <w:highlight w:val="none"/>
              </w:rPr>
            </w:pPr>
          </w:p>
        </w:tc>
      </w:tr>
      <w:tr w14:paraId="5E853AB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213" w:hRule="atLeast"/>
        </w:trPr>
        <w:tc>
          <w:tcPr>
            <w:tcW w:w="309" w:type="pct"/>
            <w:vMerge w:val="restart"/>
            <w:tcBorders>
              <w:tl2br w:val="nil"/>
              <w:tr2bl w:val="nil"/>
            </w:tcBorders>
            <w:vAlign w:val="center"/>
          </w:tcPr>
          <w:p w14:paraId="70B58558">
            <w:pPr>
              <w:keepNext w:val="0"/>
              <w:keepLines w:val="0"/>
              <w:suppressLineNumbers w:val="0"/>
              <w:autoSpaceDE w:val="0"/>
              <w:autoSpaceDN w:val="0"/>
              <w:spacing w:before="0" w:beforeAutospacing="0" w:after="0" w:afterAutospacing="0"/>
              <w:ind w:left="0" w:right="0"/>
              <w:jc w:val="center"/>
              <w:rPr>
                <w:rFonts w:hint="default" w:ascii="宋体" w:hAnsi="宋体" w:cs="宋体"/>
                <w:sz w:val="18"/>
                <w:szCs w:val="18"/>
                <w:highlight w:val="none"/>
              </w:rPr>
            </w:pPr>
            <w:r>
              <w:rPr>
                <w:rFonts w:hint="eastAsia" w:ascii="宋体" w:hAnsi="宋体" w:cs="宋体"/>
                <w:sz w:val="18"/>
                <w:szCs w:val="18"/>
                <w:highlight w:val="none"/>
              </w:rPr>
              <w:t>业务表现</w:t>
            </w:r>
          </w:p>
        </w:tc>
        <w:tc>
          <w:tcPr>
            <w:tcW w:w="323" w:type="pct"/>
            <w:vMerge w:val="restart"/>
            <w:tcBorders>
              <w:tl2br w:val="nil"/>
              <w:tr2bl w:val="nil"/>
            </w:tcBorders>
            <w:vAlign w:val="center"/>
          </w:tcPr>
          <w:p w14:paraId="66176AA2">
            <w:pPr>
              <w:keepNext w:val="0"/>
              <w:keepLines w:val="0"/>
              <w:suppressLineNumbers w:val="0"/>
              <w:autoSpaceDE w:val="0"/>
              <w:autoSpaceDN w:val="0"/>
              <w:spacing w:before="0" w:beforeAutospacing="0" w:after="0" w:afterAutospacing="0"/>
              <w:ind w:left="0" w:right="0"/>
              <w:jc w:val="center"/>
              <w:rPr>
                <w:rFonts w:hint="default" w:ascii="宋体" w:hAnsi="宋体" w:cs="宋体"/>
                <w:sz w:val="18"/>
                <w:szCs w:val="18"/>
                <w:highlight w:val="none"/>
              </w:rPr>
            </w:pPr>
            <w:r>
              <w:rPr>
                <w:rFonts w:hint="eastAsia" w:ascii="宋体" w:hAnsi="宋体" w:cs="宋体"/>
                <w:sz w:val="18"/>
                <w:szCs w:val="18"/>
                <w:highlight w:val="none"/>
              </w:rPr>
              <w:t>发展能力</w:t>
            </w:r>
          </w:p>
        </w:tc>
        <w:tc>
          <w:tcPr>
            <w:tcW w:w="529" w:type="pct"/>
            <w:tcBorders>
              <w:tl2br w:val="nil"/>
              <w:tr2bl w:val="nil"/>
            </w:tcBorders>
            <w:vAlign w:val="center"/>
          </w:tcPr>
          <w:p w14:paraId="54D5273E">
            <w:pPr>
              <w:keepNext w:val="0"/>
              <w:keepLines w:val="0"/>
              <w:suppressLineNumbers w:val="0"/>
              <w:autoSpaceDE w:val="0"/>
              <w:autoSpaceDN w:val="0"/>
              <w:spacing w:before="0" w:beforeAutospacing="0" w:after="0" w:afterAutospacing="0"/>
              <w:ind w:left="0" w:right="0"/>
              <w:jc w:val="center"/>
              <w:rPr>
                <w:rFonts w:hint="default" w:ascii="宋体" w:hAnsi="宋体" w:cs="宋体"/>
                <w:sz w:val="18"/>
                <w:szCs w:val="18"/>
                <w:highlight w:val="none"/>
              </w:rPr>
            </w:pPr>
            <w:r>
              <w:rPr>
                <w:rFonts w:hint="eastAsia" w:ascii="宋体" w:hAnsi="宋体" w:cs="宋体"/>
                <w:sz w:val="18"/>
                <w:szCs w:val="18"/>
                <w:highlight w:val="none"/>
              </w:rPr>
              <w:t>团队技术实力</w:t>
            </w:r>
          </w:p>
        </w:tc>
        <w:tc>
          <w:tcPr>
            <w:tcW w:w="1122" w:type="pct"/>
            <w:tcBorders>
              <w:tl2br w:val="nil"/>
              <w:tr2bl w:val="nil"/>
            </w:tcBorders>
            <w:vAlign w:val="center"/>
          </w:tcPr>
          <w:p w14:paraId="2CED48C4">
            <w:pPr>
              <w:pStyle w:val="26"/>
              <w:keepNext w:val="0"/>
              <w:keepLines w:val="0"/>
              <w:widowControl/>
              <w:suppressLineNumbers w:val="0"/>
              <w:spacing w:before="0" w:beforeAutospacing="0" w:after="0" w:afterAutospacing="0"/>
              <w:ind w:left="0" w:right="0" w:firstLine="0" w:firstLineChars="0"/>
              <w:rPr>
                <w:rFonts w:hint="default" w:hAnsi="宋体" w:cs="宋体"/>
                <w:sz w:val="18"/>
                <w:szCs w:val="18"/>
                <w:highlight w:val="none"/>
              </w:rPr>
            </w:pPr>
            <w:r>
              <w:rPr>
                <w:rFonts w:hint="eastAsia" w:hAnsi="宋体" w:cs="宋体"/>
                <w:sz w:val="18"/>
                <w:szCs w:val="18"/>
                <w:highlight w:val="none"/>
              </w:rPr>
              <w:t>从专业覆盖面、学历职称、绿色业务相关工作年限等方面进行综合评价，人员通过劳动合同、缴纳社会保险或是否累计实际工作时间在183天以上来鉴别</w:t>
            </w:r>
          </w:p>
        </w:tc>
        <w:tc>
          <w:tcPr>
            <w:tcW w:w="1911" w:type="pct"/>
            <w:tcBorders>
              <w:tl2br w:val="nil"/>
              <w:tr2bl w:val="nil"/>
            </w:tcBorders>
            <w:vAlign w:val="center"/>
          </w:tcPr>
          <w:p w14:paraId="18B01C56">
            <w:pPr>
              <w:pStyle w:val="26"/>
              <w:keepNext w:val="0"/>
              <w:keepLines w:val="0"/>
              <w:widowControl/>
              <w:suppressLineNumbers w:val="0"/>
              <w:spacing w:before="0" w:beforeAutospacing="0" w:after="0" w:afterAutospacing="0"/>
              <w:ind w:left="0" w:right="0" w:firstLine="0" w:firstLineChars="0"/>
              <w:jc w:val="left"/>
              <w:rPr>
                <w:rFonts w:hint="default" w:hAnsi="宋体" w:cs="宋体"/>
                <w:sz w:val="18"/>
                <w:szCs w:val="18"/>
                <w:highlight w:val="none"/>
              </w:rPr>
            </w:pPr>
            <w:r>
              <w:rPr>
                <w:rFonts w:hint="eastAsia" w:hAnsi="宋体" w:cs="宋体"/>
                <w:sz w:val="18"/>
                <w:szCs w:val="18"/>
                <w:highlight w:val="none"/>
              </w:rPr>
              <w:t>a.人员配置合理，涵盖所需专业，研发部门中30%以上科研人员从事</w:t>
            </w:r>
            <w:r>
              <w:rPr>
                <w:rFonts w:hint="eastAsia" w:hAnsi="宋体" w:cs="宋体"/>
                <w:sz w:val="18"/>
                <w:szCs w:val="18"/>
                <w:highlight w:val="none"/>
                <w:lang w:val="en-US" w:eastAsia="zh-CN"/>
              </w:rPr>
              <w:t>温室气体控制领域</w:t>
            </w:r>
            <w:r>
              <w:rPr>
                <w:rFonts w:hint="eastAsia" w:hAnsi="宋体" w:cs="宋体"/>
                <w:sz w:val="18"/>
                <w:szCs w:val="18"/>
                <w:highlight w:val="none"/>
              </w:rPr>
              <w:t>相关工作达3年或以上年限，至少配备一名高级职称或博士技术人员。</w:t>
            </w:r>
            <w:r>
              <w:rPr>
                <w:rFonts w:hint="eastAsia" w:hAnsi="宋体" w:cs="宋体"/>
                <w:sz w:val="18"/>
                <w:szCs w:val="18"/>
                <w:highlight w:val="none"/>
                <w:lang w:val="en-US" w:eastAsia="zh-CN"/>
              </w:rPr>
              <w:t>[</w:t>
            </w:r>
            <w:r>
              <w:rPr>
                <w:rFonts w:hint="eastAsia" w:hAnsi="宋体" w:cs="宋体"/>
                <w:sz w:val="18"/>
                <w:szCs w:val="18"/>
                <w:highlight w:val="none"/>
              </w:rPr>
              <w:t>4分,8分]</w:t>
            </w:r>
          </w:p>
          <w:p w14:paraId="50FD6449">
            <w:pPr>
              <w:pStyle w:val="26"/>
              <w:keepNext w:val="0"/>
              <w:keepLines w:val="0"/>
              <w:widowControl/>
              <w:suppressLineNumbers w:val="0"/>
              <w:spacing w:before="0" w:beforeAutospacing="0" w:after="0" w:afterAutospacing="0"/>
              <w:ind w:left="0" w:right="0" w:firstLine="0" w:firstLineChars="0"/>
              <w:jc w:val="left"/>
              <w:rPr>
                <w:rFonts w:hint="default" w:hAnsi="宋体" w:cs="宋体"/>
                <w:sz w:val="18"/>
                <w:szCs w:val="18"/>
                <w:highlight w:val="none"/>
              </w:rPr>
            </w:pPr>
            <w:r>
              <w:rPr>
                <w:rFonts w:hint="eastAsia" w:hAnsi="宋体" w:cs="宋体"/>
                <w:sz w:val="18"/>
                <w:szCs w:val="18"/>
                <w:highlight w:val="none"/>
              </w:rPr>
              <w:t>b.人员配置基本合理，涵盖所需专业，研发部门中20%以上科研人员从事</w:t>
            </w:r>
            <w:r>
              <w:rPr>
                <w:rFonts w:hint="eastAsia" w:hAnsi="宋体" w:cs="宋体"/>
                <w:sz w:val="18"/>
                <w:szCs w:val="18"/>
                <w:highlight w:val="none"/>
                <w:lang w:val="en-US" w:eastAsia="zh-CN"/>
              </w:rPr>
              <w:t>温室气体控制领域</w:t>
            </w:r>
            <w:r>
              <w:rPr>
                <w:rFonts w:hint="eastAsia" w:hAnsi="宋体" w:cs="宋体"/>
                <w:sz w:val="18"/>
                <w:szCs w:val="18"/>
                <w:highlight w:val="none"/>
              </w:rPr>
              <w:t>相关工作达3年或以上年限，至少配备一名高级职称或博士技术人员。</w:t>
            </w:r>
            <w:r>
              <w:rPr>
                <w:rFonts w:hint="eastAsia" w:hAnsi="宋体" w:cs="宋体"/>
                <w:sz w:val="18"/>
                <w:szCs w:val="18"/>
                <w:highlight w:val="none"/>
                <w:lang w:val="en-US" w:eastAsia="zh-CN"/>
              </w:rPr>
              <w:t>[</w:t>
            </w:r>
            <w:r>
              <w:rPr>
                <w:rFonts w:hint="eastAsia" w:hAnsi="宋体" w:cs="宋体"/>
                <w:sz w:val="18"/>
                <w:szCs w:val="18"/>
                <w:highlight w:val="none"/>
              </w:rPr>
              <w:t>3分,7分]</w:t>
            </w:r>
          </w:p>
          <w:p w14:paraId="12BB0820">
            <w:pPr>
              <w:pStyle w:val="26"/>
              <w:keepNext w:val="0"/>
              <w:keepLines w:val="0"/>
              <w:widowControl/>
              <w:suppressLineNumbers w:val="0"/>
              <w:spacing w:before="0" w:beforeAutospacing="0" w:after="0" w:afterAutospacing="0"/>
              <w:ind w:left="0" w:right="0" w:firstLine="0" w:firstLineChars="0"/>
              <w:jc w:val="left"/>
              <w:rPr>
                <w:rFonts w:hint="default" w:hAnsi="宋体" w:cs="宋体"/>
                <w:sz w:val="18"/>
                <w:szCs w:val="18"/>
                <w:highlight w:val="none"/>
              </w:rPr>
            </w:pPr>
            <w:r>
              <w:rPr>
                <w:rFonts w:hint="eastAsia" w:hAnsi="宋体" w:cs="宋体"/>
                <w:sz w:val="18"/>
                <w:szCs w:val="18"/>
                <w:highlight w:val="none"/>
              </w:rPr>
              <w:t>c.人员配置未完全覆盖所需专业，团队实力一般。</w:t>
            </w:r>
            <w:r>
              <w:rPr>
                <w:rFonts w:hint="eastAsia" w:hAnsi="宋体" w:cs="宋体"/>
                <w:sz w:val="18"/>
                <w:szCs w:val="18"/>
                <w:highlight w:val="none"/>
                <w:lang w:val="en-US" w:eastAsia="zh-CN"/>
              </w:rPr>
              <w:t>[</w:t>
            </w:r>
            <w:r>
              <w:rPr>
                <w:rFonts w:hint="eastAsia" w:hAnsi="宋体" w:cs="宋体"/>
                <w:sz w:val="18"/>
                <w:szCs w:val="18"/>
                <w:highlight w:val="none"/>
              </w:rPr>
              <w:t>0分,3分]</w:t>
            </w:r>
          </w:p>
          <w:p w14:paraId="08B306FA">
            <w:pPr>
              <w:keepNext w:val="0"/>
              <w:keepLines w:val="0"/>
              <w:widowControl w:val="0"/>
              <w:numPr>
                <w:ilvl w:val="0"/>
                <w:numId w:val="0"/>
              </w:numPr>
              <w:suppressLineNumbers w:val="0"/>
              <w:tabs>
                <w:tab w:val="center" w:pos="4201"/>
                <w:tab w:val="right" w:leader="dot" w:pos="9298"/>
              </w:tabs>
              <w:autoSpaceDE w:val="0"/>
              <w:autoSpaceDN w:val="0"/>
              <w:spacing w:before="0" w:beforeAutospacing="0" w:after="0" w:afterAutospacing="0"/>
              <w:ind w:left="0" w:leftChars="0" w:right="0"/>
              <w:jc w:val="left"/>
              <w:rPr>
                <w:rFonts w:hint="default" w:ascii="宋体" w:hAnsi="宋体" w:eastAsia="宋体" w:cs="宋体"/>
                <w:sz w:val="18"/>
                <w:szCs w:val="18"/>
                <w:highlight w:val="none"/>
                <w:lang w:val="en-US" w:eastAsia="zh-CN" w:bidi="ar-SA"/>
              </w:rPr>
            </w:pPr>
            <w:r>
              <w:rPr>
                <w:rFonts w:hint="eastAsia" w:ascii="宋体" w:hAnsi="宋体" w:cs="宋体"/>
                <w:sz w:val="18"/>
                <w:szCs w:val="18"/>
                <w:highlight w:val="none"/>
                <w:lang w:val="en-US" w:eastAsia="zh-CN" w:bidi="ar-SA"/>
              </w:rPr>
              <w:t>d.</w:t>
            </w:r>
            <w:r>
              <w:rPr>
                <w:rFonts w:hint="eastAsia" w:ascii="宋体" w:hAnsi="宋体" w:eastAsia="宋体" w:cs="宋体"/>
                <w:sz w:val="18"/>
                <w:szCs w:val="18"/>
                <w:highlight w:val="none"/>
                <w:lang w:val="en-US" w:eastAsia="zh-CN" w:bidi="ar-SA"/>
              </w:rPr>
              <w:t>每增加一名从事</w:t>
            </w:r>
            <w:r>
              <w:rPr>
                <w:rFonts w:hint="eastAsia" w:ascii="宋体" w:hAnsi="宋体" w:cs="宋体"/>
                <w:sz w:val="18"/>
                <w:szCs w:val="18"/>
                <w:highlight w:val="none"/>
                <w:lang w:val="en-US" w:eastAsia="zh-CN" w:bidi="ar-SA"/>
              </w:rPr>
              <w:t>温室气体控制</w:t>
            </w:r>
            <w:r>
              <w:rPr>
                <w:rFonts w:hint="eastAsia" w:ascii="宋体" w:hAnsi="宋体" w:eastAsia="宋体" w:cs="宋体"/>
                <w:sz w:val="18"/>
                <w:szCs w:val="18"/>
                <w:highlight w:val="none"/>
                <w:lang w:val="en-US" w:eastAsia="zh-CN" w:bidi="ar-SA"/>
              </w:rPr>
              <w:t>领域相关技术领域的高级职称或博士技术人员，加0.5分。 每增加5%从事相关工作达3年或以上年限的团队人员，加0.5分</w:t>
            </w:r>
          </w:p>
        </w:tc>
        <w:tc>
          <w:tcPr>
            <w:tcW w:w="397" w:type="pct"/>
            <w:tcBorders>
              <w:tl2br w:val="nil"/>
              <w:tr2bl w:val="nil"/>
            </w:tcBorders>
            <w:vAlign w:val="center"/>
          </w:tcPr>
          <w:p w14:paraId="0AFE6216">
            <w:pPr>
              <w:keepNext w:val="0"/>
              <w:keepLines w:val="0"/>
              <w:widowControl/>
              <w:suppressLineNumbers w:val="0"/>
              <w:spacing w:before="0" w:beforeAutospacing="0" w:after="0" w:afterAutospacing="0"/>
              <w:ind w:left="0" w:right="0"/>
              <w:jc w:val="center"/>
              <w:textAlignment w:val="center"/>
              <w:rPr>
                <w:rFonts w:hint="default" w:ascii="宋体" w:hAnsi="宋体" w:cs="宋体"/>
                <w:sz w:val="18"/>
                <w:szCs w:val="18"/>
                <w:highlight w:val="none"/>
              </w:rPr>
            </w:pPr>
            <w:r>
              <w:rPr>
                <w:rFonts w:hint="eastAsia" w:ascii="宋体" w:hAnsi="宋体" w:cs="宋体"/>
                <w:color w:val="000000"/>
                <w:kern w:val="0"/>
                <w:sz w:val="18"/>
                <w:szCs w:val="18"/>
                <w:highlight w:val="none"/>
                <w:lang w:bidi="ar"/>
              </w:rPr>
              <w:t>8</w:t>
            </w:r>
          </w:p>
        </w:tc>
        <w:tc>
          <w:tcPr>
            <w:tcW w:w="407" w:type="pct"/>
            <w:tcBorders>
              <w:tl2br w:val="nil"/>
              <w:tr2bl w:val="nil"/>
            </w:tcBorders>
            <w:vAlign w:val="center"/>
          </w:tcPr>
          <w:p w14:paraId="7A29A92D">
            <w:pPr>
              <w:keepNext w:val="0"/>
              <w:keepLines w:val="0"/>
              <w:suppressLineNumbers w:val="0"/>
              <w:autoSpaceDE w:val="0"/>
              <w:autoSpaceDN w:val="0"/>
              <w:spacing w:before="0" w:beforeAutospacing="0" w:after="0" w:afterAutospacing="0"/>
              <w:ind w:left="0" w:right="0"/>
              <w:jc w:val="center"/>
              <w:rPr>
                <w:rFonts w:hint="default" w:ascii="宋体"/>
                <w:sz w:val="18"/>
                <w:szCs w:val="18"/>
                <w:highlight w:val="none"/>
              </w:rPr>
            </w:pPr>
          </w:p>
        </w:tc>
      </w:tr>
      <w:tr w14:paraId="084C767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847" w:hRule="atLeast"/>
        </w:trPr>
        <w:tc>
          <w:tcPr>
            <w:tcW w:w="309" w:type="pct"/>
            <w:vMerge w:val="continue"/>
            <w:tcBorders>
              <w:tl2br w:val="nil"/>
              <w:tr2bl w:val="nil"/>
            </w:tcBorders>
            <w:vAlign w:val="center"/>
          </w:tcPr>
          <w:p w14:paraId="2A3B4BA5">
            <w:pPr>
              <w:keepNext w:val="0"/>
              <w:keepLines w:val="0"/>
              <w:suppressLineNumbers w:val="0"/>
              <w:autoSpaceDE w:val="0"/>
              <w:autoSpaceDN w:val="0"/>
              <w:spacing w:before="0" w:beforeAutospacing="0" w:after="0" w:afterAutospacing="0"/>
              <w:ind w:left="0" w:right="0"/>
              <w:jc w:val="center"/>
              <w:rPr>
                <w:rFonts w:hint="default" w:ascii="宋体" w:hAnsi="宋体" w:cs="宋体"/>
                <w:sz w:val="18"/>
                <w:szCs w:val="18"/>
                <w:highlight w:val="none"/>
              </w:rPr>
            </w:pPr>
          </w:p>
        </w:tc>
        <w:tc>
          <w:tcPr>
            <w:tcW w:w="323" w:type="pct"/>
            <w:vMerge w:val="continue"/>
            <w:tcBorders>
              <w:tl2br w:val="nil"/>
              <w:tr2bl w:val="nil"/>
            </w:tcBorders>
            <w:vAlign w:val="center"/>
          </w:tcPr>
          <w:p w14:paraId="4FDA2E0E">
            <w:pPr>
              <w:keepNext w:val="0"/>
              <w:keepLines w:val="0"/>
              <w:suppressLineNumbers w:val="0"/>
              <w:autoSpaceDE w:val="0"/>
              <w:autoSpaceDN w:val="0"/>
              <w:spacing w:before="0" w:beforeAutospacing="0" w:after="0" w:afterAutospacing="0"/>
              <w:ind w:left="0" w:right="0"/>
              <w:jc w:val="center"/>
              <w:rPr>
                <w:rFonts w:hint="default" w:ascii="宋体" w:hAnsi="宋体" w:cs="宋体"/>
                <w:sz w:val="18"/>
                <w:szCs w:val="18"/>
                <w:highlight w:val="none"/>
              </w:rPr>
            </w:pPr>
          </w:p>
        </w:tc>
        <w:tc>
          <w:tcPr>
            <w:tcW w:w="529" w:type="pct"/>
            <w:tcBorders>
              <w:tl2br w:val="nil"/>
              <w:tr2bl w:val="nil"/>
            </w:tcBorders>
            <w:vAlign w:val="center"/>
          </w:tcPr>
          <w:p w14:paraId="6B84536B">
            <w:pPr>
              <w:keepNext w:val="0"/>
              <w:keepLines w:val="0"/>
              <w:suppressLineNumbers w:val="0"/>
              <w:autoSpaceDE w:val="0"/>
              <w:autoSpaceDN w:val="0"/>
              <w:spacing w:before="0" w:beforeAutospacing="0" w:after="0" w:afterAutospacing="0"/>
              <w:ind w:left="0" w:right="0"/>
              <w:jc w:val="center"/>
              <w:rPr>
                <w:rFonts w:hint="default" w:ascii="宋体" w:hAnsi="宋体" w:cs="宋体"/>
                <w:sz w:val="18"/>
                <w:szCs w:val="18"/>
                <w:highlight w:val="none"/>
              </w:rPr>
            </w:pPr>
            <w:r>
              <w:rPr>
                <w:rFonts w:hint="eastAsia" w:ascii="宋体" w:hAnsi="宋体" w:cs="宋体"/>
                <w:sz w:val="18"/>
                <w:szCs w:val="18"/>
                <w:highlight w:val="none"/>
              </w:rPr>
              <w:t>研发投入</w:t>
            </w:r>
          </w:p>
        </w:tc>
        <w:tc>
          <w:tcPr>
            <w:tcW w:w="1122" w:type="pct"/>
            <w:tcBorders>
              <w:tl2br w:val="nil"/>
              <w:tr2bl w:val="nil"/>
            </w:tcBorders>
            <w:vAlign w:val="center"/>
          </w:tcPr>
          <w:p w14:paraId="6B22C61E">
            <w:pPr>
              <w:pStyle w:val="26"/>
              <w:keepNext w:val="0"/>
              <w:keepLines w:val="0"/>
              <w:widowControl/>
              <w:suppressLineNumbers w:val="0"/>
              <w:spacing w:before="0" w:beforeAutospacing="0" w:after="0" w:afterAutospacing="0"/>
              <w:ind w:left="0" w:right="0" w:firstLine="0" w:firstLineChars="0"/>
              <w:rPr>
                <w:rFonts w:hint="default" w:hAnsi="宋体" w:cs="宋体"/>
                <w:sz w:val="18"/>
                <w:szCs w:val="18"/>
                <w:highlight w:val="none"/>
              </w:rPr>
            </w:pPr>
            <w:r>
              <w:rPr>
                <w:rFonts w:hint="eastAsia" w:hAnsi="宋体" w:cs="宋体"/>
                <w:sz w:val="18"/>
                <w:szCs w:val="18"/>
                <w:highlight w:val="none"/>
              </w:rPr>
              <w:t>从</w:t>
            </w:r>
            <w:r>
              <w:rPr>
                <w:rFonts w:hint="eastAsia" w:hAnsi="宋体" w:cs="宋体"/>
                <w:sz w:val="18"/>
                <w:szCs w:val="18"/>
                <w:highlight w:val="none"/>
                <w:lang w:val="en-US" w:eastAsia="zh-CN"/>
              </w:rPr>
              <w:t>温室气体控制领域相关</w:t>
            </w:r>
            <w:r>
              <w:rPr>
                <w:rFonts w:hint="eastAsia" w:hAnsi="宋体" w:cs="宋体"/>
                <w:sz w:val="18"/>
                <w:szCs w:val="18"/>
                <w:highlight w:val="none"/>
              </w:rPr>
              <w:t>研发投入占比或研发投入金额进行综合评价，研发投入以上一个会计年度的情况为准</w:t>
            </w:r>
          </w:p>
        </w:tc>
        <w:tc>
          <w:tcPr>
            <w:tcW w:w="1911" w:type="pct"/>
            <w:tcBorders>
              <w:tl2br w:val="nil"/>
              <w:tr2bl w:val="nil"/>
            </w:tcBorders>
            <w:vAlign w:val="center"/>
          </w:tcPr>
          <w:p w14:paraId="75953E75">
            <w:pPr>
              <w:keepNext w:val="0"/>
              <w:keepLines w:val="0"/>
              <w:suppressLineNumbers w:val="0"/>
              <w:tabs>
                <w:tab w:val="center" w:pos="4201"/>
                <w:tab w:val="right" w:leader="dot" w:pos="9298"/>
              </w:tabs>
              <w:spacing w:before="0" w:beforeAutospacing="0" w:after="0" w:afterAutospacing="0"/>
              <w:ind w:left="0" w:right="0"/>
              <w:jc w:val="left"/>
              <w:rPr>
                <w:rFonts w:hint="default" w:ascii="宋体" w:hAnsi="宋体" w:cs="宋体"/>
                <w:kern w:val="0"/>
                <w:sz w:val="18"/>
                <w:szCs w:val="18"/>
                <w:highlight w:val="none"/>
              </w:rPr>
            </w:pPr>
            <w:r>
              <w:rPr>
                <w:rFonts w:hint="eastAsia" w:ascii="宋体" w:hAnsi="宋体" w:cs="宋体"/>
                <w:kern w:val="0"/>
                <w:sz w:val="18"/>
                <w:szCs w:val="18"/>
                <w:highlight w:val="none"/>
              </w:rPr>
              <w:t>a.最近一年</w:t>
            </w:r>
            <w:r>
              <w:rPr>
                <w:rFonts w:hint="eastAsia" w:ascii="宋体" w:hAnsi="宋体" w:cs="宋体"/>
                <w:kern w:val="0"/>
                <w:sz w:val="18"/>
                <w:szCs w:val="18"/>
                <w:highlight w:val="none"/>
                <w:lang w:val="en-US" w:eastAsia="zh-CN"/>
              </w:rPr>
              <w:t>营业</w:t>
            </w:r>
            <w:r>
              <w:rPr>
                <w:rFonts w:hint="eastAsia" w:ascii="宋体" w:hAnsi="宋体" w:cs="宋体"/>
                <w:kern w:val="0"/>
                <w:sz w:val="18"/>
                <w:szCs w:val="18"/>
                <w:highlight w:val="none"/>
              </w:rPr>
              <w:t>收入在2亿元以上的企事业单位，比例不低于3%</w:t>
            </w:r>
            <w:r>
              <w:rPr>
                <w:rFonts w:hint="eastAsia" w:ascii="宋体" w:hAnsi="宋体" w:cs="宋体"/>
                <w:kern w:val="0"/>
                <w:sz w:val="18"/>
                <w:szCs w:val="18"/>
                <w:highlight w:val="none"/>
                <w:lang w:eastAsia="zh-CN"/>
              </w:rPr>
              <w:t>，</w:t>
            </w:r>
            <w:r>
              <w:rPr>
                <w:rFonts w:hint="eastAsia" w:ascii="宋体" w:hAnsi="宋体" w:cs="宋体"/>
                <w:kern w:val="0"/>
                <w:sz w:val="18"/>
                <w:szCs w:val="18"/>
                <w:highlight w:val="none"/>
                <w:lang w:val="en-US" w:eastAsia="zh-CN"/>
              </w:rPr>
              <w:t>或不低于600万元</w:t>
            </w:r>
            <w:r>
              <w:rPr>
                <w:rFonts w:hint="eastAsia" w:ascii="宋体" w:hAnsi="宋体" w:cs="宋体"/>
                <w:kern w:val="0"/>
                <w:sz w:val="18"/>
                <w:szCs w:val="18"/>
                <w:highlight w:val="none"/>
              </w:rPr>
              <w:t>。(6分</w:t>
            </w:r>
            <w:r>
              <w:rPr>
                <w:rFonts w:hint="eastAsia" w:ascii="宋体" w:hAnsi="宋体" w:cs="宋体"/>
                <w:kern w:val="0"/>
                <w:sz w:val="18"/>
                <w:szCs w:val="18"/>
                <w:highlight w:val="none"/>
                <w:lang w:eastAsia="zh-CN"/>
              </w:rPr>
              <w:t>）</w:t>
            </w:r>
          </w:p>
          <w:p w14:paraId="343CF437">
            <w:pPr>
              <w:keepNext w:val="0"/>
              <w:keepLines w:val="0"/>
              <w:suppressLineNumbers w:val="0"/>
              <w:tabs>
                <w:tab w:val="center" w:pos="4201"/>
                <w:tab w:val="right" w:leader="dot" w:pos="9298"/>
              </w:tabs>
              <w:spacing w:before="0" w:beforeAutospacing="0" w:after="0" w:afterAutospacing="0"/>
              <w:ind w:left="0" w:right="0"/>
              <w:jc w:val="left"/>
              <w:rPr>
                <w:rFonts w:hint="default" w:ascii="宋体" w:hAnsi="宋体" w:cs="宋体"/>
                <w:kern w:val="0"/>
                <w:sz w:val="18"/>
                <w:szCs w:val="18"/>
                <w:highlight w:val="none"/>
              </w:rPr>
            </w:pPr>
            <w:r>
              <w:rPr>
                <w:rFonts w:hint="eastAsia" w:ascii="宋体" w:hAnsi="宋体" w:cs="宋体"/>
                <w:kern w:val="0"/>
                <w:sz w:val="18"/>
                <w:szCs w:val="18"/>
                <w:highlight w:val="none"/>
              </w:rPr>
              <w:t>b.最近一年</w:t>
            </w:r>
            <w:r>
              <w:rPr>
                <w:rFonts w:hint="eastAsia" w:ascii="宋体" w:hAnsi="宋体" w:cs="宋体"/>
                <w:kern w:val="0"/>
                <w:sz w:val="18"/>
                <w:szCs w:val="18"/>
                <w:highlight w:val="none"/>
                <w:lang w:val="en-US" w:eastAsia="zh-CN"/>
              </w:rPr>
              <w:t>营业</w:t>
            </w:r>
            <w:r>
              <w:rPr>
                <w:rFonts w:hint="eastAsia" w:ascii="宋体" w:hAnsi="宋体" w:cs="宋体"/>
                <w:kern w:val="0"/>
                <w:sz w:val="18"/>
                <w:szCs w:val="18"/>
                <w:highlight w:val="none"/>
              </w:rPr>
              <w:t>收入在5000万元至2亿元（含）的企事业单位，比例不低于4%</w:t>
            </w:r>
            <w:r>
              <w:rPr>
                <w:rFonts w:hint="eastAsia" w:ascii="宋体" w:hAnsi="宋体" w:cs="宋体"/>
                <w:kern w:val="0"/>
                <w:sz w:val="18"/>
                <w:szCs w:val="18"/>
                <w:highlight w:val="none"/>
                <w:lang w:eastAsia="zh-CN"/>
              </w:rPr>
              <w:t>，</w:t>
            </w:r>
            <w:r>
              <w:rPr>
                <w:rFonts w:hint="eastAsia" w:ascii="宋体" w:hAnsi="宋体" w:cs="宋体"/>
                <w:kern w:val="0"/>
                <w:sz w:val="18"/>
                <w:szCs w:val="18"/>
                <w:highlight w:val="none"/>
                <w:lang w:val="en-US" w:eastAsia="zh-CN"/>
              </w:rPr>
              <w:t>或不低于400万元</w:t>
            </w:r>
            <w:r>
              <w:rPr>
                <w:rFonts w:hint="eastAsia" w:ascii="宋体" w:hAnsi="宋体" w:cs="宋体"/>
                <w:kern w:val="0"/>
                <w:sz w:val="18"/>
                <w:szCs w:val="18"/>
                <w:highlight w:val="none"/>
              </w:rPr>
              <w:t>。(6分</w:t>
            </w:r>
            <w:r>
              <w:rPr>
                <w:rFonts w:hint="eastAsia" w:ascii="宋体" w:hAnsi="宋体" w:cs="宋体"/>
                <w:kern w:val="0"/>
                <w:sz w:val="18"/>
                <w:szCs w:val="18"/>
                <w:highlight w:val="none"/>
                <w:lang w:eastAsia="zh-CN"/>
              </w:rPr>
              <w:t>）</w:t>
            </w:r>
          </w:p>
          <w:p w14:paraId="566167F5">
            <w:pPr>
              <w:keepNext w:val="0"/>
              <w:keepLines w:val="0"/>
              <w:suppressLineNumbers w:val="0"/>
              <w:tabs>
                <w:tab w:val="center" w:pos="4201"/>
                <w:tab w:val="right" w:leader="dot" w:pos="9298"/>
              </w:tabs>
              <w:spacing w:before="0" w:beforeAutospacing="0" w:after="0" w:afterAutospacing="0"/>
              <w:ind w:left="0" w:right="0"/>
              <w:jc w:val="left"/>
              <w:rPr>
                <w:rFonts w:hint="default" w:ascii="宋体" w:hAnsi="宋体" w:cs="宋体"/>
                <w:kern w:val="0"/>
                <w:sz w:val="18"/>
                <w:szCs w:val="18"/>
                <w:highlight w:val="none"/>
              </w:rPr>
            </w:pPr>
            <w:r>
              <w:rPr>
                <w:rFonts w:hint="eastAsia" w:ascii="宋体" w:hAnsi="宋体" w:cs="宋体"/>
                <w:kern w:val="0"/>
                <w:sz w:val="18"/>
                <w:szCs w:val="18"/>
                <w:highlight w:val="none"/>
              </w:rPr>
              <w:t>c.最近一年</w:t>
            </w:r>
            <w:r>
              <w:rPr>
                <w:rFonts w:hint="eastAsia" w:ascii="宋体" w:hAnsi="宋体" w:cs="宋体"/>
                <w:kern w:val="0"/>
                <w:sz w:val="18"/>
                <w:szCs w:val="18"/>
                <w:highlight w:val="none"/>
                <w:lang w:val="en-US" w:eastAsia="zh-CN"/>
              </w:rPr>
              <w:t>营业</w:t>
            </w:r>
            <w:r>
              <w:rPr>
                <w:rFonts w:hint="eastAsia" w:ascii="宋体" w:hAnsi="宋体" w:cs="宋体"/>
                <w:kern w:val="0"/>
                <w:sz w:val="18"/>
                <w:szCs w:val="18"/>
                <w:highlight w:val="none"/>
              </w:rPr>
              <w:t>收入小于5000万元（含）的企事业单位，比例不低于5%</w:t>
            </w:r>
            <w:r>
              <w:rPr>
                <w:rFonts w:hint="eastAsia" w:ascii="宋体" w:hAnsi="宋体" w:cs="宋体"/>
                <w:kern w:val="0"/>
                <w:sz w:val="18"/>
                <w:szCs w:val="18"/>
                <w:highlight w:val="none"/>
                <w:lang w:eastAsia="zh-CN"/>
              </w:rPr>
              <w:t>，</w:t>
            </w:r>
            <w:r>
              <w:rPr>
                <w:rFonts w:hint="eastAsia" w:ascii="宋体" w:hAnsi="宋体" w:cs="宋体"/>
                <w:kern w:val="0"/>
                <w:sz w:val="18"/>
                <w:szCs w:val="18"/>
                <w:highlight w:val="none"/>
                <w:lang w:val="en-US" w:eastAsia="zh-CN"/>
              </w:rPr>
              <w:t>或不低于250万元</w:t>
            </w:r>
            <w:r>
              <w:rPr>
                <w:rFonts w:hint="eastAsia" w:ascii="宋体" w:hAnsi="宋体" w:cs="宋体"/>
                <w:kern w:val="0"/>
                <w:sz w:val="18"/>
                <w:szCs w:val="18"/>
                <w:highlight w:val="none"/>
              </w:rPr>
              <w:t>。(6分</w:t>
            </w:r>
            <w:r>
              <w:rPr>
                <w:rFonts w:hint="eastAsia" w:ascii="宋体" w:hAnsi="宋体" w:cs="宋体"/>
                <w:kern w:val="0"/>
                <w:sz w:val="18"/>
                <w:szCs w:val="18"/>
                <w:highlight w:val="none"/>
                <w:lang w:eastAsia="zh-CN"/>
              </w:rPr>
              <w:t>）</w:t>
            </w:r>
          </w:p>
          <w:p w14:paraId="20D267F5">
            <w:pPr>
              <w:keepNext w:val="0"/>
              <w:keepLines w:val="0"/>
              <w:suppressLineNumbers w:val="0"/>
              <w:spacing w:before="0" w:beforeAutospacing="0" w:after="0" w:afterAutospacing="0"/>
              <w:ind w:left="6" w:right="0" w:hanging="6"/>
              <w:jc w:val="left"/>
              <w:rPr>
                <w:rFonts w:hint="default" w:hAnsi="宋体" w:cs="宋体"/>
                <w:highlight w:val="none"/>
              </w:rPr>
            </w:pPr>
            <w:r>
              <w:rPr>
                <w:rFonts w:hint="eastAsia" w:ascii="宋体" w:hAnsi="宋体" w:cs="宋体"/>
                <w:kern w:val="0"/>
                <w:sz w:val="18"/>
                <w:szCs w:val="18"/>
                <w:highlight w:val="none"/>
              </w:rPr>
              <w:t>d.</w:t>
            </w:r>
            <w:r>
              <w:rPr>
                <w:rFonts w:hint="eastAsia" w:ascii="宋体" w:hAnsi="宋体" w:cs="宋体"/>
                <w:kern w:val="0"/>
                <w:sz w:val="18"/>
                <w:szCs w:val="18"/>
                <w:highlight w:val="none"/>
                <w:lang w:val="en-US" w:eastAsia="zh-CN"/>
              </w:rPr>
              <w:t>未满足</w:t>
            </w:r>
            <w:r>
              <w:rPr>
                <w:rFonts w:hint="eastAsia" w:ascii="宋体" w:hAnsi="宋体" w:cs="宋体"/>
                <w:kern w:val="0"/>
                <w:sz w:val="18"/>
                <w:szCs w:val="18"/>
                <w:highlight w:val="none"/>
              </w:rPr>
              <w:t>上述</w:t>
            </w:r>
            <w:r>
              <w:rPr>
                <w:rFonts w:hint="eastAsia" w:ascii="宋体" w:hAnsi="宋体" w:cs="宋体"/>
                <w:kern w:val="0"/>
                <w:sz w:val="18"/>
                <w:szCs w:val="18"/>
                <w:highlight w:val="none"/>
                <w:lang w:val="en-US" w:eastAsia="zh-CN"/>
              </w:rPr>
              <w:t>任何一项</w:t>
            </w:r>
            <w:r>
              <w:rPr>
                <w:rFonts w:hint="eastAsia" w:ascii="宋体" w:hAnsi="宋体" w:cs="宋体"/>
                <w:kern w:val="0"/>
                <w:sz w:val="18"/>
                <w:szCs w:val="18"/>
                <w:highlight w:val="none"/>
              </w:rPr>
              <w:t>。(0分</w:t>
            </w:r>
            <w:r>
              <w:rPr>
                <w:rFonts w:hint="eastAsia" w:ascii="宋体" w:hAnsi="宋体" w:cs="宋体"/>
                <w:kern w:val="0"/>
                <w:sz w:val="18"/>
                <w:szCs w:val="18"/>
                <w:highlight w:val="none"/>
                <w:lang w:eastAsia="zh-CN"/>
              </w:rPr>
              <w:t>）</w:t>
            </w:r>
          </w:p>
        </w:tc>
        <w:tc>
          <w:tcPr>
            <w:tcW w:w="397" w:type="pct"/>
            <w:tcBorders>
              <w:tl2br w:val="nil"/>
              <w:tr2bl w:val="nil"/>
            </w:tcBorders>
            <w:vAlign w:val="center"/>
          </w:tcPr>
          <w:p w14:paraId="7AE7522D">
            <w:pPr>
              <w:keepNext w:val="0"/>
              <w:keepLines w:val="0"/>
              <w:widowControl/>
              <w:suppressLineNumbers w:val="0"/>
              <w:spacing w:before="0" w:beforeAutospacing="0" w:after="0" w:afterAutospacing="0"/>
              <w:ind w:left="0" w:right="0"/>
              <w:jc w:val="center"/>
              <w:textAlignment w:val="center"/>
              <w:rPr>
                <w:rFonts w:hint="default" w:ascii="宋体" w:hAnsi="宋体" w:cs="宋体"/>
                <w:sz w:val="18"/>
                <w:szCs w:val="18"/>
                <w:highlight w:val="none"/>
              </w:rPr>
            </w:pPr>
            <w:r>
              <w:rPr>
                <w:rFonts w:hint="eastAsia" w:ascii="宋体" w:hAnsi="宋体" w:cs="宋体"/>
                <w:color w:val="000000"/>
                <w:kern w:val="0"/>
                <w:sz w:val="18"/>
                <w:szCs w:val="18"/>
                <w:highlight w:val="none"/>
                <w:lang w:bidi="ar"/>
              </w:rPr>
              <w:t>6</w:t>
            </w:r>
          </w:p>
        </w:tc>
        <w:tc>
          <w:tcPr>
            <w:tcW w:w="407" w:type="pct"/>
            <w:tcBorders>
              <w:tl2br w:val="nil"/>
              <w:tr2bl w:val="nil"/>
            </w:tcBorders>
            <w:vAlign w:val="center"/>
          </w:tcPr>
          <w:p w14:paraId="6656D292">
            <w:pPr>
              <w:keepNext w:val="0"/>
              <w:keepLines w:val="0"/>
              <w:suppressLineNumbers w:val="0"/>
              <w:autoSpaceDE w:val="0"/>
              <w:autoSpaceDN w:val="0"/>
              <w:spacing w:before="0" w:beforeAutospacing="0" w:after="0" w:afterAutospacing="0"/>
              <w:ind w:left="0" w:right="0"/>
              <w:jc w:val="center"/>
              <w:rPr>
                <w:rFonts w:hint="default" w:ascii="宋体"/>
                <w:sz w:val="18"/>
                <w:szCs w:val="18"/>
                <w:highlight w:val="none"/>
              </w:rPr>
            </w:pPr>
          </w:p>
        </w:tc>
      </w:tr>
    </w:tbl>
    <w:p w14:paraId="3625724F">
      <w:pPr>
        <w:numPr>
          <w:ilvl w:val="1"/>
          <w:numId w:val="0"/>
        </w:numPr>
        <w:spacing w:before="312" w:beforeLines="100" w:after="156" w:afterLines="50"/>
        <w:jc w:val="center"/>
        <w:rPr>
          <w:rFonts w:hint="eastAsia" w:ascii="宋体" w:hAnsi="宋体" w:eastAsia="宋体" w:cs="宋体"/>
          <w:szCs w:val="21"/>
          <w:highlight w:val="none"/>
          <w:lang w:eastAsia="zh-CN"/>
        </w:rPr>
      </w:pPr>
      <w:r>
        <w:rPr>
          <w:rFonts w:hint="eastAsia" w:ascii="黑体" w:hAnsi="黑体" w:eastAsia="黑体" w:cs="黑体"/>
          <w:szCs w:val="21"/>
          <w:highlight w:val="none"/>
        </w:rPr>
        <w:t>表</w:t>
      </w:r>
      <w:r>
        <w:rPr>
          <w:rFonts w:hint="eastAsia" w:ascii="黑体" w:hAnsi="黑体" w:eastAsia="黑体" w:cs="黑体"/>
          <w:szCs w:val="21"/>
          <w:highlight w:val="none"/>
          <w:lang w:val="en-US" w:eastAsia="zh-CN"/>
        </w:rPr>
        <w:t>E</w:t>
      </w:r>
      <w:r>
        <w:rPr>
          <w:rFonts w:hint="eastAsia" w:ascii="黑体" w:hAnsi="黑体" w:eastAsia="黑体" w:cs="黑体"/>
          <w:szCs w:val="21"/>
          <w:highlight w:val="none"/>
        </w:rPr>
        <w:t>.2</w:t>
      </w:r>
      <w:r>
        <w:rPr>
          <w:rFonts w:hint="eastAsia" w:ascii="黑体" w:hAnsi="黑体" w:eastAsia="黑体" w:cs="黑体"/>
          <w:szCs w:val="21"/>
          <w:highlight w:val="none"/>
          <w:lang w:val="en-US" w:eastAsia="zh-CN"/>
        </w:rPr>
        <w:t xml:space="preserve">  温室气体控制领域</w:t>
      </w:r>
      <w:r>
        <w:rPr>
          <w:rFonts w:hint="eastAsia" w:ascii="黑体" w:hAnsi="黑体" w:eastAsia="黑体" w:cs="黑体"/>
          <w:szCs w:val="21"/>
          <w:highlight w:val="none"/>
          <w:lang w:eastAsia="zh-CN"/>
        </w:rPr>
        <w:t>绿色低碳产业</w:t>
      </w:r>
      <w:r>
        <w:rPr>
          <w:rFonts w:hint="eastAsia" w:ascii="黑体" w:hAnsi="黑体" w:eastAsia="黑体" w:cs="黑体"/>
          <w:szCs w:val="21"/>
          <w:highlight w:val="none"/>
          <w:lang w:val="en-US" w:eastAsia="zh-CN"/>
        </w:rPr>
        <w:t>企业</w:t>
      </w:r>
      <w:r>
        <w:rPr>
          <w:rFonts w:hint="eastAsia" w:ascii="黑体" w:hAnsi="黑体" w:eastAsia="黑体" w:cs="黑体"/>
          <w:szCs w:val="21"/>
          <w:highlight w:val="none"/>
        </w:rPr>
        <w:t>认定综合评价指标</w:t>
      </w:r>
      <w:r>
        <w:rPr>
          <w:rFonts w:hint="eastAsia" w:ascii="宋体" w:hAnsi="宋体" w:eastAsia="宋体" w:cs="宋体"/>
          <w:szCs w:val="21"/>
          <w:highlight w:val="none"/>
          <w:lang w:eastAsia="zh-CN"/>
        </w:rPr>
        <w:t>（</w:t>
      </w:r>
      <w:r>
        <w:rPr>
          <w:rFonts w:hint="eastAsia" w:ascii="宋体" w:hAnsi="宋体" w:eastAsia="宋体" w:cs="宋体"/>
          <w:szCs w:val="21"/>
          <w:highlight w:val="none"/>
          <w:lang w:val="en-US" w:eastAsia="zh-CN"/>
        </w:rPr>
        <w:t>续</w:t>
      </w:r>
      <w:r>
        <w:rPr>
          <w:rFonts w:hint="eastAsia" w:ascii="宋体" w:hAnsi="宋体" w:eastAsia="宋体" w:cs="宋体"/>
          <w:szCs w:val="21"/>
          <w:highlight w:val="none"/>
          <w:lang w:eastAsia="zh-CN"/>
        </w:rPr>
        <w:t>）</w:t>
      </w:r>
    </w:p>
    <w:tbl>
      <w:tblPr>
        <w:tblStyle w:val="37"/>
        <w:tblpPr w:leftFromText="180" w:rightFromText="180" w:vertAnchor="text" w:tblpXSpec="center" w:tblpY="1"/>
        <w:tblOverlap w:val="never"/>
        <w:tblW w:w="4994" w:type="pct"/>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580"/>
        <w:gridCol w:w="618"/>
        <w:gridCol w:w="1012"/>
        <w:gridCol w:w="2619"/>
        <w:gridCol w:w="3162"/>
        <w:gridCol w:w="759"/>
        <w:gridCol w:w="809"/>
      </w:tblGrid>
      <w:tr w14:paraId="46111F8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303" w:type="pct"/>
            <w:tcBorders>
              <w:bottom w:val="single" w:color="auto" w:sz="12" w:space="0"/>
            </w:tcBorders>
            <w:vAlign w:val="center"/>
          </w:tcPr>
          <w:p w14:paraId="6A116885">
            <w:pPr>
              <w:keepNext w:val="0"/>
              <w:keepLines w:val="0"/>
              <w:suppressLineNumbers w:val="0"/>
              <w:autoSpaceDE w:val="0"/>
              <w:autoSpaceDN w:val="0"/>
              <w:spacing w:before="0" w:beforeAutospacing="0" w:after="0" w:afterAutospacing="0"/>
              <w:ind w:left="0" w:right="0"/>
              <w:jc w:val="center"/>
              <w:rPr>
                <w:rFonts w:hint="eastAsia" w:ascii="宋体" w:hAnsi="Times New Roman" w:eastAsia="宋体" w:cs="Times New Roman"/>
                <w:b/>
                <w:kern w:val="2"/>
                <w:sz w:val="18"/>
                <w:szCs w:val="18"/>
                <w:highlight w:val="none"/>
                <w:lang w:val="en-US" w:eastAsia="zh-CN" w:bidi="ar-SA"/>
              </w:rPr>
            </w:pPr>
            <w:r>
              <w:rPr>
                <w:rFonts w:hint="default" w:ascii="宋体"/>
                <w:b/>
                <w:sz w:val="18"/>
                <w:szCs w:val="18"/>
                <w:highlight w:val="none"/>
              </w:rPr>
              <w:t>一级指标</w:t>
            </w:r>
          </w:p>
        </w:tc>
        <w:tc>
          <w:tcPr>
            <w:tcW w:w="323" w:type="pct"/>
            <w:tcBorders>
              <w:bottom w:val="single" w:color="auto" w:sz="12" w:space="0"/>
            </w:tcBorders>
            <w:vAlign w:val="center"/>
          </w:tcPr>
          <w:p w14:paraId="17C3F5E6">
            <w:pPr>
              <w:keepNext w:val="0"/>
              <w:keepLines w:val="0"/>
              <w:suppressLineNumbers w:val="0"/>
              <w:autoSpaceDE w:val="0"/>
              <w:autoSpaceDN w:val="0"/>
              <w:spacing w:before="0" w:beforeAutospacing="0" w:after="0" w:afterAutospacing="0"/>
              <w:ind w:left="0" w:right="0"/>
              <w:jc w:val="center"/>
              <w:rPr>
                <w:rFonts w:hint="eastAsia" w:ascii="宋体" w:hAnsi="Times New Roman" w:eastAsia="宋体" w:cs="Times New Roman"/>
                <w:b/>
                <w:kern w:val="2"/>
                <w:sz w:val="18"/>
                <w:szCs w:val="18"/>
                <w:highlight w:val="none"/>
                <w:lang w:val="en-US" w:eastAsia="zh-CN" w:bidi="ar-SA"/>
              </w:rPr>
            </w:pPr>
            <w:r>
              <w:rPr>
                <w:rFonts w:hint="default" w:ascii="宋体"/>
                <w:b/>
                <w:sz w:val="18"/>
                <w:szCs w:val="18"/>
                <w:highlight w:val="none"/>
              </w:rPr>
              <w:t>二级指标</w:t>
            </w:r>
          </w:p>
        </w:tc>
        <w:tc>
          <w:tcPr>
            <w:tcW w:w="529" w:type="pct"/>
            <w:tcBorders>
              <w:bottom w:val="single" w:color="auto" w:sz="12" w:space="0"/>
            </w:tcBorders>
            <w:vAlign w:val="center"/>
          </w:tcPr>
          <w:p w14:paraId="1C23017B">
            <w:pPr>
              <w:keepNext w:val="0"/>
              <w:keepLines w:val="0"/>
              <w:suppressLineNumbers w:val="0"/>
              <w:autoSpaceDE w:val="0"/>
              <w:autoSpaceDN w:val="0"/>
              <w:spacing w:before="0" w:beforeAutospacing="0" w:after="0" w:afterAutospacing="0"/>
              <w:ind w:left="0" w:right="0"/>
              <w:jc w:val="center"/>
              <w:rPr>
                <w:rFonts w:hint="eastAsia" w:ascii="宋体" w:hAnsi="Times New Roman" w:eastAsia="宋体" w:cs="Times New Roman"/>
                <w:b/>
                <w:kern w:val="2"/>
                <w:sz w:val="18"/>
                <w:szCs w:val="18"/>
                <w:highlight w:val="none"/>
                <w:lang w:val="en-US" w:eastAsia="zh-CN" w:bidi="ar-SA"/>
              </w:rPr>
            </w:pPr>
            <w:r>
              <w:rPr>
                <w:rFonts w:hint="default" w:ascii="宋体"/>
                <w:b/>
                <w:sz w:val="18"/>
                <w:szCs w:val="18"/>
                <w:highlight w:val="none"/>
              </w:rPr>
              <w:t>三级指标</w:t>
            </w:r>
          </w:p>
        </w:tc>
        <w:tc>
          <w:tcPr>
            <w:tcW w:w="1369" w:type="pct"/>
            <w:tcBorders>
              <w:bottom w:val="single" w:color="auto" w:sz="12" w:space="0"/>
            </w:tcBorders>
            <w:vAlign w:val="center"/>
          </w:tcPr>
          <w:p w14:paraId="0E63C5CA">
            <w:pPr>
              <w:keepNext w:val="0"/>
              <w:keepLines w:val="0"/>
              <w:suppressLineNumbers w:val="0"/>
              <w:autoSpaceDE w:val="0"/>
              <w:autoSpaceDN w:val="0"/>
              <w:spacing w:before="0" w:beforeAutospacing="0" w:after="0" w:afterAutospacing="0"/>
              <w:ind w:left="0" w:right="0"/>
              <w:jc w:val="center"/>
              <w:rPr>
                <w:rFonts w:hint="eastAsia" w:ascii="宋体" w:hAnsi="Times New Roman" w:eastAsia="宋体" w:cs="Times New Roman"/>
                <w:b/>
                <w:kern w:val="2"/>
                <w:sz w:val="18"/>
                <w:szCs w:val="18"/>
                <w:highlight w:val="none"/>
                <w:lang w:val="en-US" w:eastAsia="zh-CN" w:bidi="ar-SA"/>
              </w:rPr>
            </w:pPr>
            <w:r>
              <w:rPr>
                <w:rFonts w:hint="eastAsia" w:ascii="宋体"/>
                <w:b/>
                <w:sz w:val="18"/>
                <w:szCs w:val="18"/>
                <w:highlight w:val="none"/>
              </w:rPr>
              <w:t>评价要求</w:t>
            </w:r>
          </w:p>
        </w:tc>
        <w:tc>
          <w:tcPr>
            <w:tcW w:w="1653" w:type="pct"/>
            <w:tcBorders>
              <w:bottom w:val="single" w:color="auto" w:sz="12" w:space="0"/>
            </w:tcBorders>
            <w:vAlign w:val="center"/>
          </w:tcPr>
          <w:p w14:paraId="77014F5C">
            <w:pPr>
              <w:keepNext w:val="0"/>
              <w:keepLines w:val="0"/>
              <w:suppressLineNumbers w:val="0"/>
              <w:autoSpaceDE w:val="0"/>
              <w:autoSpaceDN w:val="0"/>
              <w:spacing w:before="0" w:beforeAutospacing="0" w:after="0" w:afterAutospacing="0"/>
              <w:ind w:left="0" w:right="0"/>
              <w:jc w:val="center"/>
              <w:rPr>
                <w:rFonts w:hint="eastAsia" w:ascii="宋体" w:hAnsi="Times New Roman" w:eastAsia="宋体" w:cs="Times New Roman"/>
                <w:b/>
                <w:kern w:val="2"/>
                <w:sz w:val="18"/>
                <w:szCs w:val="18"/>
                <w:highlight w:val="none"/>
                <w:lang w:val="en-US" w:eastAsia="zh-CN" w:bidi="ar-SA"/>
              </w:rPr>
            </w:pPr>
            <w:r>
              <w:rPr>
                <w:rFonts w:hint="eastAsia" w:ascii="宋体"/>
                <w:b/>
                <w:sz w:val="18"/>
                <w:szCs w:val="18"/>
                <w:highlight w:val="none"/>
              </w:rPr>
              <w:t>评分标准</w:t>
            </w:r>
          </w:p>
        </w:tc>
        <w:tc>
          <w:tcPr>
            <w:tcW w:w="397" w:type="pct"/>
            <w:tcBorders>
              <w:bottom w:val="single" w:color="auto" w:sz="12" w:space="0"/>
            </w:tcBorders>
            <w:vAlign w:val="center"/>
          </w:tcPr>
          <w:p w14:paraId="5D5B51BC">
            <w:pPr>
              <w:keepNext w:val="0"/>
              <w:keepLines w:val="0"/>
              <w:suppressLineNumbers w:val="0"/>
              <w:autoSpaceDE w:val="0"/>
              <w:autoSpaceDN w:val="0"/>
              <w:spacing w:before="0" w:beforeAutospacing="0" w:after="0" w:afterAutospacing="0"/>
              <w:ind w:left="0" w:right="0"/>
              <w:rPr>
                <w:rFonts w:hint="eastAsia" w:ascii="宋体" w:hAnsi="Times New Roman" w:eastAsia="宋体" w:cs="Times New Roman"/>
                <w:b/>
                <w:kern w:val="2"/>
                <w:sz w:val="18"/>
                <w:szCs w:val="18"/>
                <w:highlight w:val="none"/>
                <w:lang w:val="en-US" w:eastAsia="zh-CN" w:bidi="ar-SA"/>
              </w:rPr>
            </w:pPr>
            <w:r>
              <w:rPr>
                <w:rFonts w:hint="default" w:ascii="宋体"/>
                <w:b/>
                <w:sz w:val="18"/>
                <w:szCs w:val="18"/>
                <w:highlight w:val="none"/>
              </w:rPr>
              <w:t>分值</w:t>
            </w:r>
            <w:r>
              <w:rPr>
                <w:rFonts w:hint="eastAsia" w:ascii="宋体"/>
                <w:b/>
                <w:sz w:val="18"/>
                <w:szCs w:val="18"/>
                <w:highlight w:val="none"/>
              </w:rPr>
              <w:t>（分）</w:t>
            </w:r>
          </w:p>
        </w:tc>
        <w:tc>
          <w:tcPr>
            <w:tcW w:w="423" w:type="pct"/>
            <w:tcBorders>
              <w:bottom w:val="single" w:color="auto" w:sz="12" w:space="0"/>
            </w:tcBorders>
            <w:vAlign w:val="center"/>
          </w:tcPr>
          <w:p w14:paraId="470AD359">
            <w:pPr>
              <w:keepNext w:val="0"/>
              <w:keepLines w:val="0"/>
              <w:suppressLineNumbers w:val="0"/>
              <w:autoSpaceDE w:val="0"/>
              <w:autoSpaceDN w:val="0"/>
              <w:spacing w:before="0" w:beforeAutospacing="0" w:after="0" w:afterAutospacing="0"/>
              <w:ind w:left="0" w:right="0"/>
              <w:rPr>
                <w:rFonts w:hint="default" w:ascii="宋体" w:hAnsi="Times New Roman" w:eastAsia="宋体" w:cs="Times New Roman"/>
                <w:b/>
                <w:kern w:val="2"/>
                <w:sz w:val="18"/>
                <w:szCs w:val="18"/>
                <w:highlight w:val="none"/>
                <w:lang w:val="en-US" w:eastAsia="zh-CN" w:bidi="ar-SA"/>
              </w:rPr>
            </w:pPr>
            <w:r>
              <w:rPr>
                <w:rFonts w:hint="default" w:ascii="宋体"/>
                <w:b/>
                <w:sz w:val="18"/>
                <w:szCs w:val="18"/>
                <w:highlight w:val="none"/>
              </w:rPr>
              <w:t>得分</w:t>
            </w:r>
            <w:r>
              <w:rPr>
                <w:rFonts w:hint="eastAsia" w:ascii="宋体"/>
                <w:b/>
                <w:sz w:val="18"/>
                <w:szCs w:val="18"/>
                <w:highlight w:val="none"/>
              </w:rPr>
              <w:t>（分）</w:t>
            </w:r>
          </w:p>
        </w:tc>
      </w:tr>
      <w:tr w14:paraId="6C9464B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597" w:hRule="atLeast"/>
        </w:trPr>
        <w:tc>
          <w:tcPr>
            <w:tcW w:w="303" w:type="pct"/>
            <w:vMerge w:val="restart"/>
            <w:tcBorders>
              <w:top w:val="single" w:color="auto" w:sz="12" w:space="0"/>
              <w:tl2br w:val="nil"/>
              <w:tr2bl w:val="nil"/>
            </w:tcBorders>
            <w:vAlign w:val="center"/>
          </w:tcPr>
          <w:p w14:paraId="2E433E44">
            <w:pPr>
              <w:keepNext w:val="0"/>
              <w:keepLines w:val="0"/>
              <w:suppressLineNumbers w:val="0"/>
              <w:autoSpaceDE w:val="0"/>
              <w:autoSpaceDN w:val="0"/>
              <w:spacing w:before="0" w:beforeAutospacing="0" w:after="0" w:afterAutospacing="0"/>
              <w:ind w:left="0" w:right="0"/>
              <w:jc w:val="center"/>
              <w:rPr>
                <w:rFonts w:hint="default" w:ascii="宋体" w:hAnsi="宋体" w:cs="宋体"/>
                <w:sz w:val="18"/>
                <w:szCs w:val="18"/>
                <w:highlight w:val="none"/>
              </w:rPr>
            </w:pPr>
            <w:r>
              <w:rPr>
                <w:rFonts w:hint="eastAsia" w:ascii="宋体" w:hAnsi="宋体" w:cs="宋体"/>
                <w:sz w:val="18"/>
                <w:szCs w:val="18"/>
                <w:highlight w:val="none"/>
              </w:rPr>
              <w:t>业务表现</w:t>
            </w:r>
          </w:p>
        </w:tc>
        <w:tc>
          <w:tcPr>
            <w:tcW w:w="323" w:type="pct"/>
            <w:tcBorders>
              <w:top w:val="single" w:color="auto" w:sz="12" w:space="0"/>
              <w:tl2br w:val="nil"/>
              <w:tr2bl w:val="nil"/>
            </w:tcBorders>
            <w:vAlign w:val="center"/>
          </w:tcPr>
          <w:p w14:paraId="7D3B3A21">
            <w:pPr>
              <w:keepNext w:val="0"/>
              <w:keepLines w:val="0"/>
              <w:suppressLineNumbers w:val="0"/>
              <w:autoSpaceDE w:val="0"/>
              <w:autoSpaceDN w:val="0"/>
              <w:spacing w:before="0" w:beforeAutospacing="0" w:after="0" w:afterAutospacing="0"/>
              <w:ind w:left="0" w:right="0"/>
              <w:jc w:val="center"/>
              <w:rPr>
                <w:rFonts w:hint="default" w:ascii="宋体" w:hAnsi="宋体" w:cs="宋体"/>
                <w:sz w:val="18"/>
                <w:szCs w:val="18"/>
                <w:highlight w:val="none"/>
              </w:rPr>
            </w:pPr>
            <w:r>
              <w:rPr>
                <w:rFonts w:hint="eastAsia" w:ascii="宋体" w:hAnsi="宋体" w:cs="宋体"/>
                <w:sz w:val="18"/>
                <w:szCs w:val="18"/>
                <w:highlight w:val="none"/>
              </w:rPr>
              <w:t>发展能力</w:t>
            </w:r>
          </w:p>
        </w:tc>
        <w:tc>
          <w:tcPr>
            <w:tcW w:w="529" w:type="pct"/>
            <w:tcBorders>
              <w:top w:val="single" w:color="auto" w:sz="12" w:space="0"/>
              <w:tl2br w:val="nil"/>
              <w:tr2bl w:val="nil"/>
            </w:tcBorders>
            <w:vAlign w:val="center"/>
          </w:tcPr>
          <w:p w14:paraId="30688085">
            <w:pPr>
              <w:keepNext w:val="0"/>
              <w:keepLines w:val="0"/>
              <w:suppressLineNumbers w:val="0"/>
              <w:autoSpaceDE w:val="0"/>
              <w:autoSpaceDN w:val="0"/>
              <w:spacing w:before="0" w:beforeAutospacing="0" w:after="0" w:afterAutospacing="0"/>
              <w:ind w:left="0" w:right="0"/>
              <w:jc w:val="center"/>
              <w:rPr>
                <w:rFonts w:hint="default" w:ascii="宋体" w:hAnsi="宋体" w:cs="宋体"/>
                <w:sz w:val="18"/>
                <w:szCs w:val="18"/>
                <w:highlight w:val="none"/>
              </w:rPr>
            </w:pPr>
            <w:r>
              <w:rPr>
                <w:rFonts w:hint="eastAsia" w:ascii="宋体" w:hAnsi="宋体" w:cs="宋体"/>
                <w:sz w:val="18"/>
                <w:szCs w:val="18"/>
                <w:highlight w:val="none"/>
                <w:lang w:val="en-US" w:eastAsia="zh-CN"/>
              </w:rPr>
              <w:t>运营效益水平</w:t>
            </w:r>
          </w:p>
        </w:tc>
        <w:tc>
          <w:tcPr>
            <w:tcW w:w="1369" w:type="pct"/>
            <w:tcBorders>
              <w:top w:val="single" w:color="auto" w:sz="12" w:space="0"/>
              <w:tl2br w:val="nil"/>
              <w:tr2bl w:val="nil"/>
            </w:tcBorders>
            <w:vAlign w:val="center"/>
          </w:tcPr>
          <w:p w14:paraId="1F572089">
            <w:pPr>
              <w:pStyle w:val="26"/>
              <w:keepNext w:val="0"/>
              <w:keepLines w:val="0"/>
              <w:widowControl/>
              <w:suppressLineNumbers w:val="0"/>
              <w:spacing w:before="0" w:beforeAutospacing="0" w:after="0" w:afterAutospacing="0"/>
              <w:ind w:left="0" w:right="0" w:firstLine="0" w:firstLineChars="0"/>
              <w:rPr>
                <w:rFonts w:hint="default" w:hAnsi="宋体" w:cs="宋体"/>
                <w:sz w:val="18"/>
                <w:szCs w:val="18"/>
                <w:highlight w:val="none"/>
              </w:rPr>
            </w:pPr>
            <w:r>
              <w:rPr>
                <w:rFonts w:hint="eastAsia" w:hAnsi="宋体" w:cs="宋体"/>
                <w:sz w:val="18"/>
                <w:szCs w:val="18"/>
                <w:highlight w:val="none"/>
              </w:rPr>
              <w:t>业务增长为当年主营业务收入增长额与上年主营业务收入总额比值，采用近三年平均值进行评估</w:t>
            </w:r>
          </w:p>
        </w:tc>
        <w:tc>
          <w:tcPr>
            <w:tcW w:w="1653" w:type="pct"/>
            <w:tcBorders>
              <w:top w:val="single" w:color="auto" w:sz="12" w:space="0"/>
              <w:tl2br w:val="nil"/>
              <w:tr2bl w:val="nil"/>
            </w:tcBorders>
            <w:vAlign w:val="center"/>
          </w:tcPr>
          <w:p w14:paraId="25D6BEF6">
            <w:pPr>
              <w:pStyle w:val="26"/>
              <w:keepNext w:val="0"/>
              <w:keepLines w:val="0"/>
              <w:widowControl/>
              <w:suppressLineNumbers w:val="0"/>
              <w:spacing w:before="0" w:beforeAutospacing="0" w:after="0" w:afterAutospacing="0"/>
              <w:ind w:left="0" w:right="0" w:firstLine="0" w:firstLineChars="0"/>
              <w:jc w:val="left"/>
              <w:rPr>
                <w:rFonts w:hint="default" w:hAnsi="宋体" w:cs="宋体"/>
                <w:sz w:val="18"/>
                <w:szCs w:val="18"/>
                <w:highlight w:val="none"/>
              </w:rPr>
            </w:pPr>
            <w:r>
              <w:rPr>
                <w:rFonts w:hint="eastAsia" w:hAnsi="宋体" w:cs="宋体"/>
                <w:sz w:val="18"/>
                <w:szCs w:val="18"/>
                <w:highlight w:val="none"/>
              </w:rPr>
              <w:t>a.≥10%（</w:t>
            </w:r>
            <w:r>
              <w:rPr>
                <w:rFonts w:hint="eastAsia" w:hAnsi="宋体" w:cs="宋体"/>
                <w:sz w:val="18"/>
                <w:szCs w:val="18"/>
                <w:highlight w:val="none"/>
                <w:lang w:val="en-US" w:eastAsia="zh-CN"/>
              </w:rPr>
              <w:t>4</w:t>
            </w:r>
            <w:r>
              <w:rPr>
                <w:rFonts w:hint="eastAsia" w:hAnsi="宋体" w:cs="宋体"/>
                <w:sz w:val="18"/>
                <w:szCs w:val="18"/>
                <w:highlight w:val="none"/>
              </w:rPr>
              <w:t>分）</w:t>
            </w:r>
          </w:p>
          <w:p w14:paraId="28627B26">
            <w:pPr>
              <w:pStyle w:val="26"/>
              <w:keepNext w:val="0"/>
              <w:keepLines w:val="0"/>
              <w:widowControl/>
              <w:suppressLineNumbers w:val="0"/>
              <w:spacing w:before="0" w:beforeAutospacing="0" w:after="0" w:afterAutospacing="0"/>
              <w:ind w:left="0" w:right="0" w:firstLine="0" w:firstLineChars="0"/>
              <w:jc w:val="left"/>
              <w:rPr>
                <w:rFonts w:hint="default" w:hAnsi="宋体" w:cs="宋体"/>
                <w:sz w:val="18"/>
                <w:szCs w:val="18"/>
                <w:highlight w:val="none"/>
              </w:rPr>
            </w:pPr>
            <w:r>
              <w:rPr>
                <w:rFonts w:hint="eastAsia" w:hAnsi="宋体" w:cs="宋体"/>
                <w:sz w:val="18"/>
                <w:szCs w:val="18"/>
                <w:highlight w:val="none"/>
              </w:rPr>
              <w:t>b.[5%,10%)（</w:t>
            </w:r>
            <w:r>
              <w:rPr>
                <w:rFonts w:hint="eastAsia" w:hAnsi="宋体" w:cs="宋体"/>
                <w:sz w:val="18"/>
                <w:szCs w:val="18"/>
                <w:highlight w:val="none"/>
                <w:lang w:val="en-US" w:eastAsia="zh-CN"/>
              </w:rPr>
              <w:t>2</w:t>
            </w:r>
            <w:r>
              <w:rPr>
                <w:rFonts w:hint="eastAsia" w:hAnsi="宋体" w:cs="宋体"/>
                <w:sz w:val="18"/>
                <w:szCs w:val="18"/>
                <w:highlight w:val="none"/>
              </w:rPr>
              <w:t>分）</w:t>
            </w:r>
          </w:p>
          <w:p w14:paraId="422CC0C4">
            <w:pPr>
              <w:pStyle w:val="26"/>
              <w:keepNext w:val="0"/>
              <w:keepLines w:val="0"/>
              <w:widowControl/>
              <w:suppressLineNumbers w:val="0"/>
              <w:spacing w:before="0" w:beforeAutospacing="0" w:after="0" w:afterAutospacing="0"/>
              <w:ind w:left="0" w:right="0" w:firstLine="0" w:firstLineChars="0"/>
              <w:jc w:val="left"/>
              <w:rPr>
                <w:rFonts w:hint="default" w:hAnsi="宋体" w:cs="宋体"/>
                <w:sz w:val="18"/>
                <w:szCs w:val="18"/>
                <w:highlight w:val="none"/>
              </w:rPr>
            </w:pPr>
            <w:r>
              <w:rPr>
                <w:rFonts w:hint="eastAsia" w:hAnsi="宋体" w:cs="宋体"/>
                <w:sz w:val="18"/>
                <w:szCs w:val="18"/>
                <w:highlight w:val="none"/>
              </w:rPr>
              <w:t>c.[0,5%)（</w:t>
            </w:r>
            <w:r>
              <w:rPr>
                <w:rFonts w:hint="eastAsia" w:hAnsi="宋体" w:cs="宋体"/>
                <w:sz w:val="18"/>
                <w:szCs w:val="18"/>
                <w:highlight w:val="none"/>
                <w:lang w:val="en-US" w:eastAsia="zh-CN"/>
              </w:rPr>
              <w:t>1</w:t>
            </w:r>
            <w:r>
              <w:rPr>
                <w:rFonts w:hint="eastAsia" w:hAnsi="宋体" w:cs="宋体"/>
                <w:sz w:val="18"/>
                <w:szCs w:val="18"/>
                <w:highlight w:val="none"/>
              </w:rPr>
              <w:t>分）</w:t>
            </w:r>
          </w:p>
          <w:p w14:paraId="044E420C">
            <w:pPr>
              <w:pStyle w:val="26"/>
              <w:keepNext w:val="0"/>
              <w:keepLines w:val="0"/>
              <w:widowControl/>
              <w:suppressLineNumbers w:val="0"/>
              <w:spacing w:before="0" w:beforeAutospacing="0" w:after="0" w:afterAutospacing="0"/>
              <w:ind w:left="0" w:right="0" w:firstLine="0" w:firstLineChars="0"/>
              <w:jc w:val="left"/>
              <w:rPr>
                <w:rFonts w:hint="default" w:hAnsi="宋体" w:cs="宋体"/>
                <w:sz w:val="18"/>
                <w:szCs w:val="18"/>
                <w:highlight w:val="none"/>
              </w:rPr>
            </w:pPr>
            <w:r>
              <w:rPr>
                <w:rFonts w:hint="eastAsia" w:hAnsi="宋体" w:cs="宋体"/>
                <w:sz w:val="18"/>
                <w:szCs w:val="18"/>
                <w:highlight w:val="none"/>
              </w:rPr>
              <w:t>d.＜0（0分）</w:t>
            </w:r>
          </w:p>
        </w:tc>
        <w:tc>
          <w:tcPr>
            <w:tcW w:w="397" w:type="pct"/>
            <w:tcBorders>
              <w:top w:val="single" w:color="auto" w:sz="12" w:space="0"/>
              <w:tl2br w:val="nil"/>
              <w:tr2bl w:val="nil"/>
            </w:tcBorders>
            <w:vAlign w:val="center"/>
          </w:tcPr>
          <w:p w14:paraId="65EF40AB">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sz w:val="18"/>
                <w:szCs w:val="18"/>
                <w:highlight w:val="none"/>
                <w:lang w:eastAsia="zh-CN"/>
              </w:rPr>
            </w:pPr>
            <w:r>
              <w:rPr>
                <w:rFonts w:hint="eastAsia" w:ascii="宋体" w:hAnsi="宋体" w:cs="宋体"/>
                <w:color w:val="000000"/>
                <w:kern w:val="0"/>
                <w:sz w:val="18"/>
                <w:szCs w:val="18"/>
                <w:highlight w:val="none"/>
                <w:lang w:val="en-US" w:eastAsia="zh-CN" w:bidi="ar"/>
              </w:rPr>
              <w:t>4</w:t>
            </w:r>
          </w:p>
        </w:tc>
        <w:tc>
          <w:tcPr>
            <w:tcW w:w="423" w:type="pct"/>
            <w:tcBorders>
              <w:top w:val="single" w:color="auto" w:sz="12" w:space="0"/>
              <w:tl2br w:val="nil"/>
              <w:tr2bl w:val="nil"/>
            </w:tcBorders>
            <w:vAlign w:val="center"/>
          </w:tcPr>
          <w:p w14:paraId="639098F0">
            <w:pPr>
              <w:keepNext w:val="0"/>
              <w:keepLines w:val="0"/>
              <w:suppressLineNumbers w:val="0"/>
              <w:autoSpaceDE w:val="0"/>
              <w:autoSpaceDN w:val="0"/>
              <w:spacing w:before="0" w:beforeAutospacing="0" w:after="0" w:afterAutospacing="0"/>
              <w:ind w:left="0" w:right="0"/>
              <w:jc w:val="center"/>
              <w:rPr>
                <w:rFonts w:hint="default" w:ascii="宋体"/>
                <w:sz w:val="18"/>
                <w:szCs w:val="18"/>
                <w:highlight w:val="none"/>
              </w:rPr>
            </w:pPr>
          </w:p>
        </w:tc>
      </w:tr>
      <w:tr w14:paraId="7F1B3F8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139" w:hRule="atLeast"/>
        </w:trPr>
        <w:tc>
          <w:tcPr>
            <w:tcW w:w="303" w:type="pct"/>
            <w:vMerge w:val="continue"/>
            <w:tcBorders>
              <w:tl2br w:val="nil"/>
              <w:tr2bl w:val="nil"/>
            </w:tcBorders>
            <w:vAlign w:val="center"/>
          </w:tcPr>
          <w:p w14:paraId="4D185A6A">
            <w:pPr>
              <w:keepNext w:val="0"/>
              <w:keepLines w:val="0"/>
              <w:suppressLineNumbers w:val="0"/>
              <w:autoSpaceDE w:val="0"/>
              <w:autoSpaceDN w:val="0"/>
              <w:spacing w:before="0" w:beforeAutospacing="0" w:after="0" w:afterAutospacing="0"/>
              <w:ind w:left="0" w:right="0"/>
              <w:jc w:val="center"/>
              <w:rPr>
                <w:rFonts w:hint="default" w:ascii="宋体" w:hAnsi="宋体" w:cs="宋体"/>
                <w:sz w:val="18"/>
                <w:szCs w:val="18"/>
                <w:highlight w:val="none"/>
              </w:rPr>
            </w:pPr>
          </w:p>
        </w:tc>
        <w:tc>
          <w:tcPr>
            <w:tcW w:w="323" w:type="pct"/>
            <w:vMerge w:val="restart"/>
            <w:tcBorders>
              <w:tl2br w:val="nil"/>
              <w:tr2bl w:val="nil"/>
            </w:tcBorders>
            <w:vAlign w:val="center"/>
          </w:tcPr>
          <w:p w14:paraId="14186D94">
            <w:pPr>
              <w:keepNext w:val="0"/>
              <w:keepLines w:val="0"/>
              <w:suppressLineNumbers w:val="0"/>
              <w:autoSpaceDE w:val="0"/>
              <w:autoSpaceDN w:val="0"/>
              <w:spacing w:before="0" w:beforeAutospacing="0" w:after="0" w:afterAutospacing="0"/>
              <w:ind w:left="0" w:right="0"/>
              <w:jc w:val="center"/>
              <w:rPr>
                <w:rFonts w:hint="default" w:ascii="宋体" w:hAnsi="宋体" w:cs="宋体"/>
                <w:sz w:val="18"/>
                <w:szCs w:val="18"/>
                <w:highlight w:val="none"/>
              </w:rPr>
            </w:pPr>
            <w:r>
              <w:rPr>
                <w:rFonts w:hint="eastAsia" w:ascii="宋体" w:hAnsi="宋体" w:cs="宋体"/>
                <w:sz w:val="18"/>
                <w:szCs w:val="18"/>
                <w:highlight w:val="none"/>
              </w:rPr>
              <w:t>市场影响</w:t>
            </w:r>
          </w:p>
        </w:tc>
        <w:tc>
          <w:tcPr>
            <w:tcW w:w="529" w:type="pct"/>
            <w:vMerge w:val="restart"/>
            <w:tcBorders>
              <w:tl2br w:val="nil"/>
              <w:tr2bl w:val="nil"/>
            </w:tcBorders>
            <w:vAlign w:val="center"/>
          </w:tcPr>
          <w:p w14:paraId="210EBB11">
            <w:pPr>
              <w:keepNext w:val="0"/>
              <w:keepLines w:val="0"/>
              <w:suppressLineNumbers w:val="0"/>
              <w:autoSpaceDE w:val="0"/>
              <w:autoSpaceDN w:val="0"/>
              <w:spacing w:before="0" w:beforeAutospacing="0" w:after="0" w:afterAutospacing="0"/>
              <w:ind w:left="0" w:right="0"/>
              <w:jc w:val="center"/>
              <w:rPr>
                <w:rFonts w:hint="default" w:ascii="宋体" w:hAnsi="宋体" w:cs="宋体"/>
                <w:sz w:val="18"/>
                <w:szCs w:val="18"/>
                <w:highlight w:val="none"/>
              </w:rPr>
            </w:pPr>
            <w:r>
              <w:rPr>
                <w:rFonts w:hint="eastAsia" w:ascii="宋体" w:hAnsi="宋体" w:cs="宋体"/>
                <w:sz w:val="18"/>
                <w:szCs w:val="18"/>
                <w:highlight w:val="none"/>
              </w:rPr>
              <w:t>市场竞争力</w:t>
            </w:r>
          </w:p>
        </w:tc>
        <w:tc>
          <w:tcPr>
            <w:tcW w:w="1369" w:type="pct"/>
            <w:tcBorders>
              <w:tl2br w:val="nil"/>
              <w:tr2bl w:val="nil"/>
            </w:tcBorders>
            <w:vAlign w:val="center"/>
          </w:tcPr>
          <w:p w14:paraId="54B64572">
            <w:pPr>
              <w:pStyle w:val="26"/>
              <w:keepNext w:val="0"/>
              <w:keepLines w:val="0"/>
              <w:widowControl/>
              <w:suppressLineNumbers w:val="0"/>
              <w:spacing w:before="0" w:beforeAutospacing="0" w:after="0" w:afterAutospacing="0"/>
              <w:ind w:left="0" w:right="0" w:firstLine="0" w:firstLineChars="0"/>
              <w:rPr>
                <w:rFonts w:hint="default" w:hAnsi="宋体" w:cs="宋体"/>
                <w:sz w:val="18"/>
                <w:szCs w:val="18"/>
                <w:highlight w:val="none"/>
              </w:rPr>
            </w:pPr>
            <w:r>
              <w:rPr>
                <w:rFonts w:hint="eastAsia" w:hAnsi="宋体" w:cs="宋体"/>
                <w:sz w:val="18"/>
                <w:szCs w:val="18"/>
                <w:highlight w:val="none"/>
              </w:rPr>
              <w:t>从</w:t>
            </w:r>
            <w:r>
              <w:rPr>
                <w:rFonts w:hint="eastAsia" w:hAnsi="宋体" w:cs="宋体"/>
                <w:sz w:val="18"/>
                <w:szCs w:val="18"/>
                <w:highlight w:val="none"/>
                <w:lang w:val="en-US" w:eastAsia="zh-CN"/>
              </w:rPr>
              <w:t>温室气体控制领域</w:t>
            </w:r>
            <w:r>
              <w:rPr>
                <w:rFonts w:hint="eastAsia" w:hAnsi="宋体" w:cs="宋体"/>
                <w:sz w:val="18"/>
                <w:szCs w:val="18"/>
                <w:highlight w:val="none"/>
              </w:rPr>
              <w:t>的市场占有率进行评价</w:t>
            </w:r>
          </w:p>
        </w:tc>
        <w:tc>
          <w:tcPr>
            <w:tcW w:w="1653" w:type="pct"/>
            <w:tcBorders>
              <w:tl2br w:val="nil"/>
              <w:tr2bl w:val="nil"/>
            </w:tcBorders>
            <w:vAlign w:val="center"/>
          </w:tcPr>
          <w:p w14:paraId="0E176D7C">
            <w:pPr>
              <w:pStyle w:val="26"/>
              <w:keepNext w:val="0"/>
              <w:keepLines w:val="0"/>
              <w:widowControl/>
              <w:suppressLineNumbers w:val="0"/>
              <w:spacing w:before="0" w:beforeAutospacing="0" w:after="0" w:afterAutospacing="0"/>
              <w:ind w:left="0" w:right="0" w:firstLine="0" w:firstLineChars="0"/>
              <w:jc w:val="both"/>
              <w:rPr>
                <w:rFonts w:hint="default" w:hAnsi="宋体" w:cs="宋体"/>
                <w:sz w:val="18"/>
                <w:szCs w:val="18"/>
                <w:highlight w:val="none"/>
              </w:rPr>
            </w:pPr>
            <w:r>
              <w:rPr>
                <w:rFonts w:hint="eastAsia" w:hAnsi="宋体" w:cs="宋体"/>
                <w:sz w:val="18"/>
                <w:szCs w:val="18"/>
                <w:highlight w:val="none"/>
              </w:rPr>
              <w:t>a.</w:t>
            </w:r>
            <w:r>
              <w:rPr>
                <w:rFonts w:hint="eastAsia" w:hAnsi="宋体" w:cs="宋体"/>
                <w:sz w:val="18"/>
                <w:szCs w:val="18"/>
                <w:highlight w:val="none"/>
                <w:lang w:val="en-US" w:eastAsia="zh-CN"/>
              </w:rPr>
              <w:t>行</w:t>
            </w:r>
            <w:r>
              <w:rPr>
                <w:rFonts w:hint="eastAsia" w:hAnsi="宋体" w:cs="宋体"/>
                <w:sz w:val="18"/>
                <w:szCs w:val="18"/>
                <w:highlight w:val="none"/>
              </w:rPr>
              <w:t>业内市场占有率处于较高水平。（3分，5分]</w:t>
            </w:r>
          </w:p>
          <w:p w14:paraId="47AE0643">
            <w:pPr>
              <w:pStyle w:val="26"/>
              <w:keepNext w:val="0"/>
              <w:keepLines w:val="0"/>
              <w:widowControl/>
              <w:suppressLineNumbers w:val="0"/>
              <w:spacing w:before="0" w:beforeAutospacing="0" w:after="0" w:afterAutospacing="0"/>
              <w:ind w:left="0" w:right="0" w:firstLine="0" w:firstLineChars="0"/>
              <w:jc w:val="both"/>
              <w:rPr>
                <w:rFonts w:hint="default" w:hAnsi="宋体" w:cs="宋体"/>
                <w:sz w:val="18"/>
                <w:szCs w:val="18"/>
                <w:highlight w:val="none"/>
              </w:rPr>
            </w:pPr>
            <w:r>
              <w:rPr>
                <w:rFonts w:hint="eastAsia" w:hAnsi="宋体" w:cs="宋体"/>
                <w:sz w:val="18"/>
                <w:szCs w:val="18"/>
                <w:highlight w:val="none"/>
              </w:rPr>
              <w:t>b.</w:t>
            </w:r>
            <w:r>
              <w:rPr>
                <w:rFonts w:hint="eastAsia" w:hAnsi="宋体" w:cs="宋体"/>
                <w:sz w:val="18"/>
                <w:szCs w:val="18"/>
                <w:highlight w:val="none"/>
                <w:lang w:val="en-US" w:eastAsia="zh-CN"/>
              </w:rPr>
              <w:t>行</w:t>
            </w:r>
            <w:r>
              <w:rPr>
                <w:rFonts w:hint="eastAsia" w:hAnsi="宋体" w:cs="宋体"/>
                <w:sz w:val="18"/>
                <w:szCs w:val="18"/>
                <w:highlight w:val="none"/>
              </w:rPr>
              <w:t>业内市场占有率处于中等水平。（1分，3分]</w:t>
            </w:r>
          </w:p>
          <w:p w14:paraId="6342D35E">
            <w:pPr>
              <w:pStyle w:val="26"/>
              <w:keepNext w:val="0"/>
              <w:keepLines w:val="0"/>
              <w:widowControl/>
              <w:suppressLineNumbers w:val="0"/>
              <w:spacing w:before="0" w:beforeAutospacing="0" w:after="0" w:afterAutospacing="0"/>
              <w:ind w:left="0" w:right="0" w:firstLine="0" w:firstLineChars="0"/>
              <w:jc w:val="both"/>
              <w:rPr>
                <w:rFonts w:hint="default" w:ascii="宋体" w:hAnsi="宋体" w:eastAsia="宋体" w:cs="宋体"/>
                <w:sz w:val="18"/>
                <w:szCs w:val="18"/>
                <w:highlight w:val="none"/>
                <w:lang w:val="en-US" w:eastAsia="zh-CN" w:bidi="ar-SA"/>
              </w:rPr>
            </w:pPr>
            <w:r>
              <w:rPr>
                <w:rFonts w:hint="eastAsia" w:hAnsi="宋体" w:cs="宋体"/>
                <w:sz w:val="18"/>
                <w:szCs w:val="18"/>
                <w:highlight w:val="none"/>
              </w:rPr>
              <w:t>c.</w:t>
            </w:r>
            <w:r>
              <w:rPr>
                <w:rFonts w:hint="eastAsia" w:hAnsi="宋体" w:cs="宋体"/>
                <w:sz w:val="18"/>
                <w:szCs w:val="18"/>
                <w:highlight w:val="none"/>
                <w:lang w:val="en-US" w:eastAsia="zh-CN"/>
              </w:rPr>
              <w:t>行</w:t>
            </w:r>
            <w:r>
              <w:rPr>
                <w:rFonts w:hint="eastAsia" w:hAnsi="宋体" w:cs="宋体"/>
                <w:sz w:val="18"/>
                <w:szCs w:val="18"/>
                <w:highlight w:val="none"/>
              </w:rPr>
              <w:t>业内市场占有率处于一般水平。[0分，1分]</w:t>
            </w:r>
          </w:p>
        </w:tc>
        <w:tc>
          <w:tcPr>
            <w:tcW w:w="397" w:type="pct"/>
            <w:tcBorders>
              <w:tl2br w:val="nil"/>
              <w:tr2bl w:val="nil"/>
            </w:tcBorders>
            <w:vAlign w:val="center"/>
          </w:tcPr>
          <w:p w14:paraId="26AD564B">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sz w:val="18"/>
                <w:szCs w:val="18"/>
                <w:highlight w:val="none"/>
                <w:lang w:eastAsia="zh-CN"/>
              </w:rPr>
            </w:pPr>
            <w:r>
              <w:rPr>
                <w:rFonts w:hint="eastAsia" w:ascii="宋体" w:hAnsi="宋体" w:cs="宋体"/>
                <w:color w:val="000000"/>
                <w:kern w:val="0"/>
                <w:sz w:val="18"/>
                <w:szCs w:val="18"/>
                <w:highlight w:val="none"/>
                <w:lang w:val="en-US" w:eastAsia="zh-CN" w:bidi="ar"/>
              </w:rPr>
              <w:t>5</w:t>
            </w:r>
          </w:p>
        </w:tc>
        <w:tc>
          <w:tcPr>
            <w:tcW w:w="423" w:type="pct"/>
            <w:tcBorders>
              <w:tl2br w:val="nil"/>
              <w:tr2bl w:val="nil"/>
            </w:tcBorders>
            <w:vAlign w:val="center"/>
          </w:tcPr>
          <w:p w14:paraId="6D03BEBC">
            <w:pPr>
              <w:keepNext w:val="0"/>
              <w:keepLines w:val="0"/>
              <w:suppressLineNumbers w:val="0"/>
              <w:autoSpaceDE w:val="0"/>
              <w:autoSpaceDN w:val="0"/>
              <w:spacing w:before="0" w:beforeAutospacing="0" w:after="0" w:afterAutospacing="0"/>
              <w:ind w:left="0" w:right="0"/>
              <w:jc w:val="center"/>
              <w:rPr>
                <w:rFonts w:hint="default" w:ascii="宋体"/>
                <w:sz w:val="18"/>
                <w:szCs w:val="18"/>
                <w:highlight w:val="none"/>
              </w:rPr>
            </w:pPr>
          </w:p>
        </w:tc>
      </w:tr>
      <w:tr w14:paraId="53FD049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258" w:hRule="atLeast"/>
        </w:trPr>
        <w:tc>
          <w:tcPr>
            <w:tcW w:w="303" w:type="pct"/>
            <w:vMerge w:val="continue"/>
            <w:tcBorders>
              <w:tl2br w:val="nil"/>
              <w:tr2bl w:val="nil"/>
            </w:tcBorders>
            <w:vAlign w:val="center"/>
          </w:tcPr>
          <w:p w14:paraId="6E9774FA">
            <w:pPr>
              <w:keepNext w:val="0"/>
              <w:keepLines w:val="0"/>
              <w:suppressLineNumbers w:val="0"/>
              <w:autoSpaceDE w:val="0"/>
              <w:autoSpaceDN w:val="0"/>
              <w:spacing w:before="0" w:beforeAutospacing="0" w:after="0" w:afterAutospacing="0"/>
              <w:ind w:left="0" w:right="0"/>
              <w:jc w:val="center"/>
              <w:rPr>
                <w:rFonts w:hint="default" w:ascii="宋体" w:hAnsi="宋体" w:cs="宋体"/>
                <w:sz w:val="18"/>
                <w:szCs w:val="18"/>
                <w:highlight w:val="none"/>
              </w:rPr>
            </w:pPr>
          </w:p>
        </w:tc>
        <w:tc>
          <w:tcPr>
            <w:tcW w:w="323" w:type="pct"/>
            <w:vMerge w:val="continue"/>
            <w:tcBorders>
              <w:tl2br w:val="nil"/>
              <w:tr2bl w:val="nil"/>
            </w:tcBorders>
            <w:vAlign w:val="center"/>
          </w:tcPr>
          <w:p w14:paraId="36374543">
            <w:pPr>
              <w:keepNext w:val="0"/>
              <w:keepLines w:val="0"/>
              <w:suppressLineNumbers w:val="0"/>
              <w:autoSpaceDE w:val="0"/>
              <w:autoSpaceDN w:val="0"/>
              <w:spacing w:before="0" w:beforeAutospacing="0" w:after="0" w:afterAutospacing="0"/>
              <w:ind w:left="0" w:right="0"/>
              <w:jc w:val="center"/>
              <w:rPr>
                <w:rFonts w:hint="eastAsia" w:ascii="宋体" w:hAnsi="宋体" w:cs="宋体"/>
                <w:sz w:val="18"/>
                <w:szCs w:val="18"/>
                <w:highlight w:val="none"/>
              </w:rPr>
            </w:pPr>
          </w:p>
        </w:tc>
        <w:tc>
          <w:tcPr>
            <w:tcW w:w="529" w:type="pct"/>
            <w:vMerge w:val="continue"/>
            <w:tcBorders>
              <w:tl2br w:val="nil"/>
              <w:tr2bl w:val="nil"/>
            </w:tcBorders>
            <w:vAlign w:val="center"/>
          </w:tcPr>
          <w:p w14:paraId="107E18D2">
            <w:pPr>
              <w:keepNext w:val="0"/>
              <w:keepLines w:val="0"/>
              <w:suppressLineNumbers w:val="0"/>
              <w:autoSpaceDE w:val="0"/>
              <w:autoSpaceDN w:val="0"/>
              <w:spacing w:before="0" w:beforeAutospacing="0" w:after="0" w:afterAutospacing="0"/>
              <w:ind w:left="0" w:right="0"/>
              <w:jc w:val="center"/>
              <w:rPr>
                <w:rFonts w:hint="eastAsia" w:ascii="宋体" w:hAnsi="宋体" w:cs="宋体"/>
                <w:sz w:val="18"/>
                <w:szCs w:val="18"/>
                <w:highlight w:val="none"/>
              </w:rPr>
            </w:pPr>
          </w:p>
        </w:tc>
        <w:tc>
          <w:tcPr>
            <w:tcW w:w="1369" w:type="pct"/>
            <w:tcBorders>
              <w:tl2br w:val="nil"/>
              <w:tr2bl w:val="nil"/>
            </w:tcBorders>
            <w:vAlign w:val="center"/>
          </w:tcPr>
          <w:p w14:paraId="4A5E72AF">
            <w:pPr>
              <w:pStyle w:val="26"/>
              <w:keepNext w:val="0"/>
              <w:keepLines w:val="0"/>
              <w:widowControl/>
              <w:suppressLineNumbers w:val="0"/>
              <w:spacing w:before="0" w:beforeAutospacing="0" w:after="0" w:afterAutospacing="0"/>
              <w:ind w:left="0" w:right="0" w:firstLine="0" w:firstLineChars="0"/>
              <w:rPr>
                <w:rFonts w:hint="eastAsia" w:hAnsi="宋体" w:cs="宋体"/>
                <w:sz w:val="18"/>
                <w:szCs w:val="18"/>
                <w:highlight w:val="none"/>
              </w:rPr>
            </w:pPr>
            <w:r>
              <w:rPr>
                <w:rFonts w:hint="eastAsia" w:hAnsi="宋体" w:cs="宋体"/>
                <w:sz w:val="18"/>
                <w:szCs w:val="18"/>
                <w:highlight w:val="none"/>
              </w:rPr>
              <w:t>从稳定提供</w:t>
            </w:r>
            <w:r>
              <w:rPr>
                <w:rFonts w:hint="eastAsia" w:hAnsi="宋体" w:cs="宋体"/>
                <w:sz w:val="18"/>
                <w:szCs w:val="18"/>
                <w:highlight w:val="none"/>
                <w:lang w:val="en-US" w:eastAsia="zh-CN"/>
              </w:rPr>
              <w:t>温室气体控制领域</w:t>
            </w:r>
            <w:r>
              <w:rPr>
                <w:rFonts w:hint="eastAsia" w:hAnsi="宋体" w:cs="宋体"/>
                <w:sz w:val="18"/>
                <w:szCs w:val="18"/>
                <w:highlight w:val="none"/>
              </w:rPr>
              <w:t>相关产品或服务的年限进行评价</w:t>
            </w:r>
          </w:p>
        </w:tc>
        <w:tc>
          <w:tcPr>
            <w:tcW w:w="1653" w:type="pct"/>
            <w:tcBorders>
              <w:tl2br w:val="nil"/>
              <w:tr2bl w:val="nil"/>
            </w:tcBorders>
            <w:vAlign w:val="center"/>
          </w:tcPr>
          <w:p w14:paraId="36000419">
            <w:pPr>
              <w:keepNext w:val="0"/>
              <w:keepLines w:val="0"/>
              <w:suppressLineNumbers w:val="0"/>
              <w:autoSpaceDE w:val="0"/>
              <w:autoSpaceDN w:val="0"/>
              <w:spacing w:before="0" w:beforeAutospacing="0" w:after="0" w:afterAutospacing="0"/>
              <w:ind w:left="0" w:right="0"/>
              <w:jc w:val="left"/>
              <w:rPr>
                <w:rFonts w:hint="default" w:ascii="宋体" w:hAnsi="宋体" w:cs="宋体"/>
                <w:sz w:val="18"/>
                <w:szCs w:val="18"/>
                <w:highlight w:val="none"/>
              </w:rPr>
            </w:pPr>
            <w:r>
              <w:rPr>
                <w:rFonts w:hint="eastAsia" w:ascii="宋体" w:hAnsi="宋体" w:cs="宋体"/>
                <w:sz w:val="18"/>
                <w:szCs w:val="18"/>
                <w:highlight w:val="none"/>
              </w:rPr>
              <w:t>a.＞</w:t>
            </w:r>
            <w:r>
              <w:rPr>
                <w:rFonts w:hint="eastAsia" w:ascii="宋体" w:hAnsi="宋体" w:cs="宋体"/>
                <w:sz w:val="18"/>
                <w:szCs w:val="18"/>
                <w:highlight w:val="none"/>
                <w:lang w:val="en-US" w:eastAsia="zh-CN"/>
              </w:rPr>
              <w:t>5年</w:t>
            </w:r>
            <w:r>
              <w:rPr>
                <w:rFonts w:hint="eastAsia" w:ascii="宋体" w:hAnsi="宋体" w:cs="宋体"/>
                <w:sz w:val="18"/>
                <w:szCs w:val="18"/>
                <w:highlight w:val="none"/>
              </w:rPr>
              <w:t>（3分）</w:t>
            </w:r>
          </w:p>
          <w:p w14:paraId="5CDFEFB8">
            <w:pPr>
              <w:keepNext w:val="0"/>
              <w:keepLines w:val="0"/>
              <w:suppressLineNumbers w:val="0"/>
              <w:autoSpaceDE w:val="0"/>
              <w:autoSpaceDN w:val="0"/>
              <w:spacing w:before="0" w:beforeAutospacing="0" w:after="0" w:afterAutospacing="0"/>
              <w:ind w:left="0" w:right="0"/>
              <w:jc w:val="left"/>
              <w:rPr>
                <w:rFonts w:hint="default" w:ascii="宋体" w:hAnsi="宋体" w:cs="宋体"/>
                <w:sz w:val="18"/>
                <w:szCs w:val="18"/>
                <w:highlight w:val="none"/>
              </w:rPr>
            </w:pPr>
            <w:r>
              <w:rPr>
                <w:rFonts w:hint="eastAsia" w:ascii="宋体" w:hAnsi="宋体" w:cs="宋体"/>
                <w:sz w:val="18"/>
                <w:szCs w:val="18"/>
                <w:highlight w:val="none"/>
              </w:rPr>
              <w:t>b.（</w:t>
            </w:r>
            <w:r>
              <w:rPr>
                <w:rFonts w:hint="eastAsia" w:ascii="宋体" w:hAnsi="宋体" w:cs="宋体"/>
                <w:sz w:val="18"/>
                <w:szCs w:val="18"/>
                <w:highlight w:val="none"/>
                <w:lang w:val="en-US" w:eastAsia="zh-CN"/>
              </w:rPr>
              <w:t>2年</w:t>
            </w:r>
            <w:r>
              <w:rPr>
                <w:rFonts w:hint="eastAsia" w:ascii="宋体" w:hAnsi="宋体" w:cs="宋体"/>
                <w:sz w:val="18"/>
                <w:szCs w:val="18"/>
                <w:highlight w:val="none"/>
              </w:rPr>
              <w:t>，</w:t>
            </w:r>
            <w:r>
              <w:rPr>
                <w:rFonts w:hint="eastAsia" w:ascii="宋体" w:hAnsi="宋体" w:cs="宋体"/>
                <w:sz w:val="18"/>
                <w:szCs w:val="18"/>
                <w:highlight w:val="none"/>
                <w:lang w:val="en-US" w:eastAsia="zh-CN"/>
              </w:rPr>
              <w:t>5年</w:t>
            </w:r>
            <w:r>
              <w:rPr>
                <w:rFonts w:hint="eastAsia" w:ascii="宋体" w:hAnsi="宋体" w:cs="宋体"/>
                <w:sz w:val="18"/>
                <w:szCs w:val="18"/>
                <w:highlight w:val="none"/>
              </w:rPr>
              <w:t>]（2分）</w:t>
            </w:r>
          </w:p>
          <w:p w14:paraId="3C15345E">
            <w:pPr>
              <w:keepNext w:val="0"/>
              <w:keepLines w:val="0"/>
              <w:suppressLineNumbers w:val="0"/>
              <w:autoSpaceDE w:val="0"/>
              <w:autoSpaceDN w:val="0"/>
              <w:spacing w:before="0" w:beforeAutospacing="0" w:after="0" w:afterAutospacing="0"/>
              <w:ind w:left="0" w:right="0"/>
              <w:jc w:val="left"/>
              <w:rPr>
                <w:rFonts w:hint="eastAsia" w:ascii="宋体" w:hAnsi="Times New Roman" w:eastAsia="宋体" w:cs="Times New Roman"/>
                <w:sz w:val="18"/>
                <w:szCs w:val="18"/>
                <w:highlight w:val="none"/>
                <w:lang w:val="en-US" w:eastAsia="zh-CN" w:bidi="ar-SA"/>
              </w:rPr>
            </w:pPr>
            <w:r>
              <w:rPr>
                <w:rFonts w:hint="eastAsia" w:ascii="宋体" w:hAnsi="宋体" w:cs="宋体"/>
                <w:sz w:val="18"/>
                <w:szCs w:val="18"/>
                <w:highlight w:val="none"/>
              </w:rPr>
              <w:t>c.（</w:t>
            </w:r>
            <w:r>
              <w:rPr>
                <w:rFonts w:hint="eastAsia" w:ascii="宋体" w:hAnsi="宋体" w:cs="宋体"/>
                <w:sz w:val="18"/>
                <w:szCs w:val="18"/>
                <w:highlight w:val="none"/>
                <w:lang w:val="en-US" w:eastAsia="zh-CN"/>
              </w:rPr>
              <w:t>1年</w:t>
            </w:r>
            <w:r>
              <w:rPr>
                <w:rFonts w:hint="eastAsia" w:ascii="宋体" w:hAnsi="宋体" w:cs="宋体"/>
                <w:sz w:val="18"/>
                <w:szCs w:val="18"/>
                <w:highlight w:val="none"/>
              </w:rPr>
              <w:t>，</w:t>
            </w:r>
            <w:r>
              <w:rPr>
                <w:rFonts w:hint="eastAsia" w:ascii="宋体" w:hAnsi="宋体" w:cs="宋体"/>
                <w:sz w:val="18"/>
                <w:szCs w:val="18"/>
                <w:highlight w:val="none"/>
                <w:lang w:val="en-US" w:eastAsia="zh-CN"/>
              </w:rPr>
              <w:t>2年</w:t>
            </w:r>
            <w:r>
              <w:rPr>
                <w:rFonts w:hint="eastAsia" w:ascii="宋体" w:hAnsi="宋体" w:cs="宋体"/>
                <w:sz w:val="18"/>
                <w:szCs w:val="18"/>
                <w:highlight w:val="none"/>
              </w:rPr>
              <w:t>]（1分）</w:t>
            </w:r>
          </w:p>
        </w:tc>
        <w:tc>
          <w:tcPr>
            <w:tcW w:w="397" w:type="pct"/>
            <w:tcBorders>
              <w:tl2br w:val="nil"/>
              <w:tr2bl w:val="nil"/>
            </w:tcBorders>
            <w:vAlign w:val="center"/>
          </w:tcPr>
          <w:p w14:paraId="371E0C9A">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18"/>
                <w:szCs w:val="18"/>
                <w:highlight w:val="none"/>
                <w:lang w:val="en-US" w:eastAsia="zh-CN" w:bidi="ar"/>
              </w:rPr>
            </w:pPr>
            <w:r>
              <w:rPr>
                <w:rFonts w:hint="eastAsia" w:ascii="宋体" w:hAnsi="宋体" w:cs="宋体"/>
                <w:color w:val="000000"/>
                <w:kern w:val="0"/>
                <w:sz w:val="18"/>
                <w:szCs w:val="18"/>
                <w:highlight w:val="none"/>
                <w:lang w:val="en-US" w:eastAsia="zh-CN" w:bidi="ar"/>
              </w:rPr>
              <w:t>3</w:t>
            </w:r>
          </w:p>
        </w:tc>
        <w:tc>
          <w:tcPr>
            <w:tcW w:w="423" w:type="pct"/>
            <w:tcBorders>
              <w:tl2br w:val="nil"/>
              <w:tr2bl w:val="nil"/>
            </w:tcBorders>
            <w:vAlign w:val="center"/>
          </w:tcPr>
          <w:p w14:paraId="693ABC30">
            <w:pPr>
              <w:keepNext w:val="0"/>
              <w:keepLines w:val="0"/>
              <w:suppressLineNumbers w:val="0"/>
              <w:autoSpaceDE w:val="0"/>
              <w:autoSpaceDN w:val="0"/>
              <w:spacing w:before="0" w:beforeAutospacing="0" w:after="0" w:afterAutospacing="0"/>
              <w:ind w:left="0" w:right="0"/>
              <w:jc w:val="center"/>
              <w:rPr>
                <w:rFonts w:hint="default" w:ascii="宋体"/>
                <w:sz w:val="18"/>
                <w:szCs w:val="18"/>
                <w:highlight w:val="none"/>
              </w:rPr>
            </w:pPr>
          </w:p>
        </w:tc>
      </w:tr>
      <w:tr w14:paraId="01B2F75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14" w:hRule="atLeast"/>
        </w:trPr>
        <w:tc>
          <w:tcPr>
            <w:tcW w:w="303" w:type="pct"/>
            <w:vMerge w:val="continue"/>
            <w:tcBorders>
              <w:tl2br w:val="nil"/>
              <w:tr2bl w:val="nil"/>
            </w:tcBorders>
            <w:vAlign w:val="center"/>
          </w:tcPr>
          <w:p w14:paraId="7BB54DC0">
            <w:pPr>
              <w:keepNext w:val="0"/>
              <w:keepLines w:val="0"/>
              <w:suppressLineNumbers w:val="0"/>
              <w:autoSpaceDE w:val="0"/>
              <w:autoSpaceDN w:val="0"/>
              <w:spacing w:before="0" w:beforeAutospacing="0" w:after="0" w:afterAutospacing="0"/>
              <w:ind w:left="0" w:right="0"/>
              <w:jc w:val="center"/>
              <w:rPr>
                <w:rFonts w:hint="default" w:ascii="宋体" w:hAnsi="宋体" w:cs="宋体"/>
                <w:sz w:val="18"/>
                <w:szCs w:val="18"/>
                <w:highlight w:val="none"/>
              </w:rPr>
            </w:pPr>
          </w:p>
        </w:tc>
        <w:tc>
          <w:tcPr>
            <w:tcW w:w="323" w:type="pct"/>
            <w:vMerge w:val="continue"/>
            <w:tcBorders>
              <w:tl2br w:val="nil"/>
              <w:tr2bl w:val="nil"/>
            </w:tcBorders>
            <w:vAlign w:val="center"/>
          </w:tcPr>
          <w:p w14:paraId="03C2D300">
            <w:pPr>
              <w:keepNext w:val="0"/>
              <w:keepLines w:val="0"/>
              <w:suppressLineNumbers w:val="0"/>
              <w:autoSpaceDE w:val="0"/>
              <w:autoSpaceDN w:val="0"/>
              <w:spacing w:before="0" w:beforeAutospacing="0" w:after="0" w:afterAutospacing="0"/>
              <w:ind w:left="0" w:right="0"/>
              <w:jc w:val="center"/>
              <w:rPr>
                <w:rFonts w:hint="default" w:ascii="宋体" w:hAnsi="宋体" w:cs="宋体"/>
                <w:sz w:val="18"/>
                <w:szCs w:val="18"/>
                <w:highlight w:val="none"/>
              </w:rPr>
            </w:pPr>
          </w:p>
        </w:tc>
        <w:tc>
          <w:tcPr>
            <w:tcW w:w="529" w:type="pct"/>
            <w:tcBorders>
              <w:tl2br w:val="nil"/>
              <w:tr2bl w:val="nil"/>
            </w:tcBorders>
            <w:vAlign w:val="center"/>
          </w:tcPr>
          <w:p w14:paraId="190A914D">
            <w:pPr>
              <w:keepNext w:val="0"/>
              <w:keepLines w:val="0"/>
              <w:suppressLineNumbers w:val="0"/>
              <w:autoSpaceDE w:val="0"/>
              <w:autoSpaceDN w:val="0"/>
              <w:spacing w:before="0" w:beforeAutospacing="0" w:after="0" w:afterAutospacing="0"/>
              <w:ind w:left="0" w:right="0"/>
              <w:jc w:val="center"/>
              <w:rPr>
                <w:rFonts w:hint="default" w:ascii="宋体" w:hAnsi="宋体" w:cs="宋体"/>
                <w:sz w:val="18"/>
                <w:szCs w:val="18"/>
                <w:highlight w:val="none"/>
              </w:rPr>
            </w:pPr>
            <w:r>
              <w:rPr>
                <w:rFonts w:hint="eastAsia" w:ascii="宋体" w:hAnsi="宋体" w:cs="宋体"/>
                <w:sz w:val="18"/>
                <w:szCs w:val="18"/>
                <w:highlight w:val="none"/>
              </w:rPr>
              <w:t>产业影响力</w:t>
            </w:r>
          </w:p>
        </w:tc>
        <w:tc>
          <w:tcPr>
            <w:tcW w:w="1369" w:type="pct"/>
            <w:tcBorders>
              <w:tl2br w:val="nil"/>
              <w:tr2bl w:val="nil"/>
            </w:tcBorders>
            <w:vAlign w:val="center"/>
          </w:tcPr>
          <w:p w14:paraId="1FFB294A">
            <w:pPr>
              <w:pStyle w:val="26"/>
              <w:keepNext w:val="0"/>
              <w:keepLines w:val="0"/>
              <w:widowControl/>
              <w:suppressLineNumbers w:val="0"/>
              <w:spacing w:before="0" w:beforeAutospacing="0" w:after="0" w:afterAutospacing="0"/>
              <w:ind w:left="0" w:right="0" w:firstLine="0" w:firstLineChars="0"/>
              <w:rPr>
                <w:rFonts w:hint="default" w:hAnsi="宋体" w:cs="宋体"/>
                <w:sz w:val="18"/>
                <w:szCs w:val="18"/>
                <w:highlight w:val="none"/>
              </w:rPr>
            </w:pPr>
            <w:r>
              <w:rPr>
                <w:rFonts w:hint="eastAsia" w:hAnsi="宋体" w:cs="宋体"/>
                <w:sz w:val="18"/>
                <w:szCs w:val="18"/>
                <w:highlight w:val="none"/>
                <w:lang w:val="en-US" w:eastAsia="zh-CN"/>
              </w:rPr>
              <w:t>温室气体控制领域</w:t>
            </w:r>
            <w:r>
              <w:rPr>
                <w:rFonts w:hint="eastAsia" w:hAnsi="宋体" w:cs="宋体"/>
                <w:sz w:val="18"/>
                <w:szCs w:val="18"/>
                <w:highlight w:val="none"/>
              </w:rPr>
              <w:t>的相关产品或服务，引领绿色低碳产业技术创新或市场发展的影响能力，如在产业链关键环节及领域取得“补短板”“锻长链”“填空白”的实际技术突破，或有助于新产业、新业态、新商业模式的培育壮大等</w:t>
            </w:r>
          </w:p>
        </w:tc>
        <w:tc>
          <w:tcPr>
            <w:tcW w:w="1653" w:type="pct"/>
            <w:tcBorders>
              <w:tl2br w:val="nil"/>
              <w:tr2bl w:val="nil"/>
            </w:tcBorders>
            <w:vAlign w:val="center"/>
          </w:tcPr>
          <w:p w14:paraId="30790F22">
            <w:pPr>
              <w:pStyle w:val="26"/>
              <w:keepNext w:val="0"/>
              <w:keepLines w:val="0"/>
              <w:widowControl/>
              <w:suppressLineNumbers w:val="0"/>
              <w:spacing w:before="0" w:beforeAutospacing="0" w:after="0" w:afterAutospacing="0"/>
              <w:ind w:left="0" w:right="0" w:firstLine="0" w:firstLineChars="0"/>
              <w:jc w:val="left"/>
              <w:rPr>
                <w:rFonts w:hint="default" w:hAnsi="宋体" w:cs="宋体"/>
                <w:sz w:val="18"/>
                <w:szCs w:val="18"/>
                <w:highlight w:val="none"/>
              </w:rPr>
            </w:pPr>
            <w:r>
              <w:rPr>
                <w:rFonts w:hint="eastAsia" w:hAnsi="宋体" w:cs="宋体"/>
                <w:sz w:val="18"/>
                <w:szCs w:val="18"/>
                <w:highlight w:val="none"/>
              </w:rPr>
              <w:t>a.具有显著的引领</w:t>
            </w:r>
            <w:r>
              <w:rPr>
                <w:rFonts w:hint="eastAsia" w:hAnsi="宋体" w:cs="宋体"/>
                <w:sz w:val="18"/>
                <w:szCs w:val="18"/>
                <w:highlight w:val="none"/>
                <w:lang w:eastAsia="zh-CN"/>
              </w:rPr>
              <w:t>绿色低碳产业</w:t>
            </w:r>
            <w:r>
              <w:rPr>
                <w:rFonts w:hint="eastAsia" w:hAnsi="宋体" w:cs="宋体"/>
                <w:sz w:val="18"/>
                <w:szCs w:val="18"/>
                <w:highlight w:val="none"/>
              </w:rPr>
              <w:t>技术</w:t>
            </w:r>
            <w:r>
              <w:rPr>
                <w:rFonts w:hint="eastAsia" w:hAnsi="宋体" w:cs="宋体"/>
                <w:sz w:val="18"/>
                <w:szCs w:val="18"/>
                <w:highlight w:val="none"/>
                <w:lang w:val="en-US" w:eastAsia="zh-CN"/>
              </w:rPr>
              <w:t>创新</w:t>
            </w:r>
            <w:r>
              <w:rPr>
                <w:rFonts w:hint="eastAsia" w:hAnsi="宋体" w:cs="宋体"/>
                <w:sz w:val="18"/>
                <w:szCs w:val="18"/>
                <w:highlight w:val="none"/>
              </w:rPr>
              <w:t>或市场发展的影响能力。（5分，7分]</w:t>
            </w:r>
          </w:p>
          <w:p w14:paraId="784DD1A3">
            <w:pPr>
              <w:pStyle w:val="26"/>
              <w:keepNext w:val="0"/>
              <w:keepLines w:val="0"/>
              <w:widowControl/>
              <w:suppressLineNumbers w:val="0"/>
              <w:spacing w:before="0" w:beforeAutospacing="0" w:after="0" w:afterAutospacing="0"/>
              <w:ind w:left="0" w:right="0" w:firstLine="0" w:firstLineChars="0"/>
              <w:jc w:val="left"/>
              <w:rPr>
                <w:rFonts w:hint="default" w:hAnsi="宋体" w:cs="宋体"/>
                <w:sz w:val="18"/>
                <w:szCs w:val="18"/>
                <w:highlight w:val="none"/>
              </w:rPr>
            </w:pPr>
            <w:r>
              <w:rPr>
                <w:rFonts w:hint="eastAsia" w:hAnsi="宋体" w:cs="宋体"/>
                <w:sz w:val="18"/>
                <w:szCs w:val="18"/>
                <w:highlight w:val="none"/>
              </w:rPr>
              <w:t>b.具有较强的引领</w:t>
            </w:r>
            <w:r>
              <w:rPr>
                <w:rFonts w:hint="eastAsia" w:hAnsi="宋体" w:cs="宋体"/>
                <w:sz w:val="18"/>
                <w:szCs w:val="18"/>
                <w:highlight w:val="none"/>
                <w:lang w:eastAsia="zh-CN"/>
              </w:rPr>
              <w:t>绿色低碳产业</w:t>
            </w:r>
            <w:r>
              <w:rPr>
                <w:rFonts w:hint="eastAsia" w:hAnsi="宋体" w:cs="宋体"/>
                <w:sz w:val="18"/>
                <w:szCs w:val="18"/>
                <w:highlight w:val="none"/>
              </w:rPr>
              <w:t>技术</w:t>
            </w:r>
            <w:r>
              <w:rPr>
                <w:rFonts w:hint="eastAsia" w:hAnsi="宋体" w:cs="宋体"/>
                <w:sz w:val="18"/>
                <w:szCs w:val="18"/>
                <w:highlight w:val="none"/>
                <w:lang w:val="en-US" w:eastAsia="zh-CN"/>
              </w:rPr>
              <w:t>创新</w:t>
            </w:r>
            <w:r>
              <w:rPr>
                <w:rFonts w:hint="eastAsia" w:hAnsi="宋体" w:cs="宋体"/>
                <w:sz w:val="18"/>
                <w:szCs w:val="18"/>
                <w:highlight w:val="none"/>
              </w:rPr>
              <w:t>或市场发展的影响能力。（3分，5分]</w:t>
            </w:r>
          </w:p>
          <w:p w14:paraId="59E77599">
            <w:pPr>
              <w:pStyle w:val="26"/>
              <w:keepNext w:val="0"/>
              <w:keepLines w:val="0"/>
              <w:widowControl/>
              <w:suppressLineNumbers w:val="0"/>
              <w:spacing w:before="0" w:beforeAutospacing="0" w:after="0" w:afterAutospacing="0"/>
              <w:ind w:left="0" w:right="0" w:firstLine="0" w:firstLineChars="0"/>
              <w:jc w:val="left"/>
              <w:rPr>
                <w:rFonts w:hint="default" w:hAnsi="宋体" w:cs="宋体"/>
                <w:sz w:val="18"/>
                <w:szCs w:val="18"/>
                <w:highlight w:val="none"/>
              </w:rPr>
            </w:pPr>
            <w:r>
              <w:rPr>
                <w:rFonts w:hint="eastAsia" w:hAnsi="宋体" w:cs="宋体"/>
                <w:sz w:val="18"/>
                <w:szCs w:val="18"/>
                <w:highlight w:val="none"/>
              </w:rPr>
              <w:t>c.具有一定的引领</w:t>
            </w:r>
            <w:r>
              <w:rPr>
                <w:rFonts w:hint="eastAsia" w:hAnsi="宋体" w:cs="宋体"/>
                <w:sz w:val="18"/>
                <w:szCs w:val="18"/>
                <w:highlight w:val="none"/>
                <w:lang w:eastAsia="zh-CN"/>
              </w:rPr>
              <w:t>绿色低碳产业</w:t>
            </w:r>
            <w:r>
              <w:rPr>
                <w:rFonts w:hint="eastAsia" w:hAnsi="宋体" w:cs="宋体"/>
                <w:sz w:val="18"/>
                <w:szCs w:val="18"/>
                <w:highlight w:val="none"/>
              </w:rPr>
              <w:t>技术</w:t>
            </w:r>
            <w:r>
              <w:rPr>
                <w:rFonts w:hint="eastAsia" w:hAnsi="宋体" w:cs="宋体"/>
                <w:sz w:val="18"/>
                <w:szCs w:val="18"/>
                <w:highlight w:val="none"/>
                <w:lang w:val="en-US" w:eastAsia="zh-CN"/>
              </w:rPr>
              <w:t>创新</w:t>
            </w:r>
            <w:r>
              <w:rPr>
                <w:rFonts w:hint="eastAsia" w:hAnsi="宋体" w:cs="宋体"/>
                <w:sz w:val="18"/>
                <w:szCs w:val="18"/>
                <w:highlight w:val="none"/>
              </w:rPr>
              <w:t>或市场发展的影响能力。（0分，3分]</w:t>
            </w:r>
          </w:p>
          <w:p w14:paraId="365AB90F">
            <w:pPr>
              <w:pStyle w:val="26"/>
              <w:keepNext w:val="0"/>
              <w:keepLines w:val="0"/>
              <w:widowControl/>
              <w:suppressLineNumbers w:val="0"/>
              <w:spacing w:before="0" w:beforeAutospacing="0" w:after="0" w:afterAutospacing="0"/>
              <w:ind w:left="0" w:right="0" w:firstLine="0" w:firstLineChars="0"/>
              <w:jc w:val="left"/>
              <w:rPr>
                <w:rFonts w:hint="default" w:hAnsi="宋体" w:cs="宋体"/>
                <w:sz w:val="18"/>
                <w:szCs w:val="18"/>
                <w:highlight w:val="none"/>
              </w:rPr>
            </w:pPr>
            <w:r>
              <w:rPr>
                <w:rFonts w:hint="eastAsia" w:hAnsi="宋体" w:cs="宋体"/>
                <w:sz w:val="18"/>
                <w:szCs w:val="18"/>
                <w:highlight w:val="none"/>
              </w:rPr>
              <w:t>d.未产生明显产业影响力。（0分）</w:t>
            </w:r>
          </w:p>
        </w:tc>
        <w:tc>
          <w:tcPr>
            <w:tcW w:w="397" w:type="pct"/>
            <w:tcBorders>
              <w:tl2br w:val="nil"/>
              <w:tr2bl w:val="nil"/>
            </w:tcBorders>
            <w:vAlign w:val="center"/>
          </w:tcPr>
          <w:p w14:paraId="6FDD32B1">
            <w:pPr>
              <w:keepNext w:val="0"/>
              <w:keepLines w:val="0"/>
              <w:widowControl/>
              <w:suppressLineNumbers w:val="0"/>
              <w:spacing w:before="0" w:beforeAutospacing="0" w:after="0" w:afterAutospacing="0"/>
              <w:ind w:left="0" w:right="0"/>
              <w:jc w:val="center"/>
              <w:textAlignment w:val="center"/>
              <w:rPr>
                <w:rFonts w:hint="default" w:ascii="宋体" w:hAnsi="宋体" w:cs="宋体"/>
                <w:sz w:val="18"/>
                <w:szCs w:val="18"/>
                <w:highlight w:val="none"/>
              </w:rPr>
            </w:pPr>
            <w:r>
              <w:rPr>
                <w:rFonts w:hint="eastAsia" w:ascii="宋体" w:hAnsi="宋体" w:cs="宋体"/>
                <w:color w:val="000000"/>
                <w:kern w:val="0"/>
                <w:sz w:val="18"/>
                <w:szCs w:val="18"/>
                <w:highlight w:val="none"/>
                <w:lang w:bidi="ar"/>
              </w:rPr>
              <w:t>7</w:t>
            </w:r>
          </w:p>
        </w:tc>
        <w:tc>
          <w:tcPr>
            <w:tcW w:w="423" w:type="pct"/>
            <w:tcBorders>
              <w:tl2br w:val="nil"/>
              <w:tr2bl w:val="nil"/>
            </w:tcBorders>
            <w:vAlign w:val="center"/>
          </w:tcPr>
          <w:p w14:paraId="7B41BDCC">
            <w:pPr>
              <w:keepNext w:val="0"/>
              <w:keepLines w:val="0"/>
              <w:suppressLineNumbers w:val="0"/>
              <w:autoSpaceDE w:val="0"/>
              <w:autoSpaceDN w:val="0"/>
              <w:spacing w:before="0" w:beforeAutospacing="0" w:after="0" w:afterAutospacing="0"/>
              <w:ind w:left="0" w:right="0"/>
              <w:jc w:val="center"/>
              <w:rPr>
                <w:rFonts w:hint="default" w:ascii="宋体"/>
                <w:sz w:val="18"/>
                <w:szCs w:val="18"/>
                <w:highlight w:val="none"/>
              </w:rPr>
            </w:pPr>
          </w:p>
        </w:tc>
      </w:tr>
      <w:tr w14:paraId="57B4437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23" w:hRule="atLeast"/>
        </w:trPr>
        <w:tc>
          <w:tcPr>
            <w:tcW w:w="303" w:type="pct"/>
            <w:vMerge w:val="continue"/>
            <w:tcBorders>
              <w:tl2br w:val="nil"/>
              <w:tr2bl w:val="nil"/>
            </w:tcBorders>
            <w:vAlign w:val="center"/>
          </w:tcPr>
          <w:p w14:paraId="005B19F6">
            <w:pPr>
              <w:keepNext w:val="0"/>
              <w:keepLines w:val="0"/>
              <w:suppressLineNumbers w:val="0"/>
              <w:autoSpaceDE w:val="0"/>
              <w:autoSpaceDN w:val="0"/>
              <w:spacing w:before="0" w:beforeAutospacing="0" w:after="0" w:afterAutospacing="0"/>
              <w:ind w:left="0" w:right="0"/>
              <w:jc w:val="center"/>
              <w:rPr>
                <w:rFonts w:hint="default" w:ascii="宋体" w:hAnsi="宋体" w:cs="宋体"/>
                <w:sz w:val="18"/>
                <w:szCs w:val="18"/>
                <w:highlight w:val="none"/>
              </w:rPr>
            </w:pPr>
          </w:p>
        </w:tc>
        <w:tc>
          <w:tcPr>
            <w:tcW w:w="323" w:type="pct"/>
            <w:vMerge w:val="continue"/>
            <w:tcBorders>
              <w:tl2br w:val="nil"/>
              <w:tr2bl w:val="nil"/>
            </w:tcBorders>
            <w:vAlign w:val="center"/>
          </w:tcPr>
          <w:p w14:paraId="7CD022C4">
            <w:pPr>
              <w:keepNext w:val="0"/>
              <w:keepLines w:val="0"/>
              <w:suppressLineNumbers w:val="0"/>
              <w:autoSpaceDE w:val="0"/>
              <w:autoSpaceDN w:val="0"/>
              <w:spacing w:before="0" w:beforeAutospacing="0" w:after="0" w:afterAutospacing="0"/>
              <w:ind w:left="0" w:right="0"/>
              <w:jc w:val="center"/>
              <w:rPr>
                <w:rFonts w:hint="default" w:ascii="宋体" w:hAnsi="宋体" w:cs="宋体"/>
                <w:sz w:val="18"/>
                <w:szCs w:val="18"/>
                <w:highlight w:val="none"/>
              </w:rPr>
            </w:pPr>
          </w:p>
        </w:tc>
        <w:tc>
          <w:tcPr>
            <w:tcW w:w="529" w:type="pct"/>
            <w:tcBorders>
              <w:tl2br w:val="nil"/>
              <w:tr2bl w:val="nil"/>
            </w:tcBorders>
            <w:vAlign w:val="center"/>
          </w:tcPr>
          <w:p w14:paraId="2CBA2572">
            <w:pPr>
              <w:keepNext w:val="0"/>
              <w:keepLines w:val="0"/>
              <w:suppressLineNumbers w:val="0"/>
              <w:autoSpaceDE w:val="0"/>
              <w:autoSpaceDN w:val="0"/>
              <w:spacing w:before="0" w:beforeAutospacing="0" w:after="0" w:afterAutospacing="0"/>
              <w:ind w:left="0" w:right="0"/>
              <w:jc w:val="center"/>
              <w:rPr>
                <w:rFonts w:hint="default" w:ascii="宋体" w:hAnsi="宋体" w:cs="宋体"/>
                <w:sz w:val="18"/>
                <w:szCs w:val="18"/>
                <w:highlight w:val="none"/>
              </w:rPr>
            </w:pPr>
            <w:r>
              <w:rPr>
                <w:rFonts w:hint="eastAsia" w:ascii="宋体" w:hAnsi="宋体" w:cs="宋体"/>
                <w:sz w:val="18"/>
                <w:szCs w:val="18"/>
                <w:highlight w:val="none"/>
              </w:rPr>
              <w:t>行业资质荣誉</w:t>
            </w:r>
          </w:p>
        </w:tc>
        <w:tc>
          <w:tcPr>
            <w:tcW w:w="1369" w:type="pct"/>
            <w:tcBorders>
              <w:tl2br w:val="nil"/>
              <w:tr2bl w:val="nil"/>
            </w:tcBorders>
            <w:vAlign w:val="center"/>
          </w:tcPr>
          <w:p w14:paraId="5E15B099">
            <w:pPr>
              <w:pStyle w:val="26"/>
              <w:keepNext w:val="0"/>
              <w:keepLines w:val="0"/>
              <w:widowControl/>
              <w:suppressLineNumbers w:val="0"/>
              <w:spacing w:before="0" w:beforeAutospacing="0" w:after="0" w:afterAutospacing="0"/>
              <w:ind w:left="0" w:right="0" w:firstLine="0" w:firstLineChars="0"/>
              <w:rPr>
                <w:rFonts w:hint="default" w:hAnsi="宋体" w:cs="宋体"/>
                <w:sz w:val="18"/>
                <w:szCs w:val="18"/>
                <w:highlight w:val="none"/>
              </w:rPr>
            </w:pPr>
            <w:r>
              <w:rPr>
                <w:rFonts w:hint="eastAsia" w:hAnsi="宋体" w:cs="宋体"/>
                <w:sz w:val="18"/>
                <w:szCs w:val="18"/>
                <w:highlight w:val="none"/>
              </w:rPr>
              <w:t>在</w:t>
            </w:r>
            <w:r>
              <w:rPr>
                <w:rFonts w:hint="eastAsia" w:hAnsi="宋体" w:cs="宋体"/>
                <w:sz w:val="18"/>
                <w:szCs w:val="18"/>
                <w:highlight w:val="none"/>
                <w:lang w:val="en-US" w:eastAsia="zh-CN"/>
              </w:rPr>
              <w:t>温室气体控制领域</w:t>
            </w:r>
            <w:r>
              <w:rPr>
                <w:rFonts w:hint="eastAsia" w:hAnsi="宋体" w:cs="宋体"/>
                <w:sz w:val="18"/>
                <w:szCs w:val="18"/>
                <w:highlight w:val="none"/>
              </w:rPr>
              <w:t>获得的国家级、省部级、市级或区级奖项、资质、荣誉、认定及证书的情况，国家级行业协会颁发的相关资质、荣誉、认定或证书视为省部级</w:t>
            </w:r>
          </w:p>
        </w:tc>
        <w:tc>
          <w:tcPr>
            <w:tcW w:w="1653" w:type="pct"/>
            <w:tcBorders>
              <w:tl2br w:val="nil"/>
              <w:tr2bl w:val="nil"/>
            </w:tcBorders>
            <w:vAlign w:val="center"/>
          </w:tcPr>
          <w:p w14:paraId="0FC7D8CA">
            <w:pPr>
              <w:keepNext w:val="0"/>
              <w:keepLines w:val="0"/>
              <w:suppressLineNumbers w:val="0"/>
              <w:autoSpaceDE w:val="0"/>
              <w:autoSpaceDN w:val="0"/>
              <w:spacing w:before="0" w:beforeAutospacing="0" w:after="0" w:afterAutospacing="0"/>
              <w:ind w:left="0" w:right="0" w:firstLine="0" w:firstLineChars="0"/>
              <w:jc w:val="both"/>
              <w:rPr>
                <w:rFonts w:hint="eastAsia" w:ascii="宋体" w:hAnsi="宋体" w:eastAsia="宋体" w:cs="宋体"/>
                <w:sz w:val="18"/>
                <w:szCs w:val="18"/>
                <w:highlight w:val="none"/>
                <w:lang w:val="en-US" w:eastAsia="zh-CN" w:bidi="ar-SA"/>
              </w:rPr>
            </w:pPr>
            <w:r>
              <w:rPr>
                <w:rFonts w:hint="eastAsia" w:ascii="宋体" w:hAnsi="宋体" w:eastAsia="宋体" w:cs="宋体"/>
                <w:sz w:val="18"/>
                <w:szCs w:val="18"/>
                <w:highlight w:val="none"/>
                <w:lang w:val="en-US" w:eastAsia="zh-CN" w:bidi="ar-SA"/>
              </w:rPr>
              <w:t>a.获得1项国家级奖项、资质、荣誉、认定或证书。（</w:t>
            </w:r>
            <w:r>
              <w:rPr>
                <w:rFonts w:hint="eastAsia" w:ascii="宋体" w:hAnsi="宋体" w:cs="宋体"/>
                <w:sz w:val="18"/>
                <w:szCs w:val="18"/>
                <w:highlight w:val="none"/>
                <w:lang w:val="en-US" w:eastAsia="zh-CN" w:bidi="ar-SA"/>
              </w:rPr>
              <w:t>5</w:t>
            </w:r>
            <w:r>
              <w:rPr>
                <w:rFonts w:hint="eastAsia" w:ascii="宋体" w:hAnsi="宋体" w:eastAsia="宋体" w:cs="宋体"/>
                <w:sz w:val="18"/>
                <w:szCs w:val="18"/>
                <w:highlight w:val="none"/>
                <w:lang w:val="en-US" w:eastAsia="zh-CN" w:bidi="ar-SA"/>
              </w:rPr>
              <w:t>分）</w:t>
            </w:r>
          </w:p>
          <w:p w14:paraId="6C82C852">
            <w:pPr>
              <w:keepNext w:val="0"/>
              <w:keepLines w:val="0"/>
              <w:suppressLineNumbers w:val="0"/>
              <w:autoSpaceDE w:val="0"/>
              <w:autoSpaceDN w:val="0"/>
              <w:spacing w:before="0" w:beforeAutospacing="0" w:after="0" w:afterAutospacing="0"/>
              <w:ind w:left="0" w:right="0" w:firstLine="0" w:firstLineChars="0"/>
              <w:jc w:val="both"/>
              <w:rPr>
                <w:rFonts w:hint="default" w:ascii="宋体" w:hAnsi="宋体" w:eastAsia="宋体" w:cs="宋体"/>
                <w:sz w:val="18"/>
                <w:szCs w:val="18"/>
                <w:highlight w:val="none"/>
                <w:lang w:val="en-US" w:eastAsia="zh-CN" w:bidi="ar-SA"/>
              </w:rPr>
            </w:pPr>
            <w:r>
              <w:rPr>
                <w:rFonts w:hint="eastAsia" w:ascii="宋体" w:hAnsi="宋体" w:eastAsia="宋体" w:cs="宋体"/>
                <w:sz w:val="18"/>
                <w:szCs w:val="18"/>
                <w:highlight w:val="none"/>
                <w:lang w:val="en-US" w:eastAsia="zh-CN" w:bidi="ar-SA"/>
              </w:rPr>
              <w:t>b.获得1项省部级奖项、资质、荣誉、认定或证书。（</w:t>
            </w:r>
            <w:r>
              <w:rPr>
                <w:rFonts w:hint="eastAsia" w:ascii="宋体" w:hAnsi="宋体" w:cs="宋体"/>
                <w:sz w:val="18"/>
                <w:szCs w:val="18"/>
                <w:highlight w:val="none"/>
                <w:lang w:val="en-US" w:eastAsia="zh-CN" w:bidi="ar-SA"/>
              </w:rPr>
              <w:t>4</w:t>
            </w:r>
            <w:r>
              <w:rPr>
                <w:rFonts w:hint="eastAsia" w:ascii="宋体" w:hAnsi="宋体" w:eastAsia="宋体" w:cs="宋体"/>
                <w:sz w:val="18"/>
                <w:szCs w:val="18"/>
                <w:highlight w:val="none"/>
                <w:lang w:val="en-US" w:eastAsia="zh-CN" w:bidi="ar-SA"/>
              </w:rPr>
              <w:t>分）</w:t>
            </w:r>
          </w:p>
          <w:p w14:paraId="70B7CC73">
            <w:pPr>
              <w:keepNext w:val="0"/>
              <w:keepLines w:val="0"/>
              <w:suppressLineNumbers w:val="0"/>
              <w:autoSpaceDE w:val="0"/>
              <w:autoSpaceDN w:val="0"/>
              <w:spacing w:before="0" w:beforeAutospacing="0" w:after="0" w:afterAutospacing="0"/>
              <w:ind w:left="0" w:right="0" w:firstLine="0" w:firstLineChars="0"/>
              <w:jc w:val="both"/>
              <w:rPr>
                <w:rFonts w:hint="eastAsia" w:ascii="宋体" w:hAnsi="宋体" w:eastAsia="宋体" w:cs="宋体"/>
                <w:sz w:val="18"/>
                <w:szCs w:val="18"/>
                <w:highlight w:val="none"/>
                <w:lang w:val="en-US" w:eastAsia="zh-CN" w:bidi="ar-SA"/>
              </w:rPr>
            </w:pPr>
            <w:r>
              <w:rPr>
                <w:rFonts w:hint="eastAsia" w:ascii="宋体" w:hAnsi="宋体" w:eastAsia="宋体" w:cs="宋体"/>
                <w:sz w:val="18"/>
                <w:szCs w:val="18"/>
                <w:highlight w:val="none"/>
                <w:lang w:val="en-US" w:eastAsia="zh-CN" w:bidi="ar-SA"/>
              </w:rPr>
              <w:t>c.获得1项市级奖项、资质、荣誉、认定或证书。（</w:t>
            </w:r>
            <w:r>
              <w:rPr>
                <w:rFonts w:hint="eastAsia" w:ascii="宋体" w:hAnsi="宋体" w:cs="宋体"/>
                <w:sz w:val="18"/>
                <w:szCs w:val="18"/>
                <w:highlight w:val="none"/>
                <w:lang w:val="en-US" w:eastAsia="zh-CN" w:bidi="ar-SA"/>
              </w:rPr>
              <w:t>3</w:t>
            </w:r>
            <w:r>
              <w:rPr>
                <w:rFonts w:hint="eastAsia" w:ascii="宋体" w:hAnsi="宋体" w:eastAsia="宋体" w:cs="宋体"/>
                <w:sz w:val="18"/>
                <w:szCs w:val="18"/>
                <w:highlight w:val="none"/>
                <w:lang w:val="en-US" w:eastAsia="zh-CN" w:bidi="ar-SA"/>
              </w:rPr>
              <w:t>分）</w:t>
            </w:r>
          </w:p>
          <w:p w14:paraId="39F1F3D0">
            <w:pPr>
              <w:keepNext w:val="0"/>
              <w:keepLines w:val="0"/>
              <w:widowControl w:val="0"/>
              <w:numPr>
                <w:ilvl w:val="0"/>
                <w:numId w:val="0"/>
              </w:numPr>
              <w:suppressLineNumbers w:val="0"/>
              <w:tabs>
                <w:tab w:val="center" w:pos="4201"/>
                <w:tab w:val="right" w:leader="dot" w:pos="9298"/>
              </w:tabs>
              <w:autoSpaceDE w:val="0"/>
              <w:autoSpaceDN w:val="0"/>
              <w:spacing w:before="0" w:beforeAutospacing="0" w:after="0" w:afterAutospacing="0"/>
              <w:ind w:left="0" w:leftChars="0" w:right="0"/>
              <w:jc w:val="left"/>
              <w:rPr>
                <w:rFonts w:hint="eastAsia" w:ascii="宋体" w:hAnsi="宋体" w:eastAsia="宋体" w:cs="宋体"/>
                <w:sz w:val="18"/>
                <w:szCs w:val="18"/>
                <w:highlight w:val="none"/>
              </w:rPr>
            </w:pPr>
            <w:r>
              <w:rPr>
                <w:rFonts w:hint="eastAsia" w:ascii="宋体" w:hAnsi="宋体" w:eastAsia="宋体" w:cs="宋体"/>
                <w:sz w:val="18"/>
                <w:szCs w:val="18"/>
                <w:highlight w:val="none"/>
              </w:rPr>
              <w:t>d.获得1项</w:t>
            </w:r>
            <w:r>
              <w:rPr>
                <w:rFonts w:hint="eastAsia" w:ascii="宋体" w:hAnsi="宋体" w:cs="宋体"/>
                <w:sz w:val="18"/>
                <w:szCs w:val="18"/>
                <w:highlight w:val="none"/>
                <w:lang w:val="en-US" w:eastAsia="zh-CN"/>
              </w:rPr>
              <w:t>区</w:t>
            </w:r>
            <w:r>
              <w:rPr>
                <w:rFonts w:hint="eastAsia" w:ascii="宋体" w:hAnsi="宋体" w:eastAsia="宋体" w:cs="宋体"/>
                <w:sz w:val="18"/>
                <w:szCs w:val="18"/>
                <w:highlight w:val="none"/>
              </w:rPr>
              <w:t>级奖项、资质、荣誉、认定或证书。（</w:t>
            </w:r>
            <w:r>
              <w:rPr>
                <w:rFonts w:hint="eastAsia" w:ascii="宋体" w:hAnsi="宋体" w:cs="宋体"/>
                <w:sz w:val="18"/>
                <w:szCs w:val="18"/>
                <w:highlight w:val="none"/>
                <w:lang w:val="en-US" w:eastAsia="zh-CN"/>
              </w:rPr>
              <w:t>2</w:t>
            </w:r>
            <w:r>
              <w:rPr>
                <w:rFonts w:hint="eastAsia" w:ascii="宋体" w:hAnsi="宋体" w:eastAsia="宋体" w:cs="宋体"/>
                <w:sz w:val="18"/>
                <w:szCs w:val="18"/>
                <w:highlight w:val="none"/>
              </w:rPr>
              <w:t>分）</w:t>
            </w:r>
          </w:p>
          <w:p w14:paraId="4F349093">
            <w:pPr>
              <w:keepNext w:val="0"/>
              <w:keepLines w:val="0"/>
              <w:widowControl w:val="0"/>
              <w:numPr>
                <w:ilvl w:val="0"/>
                <w:numId w:val="0"/>
              </w:numPr>
              <w:suppressLineNumbers w:val="0"/>
              <w:tabs>
                <w:tab w:val="center" w:pos="4201"/>
                <w:tab w:val="right" w:leader="dot" w:pos="9298"/>
              </w:tabs>
              <w:autoSpaceDE w:val="0"/>
              <w:autoSpaceDN w:val="0"/>
              <w:spacing w:before="0" w:beforeAutospacing="0" w:after="0" w:afterAutospacing="0"/>
              <w:ind w:left="0" w:leftChars="0" w:right="0"/>
              <w:jc w:val="left"/>
              <w:rPr>
                <w:rFonts w:hint="default" w:ascii="宋体" w:hAnsi="宋体" w:eastAsia="宋体" w:cs="宋体"/>
                <w:sz w:val="18"/>
                <w:szCs w:val="18"/>
                <w:highlight w:val="none"/>
                <w:lang w:val="en-US" w:eastAsia="zh-CN" w:bidi="ar-SA"/>
              </w:rPr>
            </w:pPr>
            <w:r>
              <w:rPr>
                <w:rFonts w:hint="eastAsia" w:ascii="宋体" w:hAnsi="宋体" w:cs="宋体"/>
                <w:sz w:val="18"/>
                <w:szCs w:val="18"/>
                <w:highlight w:val="none"/>
                <w:lang w:val="en-US" w:eastAsia="zh-CN"/>
              </w:rPr>
              <w:t>e.</w:t>
            </w:r>
            <w:r>
              <w:rPr>
                <w:rFonts w:hint="eastAsia" w:ascii="宋体" w:hAnsi="宋体" w:eastAsia="宋体" w:cs="宋体"/>
                <w:sz w:val="18"/>
                <w:szCs w:val="18"/>
                <w:highlight w:val="none"/>
              </w:rPr>
              <w:t>在满足上述基础上，每多一项省部级、市级、区级资质荣誉，分别加1分、0.5分、0.3分</w:t>
            </w:r>
          </w:p>
        </w:tc>
        <w:tc>
          <w:tcPr>
            <w:tcW w:w="397" w:type="pct"/>
            <w:tcBorders>
              <w:tl2br w:val="nil"/>
              <w:tr2bl w:val="nil"/>
            </w:tcBorders>
            <w:vAlign w:val="center"/>
          </w:tcPr>
          <w:p w14:paraId="323770DF">
            <w:pPr>
              <w:keepNext w:val="0"/>
              <w:keepLines w:val="0"/>
              <w:widowControl/>
              <w:suppressLineNumbers w:val="0"/>
              <w:spacing w:before="0" w:beforeAutospacing="0" w:after="0" w:afterAutospacing="0"/>
              <w:ind w:left="0" w:right="0"/>
              <w:jc w:val="center"/>
              <w:textAlignment w:val="center"/>
              <w:rPr>
                <w:rFonts w:hint="default" w:ascii="宋体" w:hAnsi="宋体" w:cs="宋体"/>
                <w:sz w:val="18"/>
                <w:szCs w:val="18"/>
                <w:highlight w:val="none"/>
              </w:rPr>
            </w:pPr>
            <w:r>
              <w:rPr>
                <w:rFonts w:hint="eastAsia" w:ascii="宋体" w:hAnsi="宋体" w:cs="宋体"/>
                <w:color w:val="000000"/>
                <w:kern w:val="0"/>
                <w:sz w:val="18"/>
                <w:szCs w:val="18"/>
                <w:highlight w:val="none"/>
                <w:lang w:bidi="ar"/>
              </w:rPr>
              <w:t>5</w:t>
            </w:r>
          </w:p>
        </w:tc>
        <w:tc>
          <w:tcPr>
            <w:tcW w:w="423" w:type="pct"/>
            <w:tcBorders>
              <w:tl2br w:val="nil"/>
              <w:tr2bl w:val="nil"/>
            </w:tcBorders>
            <w:vAlign w:val="center"/>
          </w:tcPr>
          <w:p w14:paraId="6010EFF3">
            <w:pPr>
              <w:keepNext w:val="0"/>
              <w:keepLines w:val="0"/>
              <w:suppressLineNumbers w:val="0"/>
              <w:autoSpaceDE w:val="0"/>
              <w:autoSpaceDN w:val="0"/>
              <w:spacing w:before="0" w:beforeAutospacing="0" w:after="0" w:afterAutospacing="0"/>
              <w:ind w:left="0" w:right="0"/>
              <w:jc w:val="center"/>
              <w:rPr>
                <w:rFonts w:hint="default" w:ascii="宋体"/>
                <w:sz w:val="18"/>
                <w:szCs w:val="18"/>
                <w:highlight w:val="none"/>
              </w:rPr>
            </w:pPr>
          </w:p>
        </w:tc>
      </w:tr>
    </w:tbl>
    <w:p w14:paraId="779188F3">
      <w:pPr>
        <w:numPr>
          <w:ilvl w:val="1"/>
          <w:numId w:val="0"/>
        </w:numPr>
        <w:spacing w:before="312" w:beforeLines="100" w:after="156" w:afterLines="50"/>
        <w:jc w:val="center"/>
        <w:rPr>
          <w:rFonts w:hint="eastAsia" w:ascii="宋体" w:hAnsi="宋体" w:eastAsia="宋体" w:cs="宋体"/>
          <w:szCs w:val="21"/>
          <w:highlight w:val="none"/>
          <w:lang w:eastAsia="zh-CN"/>
        </w:rPr>
      </w:pPr>
      <w:r>
        <w:rPr>
          <w:rFonts w:hint="eastAsia" w:ascii="黑体" w:hAnsi="黑体" w:eastAsia="黑体" w:cs="黑体"/>
          <w:szCs w:val="21"/>
          <w:highlight w:val="none"/>
        </w:rPr>
        <w:t>表</w:t>
      </w:r>
      <w:r>
        <w:rPr>
          <w:rFonts w:hint="eastAsia" w:ascii="黑体" w:hAnsi="黑体" w:eastAsia="黑体" w:cs="黑体"/>
          <w:szCs w:val="21"/>
          <w:highlight w:val="none"/>
          <w:lang w:val="en-US" w:eastAsia="zh-CN"/>
        </w:rPr>
        <w:t>E</w:t>
      </w:r>
      <w:r>
        <w:rPr>
          <w:rFonts w:hint="eastAsia" w:ascii="黑体" w:hAnsi="黑体" w:eastAsia="黑体" w:cs="黑体"/>
          <w:szCs w:val="21"/>
          <w:highlight w:val="none"/>
        </w:rPr>
        <w:t>.2</w:t>
      </w:r>
      <w:r>
        <w:rPr>
          <w:rFonts w:hint="eastAsia" w:ascii="黑体" w:hAnsi="黑体" w:eastAsia="黑体" w:cs="黑体"/>
          <w:szCs w:val="21"/>
          <w:highlight w:val="none"/>
          <w:lang w:val="en-US" w:eastAsia="zh-CN"/>
        </w:rPr>
        <w:t xml:space="preserve">  温室气体控制领域</w:t>
      </w:r>
      <w:r>
        <w:rPr>
          <w:rFonts w:hint="eastAsia" w:ascii="黑体" w:hAnsi="黑体" w:eastAsia="黑体" w:cs="黑体"/>
          <w:szCs w:val="21"/>
          <w:highlight w:val="none"/>
          <w:lang w:eastAsia="zh-CN"/>
        </w:rPr>
        <w:t>绿色低碳产业</w:t>
      </w:r>
      <w:r>
        <w:rPr>
          <w:rFonts w:hint="eastAsia" w:ascii="黑体" w:hAnsi="黑体" w:eastAsia="黑体" w:cs="黑体"/>
          <w:szCs w:val="21"/>
          <w:highlight w:val="none"/>
          <w:lang w:val="en-US" w:eastAsia="zh-CN"/>
        </w:rPr>
        <w:t>企业</w:t>
      </w:r>
      <w:r>
        <w:rPr>
          <w:rFonts w:hint="eastAsia" w:ascii="黑体" w:hAnsi="黑体" w:eastAsia="黑体" w:cs="黑体"/>
          <w:szCs w:val="21"/>
          <w:highlight w:val="none"/>
        </w:rPr>
        <w:t>认定综合评价指标</w:t>
      </w:r>
      <w:r>
        <w:rPr>
          <w:rFonts w:hint="eastAsia" w:ascii="宋体" w:hAnsi="宋体" w:eastAsia="宋体" w:cs="宋体"/>
          <w:szCs w:val="21"/>
          <w:highlight w:val="none"/>
          <w:lang w:eastAsia="zh-CN"/>
        </w:rPr>
        <w:t>（</w:t>
      </w:r>
      <w:r>
        <w:rPr>
          <w:rFonts w:hint="eastAsia" w:ascii="宋体" w:hAnsi="宋体" w:eastAsia="宋体" w:cs="宋体"/>
          <w:szCs w:val="21"/>
          <w:highlight w:val="none"/>
          <w:lang w:val="en-US" w:eastAsia="zh-CN"/>
        </w:rPr>
        <w:t>续</w:t>
      </w:r>
      <w:r>
        <w:rPr>
          <w:rFonts w:hint="eastAsia" w:ascii="宋体" w:hAnsi="宋体" w:eastAsia="宋体" w:cs="宋体"/>
          <w:szCs w:val="21"/>
          <w:highlight w:val="none"/>
          <w:lang w:eastAsia="zh-CN"/>
        </w:rPr>
        <w:t>）</w:t>
      </w:r>
    </w:p>
    <w:tbl>
      <w:tblPr>
        <w:tblStyle w:val="37"/>
        <w:tblpPr w:leftFromText="180" w:rightFromText="180" w:vertAnchor="text" w:tblpXSpec="center" w:tblpY="1"/>
        <w:tblOverlap w:val="never"/>
        <w:tblW w:w="4994" w:type="pct"/>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698"/>
        <w:gridCol w:w="629"/>
        <w:gridCol w:w="968"/>
        <w:gridCol w:w="2346"/>
        <w:gridCol w:w="3369"/>
        <w:gridCol w:w="790"/>
        <w:gridCol w:w="759"/>
      </w:tblGrid>
      <w:tr w14:paraId="30BEE86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365" w:type="pct"/>
            <w:tcBorders>
              <w:bottom w:val="single" w:color="auto" w:sz="12" w:space="0"/>
            </w:tcBorders>
            <w:vAlign w:val="center"/>
          </w:tcPr>
          <w:p w14:paraId="2B096B51">
            <w:pPr>
              <w:keepNext w:val="0"/>
              <w:keepLines w:val="0"/>
              <w:suppressLineNumbers w:val="0"/>
              <w:autoSpaceDE w:val="0"/>
              <w:autoSpaceDN w:val="0"/>
              <w:spacing w:before="0" w:beforeAutospacing="0" w:after="0" w:afterAutospacing="0"/>
              <w:ind w:left="0" w:right="0"/>
              <w:jc w:val="center"/>
              <w:rPr>
                <w:rFonts w:hint="eastAsia" w:ascii="宋体" w:hAnsi="Times New Roman" w:eastAsia="宋体" w:cs="Times New Roman"/>
                <w:b/>
                <w:kern w:val="2"/>
                <w:sz w:val="18"/>
                <w:szCs w:val="18"/>
                <w:highlight w:val="none"/>
                <w:lang w:val="en-US" w:eastAsia="zh-CN" w:bidi="ar-SA"/>
              </w:rPr>
            </w:pPr>
            <w:r>
              <w:rPr>
                <w:rFonts w:hint="default" w:ascii="宋体"/>
                <w:b/>
                <w:sz w:val="18"/>
                <w:szCs w:val="18"/>
                <w:highlight w:val="none"/>
              </w:rPr>
              <w:t>一级指标</w:t>
            </w:r>
          </w:p>
        </w:tc>
        <w:tc>
          <w:tcPr>
            <w:tcW w:w="329" w:type="pct"/>
            <w:tcBorders>
              <w:bottom w:val="single" w:color="auto" w:sz="12" w:space="0"/>
            </w:tcBorders>
            <w:vAlign w:val="center"/>
          </w:tcPr>
          <w:p w14:paraId="752782FD">
            <w:pPr>
              <w:keepNext w:val="0"/>
              <w:keepLines w:val="0"/>
              <w:suppressLineNumbers w:val="0"/>
              <w:autoSpaceDE w:val="0"/>
              <w:autoSpaceDN w:val="0"/>
              <w:spacing w:before="0" w:beforeAutospacing="0" w:after="0" w:afterAutospacing="0"/>
              <w:ind w:left="0" w:right="0"/>
              <w:jc w:val="center"/>
              <w:rPr>
                <w:rFonts w:hint="eastAsia" w:ascii="宋体" w:hAnsi="Times New Roman" w:eastAsia="宋体" w:cs="Times New Roman"/>
                <w:b/>
                <w:kern w:val="2"/>
                <w:sz w:val="18"/>
                <w:szCs w:val="18"/>
                <w:highlight w:val="none"/>
                <w:lang w:val="en-US" w:eastAsia="zh-CN" w:bidi="ar-SA"/>
              </w:rPr>
            </w:pPr>
            <w:r>
              <w:rPr>
                <w:rFonts w:hint="default" w:ascii="宋体"/>
                <w:b/>
                <w:sz w:val="18"/>
                <w:szCs w:val="18"/>
                <w:highlight w:val="none"/>
              </w:rPr>
              <w:t>二级指标</w:t>
            </w:r>
          </w:p>
        </w:tc>
        <w:tc>
          <w:tcPr>
            <w:tcW w:w="506" w:type="pct"/>
            <w:tcBorders>
              <w:bottom w:val="single" w:color="auto" w:sz="12" w:space="0"/>
            </w:tcBorders>
            <w:vAlign w:val="center"/>
          </w:tcPr>
          <w:p w14:paraId="2467DA45">
            <w:pPr>
              <w:keepNext w:val="0"/>
              <w:keepLines w:val="0"/>
              <w:suppressLineNumbers w:val="0"/>
              <w:autoSpaceDE w:val="0"/>
              <w:autoSpaceDN w:val="0"/>
              <w:spacing w:before="0" w:beforeAutospacing="0" w:after="0" w:afterAutospacing="0"/>
              <w:ind w:left="0" w:right="0"/>
              <w:jc w:val="center"/>
              <w:rPr>
                <w:rFonts w:hint="eastAsia" w:ascii="宋体" w:hAnsi="Times New Roman" w:eastAsia="宋体" w:cs="Times New Roman"/>
                <w:b/>
                <w:kern w:val="2"/>
                <w:sz w:val="18"/>
                <w:szCs w:val="18"/>
                <w:highlight w:val="none"/>
                <w:lang w:val="en-US" w:eastAsia="zh-CN" w:bidi="ar-SA"/>
              </w:rPr>
            </w:pPr>
            <w:r>
              <w:rPr>
                <w:rFonts w:hint="default" w:ascii="宋体"/>
                <w:b/>
                <w:sz w:val="18"/>
                <w:szCs w:val="18"/>
                <w:highlight w:val="none"/>
              </w:rPr>
              <w:t>三级指标</w:t>
            </w:r>
          </w:p>
        </w:tc>
        <w:tc>
          <w:tcPr>
            <w:tcW w:w="1227" w:type="pct"/>
            <w:tcBorders>
              <w:bottom w:val="single" w:color="auto" w:sz="12" w:space="0"/>
            </w:tcBorders>
            <w:vAlign w:val="center"/>
          </w:tcPr>
          <w:p w14:paraId="05D19798">
            <w:pPr>
              <w:keepNext w:val="0"/>
              <w:keepLines w:val="0"/>
              <w:suppressLineNumbers w:val="0"/>
              <w:autoSpaceDE w:val="0"/>
              <w:autoSpaceDN w:val="0"/>
              <w:spacing w:before="0" w:beforeAutospacing="0" w:after="0" w:afterAutospacing="0"/>
              <w:ind w:left="0" w:right="0"/>
              <w:jc w:val="center"/>
              <w:rPr>
                <w:rFonts w:hint="eastAsia" w:ascii="宋体" w:hAnsi="Times New Roman" w:eastAsia="宋体" w:cs="Times New Roman"/>
                <w:b/>
                <w:kern w:val="2"/>
                <w:sz w:val="18"/>
                <w:szCs w:val="18"/>
                <w:highlight w:val="none"/>
                <w:lang w:val="en-US" w:eastAsia="zh-CN" w:bidi="ar-SA"/>
              </w:rPr>
            </w:pPr>
            <w:r>
              <w:rPr>
                <w:rFonts w:hint="eastAsia" w:ascii="宋体"/>
                <w:b/>
                <w:sz w:val="18"/>
                <w:szCs w:val="18"/>
                <w:highlight w:val="none"/>
              </w:rPr>
              <w:t>评价要求</w:t>
            </w:r>
          </w:p>
        </w:tc>
        <w:tc>
          <w:tcPr>
            <w:tcW w:w="1762" w:type="pct"/>
            <w:tcBorders>
              <w:bottom w:val="single" w:color="auto" w:sz="12" w:space="0"/>
            </w:tcBorders>
            <w:vAlign w:val="center"/>
          </w:tcPr>
          <w:p w14:paraId="2DC4D20F">
            <w:pPr>
              <w:keepNext w:val="0"/>
              <w:keepLines w:val="0"/>
              <w:suppressLineNumbers w:val="0"/>
              <w:autoSpaceDE w:val="0"/>
              <w:autoSpaceDN w:val="0"/>
              <w:spacing w:before="0" w:beforeAutospacing="0" w:after="0" w:afterAutospacing="0"/>
              <w:ind w:left="0" w:right="0"/>
              <w:jc w:val="center"/>
              <w:rPr>
                <w:rFonts w:hint="eastAsia" w:ascii="宋体" w:hAnsi="Times New Roman" w:eastAsia="宋体" w:cs="Times New Roman"/>
                <w:b/>
                <w:kern w:val="2"/>
                <w:sz w:val="18"/>
                <w:szCs w:val="18"/>
                <w:highlight w:val="none"/>
                <w:lang w:val="en-US" w:eastAsia="zh-CN" w:bidi="ar-SA"/>
              </w:rPr>
            </w:pPr>
            <w:r>
              <w:rPr>
                <w:rFonts w:hint="eastAsia" w:ascii="宋体"/>
                <w:b/>
                <w:sz w:val="18"/>
                <w:szCs w:val="18"/>
                <w:highlight w:val="none"/>
              </w:rPr>
              <w:t>评分标准</w:t>
            </w:r>
          </w:p>
        </w:tc>
        <w:tc>
          <w:tcPr>
            <w:tcW w:w="413" w:type="pct"/>
            <w:tcBorders>
              <w:bottom w:val="single" w:color="auto" w:sz="12" w:space="0"/>
            </w:tcBorders>
            <w:vAlign w:val="center"/>
          </w:tcPr>
          <w:p w14:paraId="62428389">
            <w:pPr>
              <w:keepNext w:val="0"/>
              <w:keepLines w:val="0"/>
              <w:suppressLineNumbers w:val="0"/>
              <w:autoSpaceDE w:val="0"/>
              <w:autoSpaceDN w:val="0"/>
              <w:spacing w:before="0" w:beforeAutospacing="0" w:after="0" w:afterAutospacing="0"/>
              <w:ind w:left="0" w:right="0"/>
              <w:rPr>
                <w:rFonts w:hint="eastAsia" w:ascii="宋体" w:hAnsi="Times New Roman" w:eastAsia="宋体" w:cs="Times New Roman"/>
                <w:b/>
                <w:kern w:val="2"/>
                <w:sz w:val="18"/>
                <w:szCs w:val="18"/>
                <w:highlight w:val="none"/>
                <w:lang w:val="en-US" w:eastAsia="zh-CN" w:bidi="ar-SA"/>
              </w:rPr>
            </w:pPr>
            <w:r>
              <w:rPr>
                <w:rFonts w:hint="default" w:ascii="宋体"/>
                <w:b/>
                <w:sz w:val="18"/>
                <w:szCs w:val="18"/>
                <w:highlight w:val="none"/>
              </w:rPr>
              <w:t>分值</w:t>
            </w:r>
            <w:r>
              <w:rPr>
                <w:rFonts w:hint="eastAsia" w:ascii="宋体"/>
                <w:b/>
                <w:sz w:val="18"/>
                <w:szCs w:val="18"/>
                <w:highlight w:val="none"/>
              </w:rPr>
              <w:t>（分）</w:t>
            </w:r>
          </w:p>
        </w:tc>
        <w:tc>
          <w:tcPr>
            <w:tcW w:w="397" w:type="pct"/>
            <w:tcBorders>
              <w:bottom w:val="single" w:color="auto" w:sz="12" w:space="0"/>
            </w:tcBorders>
            <w:vAlign w:val="center"/>
          </w:tcPr>
          <w:p w14:paraId="72C68CF1">
            <w:pPr>
              <w:keepNext w:val="0"/>
              <w:keepLines w:val="0"/>
              <w:suppressLineNumbers w:val="0"/>
              <w:autoSpaceDE w:val="0"/>
              <w:autoSpaceDN w:val="0"/>
              <w:spacing w:before="0" w:beforeAutospacing="0" w:after="0" w:afterAutospacing="0"/>
              <w:ind w:left="0" w:right="0"/>
              <w:rPr>
                <w:rFonts w:hint="default" w:ascii="宋体" w:hAnsi="Times New Roman" w:eastAsia="宋体" w:cs="Times New Roman"/>
                <w:b/>
                <w:kern w:val="2"/>
                <w:sz w:val="18"/>
                <w:szCs w:val="18"/>
                <w:highlight w:val="none"/>
                <w:lang w:val="en-US" w:eastAsia="zh-CN" w:bidi="ar-SA"/>
              </w:rPr>
            </w:pPr>
            <w:r>
              <w:rPr>
                <w:rFonts w:hint="default" w:ascii="宋体"/>
                <w:b/>
                <w:sz w:val="18"/>
                <w:szCs w:val="18"/>
                <w:highlight w:val="none"/>
              </w:rPr>
              <w:t>得分</w:t>
            </w:r>
            <w:r>
              <w:rPr>
                <w:rFonts w:hint="eastAsia" w:ascii="宋体"/>
                <w:b/>
                <w:sz w:val="18"/>
                <w:szCs w:val="18"/>
                <w:highlight w:val="none"/>
              </w:rPr>
              <w:t>（分）</w:t>
            </w:r>
          </w:p>
        </w:tc>
      </w:tr>
      <w:tr w14:paraId="3DE83A8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90" w:hRule="atLeast"/>
        </w:trPr>
        <w:tc>
          <w:tcPr>
            <w:tcW w:w="365" w:type="pct"/>
            <w:vMerge w:val="restart"/>
            <w:tcBorders>
              <w:top w:val="single" w:color="auto" w:sz="12" w:space="0"/>
              <w:tl2br w:val="nil"/>
              <w:tr2bl w:val="nil"/>
            </w:tcBorders>
            <w:vAlign w:val="center"/>
          </w:tcPr>
          <w:p w14:paraId="238D5D3F">
            <w:pPr>
              <w:keepNext w:val="0"/>
              <w:keepLines w:val="0"/>
              <w:suppressLineNumbers w:val="0"/>
              <w:autoSpaceDE w:val="0"/>
              <w:autoSpaceDN w:val="0"/>
              <w:spacing w:before="0" w:beforeAutospacing="0" w:after="0" w:afterAutospacing="0"/>
              <w:ind w:left="0" w:right="0"/>
              <w:jc w:val="center"/>
              <w:rPr>
                <w:rFonts w:hint="default" w:ascii="宋体" w:hAnsi="宋体" w:cs="宋体"/>
                <w:sz w:val="18"/>
                <w:szCs w:val="18"/>
                <w:highlight w:val="none"/>
              </w:rPr>
            </w:pPr>
            <w:r>
              <w:rPr>
                <w:rFonts w:hint="eastAsia" w:ascii="宋体" w:hAnsi="宋体" w:cs="宋体"/>
                <w:sz w:val="18"/>
                <w:szCs w:val="18"/>
                <w:highlight w:val="none"/>
              </w:rPr>
              <w:t>环境表现</w:t>
            </w:r>
          </w:p>
        </w:tc>
        <w:tc>
          <w:tcPr>
            <w:tcW w:w="835" w:type="pct"/>
            <w:gridSpan w:val="2"/>
            <w:tcBorders>
              <w:top w:val="single" w:color="auto" w:sz="12" w:space="0"/>
              <w:tl2br w:val="nil"/>
              <w:tr2bl w:val="nil"/>
            </w:tcBorders>
            <w:vAlign w:val="center"/>
          </w:tcPr>
          <w:p w14:paraId="7F488F06">
            <w:pPr>
              <w:keepNext w:val="0"/>
              <w:keepLines w:val="0"/>
              <w:suppressLineNumbers w:val="0"/>
              <w:autoSpaceDE w:val="0"/>
              <w:autoSpaceDN w:val="0"/>
              <w:spacing w:before="0" w:beforeAutospacing="0" w:after="0" w:afterAutospacing="0"/>
              <w:ind w:left="0" w:right="0"/>
              <w:jc w:val="center"/>
              <w:rPr>
                <w:rFonts w:hint="eastAsia" w:ascii="宋体" w:hAnsi="宋体" w:cs="宋体"/>
                <w:sz w:val="18"/>
                <w:szCs w:val="18"/>
                <w:highlight w:val="none"/>
              </w:rPr>
            </w:pPr>
            <w:r>
              <w:rPr>
                <w:rFonts w:hint="eastAsia" w:ascii="宋体" w:hAnsi="宋体" w:cs="宋体"/>
                <w:sz w:val="18"/>
                <w:szCs w:val="18"/>
                <w:highlight w:val="none"/>
              </w:rPr>
              <w:t>温室气体排放</w:t>
            </w:r>
          </w:p>
          <w:p w14:paraId="0922673D">
            <w:pPr>
              <w:keepNext w:val="0"/>
              <w:keepLines w:val="0"/>
              <w:suppressLineNumbers w:val="0"/>
              <w:autoSpaceDE w:val="0"/>
              <w:autoSpaceDN w:val="0"/>
              <w:spacing w:before="0" w:beforeAutospacing="0" w:after="0" w:afterAutospacing="0"/>
              <w:ind w:left="0" w:right="0"/>
              <w:jc w:val="center"/>
              <w:rPr>
                <w:rFonts w:hint="eastAsia" w:ascii="宋体" w:hAnsi="宋体" w:eastAsia="宋体" w:cs="宋体"/>
                <w:kern w:val="2"/>
                <w:sz w:val="18"/>
                <w:szCs w:val="18"/>
                <w:highlight w:val="none"/>
                <w:lang w:val="en-US" w:eastAsia="zh-CN" w:bidi="ar-SA"/>
              </w:rPr>
            </w:pPr>
            <w:r>
              <w:rPr>
                <w:rFonts w:hint="eastAsia" w:ascii="宋体" w:hAnsi="宋体" w:cs="宋体"/>
                <w:sz w:val="18"/>
                <w:szCs w:val="18"/>
                <w:highlight w:val="none"/>
              </w:rPr>
              <w:t>水平</w:t>
            </w:r>
          </w:p>
        </w:tc>
        <w:tc>
          <w:tcPr>
            <w:tcW w:w="1227" w:type="pct"/>
            <w:tcBorders>
              <w:top w:val="single" w:color="auto" w:sz="12" w:space="0"/>
              <w:tl2br w:val="nil"/>
              <w:tr2bl w:val="nil"/>
            </w:tcBorders>
            <w:vAlign w:val="center"/>
          </w:tcPr>
          <w:p w14:paraId="40707A9A">
            <w:pPr>
              <w:pStyle w:val="26"/>
              <w:keepNext w:val="0"/>
              <w:keepLines w:val="0"/>
              <w:widowControl/>
              <w:suppressLineNumbers w:val="0"/>
              <w:spacing w:before="0" w:beforeAutospacing="0" w:after="0" w:afterAutospacing="0"/>
              <w:ind w:left="0" w:right="0" w:firstLine="0" w:firstLineChars="0"/>
              <w:rPr>
                <w:rFonts w:hint="eastAsia" w:ascii="宋体" w:hAnsi="宋体" w:eastAsia="宋体" w:cs="宋体"/>
                <w:sz w:val="18"/>
                <w:szCs w:val="18"/>
                <w:highlight w:val="none"/>
                <w:lang w:val="en-US" w:eastAsia="zh-CN" w:bidi="ar-SA"/>
              </w:rPr>
            </w:pPr>
            <w:r>
              <w:rPr>
                <w:rFonts w:hint="eastAsia" w:hAnsi="宋体" w:cs="宋体"/>
                <w:sz w:val="18"/>
                <w:szCs w:val="18"/>
                <w:highlight w:val="none"/>
              </w:rPr>
              <w:t>企事业单位自身生产运营过程向环境排放温室气体的情况，碳排放强度为碳排放量与生产活动产出数据的比值，碳排放量宜以碳排放核查机构出具的报告数据为准</w:t>
            </w:r>
          </w:p>
        </w:tc>
        <w:tc>
          <w:tcPr>
            <w:tcW w:w="1762" w:type="pct"/>
            <w:tcBorders>
              <w:top w:val="single" w:color="auto" w:sz="12" w:space="0"/>
              <w:tl2br w:val="nil"/>
              <w:tr2bl w:val="nil"/>
            </w:tcBorders>
            <w:vAlign w:val="center"/>
          </w:tcPr>
          <w:p w14:paraId="31F7682B">
            <w:pPr>
              <w:keepNext w:val="0"/>
              <w:keepLines w:val="0"/>
              <w:suppressLineNumbers w:val="0"/>
              <w:autoSpaceDE w:val="0"/>
              <w:autoSpaceDN w:val="0"/>
              <w:spacing w:before="0" w:beforeAutospacing="0" w:after="0" w:afterAutospacing="0"/>
              <w:ind w:left="0" w:right="0" w:firstLine="0" w:firstLineChars="0"/>
              <w:jc w:val="both"/>
              <w:rPr>
                <w:rFonts w:hint="default" w:ascii="宋体" w:hAnsi="宋体" w:eastAsia="宋体" w:cs="宋体"/>
                <w:sz w:val="18"/>
                <w:szCs w:val="18"/>
                <w:highlight w:val="none"/>
                <w:lang w:val="en-US" w:eastAsia="zh-CN" w:bidi="ar-SA"/>
              </w:rPr>
            </w:pPr>
            <w:r>
              <w:rPr>
                <w:rFonts w:hint="eastAsia" w:ascii="宋体" w:hAnsi="宋体" w:eastAsia="宋体" w:cs="宋体"/>
                <w:sz w:val="18"/>
                <w:szCs w:val="18"/>
                <w:highlight w:val="none"/>
                <w:lang w:val="en-US" w:eastAsia="zh-CN" w:bidi="ar-SA"/>
              </w:rPr>
              <w:t>a.生产制造类企事业单位碳排放强度相较上一年度的下降比例大于等于6%。建设运营类企事业单位碳排放强度相较上一年度的下降比例大于等于3%。（4分）</w:t>
            </w:r>
          </w:p>
          <w:p w14:paraId="377B4DE6">
            <w:pPr>
              <w:keepNext w:val="0"/>
              <w:keepLines w:val="0"/>
              <w:suppressLineNumbers w:val="0"/>
              <w:autoSpaceDE w:val="0"/>
              <w:autoSpaceDN w:val="0"/>
              <w:spacing w:before="0" w:beforeAutospacing="0" w:after="0" w:afterAutospacing="0"/>
              <w:ind w:left="0" w:right="0" w:firstLine="0" w:firstLineChars="0"/>
              <w:jc w:val="both"/>
              <w:rPr>
                <w:rFonts w:hint="default" w:ascii="宋体" w:hAnsi="宋体" w:eastAsia="宋体" w:cs="宋体"/>
                <w:sz w:val="18"/>
                <w:szCs w:val="18"/>
                <w:highlight w:val="none"/>
                <w:lang w:val="en-US" w:eastAsia="zh-CN" w:bidi="ar-SA"/>
              </w:rPr>
            </w:pPr>
            <w:r>
              <w:rPr>
                <w:rFonts w:hint="eastAsia" w:ascii="宋体" w:hAnsi="宋体" w:eastAsia="宋体" w:cs="宋体"/>
                <w:sz w:val="18"/>
                <w:szCs w:val="18"/>
                <w:highlight w:val="none"/>
                <w:lang w:val="en-US" w:eastAsia="zh-CN" w:bidi="ar-SA"/>
              </w:rPr>
              <w:t>b.生产制造类企事业单位碳排放强度相较上一年度的下降比例大于等于3%、小于6%。建设运营类企事业单位碳排放强度相较上一年度的下降比例大于等于1%、小于3%。（2分）</w:t>
            </w:r>
          </w:p>
          <w:p w14:paraId="7A80BDBA">
            <w:pPr>
              <w:pStyle w:val="26"/>
              <w:keepNext w:val="0"/>
              <w:keepLines w:val="0"/>
              <w:widowControl/>
              <w:suppressLineNumbers w:val="0"/>
              <w:spacing w:before="0" w:beforeAutospacing="0" w:after="0" w:afterAutospacing="0"/>
              <w:ind w:left="0" w:right="0" w:firstLine="0" w:firstLineChars="0"/>
              <w:jc w:val="left"/>
              <w:rPr>
                <w:rFonts w:hint="eastAsia" w:ascii="宋体" w:hAnsi="宋体" w:eastAsia="宋体" w:cs="宋体"/>
                <w:sz w:val="18"/>
                <w:szCs w:val="18"/>
                <w:highlight w:val="none"/>
                <w:lang w:val="en-US" w:eastAsia="zh-CN" w:bidi="ar-SA"/>
              </w:rPr>
            </w:pPr>
            <w:r>
              <w:rPr>
                <w:rFonts w:hint="eastAsia" w:ascii="宋体" w:hAnsi="宋体" w:eastAsia="宋体" w:cs="宋体"/>
                <w:sz w:val="18"/>
                <w:szCs w:val="18"/>
                <w:highlight w:val="none"/>
                <w:lang w:val="en-US" w:eastAsia="zh-CN" w:bidi="ar-SA"/>
              </w:rPr>
              <w:t>c.未满足上述任何一项。（0分）</w:t>
            </w:r>
          </w:p>
        </w:tc>
        <w:tc>
          <w:tcPr>
            <w:tcW w:w="413" w:type="pct"/>
            <w:tcBorders>
              <w:top w:val="single" w:color="auto" w:sz="12" w:space="0"/>
              <w:tl2br w:val="nil"/>
              <w:tr2bl w:val="nil"/>
            </w:tcBorders>
            <w:vAlign w:val="center"/>
          </w:tcPr>
          <w:p w14:paraId="59019E86">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kern w:val="2"/>
                <w:sz w:val="18"/>
                <w:szCs w:val="18"/>
                <w:highlight w:val="none"/>
                <w:lang w:val="en-US" w:eastAsia="zh-CN" w:bidi="ar-SA"/>
              </w:rPr>
            </w:pPr>
            <w:r>
              <w:rPr>
                <w:rFonts w:hint="eastAsia" w:ascii="宋体" w:hAnsi="宋体" w:cs="宋体"/>
                <w:color w:val="000000"/>
                <w:kern w:val="0"/>
                <w:sz w:val="18"/>
                <w:szCs w:val="18"/>
                <w:highlight w:val="none"/>
                <w:lang w:bidi="ar"/>
              </w:rPr>
              <w:t>4</w:t>
            </w:r>
          </w:p>
        </w:tc>
        <w:tc>
          <w:tcPr>
            <w:tcW w:w="397" w:type="pct"/>
            <w:tcBorders>
              <w:top w:val="single" w:color="auto" w:sz="12" w:space="0"/>
              <w:tl2br w:val="nil"/>
              <w:tr2bl w:val="nil"/>
            </w:tcBorders>
            <w:vAlign w:val="center"/>
          </w:tcPr>
          <w:p w14:paraId="500D3243">
            <w:pPr>
              <w:keepNext w:val="0"/>
              <w:keepLines w:val="0"/>
              <w:suppressLineNumbers w:val="0"/>
              <w:autoSpaceDE w:val="0"/>
              <w:autoSpaceDN w:val="0"/>
              <w:spacing w:before="0" w:beforeAutospacing="0" w:after="0" w:afterAutospacing="0"/>
              <w:ind w:left="0" w:right="0"/>
              <w:jc w:val="center"/>
              <w:rPr>
                <w:rFonts w:hint="default" w:ascii="宋体"/>
                <w:sz w:val="18"/>
                <w:szCs w:val="18"/>
                <w:highlight w:val="none"/>
              </w:rPr>
            </w:pPr>
          </w:p>
        </w:tc>
      </w:tr>
      <w:tr w14:paraId="158C33C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93" w:hRule="atLeast"/>
        </w:trPr>
        <w:tc>
          <w:tcPr>
            <w:tcW w:w="365" w:type="pct"/>
            <w:vMerge w:val="continue"/>
            <w:tcBorders>
              <w:tl2br w:val="nil"/>
              <w:tr2bl w:val="nil"/>
            </w:tcBorders>
            <w:vAlign w:val="center"/>
          </w:tcPr>
          <w:p w14:paraId="5AAA0130">
            <w:pPr>
              <w:keepNext w:val="0"/>
              <w:keepLines w:val="0"/>
              <w:suppressLineNumbers w:val="0"/>
              <w:autoSpaceDE w:val="0"/>
              <w:autoSpaceDN w:val="0"/>
              <w:spacing w:before="0" w:beforeAutospacing="0" w:after="0" w:afterAutospacing="0"/>
              <w:ind w:left="0" w:right="0"/>
              <w:jc w:val="center"/>
              <w:rPr>
                <w:rFonts w:hint="default" w:ascii="宋体" w:hAnsi="宋体" w:cs="宋体"/>
                <w:sz w:val="18"/>
                <w:szCs w:val="18"/>
                <w:highlight w:val="none"/>
              </w:rPr>
            </w:pPr>
          </w:p>
        </w:tc>
        <w:tc>
          <w:tcPr>
            <w:tcW w:w="835" w:type="pct"/>
            <w:gridSpan w:val="2"/>
            <w:vMerge w:val="restart"/>
            <w:tcBorders>
              <w:tl2br w:val="nil"/>
              <w:tr2bl w:val="nil"/>
            </w:tcBorders>
            <w:vAlign w:val="center"/>
          </w:tcPr>
          <w:p w14:paraId="69822C51">
            <w:pPr>
              <w:keepNext w:val="0"/>
              <w:keepLines w:val="0"/>
              <w:suppressLineNumbers w:val="0"/>
              <w:autoSpaceDE w:val="0"/>
              <w:autoSpaceDN w:val="0"/>
              <w:spacing w:before="0" w:beforeAutospacing="0" w:after="0" w:afterAutospacing="0"/>
              <w:ind w:left="0" w:right="0"/>
              <w:jc w:val="center"/>
              <w:rPr>
                <w:rFonts w:hint="default" w:ascii="宋体" w:hAnsi="宋体" w:cs="宋体"/>
                <w:sz w:val="18"/>
                <w:szCs w:val="18"/>
                <w:highlight w:val="none"/>
              </w:rPr>
            </w:pPr>
            <w:r>
              <w:rPr>
                <w:rFonts w:hint="eastAsia" w:ascii="宋体" w:hAnsi="宋体" w:cs="宋体"/>
                <w:sz w:val="18"/>
                <w:szCs w:val="18"/>
                <w:highlight w:val="none"/>
              </w:rPr>
              <w:t>工艺设备材料</w:t>
            </w:r>
          </w:p>
        </w:tc>
        <w:tc>
          <w:tcPr>
            <w:tcW w:w="1227" w:type="pct"/>
            <w:tcBorders>
              <w:tl2br w:val="nil"/>
              <w:tr2bl w:val="nil"/>
            </w:tcBorders>
            <w:vAlign w:val="center"/>
          </w:tcPr>
          <w:p w14:paraId="5293A682">
            <w:pPr>
              <w:pStyle w:val="26"/>
              <w:keepNext w:val="0"/>
              <w:keepLines w:val="0"/>
              <w:widowControl/>
              <w:suppressLineNumbers w:val="0"/>
              <w:spacing w:before="0" w:beforeAutospacing="0" w:after="0" w:afterAutospacing="0"/>
              <w:ind w:left="0" w:right="0" w:firstLine="0" w:firstLineChars="0"/>
              <w:rPr>
                <w:rFonts w:hint="default" w:hAnsi="宋体" w:cs="宋体"/>
                <w:sz w:val="18"/>
                <w:szCs w:val="18"/>
                <w:highlight w:val="none"/>
              </w:rPr>
            </w:pPr>
            <w:r>
              <w:rPr>
                <w:rFonts w:hint="eastAsia" w:hAnsi="宋体" w:cs="宋体"/>
                <w:sz w:val="18"/>
                <w:szCs w:val="18"/>
                <w:highlight w:val="none"/>
              </w:rPr>
              <w:t>企事业单位自身生产运营过程选用列入国家节能、环保相关技术推荐目录工艺技术的情况</w:t>
            </w:r>
          </w:p>
        </w:tc>
        <w:tc>
          <w:tcPr>
            <w:tcW w:w="1762" w:type="pct"/>
            <w:tcBorders>
              <w:tl2br w:val="nil"/>
              <w:tr2bl w:val="nil"/>
            </w:tcBorders>
            <w:vAlign w:val="center"/>
          </w:tcPr>
          <w:p w14:paraId="64041DC9">
            <w:pPr>
              <w:pStyle w:val="26"/>
              <w:keepNext w:val="0"/>
              <w:keepLines w:val="0"/>
              <w:widowControl/>
              <w:suppressLineNumbers w:val="0"/>
              <w:spacing w:before="0" w:beforeAutospacing="0" w:after="0" w:afterAutospacing="0"/>
              <w:ind w:left="0" w:right="0" w:firstLine="0" w:firstLineChars="0"/>
              <w:jc w:val="left"/>
              <w:rPr>
                <w:rFonts w:hint="default" w:hAnsi="宋体" w:cs="宋体"/>
                <w:sz w:val="18"/>
                <w:szCs w:val="18"/>
                <w:highlight w:val="none"/>
              </w:rPr>
            </w:pPr>
            <w:r>
              <w:rPr>
                <w:rFonts w:hint="eastAsia" w:hAnsi="宋体" w:cs="宋体"/>
                <w:sz w:val="18"/>
                <w:szCs w:val="18"/>
                <w:highlight w:val="none"/>
              </w:rPr>
              <w:t>a.全部选用推荐工艺。（1分）</w:t>
            </w:r>
          </w:p>
          <w:p w14:paraId="3F646C41">
            <w:pPr>
              <w:pStyle w:val="26"/>
              <w:keepNext w:val="0"/>
              <w:keepLines w:val="0"/>
              <w:widowControl/>
              <w:suppressLineNumbers w:val="0"/>
              <w:spacing w:before="0" w:beforeAutospacing="0" w:after="0" w:afterAutospacing="0"/>
              <w:ind w:left="0" w:right="0" w:firstLine="0" w:firstLineChars="0"/>
              <w:jc w:val="left"/>
              <w:rPr>
                <w:rFonts w:hint="default" w:hAnsi="宋体" w:cs="宋体"/>
                <w:sz w:val="18"/>
                <w:szCs w:val="18"/>
                <w:highlight w:val="none"/>
              </w:rPr>
            </w:pPr>
            <w:r>
              <w:rPr>
                <w:rFonts w:hint="eastAsia" w:hAnsi="宋体" w:cs="宋体"/>
                <w:sz w:val="18"/>
                <w:szCs w:val="18"/>
                <w:highlight w:val="none"/>
              </w:rPr>
              <w:t>b.部分选用推荐工艺。（0.5分）</w:t>
            </w:r>
          </w:p>
          <w:p w14:paraId="4A652B8B">
            <w:pPr>
              <w:pStyle w:val="26"/>
              <w:keepNext w:val="0"/>
              <w:keepLines w:val="0"/>
              <w:widowControl/>
              <w:suppressLineNumbers w:val="0"/>
              <w:spacing w:before="0" w:beforeAutospacing="0" w:after="0" w:afterAutospacing="0"/>
              <w:ind w:left="0" w:right="0" w:firstLine="0" w:firstLineChars="0"/>
              <w:jc w:val="left"/>
              <w:rPr>
                <w:rFonts w:hint="default" w:ascii="宋体" w:hAnsi="宋体" w:eastAsia="宋体" w:cs="宋体"/>
                <w:sz w:val="18"/>
                <w:szCs w:val="18"/>
                <w:highlight w:val="none"/>
                <w:lang w:val="en-US" w:eastAsia="zh-CN" w:bidi="ar-SA"/>
              </w:rPr>
            </w:pPr>
            <w:r>
              <w:rPr>
                <w:rFonts w:hint="eastAsia" w:hAnsi="宋体" w:cs="宋体"/>
                <w:sz w:val="18"/>
                <w:szCs w:val="18"/>
                <w:highlight w:val="none"/>
              </w:rPr>
              <w:t>c.未选用推荐工艺。（0分）</w:t>
            </w:r>
          </w:p>
        </w:tc>
        <w:tc>
          <w:tcPr>
            <w:tcW w:w="413" w:type="pct"/>
            <w:tcBorders>
              <w:tl2br w:val="nil"/>
              <w:tr2bl w:val="nil"/>
            </w:tcBorders>
            <w:vAlign w:val="center"/>
          </w:tcPr>
          <w:p w14:paraId="76E6C9D6">
            <w:pPr>
              <w:pStyle w:val="26"/>
              <w:keepNext w:val="0"/>
              <w:keepLines w:val="0"/>
              <w:widowControl/>
              <w:suppressLineNumbers w:val="0"/>
              <w:spacing w:before="0" w:beforeAutospacing="0" w:after="0" w:afterAutospacing="0"/>
              <w:ind w:left="0" w:right="0" w:firstLine="0" w:firstLineChars="0"/>
              <w:jc w:val="center"/>
              <w:rPr>
                <w:rFonts w:hint="default" w:ascii="宋体" w:hAnsi="宋体" w:eastAsia="宋体" w:cs="宋体"/>
                <w:sz w:val="18"/>
                <w:szCs w:val="18"/>
                <w:highlight w:val="none"/>
                <w:lang w:val="en-US" w:eastAsia="zh-CN" w:bidi="ar-SA"/>
              </w:rPr>
            </w:pPr>
            <w:r>
              <w:rPr>
                <w:rFonts w:hint="eastAsia" w:hAnsi="宋体" w:cs="宋体"/>
                <w:sz w:val="18"/>
                <w:szCs w:val="18"/>
                <w:highlight w:val="none"/>
              </w:rPr>
              <w:t>1</w:t>
            </w:r>
          </w:p>
        </w:tc>
        <w:tc>
          <w:tcPr>
            <w:tcW w:w="397" w:type="pct"/>
            <w:vMerge w:val="restart"/>
            <w:tcBorders>
              <w:tl2br w:val="nil"/>
              <w:tr2bl w:val="nil"/>
            </w:tcBorders>
            <w:vAlign w:val="center"/>
          </w:tcPr>
          <w:p w14:paraId="3BA27EB6">
            <w:pPr>
              <w:keepNext w:val="0"/>
              <w:keepLines w:val="0"/>
              <w:suppressLineNumbers w:val="0"/>
              <w:autoSpaceDE w:val="0"/>
              <w:autoSpaceDN w:val="0"/>
              <w:spacing w:before="0" w:beforeAutospacing="0" w:after="0" w:afterAutospacing="0"/>
              <w:ind w:left="0" w:right="0"/>
              <w:jc w:val="center"/>
              <w:rPr>
                <w:rFonts w:hint="default" w:ascii="宋体"/>
                <w:sz w:val="18"/>
                <w:szCs w:val="18"/>
                <w:highlight w:val="none"/>
              </w:rPr>
            </w:pPr>
          </w:p>
        </w:tc>
      </w:tr>
      <w:tr w14:paraId="64130DC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155" w:hRule="atLeast"/>
        </w:trPr>
        <w:tc>
          <w:tcPr>
            <w:tcW w:w="365" w:type="pct"/>
            <w:vMerge w:val="continue"/>
            <w:tcBorders>
              <w:tl2br w:val="nil"/>
              <w:tr2bl w:val="nil"/>
            </w:tcBorders>
            <w:vAlign w:val="center"/>
          </w:tcPr>
          <w:p w14:paraId="354987AD">
            <w:pPr>
              <w:pStyle w:val="26"/>
              <w:keepNext w:val="0"/>
              <w:keepLines w:val="0"/>
              <w:widowControl/>
              <w:suppressLineNumbers w:val="0"/>
              <w:spacing w:before="0" w:beforeAutospacing="0" w:after="0" w:afterAutospacing="0"/>
              <w:ind w:left="0" w:right="0" w:firstLine="0" w:firstLineChars="0"/>
              <w:rPr>
                <w:rFonts w:hint="default"/>
                <w:szCs w:val="18"/>
                <w:highlight w:val="none"/>
              </w:rPr>
            </w:pPr>
          </w:p>
        </w:tc>
        <w:tc>
          <w:tcPr>
            <w:tcW w:w="835" w:type="pct"/>
            <w:gridSpan w:val="2"/>
            <w:vMerge w:val="continue"/>
            <w:tcBorders>
              <w:tl2br w:val="nil"/>
              <w:tr2bl w:val="nil"/>
            </w:tcBorders>
            <w:vAlign w:val="center"/>
          </w:tcPr>
          <w:p w14:paraId="5A17BE7C">
            <w:pPr>
              <w:pStyle w:val="26"/>
              <w:keepNext w:val="0"/>
              <w:keepLines w:val="0"/>
              <w:widowControl/>
              <w:suppressLineNumbers w:val="0"/>
              <w:spacing w:before="0" w:beforeAutospacing="0" w:after="0" w:afterAutospacing="0"/>
              <w:ind w:left="0" w:right="0" w:firstLine="0" w:firstLineChars="0"/>
              <w:rPr>
                <w:rFonts w:hint="default"/>
                <w:szCs w:val="18"/>
                <w:highlight w:val="none"/>
              </w:rPr>
            </w:pPr>
          </w:p>
        </w:tc>
        <w:tc>
          <w:tcPr>
            <w:tcW w:w="1227" w:type="pct"/>
            <w:tcBorders>
              <w:tl2br w:val="nil"/>
              <w:tr2bl w:val="nil"/>
            </w:tcBorders>
            <w:vAlign w:val="center"/>
          </w:tcPr>
          <w:p w14:paraId="370220DF">
            <w:pPr>
              <w:pStyle w:val="26"/>
              <w:keepNext w:val="0"/>
              <w:keepLines w:val="0"/>
              <w:widowControl/>
              <w:suppressLineNumbers w:val="0"/>
              <w:spacing w:before="0" w:beforeAutospacing="0" w:after="0" w:afterAutospacing="0"/>
              <w:ind w:left="0" w:right="0" w:firstLine="0" w:firstLineChars="0"/>
              <w:rPr>
                <w:rFonts w:hint="eastAsia" w:hAnsi="宋体" w:cs="宋体"/>
                <w:sz w:val="18"/>
                <w:szCs w:val="18"/>
                <w:highlight w:val="none"/>
              </w:rPr>
            </w:pPr>
            <w:r>
              <w:rPr>
                <w:rFonts w:hint="eastAsia" w:hAnsi="宋体" w:cs="宋体"/>
                <w:sz w:val="18"/>
                <w:szCs w:val="18"/>
                <w:highlight w:val="none"/>
              </w:rPr>
              <w:t>企事业单位自身生产运营过程选用列入国家节能、环保相关设备推荐目录装备设备的情况</w:t>
            </w:r>
          </w:p>
        </w:tc>
        <w:tc>
          <w:tcPr>
            <w:tcW w:w="1762" w:type="pct"/>
            <w:tcBorders>
              <w:tl2br w:val="nil"/>
              <w:tr2bl w:val="nil"/>
            </w:tcBorders>
            <w:vAlign w:val="center"/>
          </w:tcPr>
          <w:p w14:paraId="41705B51">
            <w:pPr>
              <w:pStyle w:val="26"/>
              <w:keepNext w:val="0"/>
              <w:keepLines w:val="0"/>
              <w:widowControl/>
              <w:suppressLineNumbers w:val="0"/>
              <w:spacing w:before="0" w:beforeAutospacing="0" w:after="0" w:afterAutospacing="0"/>
              <w:ind w:left="0" w:right="0" w:firstLine="0" w:firstLineChars="0"/>
              <w:jc w:val="left"/>
              <w:rPr>
                <w:rFonts w:hint="default" w:hAnsi="宋体" w:cs="宋体"/>
                <w:sz w:val="18"/>
                <w:szCs w:val="18"/>
                <w:highlight w:val="none"/>
              </w:rPr>
            </w:pPr>
            <w:r>
              <w:rPr>
                <w:rFonts w:hint="eastAsia" w:hAnsi="宋体" w:cs="宋体"/>
                <w:sz w:val="18"/>
                <w:szCs w:val="18"/>
                <w:highlight w:val="none"/>
              </w:rPr>
              <w:t>a.推荐目录采购比例超过50%。（1分）</w:t>
            </w:r>
          </w:p>
          <w:p w14:paraId="1F7F4B15">
            <w:pPr>
              <w:pStyle w:val="26"/>
              <w:keepNext w:val="0"/>
              <w:keepLines w:val="0"/>
              <w:widowControl/>
              <w:suppressLineNumbers w:val="0"/>
              <w:spacing w:before="0" w:beforeAutospacing="0" w:after="0" w:afterAutospacing="0"/>
              <w:ind w:left="0" w:right="0" w:firstLine="0" w:firstLineChars="0"/>
              <w:jc w:val="left"/>
              <w:rPr>
                <w:rFonts w:hint="default" w:hAnsi="宋体" w:cs="宋体"/>
                <w:sz w:val="18"/>
                <w:szCs w:val="18"/>
                <w:highlight w:val="none"/>
              </w:rPr>
            </w:pPr>
            <w:r>
              <w:rPr>
                <w:rFonts w:hint="eastAsia" w:hAnsi="宋体" w:cs="宋体"/>
                <w:sz w:val="18"/>
                <w:szCs w:val="18"/>
                <w:highlight w:val="none"/>
              </w:rPr>
              <w:t>b.推荐目录采购比例超过30%。（0.5分）</w:t>
            </w:r>
          </w:p>
          <w:p w14:paraId="4E7E4F82">
            <w:pPr>
              <w:pStyle w:val="26"/>
              <w:keepNext w:val="0"/>
              <w:keepLines w:val="0"/>
              <w:widowControl/>
              <w:suppressLineNumbers w:val="0"/>
              <w:spacing w:before="0" w:beforeAutospacing="0" w:after="0" w:afterAutospacing="0"/>
              <w:ind w:left="0" w:right="0" w:firstLine="0" w:firstLineChars="0"/>
              <w:jc w:val="left"/>
              <w:rPr>
                <w:rFonts w:hint="eastAsia" w:ascii="宋体" w:hAnsi="宋体" w:eastAsia="宋体" w:cs="宋体"/>
                <w:sz w:val="18"/>
                <w:szCs w:val="18"/>
                <w:highlight w:val="none"/>
                <w:lang w:val="en-US" w:eastAsia="zh-CN" w:bidi="ar-SA"/>
              </w:rPr>
            </w:pPr>
            <w:r>
              <w:rPr>
                <w:rFonts w:hint="eastAsia" w:hAnsi="宋体" w:cs="宋体"/>
                <w:sz w:val="18"/>
                <w:szCs w:val="18"/>
                <w:highlight w:val="none"/>
              </w:rPr>
              <w:t>c.推荐目录采购比例未超过30%。（0分）</w:t>
            </w:r>
          </w:p>
        </w:tc>
        <w:tc>
          <w:tcPr>
            <w:tcW w:w="413" w:type="pct"/>
            <w:tcBorders>
              <w:tl2br w:val="nil"/>
              <w:tr2bl w:val="nil"/>
            </w:tcBorders>
            <w:vAlign w:val="center"/>
          </w:tcPr>
          <w:p w14:paraId="779A404A">
            <w:pPr>
              <w:pStyle w:val="26"/>
              <w:keepNext w:val="0"/>
              <w:keepLines w:val="0"/>
              <w:widowControl/>
              <w:suppressLineNumbers w:val="0"/>
              <w:spacing w:before="0" w:beforeAutospacing="0" w:after="0" w:afterAutospacing="0"/>
              <w:ind w:left="0" w:right="0" w:firstLine="0" w:firstLineChars="0"/>
              <w:jc w:val="center"/>
              <w:rPr>
                <w:rFonts w:hint="eastAsia" w:ascii="宋体" w:hAnsi="宋体" w:eastAsia="宋体" w:cs="宋体"/>
                <w:sz w:val="18"/>
                <w:szCs w:val="18"/>
                <w:highlight w:val="none"/>
                <w:lang w:val="en-US" w:eastAsia="zh-CN" w:bidi="ar-SA"/>
              </w:rPr>
            </w:pPr>
            <w:r>
              <w:rPr>
                <w:rFonts w:hint="eastAsia" w:hAnsi="宋体" w:cs="宋体"/>
                <w:sz w:val="18"/>
                <w:szCs w:val="18"/>
                <w:highlight w:val="none"/>
              </w:rPr>
              <w:t>1</w:t>
            </w:r>
          </w:p>
        </w:tc>
        <w:tc>
          <w:tcPr>
            <w:tcW w:w="397" w:type="pct"/>
            <w:vMerge w:val="continue"/>
            <w:tcBorders>
              <w:tl2br w:val="nil"/>
              <w:tr2bl w:val="nil"/>
            </w:tcBorders>
            <w:vAlign w:val="center"/>
          </w:tcPr>
          <w:p w14:paraId="509C5C9B">
            <w:pPr>
              <w:pStyle w:val="26"/>
              <w:keepNext w:val="0"/>
              <w:keepLines w:val="0"/>
              <w:widowControl/>
              <w:suppressLineNumbers w:val="0"/>
              <w:spacing w:before="0" w:beforeAutospacing="0" w:after="0" w:afterAutospacing="0"/>
              <w:ind w:left="0" w:right="0" w:firstLine="0" w:firstLineChars="0"/>
              <w:rPr>
                <w:rFonts w:hint="eastAsia" w:hAnsi="宋体" w:cs="宋体"/>
                <w:sz w:val="18"/>
                <w:szCs w:val="18"/>
                <w:highlight w:val="none"/>
              </w:rPr>
            </w:pPr>
          </w:p>
        </w:tc>
      </w:tr>
      <w:tr w14:paraId="4B024DE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168" w:hRule="atLeast"/>
        </w:trPr>
        <w:tc>
          <w:tcPr>
            <w:tcW w:w="365" w:type="pct"/>
            <w:vMerge w:val="continue"/>
            <w:tcBorders>
              <w:tl2br w:val="nil"/>
              <w:tr2bl w:val="nil"/>
            </w:tcBorders>
            <w:vAlign w:val="center"/>
          </w:tcPr>
          <w:p w14:paraId="0D679C5E">
            <w:pPr>
              <w:pStyle w:val="26"/>
              <w:keepNext w:val="0"/>
              <w:keepLines w:val="0"/>
              <w:widowControl/>
              <w:suppressLineNumbers w:val="0"/>
              <w:spacing w:before="0" w:beforeAutospacing="0" w:after="0" w:afterAutospacing="0"/>
              <w:ind w:left="0" w:right="0" w:firstLine="0" w:firstLineChars="0"/>
              <w:rPr>
                <w:rFonts w:hint="eastAsia" w:hAnsi="宋体" w:cs="宋体"/>
                <w:sz w:val="18"/>
                <w:szCs w:val="18"/>
                <w:highlight w:val="none"/>
              </w:rPr>
            </w:pPr>
          </w:p>
        </w:tc>
        <w:tc>
          <w:tcPr>
            <w:tcW w:w="835" w:type="pct"/>
            <w:gridSpan w:val="2"/>
            <w:vMerge w:val="continue"/>
            <w:tcBorders>
              <w:tl2br w:val="nil"/>
              <w:tr2bl w:val="nil"/>
            </w:tcBorders>
            <w:vAlign w:val="center"/>
          </w:tcPr>
          <w:p w14:paraId="4A626EBB">
            <w:pPr>
              <w:pStyle w:val="26"/>
              <w:keepNext w:val="0"/>
              <w:keepLines w:val="0"/>
              <w:widowControl/>
              <w:suppressLineNumbers w:val="0"/>
              <w:spacing w:before="0" w:beforeAutospacing="0" w:after="0" w:afterAutospacing="0"/>
              <w:ind w:left="0" w:right="0" w:firstLine="0" w:firstLineChars="0"/>
              <w:rPr>
                <w:rFonts w:hint="eastAsia" w:hAnsi="宋体" w:cs="宋体"/>
                <w:sz w:val="18"/>
                <w:szCs w:val="18"/>
                <w:highlight w:val="none"/>
              </w:rPr>
            </w:pPr>
          </w:p>
        </w:tc>
        <w:tc>
          <w:tcPr>
            <w:tcW w:w="1227" w:type="pct"/>
            <w:tcBorders>
              <w:tl2br w:val="nil"/>
              <w:tr2bl w:val="nil"/>
            </w:tcBorders>
            <w:vAlign w:val="center"/>
          </w:tcPr>
          <w:p w14:paraId="5243A4BF">
            <w:pPr>
              <w:pStyle w:val="26"/>
              <w:keepNext w:val="0"/>
              <w:keepLines w:val="0"/>
              <w:widowControl/>
              <w:suppressLineNumbers w:val="0"/>
              <w:spacing w:before="0" w:beforeAutospacing="0" w:after="0" w:afterAutospacing="0"/>
              <w:ind w:left="0" w:right="0" w:firstLine="0" w:firstLineChars="0"/>
              <w:rPr>
                <w:rFonts w:hint="eastAsia" w:hAnsi="宋体" w:cs="宋体"/>
                <w:sz w:val="18"/>
                <w:szCs w:val="18"/>
                <w:highlight w:val="none"/>
              </w:rPr>
            </w:pPr>
            <w:r>
              <w:rPr>
                <w:rFonts w:hint="eastAsia" w:hAnsi="宋体" w:cs="宋体"/>
                <w:sz w:val="18"/>
                <w:szCs w:val="18"/>
                <w:highlight w:val="none"/>
              </w:rPr>
              <w:t>企事业单位自身生产运营过程参照《国家鼓励的有毒有害原料（产品）替代品目录》等目录实现有毒有害原材料替代的情况</w:t>
            </w:r>
          </w:p>
        </w:tc>
        <w:tc>
          <w:tcPr>
            <w:tcW w:w="1762" w:type="pct"/>
            <w:tcBorders>
              <w:tl2br w:val="nil"/>
              <w:tr2bl w:val="nil"/>
            </w:tcBorders>
            <w:vAlign w:val="center"/>
          </w:tcPr>
          <w:p w14:paraId="1AE37116">
            <w:pPr>
              <w:pStyle w:val="26"/>
              <w:keepNext w:val="0"/>
              <w:keepLines w:val="0"/>
              <w:widowControl/>
              <w:suppressLineNumbers w:val="0"/>
              <w:spacing w:before="0" w:beforeAutospacing="0" w:after="0" w:afterAutospacing="0"/>
              <w:ind w:left="0" w:right="0" w:firstLine="0" w:firstLineChars="0"/>
              <w:jc w:val="left"/>
              <w:rPr>
                <w:rFonts w:hint="default" w:hAnsi="宋体" w:cs="宋体"/>
                <w:sz w:val="18"/>
                <w:szCs w:val="18"/>
                <w:highlight w:val="none"/>
              </w:rPr>
            </w:pPr>
            <w:r>
              <w:rPr>
                <w:rFonts w:hint="eastAsia" w:hAnsi="宋体" w:cs="宋体"/>
                <w:sz w:val="18"/>
                <w:szCs w:val="18"/>
                <w:highlight w:val="none"/>
              </w:rPr>
              <w:t>a.全面实施无毒无害原材料替代。（1分）</w:t>
            </w:r>
          </w:p>
          <w:p w14:paraId="6C6F36F2">
            <w:pPr>
              <w:pStyle w:val="26"/>
              <w:keepNext w:val="0"/>
              <w:keepLines w:val="0"/>
              <w:widowControl/>
              <w:suppressLineNumbers w:val="0"/>
              <w:spacing w:before="0" w:beforeAutospacing="0" w:after="0" w:afterAutospacing="0"/>
              <w:ind w:left="0" w:right="0" w:firstLine="0" w:firstLineChars="0"/>
              <w:jc w:val="left"/>
              <w:rPr>
                <w:rFonts w:hint="default" w:hAnsi="宋体" w:cs="宋体"/>
                <w:sz w:val="18"/>
                <w:szCs w:val="18"/>
                <w:highlight w:val="none"/>
              </w:rPr>
            </w:pPr>
            <w:r>
              <w:rPr>
                <w:rFonts w:hint="eastAsia" w:hAnsi="宋体" w:cs="宋体"/>
                <w:sz w:val="18"/>
                <w:szCs w:val="18"/>
                <w:highlight w:val="none"/>
              </w:rPr>
              <w:t>b.部分实施无毒无害原材料替代。（0.5分）</w:t>
            </w:r>
          </w:p>
          <w:p w14:paraId="5F322C77">
            <w:pPr>
              <w:pStyle w:val="26"/>
              <w:keepNext w:val="0"/>
              <w:keepLines w:val="0"/>
              <w:widowControl/>
              <w:suppressLineNumbers w:val="0"/>
              <w:spacing w:before="0" w:beforeAutospacing="0" w:after="0" w:afterAutospacing="0"/>
              <w:ind w:left="0" w:right="0" w:firstLine="0" w:firstLineChars="0"/>
              <w:jc w:val="left"/>
              <w:rPr>
                <w:rFonts w:hint="eastAsia" w:ascii="宋体" w:hAnsi="宋体" w:eastAsia="宋体" w:cs="宋体"/>
                <w:sz w:val="18"/>
                <w:szCs w:val="18"/>
                <w:highlight w:val="none"/>
                <w:lang w:val="en-US" w:eastAsia="zh-CN" w:bidi="ar-SA"/>
              </w:rPr>
            </w:pPr>
            <w:r>
              <w:rPr>
                <w:rFonts w:hint="eastAsia" w:hAnsi="宋体" w:cs="宋体"/>
                <w:sz w:val="18"/>
                <w:szCs w:val="18"/>
                <w:highlight w:val="none"/>
              </w:rPr>
              <w:t>c.未实施无毒无害原材料替代。（0分）</w:t>
            </w:r>
          </w:p>
        </w:tc>
        <w:tc>
          <w:tcPr>
            <w:tcW w:w="413" w:type="pct"/>
            <w:tcBorders>
              <w:tl2br w:val="nil"/>
              <w:tr2bl w:val="nil"/>
            </w:tcBorders>
            <w:vAlign w:val="center"/>
          </w:tcPr>
          <w:p w14:paraId="7F05375D">
            <w:pPr>
              <w:pStyle w:val="26"/>
              <w:keepNext w:val="0"/>
              <w:keepLines w:val="0"/>
              <w:widowControl/>
              <w:suppressLineNumbers w:val="0"/>
              <w:spacing w:before="0" w:beforeAutospacing="0" w:after="0" w:afterAutospacing="0"/>
              <w:ind w:left="0" w:right="0" w:firstLine="0" w:firstLineChars="0"/>
              <w:jc w:val="center"/>
              <w:rPr>
                <w:rFonts w:hint="eastAsia" w:ascii="宋体" w:hAnsi="宋体" w:eastAsia="宋体" w:cs="宋体"/>
                <w:sz w:val="18"/>
                <w:szCs w:val="18"/>
                <w:highlight w:val="none"/>
                <w:lang w:val="en-US" w:eastAsia="zh-CN" w:bidi="ar-SA"/>
              </w:rPr>
            </w:pPr>
            <w:r>
              <w:rPr>
                <w:rFonts w:hint="eastAsia" w:hAnsi="宋体" w:cs="宋体"/>
                <w:sz w:val="18"/>
                <w:szCs w:val="18"/>
                <w:highlight w:val="none"/>
              </w:rPr>
              <w:t>1</w:t>
            </w:r>
          </w:p>
        </w:tc>
        <w:tc>
          <w:tcPr>
            <w:tcW w:w="397" w:type="pct"/>
            <w:vMerge w:val="continue"/>
            <w:tcBorders>
              <w:tl2br w:val="nil"/>
              <w:tr2bl w:val="nil"/>
            </w:tcBorders>
            <w:vAlign w:val="center"/>
          </w:tcPr>
          <w:p w14:paraId="2E59971E">
            <w:pPr>
              <w:pStyle w:val="26"/>
              <w:keepNext w:val="0"/>
              <w:keepLines w:val="0"/>
              <w:widowControl/>
              <w:suppressLineNumbers w:val="0"/>
              <w:spacing w:before="0" w:beforeAutospacing="0" w:after="0" w:afterAutospacing="0"/>
              <w:ind w:left="0" w:right="0" w:firstLine="0" w:firstLineChars="0"/>
              <w:rPr>
                <w:rFonts w:hint="eastAsia" w:hAnsi="宋体" w:cs="宋体"/>
                <w:sz w:val="18"/>
                <w:szCs w:val="18"/>
                <w:highlight w:val="none"/>
              </w:rPr>
            </w:pPr>
          </w:p>
        </w:tc>
      </w:tr>
      <w:tr w14:paraId="77C2006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4" w:hRule="atLeast"/>
        </w:trPr>
        <w:tc>
          <w:tcPr>
            <w:tcW w:w="365" w:type="pct"/>
            <w:vMerge w:val="continue"/>
            <w:tcBorders>
              <w:tl2br w:val="nil"/>
              <w:tr2bl w:val="nil"/>
            </w:tcBorders>
            <w:vAlign w:val="center"/>
          </w:tcPr>
          <w:p w14:paraId="7299FF63">
            <w:pPr>
              <w:keepNext w:val="0"/>
              <w:keepLines w:val="0"/>
              <w:suppressLineNumbers w:val="0"/>
              <w:autoSpaceDE w:val="0"/>
              <w:autoSpaceDN w:val="0"/>
              <w:spacing w:before="0" w:beforeAutospacing="0" w:after="0" w:afterAutospacing="0"/>
              <w:ind w:left="0" w:right="0"/>
              <w:jc w:val="center"/>
              <w:rPr>
                <w:rFonts w:hint="default" w:ascii="宋体" w:hAnsi="宋体" w:cs="宋体"/>
                <w:sz w:val="18"/>
                <w:szCs w:val="18"/>
                <w:highlight w:val="none"/>
              </w:rPr>
            </w:pPr>
          </w:p>
        </w:tc>
        <w:tc>
          <w:tcPr>
            <w:tcW w:w="835" w:type="pct"/>
            <w:gridSpan w:val="2"/>
            <w:vMerge w:val="restart"/>
            <w:tcBorders>
              <w:tl2br w:val="nil"/>
              <w:tr2bl w:val="nil"/>
            </w:tcBorders>
            <w:vAlign w:val="center"/>
          </w:tcPr>
          <w:p w14:paraId="13D4BB32">
            <w:pPr>
              <w:keepNext w:val="0"/>
              <w:keepLines w:val="0"/>
              <w:suppressLineNumbers w:val="0"/>
              <w:autoSpaceDE w:val="0"/>
              <w:autoSpaceDN w:val="0"/>
              <w:spacing w:before="0" w:beforeAutospacing="0" w:after="0" w:afterAutospacing="0"/>
              <w:ind w:left="0" w:right="0"/>
              <w:jc w:val="center"/>
              <w:rPr>
                <w:rFonts w:hint="default" w:ascii="宋体" w:hAnsi="宋体" w:cs="宋体"/>
                <w:sz w:val="18"/>
                <w:szCs w:val="18"/>
                <w:highlight w:val="none"/>
              </w:rPr>
            </w:pPr>
            <w:r>
              <w:rPr>
                <w:rFonts w:hint="eastAsia" w:ascii="宋体" w:hAnsi="宋体" w:cs="宋体"/>
                <w:sz w:val="18"/>
                <w:szCs w:val="18"/>
                <w:highlight w:val="none"/>
              </w:rPr>
              <w:t>能源资源利用</w:t>
            </w:r>
          </w:p>
        </w:tc>
        <w:tc>
          <w:tcPr>
            <w:tcW w:w="1227" w:type="pct"/>
            <w:tcBorders>
              <w:tl2br w:val="nil"/>
              <w:tr2bl w:val="nil"/>
            </w:tcBorders>
            <w:vAlign w:val="center"/>
          </w:tcPr>
          <w:p w14:paraId="35D74ADB">
            <w:pPr>
              <w:pStyle w:val="26"/>
              <w:keepNext w:val="0"/>
              <w:keepLines w:val="0"/>
              <w:widowControl/>
              <w:suppressLineNumbers w:val="0"/>
              <w:spacing w:before="0" w:beforeAutospacing="0" w:after="0" w:afterAutospacing="0"/>
              <w:ind w:left="0" w:right="0" w:firstLine="0" w:firstLineChars="0"/>
              <w:rPr>
                <w:rFonts w:hint="default" w:hAnsi="宋体" w:cs="宋体"/>
                <w:sz w:val="18"/>
                <w:szCs w:val="18"/>
                <w:highlight w:val="none"/>
              </w:rPr>
            </w:pPr>
            <w:r>
              <w:rPr>
                <w:rFonts w:hint="eastAsia" w:hAnsi="宋体" w:cs="宋体"/>
                <w:sz w:val="18"/>
                <w:szCs w:val="18"/>
                <w:highlight w:val="none"/>
              </w:rPr>
              <w:t>可再生能源消费量与终端能源消费总量的比值</w:t>
            </w:r>
          </w:p>
        </w:tc>
        <w:tc>
          <w:tcPr>
            <w:tcW w:w="1762" w:type="pct"/>
            <w:tcBorders>
              <w:tl2br w:val="nil"/>
              <w:tr2bl w:val="nil"/>
            </w:tcBorders>
            <w:vAlign w:val="center"/>
          </w:tcPr>
          <w:p w14:paraId="40D1E3A4">
            <w:pPr>
              <w:pStyle w:val="26"/>
              <w:keepNext w:val="0"/>
              <w:keepLines w:val="0"/>
              <w:widowControl/>
              <w:suppressLineNumbers w:val="0"/>
              <w:spacing w:before="0" w:beforeAutospacing="0" w:after="0" w:afterAutospacing="0"/>
              <w:ind w:left="0" w:right="0" w:firstLine="0" w:firstLineChars="0"/>
              <w:jc w:val="left"/>
              <w:rPr>
                <w:rFonts w:hint="default" w:hAnsi="宋体" w:cs="宋体"/>
                <w:sz w:val="18"/>
                <w:szCs w:val="18"/>
                <w:highlight w:val="none"/>
              </w:rPr>
            </w:pPr>
            <w:r>
              <w:rPr>
                <w:rFonts w:hint="eastAsia" w:hAnsi="宋体" w:cs="宋体"/>
                <w:sz w:val="18"/>
                <w:szCs w:val="18"/>
                <w:highlight w:val="none"/>
              </w:rPr>
              <w:t>a.≥10%（</w:t>
            </w:r>
            <w:r>
              <w:rPr>
                <w:rFonts w:hint="eastAsia" w:hAnsi="宋体" w:cs="宋体"/>
                <w:sz w:val="18"/>
                <w:szCs w:val="18"/>
                <w:highlight w:val="none"/>
                <w:lang w:val="en-US" w:eastAsia="zh-CN"/>
              </w:rPr>
              <w:t>3</w:t>
            </w:r>
            <w:r>
              <w:rPr>
                <w:rFonts w:hint="eastAsia" w:hAnsi="宋体" w:cs="宋体"/>
                <w:sz w:val="18"/>
                <w:szCs w:val="18"/>
                <w:highlight w:val="none"/>
              </w:rPr>
              <w:t>分）</w:t>
            </w:r>
          </w:p>
          <w:p w14:paraId="31277D4F">
            <w:pPr>
              <w:pStyle w:val="26"/>
              <w:keepNext w:val="0"/>
              <w:keepLines w:val="0"/>
              <w:widowControl/>
              <w:suppressLineNumbers w:val="0"/>
              <w:spacing w:before="0" w:beforeAutospacing="0" w:after="0" w:afterAutospacing="0"/>
              <w:ind w:left="0" w:right="0" w:firstLine="0" w:firstLineChars="0"/>
              <w:jc w:val="left"/>
              <w:rPr>
                <w:rFonts w:hint="default" w:hAnsi="宋体" w:cs="宋体"/>
                <w:sz w:val="18"/>
                <w:szCs w:val="18"/>
                <w:highlight w:val="none"/>
              </w:rPr>
            </w:pPr>
            <w:r>
              <w:rPr>
                <w:rFonts w:hint="eastAsia" w:hAnsi="宋体" w:cs="宋体"/>
                <w:sz w:val="18"/>
                <w:szCs w:val="18"/>
                <w:highlight w:val="none"/>
              </w:rPr>
              <w:t>b.</w:t>
            </w:r>
            <w:r>
              <w:rPr>
                <w:rFonts w:hint="eastAsia" w:hAnsi="宋体" w:cs="宋体"/>
                <w:sz w:val="18"/>
                <w:szCs w:val="18"/>
                <w:highlight w:val="none"/>
                <w:lang w:eastAsia="zh-CN"/>
              </w:rPr>
              <w:t>（</w:t>
            </w:r>
            <w:r>
              <w:rPr>
                <w:rFonts w:hint="eastAsia" w:hAnsi="宋体" w:cs="宋体"/>
                <w:sz w:val="18"/>
                <w:szCs w:val="18"/>
                <w:highlight w:val="none"/>
                <w:lang w:val="en-US" w:eastAsia="zh-CN"/>
              </w:rPr>
              <w:t>0</w:t>
            </w:r>
            <w:r>
              <w:rPr>
                <w:rFonts w:hint="eastAsia" w:hAnsi="宋体" w:cs="宋体"/>
                <w:sz w:val="18"/>
                <w:szCs w:val="18"/>
                <w:highlight w:val="none"/>
              </w:rPr>
              <w:t>%,10%)（</w:t>
            </w:r>
            <w:r>
              <w:rPr>
                <w:rFonts w:hint="eastAsia" w:hAnsi="宋体" w:cs="宋体"/>
                <w:sz w:val="18"/>
                <w:szCs w:val="18"/>
                <w:highlight w:val="none"/>
                <w:lang w:val="en-US" w:eastAsia="zh-CN"/>
              </w:rPr>
              <w:t>1</w:t>
            </w:r>
            <w:r>
              <w:rPr>
                <w:rFonts w:hint="eastAsia" w:hAnsi="宋体" w:cs="宋体"/>
                <w:sz w:val="18"/>
                <w:szCs w:val="18"/>
                <w:highlight w:val="none"/>
              </w:rPr>
              <w:t>分）</w:t>
            </w:r>
          </w:p>
          <w:p w14:paraId="701AA65F">
            <w:pPr>
              <w:pStyle w:val="26"/>
              <w:keepNext w:val="0"/>
              <w:keepLines w:val="0"/>
              <w:widowControl/>
              <w:suppressLineNumbers w:val="0"/>
              <w:spacing w:before="0" w:beforeAutospacing="0" w:after="0" w:afterAutospacing="0"/>
              <w:ind w:left="0" w:right="0" w:firstLine="0" w:firstLineChars="0"/>
              <w:jc w:val="left"/>
              <w:rPr>
                <w:rFonts w:hint="default" w:hAnsi="宋体" w:cs="宋体"/>
                <w:sz w:val="18"/>
                <w:szCs w:val="18"/>
                <w:highlight w:val="none"/>
              </w:rPr>
            </w:pPr>
            <w:r>
              <w:rPr>
                <w:rFonts w:hint="eastAsia" w:hAnsi="宋体" w:cs="宋体"/>
                <w:sz w:val="18"/>
                <w:szCs w:val="18"/>
                <w:highlight w:val="none"/>
              </w:rPr>
              <w:t>c.</w:t>
            </w:r>
            <w:r>
              <w:rPr>
                <w:rFonts w:hint="eastAsia" w:hAnsi="宋体" w:cs="宋体"/>
                <w:sz w:val="18"/>
                <w:szCs w:val="18"/>
                <w:highlight w:val="none"/>
                <w:lang w:val="en-US" w:eastAsia="zh-CN"/>
              </w:rPr>
              <w:t>0</w:t>
            </w:r>
            <w:r>
              <w:rPr>
                <w:rFonts w:hint="eastAsia" w:hAnsi="宋体" w:cs="宋体"/>
                <w:sz w:val="18"/>
                <w:szCs w:val="18"/>
                <w:highlight w:val="none"/>
              </w:rPr>
              <w:t>（0分）</w:t>
            </w:r>
          </w:p>
        </w:tc>
        <w:tc>
          <w:tcPr>
            <w:tcW w:w="413" w:type="pct"/>
            <w:tcBorders>
              <w:tl2br w:val="nil"/>
              <w:tr2bl w:val="nil"/>
            </w:tcBorders>
            <w:vAlign w:val="center"/>
          </w:tcPr>
          <w:p w14:paraId="2843936A">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sz w:val="18"/>
                <w:szCs w:val="18"/>
                <w:highlight w:val="none"/>
                <w:lang w:eastAsia="zh-CN"/>
              </w:rPr>
            </w:pPr>
            <w:r>
              <w:rPr>
                <w:rFonts w:hint="eastAsia" w:ascii="宋体" w:hAnsi="宋体" w:cs="宋体"/>
                <w:color w:val="000000"/>
                <w:kern w:val="0"/>
                <w:sz w:val="18"/>
                <w:szCs w:val="18"/>
                <w:highlight w:val="none"/>
                <w:lang w:val="en-US" w:eastAsia="zh-CN" w:bidi="ar"/>
              </w:rPr>
              <w:t>3</w:t>
            </w:r>
          </w:p>
        </w:tc>
        <w:tc>
          <w:tcPr>
            <w:tcW w:w="397" w:type="pct"/>
            <w:tcBorders>
              <w:tl2br w:val="nil"/>
              <w:tr2bl w:val="nil"/>
            </w:tcBorders>
            <w:vAlign w:val="center"/>
          </w:tcPr>
          <w:p w14:paraId="52BC5DD8">
            <w:pPr>
              <w:keepNext w:val="0"/>
              <w:keepLines w:val="0"/>
              <w:suppressLineNumbers w:val="0"/>
              <w:autoSpaceDE w:val="0"/>
              <w:autoSpaceDN w:val="0"/>
              <w:spacing w:before="0" w:beforeAutospacing="0" w:after="0" w:afterAutospacing="0"/>
              <w:ind w:left="0" w:right="0"/>
              <w:jc w:val="center"/>
              <w:rPr>
                <w:rFonts w:hint="default" w:ascii="宋体"/>
                <w:sz w:val="18"/>
                <w:szCs w:val="18"/>
                <w:highlight w:val="none"/>
              </w:rPr>
            </w:pPr>
          </w:p>
        </w:tc>
      </w:tr>
      <w:tr w14:paraId="42B871A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61" w:hRule="atLeast"/>
        </w:trPr>
        <w:tc>
          <w:tcPr>
            <w:tcW w:w="365" w:type="pct"/>
            <w:vMerge w:val="continue"/>
            <w:tcBorders>
              <w:tl2br w:val="nil"/>
              <w:tr2bl w:val="nil"/>
            </w:tcBorders>
            <w:vAlign w:val="center"/>
          </w:tcPr>
          <w:p w14:paraId="013BC9EE">
            <w:pPr>
              <w:keepNext w:val="0"/>
              <w:keepLines w:val="0"/>
              <w:suppressLineNumbers w:val="0"/>
              <w:autoSpaceDE w:val="0"/>
              <w:autoSpaceDN w:val="0"/>
              <w:spacing w:before="0" w:beforeAutospacing="0" w:after="0" w:afterAutospacing="0"/>
              <w:ind w:left="0" w:right="0"/>
              <w:jc w:val="center"/>
              <w:rPr>
                <w:rFonts w:hint="default" w:ascii="宋体" w:hAnsi="宋体" w:cs="宋体"/>
                <w:sz w:val="18"/>
                <w:szCs w:val="18"/>
                <w:highlight w:val="none"/>
              </w:rPr>
            </w:pPr>
          </w:p>
        </w:tc>
        <w:tc>
          <w:tcPr>
            <w:tcW w:w="835" w:type="pct"/>
            <w:gridSpan w:val="2"/>
            <w:vMerge w:val="continue"/>
            <w:tcBorders>
              <w:tl2br w:val="nil"/>
              <w:tr2bl w:val="nil"/>
            </w:tcBorders>
            <w:vAlign w:val="center"/>
          </w:tcPr>
          <w:p w14:paraId="11FF5476">
            <w:pPr>
              <w:keepNext w:val="0"/>
              <w:keepLines w:val="0"/>
              <w:suppressLineNumbers w:val="0"/>
              <w:autoSpaceDE w:val="0"/>
              <w:autoSpaceDN w:val="0"/>
              <w:spacing w:before="0" w:beforeAutospacing="0" w:after="0" w:afterAutospacing="0"/>
              <w:ind w:left="0" w:right="0"/>
              <w:jc w:val="center"/>
              <w:rPr>
                <w:rFonts w:hint="default" w:ascii="宋体" w:hAnsi="宋体" w:cs="宋体"/>
                <w:sz w:val="18"/>
                <w:szCs w:val="18"/>
                <w:highlight w:val="none"/>
              </w:rPr>
            </w:pPr>
          </w:p>
        </w:tc>
        <w:tc>
          <w:tcPr>
            <w:tcW w:w="1227" w:type="pct"/>
            <w:tcBorders>
              <w:tl2br w:val="nil"/>
              <w:tr2bl w:val="nil"/>
            </w:tcBorders>
            <w:vAlign w:val="center"/>
          </w:tcPr>
          <w:p w14:paraId="1C2A840D">
            <w:pPr>
              <w:pStyle w:val="26"/>
              <w:keepNext w:val="0"/>
              <w:keepLines w:val="0"/>
              <w:widowControl/>
              <w:suppressLineNumbers w:val="0"/>
              <w:spacing w:before="0" w:beforeAutospacing="0" w:after="0" w:afterAutospacing="0"/>
              <w:ind w:left="0" w:right="0" w:firstLine="0" w:firstLineChars="0"/>
              <w:rPr>
                <w:rFonts w:hint="default" w:hAnsi="宋体" w:cs="宋体"/>
                <w:sz w:val="18"/>
                <w:szCs w:val="18"/>
                <w:highlight w:val="none"/>
              </w:rPr>
            </w:pPr>
            <w:r>
              <w:rPr>
                <w:rFonts w:hint="eastAsia" w:hAnsi="宋体" w:cs="宋体"/>
                <w:sz w:val="18"/>
                <w:szCs w:val="18"/>
                <w:highlight w:val="none"/>
              </w:rPr>
              <w:t>再生水、雨水、海水、矿井水、苦咸水等非常规水资源利用总量与用水总量的比值</w:t>
            </w:r>
          </w:p>
        </w:tc>
        <w:tc>
          <w:tcPr>
            <w:tcW w:w="1762" w:type="pct"/>
            <w:tcBorders>
              <w:tl2br w:val="nil"/>
              <w:tr2bl w:val="nil"/>
            </w:tcBorders>
            <w:vAlign w:val="center"/>
          </w:tcPr>
          <w:p w14:paraId="0C06F10A">
            <w:pPr>
              <w:pStyle w:val="26"/>
              <w:keepNext w:val="0"/>
              <w:keepLines w:val="0"/>
              <w:widowControl/>
              <w:suppressLineNumbers w:val="0"/>
              <w:spacing w:before="0" w:beforeAutospacing="0" w:after="0" w:afterAutospacing="0"/>
              <w:ind w:left="0" w:right="0" w:firstLine="0" w:firstLineChars="0"/>
              <w:jc w:val="left"/>
              <w:rPr>
                <w:rFonts w:hint="default" w:hAnsi="宋体" w:cs="宋体"/>
                <w:sz w:val="18"/>
                <w:szCs w:val="18"/>
                <w:highlight w:val="none"/>
              </w:rPr>
            </w:pPr>
            <w:r>
              <w:rPr>
                <w:rFonts w:hint="eastAsia" w:hAnsi="宋体" w:cs="宋体"/>
                <w:sz w:val="18"/>
                <w:szCs w:val="18"/>
                <w:highlight w:val="none"/>
              </w:rPr>
              <w:t>a.≥</w:t>
            </w:r>
            <w:r>
              <w:rPr>
                <w:rFonts w:hint="eastAsia" w:hAnsi="宋体" w:cs="宋体"/>
                <w:sz w:val="18"/>
                <w:szCs w:val="18"/>
                <w:highlight w:val="none"/>
                <w:lang w:val="en-US" w:eastAsia="zh-CN"/>
              </w:rPr>
              <w:t>6</w:t>
            </w:r>
            <w:r>
              <w:rPr>
                <w:rFonts w:hint="eastAsia" w:hAnsi="宋体" w:cs="宋体"/>
                <w:sz w:val="18"/>
                <w:szCs w:val="18"/>
                <w:highlight w:val="none"/>
              </w:rPr>
              <w:t>0%（</w:t>
            </w:r>
            <w:r>
              <w:rPr>
                <w:rFonts w:hint="eastAsia" w:hAnsi="宋体" w:cs="宋体"/>
                <w:sz w:val="18"/>
                <w:szCs w:val="18"/>
                <w:highlight w:val="none"/>
                <w:lang w:val="en-US" w:eastAsia="zh-CN"/>
              </w:rPr>
              <w:t>1</w:t>
            </w:r>
            <w:r>
              <w:rPr>
                <w:rFonts w:hint="eastAsia" w:hAnsi="宋体" w:cs="宋体"/>
                <w:sz w:val="18"/>
                <w:szCs w:val="18"/>
                <w:highlight w:val="none"/>
              </w:rPr>
              <w:t>分）</w:t>
            </w:r>
          </w:p>
          <w:p w14:paraId="03A0E1DA">
            <w:pPr>
              <w:pStyle w:val="26"/>
              <w:keepNext w:val="0"/>
              <w:keepLines w:val="0"/>
              <w:widowControl/>
              <w:suppressLineNumbers w:val="0"/>
              <w:spacing w:before="0" w:beforeAutospacing="0" w:after="0" w:afterAutospacing="0"/>
              <w:ind w:left="0" w:right="0" w:firstLine="0" w:firstLineChars="0"/>
              <w:jc w:val="left"/>
              <w:rPr>
                <w:rFonts w:hint="default" w:hAnsi="宋体" w:cs="宋体"/>
                <w:sz w:val="18"/>
                <w:szCs w:val="18"/>
                <w:highlight w:val="none"/>
              </w:rPr>
            </w:pPr>
            <w:r>
              <w:rPr>
                <w:rFonts w:hint="eastAsia" w:hAnsi="宋体" w:cs="宋体"/>
                <w:sz w:val="18"/>
                <w:szCs w:val="18"/>
                <w:highlight w:val="none"/>
              </w:rPr>
              <w:t>b.</w:t>
            </w:r>
            <w:r>
              <w:rPr>
                <w:rFonts w:hint="eastAsia" w:hAnsi="宋体" w:cs="宋体"/>
                <w:sz w:val="18"/>
                <w:szCs w:val="18"/>
                <w:highlight w:val="none"/>
                <w:lang w:eastAsia="zh-CN"/>
              </w:rPr>
              <w:t>（</w:t>
            </w:r>
            <w:r>
              <w:rPr>
                <w:rFonts w:hint="eastAsia" w:hAnsi="宋体" w:cs="宋体"/>
                <w:sz w:val="18"/>
                <w:szCs w:val="18"/>
                <w:highlight w:val="none"/>
                <w:lang w:val="en-US" w:eastAsia="zh-CN"/>
              </w:rPr>
              <w:t>0</w:t>
            </w:r>
            <w:r>
              <w:rPr>
                <w:rFonts w:hint="eastAsia" w:hAnsi="宋体" w:cs="宋体"/>
                <w:sz w:val="18"/>
                <w:szCs w:val="18"/>
                <w:highlight w:val="none"/>
              </w:rPr>
              <w:t>,</w:t>
            </w:r>
            <w:r>
              <w:rPr>
                <w:rFonts w:hint="eastAsia" w:hAnsi="宋体" w:cs="宋体"/>
                <w:sz w:val="18"/>
                <w:szCs w:val="18"/>
                <w:highlight w:val="none"/>
                <w:lang w:val="en-US" w:eastAsia="zh-CN"/>
              </w:rPr>
              <w:t>6</w:t>
            </w:r>
            <w:r>
              <w:rPr>
                <w:rFonts w:hint="eastAsia" w:hAnsi="宋体" w:cs="宋体"/>
                <w:sz w:val="18"/>
                <w:szCs w:val="18"/>
                <w:highlight w:val="none"/>
              </w:rPr>
              <w:t>0%</w:t>
            </w:r>
            <w:r>
              <w:rPr>
                <w:rFonts w:hint="eastAsia" w:hAnsi="宋体" w:cs="宋体"/>
                <w:sz w:val="18"/>
                <w:szCs w:val="18"/>
                <w:highlight w:val="none"/>
                <w:lang w:eastAsia="zh-CN"/>
              </w:rPr>
              <w:t>）</w:t>
            </w:r>
            <w:r>
              <w:rPr>
                <w:rFonts w:hint="eastAsia" w:hAnsi="宋体" w:cs="宋体"/>
                <w:sz w:val="18"/>
                <w:szCs w:val="18"/>
                <w:highlight w:val="none"/>
              </w:rPr>
              <w:t>（</w:t>
            </w:r>
            <w:r>
              <w:rPr>
                <w:rFonts w:hint="eastAsia" w:hAnsi="宋体" w:cs="宋体"/>
                <w:sz w:val="18"/>
                <w:szCs w:val="18"/>
                <w:highlight w:val="none"/>
                <w:lang w:val="en-US" w:eastAsia="zh-CN"/>
              </w:rPr>
              <w:t>0.5</w:t>
            </w:r>
            <w:r>
              <w:rPr>
                <w:rFonts w:hint="eastAsia" w:hAnsi="宋体" w:cs="宋体"/>
                <w:sz w:val="18"/>
                <w:szCs w:val="18"/>
                <w:highlight w:val="none"/>
              </w:rPr>
              <w:t>分）</w:t>
            </w:r>
          </w:p>
          <w:p w14:paraId="0D6023A2">
            <w:pPr>
              <w:pStyle w:val="26"/>
              <w:keepNext w:val="0"/>
              <w:keepLines w:val="0"/>
              <w:widowControl/>
              <w:suppressLineNumbers w:val="0"/>
              <w:spacing w:before="0" w:beforeAutospacing="0" w:after="0" w:afterAutospacing="0"/>
              <w:ind w:left="0" w:right="0" w:firstLine="0" w:firstLineChars="0"/>
              <w:jc w:val="left"/>
              <w:rPr>
                <w:rFonts w:hint="default" w:hAnsi="宋体" w:cs="宋体"/>
                <w:sz w:val="18"/>
                <w:szCs w:val="18"/>
                <w:highlight w:val="none"/>
              </w:rPr>
            </w:pPr>
            <w:r>
              <w:rPr>
                <w:rFonts w:hint="eastAsia" w:hAnsi="宋体" w:cs="宋体"/>
                <w:sz w:val="18"/>
                <w:szCs w:val="18"/>
                <w:highlight w:val="none"/>
              </w:rPr>
              <w:t>c.</w:t>
            </w:r>
            <w:r>
              <w:rPr>
                <w:rFonts w:hint="eastAsia" w:hAnsi="宋体" w:cs="宋体"/>
                <w:sz w:val="18"/>
                <w:szCs w:val="18"/>
                <w:highlight w:val="none"/>
                <w:lang w:val="en-US" w:eastAsia="zh-CN"/>
              </w:rPr>
              <w:t>0</w:t>
            </w:r>
            <w:r>
              <w:rPr>
                <w:rFonts w:hint="eastAsia" w:hAnsi="宋体" w:cs="宋体"/>
                <w:sz w:val="18"/>
                <w:szCs w:val="18"/>
                <w:highlight w:val="none"/>
              </w:rPr>
              <w:t>（0分）</w:t>
            </w:r>
          </w:p>
        </w:tc>
        <w:tc>
          <w:tcPr>
            <w:tcW w:w="413" w:type="pct"/>
            <w:tcBorders>
              <w:tl2br w:val="nil"/>
              <w:tr2bl w:val="nil"/>
            </w:tcBorders>
            <w:vAlign w:val="center"/>
          </w:tcPr>
          <w:p w14:paraId="159AA53E">
            <w:pPr>
              <w:keepNext w:val="0"/>
              <w:keepLines w:val="0"/>
              <w:widowControl/>
              <w:suppressLineNumbers w:val="0"/>
              <w:spacing w:before="0" w:beforeAutospacing="0" w:after="0" w:afterAutospacing="0"/>
              <w:ind w:left="0" w:right="0"/>
              <w:jc w:val="center"/>
              <w:textAlignment w:val="center"/>
              <w:rPr>
                <w:rFonts w:hint="default" w:ascii="宋体" w:hAnsi="宋体" w:cs="宋体"/>
                <w:sz w:val="18"/>
                <w:szCs w:val="18"/>
                <w:highlight w:val="none"/>
              </w:rPr>
            </w:pPr>
            <w:r>
              <w:rPr>
                <w:rFonts w:hint="eastAsia" w:ascii="宋体" w:hAnsi="宋体" w:cs="宋体"/>
                <w:color w:val="000000"/>
                <w:kern w:val="0"/>
                <w:sz w:val="18"/>
                <w:szCs w:val="18"/>
                <w:highlight w:val="none"/>
                <w:lang w:bidi="ar"/>
              </w:rPr>
              <w:t>1</w:t>
            </w:r>
          </w:p>
        </w:tc>
        <w:tc>
          <w:tcPr>
            <w:tcW w:w="397" w:type="pct"/>
            <w:tcBorders>
              <w:tl2br w:val="nil"/>
              <w:tr2bl w:val="nil"/>
            </w:tcBorders>
            <w:vAlign w:val="center"/>
          </w:tcPr>
          <w:p w14:paraId="22C72FE9">
            <w:pPr>
              <w:keepNext w:val="0"/>
              <w:keepLines w:val="0"/>
              <w:suppressLineNumbers w:val="0"/>
              <w:autoSpaceDE w:val="0"/>
              <w:autoSpaceDN w:val="0"/>
              <w:spacing w:before="0" w:beforeAutospacing="0" w:after="0" w:afterAutospacing="0"/>
              <w:ind w:left="0" w:right="0"/>
              <w:jc w:val="center"/>
              <w:rPr>
                <w:rFonts w:hint="default" w:ascii="宋体"/>
                <w:sz w:val="18"/>
                <w:szCs w:val="18"/>
                <w:highlight w:val="none"/>
              </w:rPr>
            </w:pPr>
          </w:p>
        </w:tc>
      </w:tr>
      <w:tr w14:paraId="7FB35A6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365" w:type="pct"/>
            <w:vMerge w:val="continue"/>
            <w:tcBorders>
              <w:tl2br w:val="nil"/>
              <w:tr2bl w:val="nil"/>
            </w:tcBorders>
            <w:vAlign w:val="center"/>
          </w:tcPr>
          <w:p w14:paraId="7C4409F9">
            <w:pPr>
              <w:keepNext w:val="0"/>
              <w:keepLines w:val="0"/>
              <w:suppressLineNumbers w:val="0"/>
              <w:autoSpaceDE w:val="0"/>
              <w:autoSpaceDN w:val="0"/>
              <w:spacing w:before="0" w:beforeAutospacing="0" w:after="0" w:afterAutospacing="0"/>
              <w:ind w:left="0" w:right="0"/>
              <w:jc w:val="center"/>
              <w:rPr>
                <w:rFonts w:hint="default" w:ascii="宋体" w:hAnsi="宋体" w:cs="宋体"/>
                <w:sz w:val="18"/>
                <w:szCs w:val="18"/>
                <w:highlight w:val="none"/>
              </w:rPr>
            </w:pPr>
          </w:p>
        </w:tc>
        <w:tc>
          <w:tcPr>
            <w:tcW w:w="835" w:type="pct"/>
            <w:gridSpan w:val="2"/>
            <w:tcBorders>
              <w:tl2br w:val="nil"/>
              <w:tr2bl w:val="nil"/>
            </w:tcBorders>
            <w:vAlign w:val="center"/>
          </w:tcPr>
          <w:p w14:paraId="0578CDF1">
            <w:pPr>
              <w:keepNext w:val="0"/>
              <w:keepLines w:val="0"/>
              <w:suppressLineNumbers w:val="0"/>
              <w:autoSpaceDE w:val="0"/>
              <w:autoSpaceDN w:val="0"/>
              <w:spacing w:before="0" w:beforeAutospacing="0" w:after="0" w:afterAutospacing="0"/>
              <w:ind w:left="0" w:right="0"/>
              <w:jc w:val="center"/>
              <w:rPr>
                <w:rFonts w:hint="default" w:ascii="宋体" w:hAnsi="宋体" w:cs="宋体"/>
                <w:sz w:val="18"/>
                <w:szCs w:val="18"/>
                <w:highlight w:val="none"/>
              </w:rPr>
            </w:pPr>
            <w:r>
              <w:rPr>
                <w:rFonts w:hint="eastAsia" w:ascii="宋体" w:hAnsi="宋体" w:cs="宋体"/>
                <w:sz w:val="18"/>
                <w:szCs w:val="18"/>
                <w:highlight w:val="none"/>
              </w:rPr>
              <w:t>污染物排放水平</w:t>
            </w:r>
          </w:p>
        </w:tc>
        <w:tc>
          <w:tcPr>
            <w:tcW w:w="1227" w:type="pct"/>
            <w:tcBorders>
              <w:tl2br w:val="nil"/>
              <w:tr2bl w:val="nil"/>
            </w:tcBorders>
            <w:vAlign w:val="center"/>
          </w:tcPr>
          <w:p w14:paraId="5C2010F6">
            <w:pPr>
              <w:pStyle w:val="26"/>
              <w:keepNext w:val="0"/>
              <w:keepLines w:val="0"/>
              <w:widowControl/>
              <w:suppressLineNumbers w:val="0"/>
              <w:spacing w:before="0" w:beforeAutospacing="0" w:after="0" w:afterAutospacing="0"/>
              <w:ind w:left="0" w:right="0" w:firstLine="0" w:firstLineChars="0"/>
              <w:rPr>
                <w:rFonts w:hint="default" w:hAnsi="宋体" w:cs="宋体"/>
                <w:sz w:val="18"/>
                <w:szCs w:val="18"/>
                <w:highlight w:val="none"/>
              </w:rPr>
            </w:pPr>
            <w:r>
              <w:rPr>
                <w:rFonts w:hint="eastAsia" w:hAnsi="宋体" w:cs="宋体"/>
                <w:sz w:val="18"/>
                <w:szCs w:val="18"/>
                <w:highlight w:val="none"/>
              </w:rPr>
              <w:t>企事业单位自身生产运营过程向环境排放污染物的情况，污染物排放水平数据宜以近一年全国污染源监测数据管理与共享系统平台的自行监测数据为准</w:t>
            </w:r>
          </w:p>
        </w:tc>
        <w:tc>
          <w:tcPr>
            <w:tcW w:w="1762" w:type="pct"/>
            <w:tcBorders>
              <w:tl2br w:val="nil"/>
              <w:tr2bl w:val="nil"/>
            </w:tcBorders>
            <w:vAlign w:val="center"/>
          </w:tcPr>
          <w:p w14:paraId="72E244FC">
            <w:pPr>
              <w:pStyle w:val="26"/>
              <w:keepNext w:val="0"/>
              <w:keepLines w:val="0"/>
              <w:widowControl/>
              <w:suppressLineNumbers w:val="0"/>
              <w:spacing w:before="0" w:beforeAutospacing="0" w:after="0" w:afterAutospacing="0"/>
              <w:ind w:left="0" w:right="0" w:firstLine="0" w:firstLineChars="0"/>
              <w:jc w:val="left"/>
              <w:rPr>
                <w:rFonts w:hint="eastAsia" w:hAnsi="宋体" w:cs="宋体"/>
                <w:sz w:val="18"/>
                <w:szCs w:val="18"/>
                <w:highlight w:val="none"/>
              </w:rPr>
            </w:pPr>
            <w:r>
              <w:rPr>
                <w:rFonts w:hint="eastAsia" w:hAnsi="宋体" w:cs="宋体"/>
                <w:sz w:val="18"/>
                <w:szCs w:val="18"/>
                <w:highlight w:val="none"/>
              </w:rPr>
              <w:t>a.不排放污染物，或根据排污许可相关管理条例实行排污登记管理，或需控制的污染物有80%的种类优于排污许可证限值20%，或优于排放源所在地同类行业污染物排放限值20%。（</w:t>
            </w:r>
            <w:r>
              <w:rPr>
                <w:rFonts w:hint="eastAsia" w:hAnsi="宋体" w:cs="宋体"/>
                <w:sz w:val="18"/>
                <w:szCs w:val="18"/>
                <w:highlight w:val="none"/>
                <w:lang w:val="en-US" w:eastAsia="zh-CN"/>
              </w:rPr>
              <w:t>4</w:t>
            </w:r>
            <w:r>
              <w:rPr>
                <w:rFonts w:hint="eastAsia" w:hAnsi="宋体" w:cs="宋体"/>
                <w:sz w:val="18"/>
                <w:szCs w:val="18"/>
                <w:highlight w:val="none"/>
              </w:rPr>
              <w:t>分）</w:t>
            </w:r>
          </w:p>
          <w:p w14:paraId="6443227C">
            <w:pPr>
              <w:pStyle w:val="26"/>
              <w:keepNext w:val="0"/>
              <w:keepLines w:val="0"/>
              <w:widowControl/>
              <w:suppressLineNumbers w:val="0"/>
              <w:spacing w:before="0" w:beforeAutospacing="0" w:after="0" w:afterAutospacing="0"/>
              <w:ind w:left="0" w:right="0" w:firstLine="0" w:firstLineChars="0"/>
              <w:jc w:val="left"/>
              <w:rPr>
                <w:rFonts w:hint="eastAsia" w:hAnsi="宋体" w:cs="宋体"/>
                <w:sz w:val="18"/>
                <w:szCs w:val="18"/>
                <w:highlight w:val="none"/>
              </w:rPr>
            </w:pPr>
            <w:r>
              <w:rPr>
                <w:rFonts w:hint="eastAsia" w:hAnsi="宋体" w:cs="宋体"/>
                <w:sz w:val="18"/>
                <w:szCs w:val="18"/>
                <w:highlight w:val="none"/>
              </w:rPr>
              <w:t>b.需控制的污染物有80%的种类优于排污许可证限值10%，或优于排放源所在地同类行业污染物排放限值10%。（</w:t>
            </w:r>
            <w:r>
              <w:rPr>
                <w:rFonts w:hint="eastAsia" w:hAnsi="宋体" w:cs="宋体"/>
                <w:sz w:val="18"/>
                <w:szCs w:val="18"/>
                <w:highlight w:val="none"/>
                <w:lang w:val="en-US" w:eastAsia="zh-CN"/>
              </w:rPr>
              <w:t>2</w:t>
            </w:r>
            <w:r>
              <w:rPr>
                <w:rFonts w:hint="eastAsia" w:hAnsi="宋体" w:cs="宋体"/>
                <w:sz w:val="18"/>
                <w:szCs w:val="18"/>
                <w:highlight w:val="none"/>
              </w:rPr>
              <w:t>分）</w:t>
            </w:r>
          </w:p>
          <w:p w14:paraId="6865B3A4">
            <w:pPr>
              <w:pStyle w:val="26"/>
              <w:keepNext w:val="0"/>
              <w:keepLines w:val="0"/>
              <w:widowControl/>
              <w:suppressLineNumbers w:val="0"/>
              <w:spacing w:before="0" w:beforeAutospacing="0" w:after="0" w:afterAutospacing="0"/>
              <w:ind w:left="0" w:right="0" w:firstLine="0" w:firstLineChars="0"/>
              <w:jc w:val="left"/>
              <w:rPr>
                <w:rFonts w:hint="default" w:hAnsi="宋体" w:cs="宋体"/>
                <w:sz w:val="18"/>
                <w:szCs w:val="18"/>
                <w:highlight w:val="none"/>
              </w:rPr>
            </w:pPr>
            <w:r>
              <w:rPr>
                <w:rFonts w:hint="eastAsia" w:hAnsi="宋体" w:cs="宋体"/>
                <w:sz w:val="18"/>
                <w:szCs w:val="18"/>
                <w:highlight w:val="none"/>
              </w:rPr>
              <w:t>c.未满足上述任何一项。（0分）</w:t>
            </w:r>
          </w:p>
        </w:tc>
        <w:tc>
          <w:tcPr>
            <w:tcW w:w="413" w:type="pct"/>
            <w:tcBorders>
              <w:tl2br w:val="nil"/>
              <w:tr2bl w:val="nil"/>
            </w:tcBorders>
            <w:vAlign w:val="center"/>
          </w:tcPr>
          <w:p w14:paraId="36AD5396">
            <w:pPr>
              <w:keepNext w:val="0"/>
              <w:keepLines w:val="0"/>
              <w:widowControl/>
              <w:suppressLineNumbers w:val="0"/>
              <w:spacing w:before="0" w:beforeAutospacing="0" w:after="0" w:afterAutospacing="0"/>
              <w:ind w:left="0" w:right="0"/>
              <w:jc w:val="center"/>
              <w:textAlignment w:val="center"/>
              <w:rPr>
                <w:rFonts w:hint="default" w:ascii="宋体" w:hAnsi="宋体" w:cs="宋体"/>
                <w:sz w:val="18"/>
                <w:szCs w:val="18"/>
                <w:highlight w:val="none"/>
              </w:rPr>
            </w:pPr>
            <w:r>
              <w:rPr>
                <w:rFonts w:hint="eastAsia" w:ascii="宋体" w:hAnsi="宋体" w:cs="宋体"/>
                <w:color w:val="000000"/>
                <w:kern w:val="0"/>
                <w:sz w:val="18"/>
                <w:szCs w:val="18"/>
                <w:highlight w:val="none"/>
                <w:lang w:bidi="ar"/>
              </w:rPr>
              <w:t>4</w:t>
            </w:r>
          </w:p>
        </w:tc>
        <w:tc>
          <w:tcPr>
            <w:tcW w:w="397" w:type="pct"/>
            <w:tcBorders>
              <w:tl2br w:val="nil"/>
              <w:tr2bl w:val="nil"/>
            </w:tcBorders>
            <w:vAlign w:val="center"/>
          </w:tcPr>
          <w:p w14:paraId="630C4D45">
            <w:pPr>
              <w:keepNext w:val="0"/>
              <w:keepLines w:val="0"/>
              <w:suppressLineNumbers w:val="0"/>
              <w:autoSpaceDE w:val="0"/>
              <w:autoSpaceDN w:val="0"/>
              <w:spacing w:before="0" w:beforeAutospacing="0" w:after="0" w:afterAutospacing="0"/>
              <w:ind w:left="0" w:right="0"/>
              <w:jc w:val="center"/>
              <w:rPr>
                <w:rFonts w:hint="default" w:ascii="宋体"/>
                <w:sz w:val="18"/>
                <w:szCs w:val="18"/>
                <w:highlight w:val="none"/>
              </w:rPr>
            </w:pPr>
          </w:p>
        </w:tc>
      </w:tr>
    </w:tbl>
    <w:p w14:paraId="5C6C746C">
      <w:pPr>
        <w:keepNext w:val="0"/>
        <w:keepLines w:val="0"/>
        <w:pageBreakBefore w:val="0"/>
        <w:widowControl w:val="0"/>
        <w:numPr>
          <w:ilvl w:val="1"/>
          <w:numId w:val="0"/>
        </w:numPr>
        <w:kinsoku/>
        <w:wordWrap/>
        <w:overflowPunct/>
        <w:topLinePunct w:val="0"/>
        <w:autoSpaceDE/>
        <w:autoSpaceDN/>
        <w:bidi w:val="0"/>
        <w:adjustRightInd/>
        <w:snapToGrid/>
        <w:spacing w:before="312" w:beforeLines="100" w:after="156" w:afterLines="50"/>
        <w:jc w:val="center"/>
        <w:textAlignment w:val="auto"/>
        <w:rPr>
          <w:rFonts w:hint="eastAsia" w:ascii="宋体" w:hAnsi="宋体" w:eastAsia="宋体" w:cs="宋体"/>
          <w:szCs w:val="21"/>
          <w:highlight w:val="none"/>
          <w:lang w:eastAsia="zh-CN"/>
        </w:rPr>
      </w:pPr>
      <w:r>
        <w:rPr>
          <w:rFonts w:hint="eastAsia" w:ascii="黑体" w:hAnsi="黑体" w:eastAsia="黑体" w:cs="黑体"/>
          <w:szCs w:val="21"/>
          <w:highlight w:val="none"/>
        </w:rPr>
        <w:t>表</w:t>
      </w:r>
      <w:r>
        <w:rPr>
          <w:rFonts w:hint="eastAsia" w:ascii="黑体" w:hAnsi="黑体" w:eastAsia="黑体" w:cs="黑体"/>
          <w:szCs w:val="21"/>
          <w:highlight w:val="none"/>
          <w:lang w:val="en-US" w:eastAsia="zh-CN"/>
        </w:rPr>
        <w:t>E</w:t>
      </w:r>
      <w:r>
        <w:rPr>
          <w:rFonts w:hint="eastAsia" w:ascii="黑体" w:hAnsi="黑体" w:eastAsia="黑体" w:cs="黑体"/>
          <w:szCs w:val="21"/>
          <w:highlight w:val="none"/>
        </w:rPr>
        <w:t>.2</w:t>
      </w:r>
      <w:r>
        <w:rPr>
          <w:rFonts w:hint="eastAsia" w:ascii="黑体" w:hAnsi="黑体" w:eastAsia="黑体" w:cs="黑体"/>
          <w:szCs w:val="21"/>
          <w:highlight w:val="none"/>
          <w:lang w:val="en-US" w:eastAsia="zh-CN"/>
        </w:rPr>
        <w:t xml:space="preserve">  温室气体控制领域</w:t>
      </w:r>
      <w:r>
        <w:rPr>
          <w:rFonts w:hint="eastAsia" w:ascii="黑体" w:hAnsi="黑体" w:eastAsia="黑体" w:cs="黑体"/>
          <w:szCs w:val="21"/>
          <w:highlight w:val="none"/>
          <w:lang w:eastAsia="zh-CN"/>
        </w:rPr>
        <w:t>绿色低碳产业</w:t>
      </w:r>
      <w:r>
        <w:rPr>
          <w:rFonts w:hint="eastAsia" w:ascii="黑体" w:hAnsi="黑体" w:eastAsia="黑体" w:cs="黑体"/>
          <w:szCs w:val="21"/>
          <w:highlight w:val="none"/>
          <w:lang w:val="en-US" w:eastAsia="zh-CN"/>
        </w:rPr>
        <w:t>企业</w:t>
      </w:r>
      <w:r>
        <w:rPr>
          <w:rFonts w:hint="eastAsia" w:ascii="黑体" w:hAnsi="黑体" w:eastAsia="黑体" w:cs="黑体"/>
          <w:szCs w:val="21"/>
          <w:highlight w:val="none"/>
        </w:rPr>
        <w:t>认定综合评价指标</w:t>
      </w:r>
      <w:r>
        <w:rPr>
          <w:rFonts w:hint="eastAsia" w:ascii="宋体" w:hAnsi="宋体" w:eastAsia="宋体" w:cs="宋体"/>
          <w:szCs w:val="21"/>
          <w:highlight w:val="none"/>
          <w:lang w:eastAsia="zh-CN"/>
        </w:rPr>
        <w:t>（</w:t>
      </w:r>
      <w:r>
        <w:rPr>
          <w:rFonts w:hint="eastAsia" w:ascii="宋体" w:hAnsi="宋体" w:eastAsia="宋体" w:cs="宋体"/>
          <w:szCs w:val="21"/>
          <w:highlight w:val="none"/>
          <w:lang w:val="en-US" w:eastAsia="zh-CN"/>
        </w:rPr>
        <w:t>续</w:t>
      </w:r>
      <w:r>
        <w:rPr>
          <w:rFonts w:hint="eastAsia" w:ascii="宋体" w:hAnsi="宋体" w:eastAsia="宋体" w:cs="宋体"/>
          <w:szCs w:val="21"/>
          <w:highlight w:val="none"/>
          <w:lang w:eastAsia="zh-CN"/>
        </w:rPr>
        <w:t>）</w:t>
      </w:r>
    </w:p>
    <w:tbl>
      <w:tblPr>
        <w:tblStyle w:val="37"/>
        <w:tblpPr w:leftFromText="180" w:rightFromText="180" w:vertAnchor="text" w:tblpXSpec="center" w:tblpY="1"/>
        <w:tblOverlap w:val="never"/>
        <w:tblW w:w="4994" w:type="pct"/>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698"/>
        <w:gridCol w:w="683"/>
        <w:gridCol w:w="985"/>
        <w:gridCol w:w="2266"/>
        <w:gridCol w:w="3369"/>
        <w:gridCol w:w="799"/>
        <w:gridCol w:w="759"/>
      </w:tblGrid>
      <w:tr w14:paraId="4220F1E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365" w:type="pct"/>
            <w:tcBorders>
              <w:bottom w:val="single" w:color="auto" w:sz="12" w:space="0"/>
            </w:tcBorders>
            <w:vAlign w:val="center"/>
          </w:tcPr>
          <w:p w14:paraId="39489C12">
            <w:pPr>
              <w:keepNext w:val="0"/>
              <w:keepLines w:val="0"/>
              <w:suppressLineNumbers w:val="0"/>
              <w:autoSpaceDE w:val="0"/>
              <w:autoSpaceDN w:val="0"/>
              <w:spacing w:before="0" w:beforeAutospacing="0" w:after="0" w:afterAutospacing="0"/>
              <w:ind w:left="0" w:right="0"/>
              <w:jc w:val="center"/>
              <w:rPr>
                <w:rFonts w:hint="eastAsia" w:ascii="宋体" w:hAnsi="Times New Roman" w:eastAsia="宋体" w:cs="Times New Roman"/>
                <w:b/>
                <w:kern w:val="2"/>
                <w:sz w:val="18"/>
                <w:szCs w:val="18"/>
                <w:highlight w:val="none"/>
                <w:lang w:val="en-US" w:eastAsia="zh-CN" w:bidi="ar-SA"/>
              </w:rPr>
            </w:pPr>
            <w:r>
              <w:rPr>
                <w:rFonts w:hint="default" w:ascii="宋体"/>
                <w:b/>
                <w:sz w:val="18"/>
                <w:szCs w:val="18"/>
                <w:highlight w:val="none"/>
              </w:rPr>
              <w:t>一级指标</w:t>
            </w:r>
          </w:p>
        </w:tc>
        <w:tc>
          <w:tcPr>
            <w:tcW w:w="357" w:type="pct"/>
            <w:tcBorders>
              <w:bottom w:val="single" w:color="auto" w:sz="12" w:space="0"/>
            </w:tcBorders>
            <w:vAlign w:val="center"/>
          </w:tcPr>
          <w:p w14:paraId="2F721CA7">
            <w:pPr>
              <w:keepNext w:val="0"/>
              <w:keepLines w:val="0"/>
              <w:suppressLineNumbers w:val="0"/>
              <w:autoSpaceDE w:val="0"/>
              <w:autoSpaceDN w:val="0"/>
              <w:spacing w:before="0" w:beforeAutospacing="0" w:after="0" w:afterAutospacing="0"/>
              <w:ind w:left="0" w:right="0"/>
              <w:jc w:val="center"/>
              <w:rPr>
                <w:rFonts w:hint="eastAsia" w:ascii="宋体" w:hAnsi="Times New Roman" w:eastAsia="宋体" w:cs="Times New Roman"/>
                <w:b/>
                <w:kern w:val="2"/>
                <w:sz w:val="18"/>
                <w:szCs w:val="18"/>
                <w:highlight w:val="none"/>
                <w:lang w:val="en-US" w:eastAsia="zh-CN" w:bidi="ar-SA"/>
              </w:rPr>
            </w:pPr>
            <w:r>
              <w:rPr>
                <w:rFonts w:hint="default" w:ascii="宋体"/>
                <w:b/>
                <w:sz w:val="18"/>
                <w:szCs w:val="18"/>
                <w:highlight w:val="none"/>
              </w:rPr>
              <w:t>二级指标</w:t>
            </w:r>
          </w:p>
        </w:tc>
        <w:tc>
          <w:tcPr>
            <w:tcW w:w="515" w:type="pct"/>
            <w:tcBorders>
              <w:bottom w:val="single" w:color="auto" w:sz="12" w:space="0"/>
            </w:tcBorders>
            <w:vAlign w:val="center"/>
          </w:tcPr>
          <w:p w14:paraId="35A674DC">
            <w:pPr>
              <w:keepNext w:val="0"/>
              <w:keepLines w:val="0"/>
              <w:suppressLineNumbers w:val="0"/>
              <w:autoSpaceDE w:val="0"/>
              <w:autoSpaceDN w:val="0"/>
              <w:spacing w:before="0" w:beforeAutospacing="0" w:after="0" w:afterAutospacing="0"/>
              <w:ind w:left="0" w:right="0"/>
              <w:jc w:val="center"/>
              <w:rPr>
                <w:rFonts w:hint="eastAsia" w:ascii="宋体" w:hAnsi="Times New Roman" w:eastAsia="宋体" w:cs="Times New Roman"/>
                <w:b/>
                <w:kern w:val="2"/>
                <w:sz w:val="18"/>
                <w:szCs w:val="18"/>
                <w:highlight w:val="none"/>
                <w:lang w:val="en-US" w:eastAsia="zh-CN" w:bidi="ar-SA"/>
              </w:rPr>
            </w:pPr>
            <w:r>
              <w:rPr>
                <w:rFonts w:hint="default" w:ascii="宋体"/>
                <w:b/>
                <w:sz w:val="18"/>
                <w:szCs w:val="18"/>
                <w:highlight w:val="none"/>
              </w:rPr>
              <w:t>三级指标</w:t>
            </w:r>
          </w:p>
        </w:tc>
        <w:tc>
          <w:tcPr>
            <w:tcW w:w="1185" w:type="pct"/>
            <w:tcBorders>
              <w:bottom w:val="single" w:color="auto" w:sz="12" w:space="0"/>
            </w:tcBorders>
            <w:vAlign w:val="center"/>
          </w:tcPr>
          <w:p w14:paraId="33A37B8C">
            <w:pPr>
              <w:keepNext w:val="0"/>
              <w:keepLines w:val="0"/>
              <w:suppressLineNumbers w:val="0"/>
              <w:autoSpaceDE w:val="0"/>
              <w:autoSpaceDN w:val="0"/>
              <w:spacing w:before="0" w:beforeAutospacing="0" w:after="0" w:afterAutospacing="0"/>
              <w:ind w:left="0" w:right="0"/>
              <w:jc w:val="center"/>
              <w:rPr>
                <w:rFonts w:hint="eastAsia" w:ascii="宋体" w:hAnsi="Times New Roman" w:eastAsia="宋体" w:cs="Times New Roman"/>
                <w:b/>
                <w:kern w:val="2"/>
                <w:sz w:val="18"/>
                <w:szCs w:val="18"/>
                <w:highlight w:val="none"/>
                <w:lang w:val="en-US" w:eastAsia="zh-CN" w:bidi="ar-SA"/>
              </w:rPr>
            </w:pPr>
            <w:r>
              <w:rPr>
                <w:rFonts w:hint="eastAsia" w:ascii="宋体"/>
                <w:b/>
                <w:sz w:val="18"/>
                <w:szCs w:val="18"/>
                <w:highlight w:val="none"/>
              </w:rPr>
              <w:t>评价要求</w:t>
            </w:r>
          </w:p>
        </w:tc>
        <w:tc>
          <w:tcPr>
            <w:tcW w:w="1762" w:type="pct"/>
            <w:tcBorders>
              <w:bottom w:val="single" w:color="auto" w:sz="12" w:space="0"/>
            </w:tcBorders>
            <w:vAlign w:val="center"/>
          </w:tcPr>
          <w:p w14:paraId="33D97769">
            <w:pPr>
              <w:keepNext w:val="0"/>
              <w:keepLines w:val="0"/>
              <w:suppressLineNumbers w:val="0"/>
              <w:autoSpaceDE w:val="0"/>
              <w:autoSpaceDN w:val="0"/>
              <w:spacing w:before="0" w:beforeAutospacing="0" w:after="0" w:afterAutospacing="0"/>
              <w:ind w:left="0" w:right="0"/>
              <w:jc w:val="center"/>
              <w:rPr>
                <w:rFonts w:hint="eastAsia" w:ascii="宋体" w:hAnsi="Times New Roman" w:eastAsia="宋体" w:cs="Times New Roman"/>
                <w:b/>
                <w:kern w:val="2"/>
                <w:sz w:val="18"/>
                <w:szCs w:val="18"/>
                <w:highlight w:val="none"/>
                <w:lang w:val="en-US" w:eastAsia="zh-CN" w:bidi="ar-SA"/>
              </w:rPr>
            </w:pPr>
            <w:r>
              <w:rPr>
                <w:rFonts w:hint="eastAsia" w:ascii="宋体"/>
                <w:b/>
                <w:sz w:val="18"/>
                <w:szCs w:val="18"/>
                <w:highlight w:val="none"/>
              </w:rPr>
              <w:t>评分标准</w:t>
            </w:r>
          </w:p>
        </w:tc>
        <w:tc>
          <w:tcPr>
            <w:tcW w:w="417" w:type="pct"/>
            <w:tcBorders>
              <w:bottom w:val="single" w:color="auto" w:sz="12" w:space="0"/>
            </w:tcBorders>
            <w:vAlign w:val="center"/>
          </w:tcPr>
          <w:p w14:paraId="1794CA15">
            <w:pPr>
              <w:keepNext w:val="0"/>
              <w:keepLines w:val="0"/>
              <w:suppressLineNumbers w:val="0"/>
              <w:autoSpaceDE w:val="0"/>
              <w:autoSpaceDN w:val="0"/>
              <w:spacing w:before="0" w:beforeAutospacing="0" w:after="0" w:afterAutospacing="0"/>
              <w:ind w:left="0" w:right="0"/>
              <w:rPr>
                <w:rFonts w:hint="eastAsia" w:ascii="宋体" w:hAnsi="Times New Roman" w:eastAsia="宋体" w:cs="Times New Roman"/>
                <w:b/>
                <w:kern w:val="2"/>
                <w:sz w:val="18"/>
                <w:szCs w:val="18"/>
                <w:highlight w:val="none"/>
                <w:lang w:val="en-US" w:eastAsia="zh-CN" w:bidi="ar-SA"/>
              </w:rPr>
            </w:pPr>
            <w:r>
              <w:rPr>
                <w:rFonts w:hint="default" w:ascii="宋体"/>
                <w:b/>
                <w:sz w:val="18"/>
                <w:szCs w:val="18"/>
                <w:highlight w:val="none"/>
              </w:rPr>
              <w:t>分值</w:t>
            </w:r>
            <w:r>
              <w:rPr>
                <w:rFonts w:hint="eastAsia" w:ascii="宋体"/>
                <w:b/>
                <w:sz w:val="18"/>
                <w:szCs w:val="18"/>
                <w:highlight w:val="none"/>
              </w:rPr>
              <w:t>（分）</w:t>
            </w:r>
          </w:p>
        </w:tc>
        <w:tc>
          <w:tcPr>
            <w:tcW w:w="397" w:type="pct"/>
            <w:tcBorders>
              <w:bottom w:val="single" w:color="auto" w:sz="12" w:space="0"/>
            </w:tcBorders>
            <w:vAlign w:val="center"/>
          </w:tcPr>
          <w:p w14:paraId="08EA8932">
            <w:pPr>
              <w:keepNext w:val="0"/>
              <w:keepLines w:val="0"/>
              <w:suppressLineNumbers w:val="0"/>
              <w:autoSpaceDE w:val="0"/>
              <w:autoSpaceDN w:val="0"/>
              <w:spacing w:before="0" w:beforeAutospacing="0" w:after="0" w:afterAutospacing="0"/>
              <w:ind w:left="0" w:right="0"/>
              <w:rPr>
                <w:rFonts w:hint="default" w:ascii="宋体" w:hAnsi="Times New Roman" w:eastAsia="宋体" w:cs="Times New Roman"/>
                <w:b/>
                <w:kern w:val="2"/>
                <w:sz w:val="18"/>
                <w:szCs w:val="18"/>
                <w:highlight w:val="none"/>
                <w:lang w:val="en-US" w:eastAsia="zh-CN" w:bidi="ar-SA"/>
              </w:rPr>
            </w:pPr>
            <w:r>
              <w:rPr>
                <w:rFonts w:hint="default" w:ascii="宋体"/>
                <w:b/>
                <w:sz w:val="18"/>
                <w:szCs w:val="18"/>
                <w:highlight w:val="none"/>
              </w:rPr>
              <w:t>得分</w:t>
            </w:r>
            <w:r>
              <w:rPr>
                <w:rFonts w:hint="eastAsia" w:ascii="宋体"/>
                <w:b/>
                <w:sz w:val="18"/>
                <w:szCs w:val="18"/>
                <w:highlight w:val="none"/>
              </w:rPr>
              <w:t>（分）</w:t>
            </w:r>
          </w:p>
        </w:tc>
      </w:tr>
      <w:tr w14:paraId="5E89378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363" w:hRule="atLeast"/>
        </w:trPr>
        <w:tc>
          <w:tcPr>
            <w:tcW w:w="365" w:type="pct"/>
            <w:vMerge w:val="restart"/>
            <w:tcBorders>
              <w:top w:val="single" w:color="auto" w:sz="12" w:space="0"/>
              <w:tl2br w:val="nil"/>
              <w:tr2bl w:val="nil"/>
            </w:tcBorders>
            <w:vAlign w:val="center"/>
          </w:tcPr>
          <w:p w14:paraId="429F9A36">
            <w:pPr>
              <w:keepNext w:val="0"/>
              <w:keepLines w:val="0"/>
              <w:suppressLineNumbers w:val="0"/>
              <w:autoSpaceDE w:val="0"/>
              <w:autoSpaceDN w:val="0"/>
              <w:spacing w:before="0" w:beforeAutospacing="0" w:after="0" w:afterAutospacing="0"/>
              <w:ind w:left="0" w:right="0"/>
              <w:jc w:val="center"/>
              <w:rPr>
                <w:rFonts w:hint="default" w:ascii="宋体" w:hAnsi="宋体" w:cs="宋体"/>
                <w:sz w:val="18"/>
                <w:szCs w:val="18"/>
                <w:highlight w:val="none"/>
              </w:rPr>
            </w:pPr>
            <w:r>
              <w:rPr>
                <w:rFonts w:hint="eastAsia" w:ascii="宋体" w:hAnsi="宋体" w:cs="宋体"/>
                <w:sz w:val="18"/>
                <w:szCs w:val="18"/>
                <w:highlight w:val="none"/>
              </w:rPr>
              <w:t>社会表现</w:t>
            </w:r>
          </w:p>
        </w:tc>
        <w:tc>
          <w:tcPr>
            <w:tcW w:w="872" w:type="pct"/>
            <w:gridSpan w:val="2"/>
            <w:vMerge w:val="restart"/>
            <w:tcBorders>
              <w:top w:val="single" w:color="auto" w:sz="12" w:space="0"/>
              <w:tl2br w:val="nil"/>
              <w:tr2bl w:val="nil"/>
            </w:tcBorders>
            <w:vAlign w:val="center"/>
          </w:tcPr>
          <w:p w14:paraId="755628AC">
            <w:pPr>
              <w:keepNext w:val="0"/>
              <w:keepLines w:val="0"/>
              <w:suppressLineNumbers w:val="0"/>
              <w:autoSpaceDE w:val="0"/>
              <w:autoSpaceDN w:val="0"/>
              <w:spacing w:before="0" w:beforeAutospacing="0" w:after="0" w:afterAutospacing="0"/>
              <w:ind w:left="0" w:right="0"/>
              <w:jc w:val="center"/>
              <w:rPr>
                <w:rFonts w:hint="default" w:ascii="宋体" w:hAnsi="宋体" w:cs="宋体"/>
                <w:sz w:val="18"/>
                <w:szCs w:val="18"/>
                <w:highlight w:val="none"/>
              </w:rPr>
            </w:pPr>
            <w:r>
              <w:rPr>
                <w:rFonts w:hint="eastAsia" w:ascii="宋体" w:hAnsi="宋体" w:cs="宋体"/>
                <w:sz w:val="18"/>
                <w:szCs w:val="18"/>
                <w:highlight w:val="none"/>
              </w:rPr>
              <w:t>内部行动</w:t>
            </w:r>
          </w:p>
        </w:tc>
        <w:tc>
          <w:tcPr>
            <w:tcW w:w="1185" w:type="pct"/>
            <w:tcBorders>
              <w:top w:val="single" w:color="auto" w:sz="12" w:space="0"/>
              <w:tl2br w:val="nil"/>
              <w:tr2bl w:val="nil"/>
            </w:tcBorders>
            <w:vAlign w:val="center"/>
          </w:tcPr>
          <w:p w14:paraId="6C94ABE7">
            <w:pPr>
              <w:pStyle w:val="26"/>
              <w:keepNext w:val="0"/>
              <w:keepLines w:val="0"/>
              <w:widowControl/>
              <w:suppressLineNumbers w:val="0"/>
              <w:spacing w:before="0" w:beforeAutospacing="0" w:after="0" w:afterAutospacing="0"/>
              <w:ind w:left="0" w:right="0" w:firstLine="0" w:firstLineChars="0"/>
              <w:rPr>
                <w:rFonts w:hint="default" w:hAnsi="宋体" w:cs="宋体"/>
                <w:sz w:val="18"/>
                <w:szCs w:val="18"/>
                <w:highlight w:val="none"/>
              </w:rPr>
            </w:pPr>
            <w:r>
              <w:rPr>
                <w:rFonts w:hint="eastAsia" w:hAnsi="宋体" w:cs="宋体"/>
                <w:sz w:val="18"/>
                <w:szCs w:val="18"/>
                <w:highlight w:val="none"/>
              </w:rPr>
              <w:t>企事业单位开展绿色行动的情况，满足其中任一项可得分</w:t>
            </w:r>
          </w:p>
        </w:tc>
        <w:tc>
          <w:tcPr>
            <w:tcW w:w="1762" w:type="pct"/>
            <w:tcBorders>
              <w:top w:val="single" w:color="auto" w:sz="12" w:space="0"/>
              <w:tl2br w:val="nil"/>
              <w:tr2bl w:val="nil"/>
            </w:tcBorders>
            <w:vAlign w:val="center"/>
          </w:tcPr>
          <w:p w14:paraId="4B72858C">
            <w:pPr>
              <w:pStyle w:val="26"/>
              <w:keepNext w:val="0"/>
              <w:keepLines w:val="0"/>
              <w:widowControl/>
              <w:suppressLineNumbers w:val="0"/>
              <w:spacing w:before="0" w:beforeAutospacing="0" w:after="0" w:afterAutospacing="0"/>
              <w:ind w:left="0" w:right="0" w:firstLine="0" w:firstLineChars="0"/>
              <w:jc w:val="both"/>
              <w:rPr>
                <w:rFonts w:hint="default" w:ascii="宋体" w:hAnsi="宋体" w:eastAsia="宋体" w:cs="宋体"/>
                <w:sz w:val="18"/>
                <w:szCs w:val="18"/>
                <w:highlight w:val="none"/>
                <w:lang w:val="en-US" w:eastAsia="zh-CN" w:bidi="ar-SA"/>
              </w:rPr>
            </w:pPr>
            <w:r>
              <w:rPr>
                <w:rFonts w:hint="eastAsia" w:hAnsi="宋体" w:cs="宋体"/>
                <w:sz w:val="18"/>
                <w:szCs w:val="18"/>
                <w:highlight w:val="none"/>
              </w:rPr>
              <w:t>发布碳中和规划或行动方案、创建近零碳排放试点、开展产品碳足迹核算、创建碳普惠低碳场景或实现多场大型活动碳中和等绿色行动。（</w:t>
            </w:r>
            <w:r>
              <w:rPr>
                <w:rFonts w:hint="eastAsia" w:hAnsi="宋体" w:cs="宋体"/>
                <w:sz w:val="18"/>
                <w:szCs w:val="18"/>
                <w:highlight w:val="none"/>
                <w:lang w:val="en-US" w:eastAsia="zh-CN"/>
              </w:rPr>
              <w:t>2</w:t>
            </w:r>
            <w:r>
              <w:rPr>
                <w:rFonts w:hint="eastAsia" w:hAnsi="宋体" w:cs="宋体"/>
                <w:sz w:val="18"/>
                <w:szCs w:val="18"/>
                <w:highlight w:val="none"/>
              </w:rPr>
              <w:t>分）</w:t>
            </w:r>
          </w:p>
        </w:tc>
        <w:tc>
          <w:tcPr>
            <w:tcW w:w="417" w:type="pct"/>
            <w:tcBorders>
              <w:top w:val="single" w:color="auto" w:sz="12" w:space="0"/>
              <w:tl2br w:val="nil"/>
              <w:tr2bl w:val="nil"/>
            </w:tcBorders>
            <w:vAlign w:val="center"/>
          </w:tcPr>
          <w:p w14:paraId="1661CA17">
            <w:pPr>
              <w:keepNext w:val="0"/>
              <w:keepLines w:val="0"/>
              <w:widowControl/>
              <w:suppressLineNumbers w:val="0"/>
              <w:spacing w:before="0" w:beforeAutospacing="0" w:after="0" w:afterAutospacing="0"/>
              <w:ind w:left="0" w:right="0"/>
              <w:jc w:val="center"/>
              <w:textAlignment w:val="center"/>
              <w:rPr>
                <w:rFonts w:hint="default" w:ascii="宋体" w:hAnsi="宋体" w:eastAsia="宋体" w:cs="宋体"/>
                <w:sz w:val="18"/>
                <w:szCs w:val="18"/>
                <w:highlight w:val="none"/>
                <w:lang w:val="en-US" w:eastAsia="zh-CN"/>
              </w:rPr>
            </w:pPr>
            <w:r>
              <w:rPr>
                <w:rFonts w:hint="eastAsia" w:ascii="宋体" w:hAnsi="宋体" w:cs="宋体"/>
                <w:color w:val="000000"/>
                <w:kern w:val="0"/>
                <w:sz w:val="18"/>
                <w:szCs w:val="18"/>
                <w:highlight w:val="none"/>
                <w:lang w:val="en-US" w:eastAsia="zh-CN" w:bidi="ar"/>
              </w:rPr>
              <w:t>2</w:t>
            </w:r>
          </w:p>
        </w:tc>
        <w:tc>
          <w:tcPr>
            <w:tcW w:w="397" w:type="pct"/>
            <w:tcBorders>
              <w:top w:val="single" w:color="auto" w:sz="12" w:space="0"/>
              <w:tl2br w:val="nil"/>
              <w:tr2bl w:val="nil"/>
            </w:tcBorders>
            <w:vAlign w:val="center"/>
          </w:tcPr>
          <w:p w14:paraId="7C045316">
            <w:pPr>
              <w:keepNext w:val="0"/>
              <w:keepLines w:val="0"/>
              <w:suppressLineNumbers w:val="0"/>
              <w:autoSpaceDE w:val="0"/>
              <w:autoSpaceDN w:val="0"/>
              <w:spacing w:before="0" w:beforeAutospacing="0" w:after="0" w:afterAutospacing="0"/>
              <w:ind w:left="0" w:right="0"/>
              <w:jc w:val="center"/>
              <w:rPr>
                <w:rFonts w:hint="default" w:ascii="宋体"/>
                <w:sz w:val="18"/>
                <w:szCs w:val="18"/>
                <w:highlight w:val="none"/>
              </w:rPr>
            </w:pPr>
          </w:p>
        </w:tc>
      </w:tr>
      <w:tr w14:paraId="071BCF3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750" w:hRule="atLeast"/>
        </w:trPr>
        <w:tc>
          <w:tcPr>
            <w:tcW w:w="365" w:type="pct"/>
            <w:vMerge w:val="continue"/>
            <w:tcBorders>
              <w:tl2br w:val="nil"/>
              <w:tr2bl w:val="nil"/>
            </w:tcBorders>
            <w:vAlign w:val="center"/>
          </w:tcPr>
          <w:p w14:paraId="4AD7005D">
            <w:pPr>
              <w:keepNext w:val="0"/>
              <w:keepLines w:val="0"/>
              <w:suppressLineNumbers w:val="0"/>
              <w:autoSpaceDE w:val="0"/>
              <w:autoSpaceDN w:val="0"/>
              <w:spacing w:before="0" w:beforeAutospacing="0" w:after="0" w:afterAutospacing="0"/>
              <w:ind w:left="0" w:right="0"/>
              <w:jc w:val="center"/>
              <w:rPr>
                <w:rFonts w:hint="eastAsia" w:ascii="宋体" w:hAnsi="宋体" w:cs="宋体"/>
                <w:sz w:val="18"/>
                <w:szCs w:val="18"/>
                <w:highlight w:val="none"/>
              </w:rPr>
            </w:pPr>
          </w:p>
        </w:tc>
        <w:tc>
          <w:tcPr>
            <w:tcW w:w="872" w:type="pct"/>
            <w:gridSpan w:val="2"/>
            <w:vMerge w:val="continue"/>
            <w:tcBorders>
              <w:tl2br w:val="nil"/>
              <w:tr2bl w:val="nil"/>
            </w:tcBorders>
            <w:vAlign w:val="center"/>
          </w:tcPr>
          <w:p w14:paraId="417DEFA8">
            <w:pPr>
              <w:keepNext w:val="0"/>
              <w:keepLines w:val="0"/>
              <w:suppressLineNumbers w:val="0"/>
              <w:autoSpaceDE w:val="0"/>
              <w:autoSpaceDN w:val="0"/>
              <w:spacing w:before="0" w:beforeAutospacing="0" w:after="0" w:afterAutospacing="0"/>
              <w:ind w:left="0" w:right="0"/>
              <w:jc w:val="center"/>
              <w:rPr>
                <w:rFonts w:hint="eastAsia" w:ascii="宋体" w:hAnsi="宋体" w:cs="宋体"/>
                <w:sz w:val="18"/>
                <w:szCs w:val="18"/>
                <w:highlight w:val="none"/>
              </w:rPr>
            </w:pPr>
          </w:p>
        </w:tc>
        <w:tc>
          <w:tcPr>
            <w:tcW w:w="1185" w:type="pct"/>
            <w:tcBorders>
              <w:tl2br w:val="nil"/>
              <w:tr2bl w:val="nil"/>
            </w:tcBorders>
            <w:vAlign w:val="center"/>
          </w:tcPr>
          <w:p w14:paraId="1DDE0344">
            <w:pPr>
              <w:pStyle w:val="26"/>
              <w:keepNext w:val="0"/>
              <w:keepLines w:val="0"/>
              <w:widowControl/>
              <w:suppressLineNumbers w:val="0"/>
              <w:spacing w:before="0" w:beforeAutospacing="0" w:after="0" w:afterAutospacing="0"/>
              <w:ind w:left="0" w:right="0" w:firstLine="0" w:firstLineChars="0"/>
              <w:rPr>
                <w:rFonts w:hint="eastAsia" w:hAnsi="宋体" w:cs="宋体"/>
                <w:sz w:val="18"/>
                <w:szCs w:val="18"/>
                <w:highlight w:val="none"/>
              </w:rPr>
            </w:pPr>
            <w:r>
              <w:rPr>
                <w:rFonts w:hint="eastAsia" w:hAnsi="宋体" w:cs="宋体"/>
                <w:sz w:val="18"/>
                <w:szCs w:val="18"/>
                <w:highlight w:val="none"/>
              </w:rPr>
              <w:t>企事业单位开展信息披露的情况</w:t>
            </w:r>
          </w:p>
        </w:tc>
        <w:tc>
          <w:tcPr>
            <w:tcW w:w="1762" w:type="pct"/>
            <w:tcBorders>
              <w:tl2br w:val="nil"/>
              <w:tr2bl w:val="nil"/>
            </w:tcBorders>
            <w:vAlign w:val="center"/>
          </w:tcPr>
          <w:p w14:paraId="2B0F53FD">
            <w:pPr>
              <w:pStyle w:val="26"/>
              <w:keepNext w:val="0"/>
              <w:keepLines w:val="0"/>
              <w:widowControl/>
              <w:suppressLineNumbers w:val="0"/>
              <w:spacing w:before="0" w:beforeAutospacing="0" w:after="0" w:afterAutospacing="0"/>
              <w:ind w:left="0" w:right="0" w:firstLine="0" w:firstLineChars="0"/>
              <w:jc w:val="both"/>
              <w:rPr>
                <w:rFonts w:hint="eastAsia" w:ascii="宋体" w:hAnsi="宋体" w:eastAsia="宋体" w:cs="宋体"/>
                <w:sz w:val="18"/>
                <w:szCs w:val="18"/>
                <w:highlight w:val="none"/>
                <w:lang w:val="en-US" w:eastAsia="zh-CN" w:bidi="ar-SA"/>
              </w:rPr>
            </w:pPr>
            <w:r>
              <w:rPr>
                <w:rFonts w:hint="eastAsia" w:hAnsi="宋体" w:cs="宋体"/>
                <w:sz w:val="18"/>
                <w:szCs w:val="18"/>
                <w:highlight w:val="none"/>
              </w:rPr>
              <w:t>主动依据《企业环境信息依法披露管理办法》，通过公开渠道披露产品或服务技术性能、资源能源消耗情况、环境信息等相关内容，或依法依规披露环境、社会和公司治理（ESG）情况。（2分）</w:t>
            </w:r>
          </w:p>
        </w:tc>
        <w:tc>
          <w:tcPr>
            <w:tcW w:w="417" w:type="pct"/>
            <w:tcBorders>
              <w:tl2br w:val="nil"/>
              <w:tr2bl w:val="nil"/>
            </w:tcBorders>
            <w:vAlign w:val="center"/>
          </w:tcPr>
          <w:p w14:paraId="19636A16">
            <w:pPr>
              <w:keepNext w:val="0"/>
              <w:keepLines w:val="0"/>
              <w:widowControl/>
              <w:suppressLineNumbers w:val="0"/>
              <w:spacing w:before="0" w:beforeAutospacing="0" w:after="0" w:afterAutospacing="0"/>
              <w:ind w:left="0" w:right="0"/>
              <w:jc w:val="center"/>
              <w:textAlignment w:val="center"/>
              <w:rPr>
                <w:rFonts w:hint="default" w:ascii="宋体" w:hAnsi="宋体" w:cs="宋体"/>
                <w:color w:val="000000"/>
                <w:kern w:val="0"/>
                <w:sz w:val="18"/>
                <w:szCs w:val="18"/>
                <w:highlight w:val="none"/>
                <w:lang w:val="en-US" w:eastAsia="zh-CN" w:bidi="ar"/>
              </w:rPr>
            </w:pPr>
            <w:r>
              <w:rPr>
                <w:rFonts w:hint="eastAsia" w:ascii="宋体" w:hAnsi="宋体" w:cs="宋体"/>
                <w:color w:val="000000"/>
                <w:kern w:val="0"/>
                <w:sz w:val="18"/>
                <w:szCs w:val="18"/>
                <w:highlight w:val="none"/>
                <w:lang w:val="en-US" w:eastAsia="zh-CN" w:bidi="ar"/>
              </w:rPr>
              <w:t>2</w:t>
            </w:r>
          </w:p>
        </w:tc>
        <w:tc>
          <w:tcPr>
            <w:tcW w:w="397" w:type="pct"/>
            <w:tcBorders>
              <w:tl2br w:val="nil"/>
              <w:tr2bl w:val="nil"/>
            </w:tcBorders>
            <w:vAlign w:val="center"/>
          </w:tcPr>
          <w:p w14:paraId="5CCCDD37">
            <w:pPr>
              <w:keepNext w:val="0"/>
              <w:keepLines w:val="0"/>
              <w:suppressLineNumbers w:val="0"/>
              <w:autoSpaceDE w:val="0"/>
              <w:autoSpaceDN w:val="0"/>
              <w:spacing w:before="0" w:beforeAutospacing="0" w:after="0" w:afterAutospacing="0"/>
              <w:ind w:left="0" w:right="0"/>
              <w:jc w:val="center"/>
              <w:rPr>
                <w:rFonts w:hint="default" w:ascii="宋体"/>
                <w:sz w:val="18"/>
                <w:szCs w:val="18"/>
                <w:highlight w:val="none"/>
              </w:rPr>
            </w:pPr>
          </w:p>
        </w:tc>
      </w:tr>
      <w:tr w14:paraId="4D6F428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69" w:hRule="atLeast"/>
        </w:trPr>
        <w:tc>
          <w:tcPr>
            <w:tcW w:w="365" w:type="pct"/>
            <w:vMerge w:val="continue"/>
            <w:tcBorders>
              <w:tl2br w:val="nil"/>
              <w:tr2bl w:val="nil"/>
            </w:tcBorders>
            <w:vAlign w:val="center"/>
          </w:tcPr>
          <w:p w14:paraId="19346922">
            <w:pPr>
              <w:keepNext w:val="0"/>
              <w:keepLines w:val="0"/>
              <w:suppressLineNumbers w:val="0"/>
              <w:autoSpaceDE w:val="0"/>
              <w:autoSpaceDN w:val="0"/>
              <w:spacing w:before="0" w:beforeAutospacing="0" w:after="0" w:afterAutospacing="0"/>
              <w:ind w:left="0" w:right="0"/>
              <w:jc w:val="center"/>
              <w:rPr>
                <w:rFonts w:hint="eastAsia" w:ascii="宋体" w:hAnsi="宋体" w:cs="宋体"/>
                <w:sz w:val="18"/>
                <w:szCs w:val="18"/>
                <w:highlight w:val="none"/>
              </w:rPr>
            </w:pPr>
          </w:p>
        </w:tc>
        <w:tc>
          <w:tcPr>
            <w:tcW w:w="872" w:type="pct"/>
            <w:gridSpan w:val="2"/>
            <w:vMerge w:val="continue"/>
            <w:tcBorders>
              <w:tl2br w:val="nil"/>
              <w:tr2bl w:val="nil"/>
            </w:tcBorders>
            <w:vAlign w:val="center"/>
          </w:tcPr>
          <w:p w14:paraId="0CD289E5">
            <w:pPr>
              <w:keepNext w:val="0"/>
              <w:keepLines w:val="0"/>
              <w:suppressLineNumbers w:val="0"/>
              <w:autoSpaceDE w:val="0"/>
              <w:autoSpaceDN w:val="0"/>
              <w:spacing w:before="0" w:beforeAutospacing="0" w:after="0" w:afterAutospacing="0"/>
              <w:ind w:left="0" w:right="0"/>
              <w:jc w:val="center"/>
              <w:rPr>
                <w:rFonts w:hint="eastAsia" w:ascii="宋体" w:hAnsi="宋体" w:cs="宋体"/>
                <w:sz w:val="18"/>
                <w:szCs w:val="18"/>
                <w:highlight w:val="none"/>
              </w:rPr>
            </w:pPr>
          </w:p>
        </w:tc>
        <w:tc>
          <w:tcPr>
            <w:tcW w:w="1185" w:type="pct"/>
            <w:tcBorders>
              <w:tl2br w:val="nil"/>
              <w:tr2bl w:val="nil"/>
            </w:tcBorders>
            <w:vAlign w:val="center"/>
          </w:tcPr>
          <w:p w14:paraId="33B0294B">
            <w:pPr>
              <w:pStyle w:val="26"/>
              <w:keepNext w:val="0"/>
              <w:keepLines w:val="0"/>
              <w:widowControl/>
              <w:suppressLineNumbers w:val="0"/>
              <w:spacing w:before="0" w:beforeAutospacing="0" w:after="0" w:afterAutospacing="0"/>
              <w:ind w:left="0" w:right="0" w:firstLine="0" w:firstLineChars="0"/>
              <w:rPr>
                <w:rFonts w:hint="eastAsia" w:hAnsi="宋体" w:cs="宋体"/>
                <w:sz w:val="18"/>
                <w:szCs w:val="18"/>
                <w:highlight w:val="none"/>
              </w:rPr>
            </w:pPr>
            <w:r>
              <w:rPr>
                <w:rFonts w:hint="eastAsia" w:hAnsi="宋体" w:cs="宋体"/>
                <w:sz w:val="18"/>
                <w:szCs w:val="18"/>
                <w:highlight w:val="none"/>
              </w:rPr>
              <w:t>企事业单位开展低碳培训的情况</w:t>
            </w:r>
          </w:p>
        </w:tc>
        <w:tc>
          <w:tcPr>
            <w:tcW w:w="1762" w:type="pct"/>
            <w:tcBorders>
              <w:tl2br w:val="nil"/>
              <w:tr2bl w:val="nil"/>
            </w:tcBorders>
            <w:vAlign w:val="center"/>
          </w:tcPr>
          <w:p w14:paraId="7CE9CCFC">
            <w:pPr>
              <w:pStyle w:val="26"/>
              <w:keepNext w:val="0"/>
              <w:keepLines w:val="0"/>
              <w:widowControl/>
              <w:suppressLineNumbers w:val="0"/>
              <w:spacing w:before="0" w:beforeAutospacing="0" w:after="0" w:afterAutospacing="0"/>
              <w:ind w:left="0" w:right="0" w:firstLine="0" w:firstLineChars="0"/>
              <w:jc w:val="both"/>
              <w:rPr>
                <w:rFonts w:hint="eastAsia" w:ascii="宋体" w:hAnsi="宋体" w:eastAsia="宋体" w:cs="宋体"/>
                <w:sz w:val="18"/>
                <w:szCs w:val="18"/>
                <w:highlight w:val="none"/>
                <w:lang w:val="en-US" w:eastAsia="zh-CN" w:bidi="ar-SA"/>
              </w:rPr>
            </w:pPr>
            <w:r>
              <w:rPr>
                <w:rFonts w:hint="eastAsia" w:hAnsi="宋体" w:cs="宋体"/>
                <w:sz w:val="18"/>
                <w:szCs w:val="18"/>
                <w:highlight w:val="none"/>
              </w:rPr>
              <w:t>每年对员工开展2次及以上低碳环保、节能减排、循环经济等主题培训。（</w:t>
            </w:r>
            <w:r>
              <w:rPr>
                <w:rFonts w:hint="eastAsia" w:hAnsi="宋体" w:cs="宋体"/>
                <w:sz w:val="18"/>
                <w:szCs w:val="18"/>
                <w:highlight w:val="none"/>
                <w:lang w:val="en-US" w:eastAsia="zh-CN"/>
              </w:rPr>
              <w:t>1</w:t>
            </w:r>
            <w:r>
              <w:rPr>
                <w:rFonts w:hint="eastAsia" w:hAnsi="宋体" w:cs="宋体"/>
                <w:sz w:val="18"/>
                <w:szCs w:val="18"/>
                <w:highlight w:val="none"/>
              </w:rPr>
              <w:t>分）</w:t>
            </w:r>
          </w:p>
        </w:tc>
        <w:tc>
          <w:tcPr>
            <w:tcW w:w="417" w:type="pct"/>
            <w:tcBorders>
              <w:tl2br w:val="nil"/>
              <w:tr2bl w:val="nil"/>
            </w:tcBorders>
            <w:vAlign w:val="center"/>
          </w:tcPr>
          <w:p w14:paraId="472A3C05">
            <w:pPr>
              <w:keepNext w:val="0"/>
              <w:keepLines w:val="0"/>
              <w:widowControl/>
              <w:suppressLineNumbers w:val="0"/>
              <w:spacing w:before="0" w:beforeAutospacing="0" w:after="0" w:afterAutospacing="0"/>
              <w:ind w:left="0" w:right="0"/>
              <w:jc w:val="center"/>
              <w:textAlignment w:val="center"/>
              <w:rPr>
                <w:rFonts w:hint="default" w:ascii="宋体" w:hAnsi="宋体" w:cs="宋体"/>
                <w:color w:val="000000"/>
                <w:kern w:val="0"/>
                <w:sz w:val="18"/>
                <w:szCs w:val="18"/>
                <w:highlight w:val="none"/>
                <w:lang w:val="en-US" w:eastAsia="zh-CN" w:bidi="ar"/>
              </w:rPr>
            </w:pPr>
            <w:r>
              <w:rPr>
                <w:rFonts w:hint="eastAsia" w:ascii="宋体" w:hAnsi="宋体" w:cs="宋体"/>
                <w:color w:val="000000"/>
                <w:kern w:val="0"/>
                <w:sz w:val="18"/>
                <w:szCs w:val="18"/>
                <w:highlight w:val="none"/>
                <w:lang w:val="en-US" w:eastAsia="zh-CN" w:bidi="ar"/>
              </w:rPr>
              <w:t>1</w:t>
            </w:r>
          </w:p>
        </w:tc>
        <w:tc>
          <w:tcPr>
            <w:tcW w:w="397" w:type="pct"/>
            <w:tcBorders>
              <w:tl2br w:val="nil"/>
              <w:tr2bl w:val="nil"/>
            </w:tcBorders>
            <w:vAlign w:val="center"/>
          </w:tcPr>
          <w:p w14:paraId="13829829">
            <w:pPr>
              <w:keepNext w:val="0"/>
              <w:keepLines w:val="0"/>
              <w:suppressLineNumbers w:val="0"/>
              <w:autoSpaceDE w:val="0"/>
              <w:autoSpaceDN w:val="0"/>
              <w:spacing w:before="0" w:beforeAutospacing="0" w:after="0" w:afterAutospacing="0"/>
              <w:ind w:left="0" w:right="0"/>
              <w:jc w:val="center"/>
              <w:rPr>
                <w:rFonts w:hint="default" w:ascii="宋体"/>
                <w:sz w:val="18"/>
                <w:szCs w:val="18"/>
                <w:highlight w:val="none"/>
              </w:rPr>
            </w:pPr>
          </w:p>
        </w:tc>
      </w:tr>
      <w:tr w14:paraId="72732D1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393" w:hRule="atLeast"/>
        </w:trPr>
        <w:tc>
          <w:tcPr>
            <w:tcW w:w="365" w:type="pct"/>
            <w:vMerge w:val="continue"/>
            <w:tcBorders>
              <w:tl2br w:val="nil"/>
              <w:tr2bl w:val="nil"/>
            </w:tcBorders>
            <w:vAlign w:val="center"/>
          </w:tcPr>
          <w:p w14:paraId="57525CAE">
            <w:pPr>
              <w:keepNext w:val="0"/>
              <w:keepLines w:val="0"/>
              <w:suppressLineNumbers w:val="0"/>
              <w:autoSpaceDE w:val="0"/>
              <w:autoSpaceDN w:val="0"/>
              <w:spacing w:before="0" w:beforeAutospacing="0" w:after="0" w:afterAutospacing="0"/>
              <w:ind w:left="0" w:right="0"/>
              <w:jc w:val="center"/>
              <w:rPr>
                <w:rFonts w:hint="default" w:ascii="宋体" w:hAnsi="宋体" w:cs="宋体"/>
                <w:sz w:val="18"/>
                <w:szCs w:val="18"/>
                <w:highlight w:val="none"/>
              </w:rPr>
            </w:pPr>
          </w:p>
        </w:tc>
        <w:tc>
          <w:tcPr>
            <w:tcW w:w="872" w:type="pct"/>
            <w:gridSpan w:val="2"/>
            <w:vMerge w:val="restart"/>
            <w:tcBorders>
              <w:tl2br w:val="nil"/>
              <w:tr2bl w:val="nil"/>
            </w:tcBorders>
            <w:vAlign w:val="center"/>
          </w:tcPr>
          <w:p w14:paraId="38889CE8">
            <w:pPr>
              <w:keepNext w:val="0"/>
              <w:keepLines w:val="0"/>
              <w:suppressLineNumbers w:val="0"/>
              <w:autoSpaceDE w:val="0"/>
              <w:autoSpaceDN w:val="0"/>
              <w:spacing w:before="0" w:beforeAutospacing="0" w:after="0" w:afterAutospacing="0"/>
              <w:ind w:left="0" w:right="0"/>
              <w:jc w:val="center"/>
              <w:rPr>
                <w:rFonts w:hint="default" w:ascii="宋体" w:hAnsi="宋体" w:cs="宋体"/>
                <w:sz w:val="18"/>
                <w:szCs w:val="18"/>
                <w:highlight w:val="none"/>
              </w:rPr>
            </w:pPr>
            <w:r>
              <w:rPr>
                <w:rFonts w:hint="eastAsia" w:ascii="宋体" w:hAnsi="宋体" w:cs="宋体"/>
                <w:sz w:val="18"/>
                <w:szCs w:val="18"/>
                <w:highlight w:val="none"/>
              </w:rPr>
              <w:t>社会责任</w:t>
            </w:r>
          </w:p>
        </w:tc>
        <w:tc>
          <w:tcPr>
            <w:tcW w:w="2266" w:type="dxa"/>
            <w:tcBorders>
              <w:tl2br w:val="nil"/>
              <w:tr2bl w:val="nil"/>
            </w:tcBorders>
            <w:vAlign w:val="center"/>
          </w:tcPr>
          <w:p w14:paraId="5668EC14">
            <w:pPr>
              <w:pStyle w:val="26"/>
              <w:keepNext w:val="0"/>
              <w:keepLines w:val="0"/>
              <w:widowControl/>
              <w:suppressLineNumbers w:val="0"/>
              <w:spacing w:before="0" w:beforeAutospacing="0" w:after="0" w:afterAutospacing="0"/>
              <w:ind w:left="0" w:right="0" w:firstLine="0" w:firstLineChars="0"/>
              <w:rPr>
                <w:rFonts w:hint="default" w:hAnsi="宋体" w:cs="宋体"/>
                <w:sz w:val="18"/>
                <w:szCs w:val="18"/>
                <w:highlight w:val="none"/>
              </w:rPr>
            </w:pPr>
            <w:r>
              <w:rPr>
                <w:rFonts w:hint="eastAsia" w:hAnsi="宋体" w:cs="宋体"/>
                <w:sz w:val="18"/>
                <w:szCs w:val="18"/>
                <w:highlight w:val="none"/>
              </w:rPr>
              <w:t>企事业单位履行公共关系和社会公益责任的情况，满足其中任一项可得分</w:t>
            </w:r>
          </w:p>
        </w:tc>
        <w:tc>
          <w:tcPr>
            <w:tcW w:w="3369" w:type="dxa"/>
            <w:tcBorders>
              <w:tl2br w:val="nil"/>
              <w:tr2bl w:val="nil"/>
            </w:tcBorders>
            <w:vAlign w:val="center"/>
          </w:tcPr>
          <w:p w14:paraId="70486307">
            <w:pPr>
              <w:pStyle w:val="26"/>
              <w:keepNext w:val="0"/>
              <w:keepLines w:val="0"/>
              <w:widowControl/>
              <w:suppressLineNumbers w:val="0"/>
              <w:spacing w:before="0" w:beforeAutospacing="0" w:after="0" w:afterAutospacing="0"/>
              <w:ind w:left="0" w:right="0" w:firstLine="0" w:firstLineChars="0"/>
              <w:jc w:val="both"/>
              <w:rPr>
                <w:rFonts w:hint="default" w:ascii="宋体" w:hAnsi="宋体" w:eastAsia="宋体" w:cs="宋体"/>
                <w:sz w:val="18"/>
                <w:szCs w:val="18"/>
                <w:highlight w:val="none"/>
                <w:lang w:val="en-US" w:eastAsia="zh-CN" w:bidi="ar-SA"/>
              </w:rPr>
            </w:pPr>
            <w:r>
              <w:rPr>
                <w:rFonts w:hint="eastAsia" w:hAnsi="宋体" w:cs="宋体"/>
                <w:sz w:val="18"/>
                <w:szCs w:val="18"/>
                <w:highlight w:val="none"/>
              </w:rPr>
              <w:t>主动举办环保公益活动，或参加环境保护、教育、扶贫济困等公益活动，或积极对重大自然灾害、突发事件提供援助。（1分）</w:t>
            </w:r>
          </w:p>
        </w:tc>
        <w:tc>
          <w:tcPr>
            <w:tcW w:w="799" w:type="dxa"/>
            <w:tcBorders>
              <w:tl2br w:val="nil"/>
              <w:tr2bl w:val="nil"/>
            </w:tcBorders>
            <w:vAlign w:val="center"/>
          </w:tcPr>
          <w:p w14:paraId="4B1D658B">
            <w:pPr>
              <w:pStyle w:val="26"/>
              <w:keepNext w:val="0"/>
              <w:keepLines w:val="0"/>
              <w:widowControl/>
              <w:suppressLineNumbers w:val="0"/>
              <w:spacing w:before="0" w:beforeAutospacing="0" w:after="0" w:afterAutospacing="0"/>
              <w:ind w:left="0" w:right="0" w:firstLine="0" w:firstLineChars="0"/>
              <w:jc w:val="center"/>
              <w:rPr>
                <w:rFonts w:hint="eastAsia" w:ascii="宋体" w:hAnsi="宋体" w:eastAsia="宋体" w:cs="宋体"/>
                <w:sz w:val="18"/>
                <w:szCs w:val="18"/>
                <w:highlight w:val="none"/>
                <w:lang w:eastAsia="zh-CN"/>
              </w:rPr>
            </w:pPr>
            <w:r>
              <w:rPr>
                <w:rFonts w:hint="eastAsia" w:hAnsi="宋体" w:cs="宋体"/>
                <w:sz w:val="18"/>
                <w:szCs w:val="18"/>
                <w:highlight w:val="none"/>
              </w:rPr>
              <w:t>1</w:t>
            </w:r>
          </w:p>
        </w:tc>
        <w:tc>
          <w:tcPr>
            <w:tcW w:w="397" w:type="pct"/>
            <w:tcBorders>
              <w:tl2br w:val="nil"/>
              <w:tr2bl w:val="nil"/>
            </w:tcBorders>
            <w:vAlign w:val="center"/>
          </w:tcPr>
          <w:p w14:paraId="192A3064">
            <w:pPr>
              <w:keepNext w:val="0"/>
              <w:keepLines w:val="0"/>
              <w:suppressLineNumbers w:val="0"/>
              <w:autoSpaceDE w:val="0"/>
              <w:autoSpaceDN w:val="0"/>
              <w:spacing w:before="0" w:beforeAutospacing="0" w:after="0" w:afterAutospacing="0"/>
              <w:ind w:left="0" w:right="0"/>
              <w:jc w:val="center"/>
              <w:rPr>
                <w:rFonts w:hint="default" w:ascii="宋体"/>
                <w:sz w:val="18"/>
                <w:szCs w:val="18"/>
                <w:highlight w:val="none"/>
              </w:rPr>
            </w:pPr>
          </w:p>
        </w:tc>
      </w:tr>
      <w:tr w14:paraId="6E3410D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026" w:hRule="atLeast"/>
        </w:trPr>
        <w:tc>
          <w:tcPr>
            <w:tcW w:w="365" w:type="pct"/>
            <w:vMerge w:val="continue"/>
            <w:tcBorders>
              <w:bottom w:val="single" w:color="auto" w:sz="12" w:space="0"/>
              <w:tl2br w:val="nil"/>
              <w:tr2bl w:val="nil"/>
            </w:tcBorders>
            <w:vAlign w:val="center"/>
          </w:tcPr>
          <w:p w14:paraId="6FEE6AB6">
            <w:pPr>
              <w:keepNext w:val="0"/>
              <w:keepLines w:val="0"/>
              <w:suppressLineNumbers w:val="0"/>
              <w:autoSpaceDE w:val="0"/>
              <w:autoSpaceDN w:val="0"/>
              <w:spacing w:before="0" w:beforeAutospacing="0" w:after="0" w:afterAutospacing="0"/>
              <w:ind w:left="0" w:right="0"/>
              <w:jc w:val="center"/>
              <w:rPr>
                <w:rFonts w:hint="default" w:ascii="宋体" w:hAnsi="宋体" w:cs="宋体"/>
                <w:sz w:val="18"/>
                <w:szCs w:val="18"/>
                <w:highlight w:val="none"/>
              </w:rPr>
            </w:pPr>
          </w:p>
        </w:tc>
        <w:tc>
          <w:tcPr>
            <w:tcW w:w="872" w:type="pct"/>
            <w:gridSpan w:val="2"/>
            <w:vMerge w:val="continue"/>
            <w:tcBorders>
              <w:bottom w:val="single" w:color="auto" w:sz="12" w:space="0"/>
              <w:tl2br w:val="nil"/>
              <w:tr2bl w:val="nil"/>
            </w:tcBorders>
            <w:vAlign w:val="center"/>
          </w:tcPr>
          <w:p w14:paraId="4F658381">
            <w:pPr>
              <w:keepNext w:val="0"/>
              <w:keepLines w:val="0"/>
              <w:suppressLineNumbers w:val="0"/>
              <w:autoSpaceDE w:val="0"/>
              <w:autoSpaceDN w:val="0"/>
              <w:spacing w:before="0" w:beforeAutospacing="0" w:after="0" w:afterAutospacing="0"/>
              <w:ind w:left="0" w:right="0"/>
              <w:jc w:val="center"/>
              <w:rPr>
                <w:rFonts w:hint="eastAsia" w:ascii="宋体" w:hAnsi="宋体" w:cs="宋体"/>
                <w:sz w:val="18"/>
                <w:szCs w:val="18"/>
                <w:highlight w:val="none"/>
              </w:rPr>
            </w:pPr>
          </w:p>
        </w:tc>
        <w:tc>
          <w:tcPr>
            <w:tcW w:w="2266" w:type="dxa"/>
            <w:tcBorders>
              <w:bottom w:val="single" w:color="auto" w:sz="12" w:space="0"/>
              <w:tl2br w:val="nil"/>
              <w:tr2bl w:val="nil"/>
            </w:tcBorders>
            <w:vAlign w:val="center"/>
          </w:tcPr>
          <w:p w14:paraId="1307534B">
            <w:pPr>
              <w:pStyle w:val="26"/>
              <w:keepNext w:val="0"/>
              <w:keepLines w:val="0"/>
              <w:widowControl/>
              <w:suppressLineNumbers w:val="0"/>
              <w:spacing w:before="0" w:beforeAutospacing="0" w:after="0" w:afterAutospacing="0"/>
              <w:ind w:left="0" w:right="0" w:firstLine="0" w:firstLineChars="0"/>
              <w:rPr>
                <w:rFonts w:hint="eastAsia" w:hAnsi="宋体" w:cs="宋体"/>
                <w:sz w:val="18"/>
                <w:szCs w:val="18"/>
                <w:highlight w:val="none"/>
              </w:rPr>
            </w:pPr>
            <w:r>
              <w:rPr>
                <w:rFonts w:hint="eastAsia" w:hAnsi="宋体" w:cs="宋体"/>
                <w:sz w:val="18"/>
                <w:szCs w:val="18"/>
                <w:highlight w:val="none"/>
              </w:rPr>
              <w:t>企事业单位实施供应链绿色化管理的情况，满足其中任一项可得分</w:t>
            </w:r>
          </w:p>
        </w:tc>
        <w:tc>
          <w:tcPr>
            <w:tcW w:w="3369" w:type="dxa"/>
            <w:tcBorders>
              <w:bottom w:val="single" w:color="auto" w:sz="12" w:space="0"/>
              <w:tl2br w:val="nil"/>
              <w:tr2bl w:val="nil"/>
            </w:tcBorders>
            <w:vAlign w:val="center"/>
          </w:tcPr>
          <w:p w14:paraId="4A256942">
            <w:pPr>
              <w:pStyle w:val="26"/>
              <w:keepNext w:val="0"/>
              <w:keepLines w:val="0"/>
              <w:widowControl/>
              <w:suppressLineNumbers w:val="0"/>
              <w:spacing w:before="0" w:beforeAutospacing="0" w:after="0" w:afterAutospacing="0"/>
              <w:ind w:left="0" w:right="0" w:firstLine="0" w:firstLineChars="0"/>
              <w:jc w:val="both"/>
              <w:rPr>
                <w:rFonts w:hint="eastAsia" w:ascii="宋体" w:hAnsi="宋体" w:eastAsia="宋体" w:cs="宋体"/>
                <w:sz w:val="18"/>
                <w:szCs w:val="18"/>
                <w:highlight w:val="none"/>
                <w:lang w:val="en-US" w:eastAsia="zh-CN" w:bidi="ar-SA"/>
              </w:rPr>
            </w:pPr>
            <w:r>
              <w:rPr>
                <w:rFonts w:hint="eastAsia" w:hAnsi="宋体" w:cs="宋体"/>
                <w:sz w:val="18"/>
                <w:szCs w:val="18"/>
                <w:highlight w:val="none"/>
              </w:rPr>
              <w:t>获得在有效期内的绿色供应链管理体系认证证书，或实施供应商绿色化管理相关制度。（1分）</w:t>
            </w:r>
          </w:p>
        </w:tc>
        <w:tc>
          <w:tcPr>
            <w:tcW w:w="799" w:type="dxa"/>
            <w:tcBorders>
              <w:bottom w:val="single" w:color="auto" w:sz="12" w:space="0"/>
              <w:tl2br w:val="nil"/>
              <w:tr2bl w:val="nil"/>
            </w:tcBorders>
            <w:vAlign w:val="center"/>
          </w:tcPr>
          <w:p w14:paraId="18DB428D">
            <w:pPr>
              <w:pStyle w:val="26"/>
              <w:keepNext w:val="0"/>
              <w:keepLines w:val="0"/>
              <w:widowControl/>
              <w:suppressLineNumbers w:val="0"/>
              <w:spacing w:before="0" w:beforeAutospacing="0" w:after="0" w:afterAutospacing="0"/>
              <w:ind w:left="0" w:right="0" w:firstLine="0" w:firstLineChars="0"/>
              <w:jc w:val="center"/>
              <w:rPr>
                <w:rFonts w:hint="eastAsia" w:ascii="宋体" w:hAnsi="宋体" w:cs="宋体"/>
                <w:color w:val="000000"/>
                <w:kern w:val="0"/>
                <w:sz w:val="18"/>
                <w:szCs w:val="18"/>
                <w:highlight w:val="none"/>
                <w:lang w:val="en-US" w:eastAsia="zh-CN" w:bidi="ar"/>
              </w:rPr>
            </w:pPr>
            <w:r>
              <w:rPr>
                <w:rFonts w:hint="eastAsia" w:hAnsi="宋体" w:cs="宋体"/>
                <w:sz w:val="18"/>
                <w:szCs w:val="18"/>
                <w:highlight w:val="none"/>
              </w:rPr>
              <w:t>1</w:t>
            </w:r>
          </w:p>
        </w:tc>
        <w:tc>
          <w:tcPr>
            <w:tcW w:w="397" w:type="pct"/>
            <w:tcBorders>
              <w:bottom w:val="single" w:color="auto" w:sz="12" w:space="0"/>
              <w:tl2br w:val="nil"/>
              <w:tr2bl w:val="nil"/>
            </w:tcBorders>
            <w:vAlign w:val="center"/>
          </w:tcPr>
          <w:p w14:paraId="317E8FAE">
            <w:pPr>
              <w:keepNext w:val="0"/>
              <w:keepLines w:val="0"/>
              <w:suppressLineNumbers w:val="0"/>
              <w:autoSpaceDE w:val="0"/>
              <w:autoSpaceDN w:val="0"/>
              <w:spacing w:before="0" w:beforeAutospacing="0" w:after="0" w:afterAutospacing="0"/>
              <w:ind w:left="0" w:right="0"/>
              <w:jc w:val="center"/>
              <w:rPr>
                <w:rFonts w:hint="default" w:ascii="宋体"/>
                <w:sz w:val="18"/>
                <w:szCs w:val="18"/>
                <w:highlight w:val="none"/>
              </w:rPr>
            </w:pPr>
          </w:p>
        </w:tc>
      </w:tr>
      <w:tr w14:paraId="50AF998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2" w:hRule="atLeast"/>
        </w:trPr>
        <w:tc>
          <w:tcPr>
            <w:tcW w:w="4602" w:type="pct"/>
            <w:gridSpan w:val="6"/>
            <w:tcBorders>
              <w:top w:val="single" w:color="auto" w:sz="12" w:space="0"/>
            </w:tcBorders>
            <w:vAlign w:val="center"/>
          </w:tcPr>
          <w:p w14:paraId="3122406A">
            <w:pPr>
              <w:keepNext w:val="0"/>
              <w:keepLines w:val="0"/>
              <w:suppressLineNumbers w:val="0"/>
              <w:autoSpaceDE w:val="0"/>
              <w:autoSpaceDN w:val="0"/>
              <w:spacing w:before="0" w:beforeAutospacing="0" w:after="0" w:afterAutospacing="0"/>
              <w:ind w:left="0" w:right="0"/>
              <w:jc w:val="center"/>
              <w:rPr>
                <w:rFonts w:hint="default" w:ascii="宋体"/>
                <w:b/>
                <w:sz w:val="18"/>
                <w:szCs w:val="18"/>
                <w:highlight w:val="none"/>
              </w:rPr>
            </w:pPr>
            <w:r>
              <w:rPr>
                <w:rFonts w:hint="default" w:ascii="宋体"/>
                <w:b/>
                <w:sz w:val="18"/>
                <w:szCs w:val="18"/>
                <w:highlight w:val="none"/>
              </w:rPr>
              <w:t>总得分</w:t>
            </w:r>
          </w:p>
        </w:tc>
        <w:tc>
          <w:tcPr>
            <w:tcW w:w="397" w:type="pct"/>
            <w:tcBorders>
              <w:top w:val="single" w:color="auto" w:sz="12" w:space="0"/>
            </w:tcBorders>
            <w:vAlign w:val="center"/>
          </w:tcPr>
          <w:p w14:paraId="5CA404C3">
            <w:pPr>
              <w:keepNext w:val="0"/>
              <w:keepLines w:val="0"/>
              <w:suppressLineNumbers w:val="0"/>
              <w:autoSpaceDE w:val="0"/>
              <w:autoSpaceDN w:val="0"/>
              <w:spacing w:before="0" w:beforeAutospacing="0" w:after="0" w:afterAutospacing="0" w:line="240" w:lineRule="atLeast"/>
              <w:ind w:left="0" w:right="0"/>
              <w:jc w:val="center"/>
              <w:rPr>
                <w:rFonts w:hint="default" w:ascii="宋体"/>
                <w:b/>
                <w:sz w:val="18"/>
                <w:szCs w:val="18"/>
                <w:highlight w:val="none"/>
              </w:rPr>
            </w:pPr>
          </w:p>
        </w:tc>
      </w:tr>
    </w:tbl>
    <w:p w14:paraId="30BF8DCC">
      <w:pPr>
        <w:keepNext w:val="0"/>
        <w:keepLines w:val="0"/>
        <w:pageBreakBefore w:val="0"/>
        <w:widowControl w:val="0"/>
        <w:kinsoku/>
        <w:wordWrap/>
        <w:overflowPunct/>
        <w:topLinePunct w:val="0"/>
        <w:autoSpaceDE/>
        <w:autoSpaceDN/>
        <w:bidi w:val="0"/>
        <w:adjustRightInd/>
        <w:snapToGrid/>
        <w:spacing w:before="313" w:beforeLines="100" w:after="157" w:afterLines="50"/>
        <w:textAlignment w:val="auto"/>
        <w:rPr>
          <w:rFonts w:hint="eastAsia" w:ascii="黑体" w:hAnsi="黑体" w:eastAsia="黑体" w:cs="黑体"/>
          <w:highlight w:val="none"/>
          <w:lang w:val="en-US" w:eastAsia="zh-CN"/>
        </w:rPr>
      </w:pPr>
      <w:r>
        <w:rPr>
          <w:rFonts w:hint="eastAsia" w:ascii="黑体" w:hAnsi="黑体" w:eastAsia="黑体" w:cs="黑体"/>
          <w:highlight w:val="none"/>
          <w:lang w:val="en-US" w:eastAsia="zh-CN"/>
        </w:rPr>
        <w:t>E.2  绿色低碳产业项目认定评价指标</w:t>
      </w:r>
    </w:p>
    <w:p w14:paraId="10EA6D49">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宋体" w:hAnsi="宋体" w:eastAsia="宋体" w:cs="宋体"/>
          <w:szCs w:val="21"/>
          <w:highlight w:val="none"/>
        </w:rPr>
      </w:pPr>
      <w:r>
        <w:rPr>
          <w:rFonts w:hint="eastAsia" w:ascii="宋体" w:hAnsi="宋体" w:cs="宋体"/>
          <w:highlight w:val="none"/>
          <w:lang w:val="en-US" w:eastAsia="zh-CN"/>
        </w:rPr>
        <w:t>温室气体控制</w:t>
      </w:r>
      <w:r>
        <w:rPr>
          <w:rFonts w:hint="eastAsia" w:ascii="宋体" w:hAnsi="宋体" w:eastAsia="宋体" w:cs="宋体"/>
          <w:highlight w:val="none"/>
          <w:lang w:val="en-US" w:eastAsia="zh-CN"/>
        </w:rPr>
        <w:t>领域绿色低碳产业项目认定评价指标见表</w:t>
      </w:r>
      <w:r>
        <w:rPr>
          <w:rFonts w:hint="eastAsia" w:ascii="宋体" w:hAnsi="宋体" w:cs="宋体"/>
          <w:highlight w:val="none"/>
          <w:lang w:val="en-US" w:eastAsia="zh-CN"/>
        </w:rPr>
        <w:t>E</w:t>
      </w:r>
      <w:r>
        <w:rPr>
          <w:rFonts w:hint="eastAsia" w:ascii="宋体" w:hAnsi="宋体" w:eastAsia="宋体" w:cs="宋体"/>
          <w:highlight w:val="none"/>
          <w:lang w:val="en-US" w:eastAsia="zh-CN"/>
        </w:rPr>
        <w:t>.3和表</w:t>
      </w:r>
      <w:r>
        <w:rPr>
          <w:rFonts w:hint="eastAsia" w:ascii="宋体" w:hAnsi="宋体" w:cs="宋体"/>
          <w:highlight w:val="none"/>
          <w:lang w:val="en-US" w:eastAsia="zh-CN"/>
        </w:rPr>
        <w:t>E</w:t>
      </w:r>
      <w:r>
        <w:rPr>
          <w:rFonts w:hint="eastAsia" w:ascii="宋体" w:hAnsi="宋体" w:eastAsia="宋体" w:cs="宋体"/>
          <w:highlight w:val="none"/>
          <w:lang w:val="en-US" w:eastAsia="zh-CN"/>
        </w:rPr>
        <w:t>.4。</w:t>
      </w:r>
      <w:r>
        <w:rPr>
          <w:rFonts w:hint="eastAsia" w:ascii="宋体" w:hAnsi="宋体" w:cs="宋体"/>
          <w:highlight w:val="none"/>
          <w:lang w:val="en-US" w:eastAsia="zh-CN"/>
        </w:rPr>
        <w:t>温室气体控制</w:t>
      </w:r>
      <w:r>
        <w:rPr>
          <w:rFonts w:hint="eastAsia" w:ascii="宋体" w:hAnsi="宋体" w:eastAsia="宋体" w:cs="宋体"/>
          <w:highlight w:val="none"/>
          <w:lang w:val="en-US" w:eastAsia="zh-CN"/>
        </w:rPr>
        <w:t>领域绿色低碳产业项目各评价指标佐证材料索引见表</w:t>
      </w:r>
      <w:r>
        <w:rPr>
          <w:rFonts w:hint="eastAsia" w:ascii="宋体" w:hAnsi="宋体" w:cs="宋体"/>
          <w:highlight w:val="none"/>
          <w:lang w:val="en-US" w:eastAsia="zh-CN"/>
        </w:rPr>
        <w:t>D</w:t>
      </w:r>
      <w:r>
        <w:rPr>
          <w:rFonts w:hint="eastAsia" w:ascii="宋体" w:hAnsi="宋体" w:eastAsia="宋体" w:cs="宋体"/>
          <w:highlight w:val="none"/>
          <w:lang w:val="en-US" w:eastAsia="zh-CN"/>
        </w:rPr>
        <w:t>.3、表</w:t>
      </w:r>
      <w:r>
        <w:rPr>
          <w:rFonts w:hint="eastAsia" w:ascii="宋体" w:hAnsi="宋体" w:cs="宋体"/>
          <w:highlight w:val="none"/>
          <w:lang w:val="en-US" w:eastAsia="zh-CN"/>
        </w:rPr>
        <w:t>D</w:t>
      </w:r>
      <w:r>
        <w:rPr>
          <w:rFonts w:hint="eastAsia" w:ascii="宋体" w:hAnsi="宋体" w:eastAsia="宋体" w:cs="宋体"/>
          <w:highlight w:val="none"/>
          <w:lang w:val="en-US" w:eastAsia="zh-CN"/>
        </w:rPr>
        <w:t>.4。</w:t>
      </w:r>
    </w:p>
    <w:p w14:paraId="76E56A07">
      <w:pPr>
        <w:keepNext w:val="0"/>
        <w:keepLines w:val="0"/>
        <w:pageBreakBefore w:val="0"/>
        <w:widowControl w:val="0"/>
        <w:numPr>
          <w:ilvl w:val="-1"/>
          <w:numId w:val="0"/>
        </w:numPr>
        <w:kinsoku/>
        <w:wordWrap/>
        <w:overflowPunct/>
        <w:topLinePunct w:val="0"/>
        <w:autoSpaceDE/>
        <w:autoSpaceDN/>
        <w:bidi w:val="0"/>
        <w:adjustRightInd/>
        <w:snapToGrid/>
        <w:spacing w:before="157" w:beforeLines="50" w:after="157" w:afterLines="50"/>
        <w:jc w:val="center"/>
        <w:textAlignment w:val="auto"/>
        <w:rPr>
          <w:rFonts w:eastAsia="黑体"/>
          <w:szCs w:val="21"/>
          <w:highlight w:val="none"/>
        </w:rPr>
      </w:pPr>
      <w:r>
        <w:rPr>
          <w:rFonts w:hint="eastAsia" w:ascii="黑体" w:hAnsi="黑体" w:eastAsia="黑体" w:cs="黑体"/>
          <w:szCs w:val="21"/>
          <w:highlight w:val="none"/>
        </w:rPr>
        <w:t>表</w:t>
      </w:r>
      <w:r>
        <w:rPr>
          <w:rFonts w:hint="eastAsia" w:ascii="黑体" w:hAnsi="黑体" w:eastAsia="黑体" w:cs="黑体"/>
          <w:szCs w:val="21"/>
          <w:highlight w:val="none"/>
          <w:lang w:val="en-US" w:eastAsia="zh-CN"/>
        </w:rPr>
        <w:t>E</w:t>
      </w:r>
      <w:r>
        <w:rPr>
          <w:rFonts w:hint="eastAsia" w:ascii="黑体" w:hAnsi="黑体" w:eastAsia="黑体" w:cs="黑体"/>
          <w:szCs w:val="21"/>
          <w:highlight w:val="none"/>
        </w:rPr>
        <w:t>.</w:t>
      </w:r>
      <w:r>
        <w:rPr>
          <w:rFonts w:hint="eastAsia" w:ascii="黑体" w:hAnsi="黑体" w:eastAsia="黑体" w:cs="黑体"/>
          <w:szCs w:val="21"/>
          <w:highlight w:val="none"/>
          <w:lang w:val="en-US" w:eastAsia="zh-CN"/>
        </w:rPr>
        <w:t>3  温室气体控制领域</w:t>
      </w:r>
      <w:r>
        <w:rPr>
          <w:rFonts w:hint="eastAsia" w:ascii="黑体" w:hAnsi="黑体" w:eastAsia="黑体" w:cs="黑体"/>
          <w:szCs w:val="21"/>
          <w:highlight w:val="none"/>
          <w:lang w:eastAsia="zh-CN"/>
        </w:rPr>
        <w:t>绿色低碳产业</w:t>
      </w:r>
      <w:r>
        <w:rPr>
          <w:rFonts w:hint="eastAsia" w:ascii="黑体" w:hAnsi="黑体" w:eastAsia="黑体" w:cs="黑体"/>
          <w:szCs w:val="21"/>
          <w:highlight w:val="none"/>
          <w:lang w:val="en-US" w:eastAsia="zh-CN"/>
        </w:rPr>
        <w:t>项目</w:t>
      </w:r>
      <w:r>
        <w:rPr>
          <w:rFonts w:hint="eastAsia" w:ascii="黑体" w:hAnsi="黑体" w:eastAsia="黑体" w:cs="黑体"/>
          <w:szCs w:val="21"/>
          <w:highlight w:val="none"/>
          <w:lang w:eastAsia="zh-CN"/>
        </w:rPr>
        <w:t>认定</w:t>
      </w:r>
      <w:r>
        <w:rPr>
          <w:rFonts w:hint="eastAsia" w:ascii="黑体" w:hAnsi="黑体" w:eastAsia="黑体" w:cs="黑体"/>
          <w:szCs w:val="21"/>
          <w:highlight w:val="none"/>
          <w:lang w:val="en-US" w:eastAsia="zh-CN"/>
        </w:rPr>
        <w:t>符合性</w:t>
      </w:r>
      <w:r>
        <w:rPr>
          <w:rFonts w:hint="eastAsia" w:ascii="黑体" w:hAnsi="黑体" w:eastAsia="黑体" w:cs="黑体"/>
          <w:szCs w:val="21"/>
          <w:highlight w:val="none"/>
          <w:lang w:eastAsia="zh-CN"/>
        </w:rPr>
        <w:t>评价指标</w:t>
      </w:r>
    </w:p>
    <w:tbl>
      <w:tblPr>
        <w:tblStyle w:val="37"/>
        <w:tblpPr w:leftFromText="180" w:rightFromText="180" w:vertAnchor="text" w:tblpXSpec="center" w:tblpY="1"/>
        <w:tblOverlap w:val="never"/>
        <w:tblW w:w="4994" w:type="pct"/>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1046"/>
        <w:gridCol w:w="3764"/>
        <w:gridCol w:w="1859"/>
        <w:gridCol w:w="2890"/>
      </w:tblGrid>
      <w:tr w14:paraId="244DA45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547" w:type="pct"/>
            <w:tcBorders>
              <w:bottom w:val="single" w:color="auto" w:sz="12" w:space="0"/>
            </w:tcBorders>
            <w:vAlign w:val="center"/>
          </w:tcPr>
          <w:p w14:paraId="73660DA5">
            <w:pPr>
              <w:pStyle w:val="26"/>
              <w:keepNext w:val="0"/>
              <w:keepLines w:val="0"/>
              <w:widowControl/>
              <w:suppressLineNumbers w:val="0"/>
              <w:spacing w:before="0" w:beforeAutospacing="0" w:after="0" w:afterAutospacing="0"/>
              <w:ind w:left="0" w:right="0" w:firstLine="0" w:firstLineChars="0"/>
              <w:jc w:val="center"/>
              <w:rPr>
                <w:rFonts w:hint="default" w:ascii="Times New Roman"/>
                <w:b/>
                <w:sz w:val="18"/>
                <w:szCs w:val="18"/>
                <w:highlight w:val="none"/>
              </w:rPr>
            </w:pPr>
            <w:r>
              <w:rPr>
                <w:rFonts w:hint="eastAsia" w:ascii="Times New Roman"/>
                <w:b/>
                <w:sz w:val="18"/>
                <w:szCs w:val="18"/>
                <w:highlight w:val="none"/>
              </w:rPr>
              <w:t>指标</w:t>
            </w:r>
          </w:p>
        </w:tc>
        <w:tc>
          <w:tcPr>
            <w:tcW w:w="1968" w:type="pct"/>
            <w:tcBorders>
              <w:bottom w:val="single" w:color="auto" w:sz="12" w:space="0"/>
            </w:tcBorders>
            <w:vAlign w:val="center"/>
          </w:tcPr>
          <w:p w14:paraId="5F938D34">
            <w:pPr>
              <w:pStyle w:val="26"/>
              <w:keepNext w:val="0"/>
              <w:keepLines w:val="0"/>
              <w:widowControl/>
              <w:suppressLineNumbers w:val="0"/>
              <w:spacing w:before="0" w:beforeAutospacing="0" w:after="0" w:afterAutospacing="0"/>
              <w:ind w:left="0" w:right="0" w:firstLine="0" w:firstLineChars="0"/>
              <w:jc w:val="center"/>
              <w:rPr>
                <w:rFonts w:hint="default" w:ascii="Times New Roman"/>
                <w:b/>
                <w:sz w:val="18"/>
                <w:szCs w:val="18"/>
                <w:highlight w:val="none"/>
              </w:rPr>
            </w:pPr>
            <w:r>
              <w:rPr>
                <w:rFonts w:hint="eastAsia" w:ascii="Times New Roman"/>
                <w:b/>
                <w:sz w:val="18"/>
                <w:szCs w:val="18"/>
                <w:highlight w:val="none"/>
              </w:rPr>
              <w:t>符合性评价</w:t>
            </w:r>
          </w:p>
        </w:tc>
        <w:tc>
          <w:tcPr>
            <w:tcW w:w="972" w:type="pct"/>
            <w:tcBorders>
              <w:bottom w:val="single" w:color="auto" w:sz="12" w:space="0"/>
            </w:tcBorders>
            <w:vAlign w:val="center"/>
          </w:tcPr>
          <w:p w14:paraId="58E0DA16">
            <w:pPr>
              <w:pStyle w:val="26"/>
              <w:keepNext w:val="0"/>
              <w:keepLines w:val="0"/>
              <w:widowControl/>
              <w:suppressLineNumbers w:val="0"/>
              <w:spacing w:before="0" w:beforeAutospacing="0" w:after="0" w:afterAutospacing="0"/>
              <w:ind w:left="0" w:right="0" w:firstLine="0" w:firstLineChars="0"/>
              <w:jc w:val="center"/>
              <w:rPr>
                <w:rFonts w:hint="default" w:ascii="Times New Roman"/>
                <w:b/>
                <w:sz w:val="18"/>
                <w:szCs w:val="18"/>
                <w:highlight w:val="none"/>
              </w:rPr>
            </w:pPr>
            <w:r>
              <w:rPr>
                <w:rFonts w:hint="eastAsia" w:ascii="Times New Roman"/>
                <w:b/>
                <w:sz w:val="18"/>
                <w:szCs w:val="18"/>
                <w:highlight w:val="none"/>
                <w:lang w:val="en-US" w:eastAsia="zh-CN"/>
              </w:rPr>
              <w:t>评价</w:t>
            </w:r>
            <w:r>
              <w:rPr>
                <w:rFonts w:hint="default" w:ascii="Times New Roman"/>
                <w:b/>
                <w:sz w:val="18"/>
                <w:szCs w:val="18"/>
                <w:highlight w:val="none"/>
              </w:rPr>
              <w:t>标准</w:t>
            </w:r>
          </w:p>
        </w:tc>
        <w:tc>
          <w:tcPr>
            <w:tcW w:w="1511" w:type="pct"/>
            <w:tcBorders>
              <w:bottom w:val="single" w:color="auto" w:sz="12" w:space="0"/>
            </w:tcBorders>
            <w:vAlign w:val="center"/>
          </w:tcPr>
          <w:p w14:paraId="573D4CE8">
            <w:pPr>
              <w:pStyle w:val="26"/>
              <w:keepNext w:val="0"/>
              <w:keepLines w:val="0"/>
              <w:widowControl/>
              <w:suppressLineNumbers w:val="0"/>
              <w:spacing w:before="0" w:beforeAutospacing="0" w:after="0" w:afterAutospacing="0"/>
              <w:ind w:left="0" w:right="0" w:firstLine="0" w:firstLineChars="0"/>
              <w:jc w:val="center"/>
              <w:rPr>
                <w:rFonts w:hint="default" w:ascii="Times New Roman"/>
                <w:b/>
                <w:sz w:val="18"/>
                <w:szCs w:val="18"/>
                <w:highlight w:val="none"/>
              </w:rPr>
            </w:pPr>
            <w:r>
              <w:rPr>
                <w:rFonts w:hint="default" w:ascii="Times New Roman"/>
                <w:b/>
                <w:sz w:val="18"/>
                <w:szCs w:val="18"/>
                <w:highlight w:val="none"/>
              </w:rPr>
              <w:t>符合性结论</w:t>
            </w:r>
          </w:p>
        </w:tc>
      </w:tr>
      <w:tr w14:paraId="1239E8A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166" w:hRule="atLeast"/>
        </w:trPr>
        <w:tc>
          <w:tcPr>
            <w:tcW w:w="547" w:type="pct"/>
            <w:tcBorders>
              <w:top w:val="single" w:color="auto" w:sz="12" w:space="0"/>
              <w:tl2br w:val="nil"/>
              <w:tr2bl w:val="nil"/>
            </w:tcBorders>
            <w:vAlign w:val="center"/>
          </w:tcPr>
          <w:p w14:paraId="0CF064B9">
            <w:pPr>
              <w:pStyle w:val="26"/>
              <w:keepNext w:val="0"/>
              <w:keepLines w:val="0"/>
              <w:widowControl/>
              <w:suppressLineNumbers w:val="0"/>
              <w:spacing w:before="0" w:beforeAutospacing="0" w:after="0" w:afterAutospacing="0"/>
              <w:ind w:left="0" w:right="0" w:firstLine="0" w:firstLineChars="0"/>
              <w:jc w:val="center"/>
              <w:rPr>
                <w:rFonts w:hint="default" w:hAnsi="宋体" w:cs="宋体"/>
                <w:sz w:val="18"/>
                <w:szCs w:val="18"/>
                <w:highlight w:val="none"/>
              </w:rPr>
            </w:pPr>
            <w:r>
              <w:rPr>
                <w:rFonts w:hint="eastAsia" w:hAnsi="宋体" w:cs="宋体"/>
                <w:sz w:val="18"/>
                <w:szCs w:val="18"/>
                <w:highlight w:val="none"/>
              </w:rPr>
              <w:t>目录符合</w:t>
            </w:r>
          </w:p>
        </w:tc>
        <w:tc>
          <w:tcPr>
            <w:tcW w:w="1968" w:type="pct"/>
            <w:tcBorders>
              <w:top w:val="single" w:color="auto" w:sz="12" w:space="0"/>
              <w:tl2br w:val="nil"/>
              <w:tr2bl w:val="nil"/>
            </w:tcBorders>
            <w:vAlign w:val="center"/>
          </w:tcPr>
          <w:p w14:paraId="50175BAC">
            <w:pPr>
              <w:pStyle w:val="26"/>
              <w:keepNext w:val="0"/>
              <w:keepLines w:val="0"/>
              <w:widowControl/>
              <w:suppressLineNumbers w:val="0"/>
              <w:spacing w:before="0" w:beforeAutospacing="0" w:after="0" w:afterAutospacing="0"/>
              <w:ind w:left="0" w:right="0" w:firstLine="0" w:firstLineChars="0"/>
              <w:rPr>
                <w:rFonts w:hint="eastAsia" w:hAnsi="宋体" w:eastAsia="宋体" w:cs="宋体"/>
                <w:sz w:val="18"/>
                <w:szCs w:val="18"/>
                <w:highlight w:val="none"/>
                <w:lang w:eastAsia="zh-CN"/>
              </w:rPr>
            </w:pPr>
            <w:r>
              <w:rPr>
                <w:rFonts w:hint="eastAsia" w:hAnsi="宋体" w:cs="宋体"/>
                <w:sz w:val="18"/>
                <w:szCs w:val="18"/>
                <w:highlight w:val="none"/>
                <w:lang w:val="en-US" w:eastAsia="zh-CN"/>
              </w:rPr>
              <w:t>申报认定评价的项目应属于温室气体控制领域，或在当地具备一定市场规模、经相关政府职能部门认可的其他相关行业</w:t>
            </w:r>
          </w:p>
        </w:tc>
        <w:tc>
          <w:tcPr>
            <w:tcW w:w="972" w:type="pct"/>
            <w:tcBorders>
              <w:top w:val="single" w:color="auto" w:sz="12" w:space="0"/>
              <w:tl2br w:val="nil"/>
              <w:tr2bl w:val="nil"/>
            </w:tcBorders>
            <w:vAlign w:val="center"/>
          </w:tcPr>
          <w:p w14:paraId="0E3B131B">
            <w:pPr>
              <w:pStyle w:val="26"/>
              <w:keepNext w:val="0"/>
              <w:keepLines w:val="0"/>
              <w:widowControl/>
              <w:suppressLineNumbers w:val="0"/>
              <w:spacing w:before="0" w:beforeAutospacing="0" w:after="0" w:afterAutospacing="0"/>
              <w:ind w:left="0" w:right="0" w:firstLine="0" w:firstLineChars="0"/>
              <w:jc w:val="center"/>
              <w:rPr>
                <w:rFonts w:hint="default" w:hAnsi="宋体" w:cs="宋体"/>
                <w:sz w:val="18"/>
                <w:szCs w:val="18"/>
                <w:highlight w:val="none"/>
              </w:rPr>
            </w:pPr>
            <w:r>
              <w:rPr>
                <w:rFonts w:hint="eastAsia" w:hAnsi="宋体" w:cs="宋体"/>
                <w:sz w:val="18"/>
                <w:szCs w:val="18"/>
                <w:highlight w:val="none"/>
              </w:rPr>
              <w:t>是/否</w:t>
            </w:r>
          </w:p>
        </w:tc>
        <w:tc>
          <w:tcPr>
            <w:tcW w:w="1511" w:type="pct"/>
            <w:tcBorders>
              <w:top w:val="single" w:color="auto" w:sz="12" w:space="0"/>
              <w:tl2br w:val="nil"/>
              <w:tr2bl w:val="nil"/>
            </w:tcBorders>
            <w:vAlign w:val="center"/>
          </w:tcPr>
          <w:p w14:paraId="43AA07A4">
            <w:pPr>
              <w:pStyle w:val="26"/>
              <w:keepNext w:val="0"/>
              <w:keepLines w:val="0"/>
              <w:widowControl/>
              <w:suppressLineNumbers w:val="0"/>
              <w:spacing w:before="0" w:beforeAutospacing="0" w:after="0" w:afterAutospacing="0"/>
              <w:ind w:left="0" w:right="0" w:firstLine="0" w:firstLineChars="0"/>
              <w:jc w:val="center"/>
              <w:rPr>
                <w:rFonts w:hint="default" w:ascii="Times New Roman"/>
                <w:sz w:val="18"/>
                <w:szCs w:val="18"/>
                <w:highlight w:val="none"/>
              </w:rPr>
            </w:pPr>
          </w:p>
        </w:tc>
      </w:tr>
      <w:tr w14:paraId="49BC5C3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533" w:hRule="atLeast"/>
        </w:trPr>
        <w:tc>
          <w:tcPr>
            <w:tcW w:w="547" w:type="pct"/>
            <w:tcBorders>
              <w:tl2br w:val="nil"/>
              <w:tr2bl w:val="nil"/>
            </w:tcBorders>
            <w:vAlign w:val="center"/>
          </w:tcPr>
          <w:p w14:paraId="15D8BFFA">
            <w:pPr>
              <w:pStyle w:val="26"/>
              <w:keepNext w:val="0"/>
              <w:keepLines w:val="0"/>
              <w:widowControl/>
              <w:suppressLineNumbers w:val="0"/>
              <w:spacing w:before="0" w:beforeAutospacing="0" w:after="0" w:afterAutospacing="0"/>
              <w:ind w:left="0" w:right="0" w:firstLine="0" w:firstLineChars="0"/>
              <w:jc w:val="center"/>
              <w:rPr>
                <w:rFonts w:hint="default" w:hAnsi="宋体" w:cs="宋体"/>
                <w:sz w:val="18"/>
                <w:szCs w:val="18"/>
                <w:highlight w:val="none"/>
              </w:rPr>
            </w:pPr>
            <w:r>
              <w:rPr>
                <w:rFonts w:hint="eastAsia" w:hAnsi="宋体" w:cs="宋体"/>
                <w:sz w:val="18"/>
                <w:szCs w:val="18"/>
                <w:highlight w:val="none"/>
              </w:rPr>
              <w:t>技术符合</w:t>
            </w:r>
          </w:p>
        </w:tc>
        <w:tc>
          <w:tcPr>
            <w:tcW w:w="1968" w:type="pct"/>
            <w:tcBorders>
              <w:tl2br w:val="nil"/>
              <w:tr2bl w:val="nil"/>
            </w:tcBorders>
            <w:vAlign w:val="center"/>
          </w:tcPr>
          <w:p w14:paraId="17D89C5E">
            <w:pPr>
              <w:pStyle w:val="26"/>
              <w:keepNext w:val="0"/>
              <w:keepLines w:val="0"/>
              <w:widowControl/>
              <w:suppressLineNumbers w:val="0"/>
              <w:spacing w:before="0" w:beforeAutospacing="0" w:after="0" w:afterAutospacing="0"/>
              <w:ind w:left="0" w:right="0" w:firstLine="0" w:firstLineChars="0"/>
              <w:rPr>
                <w:rFonts w:hint="default" w:hAnsi="宋体" w:cs="宋体"/>
                <w:sz w:val="18"/>
                <w:szCs w:val="18"/>
                <w:highlight w:val="none"/>
              </w:rPr>
            </w:pPr>
            <w:r>
              <w:rPr>
                <w:rFonts w:hint="eastAsia" w:hAnsi="宋体" w:cs="宋体"/>
                <w:sz w:val="18"/>
                <w:szCs w:val="18"/>
                <w:highlight w:val="none"/>
              </w:rPr>
              <w:t>提供的产品或服务应符合国家、广东省及深圳市相关主管部门发布文件列明的有关设计、能效、性能、安全、贮存、回收、标识、验收、管理和运维等技术要求</w:t>
            </w:r>
          </w:p>
        </w:tc>
        <w:tc>
          <w:tcPr>
            <w:tcW w:w="972" w:type="pct"/>
            <w:tcBorders>
              <w:tl2br w:val="nil"/>
              <w:tr2bl w:val="nil"/>
            </w:tcBorders>
            <w:vAlign w:val="center"/>
          </w:tcPr>
          <w:p w14:paraId="091C4E5A">
            <w:pPr>
              <w:pStyle w:val="26"/>
              <w:keepNext w:val="0"/>
              <w:keepLines w:val="0"/>
              <w:widowControl/>
              <w:suppressLineNumbers w:val="0"/>
              <w:spacing w:before="0" w:beforeAutospacing="0" w:after="0" w:afterAutospacing="0"/>
              <w:ind w:left="0" w:right="0" w:firstLine="0" w:firstLineChars="0"/>
              <w:jc w:val="center"/>
              <w:rPr>
                <w:rFonts w:hint="default" w:hAnsi="宋体" w:cs="宋体"/>
                <w:sz w:val="18"/>
                <w:szCs w:val="18"/>
                <w:highlight w:val="none"/>
              </w:rPr>
            </w:pPr>
            <w:r>
              <w:rPr>
                <w:rFonts w:hint="eastAsia" w:hAnsi="宋体" w:cs="宋体"/>
                <w:sz w:val="18"/>
                <w:szCs w:val="18"/>
                <w:highlight w:val="none"/>
              </w:rPr>
              <w:t>是/否</w:t>
            </w:r>
          </w:p>
        </w:tc>
        <w:tc>
          <w:tcPr>
            <w:tcW w:w="1511" w:type="pct"/>
            <w:tcBorders>
              <w:tl2br w:val="nil"/>
              <w:tr2bl w:val="nil"/>
            </w:tcBorders>
            <w:vAlign w:val="center"/>
          </w:tcPr>
          <w:p w14:paraId="7346557D">
            <w:pPr>
              <w:pStyle w:val="26"/>
              <w:keepNext w:val="0"/>
              <w:keepLines w:val="0"/>
              <w:widowControl/>
              <w:suppressLineNumbers w:val="0"/>
              <w:spacing w:before="0" w:beforeAutospacing="0" w:after="0" w:afterAutospacing="0"/>
              <w:ind w:left="0" w:right="0" w:firstLine="0" w:firstLineChars="0"/>
              <w:jc w:val="center"/>
              <w:rPr>
                <w:rFonts w:hint="default" w:ascii="Times New Roman"/>
                <w:sz w:val="18"/>
                <w:szCs w:val="18"/>
                <w:highlight w:val="none"/>
              </w:rPr>
            </w:pPr>
          </w:p>
        </w:tc>
      </w:tr>
    </w:tbl>
    <w:p w14:paraId="720D301D">
      <w:pPr>
        <w:numPr>
          <w:ilvl w:val="1"/>
          <w:numId w:val="0"/>
        </w:numPr>
        <w:spacing w:before="312" w:beforeLines="100" w:after="156" w:afterLines="50"/>
        <w:jc w:val="center"/>
        <w:rPr>
          <w:rFonts w:ascii="黑体" w:hAnsi="黑体" w:eastAsia="黑体" w:cs="黑体"/>
          <w:szCs w:val="21"/>
          <w:highlight w:val="none"/>
        </w:rPr>
      </w:pPr>
      <w:r>
        <w:rPr>
          <w:rFonts w:hint="eastAsia" w:ascii="黑体" w:hAnsi="黑体" w:eastAsia="黑体" w:cs="黑体"/>
          <w:szCs w:val="21"/>
          <w:highlight w:val="none"/>
        </w:rPr>
        <w:t>表</w:t>
      </w:r>
      <w:r>
        <w:rPr>
          <w:rFonts w:hint="eastAsia" w:ascii="黑体" w:hAnsi="黑体" w:eastAsia="黑体" w:cs="黑体"/>
          <w:szCs w:val="21"/>
          <w:highlight w:val="none"/>
          <w:lang w:val="en-US" w:eastAsia="zh-CN"/>
        </w:rPr>
        <w:t>E</w:t>
      </w:r>
      <w:r>
        <w:rPr>
          <w:rFonts w:hint="eastAsia" w:ascii="黑体" w:hAnsi="黑体" w:eastAsia="黑体" w:cs="黑体"/>
          <w:szCs w:val="21"/>
          <w:highlight w:val="none"/>
        </w:rPr>
        <w:t>.</w:t>
      </w:r>
      <w:r>
        <w:rPr>
          <w:rFonts w:hint="eastAsia" w:ascii="黑体" w:hAnsi="黑体" w:eastAsia="黑体" w:cs="黑体"/>
          <w:szCs w:val="21"/>
          <w:highlight w:val="none"/>
          <w:lang w:val="en-US" w:eastAsia="zh-CN"/>
        </w:rPr>
        <w:t>4  温室气体控制领域</w:t>
      </w:r>
      <w:r>
        <w:rPr>
          <w:rFonts w:hint="eastAsia" w:ascii="黑体" w:hAnsi="黑体" w:eastAsia="黑体" w:cs="黑体"/>
          <w:szCs w:val="21"/>
          <w:highlight w:val="none"/>
          <w:lang w:eastAsia="zh-CN"/>
        </w:rPr>
        <w:t>绿色低碳产业</w:t>
      </w:r>
      <w:r>
        <w:rPr>
          <w:rFonts w:hint="eastAsia" w:ascii="黑体" w:hAnsi="黑体" w:eastAsia="黑体" w:cs="黑体"/>
          <w:szCs w:val="21"/>
          <w:highlight w:val="none"/>
          <w:lang w:val="en-US" w:eastAsia="zh-CN"/>
        </w:rPr>
        <w:t>项目</w:t>
      </w:r>
      <w:r>
        <w:rPr>
          <w:rFonts w:hint="eastAsia" w:ascii="黑体" w:hAnsi="黑体" w:eastAsia="黑体" w:cs="黑体"/>
          <w:szCs w:val="21"/>
          <w:highlight w:val="none"/>
          <w:lang w:eastAsia="zh-CN"/>
        </w:rPr>
        <w:t>认定综合评价指标</w:t>
      </w:r>
    </w:p>
    <w:tbl>
      <w:tblPr>
        <w:tblStyle w:val="37"/>
        <w:tblpPr w:leftFromText="180" w:rightFromText="180" w:vertAnchor="text" w:tblpXSpec="center" w:tblpY="1"/>
        <w:tblOverlap w:val="never"/>
        <w:tblW w:w="4994" w:type="pct"/>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940"/>
        <w:gridCol w:w="945"/>
        <w:gridCol w:w="2100"/>
        <w:gridCol w:w="3581"/>
        <w:gridCol w:w="992"/>
        <w:gridCol w:w="1001"/>
      </w:tblGrid>
      <w:tr w14:paraId="348C6C0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212" w:hRule="atLeast"/>
          <w:tblHeader/>
        </w:trPr>
        <w:tc>
          <w:tcPr>
            <w:tcW w:w="491" w:type="pct"/>
            <w:tcBorders>
              <w:bottom w:val="single" w:color="auto" w:sz="12" w:space="0"/>
            </w:tcBorders>
            <w:vAlign w:val="center"/>
          </w:tcPr>
          <w:p w14:paraId="12840388">
            <w:pPr>
              <w:pStyle w:val="26"/>
              <w:keepNext w:val="0"/>
              <w:keepLines w:val="0"/>
              <w:widowControl/>
              <w:suppressLineNumbers w:val="0"/>
              <w:spacing w:before="0" w:beforeAutospacing="0" w:after="0" w:afterAutospacing="0"/>
              <w:ind w:left="0" w:right="0" w:firstLine="0" w:firstLineChars="0"/>
              <w:jc w:val="center"/>
              <w:rPr>
                <w:rFonts w:hint="default" w:ascii="Times New Roman"/>
                <w:b/>
                <w:sz w:val="18"/>
                <w:szCs w:val="18"/>
                <w:highlight w:val="none"/>
              </w:rPr>
            </w:pPr>
            <w:r>
              <w:rPr>
                <w:rFonts w:hint="default" w:ascii="Times New Roman"/>
                <w:b/>
                <w:sz w:val="18"/>
                <w:szCs w:val="18"/>
                <w:highlight w:val="none"/>
              </w:rPr>
              <w:t>一级指标</w:t>
            </w:r>
          </w:p>
        </w:tc>
        <w:tc>
          <w:tcPr>
            <w:tcW w:w="494" w:type="pct"/>
            <w:tcBorders>
              <w:bottom w:val="single" w:color="auto" w:sz="12" w:space="0"/>
            </w:tcBorders>
            <w:vAlign w:val="center"/>
          </w:tcPr>
          <w:p w14:paraId="5764E859">
            <w:pPr>
              <w:pStyle w:val="26"/>
              <w:keepNext w:val="0"/>
              <w:keepLines w:val="0"/>
              <w:widowControl/>
              <w:suppressLineNumbers w:val="0"/>
              <w:spacing w:before="0" w:beforeAutospacing="0" w:after="0" w:afterAutospacing="0"/>
              <w:ind w:left="0" w:right="0" w:firstLine="0" w:firstLineChars="0"/>
              <w:jc w:val="center"/>
              <w:rPr>
                <w:rFonts w:hint="default" w:ascii="Times New Roman"/>
                <w:b/>
                <w:sz w:val="18"/>
                <w:szCs w:val="18"/>
                <w:highlight w:val="none"/>
              </w:rPr>
            </w:pPr>
            <w:r>
              <w:rPr>
                <w:rFonts w:hint="default" w:ascii="Times New Roman"/>
                <w:b/>
                <w:sz w:val="18"/>
                <w:szCs w:val="18"/>
                <w:highlight w:val="none"/>
              </w:rPr>
              <w:t>二级指标</w:t>
            </w:r>
          </w:p>
        </w:tc>
        <w:tc>
          <w:tcPr>
            <w:tcW w:w="1098" w:type="pct"/>
            <w:tcBorders>
              <w:bottom w:val="single" w:color="auto" w:sz="12" w:space="0"/>
            </w:tcBorders>
            <w:vAlign w:val="center"/>
          </w:tcPr>
          <w:p w14:paraId="300EE945">
            <w:pPr>
              <w:pStyle w:val="26"/>
              <w:keepNext w:val="0"/>
              <w:keepLines w:val="0"/>
              <w:widowControl/>
              <w:suppressLineNumbers w:val="0"/>
              <w:spacing w:before="0" w:beforeAutospacing="0" w:after="0" w:afterAutospacing="0"/>
              <w:ind w:left="0" w:right="0" w:firstLine="0" w:firstLineChars="0"/>
              <w:jc w:val="center"/>
              <w:rPr>
                <w:rFonts w:hint="default" w:ascii="Times New Roman"/>
                <w:b/>
                <w:sz w:val="18"/>
                <w:szCs w:val="18"/>
                <w:highlight w:val="none"/>
              </w:rPr>
            </w:pPr>
            <w:r>
              <w:rPr>
                <w:rFonts w:hint="eastAsia" w:ascii="Times New Roman"/>
                <w:b/>
                <w:sz w:val="18"/>
                <w:szCs w:val="18"/>
                <w:highlight w:val="none"/>
              </w:rPr>
              <w:t>评价要求</w:t>
            </w:r>
          </w:p>
        </w:tc>
        <w:tc>
          <w:tcPr>
            <w:tcW w:w="1873" w:type="pct"/>
            <w:tcBorders>
              <w:bottom w:val="single" w:color="auto" w:sz="12" w:space="0"/>
            </w:tcBorders>
            <w:vAlign w:val="center"/>
          </w:tcPr>
          <w:p w14:paraId="4327A5F5">
            <w:pPr>
              <w:pStyle w:val="26"/>
              <w:keepNext w:val="0"/>
              <w:keepLines w:val="0"/>
              <w:widowControl/>
              <w:suppressLineNumbers w:val="0"/>
              <w:spacing w:before="0" w:beforeAutospacing="0" w:after="0" w:afterAutospacing="0"/>
              <w:ind w:left="0" w:right="0" w:firstLine="0" w:firstLineChars="0"/>
              <w:jc w:val="center"/>
              <w:rPr>
                <w:rFonts w:hint="default" w:ascii="Times New Roman"/>
                <w:b/>
                <w:sz w:val="18"/>
                <w:szCs w:val="18"/>
                <w:highlight w:val="none"/>
              </w:rPr>
            </w:pPr>
            <w:r>
              <w:rPr>
                <w:rFonts w:hint="eastAsia" w:ascii="Times New Roman"/>
                <w:b/>
                <w:sz w:val="18"/>
                <w:szCs w:val="18"/>
                <w:highlight w:val="none"/>
              </w:rPr>
              <w:t>评分标准</w:t>
            </w:r>
          </w:p>
        </w:tc>
        <w:tc>
          <w:tcPr>
            <w:tcW w:w="518" w:type="pct"/>
            <w:tcBorders>
              <w:bottom w:val="single" w:color="auto" w:sz="12" w:space="0"/>
            </w:tcBorders>
            <w:vAlign w:val="center"/>
          </w:tcPr>
          <w:p w14:paraId="608A9747">
            <w:pPr>
              <w:pStyle w:val="26"/>
              <w:keepNext w:val="0"/>
              <w:keepLines w:val="0"/>
              <w:widowControl/>
              <w:suppressLineNumbers w:val="0"/>
              <w:spacing w:before="0" w:beforeAutospacing="0" w:after="0" w:afterAutospacing="0"/>
              <w:ind w:left="0" w:right="0" w:firstLine="0" w:firstLineChars="0"/>
              <w:rPr>
                <w:rFonts w:hint="default" w:ascii="Times New Roman"/>
                <w:b/>
                <w:sz w:val="18"/>
                <w:szCs w:val="18"/>
                <w:highlight w:val="none"/>
              </w:rPr>
            </w:pPr>
            <w:r>
              <w:rPr>
                <w:rFonts w:hint="default" w:ascii="Times New Roman"/>
                <w:b/>
                <w:sz w:val="18"/>
                <w:szCs w:val="18"/>
                <w:highlight w:val="none"/>
              </w:rPr>
              <w:t>分值</w:t>
            </w:r>
            <w:r>
              <w:rPr>
                <w:rFonts w:hint="eastAsia" w:ascii="Times New Roman"/>
                <w:b/>
                <w:sz w:val="18"/>
                <w:szCs w:val="18"/>
                <w:highlight w:val="none"/>
              </w:rPr>
              <w:t>（分）</w:t>
            </w:r>
          </w:p>
        </w:tc>
        <w:tc>
          <w:tcPr>
            <w:tcW w:w="523" w:type="pct"/>
            <w:tcBorders>
              <w:bottom w:val="single" w:color="auto" w:sz="12" w:space="0"/>
            </w:tcBorders>
            <w:vAlign w:val="center"/>
          </w:tcPr>
          <w:p w14:paraId="489AD43B">
            <w:pPr>
              <w:pStyle w:val="26"/>
              <w:keepNext w:val="0"/>
              <w:keepLines w:val="0"/>
              <w:widowControl/>
              <w:suppressLineNumbers w:val="0"/>
              <w:spacing w:before="0" w:beforeAutospacing="0" w:after="0" w:afterAutospacing="0"/>
              <w:ind w:left="0" w:right="0" w:firstLine="0" w:firstLineChars="0"/>
              <w:rPr>
                <w:rFonts w:hint="default" w:ascii="Times New Roman"/>
                <w:b/>
                <w:sz w:val="18"/>
                <w:szCs w:val="18"/>
                <w:highlight w:val="none"/>
              </w:rPr>
            </w:pPr>
            <w:r>
              <w:rPr>
                <w:rFonts w:hint="default" w:ascii="Times New Roman"/>
                <w:b/>
                <w:sz w:val="18"/>
                <w:szCs w:val="18"/>
                <w:highlight w:val="none"/>
              </w:rPr>
              <w:t>得分</w:t>
            </w:r>
            <w:r>
              <w:rPr>
                <w:rFonts w:hint="eastAsia" w:ascii="Times New Roman"/>
                <w:b/>
                <w:sz w:val="18"/>
                <w:szCs w:val="18"/>
                <w:highlight w:val="none"/>
              </w:rPr>
              <w:t>（分）</w:t>
            </w:r>
          </w:p>
        </w:tc>
      </w:tr>
      <w:tr w14:paraId="5176431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378" w:hRule="atLeast"/>
        </w:trPr>
        <w:tc>
          <w:tcPr>
            <w:tcW w:w="491" w:type="pct"/>
            <w:vMerge w:val="restart"/>
            <w:tcBorders>
              <w:top w:val="single" w:color="auto" w:sz="12" w:space="0"/>
              <w:bottom w:val="single" w:color="auto" w:sz="4" w:space="0"/>
            </w:tcBorders>
            <w:vAlign w:val="center"/>
          </w:tcPr>
          <w:p w14:paraId="1EF5DE8D">
            <w:pPr>
              <w:pStyle w:val="26"/>
              <w:keepNext w:val="0"/>
              <w:keepLines w:val="0"/>
              <w:widowControl/>
              <w:suppressLineNumbers w:val="0"/>
              <w:spacing w:before="0" w:beforeAutospacing="0" w:after="0" w:afterAutospacing="0"/>
              <w:ind w:left="0" w:right="0" w:firstLine="0" w:firstLineChars="0"/>
              <w:jc w:val="center"/>
              <w:rPr>
                <w:rFonts w:hint="eastAsia" w:hAnsi="宋体" w:cs="宋体"/>
                <w:sz w:val="18"/>
                <w:szCs w:val="18"/>
                <w:highlight w:val="none"/>
              </w:rPr>
            </w:pPr>
            <w:r>
              <w:rPr>
                <w:rFonts w:hint="eastAsia" w:hAnsi="宋体" w:cs="宋体"/>
                <w:sz w:val="18"/>
                <w:szCs w:val="18"/>
                <w:highlight w:val="none"/>
              </w:rPr>
              <w:t>技术表现</w:t>
            </w:r>
          </w:p>
        </w:tc>
        <w:tc>
          <w:tcPr>
            <w:tcW w:w="494" w:type="pct"/>
            <w:tcBorders>
              <w:top w:val="single" w:color="auto" w:sz="12" w:space="0"/>
              <w:bottom w:val="single" w:color="auto" w:sz="4" w:space="0"/>
            </w:tcBorders>
            <w:vAlign w:val="center"/>
          </w:tcPr>
          <w:p w14:paraId="24D054B2">
            <w:pPr>
              <w:pStyle w:val="26"/>
              <w:keepNext w:val="0"/>
              <w:keepLines w:val="0"/>
              <w:widowControl/>
              <w:suppressLineNumbers w:val="0"/>
              <w:spacing w:before="0" w:beforeAutospacing="0" w:after="0" w:afterAutospacing="0"/>
              <w:ind w:left="0" w:right="0" w:firstLine="0" w:firstLineChars="0"/>
              <w:jc w:val="center"/>
              <w:rPr>
                <w:rFonts w:hint="default" w:hAnsi="宋体" w:eastAsia="宋体" w:cs="宋体"/>
                <w:sz w:val="18"/>
                <w:szCs w:val="18"/>
                <w:highlight w:val="none"/>
                <w:lang w:val="en-US" w:eastAsia="zh-CN"/>
              </w:rPr>
            </w:pPr>
            <w:r>
              <w:rPr>
                <w:rFonts w:hint="eastAsia" w:hAnsi="宋体" w:cs="宋体"/>
                <w:sz w:val="18"/>
                <w:szCs w:val="18"/>
                <w:highlight w:val="none"/>
                <w:lang w:val="en-US" w:eastAsia="zh-CN"/>
              </w:rPr>
              <w:t>有效知识产权</w:t>
            </w:r>
          </w:p>
        </w:tc>
        <w:tc>
          <w:tcPr>
            <w:tcW w:w="1098" w:type="pct"/>
            <w:tcBorders>
              <w:top w:val="single" w:color="auto" w:sz="12" w:space="0"/>
              <w:bottom w:val="single" w:color="auto" w:sz="4" w:space="0"/>
            </w:tcBorders>
            <w:vAlign w:val="center"/>
          </w:tcPr>
          <w:p w14:paraId="4A856949">
            <w:pPr>
              <w:pStyle w:val="26"/>
              <w:keepNext w:val="0"/>
              <w:keepLines w:val="0"/>
              <w:widowControl/>
              <w:suppressLineNumbers w:val="0"/>
              <w:spacing w:before="0" w:beforeAutospacing="0" w:after="0" w:afterAutospacing="0"/>
              <w:ind w:left="0" w:right="0" w:firstLine="0" w:firstLineChars="0"/>
              <w:rPr>
                <w:rFonts w:hint="default" w:hAnsi="宋体" w:cs="宋体"/>
                <w:sz w:val="18"/>
                <w:szCs w:val="18"/>
                <w:highlight w:val="none"/>
              </w:rPr>
            </w:pPr>
            <w:r>
              <w:rPr>
                <w:rFonts w:hint="eastAsia" w:hAnsi="宋体" w:cs="宋体"/>
                <w:sz w:val="18"/>
                <w:szCs w:val="18"/>
                <w:highlight w:val="none"/>
                <w:lang w:val="en-US" w:eastAsia="zh-CN"/>
              </w:rPr>
              <w:t>项目直接应用的、与温室气体控制领域相关的有效知识产权，按知识产权类别和知识产权获得形式加权计算数量</w:t>
            </w:r>
          </w:p>
        </w:tc>
        <w:tc>
          <w:tcPr>
            <w:tcW w:w="1873" w:type="pct"/>
            <w:tcBorders>
              <w:top w:val="single" w:color="auto" w:sz="12" w:space="0"/>
              <w:bottom w:val="single" w:color="auto" w:sz="4" w:space="0"/>
            </w:tcBorders>
            <w:vAlign w:val="center"/>
          </w:tcPr>
          <w:p w14:paraId="6D918234">
            <w:pPr>
              <w:pStyle w:val="26"/>
              <w:keepNext w:val="0"/>
              <w:keepLines w:val="0"/>
              <w:widowControl/>
              <w:suppressLineNumbers w:val="0"/>
              <w:spacing w:before="0" w:beforeAutospacing="0" w:after="0" w:afterAutospacing="0"/>
              <w:ind w:left="0" w:right="0" w:firstLine="0" w:firstLineChars="0"/>
              <w:jc w:val="left"/>
              <w:rPr>
                <w:rFonts w:hint="default" w:hAnsi="宋体" w:cs="宋体"/>
                <w:sz w:val="18"/>
                <w:szCs w:val="18"/>
                <w:highlight w:val="none"/>
              </w:rPr>
            </w:pPr>
            <w:r>
              <w:rPr>
                <w:rFonts w:hint="eastAsia" w:hAnsi="宋体" w:cs="宋体"/>
                <w:sz w:val="18"/>
                <w:szCs w:val="18"/>
                <w:highlight w:val="none"/>
              </w:rPr>
              <w:t>a.</w:t>
            </w:r>
            <w:r>
              <w:rPr>
                <w:rFonts w:hint="eastAsia" w:hAnsi="宋体" w:cs="宋体"/>
                <w:sz w:val="18"/>
                <w:szCs w:val="18"/>
                <w:highlight w:val="none"/>
                <w:lang w:val="en-US" w:eastAsia="zh-CN"/>
              </w:rPr>
              <w:t>有效知识产权的应用数量处于行业领先水平</w:t>
            </w:r>
            <w:r>
              <w:rPr>
                <w:rFonts w:hint="eastAsia" w:hAnsi="宋体" w:cs="宋体"/>
                <w:sz w:val="18"/>
                <w:szCs w:val="18"/>
                <w:highlight w:val="none"/>
              </w:rPr>
              <w:t>(</w:t>
            </w:r>
            <w:r>
              <w:rPr>
                <w:rFonts w:hint="eastAsia" w:hAnsi="宋体" w:cs="宋体"/>
                <w:sz w:val="18"/>
                <w:szCs w:val="18"/>
                <w:highlight w:val="none"/>
                <w:lang w:val="en-US" w:eastAsia="zh-CN"/>
              </w:rPr>
              <w:t>10分</w:t>
            </w:r>
            <w:r>
              <w:rPr>
                <w:rFonts w:hint="eastAsia" w:hAnsi="宋体" w:cs="宋体"/>
                <w:sz w:val="18"/>
                <w:szCs w:val="18"/>
                <w:highlight w:val="none"/>
              </w:rPr>
              <w:t>,</w:t>
            </w:r>
            <w:r>
              <w:rPr>
                <w:rFonts w:hint="eastAsia" w:hAnsi="宋体" w:cs="宋体"/>
                <w:sz w:val="18"/>
                <w:szCs w:val="18"/>
                <w:highlight w:val="none"/>
                <w:lang w:val="en-US" w:eastAsia="zh-CN"/>
              </w:rPr>
              <w:t>15分</w:t>
            </w:r>
            <w:r>
              <w:rPr>
                <w:rFonts w:hint="eastAsia" w:hAnsi="宋体" w:cs="宋体"/>
                <w:sz w:val="18"/>
                <w:szCs w:val="18"/>
                <w:highlight w:val="none"/>
              </w:rPr>
              <w:t>]</w:t>
            </w:r>
          </w:p>
          <w:p w14:paraId="1FE153FD">
            <w:pPr>
              <w:pStyle w:val="26"/>
              <w:keepNext w:val="0"/>
              <w:keepLines w:val="0"/>
              <w:widowControl/>
              <w:suppressLineNumbers w:val="0"/>
              <w:spacing w:before="0" w:beforeAutospacing="0" w:after="0" w:afterAutospacing="0"/>
              <w:ind w:left="0" w:right="0" w:firstLine="0" w:firstLineChars="0"/>
              <w:jc w:val="left"/>
              <w:rPr>
                <w:rFonts w:hint="default" w:hAnsi="宋体" w:cs="宋体"/>
                <w:sz w:val="18"/>
                <w:szCs w:val="18"/>
                <w:highlight w:val="none"/>
              </w:rPr>
            </w:pPr>
            <w:r>
              <w:rPr>
                <w:rFonts w:hint="eastAsia" w:hAnsi="宋体" w:cs="宋体"/>
                <w:sz w:val="18"/>
                <w:szCs w:val="18"/>
                <w:highlight w:val="none"/>
              </w:rPr>
              <w:t>b.</w:t>
            </w:r>
            <w:r>
              <w:rPr>
                <w:rFonts w:hint="eastAsia" w:hAnsi="宋体" w:cs="宋体"/>
                <w:sz w:val="18"/>
                <w:szCs w:val="18"/>
                <w:highlight w:val="none"/>
                <w:lang w:val="en-US" w:eastAsia="zh-CN"/>
              </w:rPr>
              <w:t>有效知识产权的应用数量处于行业良好水平(5分,10分]</w:t>
            </w:r>
          </w:p>
          <w:p w14:paraId="1FC3FE11">
            <w:pPr>
              <w:pStyle w:val="26"/>
              <w:keepNext w:val="0"/>
              <w:keepLines w:val="0"/>
              <w:widowControl/>
              <w:suppressLineNumbers w:val="0"/>
              <w:spacing w:before="0" w:beforeAutospacing="0" w:after="0" w:afterAutospacing="0"/>
              <w:ind w:left="0" w:right="0" w:firstLine="0" w:firstLineChars="0"/>
              <w:jc w:val="left"/>
              <w:rPr>
                <w:rFonts w:hint="eastAsia" w:hAnsi="宋体" w:eastAsia="宋体" w:cs="宋体"/>
                <w:sz w:val="18"/>
                <w:szCs w:val="18"/>
                <w:highlight w:val="none"/>
                <w:lang w:eastAsia="zh-CN"/>
              </w:rPr>
            </w:pPr>
            <w:r>
              <w:rPr>
                <w:rFonts w:hint="eastAsia" w:hAnsi="宋体" w:cs="宋体"/>
                <w:sz w:val="18"/>
                <w:szCs w:val="18"/>
                <w:highlight w:val="none"/>
              </w:rPr>
              <w:t>c.</w:t>
            </w:r>
            <w:r>
              <w:rPr>
                <w:rFonts w:hint="eastAsia" w:hAnsi="宋体" w:cs="宋体"/>
                <w:sz w:val="18"/>
                <w:szCs w:val="18"/>
                <w:highlight w:val="none"/>
                <w:lang w:val="en-US" w:eastAsia="zh-CN"/>
              </w:rPr>
              <w:t>有效知识产权的应用数量处于行业一般水平[0分,5分]</w:t>
            </w:r>
          </w:p>
        </w:tc>
        <w:tc>
          <w:tcPr>
            <w:tcW w:w="518" w:type="pct"/>
            <w:tcBorders>
              <w:top w:val="single" w:color="auto" w:sz="12" w:space="0"/>
              <w:bottom w:val="single" w:color="auto" w:sz="4" w:space="0"/>
            </w:tcBorders>
            <w:vAlign w:val="center"/>
          </w:tcPr>
          <w:p w14:paraId="2F141B9C">
            <w:pPr>
              <w:pStyle w:val="26"/>
              <w:keepNext w:val="0"/>
              <w:keepLines w:val="0"/>
              <w:widowControl/>
              <w:suppressLineNumbers w:val="0"/>
              <w:spacing w:before="0" w:beforeAutospacing="0" w:after="0" w:afterAutospacing="0"/>
              <w:ind w:left="0" w:right="0" w:firstLine="0" w:firstLineChars="0"/>
              <w:jc w:val="center"/>
              <w:rPr>
                <w:rFonts w:hint="default" w:hAnsi="宋体" w:eastAsia="宋体" w:cs="宋体"/>
                <w:sz w:val="18"/>
                <w:szCs w:val="18"/>
                <w:highlight w:val="none"/>
                <w:lang w:val="en-US" w:eastAsia="zh-CN"/>
              </w:rPr>
            </w:pPr>
            <w:r>
              <w:rPr>
                <w:rFonts w:hint="eastAsia" w:hAnsi="宋体" w:cs="宋体"/>
                <w:sz w:val="18"/>
                <w:szCs w:val="18"/>
                <w:highlight w:val="none"/>
                <w:lang w:val="en-US" w:eastAsia="zh-CN"/>
              </w:rPr>
              <w:t>15</w:t>
            </w:r>
          </w:p>
        </w:tc>
        <w:tc>
          <w:tcPr>
            <w:tcW w:w="523" w:type="pct"/>
            <w:tcBorders>
              <w:top w:val="single" w:color="auto" w:sz="12" w:space="0"/>
              <w:bottom w:val="single" w:color="auto" w:sz="4" w:space="0"/>
            </w:tcBorders>
            <w:vAlign w:val="center"/>
          </w:tcPr>
          <w:p w14:paraId="0D86BFEE">
            <w:pPr>
              <w:pStyle w:val="26"/>
              <w:keepNext w:val="0"/>
              <w:keepLines w:val="0"/>
              <w:widowControl/>
              <w:suppressLineNumbers w:val="0"/>
              <w:spacing w:before="0" w:beforeAutospacing="0" w:after="0" w:afterAutospacing="0"/>
              <w:ind w:left="0" w:right="0" w:firstLine="0" w:firstLineChars="0"/>
              <w:jc w:val="center"/>
              <w:rPr>
                <w:rFonts w:hint="default" w:ascii="Times New Roman"/>
                <w:sz w:val="18"/>
                <w:szCs w:val="18"/>
                <w:highlight w:val="none"/>
              </w:rPr>
            </w:pPr>
          </w:p>
        </w:tc>
      </w:tr>
      <w:tr w14:paraId="020342E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335" w:hRule="atLeast"/>
        </w:trPr>
        <w:tc>
          <w:tcPr>
            <w:tcW w:w="491" w:type="pct"/>
            <w:vMerge w:val="continue"/>
            <w:tcBorders>
              <w:top w:val="single" w:color="auto" w:sz="4" w:space="0"/>
              <w:bottom w:val="single" w:color="auto" w:sz="4" w:space="0"/>
            </w:tcBorders>
            <w:vAlign w:val="center"/>
          </w:tcPr>
          <w:p w14:paraId="336D519A">
            <w:pPr>
              <w:pStyle w:val="26"/>
              <w:keepNext w:val="0"/>
              <w:keepLines w:val="0"/>
              <w:widowControl/>
              <w:suppressLineNumbers w:val="0"/>
              <w:spacing w:before="0" w:beforeAutospacing="0" w:after="0" w:afterAutospacing="0"/>
              <w:ind w:left="0" w:right="0" w:firstLine="0" w:firstLineChars="0"/>
              <w:jc w:val="center"/>
              <w:rPr>
                <w:rFonts w:hint="eastAsia" w:hAnsi="宋体" w:cs="宋体"/>
                <w:sz w:val="18"/>
                <w:szCs w:val="18"/>
                <w:highlight w:val="none"/>
              </w:rPr>
            </w:pPr>
          </w:p>
        </w:tc>
        <w:tc>
          <w:tcPr>
            <w:tcW w:w="494" w:type="pct"/>
            <w:tcBorders>
              <w:top w:val="single" w:color="auto" w:sz="4" w:space="0"/>
              <w:bottom w:val="single" w:color="auto" w:sz="4" w:space="0"/>
            </w:tcBorders>
            <w:vAlign w:val="center"/>
          </w:tcPr>
          <w:p w14:paraId="762C9973">
            <w:pPr>
              <w:pStyle w:val="26"/>
              <w:keepNext w:val="0"/>
              <w:keepLines w:val="0"/>
              <w:widowControl/>
              <w:suppressLineNumbers w:val="0"/>
              <w:spacing w:before="0" w:beforeAutospacing="0" w:after="0" w:afterAutospacing="0"/>
              <w:ind w:left="0" w:right="0" w:firstLine="0" w:firstLineChars="0"/>
              <w:jc w:val="center"/>
              <w:rPr>
                <w:rFonts w:hint="eastAsia" w:hAnsi="宋体" w:cs="宋体"/>
                <w:sz w:val="18"/>
                <w:szCs w:val="18"/>
                <w:highlight w:val="none"/>
                <w:lang w:val="en-US" w:eastAsia="zh-CN"/>
              </w:rPr>
            </w:pPr>
            <w:r>
              <w:rPr>
                <w:rFonts w:hint="eastAsia" w:hAnsi="宋体" w:cs="宋体"/>
                <w:sz w:val="18"/>
                <w:szCs w:val="18"/>
                <w:highlight w:val="none"/>
                <w:lang w:val="en-US" w:eastAsia="zh-CN"/>
              </w:rPr>
              <w:t>关键技术先进性</w:t>
            </w:r>
          </w:p>
        </w:tc>
        <w:tc>
          <w:tcPr>
            <w:tcW w:w="1098" w:type="pct"/>
            <w:tcBorders>
              <w:top w:val="single" w:color="auto" w:sz="4" w:space="0"/>
              <w:bottom w:val="single" w:color="auto" w:sz="4" w:space="0"/>
            </w:tcBorders>
            <w:vAlign w:val="center"/>
          </w:tcPr>
          <w:p w14:paraId="1D9E19B3">
            <w:pPr>
              <w:pStyle w:val="26"/>
              <w:keepNext w:val="0"/>
              <w:keepLines w:val="0"/>
              <w:widowControl/>
              <w:suppressLineNumbers w:val="0"/>
              <w:spacing w:before="0" w:beforeAutospacing="0" w:after="0" w:afterAutospacing="0"/>
              <w:ind w:left="0" w:right="0" w:firstLine="0" w:firstLineChars="0"/>
              <w:jc w:val="both"/>
              <w:rPr>
                <w:rFonts w:hint="eastAsia" w:hAnsi="宋体" w:cs="宋体"/>
                <w:sz w:val="18"/>
                <w:szCs w:val="18"/>
                <w:highlight w:val="none"/>
                <w:lang w:val="en-US" w:eastAsia="zh-CN"/>
              </w:rPr>
            </w:pPr>
            <w:r>
              <w:rPr>
                <w:rFonts w:hint="eastAsia" w:hAnsi="宋体" w:cs="宋体"/>
                <w:sz w:val="18"/>
                <w:szCs w:val="18"/>
                <w:highlight w:val="none"/>
                <w:lang w:val="en-US" w:eastAsia="zh-CN"/>
              </w:rPr>
              <w:t>温室气体控制领域相关产品或服务的核心技术先进水平，选取在该行业具备典型代表性的核心技术水平</w:t>
            </w:r>
          </w:p>
        </w:tc>
        <w:tc>
          <w:tcPr>
            <w:tcW w:w="1873" w:type="pct"/>
            <w:tcBorders>
              <w:top w:val="single" w:color="auto" w:sz="4" w:space="0"/>
              <w:bottom w:val="single" w:color="auto" w:sz="4" w:space="0"/>
            </w:tcBorders>
            <w:vAlign w:val="center"/>
          </w:tcPr>
          <w:p w14:paraId="6585BCAA">
            <w:pPr>
              <w:pStyle w:val="26"/>
              <w:keepNext w:val="0"/>
              <w:keepLines w:val="0"/>
              <w:widowControl/>
              <w:suppressLineNumbers w:val="0"/>
              <w:spacing w:before="0" w:beforeAutospacing="0" w:after="0" w:afterAutospacing="0"/>
              <w:ind w:left="0" w:right="0" w:firstLine="0" w:firstLineChars="0"/>
              <w:jc w:val="both"/>
              <w:rPr>
                <w:rFonts w:hint="eastAsia" w:hAnsi="宋体" w:cs="宋体"/>
                <w:sz w:val="18"/>
                <w:szCs w:val="18"/>
                <w:highlight w:val="none"/>
              </w:rPr>
            </w:pPr>
            <w:r>
              <w:rPr>
                <w:rFonts w:hint="eastAsia" w:hAnsi="宋体" w:cs="宋体"/>
                <w:sz w:val="18"/>
                <w:szCs w:val="18"/>
                <w:highlight w:val="none"/>
              </w:rPr>
              <w:t>a.</w:t>
            </w:r>
            <w:r>
              <w:rPr>
                <w:rFonts w:hint="eastAsia" w:hAnsi="宋体" w:cs="宋体"/>
                <w:sz w:val="18"/>
                <w:szCs w:val="18"/>
                <w:highlight w:val="none"/>
                <w:lang w:val="en-US" w:eastAsia="zh-CN"/>
              </w:rPr>
              <w:t>关键技术处于行业领先水平，具有显著技术引领作用</w:t>
            </w:r>
            <w:r>
              <w:rPr>
                <w:rFonts w:hint="eastAsia" w:hAnsi="宋体" w:cs="宋体"/>
                <w:sz w:val="18"/>
                <w:szCs w:val="18"/>
                <w:highlight w:val="none"/>
              </w:rPr>
              <w:t>(</w:t>
            </w:r>
            <w:r>
              <w:rPr>
                <w:rFonts w:hint="eastAsia" w:hAnsi="宋体" w:cs="宋体"/>
                <w:sz w:val="18"/>
                <w:szCs w:val="18"/>
                <w:highlight w:val="none"/>
                <w:lang w:val="en-US" w:eastAsia="zh-CN"/>
              </w:rPr>
              <w:t>20分</w:t>
            </w:r>
            <w:r>
              <w:rPr>
                <w:rFonts w:hint="eastAsia" w:hAnsi="宋体" w:cs="宋体"/>
                <w:sz w:val="18"/>
                <w:szCs w:val="18"/>
                <w:highlight w:val="none"/>
              </w:rPr>
              <w:t>,</w:t>
            </w:r>
            <w:r>
              <w:rPr>
                <w:rFonts w:hint="eastAsia" w:hAnsi="宋体" w:cs="宋体"/>
                <w:sz w:val="18"/>
                <w:szCs w:val="18"/>
                <w:highlight w:val="none"/>
                <w:lang w:val="en-US" w:eastAsia="zh-CN"/>
              </w:rPr>
              <w:t>25分</w:t>
            </w:r>
            <w:r>
              <w:rPr>
                <w:rFonts w:hint="eastAsia" w:hAnsi="宋体" w:cs="宋体"/>
                <w:sz w:val="18"/>
                <w:szCs w:val="18"/>
                <w:highlight w:val="none"/>
              </w:rPr>
              <w:t>]</w:t>
            </w:r>
          </w:p>
          <w:p w14:paraId="5B932CDE">
            <w:pPr>
              <w:pStyle w:val="26"/>
              <w:keepNext w:val="0"/>
              <w:keepLines w:val="0"/>
              <w:widowControl/>
              <w:suppressLineNumbers w:val="0"/>
              <w:spacing w:before="0" w:beforeAutospacing="0" w:after="0" w:afterAutospacing="0"/>
              <w:ind w:left="0" w:right="0" w:firstLine="0" w:firstLineChars="0"/>
              <w:jc w:val="both"/>
              <w:rPr>
                <w:rFonts w:hint="eastAsia" w:hAnsi="宋体" w:cs="宋体"/>
                <w:sz w:val="18"/>
                <w:szCs w:val="18"/>
                <w:highlight w:val="none"/>
              </w:rPr>
            </w:pPr>
            <w:r>
              <w:rPr>
                <w:rFonts w:hint="eastAsia" w:hAnsi="宋体" w:cs="宋体"/>
                <w:sz w:val="18"/>
                <w:szCs w:val="18"/>
                <w:highlight w:val="none"/>
              </w:rPr>
              <w:t>b.</w:t>
            </w:r>
            <w:r>
              <w:rPr>
                <w:rFonts w:hint="eastAsia" w:hAnsi="宋体" w:cs="宋体"/>
                <w:sz w:val="18"/>
                <w:szCs w:val="18"/>
                <w:highlight w:val="none"/>
                <w:lang w:val="en-US" w:eastAsia="zh-CN"/>
              </w:rPr>
              <w:t>关键技术处于行业较好水平，具有一定技术推动作用(10分,20分]</w:t>
            </w:r>
          </w:p>
          <w:p w14:paraId="5749CC38">
            <w:pPr>
              <w:pStyle w:val="26"/>
              <w:keepNext w:val="0"/>
              <w:keepLines w:val="0"/>
              <w:widowControl/>
              <w:suppressLineNumbers w:val="0"/>
              <w:spacing w:before="0" w:beforeAutospacing="0" w:after="0" w:afterAutospacing="0"/>
              <w:ind w:left="0" w:right="0" w:firstLine="0" w:firstLineChars="0"/>
              <w:jc w:val="both"/>
              <w:rPr>
                <w:rFonts w:hint="eastAsia" w:hAnsi="宋体" w:cs="宋体"/>
                <w:sz w:val="18"/>
                <w:szCs w:val="18"/>
                <w:highlight w:val="none"/>
                <w:lang w:val="en-US" w:eastAsia="zh-CN"/>
              </w:rPr>
            </w:pPr>
            <w:r>
              <w:rPr>
                <w:rFonts w:hint="eastAsia" w:hAnsi="宋体" w:cs="宋体"/>
                <w:sz w:val="18"/>
                <w:szCs w:val="18"/>
                <w:highlight w:val="none"/>
              </w:rPr>
              <w:t>c.</w:t>
            </w:r>
            <w:r>
              <w:rPr>
                <w:rFonts w:hint="eastAsia" w:hAnsi="宋体" w:cs="宋体"/>
                <w:sz w:val="18"/>
                <w:szCs w:val="18"/>
                <w:highlight w:val="none"/>
                <w:lang w:val="en-US" w:eastAsia="zh-CN"/>
              </w:rPr>
              <w:t>关键技术处于行业平均水平(0分,10分]</w:t>
            </w:r>
          </w:p>
          <w:p w14:paraId="16F24248">
            <w:pPr>
              <w:pStyle w:val="26"/>
              <w:keepNext w:val="0"/>
              <w:keepLines w:val="0"/>
              <w:widowControl/>
              <w:suppressLineNumbers w:val="0"/>
              <w:spacing w:before="0" w:beforeAutospacing="0" w:after="0" w:afterAutospacing="0"/>
              <w:ind w:left="0" w:right="0" w:firstLine="0" w:firstLineChars="0"/>
              <w:jc w:val="both"/>
              <w:rPr>
                <w:rFonts w:hint="eastAsia" w:hAnsi="宋体" w:cs="宋体"/>
                <w:sz w:val="18"/>
                <w:szCs w:val="18"/>
                <w:highlight w:val="none"/>
              </w:rPr>
            </w:pPr>
            <w:r>
              <w:rPr>
                <w:rFonts w:hint="eastAsia" w:hAnsi="宋体" w:cs="宋体"/>
                <w:sz w:val="18"/>
                <w:szCs w:val="18"/>
                <w:highlight w:val="none"/>
                <w:lang w:val="en-US" w:eastAsia="zh-CN"/>
              </w:rPr>
              <w:t>d.未满足上述任何一项</w:t>
            </w:r>
            <w:r>
              <w:rPr>
                <w:rFonts w:hint="eastAsia" w:hAnsi="宋体" w:cs="宋体"/>
                <w:sz w:val="18"/>
                <w:szCs w:val="18"/>
                <w:highlight w:val="none"/>
                <w:lang w:eastAsia="zh-CN"/>
              </w:rPr>
              <w:t>。（</w:t>
            </w:r>
            <w:r>
              <w:rPr>
                <w:rFonts w:hint="eastAsia" w:hAnsi="宋体" w:cs="宋体"/>
                <w:sz w:val="18"/>
                <w:szCs w:val="18"/>
                <w:highlight w:val="none"/>
                <w:lang w:val="en-US" w:eastAsia="zh-CN"/>
              </w:rPr>
              <w:t>0分</w:t>
            </w:r>
            <w:r>
              <w:rPr>
                <w:rFonts w:hint="eastAsia" w:hAnsi="宋体" w:cs="宋体"/>
                <w:sz w:val="18"/>
                <w:szCs w:val="18"/>
                <w:highlight w:val="none"/>
                <w:lang w:eastAsia="zh-CN"/>
              </w:rPr>
              <w:t>）</w:t>
            </w:r>
          </w:p>
        </w:tc>
        <w:tc>
          <w:tcPr>
            <w:tcW w:w="518" w:type="pct"/>
            <w:tcBorders>
              <w:top w:val="single" w:color="auto" w:sz="4" w:space="0"/>
              <w:bottom w:val="single" w:color="auto" w:sz="4" w:space="0"/>
            </w:tcBorders>
            <w:vAlign w:val="center"/>
          </w:tcPr>
          <w:p w14:paraId="57468C24">
            <w:pPr>
              <w:pStyle w:val="26"/>
              <w:keepNext w:val="0"/>
              <w:keepLines w:val="0"/>
              <w:widowControl/>
              <w:suppressLineNumbers w:val="0"/>
              <w:spacing w:before="0" w:beforeAutospacing="0" w:after="0" w:afterAutospacing="0"/>
              <w:ind w:left="0" w:right="0" w:firstLine="0" w:firstLineChars="0"/>
              <w:jc w:val="center"/>
              <w:rPr>
                <w:rFonts w:hint="default" w:hAnsi="宋体" w:cs="宋体"/>
                <w:sz w:val="18"/>
                <w:szCs w:val="18"/>
                <w:highlight w:val="none"/>
                <w:lang w:val="en-US" w:eastAsia="zh-CN"/>
              </w:rPr>
            </w:pPr>
            <w:r>
              <w:rPr>
                <w:rFonts w:hint="eastAsia" w:hAnsi="宋体" w:cs="宋体"/>
                <w:sz w:val="18"/>
                <w:szCs w:val="18"/>
                <w:highlight w:val="none"/>
                <w:lang w:val="en-US" w:eastAsia="zh-CN"/>
              </w:rPr>
              <w:t>25</w:t>
            </w:r>
          </w:p>
        </w:tc>
        <w:tc>
          <w:tcPr>
            <w:tcW w:w="523" w:type="pct"/>
            <w:tcBorders>
              <w:top w:val="single" w:color="auto" w:sz="4" w:space="0"/>
              <w:bottom w:val="single" w:color="auto" w:sz="4" w:space="0"/>
            </w:tcBorders>
            <w:vAlign w:val="center"/>
          </w:tcPr>
          <w:p w14:paraId="486AD251">
            <w:pPr>
              <w:pStyle w:val="26"/>
              <w:keepNext w:val="0"/>
              <w:keepLines w:val="0"/>
              <w:widowControl/>
              <w:suppressLineNumbers w:val="0"/>
              <w:spacing w:before="0" w:beforeAutospacing="0" w:after="0" w:afterAutospacing="0"/>
              <w:ind w:left="0" w:right="0" w:firstLine="0" w:firstLineChars="0"/>
              <w:jc w:val="center"/>
              <w:rPr>
                <w:rFonts w:hint="default" w:ascii="Times New Roman"/>
                <w:sz w:val="18"/>
                <w:szCs w:val="18"/>
                <w:highlight w:val="none"/>
              </w:rPr>
            </w:pPr>
          </w:p>
        </w:tc>
      </w:tr>
      <w:tr w14:paraId="18C5766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2091" w:hRule="atLeast"/>
        </w:trPr>
        <w:tc>
          <w:tcPr>
            <w:tcW w:w="491" w:type="pct"/>
            <w:vMerge w:val="continue"/>
            <w:tcBorders>
              <w:top w:val="single" w:color="auto" w:sz="4" w:space="0"/>
              <w:bottom w:val="single" w:color="auto" w:sz="4" w:space="0"/>
            </w:tcBorders>
            <w:vAlign w:val="center"/>
          </w:tcPr>
          <w:p w14:paraId="0B132B01">
            <w:pPr>
              <w:pStyle w:val="26"/>
              <w:keepNext w:val="0"/>
              <w:keepLines w:val="0"/>
              <w:widowControl/>
              <w:suppressLineNumbers w:val="0"/>
              <w:spacing w:before="0" w:beforeAutospacing="0" w:after="0" w:afterAutospacing="0"/>
              <w:ind w:left="0" w:right="0" w:firstLine="0" w:firstLineChars="0"/>
              <w:jc w:val="center"/>
              <w:rPr>
                <w:rFonts w:hint="eastAsia" w:hAnsi="宋体" w:cs="宋体"/>
                <w:sz w:val="18"/>
                <w:szCs w:val="18"/>
                <w:highlight w:val="none"/>
              </w:rPr>
            </w:pPr>
          </w:p>
        </w:tc>
        <w:tc>
          <w:tcPr>
            <w:tcW w:w="494" w:type="pct"/>
            <w:tcBorders>
              <w:top w:val="single" w:color="auto" w:sz="4" w:space="0"/>
              <w:bottom w:val="single" w:color="auto" w:sz="4" w:space="0"/>
            </w:tcBorders>
            <w:vAlign w:val="center"/>
          </w:tcPr>
          <w:p w14:paraId="2F8C5091">
            <w:pPr>
              <w:pStyle w:val="26"/>
              <w:keepNext w:val="0"/>
              <w:keepLines w:val="0"/>
              <w:widowControl/>
              <w:suppressLineNumbers w:val="0"/>
              <w:spacing w:before="0" w:beforeAutospacing="0" w:after="0" w:afterAutospacing="0"/>
              <w:ind w:left="0" w:right="0" w:firstLine="0" w:firstLineChars="0"/>
              <w:jc w:val="center"/>
              <w:rPr>
                <w:rFonts w:hint="default" w:hAnsi="宋体" w:cs="宋体"/>
                <w:sz w:val="18"/>
                <w:szCs w:val="18"/>
                <w:highlight w:val="none"/>
                <w:lang w:val="en-US" w:eastAsia="zh-CN"/>
              </w:rPr>
            </w:pPr>
            <w:r>
              <w:rPr>
                <w:rFonts w:hint="eastAsia" w:hAnsi="宋体" w:cs="宋体"/>
                <w:sz w:val="18"/>
                <w:szCs w:val="18"/>
                <w:highlight w:val="none"/>
                <w:lang w:val="en-US" w:eastAsia="zh-CN"/>
              </w:rPr>
              <w:t>环境效益</w:t>
            </w:r>
          </w:p>
        </w:tc>
        <w:tc>
          <w:tcPr>
            <w:tcW w:w="1098" w:type="pct"/>
            <w:tcBorders>
              <w:top w:val="single" w:color="auto" w:sz="4" w:space="0"/>
              <w:bottom w:val="single" w:color="auto" w:sz="4" w:space="0"/>
            </w:tcBorders>
            <w:vAlign w:val="center"/>
          </w:tcPr>
          <w:p w14:paraId="4BF54A84">
            <w:pPr>
              <w:pStyle w:val="26"/>
              <w:keepNext w:val="0"/>
              <w:keepLines w:val="0"/>
              <w:widowControl/>
              <w:suppressLineNumbers w:val="0"/>
              <w:spacing w:before="0" w:beforeAutospacing="0" w:after="0" w:afterAutospacing="0"/>
              <w:ind w:left="0" w:right="0" w:firstLine="0" w:firstLineChars="0"/>
              <w:jc w:val="both"/>
              <w:rPr>
                <w:rFonts w:hint="eastAsia" w:hAnsi="宋体" w:cs="宋体"/>
                <w:sz w:val="18"/>
                <w:szCs w:val="18"/>
                <w:highlight w:val="none"/>
                <w:lang w:val="en-US" w:eastAsia="zh-CN"/>
              </w:rPr>
            </w:pPr>
            <w:r>
              <w:rPr>
                <w:rFonts w:hint="eastAsia" w:hAnsi="宋体" w:cs="宋体"/>
                <w:sz w:val="18"/>
                <w:szCs w:val="18"/>
                <w:highlight w:val="none"/>
                <w:lang w:val="en-US" w:eastAsia="zh-CN"/>
              </w:rPr>
              <w:t>在温室气体控制领域，采购方应用项目相关产品或服务过程中取得的资源节约、环境友好、生态良好相关实际环境效益贡献量和涉及的环境效益种类数量</w:t>
            </w:r>
          </w:p>
        </w:tc>
        <w:tc>
          <w:tcPr>
            <w:tcW w:w="1873" w:type="pct"/>
            <w:tcBorders>
              <w:top w:val="single" w:color="auto" w:sz="4" w:space="0"/>
              <w:bottom w:val="single" w:color="auto" w:sz="4" w:space="0"/>
            </w:tcBorders>
            <w:vAlign w:val="center"/>
          </w:tcPr>
          <w:p w14:paraId="5C976620">
            <w:pPr>
              <w:pStyle w:val="26"/>
              <w:keepNext w:val="0"/>
              <w:keepLines w:val="0"/>
              <w:widowControl/>
              <w:suppressLineNumbers w:val="0"/>
              <w:spacing w:before="0" w:beforeAutospacing="0" w:after="0" w:afterAutospacing="0"/>
              <w:ind w:left="0" w:right="0" w:firstLine="0" w:firstLineChars="0"/>
              <w:jc w:val="both"/>
              <w:rPr>
                <w:rFonts w:hint="eastAsia" w:hAnsi="宋体" w:cs="宋体"/>
                <w:sz w:val="18"/>
                <w:szCs w:val="18"/>
                <w:highlight w:val="none"/>
                <w:lang w:val="en-US" w:eastAsia="zh-CN"/>
              </w:rPr>
            </w:pPr>
            <w:r>
              <w:rPr>
                <w:rFonts w:hint="eastAsia" w:hAnsi="宋体" w:cs="宋体"/>
                <w:sz w:val="18"/>
                <w:szCs w:val="18"/>
                <w:highlight w:val="none"/>
                <w:lang w:val="en-US" w:eastAsia="zh-CN"/>
              </w:rPr>
              <w:t>a.取得的环境效益效果显著，处于行业领先水平(15分,20分]</w:t>
            </w:r>
          </w:p>
          <w:p w14:paraId="5CEFBF6A">
            <w:pPr>
              <w:pStyle w:val="26"/>
              <w:keepNext w:val="0"/>
              <w:keepLines w:val="0"/>
              <w:widowControl/>
              <w:suppressLineNumbers w:val="0"/>
              <w:spacing w:before="0" w:beforeAutospacing="0" w:after="0" w:afterAutospacing="0"/>
              <w:ind w:left="0" w:right="0" w:firstLine="0" w:firstLineChars="0"/>
              <w:jc w:val="both"/>
              <w:rPr>
                <w:rFonts w:hint="eastAsia" w:hAnsi="宋体" w:cs="宋体"/>
                <w:sz w:val="18"/>
                <w:szCs w:val="18"/>
                <w:highlight w:val="none"/>
                <w:lang w:val="en-US" w:eastAsia="zh-CN"/>
              </w:rPr>
            </w:pPr>
            <w:r>
              <w:rPr>
                <w:rFonts w:hint="eastAsia" w:hAnsi="宋体" w:cs="宋体"/>
                <w:sz w:val="18"/>
                <w:szCs w:val="18"/>
                <w:highlight w:val="none"/>
                <w:lang w:val="en-US" w:eastAsia="zh-CN"/>
              </w:rPr>
              <w:t>b.取得的环境效益效果较好，处于行业良好水平(10分,15分]</w:t>
            </w:r>
          </w:p>
          <w:p w14:paraId="46CEA9D6">
            <w:pPr>
              <w:pStyle w:val="26"/>
              <w:keepNext w:val="0"/>
              <w:keepLines w:val="0"/>
              <w:widowControl/>
              <w:suppressLineNumbers w:val="0"/>
              <w:spacing w:before="0" w:beforeAutospacing="0" w:after="0" w:afterAutospacing="0"/>
              <w:ind w:left="0" w:right="0" w:firstLine="0" w:firstLineChars="0"/>
              <w:jc w:val="both"/>
              <w:rPr>
                <w:rFonts w:hint="eastAsia" w:hAnsi="宋体" w:cs="宋体"/>
                <w:sz w:val="18"/>
                <w:szCs w:val="18"/>
                <w:highlight w:val="none"/>
                <w:lang w:val="en-US" w:eastAsia="zh-CN"/>
              </w:rPr>
            </w:pPr>
            <w:r>
              <w:rPr>
                <w:rFonts w:hint="eastAsia" w:hAnsi="宋体" w:cs="宋体"/>
                <w:sz w:val="18"/>
                <w:szCs w:val="18"/>
                <w:highlight w:val="none"/>
                <w:lang w:val="en-US" w:eastAsia="zh-CN"/>
              </w:rPr>
              <w:t>c.取得的环境效益效果一般，处于行业一般水平[0分,10分]</w:t>
            </w:r>
          </w:p>
        </w:tc>
        <w:tc>
          <w:tcPr>
            <w:tcW w:w="518" w:type="pct"/>
            <w:tcBorders>
              <w:top w:val="single" w:color="auto" w:sz="4" w:space="0"/>
              <w:bottom w:val="single" w:color="auto" w:sz="4" w:space="0"/>
            </w:tcBorders>
            <w:vAlign w:val="center"/>
          </w:tcPr>
          <w:p w14:paraId="503C8D6E">
            <w:pPr>
              <w:pStyle w:val="26"/>
              <w:keepNext w:val="0"/>
              <w:keepLines w:val="0"/>
              <w:widowControl/>
              <w:suppressLineNumbers w:val="0"/>
              <w:spacing w:before="0" w:beforeAutospacing="0" w:after="0" w:afterAutospacing="0"/>
              <w:ind w:left="0" w:right="0" w:firstLine="0" w:firstLineChars="0"/>
              <w:jc w:val="center"/>
              <w:rPr>
                <w:rFonts w:hint="default" w:hAnsi="宋体" w:cs="宋体"/>
                <w:sz w:val="18"/>
                <w:szCs w:val="18"/>
                <w:highlight w:val="none"/>
                <w:lang w:val="en-US" w:eastAsia="zh-CN"/>
              </w:rPr>
            </w:pPr>
            <w:r>
              <w:rPr>
                <w:rFonts w:hint="eastAsia" w:hAnsi="宋体" w:cs="宋体"/>
                <w:sz w:val="18"/>
                <w:szCs w:val="18"/>
                <w:highlight w:val="none"/>
                <w:lang w:val="en-US" w:eastAsia="zh-CN"/>
              </w:rPr>
              <w:t>20</w:t>
            </w:r>
          </w:p>
        </w:tc>
        <w:tc>
          <w:tcPr>
            <w:tcW w:w="523" w:type="pct"/>
            <w:tcBorders>
              <w:top w:val="single" w:color="auto" w:sz="4" w:space="0"/>
              <w:bottom w:val="single" w:color="auto" w:sz="4" w:space="0"/>
            </w:tcBorders>
            <w:vAlign w:val="center"/>
          </w:tcPr>
          <w:p w14:paraId="1CE877A3">
            <w:pPr>
              <w:pStyle w:val="26"/>
              <w:keepNext w:val="0"/>
              <w:keepLines w:val="0"/>
              <w:widowControl/>
              <w:suppressLineNumbers w:val="0"/>
              <w:spacing w:before="0" w:beforeAutospacing="0" w:after="0" w:afterAutospacing="0"/>
              <w:ind w:left="0" w:right="0" w:firstLine="0" w:firstLineChars="0"/>
              <w:jc w:val="center"/>
              <w:rPr>
                <w:rFonts w:hint="default" w:ascii="Times New Roman"/>
                <w:sz w:val="18"/>
                <w:szCs w:val="18"/>
                <w:highlight w:val="none"/>
              </w:rPr>
            </w:pPr>
          </w:p>
        </w:tc>
      </w:tr>
      <w:tr w14:paraId="1C20DFA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491" w:type="pct"/>
            <w:vMerge w:val="restart"/>
            <w:tcBorders>
              <w:top w:val="single" w:color="auto" w:sz="4" w:space="0"/>
              <w:bottom w:val="single" w:color="auto" w:sz="4" w:space="0"/>
            </w:tcBorders>
            <w:vAlign w:val="center"/>
          </w:tcPr>
          <w:p w14:paraId="2787BE02">
            <w:pPr>
              <w:pStyle w:val="26"/>
              <w:keepNext w:val="0"/>
              <w:keepLines w:val="0"/>
              <w:widowControl/>
              <w:suppressLineNumbers w:val="0"/>
              <w:spacing w:before="0" w:beforeAutospacing="0" w:after="0" w:afterAutospacing="0"/>
              <w:ind w:left="0" w:right="0" w:firstLine="0" w:firstLineChars="0"/>
              <w:jc w:val="center"/>
              <w:rPr>
                <w:rFonts w:hint="eastAsia" w:hAnsi="宋体" w:eastAsia="宋体" w:cs="宋体"/>
                <w:sz w:val="18"/>
                <w:szCs w:val="18"/>
                <w:highlight w:val="none"/>
                <w:lang w:val="en-US" w:eastAsia="zh-CN"/>
              </w:rPr>
            </w:pPr>
            <w:r>
              <w:rPr>
                <w:rFonts w:hint="eastAsia" w:hAnsi="宋体" w:cs="宋体"/>
                <w:sz w:val="18"/>
                <w:szCs w:val="18"/>
                <w:highlight w:val="none"/>
                <w:lang w:val="en-US" w:eastAsia="zh-CN"/>
              </w:rPr>
              <w:t>环境表现</w:t>
            </w:r>
          </w:p>
        </w:tc>
        <w:tc>
          <w:tcPr>
            <w:tcW w:w="494" w:type="pct"/>
            <w:tcBorders>
              <w:top w:val="single" w:color="auto" w:sz="4" w:space="0"/>
              <w:bottom w:val="single" w:color="auto" w:sz="4" w:space="0"/>
            </w:tcBorders>
            <w:vAlign w:val="center"/>
          </w:tcPr>
          <w:p w14:paraId="22481670">
            <w:pPr>
              <w:pStyle w:val="26"/>
              <w:keepNext w:val="0"/>
              <w:keepLines w:val="0"/>
              <w:widowControl/>
              <w:suppressLineNumbers w:val="0"/>
              <w:spacing w:before="0" w:beforeAutospacing="0" w:after="0" w:afterAutospacing="0"/>
              <w:ind w:left="0" w:right="0" w:firstLine="0" w:firstLineChars="0"/>
              <w:jc w:val="center"/>
              <w:rPr>
                <w:rFonts w:hint="eastAsia" w:ascii="宋体" w:hAnsi="宋体" w:eastAsia="宋体" w:cs="宋体"/>
                <w:sz w:val="18"/>
                <w:szCs w:val="18"/>
                <w:highlight w:val="none"/>
                <w:lang w:val="en-US" w:eastAsia="zh-CN" w:bidi="ar-SA"/>
              </w:rPr>
            </w:pPr>
            <w:r>
              <w:rPr>
                <w:rFonts w:hint="eastAsia" w:hAnsi="宋体" w:cs="宋体"/>
                <w:sz w:val="18"/>
                <w:szCs w:val="18"/>
                <w:highlight w:val="none"/>
                <w:lang w:val="en-US" w:eastAsia="zh-CN"/>
              </w:rPr>
              <w:t>绿色低碳运营</w:t>
            </w:r>
          </w:p>
        </w:tc>
        <w:tc>
          <w:tcPr>
            <w:tcW w:w="1098" w:type="pct"/>
            <w:tcBorders>
              <w:top w:val="single" w:color="auto" w:sz="4" w:space="0"/>
              <w:bottom w:val="single" w:color="auto" w:sz="4" w:space="0"/>
            </w:tcBorders>
            <w:vAlign w:val="center"/>
          </w:tcPr>
          <w:p w14:paraId="714EB719">
            <w:pPr>
              <w:pStyle w:val="26"/>
              <w:keepNext w:val="0"/>
              <w:keepLines w:val="0"/>
              <w:widowControl/>
              <w:suppressLineNumbers w:val="0"/>
              <w:spacing w:before="0" w:beforeAutospacing="0" w:after="0" w:afterAutospacing="0"/>
              <w:ind w:left="0" w:right="0" w:firstLine="0" w:firstLineChars="0"/>
              <w:jc w:val="both"/>
              <w:rPr>
                <w:rFonts w:hint="eastAsia" w:ascii="宋体" w:hAnsi="宋体" w:eastAsia="宋体" w:cs="宋体"/>
                <w:sz w:val="18"/>
                <w:szCs w:val="18"/>
                <w:highlight w:val="none"/>
                <w:lang w:val="en-US" w:eastAsia="zh-CN" w:bidi="ar-SA"/>
              </w:rPr>
            </w:pPr>
            <w:r>
              <w:rPr>
                <w:rFonts w:hint="eastAsia" w:hAnsi="宋体" w:cs="宋体"/>
                <w:sz w:val="18"/>
                <w:szCs w:val="18"/>
                <w:highlight w:val="none"/>
                <w:lang w:val="en-US" w:eastAsia="zh-CN"/>
              </w:rPr>
              <w:t>从项目的单位总投资综合能耗、单位总投资用水量、单位总投资用地面积、单位总投资碳排放量、可再生能源占比等方面进行综合评估</w:t>
            </w:r>
          </w:p>
        </w:tc>
        <w:tc>
          <w:tcPr>
            <w:tcW w:w="1873" w:type="pct"/>
            <w:tcBorders>
              <w:top w:val="single" w:color="auto" w:sz="4" w:space="0"/>
              <w:bottom w:val="single" w:color="auto" w:sz="4" w:space="0"/>
            </w:tcBorders>
            <w:vAlign w:val="center"/>
          </w:tcPr>
          <w:p w14:paraId="513C19A9">
            <w:pPr>
              <w:pStyle w:val="26"/>
              <w:keepNext w:val="0"/>
              <w:keepLines w:val="0"/>
              <w:widowControl/>
              <w:suppressLineNumbers w:val="0"/>
              <w:spacing w:before="0" w:beforeAutospacing="0" w:after="0" w:afterAutospacing="0"/>
              <w:ind w:left="0" w:right="0" w:firstLine="0" w:firstLineChars="0"/>
              <w:jc w:val="both"/>
              <w:rPr>
                <w:rFonts w:hint="eastAsia" w:hAnsi="宋体" w:cs="宋体"/>
                <w:sz w:val="18"/>
                <w:szCs w:val="18"/>
                <w:highlight w:val="none"/>
                <w:lang w:val="en-US" w:eastAsia="zh-CN"/>
              </w:rPr>
            </w:pPr>
            <w:r>
              <w:rPr>
                <w:rFonts w:hint="eastAsia" w:hAnsi="宋体" w:cs="宋体"/>
                <w:sz w:val="18"/>
                <w:szCs w:val="18"/>
                <w:highlight w:val="none"/>
                <w:lang w:val="en-US" w:eastAsia="zh-CN"/>
              </w:rPr>
              <w:t>a.五项指标达到业内领先水平(16分,20分]</w:t>
            </w:r>
          </w:p>
          <w:p w14:paraId="2378BDEB">
            <w:pPr>
              <w:pStyle w:val="26"/>
              <w:keepNext w:val="0"/>
              <w:keepLines w:val="0"/>
              <w:widowControl/>
              <w:suppressLineNumbers w:val="0"/>
              <w:spacing w:before="0" w:beforeAutospacing="0" w:after="0" w:afterAutospacing="0"/>
              <w:ind w:left="0" w:right="0" w:firstLine="0" w:firstLineChars="0"/>
              <w:jc w:val="both"/>
              <w:rPr>
                <w:rFonts w:hint="eastAsia" w:hAnsi="宋体" w:cs="宋体"/>
                <w:sz w:val="18"/>
                <w:szCs w:val="18"/>
                <w:highlight w:val="none"/>
                <w:lang w:val="en-US" w:eastAsia="zh-CN"/>
              </w:rPr>
            </w:pPr>
            <w:r>
              <w:rPr>
                <w:rFonts w:hint="eastAsia" w:hAnsi="宋体" w:cs="宋体"/>
                <w:sz w:val="18"/>
                <w:szCs w:val="18"/>
                <w:highlight w:val="none"/>
                <w:lang w:val="en-US" w:eastAsia="zh-CN"/>
              </w:rPr>
              <w:t>b.四项指标达到业内领先水平(12分,16分]</w:t>
            </w:r>
          </w:p>
          <w:p w14:paraId="034FE71A">
            <w:pPr>
              <w:pStyle w:val="26"/>
              <w:keepNext w:val="0"/>
              <w:keepLines w:val="0"/>
              <w:widowControl/>
              <w:suppressLineNumbers w:val="0"/>
              <w:spacing w:before="0" w:beforeAutospacing="0" w:after="0" w:afterAutospacing="0"/>
              <w:ind w:left="0" w:right="0" w:firstLine="0" w:firstLineChars="0"/>
              <w:jc w:val="both"/>
              <w:rPr>
                <w:rFonts w:hint="eastAsia" w:hAnsi="宋体" w:cs="宋体"/>
                <w:sz w:val="18"/>
                <w:szCs w:val="18"/>
                <w:highlight w:val="none"/>
                <w:lang w:val="en-US" w:eastAsia="zh-CN"/>
              </w:rPr>
            </w:pPr>
            <w:r>
              <w:rPr>
                <w:rFonts w:hint="eastAsia" w:hAnsi="宋体" w:cs="宋体"/>
                <w:sz w:val="18"/>
                <w:szCs w:val="18"/>
                <w:highlight w:val="none"/>
                <w:lang w:val="en-US" w:eastAsia="zh-CN"/>
              </w:rPr>
              <w:t>c.三项指标达到业内领先水平(8分,12分]</w:t>
            </w:r>
          </w:p>
          <w:p w14:paraId="31BEEF28">
            <w:pPr>
              <w:pStyle w:val="26"/>
              <w:keepNext w:val="0"/>
              <w:keepLines w:val="0"/>
              <w:widowControl/>
              <w:suppressLineNumbers w:val="0"/>
              <w:spacing w:before="0" w:beforeAutospacing="0" w:after="0" w:afterAutospacing="0"/>
              <w:ind w:left="0" w:right="0" w:firstLine="0" w:firstLineChars="0"/>
              <w:jc w:val="both"/>
              <w:rPr>
                <w:rFonts w:hint="eastAsia" w:hAnsi="宋体" w:cs="宋体"/>
                <w:sz w:val="18"/>
                <w:szCs w:val="18"/>
                <w:highlight w:val="none"/>
                <w:lang w:val="en-US" w:eastAsia="zh-CN"/>
              </w:rPr>
            </w:pPr>
            <w:r>
              <w:rPr>
                <w:rFonts w:hint="eastAsia" w:hAnsi="宋体" w:cs="宋体"/>
                <w:sz w:val="18"/>
                <w:szCs w:val="18"/>
                <w:highlight w:val="none"/>
                <w:lang w:val="en-US" w:eastAsia="zh-CN"/>
              </w:rPr>
              <w:t>d.两项指标达到业内领先水平(4分,8分]</w:t>
            </w:r>
          </w:p>
          <w:p w14:paraId="235CBED1">
            <w:pPr>
              <w:pStyle w:val="26"/>
              <w:keepNext w:val="0"/>
              <w:keepLines w:val="0"/>
              <w:widowControl/>
              <w:suppressLineNumbers w:val="0"/>
              <w:spacing w:before="0" w:beforeAutospacing="0" w:after="0" w:afterAutospacing="0"/>
              <w:ind w:left="0" w:right="0" w:firstLine="0" w:firstLineChars="0"/>
              <w:jc w:val="both"/>
              <w:rPr>
                <w:rFonts w:hint="eastAsia" w:ascii="宋体" w:hAnsi="宋体" w:eastAsia="宋体" w:cs="宋体"/>
                <w:sz w:val="18"/>
                <w:szCs w:val="18"/>
                <w:highlight w:val="none"/>
                <w:lang w:val="en-US" w:eastAsia="zh-CN" w:bidi="ar-SA"/>
              </w:rPr>
            </w:pPr>
            <w:r>
              <w:rPr>
                <w:rFonts w:hint="eastAsia" w:hAnsi="宋体" w:cs="宋体"/>
                <w:sz w:val="18"/>
                <w:szCs w:val="18"/>
                <w:highlight w:val="none"/>
                <w:lang w:val="en-US" w:eastAsia="zh-CN"/>
              </w:rPr>
              <w:t>e.一项指标达到业内领先水平(0分,4分]</w:t>
            </w:r>
          </w:p>
        </w:tc>
        <w:tc>
          <w:tcPr>
            <w:tcW w:w="518" w:type="pct"/>
            <w:tcBorders>
              <w:top w:val="single" w:color="auto" w:sz="4" w:space="0"/>
              <w:bottom w:val="single" w:color="auto" w:sz="4" w:space="0"/>
            </w:tcBorders>
            <w:vAlign w:val="center"/>
          </w:tcPr>
          <w:p w14:paraId="10BDDE38">
            <w:pPr>
              <w:pStyle w:val="26"/>
              <w:keepNext w:val="0"/>
              <w:keepLines w:val="0"/>
              <w:widowControl/>
              <w:suppressLineNumbers w:val="0"/>
              <w:spacing w:before="0" w:beforeAutospacing="0" w:after="0" w:afterAutospacing="0"/>
              <w:ind w:left="0" w:right="0" w:firstLine="0" w:firstLineChars="0"/>
              <w:jc w:val="center"/>
              <w:rPr>
                <w:rFonts w:hint="eastAsia" w:ascii="宋体" w:hAnsi="宋体" w:eastAsia="宋体" w:cs="宋体"/>
                <w:sz w:val="18"/>
                <w:szCs w:val="18"/>
                <w:highlight w:val="none"/>
                <w:lang w:val="en-US" w:eastAsia="zh-CN" w:bidi="ar-SA"/>
              </w:rPr>
            </w:pPr>
            <w:r>
              <w:rPr>
                <w:rFonts w:hint="eastAsia" w:hAnsi="宋体" w:cs="宋体"/>
                <w:sz w:val="18"/>
                <w:szCs w:val="18"/>
                <w:highlight w:val="none"/>
                <w:lang w:val="en-US" w:eastAsia="zh-CN"/>
              </w:rPr>
              <w:t>20</w:t>
            </w:r>
          </w:p>
        </w:tc>
        <w:tc>
          <w:tcPr>
            <w:tcW w:w="523" w:type="pct"/>
            <w:tcBorders>
              <w:top w:val="single" w:color="auto" w:sz="4" w:space="0"/>
              <w:bottom w:val="single" w:color="auto" w:sz="4" w:space="0"/>
            </w:tcBorders>
            <w:vAlign w:val="center"/>
          </w:tcPr>
          <w:p w14:paraId="7AEAD4C4">
            <w:pPr>
              <w:pStyle w:val="26"/>
              <w:keepNext w:val="0"/>
              <w:keepLines w:val="0"/>
              <w:widowControl/>
              <w:suppressLineNumbers w:val="0"/>
              <w:spacing w:before="0" w:beforeAutospacing="0" w:after="0" w:afterAutospacing="0"/>
              <w:ind w:left="0" w:right="0" w:firstLine="0" w:firstLineChars="0"/>
              <w:jc w:val="center"/>
              <w:rPr>
                <w:rFonts w:hint="default" w:ascii="Times New Roman"/>
                <w:sz w:val="18"/>
                <w:szCs w:val="18"/>
                <w:highlight w:val="none"/>
              </w:rPr>
            </w:pPr>
          </w:p>
        </w:tc>
      </w:tr>
      <w:tr w14:paraId="47E82B9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491" w:type="pct"/>
            <w:vMerge w:val="continue"/>
            <w:tcBorders>
              <w:top w:val="single" w:color="auto" w:sz="4" w:space="0"/>
              <w:bottom w:val="single" w:color="auto" w:sz="4" w:space="0"/>
            </w:tcBorders>
            <w:vAlign w:val="center"/>
          </w:tcPr>
          <w:p w14:paraId="239D4A53">
            <w:pPr>
              <w:pStyle w:val="26"/>
              <w:keepNext w:val="0"/>
              <w:keepLines w:val="0"/>
              <w:widowControl/>
              <w:suppressLineNumbers w:val="0"/>
              <w:spacing w:before="0" w:beforeAutospacing="0" w:after="0" w:afterAutospacing="0"/>
              <w:ind w:left="0" w:right="0" w:firstLine="0" w:firstLineChars="0"/>
              <w:jc w:val="center"/>
              <w:rPr>
                <w:rFonts w:hint="eastAsia" w:hAnsi="宋体" w:eastAsia="宋体" w:cs="宋体"/>
                <w:sz w:val="18"/>
                <w:szCs w:val="18"/>
                <w:highlight w:val="none"/>
                <w:lang w:val="en-US" w:eastAsia="zh-CN"/>
              </w:rPr>
            </w:pPr>
          </w:p>
        </w:tc>
        <w:tc>
          <w:tcPr>
            <w:tcW w:w="494" w:type="pct"/>
            <w:tcBorders>
              <w:top w:val="single" w:color="auto" w:sz="4" w:space="0"/>
              <w:bottom w:val="single" w:color="auto" w:sz="4" w:space="0"/>
            </w:tcBorders>
            <w:vAlign w:val="center"/>
          </w:tcPr>
          <w:p w14:paraId="5EE20034">
            <w:pPr>
              <w:pStyle w:val="26"/>
              <w:keepNext w:val="0"/>
              <w:keepLines w:val="0"/>
              <w:widowControl/>
              <w:suppressLineNumbers w:val="0"/>
              <w:spacing w:before="0" w:beforeAutospacing="0" w:after="0" w:afterAutospacing="0"/>
              <w:ind w:left="0" w:right="0" w:firstLine="0" w:firstLineChars="0"/>
              <w:jc w:val="center"/>
              <w:rPr>
                <w:rFonts w:hint="default" w:hAnsi="宋体" w:cs="宋体"/>
                <w:sz w:val="18"/>
                <w:szCs w:val="18"/>
                <w:highlight w:val="none"/>
                <w:lang w:val="en-US" w:eastAsia="zh-CN"/>
              </w:rPr>
            </w:pPr>
            <w:r>
              <w:rPr>
                <w:rFonts w:hint="eastAsia" w:hAnsi="宋体" w:cs="宋体"/>
                <w:sz w:val="18"/>
                <w:szCs w:val="18"/>
                <w:highlight w:val="none"/>
                <w:lang w:val="en-US" w:eastAsia="zh-CN"/>
              </w:rPr>
              <w:t>工艺设备材料</w:t>
            </w:r>
          </w:p>
        </w:tc>
        <w:tc>
          <w:tcPr>
            <w:tcW w:w="1098" w:type="pct"/>
            <w:tcBorders>
              <w:top w:val="single" w:color="auto" w:sz="4" w:space="0"/>
              <w:bottom w:val="single" w:color="auto" w:sz="4" w:space="0"/>
            </w:tcBorders>
            <w:vAlign w:val="center"/>
          </w:tcPr>
          <w:p w14:paraId="020179AB">
            <w:pPr>
              <w:pStyle w:val="26"/>
              <w:keepNext w:val="0"/>
              <w:keepLines w:val="0"/>
              <w:widowControl/>
              <w:suppressLineNumbers w:val="0"/>
              <w:spacing w:before="0" w:beforeAutospacing="0" w:after="0" w:afterAutospacing="0"/>
              <w:ind w:left="0" w:right="0" w:firstLine="0" w:firstLineChars="0"/>
              <w:jc w:val="both"/>
              <w:rPr>
                <w:rFonts w:hint="eastAsia" w:hAnsi="宋体" w:cs="宋体"/>
                <w:sz w:val="18"/>
                <w:szCs w:val="18"/>
                <w:highlight w:val="none"/>
                <w:lang w:val="en-US" w:eastAsia="zh-CN"/>
              </w:rPr>
            </w:pPr>
            <w:r>
              <w:rPr>
                <w:rFonts w:hint="eastAsia" w:hAnsi="宋体" w:cs="宋体"/>
                <w:sz w:val="18"/>
                <w:szCs w:val="18"/>
                <w:highlight w:val="none"/>
                <w:lang w:val="en-US" w:eastAsia="zh-CN"/>
              </w:rPr>
              <w:t>从项目采用工艺、设备、材料的绿色化水平等方面进行综合评价</w:t>
            </w:r>
          </w:p>
        </w:tc>
        <w:tc>
          <w:tcPr>
            <w:tcW w:w="1873" w:type="pct"/>
            <w:tcBorders>
              <w:top w:val="single" w:color="auto" w:sz="4" w:space="0"/>
              <w:bottom w:val="single" w:color="auto" w:sz="4" w:space="0"/>
            </w:tcBorders>
            <w:vAlign w:val="center"/>
          </w:tcPr>
          <w:p w14:paraId="55497030">
            <w:pPr>
              <w:pStyle w:val="26"/>
              <w:keepNext w:val="0"/>
              <w:keepLines w:val="0"/>
              <w:widowControl/>
              <w:suppressLineNumbers w:val="0"/>
              <w:spacing w:before="0" w:beforeAutospacing="0" w:after="0" w:afterAutospacing="0"/>
              <w:ind w:left="0" w:right="0" w:firstLine="0" w:firstLineChars="0"/>
              <w:jc w:val="both"/>
              <w:rPr>
                <w:rFonts w:hint="eastAsia" w:hAnsi="宋体" w:cs="宋体"/>
                <w:sz w:val="18"/>
                <w:szCs w:val="18"/>
                <w:highlight w:val="none"/>
                <w:lang w:val="en-US" w:eastAsia="zh-CN"/>
              </w:rPr>
            </w:pPr>
            <w:r>
              <w:rPr>
                <w:rFonts w:hint="eastAsia" w:hAnsi="宋体" w:cs="宋体"/>
                <w:sz w:val="18"/>
                <w:szCs w:val="18"/>
                <w:highlight w:val="none"/>
                <w:lang w:val="en-US" w:eastAsia="zh-CN"/>
              </w:rPr>
              <w:t>a.工艺设备材料绿色化程度较高(7分,10分]</w:t>
            </w:r>
          </w:p>
          <w:p w14:paraId="6E5BEDC8">
            <w:pPr>
              <w:pStyle w:val="26"/>
              <w:keepNext w:val="0"/>
              <w:keepLines w:val="0"/>
              <w:widowControl/>
              <w:suppressLineNumbers w:val="0"/>
              <w:spacing w:before="0" w:beforeAutospacing="0" w:after="0" w:afterAutospacing="0"/>
              <w:ind w:left="0" w:right="0" w:firstLine="0" w:firstLineChars="0"/>
              <w:jc w:val="both"/>
              <w:rPr>
                <w:rFonts w:hint="eastAsia" w:hAnsi="宋体" w:cs="宋体"/>
                <w:sz w:val="18"/>
                <w:szCs w:val="18"/>
                <w:highlight w:val="none"/>
                <w:lang w:val="en-US" w:eastAsia="zh-CN"/>
              </w:rPr>
            </w:pPr>
            <w:r>
              <w:rPr>
                <w:rFonts w:hint="eastAsia" w:hAnsi="宋体" w:cs="宋体"/>
                <w:sz w:val="18"/>
                <w:szCs w:val="18"/>
                <w:highlight w:val="none"/>
                <w:lang w:val="en-US" w:eastAsia="zh-CN"/>
              </w:rPr>
              <w:t>b.工艺设备材料绿色化程度中等(4分,7分]</w:t>
            </w:r>
          </w:p>
          <w:p w14:paraId="01BC9D69">
            <w:pPr>
              <w:pStyle w:val="26"/>
              <w:keepNext w:val="0"/>
              <w:keepLines w:val="0"/>
              <w:widowControl/>
              <w:suppressLineNumbers w:val="0"/>
              <w:spacing w:before="0" w:beforeAutospacing="0" w:after="0" w:afterAutospacing="0"/>
              <w:ind w:left="0" w:right="0" w:firstLine="0" w:firstLineChars="0"/>
              <w:jc w:val="both"/>
              <w:rPr>
                <w:rFonts w:hint="eastAsia" w:hAnsi="宋体" w:cs="宋体"/>
                <w:sz w:val="18"/>
                <w:szCs w:val="18"/>
                <w:highlight w:val="none"/>
                <w:lang w:val="en-US" w:eastAsia="zh-CN"/>
              </w:rPr>
            </w:pPr>
            <w:r>
              <w:rPr>
                <w:rFonts w:hint="eastAsia" w:hAnsi="宋体" w:cs="宋体"/>
                <w:sz w:val="18"/>
                <w:szCs w:val="18"/>
                <w:highlight w:val="none"/>
                <w:lang w:val="en-US" w:eastAsia="zh-CN"/>
              </w:rPr>
              <w:t>c.工艺设备材料绿色化程度一般[0分,4分]</w:t>
            </w:r>
          </w:p>
        </w:tc>
        <w:tc>
          <w:tcPr>
            <w:tcW w:w="518" w:type="pct"/>
            <w:tcBorders>
              <w:top w:val="single" w:color="auto" w:sz="4" w:space="0"/>
              <w:bottom w:val="single" w:color="auto" w:sz="4" w:space="0"/>
            </w:tcBorders>
            <w:vAlign w:val="center"/>
          </w:tcPr>
          <w:p w14:paraId="7B370A92">
            <w:pPr>
              <w:pStyle w:val="26"/>
              <w:keepNext w:val="0"/>
              <w:keepLines w:val="0"/>
              <w:widowControl/>
              <w:suppressLineNumbers w:val="0"/>
              <w:spacing w:before="0" w:beforeAutospacing="0" w:after="0" w:afterAutospacing="0"/>
              <w:ind w:left="0" w:right="0" w:firstLine="0" w:firstLineChars="0"/>
              <w:jc w:val="center"/>
              <w:rPr>
                <w:rFonts w:hint="default" w:hAnsi="宋体" w:cs="宋体"/>
                <w:sz w:val="18"/>
                <w:szCs w:val="18"/>
                <w:highlight w:val="none"/>
                <w:lang w:val="en-US" w:eastAsia="zh-CN"/>
              </w:rPr>
            </w:pPr>
            <w:r>
              <w:rPr>
                <w:rFonts w:hint="eastAsia" w:hAnsi="宋体" w:cs="宋体"/>
                <w:sz w:val="18"/>
                <w:szCs w:val="18"/>
                <w:highlight w:val="none"/>
                <w:lang w:val="en-US" w:eastAsia="zh-CN"/>
              </w:rPr>
              <w:t>10</w:t>
            </w:r>
          </w:p>
        </w:tc>
        <w:tc>
          <w:tcPr>
            <w:tcW w:w="523" w:type="pct"/>
            <w:tcBorders>
              <w:top w:val="single" w:color="auto" w:sz="4" w:space="0"/>
              <w:bottom w:val="single" w:color="auto" w:sz="4" w:space="0"/>
            </w:tcBorders>
            <w:vAlign w:val="center"/>
          </w:tcPr>
          <w:p w14:paraId="676C9A1D">
            <w:pPr>
              <w:pStyle w:val="26"/>
              <w:keepNext w:val="0"/>
              <w:keepLines w:val="0"/>
              <w:widowControl/>
              <w:suppressLineNumbers w:val="0"/>
              <w:spacing w:before="0" w:beforeAutospacing="0" w:after="0" w:afterAutospacing="0"/>
              <w:ind w:left="0" w:right="0" w:firstLine="0" w:firstLineChars="0"/>
              <w:jc w:val="center"/>
              <w:rPr>
                <w:rFonts w:hint="default" w:ascii="Times New Roman"/>
                <w:sz w:val="18"/>
                <w:szCs w:val="18"/>
                <w:highlight w:val="none"/>
              </w:rPr>
            </w:pPr>
          </w:p>
        </w:tc>
      </w:tr>
      <w:tr w14:paraId="7A45EBE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491" w:type="pct"/>
            <w:vMerge w:val="continue"/>
            <w:tcBorders>
              <w:top w:val="single" w:color="auto" w:sz="4" w:space="0"/>
              <w:bottom w:val="single" w:color="auto" w:sz="12" w:space="0"/>
            </w:tcBorders>
            <w:vAlign w:val="center"/>
          </w:tcPr>
          <w:p w14:paraId="240BA6BD">
            <w:pPr>
              <w:pStyle w:val="26"/>
              <w:keepNext w:val="0"/>
              <w:keepLines w:val="0"/>
              <w:widowControl/>
              <w:suppressLineNumbers w:val="0"/>
              <w:spacing w:before="0" w:beforeAutospacing="0" w:after="0" w:afterAutospacing="0"/>
              <w:ind w:left="0" w:right="0" w:firstLine="0" w:firstLineChars="0"/>
              <w:jc w:val="center"/>
              <w:rPr>
                <w:rFonts w:hint="eastAsia" w:hAnsi="宋体" w:cs="宋体"/>
                <w:sz w:val="18"/>
                <w:szCs w:val="18"/>
                <w:highlight w:val="none"/>
                <w:lang w:val="en-US" w:eastAsia="zh-CN"/>
              </w:rPr>
            </w:pPr>
          </w:p>
        </w:tc>
        <w:tc>
          <w:tcPr>
            <w:tcW w:w="494" w:type="pct"/>
            <w:tcBorders>
              <w:top w:val="single" w:color="auto" w:sz="4" w:space="0"/>
              <w:bottom w:val="single" w:color="auto" w:sz="12" w:space="0"/>
            </w:tcBorders>
            <w:vAlign w:val="center"/>
          </w:tcPr>
          <w:p w14:paraId="71B1E61D">
            <w:pPr>
              <w:pStyle w:val="26"/>
              <w:keepNext w:val="0"/>
              <w:keepLines w:val="0"/>
              <w:widowControl/>
              <w:suppressLineNumbers w:val="0"/>
              <w:spacing w:before="0" w:beforeAutospacing="0" w:after="0" w:afterAutospacing="0"/>
              <w:ind w:left="0" w:right="0" w:firstLine="0" w:firstLineChars="0"/>
              <w:jc w:val="center"/>
              <w:rPr>
                <w:rFonts w:hint="eastAsia" w:hAnsi="宋体" w:cs="宋体"/>
                <w:sz w:val="18"/>
                <w:szCs w:val="18"/>
                <w:highlight w:val="none"/>
                <w:lang w:val="en-US" w:eastAsia="zh-CN"/>
              </w:rPr>
            </w:pPr>
            <w:r>
              <w:rPr>
                <w:rFonts w:hint="eastAsia" w:hAnsi="宋体" w:cs="宋体"/>
                <w:sz w:val="18"/>
                <w:szCs w:val="18"/>
                <w:highlight w:val="none"/>
                <w:lang w:val="en-US" w:eastAsia="zh-CN"/>
              </w:rPr>
              <w:t>污染物排放水平</w:t>
            </w:r>
          </w:p>
        </w:tc>
        <w:tc>
          <w:tcPr>
            <w:tcW w:w="1098" w:type="pct"/>
            <w:tcBorders>
              <w:top w:val="single" w:color="auto" w:sz="4" w:space="0"/>
              <w:bottom w:val="single" w:color="auto" w:sz="12" w:space="0"/>
            </w:tcBorders>
            <w:vAlign w:val="center"/>
          </w:tcPr>
          <w:p w14:paraId="3AB6ABE2">
            <w:pPr>
              <w:pStyle w:val="26"/>
              <w:keepNext w:val="0"/>
              <w:keepLines w:val="0"/>
              <w:widowControl/>
              <w:suppressLineNumbers w:val="0"/>
              <w:spacing w:before="0" w:beforeAutospacing="0" w:after="0" w:afterAutospacing="0"/>
              <w:ind w:left="0" w:right="0" w:firstLine="0" w:firstLineChars="0"/>
              <w:jc w:val="both"/>
              <w:rPr>
                <w:rFonts w:hint="eastAsia" w:hAnsi="宋体" w:cs="宋体"/>
                <w:sz w:val="18"/>
                <w:szCs w:val="18"/>
                <w:highlight w:val="none"/>
                <w:lang w:val="en-US" w:eastAsia="zh-CN"/>
              </w:rPr>
            </w:pPr>
            <w:r>
              <w:rPr>
                <w:rFonts w:hint="eastAsia" w:hAnsi="宋体" w:cs="宋体"/>
                <w:sz w:val="18"/>
                <w:szCs w:val="18"/>
                <w:highlight w:val="none"/>
                <w:lang w:val="en-US" w:eastAsia="zh-CN"/>
              </w:rPr>
              <w:t>项目近一年自身生产运营过程向环境排放污染物的情况</w:t>
            </w:r>
          </w:p>
        </w:tc>
        <w:tc>
          <w:tcPr>
            <w:tcW w:w="1873" w:type="pct"/>
            <w:tcBorders>
              <w:top w:val="single" w:color="auto" w:sz="4" w:space="0"/>
              <w:bottom w:val="single" w:color="auto" w:sz="12" w:space="0"/>
            </w:tcBorders>
            <w:vAlign w:val="center"/>
          </w:tcPr>
          <w:p w14:paraId="35C5F6E6">
            <w:pPr>
              <w:pStyle w:val="26"/>
              <w:keepNext w:val="0"/>
              <w:keepLines w:val="0"/>
              <w:widowControl/>
              <w:suppressLineNumbers w:val="0"/>
              <w:spacing w:before="0" w:beforeAutospacing="0" w:after="0" w:afterAutospacing="0"/>
              <w:ind w:left="0" w:right="0" w:firstLine="0" w:firstLineChars="0"/>
              <w:jc w:val="both"/>
              <w:rPr>
                <w:rFonts w:hint="eastAsia" w:hAnsi="宋体" w:cs="宋体"/>
                <w:sz w:val="18"/>
                <w:szCs w:val="18"/>
                <w:highlight w:val="none"/>
                <w:lang w:val="en-US" w:eastAsia="zh-CN"/>
              </w:rPr>
            </w:pPr>
            <w:r>
              <w:rPr>
                <w:rFonts w:hint="eastAsia" w:hAnsi="宋体" w:cs="宋体"/>
                <w:sz w:val="18"/>
                <w:szCs w:val="18"/>
                <w:highlight w:val="none"/>
                <w:lang w:val="en-US" w:eastAsia="zh-CN"/>
              </w:rPr>
              <w:t>a.不排放污染物，或根据排污许可相关管理条例实行排污登记管理，或需控制的污染物有80%的种类优于排污许可证限值20%，或优于排放源所在地同类行业污染物排放限值20%得</w:t>
            </w:r>
            <w:r>
              <w:rPr>
                <w:rFonts w:hint="eastAsia" w:hAnsi="宋体" w:cs="宋体"/>
                <w:sz w:val="18"/>
                <w:szCs w:val="18"/>
                <w:highlight w:val="none"/>
              </w:rPr>
              <w:t>(</w:t>
            </w:r>
            <w:r>
              <w:rPr>
                <w:rFonts w:hint="eastAsia" w:hAnsi="宋体" w:cs="宋体"/>
                <w:sz w:val="18"/>
                <w:szCs w:val="18"/>
                <w:highlight w:val="none"/>
                <w:lang w:val="en-US" w:eastAsia="zh-CN"/>
              </w:rPr>
              <w:t>5分</w:t>
            </w:r>
            <w:r>
              <w:rPr>
                <w:rFonts w:hint="eastAsia" w:hAnsi="宋体" w:cs="宋体"/>
                <w:sz w:val="18"/>
                <w:szCs w:val="18"/>
                <w:highlight w:val="none"/>
              </w:rPr>
              <w:t>,</w:t>
            </w:r>
            <w:r>
              <w:rPr>
                <w:rFonts w:hint="eastAsia" w:hAnsi="宋体" w:cs="宋体"/>
                <w:sz w:val="18"/>
                <w:szCs w:val="18"/>
                <w:highlight w:val="none"/>
                <w:lang w:val="en-US" w:eastAsia="zh-CN"/>
              </w:rPr>
              <w:t>10分</w:t>
            </w:r>
            <w:r>
              <w:rPr>
                <w:rFonts w:hint="eastAsia" w:hAnsi="宋体" w:cs="宋体"/>
                <w:sz w:val="18"/>
                <w:szCs w:val="18"/>
                <w:highlight w:val="none"/>
              </w:rPr>
              <w:t>]</w:t>
            </w:r>
          </w:p>
          <w:p w14:paraId="492BC09B">
            <w:pPr>
              <w:pStyle w:val="26"/>
              <w:keepNext w:val="0"/>
              <w:keepLines w:val="0"/>
              <w:widowControl/>
              <w:suppressLineNumbers w:val="0"/>
              <w:spacing w:before="0" w:beforeAutospacing="0" w:after="0" w:afterAutospacing="0"/>
              <w:ind w:left="0" w:right="0" w:firstLine="0" w:firstLineChars="0"/>
              <w:jc w:val="both"/>
              <w:rPr>
                <w:rFonts w:hint="eastAsia" w:hAnsi="宋体" w:cs="宋体"/>
                <w:sz w:val="18"/>
                <w:szCs w:val="18"/>
                <w:highlight w:val="none"/>
                <w:lang w:val="en-US" w:eastAsia="zh-CN"/>
              </w:rPr>
            </w:pPr>
            <w:r>
              <w:rPr>
                <w:rFonts w:hint="eastAsia" w:hAnsi="宋体" w:cs="宋体"/>
                <w:sz w:val="18"/>
                <w:szCs w:val="18"/>
                <w:highlight w:val="none"/>
                <w:lang w:val="en-US" w:eastAsia="zh-CN"/>
              </w:rPr>
              <w:t>b.需控制的污染物有80%的种类优于排污许可证限值10%，或优于排放源所在地同类行业污染物排放限值10%得(0分,5分]</w:t>
            </w:r>
          </w:p>
          <w:p w14:paraId="1E2F982F">
            <w:pPr>
              <w:pStyle w:val="26"/>
              <w:keepNext w:val="0"/>
              <w:keepLines w:val="0"/>
              <w:widowControl/>
              <w:suppressLineNumbers w:val="0"/>
              <w:spacing w:before="0" w:beforeAutospacing="0" w:after="0" w:afterAutospacing="0"/>
              <w:ind w:left="0" w:right="0" w:firstLine="0" w:firstLineChars="0"/>
              <w:jc w:val="both"/>
              <w:rPr>
                <w:rFonts w:hint="eastAsia" w:hAnsi="宋体" w:cs="宋体"/>
                <w:sz w:val="18"/>
                <w:szCs w:val="18"/>
                <w:highlight w:val="none"/>
                <w:lang w:val="en-US" w:eastAsia="zh-CN"/>
              </w:rPr>
            </w:pPr>
            <w:r>
              <w:rPr>
                <w:rFonts w:hint="eastAsia" w:hAnsi="宋体" w:cs="宋体"/>
                <w:sz w:val="18"/>
                <w:szCs w:val="18"/>
                <w:highlight w:val="none"/>
                <w:lang w:val="en-US" w:eastAsia="zh-CN"/>
              </w:rPr>
              <w:t>c.不满足上述任何一项。（0分）</w:t>
            </w:r>
          </w:p>
        </w:tc>
        <w:tc>
          <w:tcPr>
            <w:tcW w:w="518" w:type="pct"/>
            <w:tcBorders>
              <w:top w:val="single" w:color="auto" w:sz="4" w:space="0"/>
              <w:bottom w:val="single" w:color="auto" w:sz="12" w:space="0"/>
            </w:tcBorders>
            <w:vAlign w:val="center"/>
          </w:tcPr>
          <w:p w14:paraId="7B22D31A">
            <w:pPr>
              <w:pStyle w:val="26"/>
              <w:keepNext w:val="0"/>
              <w:keepLines w:val="0"/>
              <w:widowControl/>
              <w:suppressLineNumbers w:val="0"/>
              <w:spacing w:before="0" w:beforeAutospacing="0" w:after="0" w:afterAutospacing="0"/>
              <w:ind w:left="0" w:right="0" w:firstLine="0" w:firstLineChars="0"/>
              <w:jc w:val="center"/>
              <w:rPr>
                <w:rFonts w:hint="default" w:hAnsi="宋体" w:cs="宋体"/>
                <w:sz w:val="18"/>
                <w:szCs w:val="18"/>
                <w:highlight w:val="none"/>
                <w:lang w:val="en-US" w:eastAsia="zh-CN"/>
              </w:rPr>
            </w:pPr>
            <w:r>
              <w:rPr>
                <w:rFonts w:hint="eastAsia" w:hAnsi="宋体" w:cs="宋体"/>
                <w:sz w:val="18"/>
                <w:szCs w:val="18"/>
                <w:highlight w:val="none"/>
                <w:lang w:val="en-US" w:eastAsia="zh-CN"/>
              </w:rPr>
              <w:t>10</w:t>
            </w:r>
          </w:p>
        </w:tc>
        <w:tc>
          <w:tcPr>
            <w:tcW w:w="523" w:type="pct"/>
            <w:tcBorders>
              <w:top w:val="single" w:color="auto" w:sz="4" w:space="0"/>
              <w:bottom w:val="single" w:color="auto" w:sz="12" w:space="0"/>
            </w:tcBorders>
            <w:vAlign w:val="center"/>
          </w:tcPr>
          <w:p w14:paraId="624A1F4C">
            <w:pPr>
              <w:pStyle w:val="26"/>
              <w:keepNext w:val="0"/>
              <w:keepLines w:val="0"/>
              <w:widowControl/>
              <w:suppressLineNumbers w:val="0"/>
              <w:spacing w:before="0" w:beforeAutospacing="0" w:after="0" w:afterAutospacing="0"/>
              <w:ind w:left="0" w:right="0" w:firstLine="0" w:firstLineChars="0"/>
              <w:jc w:val="center"/>
              <w:rPr>
                <w:rFonts w:hint="eastAsia" w:hAnsi="宋体" w:cs="宋体"/>
                <w:sz w:val="18"/>
                <w:szCs w:val="18"/>
                <w:highlight w:val="none"/>
                <w:lang w:val="en-US" w:eastAsia="zh-CN"/>
              </w:rPr>
            </w:pPr>
          </w:p>
        </w:tc>
      </w:tr>
      <w:tr w14:paraId="4305B5D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32" w:hRule="atLeast"/>
        </w:trPr>
        <w:tc>
          <w:tcPr>
            <w:tcW w:w="4476" w:type="pct"/>
            <w:gridSpan w:val="5"/>
            <w:tcBorders>
              <w:top w:val="single" w:color="auto" w:sz="12" w:space="0"/>
            </w:tcBorders>
            <w:vAlign w:val="center"/>
          </w:tcPr>
          <w:p w14:paraId="55C3AF79">
            <w:pPr>
              <w:pStyle w:val="26"/>
              <w:keepNext w:val="0"/>
              <w:keepLines w:val="0"/>
              <w:widowControl/>
              <w:suppressLineNumbers w:val="0"/>
              <w:spacing w:before="0" w:beforeAutospacing="0" w:after="0" w:afterAutospacing="0"/>
              <w:ind w:left="0" w:right="0" w:firstLine="0" w:firstLineChars="0"/>
              <w:jc w:val="center"/>
              <w:rPr>
                <w:rFonts w:hint="default" w:hAnsi="宋体" w:cs="宋体"/>
                <w:sz w:val="18"/>
                <w:szCs w:val="18"/>
                <w:highlight w:val="none"/>
                <w:lang w:val="en-US" w:eastAsia="zh-CN"/>
              </w:rPr>
            </w:pPr>
            <w:r>
              <w:rPr>
                <w:rFonts w:hint="eastAsia" w:hAnsi="宋体" w:cs="宋体"/>
                <w:b/>
                <w:bCs/>
                <w:sz w:val="18"/>
                <w:szCs w:val="18"/>
                <w:highlight w:val="none"/>
                <w:lang w:val="en-US" w:eastAsia="zh-CN"/>
              </w:rPr>
              <w:t>总得分</w:t>
            </w:r>
          </w:p>
        </w:tc>
        <w:tc>
          <w:tcPr>
            <w:tcW w:w="523" w:type="pct"/>
            <w:tcBorders>
              <w:top w:val="single" w:color="auto" w:sz="12" w:space="0"/>
            </w:tcBorders>
            <w:vAlign w:val="center"/>
          </w:tcPr>
          <w:p w14:paraId="2F55E11D">
            <w:pPr>
              <w:pStyle w:val="26"/>
              <w:keepNext w:val="0"/>
              <w:keepLines w:val="0"/>
              <w:widowControl/>
              <w:suppressLineNumbers w:val="0"/>
              <w:spacing w:before="0" w:beforeAutospacing="0" w:after="0" w:afterAutospacing="0"/>
              <w:ind w:left="0" w:right="0" w:firstLine="0" w:firstLineChars="0"/>
              <w:jc w:val="center"/>
              <w:rPr>
                <w:rFonts w:hint="eastAsia" w:hAnsi="宋体" w:cs="宋体"/>
                <w:sz w:val="18"/>
                <w:szCs w:val="18"/>
                <w:highlight w:val="none"/>
                <w:lang w:val="en-US" w:eastAsia="zh-CN"/>
              </w:rPr>
            </w:pPr>
          </w:p>
        </w:tc>
      </w:tr>
    </w:tbl>
    <w:p w14:paraId="77445760">
      <w:pPr>
        <w:pStyle w:val="26"/>
        <w:ind w:left="0" w:leftChars="0" w:firstLine="0" w:firstLineChars="0"/>
        <w:rPr>
          <w:rFonts w:ascii="Times New Roman"/>
          <w:highlight w:val="none"/>
        </w:rPr>
        <w:sectPr>
          <w:headerReference r:id="rId10" w:type="default"/>
          <w:footerReference r:id="rId11" w:type="default"/>
          <w:footerReference r:id="rId12" w:type="even"/>
          <w:pgSz w:w="11906" w:h="16838"/>
          <w:pgMar w:top="567" w:right="1134" w:bottom="1134" w:left="1418" w:header="1418" w:footer="1134" w:gutter="0"/>
          <w:pgBorders>
            <w:top w:val="none" w:sz="0" w:space="0"/>
            <w:left w:val="none" w:sz="0" w:space="0"/>
            <w:bottom w:val="none" w:sz="0" w:space="0"/>
            <w:right w:val="none" w:sz="0" w:space="0"/>
          </w:pgBorders>
          <w:cols w:space="425" w:num="1"/>
          <w:formProt w:val="0"/>
          <w:docGrid w:type="lines" w:linePitch="312" w:charSpace="0"/>
        </w:sectPr>
      </w:pPr>
    </w:p>
    <w:p w14:paraId="6922B1B2">
      <w:pPr>
        <w:pStyle w:val="76"/>
        <w:rPr>
          <w:rFonts w:ascii="Times New Roman"/>
          <w:highlight w:val="none"/>
        </w:rPr>
      </w:pPr>
      <w:bookmarkStart w:id="135" w:name="_Toc102992471"/>
      <w:bookmarkStart w:id="136" w:name="_Toc24497"/>
      <w:bookmarkStart w:id="137" w:name="_Toc31397"/>
      <w:r>
        <w:rPr>
          <w:rFonts w:ascii="Times New Roman"/>
          <w:highlight w:val="none"/>
        </w:rPr>
        <w:t>参 考 文 献</w:t>
      </w:r>
      <w:bookmarkEnd w:id="123"/>
      <w:bookmarkEnd w:id="135"/>
      <w:bookmarkEnd w:id="136"/>
      <w:bookmarkEnd w:id="137"/>
    </w:p>
    <w:p w14:paraId="7DA60482">
      <w:pPr>
        <w:numPr>
          <w:ilvl w:val="0"/>
          <w:numId w:val="25"/>
        </w:numPr>
        <w:wordWrap w:val="0"/>
        <w:autoSpaceDE w:val="0"/>
        <w:autoSpaceDN w:val="0"/>
        <w:ind w:firstLine="420"/>
        <w:rPr>
          <w:rFonts w:hint="eastAsia" w:ascii="宋体" w:hAnsi="宋体" w:cs="宋体"/>
          <w:highlight w:val="none"/>
        </w:rPr>
      </w:pPr>
      <w:r>
        <w:rPr>
          <w:rFonts w:hint="eastAsia" w:ascii="宋体" w:hAnsi="宋体" w:cs="宋体"/>
          <w:highlight w:val="none"/>
        </w:rPr>
        <w:t xml:space="preserve"> </w:t>
      </w:r>
      <w:r>
        <w:rPr>
          <w:rFonts w:hint="eastAsia" w:ascii="宋体" w:hAnsi="宋体" w:cs="宋体"/>
          <w:highlight w:val="none"/>
          <w:lang w:val="en-US" w:eastAsia="zh-CN"/>
        </w:rPr>
        <w:t xml:space="preserve">GB/T 2589—2020  </w:t>
      </w:r>
      <w:r>
        <w:rPr>
          <w:rFonts w:hint="eastAsia" w:ascii="宋体" w:hAnsi="宋体" w:cs="宋体"/>
          <w:highlight w:val="none"/>
        </w:rPr>
        <w:t>综合能耗计算通则</w:t>
      </w:r>
    </w:p>
    <w:p w14:paraId="680C6F98">
      <w:pPr>
        <w:numPr>
          <w:ilvl w:val="0"/>
          <w:numId w:val="25"/>
        </w:numPr>
        <w:wordWrap w:val="0"/>
        <w:autoSpaceDE w:val="0"/>
        <w:autoSpaceDN w:val="0"/>
        <w:ind w:firstLine="420"/>
        <w:rPr>
          <w:rFonts w:hint="eastAsia" w:ascii="宋体" w:hAnsi="宋体" w:cs="宋体"/>
          <w:highlight w:val="none"/>
        </w:rPr>
      </w:pPr>
      <w:r>
        <w:rPr>
          <w:rFonts w:hint="eastAsia" w:ascii="宋体" w:hAnsi="宋体" w:cs="宋体"/>
          <w:highlight w:val="none"/>
        </w:rPr>
        <w:t xml:space="preserve"> GB/T 36132—2018  绿色工厂评价通则</w:t>
      </w:r>
    </w:p>
    <w:p w14:paraId="200CE2E6">
      <w:pPr>
        <w:numPr>
          <w:ilvl w:val="0"/>
          <w:numId w:val="25"/>
        </w:numPr>
        <w:wordWrap w:val="0"/>
        <w:autoSpaceDE w:val="0"/>
        <w:autoSpaceDN w:val="0"/>
        <w:ind w:firstLine="420"/>
        <w:rPr>
          <w:rFonts w:hint="eastAsia" w:ascii="宋体" w:hAnsi="宋体" w:cs="宋体"/>
          <w:highlight w:val="none"/>
        </w:rPr>
      </w:pPr>
      <w:r>
        <w:rPr>
          <w:rFonts w:hint="eastAsia" w:ascii="宋体" w:hAnsi="宋体" w:cs="宋体"/>
          <w:highlight w:val="none"/>
        </w:rPr>
        <w:t xml:space="preserve"> DB3305/T 62—2018  绿色融资企业评价规范</w:t>
      </w:r>
    </w:p>
    <w:p w14:paraId="5BC17DE4">
      <w:pPr>
        <w:numPr>
          <w:ilvl w:val="0"/>
          <w:numId w:val="25"/>
        </w:numPr>
        <w:wordWrap w:val="0"/>
        <w:autoSpaceDE w:val="0"/>
        <w:autoSpaceDN w:val="0"/>
        <w:ind w:firstLine="420"/>
        <w:rPr>
          <w:rFonts w:hint="eastAsia" w:ascii="宋体" w:hAnsi="宋体" w:cs="宋体"/>
          <w:highlight w:val="none"/>
        </w:rPr>
      </w:pPr>
      <w:r>
        <w:rPr>
          <w:rFonts w:hint="eastAsia" w:ascii="宋体" w:hAnsi="宋体" w:cs="宋体"/>
          <w:highlight w:val="none"/>
        </w:rPr>
        <w:t xml:space="preserve"> DB3308/T 69—2020  绿色企业评价规范</w:t>
      </w:r>
    </w:p>
    <w:p w14:paraId="0B129F01">
      <w:pPr>
        <w:numPr>
          <w:ilvl w:val="0"/>
          <w:numId w:val="25"/>
        </w:numPr>
        <w:wordWrap w:val="0"/>
        <w:autoSpaceDE w:val="0"/>
        <w:autoSpaceDN w:val="0"/>
        <w:ind w:firstLine="420"/>
        <w:rPr>
          <w:rFonts w:hint="eastAsia" w:ascii="宋体" w:hAnsi="宋体" w:cs="宋体"/>
          <w:highlight w:val="none"/>
        </w:rPr>
      </w:pPr>
      <w:r>
        <w:rPr>
          <w:rFonts w:hint="eastAsia" w:ascii="宋体" w:hAnsi="宋体" w:cs="宋体"/>
          <w:highlight w:val="none"/>
          <w:lang w:val="en-US" w:eastAsia="zh-CN"/>
        </w:rPr>
        <w:t xml:space="preserve"> </w:t>
      </w:r>
      <w:r>
        <w:rPr>
          <w:rFonts w:hint="eastAsia" w:ascii="宋体" w:hAnsi="宋体" w:cs="宋体"/>
          <w:highlight w:val="none"/>
        </w:rPr>
        <w:t>SZDB</w:t>
      </w:r>
      <w:r>
        <w:rPr>
          <w:rFonts w:hint="eastAsia" w:ascii="宋体" w:hAnsi="宋体" w:cs="宋体"/>
          <w:highlight w:val="none"/>
          <w:lang w:val="en-US" w:eastAsia="zh-CN"/>
        </w:rPr>
        <w:t>/</w:t>
      </w:r>
      <w:r>
        <w:rPr>
          <w:rFonts w:hint="eastAsia" w:ascii="宋体" w:hAnsi="宋体" w:cs="宋体"/>
          <w:highlight w:val="none"/>
        </w:rPr>
        <w:t>Z 69—2018</w:t>
      </w:r>
      <w:r>
        <w:rPr>
          <w:rFonts w:hint="eastAsia" w:ascii="宋体" w:hAnsi="宋体" w:cs="宋体"/>
          <w:highlight w:val="none"/>
          <w:lang w:val="en-US" w:eastAsia="zh-CN"/>
        </w:rPr>
        <w:t xml:space="preserve">  组织的温室气体排放量化和报告指南</w:t>
      </w:r>
    </w:p>
    <w:p w14:paraId="2608CC38">
      <w:pPr>
        <w:numPr>
          <w:ilvl w:val="0"/>
          <w:numId w:val="25"/>
        </w:numPr>
        <w:wordWrap w:val="0"/>
        <w:autoSpaceDE w:val="0"/>
        <w:autoSpaceDN w:val="0"/>
        <w:ind w:firstLine="420"/>
        <w:rPr>
          <w:rFonts w:hint="eastAsia" w:ascii="宋体" w:hAnsi="宋体" w:cs="宋体"/>
          <w:highlight w:val="none"/>
        </w:rPr>
      </w:pPr>
      <w:r>
        <w:rPr>
          <w:rFonts w:hint="eastAsia" w:ascii="宋体" w:hAnsi="宋体" w:cs="宋体"/>
          <w:highlight w:val="none"/>
          <w:lang w:val="en-US" w:eastAsia="zh-CN"/>
        </w:rPr>
        <w:t xml:space="preserve"> DB4403/T 400—2023  金融机构绿色投融资环境效益信息披露指标要求</w:t>
      </w:r>
    </w:p>
    <w:p w14:paraId="7FE91C38">
      <w:pPr>
        <w:numPr>
          <w:ilvl w:val="0"/>
          <w:numId w:val="25"/>
        </w:numPr>
        <w:wordWrap w:val="0"/>
        <w:autoSpaceDE w:val="0"/>
        <w:autoSpaceDN w:val="0"/>
        <w:ind w:firstLine="420"/>
        <w:rPr>
          <w:rFonts w:ascii="宋体" w:hAnsi="宋体" w:cs="宋体"/>
          <w:highlight w:val="none"/>
        </w:rPr>
      </w:pPr>
      <w:r>
        <w:rPr>
          <w:rFonts w:hint="eastAsia" w:ascii="宋体" w:hAnsi="宋体" w:cs="宋体"/>
          <w:highlight w:val="none"/>
        </w:rPr>
        <w:t xml:space="preserve"> T/CGDF 00002—2018  绿色企业评选标准</w:t>
      </w:r>
    </w:p>
    <w:p w14:paraId="0284DB8D">
      <w:pPr>
        <w:numPr>
          <w:ilvl w:val="0"/>
          <w:numId w:val="25"/>
        </w:numPr>
        <w:wordWrap w:val="0"/>
        <w:autoSpaceDE w:val="0"/>
        <w:autoSpaceDN w:val="0"/>
        <w:ind w:firstLine="420"/>
        <w:rPr>
          <w:rFonts w:ascii="宋体" w:hAnsi="宋体" w:cs="宋体"/>
          <w:highlight w:val="none"/>
        </w:rPr>
      </w:pPr>
      <w:r>
        <w:rPr>
          <w:rFonts w:hint="eastAsia" w:ascii="宋体" w:hAnsi="宋体" w:cs="宋体"/>
          <w:highlight w:val="none"/>
          <w:lang w:val="en-US" w:eastAsia="zh-CN"/>
        </w:rPr>
        <w:t xml:space="preserve"> 科技部 财政部 国家税务总局.关于修订印发《高新技术企业认定管理办法》的通知[EB/OL].（2016-02-04）[2023-01-16].https://www.most.gov.cn/xxgk/xinxifenlei/fdzdgknr/fgzc/gfxwj/gfxwj2016/201602/t20160205_123998.html. </w:t>
      </w:r>
    </w:p>
    <w:p w14:paraId="05FCE2CE">
      <w:pPr>
        <w:numPr>
          <w:ilvl w:val="0"/>
          <w:numId w:val="25"/>
        </w:numPr>
        <w:wordWrap w:val="0"/>
        <w:autoSpaceDE w:val="0"/>
        <w:autoSpaceDN w:val="0"/>
        <w:ind w:firstLine="420"/>
        <w:rPr>
          <w:rFonts w:ascii="宋体" w:hAnsi="宋体" w:cs="宋体"/>
          <w:highlight w:val="none"/>
        </w:rPr>
      </w:pPr>
      <w:r>
        <w:rPr>
          <w:rFonts w:hint="eastAsia" w:ascii="宋体" w:hAnsi="宋体" w:cs="宋体"/>
          <w:highlight w:val="none"/>
          <w:lang w:val="en-US" w:eastAsia="zh-CN"/>
        </w:rPr>
        <w:t xml:space="preserve"> 工业和信息化部.关于印发《优质中小企业梯度培育管理暂行办法》的通知[EB/OL].（2022-06-01）[2023-01-16].https://ythxxfb.miit.gov.cn/ythzxfwpt/hlwmh/tzgg/sbfw/qyshzr/art/2022/art_7e837e1f401c43a2990d82cf36b624bb.html.</w:t>
      </w:r>
    </w:p>
    <w:p w14:paraId="44F4DF02">
      <w:pPr>
        <w:numPr>
          <w:ilvl w:val="0"/>
          <w:numId w:val="25"/>
        </w:numPr>
        <w:wordWrap w:val="0"/>
        <w:autoSpaceDE w:val="0"/>
        <w:autoSpaceDN w:val="0"/>
        <w:ind w:firstLine="420"/>
        <w:rPr>
          <w:rFonts w:ascii="宋体" w:hAnsi="宋体" w:cs="宋体"/>
          <w:highlight w:val="none"/>
        </w:rPr>
      </w:pPr>
      <w:r>
        <w:rPr>
          <w:rFonts w:hint="eastAsia" w:ascii="宋体" w:hAnsi="宋体" w:cs="宋体"/>
          <w:highlight w:val="none"/>
          <w:lang w:val="en-US" w:eastAsia="zh-CN"/>
        </w:rPr>
        <w:t xml:space="preserve"> </w:t>
      </w:r>
      <w:r>
        <w:rPr>
          <w:rFonts w:ascii="宋体" w:hAnsi="宋体" w:cs="宋体"/>
          <w:highlight w:val="none"/>
        </w:rPr>
        <w:t>国家统计局.关于印发《研究与试验发展（R&amp;D）投入统计规范（试行）》的通知[EB/OL].</w:t>
      </w:r>
      <w:r>
        <w:rPr>
          <w:rFonts w:hint="eastAsia" w:ascii="宋体" w:hAnsi="宋体" w:cs="宋体"/>
          <w:highlight w:val="none"/>
        </w:rPr>
        <w:t>（2019-04-19）</w:t>
      </w:r>
      <w:r>
        <w:rPr>
          <w:rFonts w:ascii="宋体" w:hAnsi="宋体" w:cs="宋体"/>
          <w:highlight w:val="none"/>
        </w:rPr>
        <w:t>[20</w:t>
      </w:r>
      <w:r>
        <w:rPr>
          <w:rFonts w:hint="eastAsia" w:ascii="宋体" w:hAnsi="宋体" w:cs="宋体"/>
          <w:highlight w:val="none"/>
        </w:rPr>
        <w:t>23</w:t>
      </w:r>
      <w:r>
        <w:rPr>
          <w:rFonts w:ascii="宋体" w:hAnsi="宋体" w:cs="宋体"/>
          <w:highlight w:val="none"/>
        </w:rPr>
        <w:t>-0</w:t>
      </w:r>
      <w:r>
        <w:rPr>
          <w:rFonts w:hint="eastAsia" w:ascii="宋体" w:hAnsi="宋体" w:cs="宋体"/>
          <w:highlight w:val="none"/>
        </w:rPr>
        <w:t>1</w:t>
      </w:r>
      <w:r>
        <w:rPr>
          <w:rFonts w:ascii="宋体" w:hAnsi="宋体" w:cs="宋体"/>
          <w:highlight w:val="none"/>
        </w:rPr>
        <w:t>-</w:t>
      </w:r>
      <w:r>
        <w:rPr>
          <w:rFonts w:hint="eastAsia" w:ascii="宋体" w:hAnsi="宋体" w:cs="宋体"/>
          <w:highlight w:val="none"/>
        </w:rPr>
        <w:t>16</w:t>
      </w:r>
      <w:r>
        <w:rPr>
          <w:rFonts w:ascii="宋体" w:hAnsi="宋体" w:cs="宋体"/>
          <w:highlight w:val="none"/>
        </w:rPr>
        <w:t>].</w:t>
      </w:r>
      <w:r>
        <w:rPr>
          <w:rFonts w:ascii="宋体" w:hAnsi="宋体" w:cs="宋体"/>
          <w:spacing w:val="-6"/>
          <w:sz w:val="21"/>
          <w:highlight w:val="none"/>
        </w:rPr>
        <w:t>http://www.stats.gov.cn/tjgz/tzgb/201905/t20190507_1663326.html.</w:t>
      </w:r>
    </w:p>
    <w:p w14:paraId="7CAB8B79">
      <w:pPr>
        <w:numPr>
          <w:ilvl w:val="0"/>
          <w:numId w:val="25"/>
        </w:numPr>
        <w:wordWrap w:val="0"/>
        <w:autoSpaceDE w:val="0"/>
        <w:autoSpaceDN w:val="0"/>
        <w:ind w:firstLine="420"/>
        <w:rPr>
          <w:highlight w:val="none"/>
        </w:rPr>
      </w:pPr>
      <w:r>
        <w:rPr>
          <w:rFonts w:ascii="宋体" w:hAnsi="宋体" w:cs="宋体"/>
          <w:highlight w:val="none"/>
        </w:rPr>
        <w:t xml:space="preserve"> 国家统计局.关于印发《统计上大中小微型企业划分办法(2017)》的通知[EB/OL].</w:t>
      </w:r>
      <w:r>
        <w:rPr>
          <w:rFonts w:hint="eastAsia" w:ascii="宋体" w:hAnsi="宋体" w:cs="宋体"/>
          <w:highlight w:val="none"/>
        </w:rPr>
        <w:t>（2017-12-28）</w:t>
      </w:r>
      <w:r>
        <w:rPr>
          <w:rFonts w:ascii="宋体" w:hAnsi="宋体" w:cs="宋体"/>
          <w:highlight w:val="none"/>
        </w:rPr>
        <w:t>[20</w:t>
      </w:r>
      <w:r>
        <w:rPr>
          <w:rFonts w:hint="eastAsia" w:ascii="宋体" w:hAnsi="宋体" w:cs="宋体"/>
          <w:highlight w:val="none"/>
        </w:rPr>
        <w:t>23</w:t>
      </w:r>
      <w:r>
        <w:rPr>
          <w:rFonts w:ascii="宋体" w:hAnsi="宋体" w:cs="宋体"/>
          <w:highlight w:val="none"/>
        </w:rPr>
        <w:t>-0</w:t>
      </w:r>
      <w:r>
        <w:rPr>
          <w:rFonts w:hint="eastAsia" w:ascii="宋体" w:hAnsi="宋体" w:cs="宋体"/>
          <w:highlight w:val="none"/>
        </w:rPr>
        <w:t>1</w:t>
      </w:r>
      <w:r>
        <w:rPr>
          <w:rFonts w:ascii="宋体" w:hAnsi="宋体" w:cs="宋体"/>
          <w:highlight w:val="none"/>
        </w:rPr>
        <w:t>-</w:t>
      </w:r>
      <w:r>
        <w:rPr>
          <w:rFonts w:hint="eastAsia" w:ascii="宋体" w:hAnsi="宋体" w:cs="宋体"/>
          <w:highlight w:val="none"/>
        </w:rPr>
        <w:t>16</w:t>
      </w:r>
      <w:r>
        <w:rPr>
          <w:rFonts w:ascii="宋体" w:hAnsi="宋体" w:cs="宋体"/>
          <w:highlight w:val="none"/>
        </w:rPr>
        <w:t>].http://www.stats.gov.cn/xxgk/tjbz/gjtjbz/202008/t20200811_1782335.html.</w:t>
      </w:r>
    </w:p>
    <w:p w14:paraId="6A756A08">
      <w:pPr>
        <w:pStyle w:val="26"/>
        <w:numPr>
          <w:ilvl w:val="0"/>
          <w:numId w:val="25"/>
        </w:numPr>
        <w:wordWrap w:val="0"/>
        <w:ind w:firstLineChars="0"/>
        <w:jc w:val="left"/>
        <w:rPr>
          <w:highlight w:val="none"/>
        </w:rPr>
      </w:pPr>
      <w:r>
        <w:rPr>
          <w:rFonts w:hint="eastAsia"/>
          <w:highlight w:val="none"/>
        </w:rPr>
        <w:t xml:space="preserve"> </w:t>
      </w:r>
      <w:r>
        <w:rPr>
          <w:rFonts w:hint="eastAsia" w:hAnsi="宋体" w:cs="宋体"/>
          <w:highlight w:val="none"/>
        </w:rPr>
        <w:t>深圳市市场监督管理局.关于印发《深圳市市场监督管理局深圳标准领域专项资金资助奖励操作规程》的通知[EB/OL].（2021-11-22）[2023-01-16].http://amr.sz.gov.cn/xxgk/zcwj/scjgfg/bzh/bzhgf/content/post_9386928.html.</w:t>
      </w:r>
    </w:p>
    <w:p w14:paraId="55B58AA5">
      <w:pPr>
        <w:pStyle w:val="134"/>
        <w:framePr w:wrap="notBeside" w:hAnchor="page" w:x="4898" w:y="496"/>
        <w:rPr>
          <w:highlight w:val="none"/>
          <w:u w:val="thick"/>
        </w:rPr>
      </w:pPr>
      <w:r>
        <w:rPr>
          <w:highlight w:val="none"/>
          <w:u w:val="thick"/>
        </w:rPr>
        <w:t>______________________</w:t>
      </w:r>
    </w:p>
    <w:p w14:paraId="455333CF">
      <w:pPr>
        <w:pStyle w:val="26"/>
        <w:ind w:firstLine="0" w:firstLineChars="0"/>
        <w:jc w:val="center"/>
        <w:rPr>
          <w:rFonts w:ascii="Times New Roman"/>
          <w:highlight w:val="none"/>
        </w:rPr>
      </w:pPr>
    </w:p>
    <w:p w14:paraId="6392F910">
      <w:pPr>
        <w:rPr>
          <w:highlight w:val="none"/>
        </w:rPr>
      </w:pPr>
    </w:p>
    <w:p w14:paraId="1DD8AD6A">
      <w:pPr>
        <w:rPr>
          <w:highlight w:val="none"/>
        </w:rPr>
      </w:pPr>
    </w:p>
    <w:p w14:paraId="6BAFC721">
      <w:pPr>
        <w:rPr>
          <w:highlight w:val="none"/>
        </w:rPr>
      </w:pPr>
    </w:p>
    <w:sectPr>
      <w:headerReference r:id="rId13" w:type="default"/>
      <w:footerReference r:id="rId14" w:type="default"/>
      <w:footerReference r:id="rId15" w:type="even"/>
      <w:pgSz w:w="11906" w:h="16838"/>
      <w:pgMar w:top="567" w:right="1134" w:bottom="1134" w:left="1418" w:header="1418" w:footer="1134" w:gutter="0"/>
      <w:pgBorders>
        <w:top w:val="none" w:sz="0" w:space="0"/>
        <w:left w:val="none" w:sz="0" w:space="0"/>
        <w:bottom w:val="none" w:sz="0" w:space="0"/>
        <w:right w:val="none" w:sz="0" w:space="0"/>
      </w:pgBorders>
      <w:cols w:space="425" w:num="1"/>
      <w:formProt w:val="0"/>
      <w:docGrid w:type="lines" w:linePitch="312" w:charSpace="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moder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Arial Unicode MS">
    <w:panose1 w:val="020B0604020202020204"/>
    <w:charset w:val="86"/>
    <w:family w:val="swiss"/>
    <w:pitch w:val="default"/>
    <w:sig w:usb0="FFFFFFFF" w:usb1="E9FFFFFF" w:usb2="0000003F" w:usb3="00000000" w:csb0="603F01FF" w:csb1="FFFF0000"/>
  </w:font>
  <w:font w:name="Cambria Math">
    <w:panose1 w:val="02040503050406030204"/>
    <w:charset w:val="00"/>
    <w:family w:val="roman"/>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68F3350">
    <w:pPr>
      <w:pStyle w:val="73"/>
    </w:pPr>
    <w:r>
      <mc:AlternateContent>
        <mc:Choice Requires="wps">
          <w:drawing>
            <wp:anchor distT="0" distB="0" distL="114300" distR="114300" simplePos="0" relativeHeight="251668480" behindDoc="0" locked="0" layoutInCell="1" allowOverlap="1">
              <wp:simplePos x="0" y="0"/>
              <wp:positionH relativeFrom="margin">
                <wp:align>right</wp:align>
              </wp:positionH>
              <wp:positionV relativeFrom="paragraph">
                <wp:posOffset>0</wp:posOffset>
              </wp:positionV>
              <wp:extent cx="1828800" cy="1828800"/>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66FBCA3">
                          <w:pPr>
                            <w:pStyle w:val="73"/>
                          </w:pPr>
                          <w:r>
                            <w:fldChar w:fldCharType="begin"/>
                          </w:r>
                          <w:r>
                            <w:instrText xml:space="preserve"> PAGE  \* MERGEFORMAT </w:instrText>
                          </w:r>
                          <w:r>
                            <w:fldChar w:fldCharType="separate"/>
                          </w:r>
                          <w:r>
                            <w:t>18</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6848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KQhEwrAgAAVwQAAA4AAABkcnMvZTJvRG9jLnhtbK1UzY7TMBC+I/EO&#10;lu80bRGrqmq6KlsVIVXsSgVxdh2nieQ/2W6T8gDwBpy4cOe5+hx8dpIuWjjsgYsz9oy/me+bcRa3&#10;rZLkJJyvjc7pZDSmRGhuilofcvrp4+bVjBIfmC6YNFrk9Cw8vV2+fLFo7FxMTWVkIRwBiPbzxua0&#10;CsHOs8zzSijmR8YKDWdpnGIBW3fICscaoCuZTcfjm6wxrrDOcOE9Ttedk/aI7jmApixrLtaGH5XQ&#10;oUN1QrIASr6qrafLVG1ZCh7uy9KLQGROwTSkFUlg7+OaLRdsfnDMVjXvS2DPKeEJJ8VqjaRXqDUL&#10;jBxd/ReUqrkz3pRhxI3KOiJJEbCYjJ9os6uYFYkLpPb2Krr/f7D8w+nBkbrAJEwo0Uyh45fv3y4/&#10;fl1+fiU4g0CN9XPE7SwiQ/vWtAgezj0OI++2dCp+wYjAD3nPV3lFGwiPl2bT2WwMF4dv2AA/e7xu&#10;nQ/vhFEkGjl16F+SlZ22PnShQ0jMps2mljL1UGrS5PTm9ZtxunD1AFxq5IgkumKjFdp92zPbm+IM&#10;Ys50s+Et39RIvmU+PDCHYUDBeC7hHkspDZKY3qKkMu7Lv85jPHoELyUNhiunGm+JEvleo3cADIPh&#10;BmM/GPqo7gymFe1ALcnEBRfkYJbOqM94Q6uYAy6mOTLlNAzmXegGHG+Qi9UqBWHaLAtbvbM8Qkfx&#10;vF0dAwRMukZROiV6rTBvqTP924gD/ec+RT3+D5a/A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BikIRMKwIAAFcEAAAOAAAAAAAAAAEAIAAAAB8BAABkcnMvZTJvRG9jLnhtbFBLBQYAAAAABgAG&#10;AFkBAAC8BQAAAAA=&#10;">
              <v:fill on="f" focussize="0,0"/>
              <v:stroke on="f" weight="0.5pt"/>
              <v:imagedata o:title=""/>
              <o:lock v:ext="edit" aspectratio="f"/>
              <v:textbox inset="0mm,0mm,0mm,0mm" style="mso-fit-shape-to-text:t;">
                <w:txbxContent>
                  <w:p w14:paraId="566FBCA3">
                    <w:pPr>
                      <w:pStyle w:val="73"/>
                    </w:pPr>
                    <w:r>
                      <w:fldChar w:fldCharType="begin"/>
                    </w:r>
                    <w:r>
                      <w:instrText xml:space="preserve"> PAGE  \* MERGEFORMAT </w:instrText>
                    </w:r>
                    <w:r>
                      <w:fldChar w:fldCharType="separate"/>
                    </w:r>
                    <w:r>
                      <w:t>18</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960879">
    <w:pPr>
      <w:pStyle w:val="48"/>
    </w:pPr>
    <w:r>
      <mc:AlternateContent>
        <mc:Choice Requires="wps">
          <w:drawing>
            <wp:anchor distT="0" distB="0" distL="114300" distR="114300" simplePos="0" relativeHeight="251665408" behindDoc="0" locked="0" layoutInCell="1" allowOverlap="1">
              <wp:simplePos x="0" y="0"/>
              <wp:positionH relativeFrom="margin">
                <wp:align>outside</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70A6A8B">
                          <w:pPr>
                            <w:pStyle w:val="48"/>
                          </w:pPr>
                          <w:r>
                            <w:fldChar w:fldCharType="begin"/>
                          </w:r>
                          <w:r>
                            <w:instrText xml:space="preserve"> PAGE  \* MERGEFORMAT </w:instrText>
                          </w:r>
                          <w:r>
                            <w:fldChar w:fldCharType="separate"/>
                          </w:r>
                          <w:r>
                            <w:t>I</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540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cMibgsAgAAV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Wh1ywLG/1geYSO&#10;4nm73AcImHSNovRKnLVCt6XKnCcjtvOf+xT1+DdY/AZ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FwyJuCwCAABVBAAADgAAAAAAAAABACAAAAAfAQAAZHJzL2Uyb0RvYy54bWxQSwUGAAAAAAYA&#10;BgBZAQAAvQUAAAAA&#10;">
              <v:fill on="f" focussize="0,0"/>
              <v:stroke on="f" weight="0.5pt"/>
              <v:imagedata o:title=""/>
              <o:lock v:ext="edit" aspectratio="f"/>
              <v:textbox inset="0mm,0mm,0mm,0mm" style="mso-fit-shape-to-text:t;">
                <w:txbxContent>
                  <w:p w14:paraId="170A6A8B">
                    <w:pPr>
                      <w:pStyle w:val="48"/>
                    </w:pPr>
                    <w:r>
                      <w:fldChar w:fldCharType="begin"/>
                    </w:r>
                    <w:r>
                      <w:instrText xml:space="preserve"> PAGE  \* MERGEFORMAT </w:instrText>
                    </w:r>
                    <w:r>
                      <w:fldChar w:fldCharType="separate"/>
                    </w:r>
                    <w:r>
                      <w:t>I</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ABFA307">
    <w:pPr>
      <w:pStyle w:val="73"/>
    </w:pPr>
    <w:r>
      <mc:AlternateContent>
        <mc:Choice Requires="wps">
          <w:drawing>
            <wp:anchor distT="0" distB="0" distL="114300" distR="114300" simplePos="0" relativeHeight="251666432" behindDoc="0" locked="0" layoutInCell="1" allowOverlap="1">
              <wp:simplePos x="0" y="0"/>
              <wp:positionH relativeFrom="margin">
                <wp:align>outside</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3384D78">
                          <w:pPr>
                            <w:pStyle w:val="73"/>
                          </w:pPr>
                          <w:r>
                            <w:fldChar w:fldCharType="begin"/>
                          </w:r>
                          <w:r>
                            <w:instrText xml:space="preserve"> PAGE  \* MERGEFORMAT </w:instrText>
                          </w:r>
                          <w:r>
                            <w:fldChar w:fldCharType="separate"/>
                          </w:r>
                          <w:r>
                            <w:t>II</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643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LQ8m0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lF2zRQKfvn+7fLj&#10;1+XnVzKL8jTWzxG1s4gL7VvTommGc4/DyLotnYpf8CHwQ9zzVVzRBsLjpdl0NhvDxeEbNsDPHq9b&#10;58M7YRSJRk4dqpdEZaetD13oEBKzabOppUwVlJo0Ob15/WacLlw9AJcaOSKJ7rHRCu2+7ZntTXEG&#10;MWe6zvCWb2ok3zIfHphDK+DBGJZwj6WUBklMb1FSGfflX+cxHhWCl5IGrZVTjUmiRL7XqBwAw2C4&#10;wdgPhj6qO4NenWAILU8mLrggB7N0Rn3GBK1iDriY5siU0zCYd6Frb0wgF6tVCkKvWRa2emd5hI7i&#10;ebs6BgiYdI2idEr0WqHbUmX6yYjt/Oc+RT3+DZa/A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By0PJtKwIAAFUEAAAOAAAAAAAAAAEAIAAAAB8BAABkcnMvZTJvRG9jLnhtbFBLBQYAAAAABgAG&#10;AFkBAAC8BQAAAAA=&#10;">
              <v:fill on="f" focussize="0,0"/>
              <v:stroke on="f" weight="0.5pt"/>
              <v:imagedata o:title=""/>
              <o:lock v:ext="edit" aspectratio="f"/>
              <v:textbox inset="0mm,0mm,0mm,0mm" style="mso-fit-shape-to-text:t;">
                <w:txbxContent>
                  <w:p w14:paraId="13384D78">
                    <w:pPr>
                      <w:pStyle w:val="73"/>
                    </w:pPr>
                    <w:r>
                      <w:fldChar w:fldCharType="begin"/>
                    </w:r>
                    <w:r>
                      <w:instrText xml:space="preserve"> PAGE  \* MERGEFORMAT </w:instrText>
                    </w:r>
                    <w:r>
                      <w:fldChar w:fldCharType="separate"/>
                    </w:r>
                    <w:r>
                      <w:t>II</w:t>
                    </w:r>
                    <w: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8E34C1">
    <w:pPr>
      <w:pStyle w:val="48"/>
    </w:pPr>
    <w:r>
      <mc:AlternateContent>
        <mc:Choice Requires="wps">
          <w:drawing>
            <wp:anchor distT="0" distB="0" distL="114300" distR="114300" simplePos="0" relativeHeight="25166950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2" name="文本框 1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9B59DE1">
                          <w:pPr>
                            <w:pStyle w:val="48"/>
                          </w:pPr>
                          <w:r>
                            <w:fldChar w:fldCharType="begin"/>
                          </w:r>
                          <w:r>
                            <w:instrText xml:space="preserve"> PAGE  \* MERGEFORMAT </w:instrText>
                          </w:r>
                          <w:r>
                            <w:fldChar w:fldCharType="separate"/>
                          </w:r>
                          <w:r>
                            <w:t>19</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950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pGcYwrAgAAVw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QFOmFKiWYKFb98/3b5&#10;8evy8yvBGQRqrJ8jbmcRGdq3pkXwcO5xGHm3pVPxC0YEfsh7vsor2kB4vDSbzmZjuDh8wwb42eN1&#10;63x4J4wi0cipQ/2SrOy09aELHUJiNm02tZSphlKTJqc3r9+M04WrB+BSI0ck0T02WqHdtz2zvSnO&#10;IOZM1xve8k2N5FvmwwNzaAY8GOMS7rGU0iCJ6S1KKuO+/Os8xqNG8FLSoLlyqjFLlMj3GrUDYBgM&#10;Nxj7wdBHdWfQrROMoeXJxAUX5GCWzqjPmKFVzAEX0xyZchoG8y50DY4Z5GK1SkHoNsvCVu8sj9BR&#10;PG9XxwABk65RlE6JXiv0W6pMPxuxof/cp6jH/8HyN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CaRnGMKwIAAFcEAAAOAAAAAAAAAAEAIAAAAB8BAABkcnMvZTJvRG9jLnhtbFBLBQYAAAAABgAG&#10;AFkBAAC8BQAAAAA=&#10;">
              <v:fill on="f" focussize="0,0"/>
              <v:stroke on="f" weight="0.5pt"/>
              <v:imagedata o:title=""/>
              <o:lock v:ext="edit" aspectratio="f"/>
              <v:textbox inset="0mm,0mm,0mm,0mm" style="mso-fit-shape-to-text:t;">
                <w:txbxContent>
                  <w:p w14:paraId="59B59DE1">
                    <w:pPr>
                      <w:pStyle w:val="48"/>
                    </w:pPr>
                    <w:r>
                      <w:fldChar w:fldCharType="begin"/>
                    </w:r>
                    <w:r>
                      <w:instrText xml:space="preserve"> PAGE  \* MERGEFORMAT </w:instrText>
                    </w:r>
                    <w:r>
                      <w:fldChar w:fldCharType="separate"/>
                    </w:r>
                    <w:r>
                      <w:t>19</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014599C">
    <w:pPr>
      <w:pStyle w:val="73"/>
    </w:pPr>
    <w:r>
      <mc:AlternateContent>
        <mc:Choice Requires="wps">
          <w:drawing>
            <wp:anchor distT="0" distB="0" distL="114300" distR="114300" simplePos="0" relativeHeight="251670528" behindDoc="0" locked="0" layoutInCell="1" allowOverlap="1">
              <wp:simplePos x="0" y="0"/>
              <wp:positionH relativeFrom="margin">
                <wp:align>outside</wp:align>
              </wp:positionH>
              <wp:positionV relativeFrom="paragraph">
                <wp:posOffset>0</wp:posOffset>
              </wp:positionV>
              <wp:extent cx="1828800" cy="1828800"/>
              <wp:effectExtent l="0" t="0" r="0" b="0"/>
              <wp:wrapNone/>
              <wp:docPr id="13" name="文本框 1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C3595B3">
                          <w:pPr>
                            <w:pStyle w:val="73"/>
                          </w:pPr>
                          <w:r>
                            <w:fldChar w:fldCharType="begin"/>
                          </w:r>
                          <w:r>
                            <w:instrText xml:space="preserve"> PAGE  \* MERGEFORMAT </w:instrText>
                          </w:r>
                          <w:r>
                            <w:fldChar w:fldCharType="separate"/>
                          </w:r>
                          <w:r>
                            <w:t>28</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7052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ILIswsAgAAVwQAAA4AAABkcnMvZTJvRG9jLnhtbK1UzY7TMBC+I/EO&#10;lu80bVesqqrpqmxVhFSxKy2Is+s4TST/yXablAeAN+DEhTvP1efYz07SRQuHPXBxxp7xN/6+mcni&#10;plWSHIXztdE5nYzGlAjNTVHrfU4/f9q8mVHiA9MFk0aLnJ6EpzfL168WjZ2LqamMLIQjANF+3tic&#10;ViHYeZZ5XgnF/MhYoeEsjVMsYOv2WeFYA3Qls+l4fJ01xhXWGS68x+m6c9Ie0b0E0JRlzcXa8IMS&#10;OnSoTkgWQMlXtfV0mV5bloKHu7L0IhCZUzANaUUS2Lu4ZssFm+8ds1XN+yewlzzhGSfFao2kF6g1&#10;C4wcXP0XlKq5M96UYcSNyjoiSRGwmIyfafNQMSsSF0jt7UV0//9g+cfjvSN1gU64okQzhYqff3w/&#10;//x9/vWN4AwCNdbPEfdgERnad6ZF8HDucRh5t6VT8QtGBH7Ie7rIK9pAeLw0m85mY7g4fMMG+NnT&#10;det8eC+MItHIqUP9kqzsuPWhCx1CYjZtNrWUqYZSkyan11dvx+nCxQNwqZEjkugeG63Q7tqe2c4U&#10;JxBzpusNb/mmRvIt8+GeOTQDHoxxCXdYSmmQxPQWJZVxX/91HuNRI3gpadBcOdWYJUrkB43aATAM&#10;hhuM3WDog7o16NYJxtDyZOKCC3IwS2fUF8zQKuaAi2mOTDkNg3kbugbHDHKxWqUgdJtlYasfLI/Q&#10;UTxvV4cAAZOuUZROiV4r9FuqTD8bsaH/3Keop//B8h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MgsizCwCAABXBAAADgAAAAAAAAABACAAAAAfAQAAZHJzL2Uyb0RvYy54bWxQSwUGAAAAAAYA&#10;BgBZAQAAvQUAAAAA&#10;">
              <v:fill on="f" focussize="0,0"/>
              <v:stroke on="f" weight="0.5pt"/>
              <v:imagedata o:title=""/>
              <o:lock v:ext="edit" aspectratio="f"/>
              <v:textbox inset="0mm,0mm,0mm,0mm" style="mso-fit-shape-to-text:t;">
                <w:txbxContent>
                  <w:p w14:paraId="2C3595B3">
                    <w:pPr>
                      <w:pStyle w:val="73"/>
                    </w:pPr>
                    <w:r>
                      <w:fldChar w:fldCharType="begin"/>
                    </w:r>
                    <w:r>
                      <w:instrText xml:space="preserve"> PAGE  \* MERGEFORMAT </w:instrText>
                    </w:r>
                    <w:r>
                      <w:fldChar w:fldCharType="separate"/>
                    </w:r>
                    <w:r>
                      <w:t>28</w:t>
                    </w:r>
                    <w: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19EF3DD">
    <w:pPr>
      <w:pStyle w:val="48"/>
    </w:pPr>
    <w:r>
      <mc:AlternateContent>
        <mc:Choice Requires="wps">
          <w:drawing>
            <wp:anchor distT="0" distB="0" distL="114300" distR="114300" simplePos="0" relativeHeight="251672576" behindDoc="0" locked="0" layoutInCell="1" allowOverlap="1">
              <wp:simplePos x="0" y="0"/>
              <wp:positionH relativeFrom="margin">
                <wp:align>outside</wp:align>
              </wp:positionH>
              <wp:positionV relativeFrom="paragraph">
                <wp:posOffset>0</wp:posOffset>
              </wp:positionV>
              <wp:extent cx="1828800" cy="1828800"/>
              <wp:effectExtent l="0" t="0" r="0" b="0"/>
              <wp:wrapNone/>
              <wp:docPr id="18" name="文本框 1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7C0F204">
                          <w:pPr>
                            <w:pStyle w:val="48"/>
                          </w:pPr>
                          <w:r>
                            <w:fldChar w:fldCharType="begin"/>
                          </w:r>
                          <w:r>
                            <w:instrText xml:space="preserve"> PAGE  \* MERGEFORMAT </w:instrText>
                          </w:r>
                          <w:r>
                            <w:fldChar w:fldCharType="separate"/>
                          </w:r>
                          <w:r>
                            <w:t>29</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7257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xGDMxAgAAZQQAAA4AAABkcnMvZTJvRG9jLnhtbK1UzY7TMBC+I/EO&#10;lu80bRGrqmq6KlsVIVXsSgVxdh2nieQ/2W6T8gDwBpy4cOe5+hx8dpIuWjjsgUs69oy/me+bmS5u&#10;WyXJSThfG53TyWhMidDcFLU+5PTTx82rGSU+MF0wabTI6Vl4ert8+WLR2LmYmsrIQjgCEO3njc1p&#10;FYKdZ5nnlVDMj4wVGs7SOMUCju6QFY41QFcym47HN1ljXGGd4cJ73K47J+0R3XMATVnWXKwNPyqh&#10;Q4fqhGQBlHxVW0+XqdqyFDzcl6UXgcicgmlIXySBvY/fbLlg84Njtqp5XwJ7TglPOClWayS9Qq1Z&#10;YOTo6r+gVM2d8aYMI25U1hFJioDFZPxEm13FrEhcILW3V9H9/4PlH04PjtQFJgF910yh45fv3y4/&#10;fl1+fiW4g0CN9XPE7SwiQ/vWtAge7j0uI++2dCr+ghGBH/Ker/KKNhAeH82ms9kYLg7fcAB+9vjc&#10;Oh/eCaNINHLq0L8kKzttfehCh5CYTZtNLWXqodSkyenN6zfj9ODqAbjUMVakaehhIqWu9GiFdt/2&#10;PPemOIOmM92keMs3NUrZMh8emMNooHwsT7jHp5QGKU1vUVIZ9+Vf9zEeHYOXkgajllONzaJEvtfo&#10;JADDYLjB2A+GPqo7g9mdYCktTyYeuCAHs3RGfcZGrWIOuJjmyJTTMJh3oRt3bCQXq1UKwuxZFrZ6&#10;Z3mEjvJ4uzoGyJlUjqJ0SqA78YDpS33qNyWO95/nFPX477D8D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DvsRgzMQIAAGUEAAAOAAAAAAAAAAEAIAAAAB8BAABkcnMvZTJvRG9jLnhtbFBLBQYA&#10;AAAABgAGAFkBAADCBQAAAAA=&#10;">
              <v:fill on="f" focussize="0,0"/>
              <v:stroke on="f" weight="0.5pt"/>
              <v:imagedata o:title=""/>
              <o:lock v:ext="edit" aspectratio="f"/>
              <v:textbox inset="0mm,0mm,0mm,0mm" style="mso-fit-shape-to-text:t;">
                <w:txbxContent>
                  <w:p w14:paraId="47C0F204">
                    <w:pPr>
                      <w:pStyle w:val="48"/>
                    </w:pPr>
                    <w:r>
                      <w:fldChar w:fldCharType="begin"/>
                    </w:r>
                    <w:r>
                      <w:instrText xml:space="preserve"> PAGE  \* MERGEFORMAT </w:instrText>
                    </w:r>
                    <w:r>
                      <w:fldChar w:fldCharType="separate"/>
                    </w:r>
                    <w:r>
                      <w:t>29</w:t>
                    </w:r>
                    <w:r>
                      <w:fldChar w:fldCharType="end"/>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D61D23">
    <w:pPr>
      <w:pStyle w:val="73"/>
    </w:pPr>
    <w:r>
      <mc:AlternateContent>
        <mc:Choice Requires="wps">
          <w:drawing>
            <wp:anchor distT="0" distB="0" distL="114300" distR="114300" simplePos="0" relativeHeight="251673600" behindDoc="0" locked="0" layoutInCell="1" allowOverlap="1">
              <wp:simplePos x="0" y="0"/>
              <wp:positionH relativeFrom="margin">
                <wp:align>outside</wp:align>
              </wp:positionH>
              <wp:positionV relativeFrom="paragraph">
                <wp:posOffset>0</wp:posOffset>
              </wp:positionV>
              <wp:extent cx="1828800" cy="1828800"/>
              <wp:effectExtent l="0" t="0" r="0" b="0"/>
              <wp:wrapNone/>
              <wp:docPr id="19" name="文本框 1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B37D836">
                          <w:pPr>
                            <w:pStyle w:val="73"/>
                          </w:pPr>
                          <w:r>
                            <w:fldChar w:fldCharType="begin"/>
                          </w:r>
                          <w:r>
                            <w:instrText xml:space="preserve"> PAGE  \* MERGEFORMAT </w:instrText>
                          </w:r>
                          <w:r>
                            <w:fldChar w:fldCharType="separate"/>
                          </w:r>
                          <w:r>
                            <w:t>18</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7360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VYWikyAgAAZQQAAA4AAABkcnMvZTJvRG9jLnhtbK1UzY7TMBC+I/EO&#10;lu80aRGrUjVdla2KkCp2pQVxdh2nieQ/2W6T8gDwBpy4cN/n6nPw2Wm6aOGwBy7p2DP+Zr5vZjq/&#10;7pQkB+F8Y3RBx6OcEqG5KRu9K+jnT+tXU0p8YLpk0mhR0KPw9Hrx8sW8tTMxMbWRpXAEINrPWlvQ&#10;OgQ7yzLPa6GYHxkrNJyVcYoFHN0uKx1rga5kNsnzq6w1rrTOcOE9ble9k54R3XMATVU1XKwM3yuh&#10;Q4/qhGQBlHzdWE8XqdqqEjzcVpUXgciCgmlIXySBvY3fbDFns51jtm74uQT2nBKecFKs0Uh6gVqx&#10;wMjeNX9BqYY7400VRtyorCeSFAGLcf5Em/uaWZG4QGpvL6L7/wfLPx7uHGlKTMJbSjRT6Pjpx/fT&#10;z4fTr28EdxCotX6GuHuLyNC9Mx2Ch3uPy8i7q5yKv2BE4Ie8x4u8oguEx0fTyXSaw8XhGw7Azx6f&#10;W+fDe2EUiUZBHfqXZGWHjQ996BASs2mzbqRMPZSatAW9ev0mTw8uHoBLHWNFmoYzTKTUlx6t0G27&#10;M8+tKY+g6Uw/Kd7ydYNSNsyHO+YwGigfyxNu8amkQUpztiipjfv6r/sYj47BS0mLUSuoxmZRIj9o&#10;dBKAYTDcYGwHQ+/VjcHsjrGUlicTD1yQg1k5o75go5YxB1xMc2QqaBjMm9CPOzaSi+UyBWH2LAsb&#10;fW95hI7yeLvcB8iZVI6i9EqgO/GA6Ut9Om9KHO8/zynq8d9h8Rt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JVhaKTICAABlBAAADgAAAAAAAAABACAAAAAfAQAAZHJzL2Uyb0RvYy54bWxQSwUG&#10;AAAAAAYABgBZAQAAwwUAAAAA&#10;">
              <v:fill on="f" focussize="0,0"/>
              <v:stroke on="f" weight="0.5pt"/>
              <v:imagedata o:title=""/>
              <o:lock v:ext="edit" aspectratio="f"/>
              <v:textbox inset="0mm,0mm,0mm,0mm" style="mso-fit-shape-to-text:t;">
                <w:txbxContent>
                  <w:p w14:paraId="5B37D836">
                    <w:pPr>
                      <w:pStyle w:val="73"/>
                    </w:pPr>
                    <w:r>
                      <w:fldChar w:fldCharType="begin"/>
                    </w:r>
                    <w:r>
                      <w:instrText xml:space="preserve"> PAGE  \* MERGEFORMAT </w:instrText>
                    </w:r>
                    <w:r>
                      <w:fldChar w:fldCharType="separate"/>
                    </w:r>
                    <w:r>
                      <w:t>18</w:t>
                    </w:r>
                    <w:r>
                      <w:fldChar w:fldCharType="end"/>
                    </w: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30E7179">
    <w:pPr>
      <w:pStyle w:val="48"/>
    </w:pPr>
    <w:r>
      <mc:AlternateContent>
        <mc:Choice Requires="wps">
          <w:drawing>
            <wp:anchor distT="0" distB="0" distL="114300" distR="114300" simplePos="0" relativeHeight="251667456" behindDoc="0" locked="0" layoutInCell="1" allowOverlap="1">
              <wp:simplePos x="0" y="0"/>
              <wp:positionH relativeFrom="margin">
                <wp:align>outside</wp:align>
              </wp:positionH>
              <wp:positionV relativeFrom="paragraph">
                <wp:posOffset>0</wp:posOffset>
              </wp:positionV>
              <wp:extent cx="1828800" cy="1828800"/>
              <wp:effectExtent l="0" t="0" r="0" b="0"/>
              <wp:wrapNone/>
              <wp:docPr id="10" name="文本框 1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CAD7235">
                          <w:pPr>
                            <w:pStyle w:val="48"/>
                          </w:pPr>
                          <w:r>
                            <w:fldChar w:fldCharType="begin"/>
                          </w:r>
                          <w:r>
                            <w:instrText xml:space="preserve"> PAGE  \* MERGEFORMAT </w:instrText>
                          </w:r>
                          <w:r>
                            <w:fldChar w:fldCharType="separate"/>
                          </w:r>
                          <w:r>
                            <w:t>29</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745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rd1wwqAgAAVw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QFOgGSaKZQ8cv3b5cf&#10;vy4/vxKcQaDG+jnidhaRoX1rWgQP5x6HkXdbOhW/YETgB9b5Kq9oA+Hx0mw6m43h4vANG+Bnj9et&#10;8+GdMIpEI6cO9UuystPWhy50CInZtNnUUqYaSk2anN68fjNOF64egEuNHJFE99hohXbf9sz2pjiD&#10;mDNdb3jLNzWSb5kPD8yhGfBgjEu4x1JKgySmtyipjPvyr/MYjxrBS0mD5sqpxixRIt9r1A6AYTDc&#10;YOwHQx/VnUG3TjCGlicTF1yQg1k6oz5jhlYxB1xMc2TKaRjMu9A1OGaQi9UqBaHbLAtbvbM8Qkfx&#10;vF0dAwRMukZROiV6rdBvqTL9bMSG/nOfoh7/B8vf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Mrd1wwqAgAAVwQAAA4AAAAAAAAAAQAgAAAAHwEAAGRycy9lMm9Eb2MueG1sUEsFBgAAAAAGAAYA&#10;WQEAALsFAAAAAA==&#10;">
              <v:fill on="f" focussize="0,0"/>
              <v:stroke on="f" weight="0.5pt"/>
              <v:imagedata o:title=""/>
              <o:lock v:ext="edit" aspectratio="f"/>
              <v:textbox inset="0mm,0mm,0mm,0mm" style="mso-fit-shape-to-text:t;">
                <w:txbxContent>
                  <w:p w14:paraId="5CAD7235">
                    <w:pPr>
                      <w:pStyle w:val="48"/>
                    </w:pPr>
                    <w:r>
                      <w:fldChar w:fldCharType="begin"/>
                    </w:r>
                    <w:r>
                      <w:instrText xml:space="preserve"> PAGE  \* MERGEFORMAT </w:instrText>
                    </w:r>
                    <w:r>
                      <w:fldChar w:fldCharType="separate"/>
                    </w:r>
                    <w:r>
                      <w:t>29</w:t>
                    </w:r>
                    <w:r>
                      <w:fldChar w:fldCharType="end"/>
                    </w:r>
                  </w:p>
                </w:txbxContent>
              </v:textbox>
            </v:shape>
          </w:pict>
        </mc:Fallback>
      </mc:AlternateConten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6A5251">
    <w:pPr>
      <w:pStyle w:val="73"/>
    </w:pPr>
    <w:r>
      <mc:AlternateContent>
        <mc:Choice Requires="wps">
          <w:drawing>
            <wp:anchor distT="0" distB="0" distL="114300" distR="114300" simplePos="0" relativeHeight="251671552" behindDoc="0" locked="0" layoutInCell="1" allowOverlap="1">
              <wp:simplePos x="0" y="0"/>
              <wp:positionH relativeFrom="margin">
                <wp:align>outside</wp:align>
              </wp:positionH>
              <wp:positionV relativeFrom="paragraph">
                <wp:posOffset>0</wp:posOffset>
              </wp:positionV>
              <wp:extent cx="1828800" cy="1828800"/>
              <wp:effectExtent l="0" t="0" r="0" b="0"/>
              <wp:wrapNone/>
              <wp:docPr id="15" name="文本框 1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761674E">
                          <w:pPr>
                            <w:pStyle w:val="73"/>
                          </w:pPr>
                          <w:r>
                            <w:fldChar w:fldCharType="begin"/>
                          </w:r>
                          <w:r>
                            <w:instrText xml:space="preserve"> PAGE  \* MERGEFORMAT </w:instrText>
                          </w:r>
                          <w:r>
                            <w:fldChar w:fldCharType="separate"/>
                          </w:r>
                          <w:r>
                            <w:t>18</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7155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OguJYsAgAAVwQAAA4AAABkcnMvZTJvRG9jLnhtbK1UzY7TMBC+I/EO&#10;lu80bdGuqqrpqmxVhFSxKy2Is+s4TST/yXablAeAN+DEhTvP1efYz07SRQuHPXBxxp7xN/6+mcni&#10;plWSHIXztdE5nYzGlAjNTVHrfU4/f9q8mVHiA9MFk0aLnJ6EpzfL168WjZ2LqamMLIQjANF+3tic&#10;ViHYeZZ5XgnF/MhYoeEsjVMsYOv2WeFYA3Qls+l4fJ01xhXWGS68x+m6c9Ie0b0E0JRlzcXa8IMS&#10;OnSoTkgWQMlXtfV0mV5bloKHu7L0IhCZUzANaUUS2Lu4ZssFm+8ds1XN+yewlzzhGSfFao2kF6g1&#10;C4wcXP0XlKq5M96UYcSNyjoiSRGwmIyfafNQMSsSF0jt7UV0//9g+cfjvSN1gU64okQzhYqff3w/&#10;//x9/vWN4AwCNdbPEfdgERnad6ZF8HDucRh5t6VT8QtGBH7Ie7rIK9pAeLw0m85mY7g4fMMG+NnT&#10;det8eC+MItHIqUP9kqzsuPWhCx1CYjZtNrWUqYZSkyan12+vxunCxQNwqZEjkugeG63Q7tqe2c4U&#10;JxBzpusNb/mmRvIt8+GeOTQDHoxxCXdYSmmQxPQWJZVxX/91HuNRI3gpadBcOdWYJUrkB43aATAM&#10;hhuM3WDog7o16NYJxtDyZOKCC3IwS2fUF8zQKuaAi2mOTDkNg3kbugbHDHKxWqUgdJtlYasfLI/Q&#10;UTxvV4cAAZOuUZROiV4r9FuqTD8bsaH/3Keop//B8h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g6C4liwCAABXBAAADgAAAAAAAAABACAAAAAfAQAAZHJzL2Uyb0RvYy54bWxQSwUGAAAAAAYA&#10;BgBZAQAAvQUAAAAA&#10;">
              <v:fill on="f" focussize="0,0"/>
              <v:stroke on="f" weight="0.5pt"/>
              <v:imagedata o:title=""/>
              <o:lock v:ext="edit" aspectratio="f"/>
              <v:textbox inset="0mm,0mm,0mm,0mm" style="mso-fit-shape-to-text:t;">
                <w:txbxContent>
                  <w:p w14:paraId="4761674E">
                    <w:pPr>
                      <w:pStyle w:val="73"/>
                    </w:pPr>
                    <w:r>
                      <w:fldChar w:fldCharType="begin"/>
                    </w:r>
                    <w:r>
                      <w:instrText xml:space="preserve"> PAGE  \* MERGEFORMAT </w:instrText>
                    </w:r>
                    <w:r>
                      <w:fldChar w:fldCharType="separate"/>
                    </w:r>
                    <w:r>
                      <w:t>18</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76BFBB">
    <w:pPr>
      <w:pStyle w:val="74"/>
      <w:rPr>
        <w:rFonts w:hAnsi="黑体"/>
      </w:rPr>
    </w:pPr>
    <w:r>
      <w:rPr>
        <w:rFonts w:hint="eastAsia" w:hAnsi="黑体"/>
      </w:rPr>
      <w:t>T/XXX XXX—20XX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C1D2BCA">
    <w:pPr>
      <w:pStyle w:val="49"/>
    </w:pPr>
    <w:r>
      <w:rPr>
        <w:rFonts w:hint="eastAsia"/>
      </w:rPr>
      <w:t>T/XXX XXX—20XX</w:t>
    </w:r>
    <w: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179BF89">
    <w:pPr>
      <w:pStyle w:val="49"/>
    </w:pPr>
    <w:r>
      <w:rPr>
        <w:rFonts w:hint="eastAsia"/>
      </w:rPr>
      <w:t>T/XXX XXX-20XX</w:t>
    </w:r>
    <w:r>
      <w:t xml:space="preserve"> </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9654DC">
    <w:pPr>
      <w:pStyle w:val="49"/>
    </w:pPr>
    <w:r>
      <w:rPr>
        <w:rFonts w:hint="eastAsia"/>
      </w:rPr>
      <w:t>T/XXX XXX-20XX</w:t>
    </w:r>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79102AD"/>
    <w:multiLevelType w:val="multilevel"/>
    <w:tmpl w:val="079102AD"/>
    <w:lvl w:ilvl="0" w:tentative="0">
      <w:start w:val="1"/>
      <w:numFmt w:val="decimal"/>
      <w:pStyle w:val="63"/>
      <w:suff w:val="nothing"/>
      <w:lvlText w:val="注%1："/>
      <w:lvlJc w:val="left"/>
      <w:pPr>
        <w:ind w:left="2796" w:hanging="448"/>
      </w:pPr>
      <w:rPr>
        <w:rFonts w:hint="eastAsia" w:ascii="黑体" w:eastAsia="黑体"/>
        <w:b w:val="0"/>
        <w:i w:val="0"/>
        <w:sz w:val="18"/>
        <w:lang w:val="en-US"/>
      </w:rPr>
    </w:lvl>
    <w:lvl w:ilvl="1" w:tentative="0">
      <w:start w:val="1"/>
      <w:numFmt w:val="lowerLetter"/>
      <w:lvlText w:val="%2)"/>
      <w:lvlJc w:val="left"/>
      <w:pPr>
        <w:tabs>
          <w:tab w:val="left" w:pos="1985"/>
        </w:tabs>
        <w:ind w:left="2977" w:hanging="629"/>
      </w:pPr>
      <w:rPr>
        <w:rFonts w:hint="eastAsia"/>
      </w:rPr>
    </w:lvl>
    <w:lvl w:ilvl="2" w:tentative="0">
      <w:start w:val="1"/>
      <w:numFmt w:val="lowerRoman"/>
      <w:lvlText w:val="%3."/>
      <w:lvlJc w:val="right"/>
      <w:pPr>
        <w:tabs>
          <w:tab w:val="left" w:pos="1985"/>
        </w:tabs>
        <w:ind w:left="2977" w:hanging="629"/>
      </w:pPr>
      <w:rPr>
        <w:rFonts w:hint="eastAsia"/>
      </w:rPr>
    </w:lvl>
    <w:lvl w:ilvl="3" w:tentative="0">
      <w:start w:val="1"/>
      <w:numFmt w:val="decimal"/>
      <w:lvlText w:val="%4."/>
      <w:lvlJc w:val="left"/>
      <w:pPr>
        <w:tabs>
          <w:tab w:val="left" w:pos="1985"/>
        </w:tabs>
        <w:ind w:left="2977" w:hanging="629"/>
      </w:pPr>
      <w:rPr>
        <w:rFonts w:hint="eastAsia"/>
      </w:rPr>
    </w:lvl>
    <w:lvl w:ilvl="4" w:tentative="0">
      <w:start w:val="1"/>
      <w:numFmt w:val="lowerLetter"/>
      <w:lvlText w:val="%5)"/>
      <w:lvlJc w:val="left"/>
      <w:pPr>
        <w:tabs>
          <w:tab w:val="left" w:pos="1985"/>
        </w:tabs>
        <w:ind w:left="2977" w:hanging="629"/>
      </w:pPr>
      <w:rPr>
        <w:rFonts w:hint="eastAsia"/>
      </w:rPr>
    </w:lvl>
    <w:lvl w:ilvl="5" w:tentative="0">
      <w:start w:val="1"/>
      <w:numFmt w:val="lowerRoman"/>
      <w:lvlText w:val="%6."/>
      <w:lvlJc w:val="right"/>
      <w:pPr>
        <w:tabs>
          <w:tab w:val="left" w:pos="1985"/>
        </w:tabs>
        <w:ind w:left="2977" w:hanging="629"/>
      </w:pPr>
      <w:rPr>
        <w:rFonts w:hint="eastAsia"/>
      </w:rPr>
    </w:lvl>
    <w:lvl w:ilvl="6" w:tentative="0">
      <w:start w:val="1"/>
      <w:numFmt w:val="decimal"/>
      <w:lvlText w:val="%7."/>
      <w:lvlJc w:val="left"/>
      <w:pPr>
        <w:tabs>
          <w:tab w:val="left" w:pos="1985"/>
        </w:tabs>
        <w:ind w:left="2977" w:hanging="629"/>
      </w:pPr>
      <w:rPr>
        <w:rFonts w:hint="eastAsia"/>
      </w:rPr>
    </w:lvl>
    <w:lvl w:ilvl="7" w:tentative="0">
      <w:start w:val="1"/>
      <w:numFmt w:val="lowerLetter"/>
      <w:lvlText w:val="%8)"/>
      <w:lvlJc w:val="left"/>
      <w:pPr>
        <w:tabs>
          <w:tab w:val="left" w:pos="1985"/>
        </w:tabs>
        <w:ind w:left="2977" w:hanging="629"/>
      </w:pPr>
      <w:rPr>
        <w:rFonts w:hint="eastAsia"/>
      </w:rPr>
    </w:lvl>
    <w:lvl w:ilvl="8" w:tentative="0">
      <w:start w:val="1"/>
      <w:numFmt w:val="lowerRoman"/>
      <w:lvlText w:val="%9."/>
      <w:lvlJc w:val="right"/>
      <w:pPr>
        <w:tabs>
          <w:tab w:val="left" w:pos="1985"/>
        </w:tabs>
        <w:ind w:left="2977" w:hanging="629"/>
      </w:pPr>
      <w:rPr>
        <w:rFonts w:hint="eastAsia"/>
      </w:rPr>
    </w:lvl>
  </w:abstractNum>
  <w:abstractNum w:abstractNumId="1">
    <w:nsid w:val="07BF354A"/>
    <w:multiLevelType w:val="singleLevel"/>
    <w:tmpl w:val="07BF354A"/>
    <w:lvl w:ilvl="0" w:tentative="0">
      <w:start w:val="1"/>
      <w:numFmt w:val="decimal"/>
      <w:suff w:val="space"/>
      <w:lvlText w:val="[%1]"/>
      <w:lvlJc w:val="left"/>
      <w:rPr>
        <w:rFonts w:hint="default" w:ascii="宋体" w:hAnsi="宋体" w:eastAsia="宋体" w:cs="宋体"/>
      </w:rPr>
    </w:lvl>
  </w:abstractNum>
  <w:abstractNum w:abstractNumId="2">
    <w:nsid w:val="093C6778"/>
    <w:multiLevelType w:val="multilevel"/>
    <w:tmpl w:val="093C6778"/>
    <w:lvl w:ilvl="0" w:tentative="0">
      <w:start w:val="1"/>
      <w:numFmt w:val="decimal"/>
      <w:pStyle w:val="121"/>
      <w:suff w:val="nothing"/>
      <w:lvlText w:val="示例%1："/>
      <w:lvlJc w:val="left"/>
      <w:pPr>
        <w:ind w:left="0" w:firstLine="397"/>
      </w:pPr>
      <w:rPr>
        <w:rFonts w:hint="eastAsia" w:ascii="黑体" w:eastAsia="黑体"/>
        <w:sz w:val="18"/>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3">
    <w:nsid w:val="0AE367E9"/>
    <w:multiLevelType w:val="multilevel"/>
    <w:tmpl w:val="0AE367E9"/>
    <w:lvl w:ilvl="0" w:tentative="0">
      <w:start w:val="1"/>
      <w:numFmt w:val="none"/>
      <w:pStyle w:val="57"/>
      <w:suff w:val="nothing"/>
      <w:lvlText w:val="%1示例："/>
      <w:lvlJc w:val="left"/>
      <w:pPr>
        <w:ind w:left="0" w:firstLine="363"/>
      </w:pPr>
      <w:rPr>
        <w:rFonts w:hint="eastAsia" w:ascii="黑体" w:eastAsia="黑体"/>
        <w:b w:val="0"/>
        <w:i w:val="0"/>
        <w:sz w:val="18"/>
        <w:szCs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4">
    <w:nsid w:val="0D983844"/>
    <w:multiLevelType w:val="multilevel"/>
    <w:tmpl w:val="0D983844"/>
    <w:lvl w:ilvl="0" w:tentative="0">
      <w:start w:val="1"/>
      <w:numFmt w:val="decimal"/>
      <w:pStyle w:val="133"/>
      <w:suff w:val="nothing"/>
      <w:lvlText w:val="图%1　"/>
      <w:lvlJc w:val="left"/>
      <w:pPr>
        <w:ind w:left="0" w:firstLine="0"/>
      </w:pPr>
      <w:rPr>
        <w:rFonts w:hint="default" w:ascii="黑体" w:hAnsi="Times New Roman" w:eastAsia="黑体"/>
        <w:b w:val="0"/>
        <w:i w:val="0"/>
        <w:sz w:val="21"/>
        <w:highlight w:val="none"/>
        <w:lang w:val="en-US"/>
      </w:rPr>
    </w:lvl>
    <w:lvl w:ilvl="1" w:tentative="0">
      <w:start w:val="1"/>
      <w:numFmt w:val="decimal"/>
      <w:suff w:val="nothing"/>
      <w:lvlText w:val="%1%2　"/>
      <w:lvlJc w:val="left"/>
      <w:pPr>
        <w:ind w:left="0" w:firstLine="0"/>
      </w:pPr>
      <w:rPr>
        <w:rFonts w:hint="default" w:ascii="Times New Roman" w:hAnsi="Times New Roman" w:eastAsia="黑体"/>
        <w:b w:val="0"/>
        <w:i w:val="0"/>
        <w:sz w:val="21"/>
      </w:rPr>
    </w:lvl>
    <w:lvl w:ilvl="2" w:tentative="0">
      <w:start w:val="1"/>
      <w:numFmt w:val="decimal"/>
      <w:suff w:val="nothing"/>
      <w:lvlText w:val="%1%2.%3　"/>
      <w:lvlJc w:val="left"/>
      <w:pPr>
        <w:ind w:left="0" w:firstLine="0"/>
      </w:pPr>
      <w:rPr>
        <w:rFonts w:hint="default" w:ascii="Times New Roman" w:hAnsi="Times New Roman" w:eastAsia="黑体"/>
        <w:b w:val="0"/>
        <w:i w:val="0"/>
        <w:sz w:val="21"/>
      </w:rPr>
    </w:lvl>
    <w:lvl w:ilvl="3" w:tentative="0">
      <w:start w:val="1"/>
      <w:numFmt w:val="decimal"/>
      <w:suff w:val="nothing"/>
      <w:lvlText w:val="%1%2.%3.%4　"/>
      <w:lvlJc w:val="left"/>
      <w:pPr>
        <w:ind w:left="0" w:firstLine="0"/>
      </w:pPr>
      <w:rPr>
        <w:rFonts w:hint="default" w:ascii="Times New Roman" w:hAnsi="Times New Roman" w:eastAsia="黑体"/>
        <w:b w:val="0"/>
        <w:i w:val="0"/>
        <w:sz w:val="21"/>
      </w:rPr>
    </w:lvl>
    <w:lvl w:ilvl="4" w:tentative="0">
      <w:start w:val="1"/>
      <w:numFmt w:val="decimal"/>
      <w:suff w:val="nothing"/>
      <w:lvlText w:val="%1%2.%3.%4.%5　"/>
      <w:lvlJc w:val="left"/>
      <w:pPr>
        <w:ind w:left="0" w:firstLine="0"/>
      </w:pPr>
      <w:rPr>
        <w:rFonts w:hint="default" w:ascii="Times New Roman" w:hAnsi="Times New Roman" w:eastAsia="黑体"/>
        <w:b w:val="0"/>
        <w:i w:val="0"/>
        <w:sz w:val="21"/>
      </w:rPr>
    </w:lvl>
    <w:lvl w:ilvl="5" w:tentative="0">
      <w:start w:val="1"/>
      <w:numFmt w:val="decimal"/>
      <w:suff w:val="nothing"/>
      <w:lvlText w:val="%1%2.%3.%4.%5.%6　"/>
      <w:lvlJc w:val="left"/>
      <w:pPr>
        <w:ind w:left="0" w:firstLine="0"/>
      </w:pPr>
      <w:rPr>
        <w:rFonts w:hint="default" w:ascii="Times New Roman" w:hAnsi="Times New Roman" w:eastAsia="黑体"/>
        <w:b w:val="0"/>
        <w:i w:val="0"/>
        <w:sz w:val="21"/>
      </w:rPr>
    </w:lvl>
    <w:lvl w:ilvl="6" w:tentative="0">
      <w:start w:val="1"/>
      <w:numFmt w:val="decimal"/>
      <w:suff w:val="nothing"/>
      <w:lvlText w:val="%1%2.%3.%4.%5.%6.%7　"/>
      <w:lvlJc w:val="left"/>
      <w:pPr>
        <w:ind w:left="0" w:firstLine="0"/>
      </w:pPr>
      <w:rPr>
        <w:rFonts w:hint="default" w:ascii="Times New Roman"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5">
    <w:nsid w:val="0DDE2B46"/>
    <w:multiLevelType w:val="multilevel"/>
    <w:tmpl w:val="0DDE2B46"/>
    <w:lvl w:ilvl="0" w:tentative="0">
      <w:start w:val="1"/>
      <w:numFmt w:val="lowerLetter"/>
      <w:pStyle w:val="126"/>
      <w:suff w:val="nothing"/>
      <w:lvlText w:val="%1   "/>
      <w:lvlJc w:val="left"/>
      <w:pPr>
        <w:ind w:left="544" w:hanging="181"/>
      </w:pPr>
      <w:rPr>
        <w:rFonts w:hint="eastAsia" w:ascii="宋体" w:eastAsia="宋体"/>
        <w:b w:val="0"/>
        <w:i w:val="0"/>
        <w:sz w:val="18"/>
        <w:vertAlign w:val="superscript"/>
      </w:rPr>
    </w:lvl>
    <w:lvl w:ilvl="1" w:tentative="0">
      <w:start w:val="1"/>
      <w:numFmt w:val="lowerLetter"/>
      <w:lvlText w:val="%2"/>
      <w:lvlJc w:val="left"/>
      <w:pPr>
        <w:tabs>
          <w:tab w:val="left" w:pos="57"/>
        </w:tabs>
        <w:ind w:left="363" w:hanging="363"/>
      </w:pPr>
      <w:rPr>
        <w:rFonts w:hint="eastAsia"/>
      </w:rPr>
    </w:lvl>
    <w:lvl w:ilvl="2" w:tentative="0">
      <w:start w:val="1"/>
      <w:numFmt w:val="lowerRoman"/>
      <w:lvlText w:val="%3."/>
      <w:lvlJc w:val="right"/>
      <w:pPr>
        <w:tabs>
          <w:tab w:val="left" w:pos="57"/>
        </w:tabs>
        <w:ind w:left="363" w:hanging="363"/>
      </w:pPr>
      <w:rPr>
        <w:rFonts w:hint="eastAsia"/>
      </w:rPr>
    </w:lvl>
    <w:lvl w:ilvl="3" w:tentative="0">
      <w:start w:val="1"/>
      <w:numFmt w:val="decimal"/>
      <w:lvlText w:val="%4."/>
      <w:lvlJc w:val="left"/>
      <w:pPr>
        <w:tabs>
          <w:tab w:val="left" w:pos="57"/>
        </w:tabs>
        <w:ind w:left="363" w:hanging="363"/>
      </w:pPr>
      <w:rPr>
        <w:rFonts w:hint="eastAsia"/>
      </w:rPr>
    </w:lvl>
    <w:lvl w:ilvl="4" w:tentative="0">
      <w:start w:val="1"/>
      <w:numFmt w:val="lowerLetter"/>
      <w:lvlText w:val="%5)"/>
      <w:lvlJc w:val="left"/>
      <w:pPr>
        <w:tabs>
          <w:tab w:val="left" w:pos="57"/>
        </w:tabs>
        <w:ind w:left="363" w:hanging="363"/>
      </w:pPr>
      <w:rPr>
        <w:rFonts w:hint="eastAsia"/>
      </w:rPr>
    </w:lvl>
    <w:lvl w:ilvl="5" w:tentative="0">
      <w:start w:val="1"/>
      <w:numFmt w:val="lowerRoman"/>
      <w:lvlText w:val="%6."/>
      <w:lvlJc w:val="right"/>
      <w:pPr>
        <w:tabs>
          <w:tab w:val="left" w:pos="57"/>
        </w:tabs>
        <w:ind w:left="363" w:hanging="363"/>
      </w:pPr>
      <w:rPr>
        <w:rFonts w:hint="eastAsia"/>
      </w:rPr>
    </w:lvl>
    <w:lvl w:ilvl="6" w:tentative="0">
      <w:start w:val="1"/>
      <w:numFmt w:val="decimal"/>
      <w:lvlText w:val="%7."/>
      <w:lvlJc w:val="left"/>
      <w:pPr>
        <w:tabs>
          <w:tab w:val="left" w:pos="57"/>
        </w:tabs>
        <w:ind w:left="363" w:hanging="363"/>
      </w:pPr>
      <w:rPr>
        <w:rFonts w:hint="eastAsia"/>
      </w:rPr>
    </w:lvl>
    <w:lvl w:ilvl="7" w:tentative="0">
      <w:start w:val="1"/>
      <w:numFmt w:val="lowerLetter"/>
      <w:lvlText w:val="%8)"/>
      <w:lvlJc w:val="left"/>
      <w:pPr>
        <w:tabs>
          <w:tab w:val="left" w:pos="57"/>
        </w:tabs>
        <w:ind w:left="363" w:hanging="363"/>
      </w:pPr>
      <w:rPr>
        <w:rFonts w:hint="eastAsia"/>
      </w:rPr>
    </w:lvl>
    <w:lvl w:ilvl="8" w:tentative="0">
      <w:start w:val="1"/>
      <w:numFmt w:val="lowerRoman"/>
      <w:lvlText w:val="%9."/>
      <w:lvlJc w:val="right"/>
      <w:pPr>
        <w:tabs>
          <w:tab w:val="left" w:pos="57"/>
        </w:tabs>
        <w:ind w:left="363" w:hanging="363"/>
      </w:pPr>
      <w:rPr>
        <w:rFonts w:hint="eastAsia"/>
      </w:rPr>
    </w:lvl>
  </w:abstractNum>
  <w:abstractNum w:abstractNumId="6">
    <w:nsid w:val="1DBF583A"/>
    <w:multiLevelType w:val="multilevel"/>
    <w:tmpl w:val="1DBF583A"/>
    <w:lvl w:ilvl="0" w:tentative="0">
      <w:start w:val="1"/>
      <w:numFmt w:val="decimal"/>
      <w:pStyle w:val="70"/>
      <w:suff w:val="nothing"/>
      <w:lvlText w:val="注%1："/>
      <w:lvlJc w:val="left"/>
      <w:pPr>
        <w:ind w:left="811" w:hanging="448"/>
      </w:pPr>
      <w:rPr>
        <w:rFonts w:hint="eastAsia" w:ascii="黑体" w:eastAsia="黑体"/>
        <w:b w:val="0"/>
        <w:i w:val="0"/>
        <w:sz w:val="18"/>
        <w:szCs w:val="18"/>
        <w:vertAlign w:val="baseline"/>
      </w:rPr>
    </w:lvl>
    <w:lvl w:ilvl="1" w:tentative="0">
      <w:start w:val="1"/>
      <w:numFmt w:val="lowerLetter"/>
      <w:lvlText w:val="%2)"/>
      <w:lvlJc w:val="left"/>
      <w:pPr>
        <w:tabs>
          <w:tab w:val="left" w:pos="180"/>
        </w:tabs>
        <w:ind w:left="1172" w:hanging="629"/>
      </w:pPr>
      <w:rPr>
        <w:rFonts w:hint="eastAsia"/>
        <w:vertAlign w:val="baseline"/>
      </w:rPr>
    </w:lvl>
    <w:lvl w:ilvl="2" w:tentative="0">
      <w:start w:val="1"/>
      <w:numFmt w:val="lowerRoman"/>
      <w:lvlText w:val="%3."/>
      <w:lvlJc w:val="right"/>
      <w:pPr>
        <w:tabs>
          <w:tab w:val="left" w:pos="180"/>
        </w:tabs>
        <w:ind w:left="1172" w:hanging="629"/>
      </w:pPr>
      <w:rPr>
        <w:rFonts w:hint="eastAsia"/>
        <w:vertAlign w:val="baseline"/>
      </w:rPr>
    </w:lvl>
    <w:lvl w:ilvl="3" w:tentative="0">
      <w:start w:val="1"/>
      <w:numFmt w:val="decimal"/>
      <w:lvlText w:val="%4."/>
      <w:lvlJc w:val="left"/>
      <w:pPr>
        <w:tabs>
          <w:tab w:val="left" w:pos="180"/>
        </w:tabs>
        <w:ind w:left="1172" w:hanging="629"/>
      </w:pPr>
      <w:rPr>
        <w:rFonts w:hint="eastAsia"/>
        <w:vertAlign w:val="baseline"/>
      </w:rPr>
    </w:lvl>
    <w:lvl w:ilvl="4" w:tentative="0">
      <w:start w:val="1"/>
      <w:numFmt w:val="lowerLetter"/>
      <w:lvlText w:val="%5)"/>
      <w:lvlJc w:val="left"/>
      <w:pPr>
        <w:tabs>
          <w:tab w:val="left" w:pos="180"/>
        </w:tabs>
        <w:ind w:left="1172" w:hanging="629"/>
      </w:pPr>
      <w:rPr>
        <w:rFonts w:hint="eastAsia"/>
        <w:vertAlign w:val="baseline"/>
      </w:rPr>
    </w:lvl>
    <w:lvl w:ilvl="5" w:tentative="0">
      <w:start w:val="1"/>
      <w:numFmt w:val="lowerRoman"/>
      <w:lvlText w:val="%6."/>
      <w:lvlJc w:val="right"/>
      <w:pPr>
        <w:tabs>
          <w:tab w:val="left" w:pos="180"/>
        </w:tabs>
        <w:ind w:left="1172" w:hanging="629"/>
      </w:pPr>
      <w:rPr>
        <w:rFonts w:hint="eastAsia"/>
        <w:vertAlign w:val="baseline"/>
      </w:rPr>
    </w:lvl>
    <w:lvl w:ilvl="6" w:tentative="0">
      <w:start w:val="1"/>
      <w:numFmt w:val="decimal"/>
      <w:lvlText w:val="%7."/>
      <w:lvlJc w:val="left"/>
      <w:pPr>
        <w:tabs>
          <w:tab w:val="left" w:pos="180"/>
        </w:tabs>
        <w:ind w:left="1172" w:hanging="629"/>
      </w:pPr>
      <w:rPr>
        <w:rFonts w:hint="eastAsia"/>
        <w:vertAlign w:val="baseline"/>
      </w:rPr>
    </w:lvl>
    <w:lvl w:ilvl="7" w:tentative="0">
      <w:start w:val="1"/>
      <w:numFmt w:val="lowerLetter"/>
      <w:lvlText w:val="%8)"/>
      <w:lvlJc w:val="left"/>
      <w:pPr>
        <w:tabs>
          <w:tab w:val="left" w:pos="180"/>
        </w:tabs>
        <w:ind w:left="1172" w:hanging="629"/>
      </w:pPr>
      <w:rPr>
        <w:rFonts w:hint="eastAsia"/>
        <w:vertAlign w:val="baseline"/>
      </w:rPr>
    </w:lvl>
    <w:lvl w:ilvl="8" w:tentative="0">
      <w:start w:val="1"/>
      <w:numFmt w:val="lowerRoman"/>
      <w:lvlText w:val="%9."/>
      <w:lvlJc w:val="right"/>
      <w:pPr>
        <w:tabs>
          <w:tab w:val="left" w:pos="180"/>
        </w:tabs>
        <w:ind w:left="1172" w:hanging="629"/>
      </w:pPr>
      <w:rPr>
        <w:rFonts w:hint="eastAsia"/>
        <w:vertAlign w:val="baseline"/>
      </w:rPr>
    </w:lvl>
  </w:abstractNum>
  <w:abstractNum w:abstractNumId="7">
    <w:nsid w:val="1FC91163"/>
    <w:multiLevelType w:val="multilevel"/>
    <w:tmpl w:val="1FC91163"/>
    <w:lvl w:ilvl="0" w:tentative="0">
      <w:start w:val="1"/>
      <w:numFmt w:val="decimal"/>
      <w:pStyle w:val="50"/>
      <w:suff w:val="nothing"/>
      <w:lvlText w:val="%1　"/>
      <w:lvlJc w:val="left"/>
      <w:pPr>
        <w:ind w:left="0" w:firstLine="0"/>
      </w:pPr>
      <w:rPr>
        <w:rFonts w:hint="eastAsia" w:ascii="黑体" w:hAnsi="Times New Roman" w:eastAsia="黑体"/>
        <w:b w:val="0"/>
        <w:i w:val="0"/>
        <w:sz w:val="21"/>
        <w:szCs w:val="21"/>
      </w:rPr>
    </w:lvl>
    <w:lvl w:ilvl="1" w:tentative="0">
      <w:start w:val="1"/>
      <w:numFmt w:val="decimal"/>
      <w:pStyle w:val="47"/>
      <w:suff w:val="nothing"/>
      <w:lvlText w:val="%1.%2　"/>
      <w:lvlJc w:val="left"/>
      <w:pPr>
        <w:ind w:left="0" w:firstLine="0"/>
      </w:pPr>
      <w:rPr>
        <w:rFonts w:hint="eastAsia" w:ascii="黑体" w:hAnsi="Times New Roman" w:eastAsia="黑体" w:cs="Times New Roman"/>
        <w:b w:val="0"/>
        <w:bCs w:val="0"/>
        <w:i w:val="0"/>
        <w:iCs w:val="0"/>
        <w:caps w:val="0"/>
        <w:strike w:val="0"/>
        <w:dstrike w:val="0"/>
        <w:vanish w:val="0"/>
        <w:color w:val="000000"/>
        <w:spacing w:val="0"/>
        <w:kern w:val="0"/>
        <w:position w:val="0"/>
        <w:sz w:val="21"/>
        <w:szCs w:val="21"/>
        <w:u w:val="none"/>
        <w:vertAlign w:val="baseline"/>
        <w14:shadow w14:blurRad="0" w14:dist="0" w14:dir="0" w14:sx="0" w14:sy="0" w14:kx="0" w14:ky="0" w14:algn="none">
          <w14:srgbClr w14:val="000000"/>
        </w14:shadow>
      </w:rPr>
    </w:lvl>
    <w:lvl w:ilvl="2" w:tentative="0">
      <w:start w:val="1"/>
      <w:numFmt w:val="decimal"/>
      <w:pStyle w:val="51"/>
      <w:suff w:val="nothing"/>
      <w:lvlText w:val="%1.%2.%3　"/>
      <w:lvlJc w:val="left"/>
      <w:pPr>
        <w:ind w:left="0"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default" w:ascii="黑体" w:hAnsi="Times New Roman" w:eastAsia="黑体"/>
        <w:b w:val="0"/>
        <w:i w:val="0"/>
        <w:sz w:val="21"/>
        <w:highlight w:val="none"/>
      </w:rPr>
    </w:lvl>
    <w:lvl w:ilvl="4" w:tentative="0">
      <w:start w:val="1"/>
      <w:numFmt w:val="decimal"/>
      <w:pStyle w:val="60"/>
      <w:suff w:val="nothing"/>
      <w:lvlText w:val="%1.%2.%3.%4.%5　"/>
      <w:lvlJc w:val="left"/>
      <w:pPr>
        <w:ind w:left="0" w:firstLine="0"/>
      </w:pPr>
      <w:rPr>
        <w:rFonts w:hint="eastAsia" w:ascii="黑体" w:hAnsi="Times New Roman" w:eastAsia="黑体"/>
        <w:b w:val="0"/>
        <w:i w:val="0"/>
        <w:sz w:val="21"/>
      </w:rPr>
    </w:lvl>
    <w:lvl w:ilvl="5" w:tentative="0">
      <w:start w:val="1"/>
      <w:numFmt w:val="decimal"/>
      <w:pStyle w:val="61"/>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8">
    <w:nsid w:val="22827D5B"/>
    <w:multiLevelType w:val="multilevel"/>
    <w:tmpl w:val="22827D5B"/>
    <w:lvl w:ilvl="0" w:tentative="0">
      <w:start w:val="1"/>
      <w:numFmt w:val="none"/>
      <w:pStyle w:val="69"/>
      <w:suff w:val="nothing"/>
      <w:lvlText w:val="%1注："/>
      <w:lvlJc w:val="left"/>
      <w:pPr>
        <w:ind w:left="726" w:hanging="363"/>
      </w:pPr>
      <w:rPr>
        <w:rFonts w:hint="eastAsia" w:ascii="黑体" w:hAnsi="Times New Roman"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9">
    <w:nsid w:val="2A8F7113"/>
    <w:multiLevelType w:val="multilevel"/>
    <w:tmpl w:val="2A8F7113"/>
    <w:lvl w:ilvl="0" w:tentative="0">
      <w:start w:val="1"/>
      <w:numFmt w:val="upperLetter"/>
      <w:pStyle w:val="103"/>
      <w:suff w:val="space"/>
      <w:lvlText w:val="%1"/>
      <w:lvlJc w:val="left"/>
      <w:pPr>
        <w:ind w:left="623" w:hanging="425"/>
      </w:pPr>
      <w:rPr>
        <w:rFonts w:hint="eastAsia"/>
      </w:rPr>
    </w:lvl>
    <w:lvl w:ilvl="1" w:tentative="0">
      <w:start w:val="1"/>
      <w:numFmt w:val="decimal"/>
      <w:pStyle w:val="104"/>
      <w:suff w:val="nothing"/>
      <w:lvlText w:val="图%1.%2　"/>
      <w:lvlJc w:val="left"/>
      <w:pPr>
        <w:ind w:left="1190" w:hanging="567"/>
      </w:pPr>
      <w:rPr>
        <w:rFonts w:hint="eastAsia"/>
      </w:rPr>
    </w:lvl>
    <w:lvl w:ilvl="2" w:tentative="0">
      <w:start w:val="1"/>
      <w:numFmt w:val="decimal"/>
      <w:lvlText w:val="%1.%2.%3"/>
      <w:lvlJc w:val="left"/>
      <w:pPr>
        <w:tabs>
          <w:tab w:val="left" w:pos="1616"/>
        </w:tabs>
        <w:ind w:left="1616" w:hanging="567"/>
      </w:pPr>
      <w:rPr>
        <w:rFonts w:hint="eastAsia"/>
      </w:rPr>
    </w:lvl>
    <w:lvl w:ilvl="3" w:tentative="0">
      <w:start w:val="1"/>
      <w:numFmt w:val="decimal"/>
      <w:lvlText w:val="%1.%2.%3.%4"/>
      <w:lvlJc w:val="left"/>
      <w:pPr>
        <w:tabs>
          <w:tab w:val="left" w:pos="2914"/>
        </w:tabs>
        <w:ind w:left="2182" w:hanging="708"/>
      </w:pPr>
      <w:rPr>
        <w:rFonts w:hint="eastAsia"/>
      </w:rPr>
    </w:lvl>
    <w:lvl w:ilvl="4" w:tentative="0">
      <w:start w:val="1"/>
      <w:numFmt w:val="decimal"/>
      <w:lvlText w:val="%1.%2.%3.%4.%5"/>
      <w:lvlJc w:val="left"/>
      <w:pPr>
        <w:tabs>
          <w:tab w:val="left" w:pos="3699"/>
        </w:tabs>
        <w:ind w:left="2749" w:hanging="850"/>
      </w:pPr>
      <w:rPr>
        <w:rFonts w:hint="eastAsia"/>
      </w:rPr>
    </w:lvl>
    <w:lvl w:ilvl="5" w:tentative="0">
      <w:start w:val="1"/>
      <w:numFmt w:val="decimal"/>
      <w:lvlText w:val="%1.%2.%3.%4.%5.%6"/>
      <w:lvlJc w:val="left"/>
      <w:pPr>
        <w:tabs>
          <w:tab w:val="left" w:pos="4484"/>
        </w:tabs>
        <w:ind w:left="3458" w:hanging="1134"/>
      </w:pPr>
      <w:rPr>
        <w:rFonts w:hint="eastAsia"/>
      </w:rPr>
    </w:lvl>
    <w:lvl w:ilvl="6" w:tentative="0">
      <w:start w:val="1"/>
      <w:numFmt w:val="decimal"/>
      <w:lvlText w:val="%1.%2.%3.%4.%5.%6.%7"/>
      <w:lvlJc w:val="left"/>
      <w:pPr>
        <w:tabs>
          <w:tab w:val="left" w:pos="5269"/>
        </w:tabs>
        <w:ind w:left="4025" w:hanging="1276"/>
      </w:pPr>
      <w:rPr>
        <w:rFonts w:hint="eastAsia"/>
      </w:rPr>
    </w:lvl>
    <w:lvl w:ilvl="7" w:tentative="0">
      <w:start w:val="1"/>
      <w:numFmt w:val="decimal"/>
      <w:lvlText w:val="%1.%2.%3.%4.%5.%6.%7.%8"/>
      <w:lvlJc w:val="left"/>
      <w:pPr>
        <w:tabs>
          <w:tab w:val="left" w:pos="6054"/>
        </w:tabs>
        <w:ind w:left="4592" w:hanging="1418"/>
      </w:pPr>
      <w:rPr>
        <w:rFonts w:hint="eastAsia"/>
      </w:rPr>
    </w:lvl>
    <w:lvl w:ilvl="8" w:tentative="0">
      <w:start w:val="1"/>
      <w:numFmt w:val="decimal"/>
      <w:lvlText w:val="%1.%2.%3.%4.%5.%6.%7.%8.%9"/>
      <w:lvlJc w:val="left"/>
      <w:pPr>
        <w:tabs>
          <w:tab w:val="left" w:pos="6840"/>
        </w:tabs>
        <w:ind w:left="5300" w:hanging="1700"/>
      </w:pPr>
      <w:rPr>
        <w:rFonts w:hint="eastAsia"/>
      </w:rPr>
    </w:lvl>
  </w:abstractNum>
  <w:abstractNum w:abstractNumId="10">
    <w:nsid w:val="2C5917C3"/>
    <w:multiLevelType w:val="multilevel"/>
    <w:tmpl w:val="2C5917C3"/>
    <w:lvl w:ilvl="0" w:tentative="0">
      <w:start w:val="1"/>
      <w:numFmt w:val="none"/>
      <w:pStyle w:val="53"/>
      <w:suff w:val="nothing"/>
      <w:lvlText w:val="%1——"/>
      <w:lvlJc w:val="left"/>
      <w:pPr>
        <w:ind w:left="833" w:hanging="408"/>
      </w:pPr>
      <w:rPr>
        <w:rFonts w:hint="eastAsia"/>
      </w:rPr>
    </w:lvl>
    <w:lvl w:ilvl="1" w:tentative="0">
      <w:start w:val="1"/>
      <w:numFmt w:val="bullet"/>
      <w:pStyle w:val="54"/>
      <w:lvlText w:val=""/>
      <w:lvlJc w:val="left"/>
      <w:pPr>
        <w:tabs>
          <w:tab w:val="left" w:pos="760"/>
        </w:tabs>
        <w:ind w:left="1264" w:hanging="413"/>
      </w:pPr>
      <w:rPr>
        <w:rFonts w:hint="default" w:ascii="Symbol" w:hAnsi="Symbol"/>
        <w:color w:val="auto"/>
      </w:rPr>
    </w:lvl>
    <w:lvl w:ilvl="2" w:tentative="0">
      <w:start w:val="1"/>
      <w:numFmt w:val="bullet"/>
      <w:pStyle w:val="65"/>
      <w:lvlText w:val=""/>
      <w:lvlJc w:val="left"/>
      <w:pPr>
        <w:tabs>
          <w:tab w:val="left" w:pos="1678"/>
        </w:tabs>
        <w:ind w:left="1678" w:hanging="414"/>
      </w:pPr>
      <w:rPr>
        <w:rFonts w:hint="default" w:ascii="Symbol" w:hAnsi="Symbol"/>
        <w:color w:val="auto"/>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3D733618"/>
    <w:multiLevelType w:val="multilevel"/>
    <w:tmpl w:val="3D733618"/>
    <w:lvl w:ilvl="0" w:tentative="0">
      <w:start w:val="1"/>
      <w:numFmt w:val="decimal"/>
      <w:pStyle w:val="27"/>
      <w:lvlText w:val="%1)"/>
      <w:lvlJc w:val="left"/>
      <w:pPr>
        <w:tabs>
          <w:tab w:val="left" w:pos="0"/>
        </w:tabs>
        <w:ind w:left="720" w:hanging="357"/>
      </w:pPr>
      <w:rPr>
        <w:rFonts w:hint="eastAsia"/>
      </w:rPr>
    </w:lvl>
    <w:lvl w:ilvl="1" w:tentative="0">
      <w:start w:val="1"/>
      <w:numFmt w:val="lowerLetter"/>
      <w:lvlText w:val="%2)"/>
      <w:lvlJc w:val="left"/>
      <w:pPr>
        <w:tabs>
          <w:tab w:val="left" w:pos="504"/>
        </w:tabs>
        <w:ind w:left="544" w:hanging="544"/>
      </w:pPr>
      <w:rPr>
        <w:rFonts w:hint="eastAsia"/>
      </w:rPr>
    </w:lvl>
    <w:lvl w:ilvl="2" w:tentative="0">
      <w:start w:val="1"/>
      <w:numFmt w:val="lowerRoman"/>
      <w:lvlText w:val="%3."/>
      <w:lvlJc w:val="right"/>
      <w:pPr>
        <w:tabs>
          <w:tab w:val="left" w:pos="532"/>
        </w:tabs>
        <w:ind w:left="544" w:hanging="544"/>
      </w:pPr>
      <w:rPr>
        <w:rFonts w:hint="eastAsia"/>
      </w:rPr>
    </w:lvl>
    <w:lvl w:ilvl="3" w:tentative="0">
      <w:start w:val="1"/>
      <w:numFmt w:val="decimal"/>
      <w:lvlText w:val="%4."/>
      <w:lvlJc w:val="left"/>
      <w:pPr>
        <w:tabs>
          <w:tab w:val="left" w:pos="560"/>
        </w:tabs>
        <w:ind w:left="544" w:hanging="544"/>
      </w:pPr>
      <w:rPr>
        <w:rFonts w:hint="eastAsia"/>
      </w:rPr>
    </w:lvl>
    <w:lvl w:ilvl="4" w:tentative="0">
      <w:start w:val="1"/>
      <w:numFmt w:val="lowerLetter"/>
      <w:lvlText w:val="%5)"/>
      <w:lvlJc w:val="left"/>
      <w:pPr>
        <w:tabs>
          <w:tab w:val="left" w:pos="588"/>
        </w:tabs>
        <w:ind w:left="544" w:hanging="544"/>
      </w:pPr>
      <w:rPr>
        <w:rFonts w:hint="eastAsia"/>
      </w:rPr>
    </w:lvl>
    <w:lvl w:ilvl="5" w:tentative="0">
      <w:start w:val="1"/>
      <w:numFmt w:val="lowerRoman"/>
      <w:lvlText w:val="%6."/>
      <w:lvlJc w:val="right"/>
      <w:pPr>
        <w:tabs>
          <w:tab w:val="left" w:pos="616"/>
        </w:tabs>
        <w:ind w:left="544" w:hanging="544"/>
      </w:pPr>
      <w:rPr>
        <w:rFonts w:hint="eastAsia"/>
      </w:rPr>
    </w:lvl>
    <w:lvl w:ilvl="6" w:tentative="0">
      <w:start w:val="1"/>
      <w:numFmt w:val="decimal"/>
      <w:lvlText w:val="%7."/>
      <w:lvlJc w:val="left"/>
      <w:pPr>
        <w:tabs>
          <w:tab w:val="left" w:pos="644"/>
        </w:tabs>
        <w:ind w:left="544" w:hanging="544"/>
      </w:pPr>
      <w:rPr>
        <w:rFonts w:hint="eastAsia"/>
      </w:rPr>
    </w:lvl>
    <w:lvl w:ilvl="7" w:tentative="0">
      <w:start w:val="1"/>
      <w:numFmt w:val="lowerLetter"/>
      <w:lvlText w:val="%8)"/>
      <w:lvlJc w:val="left"/>
      <w:pPr>
        <w:tabs>
          <w:tab w:val="left" w:pos="672"/>
        </w:tabs>
        <w:ind w:left="544" w:hanging="544"/>
      </w:pPr>
      <w:rPr>
        <w:rFonts w:hint="eastAsia"/>
      </w:rPr>
    </w:lvl>
    <w:lvl w:ilvl="8" w:tentative="0">
      <w:start w:val="1"/>
      <w:numFmt w:val="lowerRoman"/>
      <w:lvlText w:val="%9."/>
      <w:lvlJc w:val="right"/>
      <w:pPr>
        <w:tabs>
          <w:tab w:val="left" w:pos="700"/>
        </w:tabs>
        <w:ind w:left="544" w:hanging="544"/>
      </w:pPr>
      <w:rPr>
        <w:rFonts w:hint="eastAsia"/>
      </w:rPr>
    </w:lvl>
  </w:abstractNum>
  <w:abstractNum w:abstractNumId="12">
    <w:nsid w:val="44C50F90"/>
    <w:multiLevelType w:val="multilevel"/>
    <w:tmpl w:val="44C50F90"/>
    <w:lvl w:ilvl="0" w:tentative="0">
      <w:start w:val="1"/>
      <w:numFmt w:val="lowerLetter"/>
      <w:pStyle w:val="64"/>
      <w:lvlText w:val="%1)"/>
      <w:lvlJc w:val="left"/>
      <w:pPr>
        <w:tabs>
          <w:tab w:val="left" w:pos="840"/>
        </w:tabs>
        <w:ind w:left="839" w:hanging="419"/>
      </w:pPr>
      <w:rPr>
        <w:rFonts w:hint="eastAsia" w:ascii="宋体" w:eastAsia="宋体"/>
        <w:b w:val="0"/>
        <w:i w:val="0"/>
        <w:sz w:val="21"/>
        <w:szCs w:val="21"/>
      </w:rPr>
    </w:lvl>
    <w:lvl w:ilvl="1" w:tentative="0">
      <w:start w:val="1"/>
      <w:numFmt w:val="decimal"/>
      <w:pStyle w:val="59"/>
      <w:lvlText w:val="%2)"/>
      <w:lvlJc w:val="left"/>
      <w:pPr>
        <w:tabs>
          <w:tab w:val="left" w:pos="1260"/>
        </w:tabs>
        <w:ind w:left="1259" w:hanging="419"/>
      </w:pPr>
      <w:rPr>
        <w:rFonts w:hint="eastAsia"/>
      </w:rPr>
    </w:lvl>
    <w:lvl w:ilvl="2" w:tentative="0">
      <w:start w:val="1"/>
      <w:numFmt w:val="decimal"/>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3">
    <w:nsid w:val="4B733A5F"/>
    <w:multiLevelType w:val="multilevel"/>
    <w:tmpl w:val="4B733A5F"/>
    <w:lvl w:ilvl="0" w:tentative="0">
      <w:start w:val="1"/>
      <w:numFmt w:val="decimal"/>
      <w:pStyle w:val="67"/>
      <w:suff w:val="nothing"/>
      <w:lvlText w:val="示例%1："/>
      <w:lvlJc w:val="left"/>
      <w:pPr>
        <w:ind w:left="0" w:firstLine="363"/>
      </w:pPr>
      <w:rPr>
        <w:rFonts w:hint="eastAsia" w:ascii="黑体" w:hAnsi="Times New Roman" w:eastAsia="黑体"/>
        <w:b w:val="0"/>
        <w:i w:val="0"/>
        <w:sz w:val="18"/>
        <w:szCs w:val="18"/>
        <w:vertAlign w:val="baseline"/>
      </w:rPr>
    </w:lvl>
    <w:lvl w:ilvl="1" w:tentative="0">
      <w:start w:val="1"/>
      <w:numFmt w:val="none"/>
      <w:suff w:val="space"/>
      <w:lvlText w:val=""/>
      <w:lvlJc w:val="left"/>
      <w:pPr>
        <w:ind w:left="0" w:firstLine="0"/>
      </w:pPr>
      <w:rPr>
        <w:rFonts w:hint="eastAsia"/>
        <w:vertAlign w:val="baseline"/>
      </w:rPr>
    </w:lvl>
    <w:lvl w:ilvl="2" w:tentative="0">
      <w:start w:val="1"/>
      <w:numFmt w:val="decimal"/>
      <w:suff w:val="space"/>
      <w:lvlText w:val="2.2.%3"/>
      <w:lvlJc w:val="left"/>
      <w:pPr>
        <w:ind w:left="0" w:firstLine="0"/>
      </w:pPr>
      <w:rPr>
        <w:rFonts w:hint="eastAsia"/>
        <w:vertAlign w:val="baseline"/>
      </w:rPr>
    </w:lvl>
    <w:lvl w:ilvl="3" w:tentative="0">
      <w:start w:val="1"/>
      <w:numFmt w:val="decimal"/>
      <w:lvlText w:val="%4."/>
      <w:lvlJc w:val="left"/>
      <w:pPr>
        <w:tabs>
          <w:tab w:val="left" w:pos="0"/>
        </w:tabs>
        <w:ind w:left="992" w:hanging="629"/>
      </w:pPr>
      <w:rPr>
        <w:rFonts w:hint="eastAsia"/>
        <w:vertAlign w:val="baseline"/>
      </w:rPr>
    </w:lvl>
    <w:lvl w:ilvl="4" w:tentative="0">
      <w:start w:val="1"/>
      <w:numFmt w:val="lowerLetter"/>
      <w:lvlText w:val="%5)"/>
      <w:lvlJc w:val="left"/>
      <w:pPr>
        <w:tabs>
          <w:tab w:val="left" w:pos="0"/>
        </w:tabs>
        <w:ind w:left="992" w:hanging="629"/>
      </w:pPr>
      <w:rPr>
        <w:rFonts w:hint="eastAsia"/>
        <w:vertAlign w:val="baseline"/>
      </w:rPr>
    </w:lvl>
    <w:lvl w:ilvl="5" w:tentative="0">
      <w:start w:val="1"/>
      <w:numFmt w:val="lowerRoman"/>
      <w:lvlText w:val="%6."/>
      <w:lvlJc w:val="right"/>
      <w:pPr>
        <w:tabs>
          <w:tab w:val="left" w:pos="0"/>
        </w:tabs>
        <w:ind w:left="992" w:hanging="629"/>
      </w:pPr>
      <w:rPr>
        <w:rFonts w:hint="eastAsia"/>
        <w:vertAlign w:val="baseline"/>
      </w:rPr>
    </w:lvl>
    <w:lvl w:ilvl="6" w:tentative="0">
      <w:start w:val="1"/>
      <w:numFmt w:val="decimal"/>
      <w:lvlText w:val="%7."/>
      <w:lvlJc w:val="left"/>
      <w:pPr>
        <w:tabs>
          <w:tab w:val="left" w:pos="0"/>
        </w:tabs>
        <w:ind w:left="992" w:hanging="629"/>
      </w:pPr>
      <w:rPr>
        <w:rFonts w:hint="eastAsia"/>
        <w:vertAlign w:val="baseline"/>
      </w:rPr>
    </w:lvl>
    <w:lvl w:ilvl="7" w:tentative="0">
      <w:start w:val="1"/>
      <w:numFmt w:val="lowerLetter"/>
      <w:lvlText w:val="%8)"/>
      <w:lvlJc w:val="left"/>
      <w:pPr>
        <w:tabs>
          <w:tab w:val="left" w:pos="0"/>
        </w:tabs>
        <w:ind w:left="992" w:hanging="629"/>
      </w:pPr>
      <w:rPr>
        <w:rFonts w:hint="eastAsia"/>
        <w:vertAlign w:val="baseline"/>
      </w:rPr>
    </w:lvl>
    <w:lvl w:ilvl="8" w:tentative="0">
      <w:start w:val="1"/>
      <w:numFmt w:val="lowerRoman"/>
      <w:lvlText w:val="%9."/>
      <w:lvlJc w:val="right"/>
      <w:pPr>
        <w:tabs>
          <w:tab w:val="left" w:pos="0"/>
        </w:tabs>
        <w:ind w:left="992" w:hanging="629"/>
      </w:pPr>
      <w:rPr>
        <w:rFonts w:hint="eastAsia"/>
        <w:vertAlign w:val="baseline"/>
      </w:rPr>
    </w:lvl>
  </w:abstractNum>
  <w:abstractNum w:abstractNumId="14">
    <w:nsid w:val="60B55DC2"/>
    <w:multiLevelType w:val="multilevel"/>
    <w:tmpl w:val="60B55DC2"/>
    <w:lvl w:ilvl="0" w:tentative="0">
      <w:start w:val="1"/>
      <w:numFmt w:val="upperLetter"/>
      <w:pStyle w:val="91"/>
      <w:lvlText w:val="%1"/>
      <w:lvlJc w:val="left"/>
      <w:pPr>
        <w:tabs>
          <w:tab w:val="left" w:pos="0"/>
        </w:tabs>
        <w:ind w:left="0" w:hanging="425"/>
      </w:pPr>
      <w:rPr>
        <w:rFonts w:hint="eastAsia"/>
      </w:rPr>
    </w:lvl>
    <w:lvl w:ilvl="1" w:tentative="0">
      <w:start w:val="1"/>
      <w:numFmt w:val="decimal"/>
      <w:pStyle w:val="92"/>
      <w:suff w:val="nothing"/>
      <w:lvlText w:val="表%1.%2　"/>
      <w:lvlJc w:val="left"/>
      <w:pPr>
        <w:ind w:left="567" w:hanging="567"/>
      </w:pPr>
      <w:rPr>
        <w:rFonts w:hint="eastAsia"/>
      </w:rPr>
    </w:lvl>
    <w:lvl w:ilvl="2" w:tentative="0">
      <w:start w:val="1"/>
      <w:numFmt w:val="decimal"/>
      <w:lvlText w:val="%1.%2.%3"/>
      <w:lvlJc w:val="left"/>
      <w:pPr>
        <w:tabs>
          <w:tab w:val="left" w:pos="993"/>
        </w:tabs>
        <w:ind w:left="993" w:hanging="567"/>
      </w:pPr>
      <w:rPr>
        <w:rFonts w:hint="eastAsia"/>
      </w:rPr>
    </w:lvl>
    <w:lvl w:ilvl="3" w:tentative="0">
      <w:start w:val="1"/>
      <w:numFmt w:val="decimal"/>
      <w:lvlText w:val="%1.%2.%3.%4"/>
      <w:lvlJc w:val="left"/>
      <w:pPr>
        <w:tabs>
          <w:tab w:val="left" w:pos="2291"/>
        </w:tabs>
        <w:ind w:left="1559" w:hanging="708"/>
      </w:pPr>
      <w:rPr>
        <w:rFonts w:hint="eastAsia"/>
      </w:rPr>
    </w:lvl>
    <w:lvl w:ilvl="4" w:tentative="0">
      <w:start w:val="1"/>
      <w:numFmt w:val="decimal"/>
      <w:lvlText w:val="%1.%2.%3.%4.%5"/>
      <w:lvlJc w:val="left"/>
      <w:pPr>
        <w:tabs>
          <w:tab w:val="left" w:pos="3076"/>
        </w:tabs>
        <w:ind w:left="2126" w:hanging="850"/>
      </w:pPr>
      <w:rPr>
        <w:rFonts w:hint="eastAsia"/>
      </w:rPr>
    </w:lvl>
    <w:lvl w:ilvl="5" w:tentative="0">
      <w:start w:val="1"/>
      <w:numFmt w:val="decimal"/>
      <w:lvlText w:val="%1.%2.%3.%4.%5.%6"/>
      <w:lvlJc w:val="left"/>
      <w:pPr>
        <w:tabs>
          <w:tab w:val="left" w:pos="3861"/>
        </w:tabs>
        <w:ind w:left="2835" w:hanging="1134"/>
      </w:pPr>
      <w:rPr>
        <w:rFonts w:hint="eastAsia"/>
      </w:rPr>
    </w:lvl>
    <w:lvl w:ilvl="6" w:tentative="0">
      <w:start w:val="1"/>
      <w:numFmt w:val="decimal"/>
      <w:lvlText w:val="%1.%2.%3.%4.%5.%6.%7"/>
      <w:lvlJc w:val="left"/>
      <w:pPr>
        <w:tabs>
          <w:tab w:val="left" w:pos="4646"/>
        </w:tabs>
        <w:ind w:left="3402" w:hanging="1276"/>
      </w:pPr>
      <w:rPr>
        <w:rFonts w:hint="eastAsia"/>
      </w:rPr>
    </w:lvl>
    <w:lvl w:ilvl="7" w:tentative="0">
      <w:start w:val="1"/>
      <w:numFmt w:val="decimal"/>
      <w:lvlText w:val="%1.%2.%3.%4.%5.%6.%7.%8"/>
      <w:lvlJc w:val="left"/>
      <w:pPr>
        <w:tabs>
          <w:tab w:val="left" w:pos="5431"/>
        </w:tabs>
        <w:ind w:left="3969" w:hanging="1418"/>
      </w:pPr>
      <w:rPr>
        <w:rFonts w:hint="eastAsia"/>
      </w:rPr>
    </w:lvl>
    <w:lvl w:ilvl="8" w:tentative="0">
      <w:start w:val="1"/>
      <w:numFmt w:val="decimal"/>
      <w:lvlText w:val="%1.%2.%3.%4.%5.%6.%7.%8.%9"/>
      <w:lvlJc w:val="left"/>
      <w:pPr>
        <w:tabs>
          <w:tab w:val="left" w:pos="6217"/>
        </w:tabs>
        <w:ind w:left="4677" w:hanging="1700"/>
      </w:pPr>
      <w:rPr>
        <w:rFonts w:hint="eastAsia"/>
      </w:rPr>
    </w:lvl>
  </w:abstractNum>
  <w:abstractNum w:abstractNumId="15">
    <w:nsid w:val="646260FA"/>
    <w:multiLevelType w:val="multilevel"/>
    <w:tmpl w:val="646260FA"/>
    <w:lvl w:ilvl="0" w:tentative="0">
      <w:start w:val="1"/>
      <w:numFmt w:val="decimal"/>
      <w:pStyle w:val="131"/>
      <w:suff w:val="nothing"/>
      <w:lvlText w:val="表%1　"/>
      <w:lvlJc w:val="left"/>
      <w:pPr>
        <w:ind w:left="0" w:firstLine="0"/>
      </w:pPr>
      <w:rPr>
        <w:rFonts w:hint="default" w:ascii="黑体" w:hAnsi="Times New Roman" w:eastAsia="黑体"/>
        <w:b w:val="0"/>
        <w:i w:val="0"/>
        <w:sz w:val="21"/>
        <w:highlight w:val="none"/>
      </w:rPr>
    </w:lvl>
    <w:lvl w:ilvl="1" w:tentative="0">
      <w:start w:val="1"/>
      <w:numFmt w:val="decimal"/>
      <w:lvlText w:val="%1.%2"/>
      <w:lvlJc w:val="left"/>
      <w:pPr>
        <w:tabs>
          <w:tab w:val="left" w:pos="992"/>
        </w:tabs>
        <w:ind w:left="992" w:hanging="567"/>
      </w:pPr>
      <w:rPr>
        <w:rFonts w:hint="eastAsia"/>
      </w:rPr>
    </w:lvl>
    <w:lvl w:ilvl="2" w:tentative="0">
      <w:start w:val="1"/>
      <w:numFmt w:val="decimal"/>
      <w:lvlText w:val="%1.%2.%3"/>
      <w:lvlJc w:val="left"/>
      <w:pPr>
        <w:tabs>
          <w:tab w:val="left" w:pos="1418"/>
        </w:tabs>
        <w:ind w:left="1418" w:hanging="567"/>
      </w:pPr>
      <w:rPr>
        <w:rFonts w:hint="eastAsia"/>
      </w:rPr>
    </w:lvl>
    <w:lvl w:ilvl="3" w:tentative="0">
      <w:start w:val="1"/>
      <w:numFmt w:val="decimal"/>
      <w:lvlText w:val="%1.%2.%3.%4"/>
      <w:lvlJc w:val="left"/>
      <w:pPr>
        <w:tabs>
          <w:tab w:val="left" w:pos="1984"/>
        </w:tabs>
        <w:ind w:left="1984" w:hanging="708"/>
      </w:pPr>
      <w:rPr>
        <w:rFonts w:hint="eastAsia"/>
      </w:rPr>
    </w:lvl>
    <w:lvl w:ilvl="4" w:tentative="0">
      <w:start w:val="1"/>
      <w:numFmt w:val="decimal"/>
      <w:lvlText w:val="%1.%2.%3.%4.%5"/>
      <w:lvlJc w:val="left"/>
      <w:pPr>
        <w:tabs>
          <w:tab w:val="left" w:pos="2551"/>
        </w:tabs>
        <w:ind w:left="2551" w:hanging="850"/>
      </w:pPr>
      <w:rPr>
        <w:rFonts w:hint="eastAsia"/>
      </w:rPr>
    </w:lvl>
    <w:lvl w:ilvl="5" w:tentative="0">
      <w:start w:val="1"/>
      <w:numFmt w:val="decimal"/>
      <w:lvlText w:val="%1.%2.%3.%4.%5.%6"/>
      <w:lvlJc w:val="left"/>
      <w:pPr>
        <w:tabs>
          <w:tab w:val="left" w:pos="3260"/>
        </w:tabs>
        <w:ind w:left="3260" w:hanging="1134"/>
      </w:pPr>
      <w:rPr>
        <w:rFonts w:hint="eastAsia"/>
      </w:rPr>
    </w:lvl>
    <w:lvl w:ilvl="6" w:tentative="0">
      <w:start w:val="1"/>
      <w:numFmt w:val="decimal"/>
      <w:lvlText w:val="%1.%2.%3.%4.%5.%6.%7"/>
      <w:lvlJc w:val="left"/>
      <w:pPr>
        <w:tabs>
          <w:tab w:val="left" w:pos="3827"/>
        </w:tabs>
        <w:ind w:left="3827" w:hanging="1276"/>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16">
    <w:nsid w:val="657D3FBC"/>
    <w:multiLevelType w:val="multilevel"/>
    <w:tmpl w:val="657D3FBC"/>
    <w:lvl w:ilvl="0" w:tentative="0">
      <w:start w:val="1"/>
      <w:numFmt w:val="upperLetter"/>
      <w:pStyle w:val="89"/>
      <w:suff w:val="nothing"/>
      <w:lvlText w:val="附　录　%1"/>
      <w:lvlJc w:val="left"/>
      <w:pPr>
        <w:ind w:left="0" w:firstLine="0"/>
      </w:pPr>
      <w:rPr>
        <w:rFonts w:hint="default" w:ascii="黑体" w:hAnsi="Times New Roman" w:eastAsia="黑体"/>
        <w:b w:val="0"/>
        <w:i w:val="0"/>
        <w:spacing w:val="0"/>
        <w:w w:val="100"/>
        <w:sz w:val="21"/>
        <w:highlight w:val="none"/>
      </w:rPr>
    </w:lvl>
    <w:lvl w:ilvl="1" w:tentative="0">
      <w:start w:val="1"/>
      <w:numFmt w:val="decimal"/>
      <w:pStyle w:val="107"/>
      <w:suff w:val="nothing"/>
      <w:lvlText w:val="%1.%2　"/>
      <w:lvlJc w:val="left"/>
      <w:pPr>
        <w:ind w:left="0" w:firstLine="0"/>
      </w:pPr>
      <w:rPr>
        <w:rFonts w:hint="eastAsia" w:ascii="黑体" w:hAnsi="Times New Roman" w:eastAsia="黑体"/>
        <w:b w:val="0"/>
        <w:i w:val="0"/>
        <w:snapToGrid/>
        <w:spacing w:val="0"/>
        <w:w w:val="100"/>
        <w:kern w:val="21"/>
        <w:sz w:val="21"/>
      </w:rPr>
    </w:lvl>
    <w:lvl w:ilvl="2" w:tentative="0">
      <w:start w:val="1"/>
      <w:numFmt w:val="decimal"/>
      <w:pStyle w:val="108"/>
      <w:suff w:val="nothing"/>
      <w:lvlText w:val="%1.%2.%3　"/>
      <w:lvlJc w:val="left"/>
      <w:pPr>
        <w:ind w:left="0" w:firstLine="0"/>
      </w:pPr>
      <w:rPr>
        <w:rFonts w:hint="eastAsia" w:ascii="黑体" w:hAnsi="Times New Roman" w:eastAsia="黑体"/>
        <w:b w:val="0"/>
        <w:i w:val="0"/>
        <w:sz w:val="21"/>
      </w:rPr>
    </w:lvl>
    <w:lvl w:ilvl="3" w:tentative="0">
      <w:start w:val="1"/>
      <w:numFmt w:val="decimal"/>
      <w:pStyle w:val="93"/>
      <w:suff w:val="nothing"/>
      <w:lvlText w:val="%1.%2.%3.%4　"/>
      <w:lvlJc w:val="left"/>
      <w:pPr>
        <w:ind w:left="0" w:firstLine="0"/>
      </w:pPr>
      <w:rPr>
        <w:rFonts w:hint="eastAsia" w:ascii="黑体" w:hAnsi="Times New Roman" w:eastAsia="黑体"/>
        <w:b w:val="0"/>
        <w:i w:val="0"/>
        <w:sz w:val="21"/>
      </w:rPr>
    </w:lvl>
    <w:lvl w:ilvl="4" w:tentative="0">
      <w:start w:val="1"/>
      <w:numFmt w:val="decimal"/>
      <w:pStyle w:val="98"/>
      <w:suff w:val="nothing"/>
      <w:lvlText w:val="%1.%2.%3.%4.%5　"/>
      <w:lvlJc w:val="left"/>
      <w:pPr>
        <w:ind w:left="0" w:firstLine="0"/>
      </w:pPr>
      <w:rPr>
        <w:rFonts w:hint="eastAsia" w:ascii="黑体" w:hAnsi="Times New Roman" w:eastAsia="黑体"/>
        <w:b w:val="0"/>
        <w:i w:val="0"/>
        <w:sz w:val="21"/>
      </w:rPr>
    </w:lvl>
    <w:lvl w:ilvl="5" w:tentative="0">
      <w:start w:val="1"/>
      <w:numFmt w:val="decimal"/>
      <w:pStyle w:val="101"/>
      <w:suff w:val="nothing"/>
      <w:lvlText w:val="%1.%2.%3.%4.%5.%6　"/>
      <w:lvlJc w:val="left"/>
      <w:pPr>
        <w:ind w:left="0" w:firstLine="0"/>
      </w:pPr>
      <w:rPr>
        <w:rFonts w:hint="eastAsia" w:ascii="黑体" w:hAnsi="Times New Roman" w:eastAsia="黑体"/>
        <w:b w:val="0"/>
        <w:i w:val="0"/>
        <w:sz w:val="21"/>
      </w:rPr>
    </w:lvl>
    <w:lvl w:ilvl="6" w:tentative="0">
      <w:start w:val="1"/>
      <w:numFmt w:val="decimal"/>
      <w:pStyle w:val="105"/>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17">
    <w:nsid w:val="6D6C07CD"/>
    <w:multiLevelType w:val="multilevel"/>
    <w:tmpl w:val="6D6C07CD"/>
    <w:lvl w:ilvl="0" w:tentative="0">
      <w:start w:val="1"/>
      <w:numFmt w:val="lowerLetter"/>
      <w:pStyle w:val="110"/>
      <w:lvlText w:val="%1)"/>
      <w:lvlJc w:val="left"/>
      <w:pPr>
        <w:tabs>
          <w:tab w:val="left" w:pos="839"/>
        </w:tabs>
        <w:ind w:left="839" w:hanging="419"/>
      </w:pPr>
      <w:rPr>
        <w:rFonts w:hint="eastAsia" w:ascii="宋体" w:eastAsia="宋体"/>
        <w:b w:val="0"/>
        <w:i w:val="0"/>
        <w:sz w:val="21"/>
      </w:rPr>
    </w:lvl>
    <w:lvl w:ilvl="1" w:tentative="0">
      <w:start w:val="1"/>
      <w:numFmt w:val="decimal"/>
      <w:pStyle w:val="100"/>
      <w:lvlText w:val="%2)"/>
      <w:lvlJc w:val="left"/>
      <w:pPr>
        <w:tabs>
          <w:tab w:val="left" w:pos="840"/>
        </w:tabs>
        <w:ind w:left="839" w:hanging="419"/>
      </w:pPr>
      <w:rPr>
        <w:rFonts w:hint="eastAsia" w:ascii="宋体" w:eastAsia="宋体"/>
        <w:b w:val="0"/>
        <w:i w:val="0"/>
        <w:sz w:val="21"/>
      </w:rPr>
    </w:lvl>
    <w:lvl w:ilvl="2" w:tentative="0">
      <w:start w:val="1"/>
      <w:numFmt w:val="lowerRoman"/>
      <w:lvlText w:val="%3."/>
      <w:lvlJc w:val="right"/>
      <w:pPr>
        <w:tabs>
          <w:tab w:val="left" w:pos="1260"/>
        </w:tabs>
        <w:ind w:left="1259" w:hanging="419"/>
      </w:pPr>
      <w:rPr>
        <w:rFonts w:hint="eastAsia"/>
      </w:rPr>
    </w:lvl>
    <w:lvl w:ilvl="3" w:tentative="0">
      <w:start w:val="1"/>
      <w:numFmt w:val="decimal"/>
      <w:lvlText w:val="%4."/>
      <w:lvlJc w:val="left"/>
      <w:pPr>
        <w:tabs>
          <w:tab w:val="left" w:pos="1680"/>
        </w:tabs>
        <w:ind w:left="1679" w:hanging="419"/>
      </w:pPr>
      <w:rPr>
        <w:rFonts w:hint="eastAsia"/>
      </w:rPr>
    </w:lvl>
    <w:lvl w:ilvl="4" w:tentative="0">
      <w:start w:val="1"/>
      <w:numFmt w:val="lowerLetter"/>
      <w:lvlText w:val="%5)"/>
      <w:lvlJc w:val="left"/>
      <w:pPr>
        <w:tabs>
          <w:tab w:val="left" w:pos="2100"/>
        </w:tabs>
        <w:ind w:left="2099" w:hanging="419"/>
      </w:pPr>
      <w:rPr>
        <w:rFonts w:hint="eastAsia"/>
      </w:rPr>
    </w:lvl>
    <w:lvl w:ilvl="5" w:tentative="0">
      <w:start w:val="1"/>
      <w:numFmt w:val="lowerRoman"/>
      <w:lvlText w:val="%6."/>
      <w:lvlJc w:val="right"/>
      <w:pPr>
        <w:tabs>
          <w:tab w:val="left" w:pos="2520"/>
        </w:tabs>
        <w:ind w:left="2519" w:hanging="419"/>
      </w:pPr>
      <w:rPr>
        <w:rFonts w:hint="eastAsia"/>
      </w:rPr>
    </w:lvl>
    <w:lvl w:ilvl="6" w:tentative="0">
      <w:start w:val="1"/>
      <w:numFmt w:val="decimal"/>
      <w:lvlText w:val="%7."/>
      <w:lvlJc w:val="left"/>
      <w:pPr>
        <w:tabs>
          <w:tab w:val="left" w:pos="2940"/>
        </w:tabs>
        <w:ind w:left="2939" w:hanging="419"/>
      </w:pPr>
      <w:rPr>
        <w:rFonts w:hint="eastAsia"/>
      </w:rPr>
    </w:lvl>
    <w:lvl w:ilvl="7" w:tentative="0">
      <w:start w:val="1"/>
      <w:numFmt w:val="lowerLetter"/>
      <w:lvlText w:val="%8)"/>
      <w:lvlJc w:val="left"/>
      <w:pPr>
        <w:tabs>
          <w:tab w:val="left" w:pos="3360"/>
        </w:tabs>
        <w:ind w:left="3359" w:hanging="419"/>
      </w:pPr>
      <w:rPr>
        <w:rFonts w:hint="eastAsia"/>
      </w:rPr>
    </w:lvl>
    <w:lvl w:ilvl="8" w:tentative="0">
      <w:start w:val="1"/>
      <w:numFmt w:val="lowerRoman"/>
      <w:lvlText w:val="%9."/>
      <w:lvlJc w:val="right"/>
      <w:pPr>
        <w:tabs>
          <w:tab w:val="left" w:pos="3780"/>
        </w:tabs>
        <w:ind w:left="3779" w:hanging="419"/>
      </w:pPr>
      <w:rPr>
        <w:rFonts w:hint="eastAsia"/>
      </w:rPr>
    </w:lvl>
  </w:abstractNum>
  <w:abstractNum w:abstractNumId="18">
    <w:nsid w:val="6DBF04F4"/>
    <w:multiLevelType w:val="multilevel"/>
    <w:tmpl w:val="6DBF04F4"/>
    <w:lvl w:ilvl="0" w:tentative="0">
      <w:start w:val="1"/>
      <w:numFmt w:val="none"/>
      <w:pStyle w:val="62"/>
      <w:suff w:val="nothing"/>
      <w:lvlText w:val="%1注："/>
      <w:lvlJc w:val="left"/>
      <w:pPr>
        <w:ind w:left="726" w:hanging="363"/>
      </w:pPr>
      <w:rPr>
        <w:rFonts w:hint="default" w:ascii="黑体" w:hAnsi="Times New Roman" w:eastAsia="黑体"/>
        <w:b w:val="0"/>
        <w:i w:val="0"/>
        <w:sz w:val="18"/>
        <w:highlight w:val="none"/>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num w:numId="1">
    <w:abstractNumId w:val="11"/>
  </w:num>
  <w:num w:numId="2">
    <w:abstractNumId w:val="7"/>
  </w:num>
  <w:num w:numId="3">
    <w:abstractNumId w:val="10"/>
  </w:num>
  <w:num w:numId="4">
    <w:abstractNumId w:val="3"/>
  </w:num>
  <w:num w:numId="5">
    <w:abstractNumId w:val="12"/>
  </w:num>
  <w:num w:numId="6">
    <w:abstractNumId w:val="18"/>
  </w:num>
  <w:num w:numId="7">
    <w:abstractNumId w:val="0"/>
  </w:num>
  <w:num w:numId="8">
    <w:abstractNumId w:val="13"/>
  </w:num>
  <w:num w:numId="9">
    <w:abstractNumId w:val="8"/>
  </w:num>
  <w:num w:numId="10">
    <w:abstractNumId w:val="6"/>
  </w:num>
  <w:num w:numId="11">
    <w:abstractNumId w:val="16"/>
  </w:num>
  <w:num w:numId="12">
    <w:abstractNumId w:val="14"/>
  </w:num>
  <w:num w:numId="13">
    <w:abstractNumId w:val="17"/>
  </w:num>
  <w:num w:numId="14">
    <w:abstractNumId w:val="9"/>
  </w:num>
  <w:num w:numId="15">
    <w:abstractNumId w:val="2"/>
  </w:num>
  <w:num w:numId="16">
    <w:abstractNumId w:val="5"/>
  </w:num>
  <w:num w:numId="17">
    <w:abstractNumId w:val="15"/>
  </w:num>
  <w:num w:numId="18">
    <w:abstractNumId w:val="4"/>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mirrorMargins w:val="1"/>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FjZGUyM2M2NzNmNTZhOWJhMzJmYjhmMDAwOGY2YWUifQ=="/>
  </w:docVars>
  <w:rsids>
    <w:rsidRoot w:val="00172A27"/>
    <w:rsid w:val="00000244"/>
    <w:rsid w:val="0000185F"/>
    <w:rsid w:val="00001FD1"/>
    <w:rsid w:val="000038C2"/>
    <w:rsid w:val="000041F3"/>
    <w:rsid w:val="000045BC"/>
    <w:rsid w:val="000051F3"/>
    <w:rsid w:val="00005703"/>
    <w:rsid w:val="0000586F"/>
    <w:rsid w:val="00005AD0"/>
    <w:rsid w:val="00006167"/>
    <w:rsid w:val="00006EAE"/>
    <w:rsid w:val="00006F0D"/>
    <w:rsid w:val="00007DF1"/>
    <w:rsid w:val="000104DB"/>
    <w:rsid w:val="000106DF"/>
    <w:rsid w:val="000114DA"/>
    <w:rsid w:val="00011CD4"/>
    <w:rsid w:val="0001210E"/>
    <w:rsid w:val="00012456"/>
    <w:rsid w:val="000126A7"/>
    <w:rsid w:val="000131D5"/>
    <w:rsid w:val="00013276"/>
    <w:rsid w:val="00013D86"/>
    <w:rsid w:val="00013E02"/>
    <w:rsid w:val="000149CB"/>
    <w:rsid w:val="00014B4D"/>
    <w:rsid w:val="0001571E"/>
    <w:rsid w:val="0001613A"/>
    <w:rsid w:val="000167DA"/>
    <w:rsid w:val="00016A4C"/>
    <w:rsid w:val="00017B37"/>
    <w:rsid w:val="0002083A"/>
    <w:rsid w:val="00020F3E"/>
    <w:rsid w:val="0002143C"/>
    <w:rsid w:val="00021A74"/>
    <w:rsid w:val="000224ED"/>
    <w:rsid w:val="00022743"/>
    <w:rsid w:val="00022F68"/>
    <w:rsid w:val="00023F6C"/>
    <w:rsid w:val="00024544"/>
    <w:rsid w:val="00025A65"/>
    <w:rsid w:val="00026631"/>
    <w:rsid w:val="00026C31"/>
    <w:rsid w:val="00027280"/>
    <w:rsid w:val="00027CBD"/>
    <w:rsid w:val="00031831"/>
    <w:rsid w:val="000320A7"/>
    <w:rsid w:val="00032AA5"/>
    <w:rsid w:val="000340AB"/>
    <w:rsid w:val="00035749"/>
    <w:rsid w:val="00035925"/>
    <w:rsid w:val="00035B86"/>
    <w:rsid w:val="000376A3"/>
    <w:rsid w:val="00040D6B"/>
    <w:rsid w:val="000422D8"/>
    <w:rsid w:val="00042F5A"/>
    <w:rsid w:val="00045342"/>
    <w:rsid w:val="000458DF"/>
    <w:rsid w:val="0004676A"/>
    <w:rsid w:val="00050024"/>
    <w:rsid w:val="0005021D"/>
    <w:rsid w:val="00050AE2"/>
    <w:rsid w:val="00051467"/>
    <w:rsid w:val="00051B46"/>
    <w:rsid w:val="00051F94"/>
    <w:rsid w:val="00052836"/>
    <w:rsid w:val="00052AE2"/>
    <w:rsid w:val="00053E13"/>
    <w:rsid w:val="00054A65"/>
    <w:rsid w:val="00055F2F"/>
    <w:rsid w:val="00056B8C"/>
    <w:rsid w:val="00057E61"/>
    <w:rsid w:val="000607E6"/>
    <w:rsid w:val="000618CB"/>
    <w:rsid w:val="000647B0"/>
    <w:rsid w:val="00065A35"/>
    <w:rsid w:val="000670BC"/>
    <w:rsid w:val="000670DA"/>
    <w:rsid w:val="00067CDF"/>
    <w:rsid w:val="00070475"/>
    <w:rsid w:val="000707AC"/>
    <w:rsid w:val="00071985"/>
    <w:rsid w:val="0007227B"/>
    <w:rsid w:val="00072979"/>
    <w:rsid w:val="00074FBE"/>
    <w:rsid w:val="00077736"/>
    <w:rsid w:val="000779A3"/>
    <w:rsid w:val="00077B71"/>
    <w:rsid w:val="00077E8A"/>
    <w:rsid w:val="00077E94"/>
    <w:rsid w:val="00080502"/>
    <w:rsid w:val="00080DB6"/>
    <w:rsid w:val="00081D39"/>
    <w:rsid w:val="00081DF5"/>
    <w:rsid w:val="00081E44"/>
    <w:rsid w:val="0008317C"/>
    <w:rsid w:val="00083487"/>
    <w:rsid w:val="00083A09"/>
    <w:rsid w:val="00083CFD"/>
    <w:rsid w:val="0008439F"/>
    <w:rsid w:val="00084665"/>
    <w:rsid w:val="00084941"/>
    <w:rsid w:val="00085647"/>
    <w:rsid w:val="00085F75"/>
    <w:rsid w:val="00086B9C"/>
    <w:rsid w:val="00087369"/>
    <w:rsid w:val="0009005E"/>
    <w:rsid w:val="000903A1"/>
    <w:rsid w:val="000904A1"/>
    <w:rsid w:val="0009129E"/>
    <w:rsid w:val="000922B3"/>
    <w:rsid w:val="00092857"/>
    <w:rsid w:val="000930F1"/>
    <w:rsid w:val="00093D19"/>
    <w:rsid w:val="000941E8"/>
    <w:rsid w:val="00094440"/>
    <w:rsid w:val="00095EDC"/>
    <w:rsid w:val="00097A05"/>
    <w:rsid w:val="000A1CC1"/>
    <w:rsid w:val="000A20A9"/>
    <w:rsid w:val="000A20B1"/>
    <w:rsid w:val="000A28E1"/>
    <w:rsid w:val="000A37D0"/>
    <w:rsid w:val="000A3885"/>
    <w:rsid w:val="000A48B1"/>
    <w:rsid w:val="000A4CE2"/>
    <w:rsid w:val="000A6E08"/>
    <w:rsid w:val="000A74B2"/>
    <w:rsid w:val="000B0077"/>
    <w:rsid w:val="000B0D77"/>
    <w:rsid w:val="000B1515"/>
    <w:rsid w:val="000B28C1"/>
    <w:rsid w:val="000B3143"/>
    <w:rsid w:val="000B4064"/>
    <w:rsid w:val="000B44E8"/>
    <w:rsid w:val="000B539E"/>
    <w:rsid w:val="000B5B75"/>
    <w:rsid w:val="000B6178"/>
    <w:rsid w:val="000B6E51"/>
    <w:rsid w:val="000B6F5C"/>
    <w:rsid w:val="000B70B8"/>
    <w:rsid w:val="000B7ABE"/>
    <w:rsid w:val="000B7BBD"/>
    <w:rsid w:val="000C0D65"/>
    <w:rsid w:val="000C155D"/>
    <w:rsid w:val="000C161F"/>
    <w:rsid w:val="000C28BF"/>
    <w:rsid w:val="000C5437"/>
    <w:rsid w:val="000C6616"/>
    <w:rsid w:val="000C6B05"/>
    <w:rsid w:val="000C6DA7"/>
    <w:rsid w:val="000C6DD6"/>
    <w:rsid w:val="000C73D4"/>
    <w:rsid w:val="000C74BE"/>
    <w:rsid w:val="000C7B36"/>
    <w:rsid w:val="000D03FC"/>
    <w:rsid w:val="000D11CC"/>
    <w:rsid w:val="000D1C3A"/>
    <w:rsid w:val="000D206D"/>
    <w:rsid w:val="000D2CF3"/>
    <w:rsid w:val="000D3C99"/>
    <w:rsid w:val="000D3D4C"/>
    <w:rsid w:val="000D44A6"/>
    <w:rsid w:val="000D4C8D"/>
    <w:rsid w:val="000D4F51"/>
    <w:rsid w:val="000D5A7C"/>
    <w:rsid w:val="000D5FB4"/>
    <w:rsid w:val="000D718B"/>
    <w:rsid w:val="000D735E"/>
    <w:rsid w:val="000D7DE5"/>
    <w:rsid w:val="000E0C46"/>
    <w:rsid w:val="000E202F"/>
    <w:rsid w:val="000E23F9"/>
    <w:rsid w:val="000E2BE5"/>
    <w:rsid w:val="000E4C11"/>
    <w:rsid w:val="000E4E4D"/>
    <w:rsid w:val="000E663A"/>
    <w:rsid w:val="000E6D1D"/>
    <w:rsid w:val="000E6F28"/>
    <w:rsid w:val="000E7874"/>
    <w:rsid w:val="000F030C"/>
    <w:rsid w:val="000F129C"/>
    <w:rsid w:val="000F2829"/>
    <w:rsid w:val="000F3944"/>
    <w:rsid w:val="000F4737"/>
    <w:rsid w:val="000F541B"/>
    <w:rsid w:val="000F7C27"/>
    <w:rsid w:val="000F7F4A"/>
    <w:rsid w:val="00100C31"/>
    <w:rsid w:val="00101A79"/>
    <w:rsid w:val="00102F17"/>
    <w:rsid w:val="00104737"/>
    <w:rsid w:val="001056DE"/>
    <w:rsid w:val="0011022C"/>
    <w:rsid w:val="00110D99"/>
    <w:rsid w:val="00110F96"/>
    <w:rsid w:val="001124C0"/>
    <w:rsid w:val="001135E1"/>
    <w:rsid w:val="0011569C"/>
    <w:rsid w:val="00115F3D"/>
    <w:rsid w:val="001168C1"/>
    <w:rsid w:val="00116BCD"/>
    <w:rsid w:val="00117DA1"/>
    <w:rsid w:val="00120E09"/>
    <w:rsid w:val="00122345"/>
    <w:rsid w:val="00122CD8"/>
    <w:rsid w:val="001230AA"/>
    <w:rsid w:val="0012413B"/>
    <w:rsid w:val="001260DC"/>
    <w:rsid w:val="0012785A"/>
    <w:rsid w:val="001300B6"/>
    <w:rsid w:val="00130F14"/>
    <w:rsid w:val="00131096"/>
    <w:rsid w:val="0013175F"/>
    <w:rsid w:val="00131B0D"/>
    <w:rsid w:val="00131FE5"/>
    <w:rsid w:val="001349E0"/>
    <w:rsid w:val="00135CFC"/>
    <w:rsid w:val="00135EAB"/>
    <w:rsid w:val="00140C38"/>
    <w:rsid w:val="0014163F"/>
    <w:rsid w:val="00141F35"/>
    <w:rsid w:val="00143D18"/>
    <w:rsid w:val="00145402"/>
    <w:rsid w:val="00145A77"/>
    <w:rsid w:val="00146EEB"/>
    <w:rsid w:val="0014710E"/>
    <w:rsid w:val="001472AA"/>
    <w:rsid w:val="00147DBF"/>
    <w:rsid w:val="00147FB0"/>
    <w:rsid w:val="0015047D"/>
    <w:rsid w:val="001512B4"/>
    <w:rsid w:val="00152253"/>
    <w:rsid w:val="00152358"/>
    <w:rsid w:val="001523E2"/>
    <w:rsid w:val="0015484A"/>
    <w:rsid w:val="00155026"/>
    <w:rsid w:val="00155F88"/>
    <w:rsid w:val="001565E5"/>
    <w:rsid w:val="00156EF6"/>
    <w:rsid w:val="0015737F"/>
    <w:rsid w:val="00157402"/>
    <w:rsid w:val="0015774D"/>
    <w:rsid w:val="00161363"/>
    <w:rsid w:val="001620A5"/>
    <w:rsid w:val="001628FF"/>
    <w:rsid w:val="00164E53"/>
    <w:rsid w:val="0016537B"/>
    <w:rsid w:val="0016682B"/>
    <w:rsid w:val="001668BE"/>
    <w:rsid w:val="0016699D"/>
    <w:rsid w:val="00166B00"/>
    <w:rsid w:val="00167B85"/>
    <w:rsid w:val="00171704"/>
    <w:rsid w:val="001727BA"/>
    <w:rsid w:val="00172901"/>
    <w:rsid w:val="00172A27"/>
    <w:rsid w:val="001741C1"/>
    <w:rsid w:val="00175159"/>
    <w:rsid w:val="00175F35"/>
    <w:rsid w:val="001761C8"/>
    <w:rsid w:val="00176208"/>
    <w:rsid w:val="001769C4"/>
    <w:rsid w:val="001800CC"/>
    <w:rsid w:val="001807F4"/>
    <w:rsid w:val="00180B9E"/>
    <w:rsid w:val="00181A9E"/>
    <w:rsid w:val="0018211B"/>
    <w:rsid w:val="00182DCC"/>
    <w:rsid w:val="00182FE1"/>
    <w:rsid w:val="001840D3"/>
    <w:rsid w:val="00185123"/>
    <w:rsid w:val="001852E8"/>
    <w:rsid w:val="00185E0F"/>
    <w:rsid w:val="00185E2E"/>
    <w:rsid w:val="00187027"/>
    <w:rsid w:val="0018755F"/>
    <w:rsid w:val="001877EF"/>
    <w:rsid w:val="00187805"/>
    <w:rsid w:val="001900F8"/>
    <w:rsid w:val="00190663"/>
    <w:rsid w:val="00191258"/>
    <w:rsid w:val="00192680"/>
    <w:rsid w:val="00193037"/>
    <w:rsid w:val="00193A2C"/>
    <w:rsid w:val="00195274"/>
    <w:rsid w:val="0019573C"/>
    <w:rsid w:val="001959F0"/>
    <w:rsid w:val="00195DAE"/>
    <w:rsid w:val="00196681"/>
    <w:rsid w:val="001A0353"/>
    <w:rsid w:val="001A0802"/>
    <w:rsid w:val="001A196E"/>
    <w:rsid w:val="001A1CB7"/>
    <w:rsid w:val="001A288E"/>
    <w:rsid w:val="001A3B49"/>
    <w:rsid w:val="001A403B"/>
    <w:rsid w:val="001A502C"/>
    <w:rsid w:val="001A5341"/>
    <w:rsid w:val="001B01A0"/>
    <w:rsid w:val="001B15AC"/>
    <w:rsid w:val="001B164E"/>
    <w:rsid w:val="001B21DE"/>
    <w:rsid w:val="001B249B"/>
    <w:rsid w:val="001B32CC"/>
    <w:rsid w:val="001B3961"/>
    <w:rsid w:val="001B4377"/>
    <w:rsid w:val="001B4DBB"/>
    <w:rsid w:val="001B5616"/>
    <w:rsid w:val="001B690F"/>
    <w:rsid w:val="001B6DC2"/>
    <w:rsid w:val="001B76E5"/>
    <w:rsid w:val="001B7C84"/>
    <w:rsid w:val="001C00DD"/>
    <w:rsid w:val="001C0157"/>
    <w:rsid w:val="001C01ED"/>
    <w:rsid w:val="001C0216"/>
    <w:rsid w:val="001C0501"/>
    <w:rsid w:val="001C12A1"/>
    <w:rsid w:val="001C149C"/>
    <w:rsid w:val="001C1C31"/>
    <w:rsid w:val="001C21AC"/>
    <w:rsid w:val="001C2D43"/>
    <w:rsid w:val="001C3012"/>
    <w:rsid w:val="001C30D7"/>
    <w:rsid w:val="001C40C8"/>
    <w:rsid w:val="001C45BE"/>
    <w:rsid w:val="001C47BA"/>
    <w:rsid w:val="001C59EA"/>
    <w:rsid w:val="001C62D5"/>
    <w:rsid w:val="001C66C7"/>
    <w:rsid w:val="001C6E1A"/>
    <w:rsid w:val="001C78A4"/>
    <w:rsid w:val="001C7D29"/>
    <w:rsid w:val="001D0F16"/>
    <w:rsid w:val="001D0FDD"/>
    <w:rsid w:val="001D18FE"/>
    <w:rsid w:val="001D3C00"/>
    <w:rsid w:val="001D406C"/>
    <w:rsid w:val="001D41EE"/>
    <w:rsid w:val="001D5888"/>
    <w:rsid w:val="001D5CCE"/>
    <w:rsid w:val="001D5E66"/>
    <w:rsid w:val="001D689F"/>
    <w:rsid w:val="001D7281"/>
    <w:rsid w:val="001E0380"/>
    <w:rsid w:val="001E0AFF"/>
    <w:rsid w:val="001E13B1"/>
    <w:rsid w:val="001E2D72"/>
    <w:rsid w:val="001E3F3E"/>
    <w:rsid w:val="001E4206"/>
    <w:rsid w:val="001E4240"/>
    <w:rsid w:val="001E5113"/>
    <w:rsid w:val="001E74D5"/>
    <w:rsid w:val="001E79C6"/>
    <w:rsid w:val="001F2B94"/>
    <w:rsid w:val="001F3134"/>
    <w:rsid w:val="001F3725"/>
    <w:rsid w:val="001F3A19"/>
    <w:rsid w:val="001F3C56"/>
    <w:rsid w:val="001F4B3D"/>
    <w:rsid w:val="001F5CDA"/>
    <w:rsid w:val="001F63DC"/>
    <w:rsid w:val="001F69B9"/>
    <w:rsid w:val="001F6A6D"/>
    <w:rsid w:val="001F7249"/>
    <w:rsid w:val="001F7402"/>
    <w:rsid w:val="002009EB"/>
    <w:rsid w:val="002014A4"/>
    <w:rsid w:val="00202CCE"/>
    <w:rsid w:val="00202DF4"/>
    <w:rsid w:val="002030B4"/>
    <w:rsid w:val="0020416F"/>
    <w:rsid w:val="00204EFC"/>
    <w:rsid w:val="00205210"/>
    <w:rsid w:val="00205971"/>
    <w:rsid w:val="0020710B"/>
    <w:rsid w:val="00207232"/>
    <w:rsid w:val="0020728A"/>
    <w:rsid w:val="00210A08"/>
    <w:rsid w:val="00210CA2"/>
    <w:rsid w:val="00213122"/>
    <w:rsid w:val="00213EB0"/>
    <w:rsid w:val="00215E9C"/>
    <w:rsid w:val="002178E8"/>
    <w:rsid w:val="00222F26"/>
    <w:rsid w:val="002233B4"/>
    <w:rsid w:val="0022365F"/>
    <w:rsid w:val="002239DB"/>
    <w:rsid w:val="00223A6C"/>
    <w:rsid w:val="00224AED"/>
    <w:rsid w:val="002255EC"/>
    <w:rsid w:val="00230CF0"/>
    <w:rsid w:val="002322EC"/>
    <w:rsid w:val="00234467"/>
    <w:rsid w:val="00234990"/>
    <w:rsid w:val="00234A6A"/>
    <w:rsid w:val="002358B5"/>
    <w:rsid w:val="0023648A"/>
    <w:rsid w:val="00236B08"/>
    <w:rsid w:val="00236B4E"/>
    <w:rsid w:val="00237CBE"/>
    <w:rsid w:val="00237D8D"/>
    <w:rsid w:val="0024016F"/>
    <w:rsid w:val="00240651"/>
    <w:rsid w:val="00241DA2"/>
    <w:rsid w:val="00243EAE"/>
    <w:rsid w:val="0024462D"/>
    <w:rsid w:val="00244A20"/>
    <w:rsid w:val="00244E7D"/>
    <w:rsid w:val="002458EC"/>
    <w:rsid w:val="00247FEE"/>
    <w:rsid w:val="00250299"/>
    <w:rsid w:val="00250D67"/>
    <w:rsid w:val="00250E7D"/>
    <w:rsid w:val="00251172"/>
    <w:rsid w:val="002514D5"/>
    <w:rsid w:val="002522EA"/>
    <w:rsid w:val="00252A05"/>
    <w:rsid w:val="00253649"/>
    <w:rsid w:val="0025368F"/>
    <w:rsid w:val="00253EFD"/>
    <w:rsid w:val="002549BA"/>
    <w:rsid w:val="00254ECF"/>
    <w:rsid w:val="00254FA3"/>
    <w:rsid w:val="00255403"/>
    <w:rsid w:val="002565D5"/>
    <w:rsid w:val="00257717"/>
    <w:rsid w:val="0026048D"/>
    <w:rsid w:val="00261442"/>
    <w:rsid w:val="00262159"/>
    <w:rsid w:val="002622C0"/>
    <w:rsid w:val="00263B45"/>
    <w:rsid w:val="00265106"/>
    <w:rsid w:val="002653EB"/>
    <w:rsid w:val="002654C3"/>
    <w:rsid w:val="00266D61"/>
    <w:rsid w:val="00267E18"/>
    <w:rsid w:val="002716EA"/>
    <w:rsid w:val="00273102"/>
    <w:rsid w:val="0027419B"/>
    <w:rsid w:val="00275E44"/>
    <w:rsid w:val="002763C1"/>
    <w:rsid w:val="0027661C"/>
    <w:rsid w:val="00276E78"/>
    <w:rsid w:val="002778AE"/>
    <w:rsid w:val="00280237"/>
    <w:rsid w:val="00280521"/>
    <w:rsid w:val="00280678"/>
    <w:rsid w:val="00281397"/>
    <w:rsid w:val="002824B5"/>
    <w:rsid w:val="0028269A"/>
    <w:rsid w:val="00282CD4"/>
    <w:rsid w:val="00282F39"/>
    <w:rsid w:val="00283590"/>
    <w:rsid w:val="00284F6B"/>
    <w:rsid w:val="0028594E"/>
    <w:rsid w:val="00286973"/>
    <w:rsid w:val="002905CA"/>
    <w:rsid w:val="002919A8"/>
    <w:rsid w:val="00291EB6"/>
    <w:rsid w:val="00294E70"/>
    <w:rsid w:val="00296397"/>
    <w:rsid w:val="002968C3"/>
    <w:rsid w:val="002A096A"/>
    <w:rsid w:val="002A13B8"/>
    <w:rsid w:val="002A1924"/>
    <w:rsid w:val="002A20F4"/>
    <w:rsid w:val="002A2B22"/>
    <w:rsid w:val="002A2B6A"/>
    <w:rsid w:val="002A36AB"/>
    <w:rsid w:val="002A3EB6"/>
    <w:rsid w:val="002A704E"/>
    <w:rsid w:val="002A7420"/>
    <w:rsid w:val="002A7988"/>
    <w:rsid w:val="002B025E"/>
    <w:rsid w:val="002B081A"/>
    <w:rsid w:val="002B0F12"/>
    <w:rsid w:val="002B1308"/>
    <w:rsid w:val="002B3377"/>
    <w:rsid w:val="002B3B8E"/>
    <w:rsid w:val="002B4554"/>
    <w:rsid w:val="002B5A00"/>
    <w:rsid w:val="002B6212"/>
    <w:rsid w:val="002B631C"/>
    <w:rsid w:val="002B6F3F"/>
    <w:rsid w:val="002B77FF"/>
    <w:rsid w:val="002B7E7E"/>
    <w:rsid w:val="002C2E75"/>
    <w:rsid w:val="002C2F60"/>
    <w:rsid w:val="002C35F0"/>
    <w:rsid w:val="002C4021"/>
    <w:rsid w:val="002C44D9"/>
    <w:rsid w:val="002C4712"/>
    <w:rsid w:val="002C5096"/>
    <w:rsid w:val="002C51C0"/>
    <w:rsid w:val="002C649D"/>
    <w:rsid w:val="002C72D8"/>
    <w:rsid w:val="002C7A16"/>
    <w:rsid w:val="002D0856"/>
    <w:rsid w:val="002D11FA"/>
    <w:rsid w:val="002D1663"/>
    <w:rsid w:val="002D22D6"/>
    <w:rsid w:val="002D286A"/>
    <w:rsid w:val="002D36FA"/>
    <w:rsid w:val="002D5A2C"/>
    <w:rsid w:val="002D6DAA"/>
    <w:rsid w:val="002D773E"/>
    <w:rsid w:val="002E00FC"/>
    <w:rsid w:val="002E01E8"/>
    <w:rsid w:val="002E0278"/>
    <w:rsid w:val="002E0DDF"/>
    <w:rsid w:val="002E1ED1"/>
    <w:rsid w:val="002E20ED"/>
    <w:rsid w:val="002E2906"/>
    <w:rsid w:val="002E2B89"/>
    <w:rsid w:val="002E363B"/>
    <w:rsid w:val="002E4B07"/>
    <w:rsid w:val="002E5635"/>
    <w:rsid w:val="002E596A"/>
    <w:rsid w:val="002E64C3"/>
    <w:rsid w:val="002E6A2C"/>
    <w:rsid w:val="002E6AE4"/>
    <w:rsid w:val="002E6FEE"/>
    <w:rsid w:val="002F03FD"/>
    <w:rsid w:val="002F1470"/>
    <w:rsid w:val="002F1D8C"/>
    <w:rsid w:val="002F1F8E"/>
    <w:rsid w:val="002F21DA"/>
    <w:rsid w:val="002F29C4"/>
    <w:rsid w:val="002F2C0B"/>
    <w:rsid w:val="002F5261"/>
    <w:rsid w:val="002F6BC5"/>
    <w:rsid w:val="002F7DD9"/>
    <w:rsid w:val="00300F98"/>
    <w:rsid w:val="00301321"/>
    <w:rsid w:val="00301F39"/>
    <w:rsid w:val="003023FB"/>
    <w:rsid w:val="00302552"/>
    <w:rsid w:val="00303034"/>
    <w:rsid w:val="00303040"/>
    <w:rsid w:val="003030AA"/>
    <w:rsid w:val="0030333C"/>
    <w:rsid w:val="00303DAE"/>
    <w:rsid w:val="003060B3"/>
    <w:rsid w:val="0030768A"/>
    <w:rsid w:val="00307EAC"/>
    <w:rsid w:val="0031085C"/>
    <w:rsid w:val="0031123E"/>
    <w:rsid w:val="003135C3"/>
    <w:rsid w:val="003142C0"/>
    <w:rsid w:val="00314376"/>
    <w:rsid w:val="00316724"/>
    <w:rsid w:val="00316A14"/>
    <w:rsid w:val="00317051"/>
    <w:rsid w:val="0031752B"/>
    <w:rsid w:val="00320A01"/>
    <w:rsid w:val="00320C0A"/>
    <w:rsid w:val="0032162C"/>
    <w:rsid w:val="00322056"/>
    <w:rsid w:val="00322DFE"/>
    <w:rsid w:val="00323ED4"/>
    <w:rsid w:val="003244C9"/>
    <w:rsid w:val="0032488E"/>
    <w:rsid w:val="00325926"/>
    <w:rsid w:val="00327A8A"/>
    <w:rsid w:val="003309EF"/>
    <w:rsid w:val="00330B24"/>
    <w:rsid w:val="00330B80"/>
    <w:rsid w:val="00332D1C"/>
    <w:rsid w:val="003347BA"/>
    <w:rsid w:val="003348F3"/>
    <w:rsid w:val="00335535"/>
    <w:rsid w:val="00335FF2"/>
    <w:rsid w:val="00336610"/>
    <w:rsid w:val="00340342"/>
    <w:rsid w:val="0034084B"/>
    <w:rsid w:val="00343F73"/>
    <w:rsid w:val="00343FAD"/>
    <w:rsid w:val="0034406D"/>
    <w:rsid w:val="00344515"/>
    <w:rsid w:val="00345060"/>
    <w:rsid w:val="00345BA6"/>
    <w:rsid w:val="00350987"/>
    <w:rsid w:val="00350BF9"/>
    <w:rsid w:val="00350FA1"/>
    <w:rsid w:val="00351566"/>
    <w:rsid w:val="00351B45"/>
    <w:rsid w:val="00352170"/>
    <w:rsid w:val="00352B9B"/>
    <w:rsid w:val="0035323B"/>
    <w:rsid w:val="00353277"/>
    <w:rsid w:val="00355041"/>
    <w:rsid w:val="003561EC"/>
    <w:rsid w:val="003564E0"/>
    <w:rsid w:val="003565AF"/>
    <w:rsid w:val="00356A74"/>
    <w:rsid w:val="00357A64"/>
    <w:rsid w:val="003609D2"/>
    <w:rsid w:val="0036183A"/>
    <w:rsid w:val="0036378B"/>
    <w:rsid w:val="00363F22"/>
    <w:rsid w:val="003646FD"/>
    <w:rsid w:val="00365A64"/>
    <w:rsid w:val="00366A83"/>
    <w:rsid w:val="00367428"/>
    <w:rsid w:val="00367983"/>
    <w:rsid w:val="00367F9E"/>
    <w:rsid w:val="00370F0C"/>
    <w:rsid w:val="003729C1"/>
    <w:rsid w:val="00374C61"/>
    <w:rsid w:val="003751B6"/>
    <w:rsid w:val="00375564"/>
    <w:rsid w:val="00376088"/>
    <w:rsid w:val="00377B31"/>
    <w:rsid w:val="0038069F"/>
    <w:rsid w:val="00383191"/>
    <w:rsid w:val="003840DB"/>
    <w:rsid w:val="00384226"/>
    <w:rsid w:val="00386755"/>
    <w:rsid w:val="00386AD9"/>
    <w:rsid w:val="00386DED"/>
    <w:rsid w:val="0038703E"/>
    <w:rsid w:val="0038723C"/>
    <w:rsid w:val="00387749"/>
    <w:rsid w:val="00390C73"/>
    <w:rsid w:val="003912E7"/>
    <w:rsid w:val="00393236"/>
    <w:rsid w:val="00393947"/>
    <w:rsid w:val="00393BFB"/>
    <w:rsid w:val="0039438A"/>
    <w:rsid w:val="00395DBC"/>
    <w:rsid w:val="003961E2"/>
    <w:rsid w:val="0039641B"/>
    <w:rsid w:val="003964FB"/>
    <w:rsid w:val="003A0746"/>
    <w:rsid w:val="003A16CA"/>
    <w:rsid w:val="003A198E"/>
    <w:rsid w:val="003A2275"/>
    <w:rsid w:val="003A2F32"/>
    <w:rsid w:val="003A4B55"/>
    <w:rsid w:val="003A5095"/>
    <w:rsid w:val="003A54B1"/>
    <w:rsid w:val="003A561F"/>
    <w:rsid w:val="003A6A4F"/>
    <w:rsid w:val="003A7088"/>
    <w:rsid w:val="003A72BF"/>
    <w:rsid w:val="003A7B13"/>
    <w:rsid w:val="003B00DF"/>
    <w:rsid w:val="003B1275"/>
    <w:rsid w:val="003B1778"/>
    <w:rsid w:val="003B1F5A"/>
    <w:rsid w:val="003B22C2"/>
    <w:rsid w:val="003B3AEC"/>
    <w:rsid w:val="003B54CC"/>
    <w:rsid w:val="003B6646"/>
    <w:rsid w:val="003B6A7B"/>
    <w:rsid w:val="003B7ACA"/>
    <w:rsid w:val="003C1177"/>
    <w:rsid w:val="003C11CB"/>
    <w:rsid w:val="003C349B"/>
    <w:rsid w:val="003C4004"/>
    <w:rsid w:val="003C47D4"/>
    <w:rsid w:val="003C4DB7"/>
    <w:rsid w:val="003C4F3B"/>
    <w:rsid w:val="003C59EA"/>
    <w:rsid w:val="003C75F3"/>
    <w:rsid w:val="003C78A3"/>
    <w:rsid w:val="003D1281"/>
    <w:rsid w:val="003D19BC"/>
    <w:rsid w:val="003D2CF0"/>
    <w:rsid w:val="003D34D7"/>
    <w:rsid w:val="003D41E5"/>
    <w:rsid w:val="003D599F"/>
    <w:rsid w:val="003D59C4"/>
    <w:rsid w:val="003D60AE"/>
    <w:rsid w:val="003D66B6"/>
    <w:rsid w:val="003D7ADA"/>
    <w:rsid w:val="003E0AB2"/>
    <w:rsid w:val="003E112B"/>
    <w:rsid w:val="003E153D"/>
    <w:rsid w:val="003E1867"/>
    <w:rsid w:val="003E37B0"/>
    <w:rsid w:val="003E55FE"/>
    <w:rsid w:val="003E5729"/>
    <w:rsid w:val="003F0D03"/>
    <w:rsid w:val="003F20E6"/>
    <w:rsid w:val="003F38EA"/>
    <w:rsid w:val="003F3D0D"/>
    <w:rsid w:val="003F4EE0"/>
    <w:rsid w:val="003F738A"/>
    <w:rsid w:val="003F7C80"/>
    <w:rsid w:val="004003F4"/>
    <w:rsid w:val="004010CE"/>
    <w:rsid w:val="0040157B"/>
    <w:rsid w:val="00402153"/>
    <w:rsid w:val="00402FC1"/>
    <w:rsid w:val="0040354F"/>
    <w:rsid w:val="00411CA3"/>
    <w:rsid w:val="004128D2"/>
    <w:rsid w:val="00413602"/>
    <w:rsid w:val="004138E2"/>
    <w:rsid w:val="004149B6"/>
    <w:rsid w:val="004153BB"/>
    <w:rsid w:val="00415FB8"/>
    <w:rsid w:val="00417665"/>
    <w:rsid w:val="004201F2"/>
    <w:rsid w:val="004205FC"/>
    <w:rsid w:val="00420CA6"/>
    <w:rsid w:val="0042197D"/>
    <w:rsid w:val="00421C03"/>
    <w:rsid w:val="00421D4D"/>
    <w:rsid w:val="00422CE9"/>
    <w:rsid w:val="00423AB1"/>
    <w:rsid w:val="004240FE"/>
    <w:rsid w:val="00424162"/>
    <w:rsid w:val="00424807"/>
    <w:rsid w:val="00425082"/>
    <w:rsid w:val="004261DC"/>
    <w:rsid w:val="004273E4"/>
    <w:rsid w:val="00430A76"/>
    <w:rsid w:val="004312C7"/>
    <w:rsid w:val="0043191F"/>
    <w:rsid w:val="00431B4C"/>
    <w:rsid w:val="00431DEB"/>
    <w:rsid w:val="00432682"/>
    <w:rsid w:val="00432F49"/>
    <w:rsid w:val="004334F5"/>
    <w:rsid w:val="00433D16"/>
    <w:rsid w:val="00434D9B"/>
    <w:rsid w:val="004350B9"/>
    <w:rsid w:val="004351DE"/>
    <w:rsid w:val="00436416"/>
    <w:rsid w:val="00437308"/>
    <w:rsid w:val="00437638"/>
    <w:rsid w:val="00441F79"/>
    <w:rsid w:val="00442B5F"/>
    <w:rsid w:val="00443BA6"/>
    <w:rsid w:val="0044401B"/>
    <w:rsid w:val="00446B29"/>
    <w:rsid w:val="00447E53"/>
    <w:rsid w:val="0045275A"/>
    <w:rsid w:val="00453611"/>
    <w:rsid w:val="00453F9A"/>
    <w:rsid w:val="00455F28"/>
    <w:rsid w:val="004568A6"/>
    <w:rsid w:val="00456988"/>
    <w:rsid w:val="00457105"/>
    <w:rsid w:val="00460AD5"/>
    <w:rsid w:val="0046108D"/>
    <w:rsid w:val="00461E24"/>
    <w:rsid w:val="004635B1"/>
    <w:rsid w:val="00464219"/>
    <w:rsid w:val="00464A0F"/>
    <w:rsid w:val="004653D9"/>
    <w:rsid w:val="00466694"/>
    <w:rsid w:val="0046670D"/>
    <w:rsid w:val="00466AEB"/>
    <w:rsid w:val="0046772D"/>
    <w:rsid w:val="00470B76"/>
    <w:rsid w:val="00471E91"/>
    <w:rsid w:val="00472308"/>
    <w:rsid w:val="00472762"/>
    <w:rsid w:val="00472822"/>
    <w:rsid w:val="00474675"/>
    <w:rsid w:val="0047470C"/>
    <w:rsid w:val="004778B7"/>
    <w:rsid w:val="00477A86"/>
    <w:rsid w:val="004808E8"/>
    <w:rsid w:val="004809E1"/>
    <w:rsid w:val="00484364"/>
    <w:rsid w:val="0048522F"/>
    <w:rsid w:val="004854BB"/>
    <w:rsid w:val="00485DCB"/>
    <w:rsid w:val="00487FF3"/>
    <w:rsid w:val="00490AA4"/>
    <w:rsid w:val="00490BD9"/>
    <w:rsid w:val="0049165A"/>
    <w:rsid w:val="00491D81"/>
    <w:rsid w:val="0049269D"/>
    <w:rsid w:val="00493692"/>
    <w:rsid w:val="00493699"/>
    <w:rsid w:val="00494CF2"/>
    <w:rsid w:val="00495290"/>
    <w:rsid w:val="00495889"/>
    <w:rsid w:val="0049662E"/>
    <w:rsid w:val="00497A1B"/>
    <w:rsid w:val="00497D41"/>
    <w:rsid w:val="00497EEE"/>
    <w:rsid w:val="004A09C2"/>
    <w:rsid w:val="004A0D7F"/>
    <w:rsid w:val="004A2F78"/>
    <w:rsid w:val="004A35F9"/>
    <w:rsid w:val="004A4C7A"/>
    <w:rsid w:val="004A5C72"/>
    <w:rsid w:val="004A6367"/>
    <w:rsid w:val="004B0805"/>
    <w:rsid w:val="004B0B67"/>
    <w:rsid w:val="004B24C1"/>
    <w:rsid w:val="004B461B"/>
    <w:rsid w:val="004B5405"/>
    <w:rsid w:val="004B5A49"/>
    <w:rsid w:val="004B7345"/>
    <w:rsid w:val="004C19E9"/>
    <w:rsid w:val="004C228F"/>
    <w:rsid w:val="004C292F"/>
    <w:rsid w:val="004C2DD7"/>
    <w:rsid w:val="004C4141"/>
    <w:rsid w:val="004C5DD7"/>
    <w:rsid w:val="004C6670"/>
    <w:rsid w:val="004C6C7A"/>
    <w:rsid w:val="004C7BBA"/>
    <w:rsid w:val="004D0E75"/>
    <w:rsid w:val="004D3007"/>
    <w:rsid w:val="004D34CC"/>
    <w:rsid w:val="004D3C05"/>
    <w:rsid w:val="004D535A"/>
    <w:rsid w:val="004D539D"/>
    <w:rsid w:val="004D6238"/>
    <w:rsid w:val="004D7C2A"/>
    <w:rsid w:val="004D7EE6"/>
    <w:rsid w:val="004E0163"/>
    <w:rsid w:val="004E19F2"/>
    <w:rsid w:val="004E1CBB"/>
    <w:rsid w:val="004E1DC5"/>
    <w:rsid w:val="004E36E7"/>
    <w:rsid w:val="004E3ADA"/>
    <w:rsid w:val="004E3DA9"/>
    <w:rsid w:val="004E4168"/>
    <w:rsid w:val="004E5159"/>
    <w:rsid w:val="004E7A8A"/>
    <w:rsid w:val="004F0CF7"/>
    <w:rsid w:val="004F10EF"/>
    <w:rsid w:val="004F1D1E"/>
    <w:rsid w:val="004F6993"/>
    <w:rsid w:val="004F70F3"/>
    <w:rsid w:val="004F7B74"/>
    <w:rsid w:val="00500859"/>
    <w:rsid w:val="0050098B"/>
    <w:rsid w:val="0050189F"/>
    <w:rsid w:val="005019C6"/>
    <w:rsid w:val="00502F57"/>
    <w:rsid w:val="00502F63"/>
    <w:rsid w:val="005038AD"/>
    <w:rsid w:val="00503AA3"/>
    <w:rsid w:val="0050665B"/>
    <w:rsid w:val="00506C1D"/>
    <w:rsid w:val="00507B35"/>
    <w:rsid w:val="00510027"/>
    <w:rsid w:val="00510234"/>
    <w:rsid w:val="00510280"/>
    <w:rsid w:val="00510514"/>
    <w:rsid w:val="00511122"/>
    <w:rsid w:val="0051268B"/>
    <w:rsid w:val="00512B6F"/>
    <w:rsid w:val="00512EAA"/>
    <w:rsid w:val="00513D73"/>
    <w:rsid w:val="00513E18"/>
    <w:rsid w:val="00514A43"/>
    <w:rsid w:val="00514DE2"/>
    <w:rsid w:val="005174E5"/>
    <w:rsid w:val="00517B02"/>
    <w:rsid w:val="00521520"/>
    <w:rsid w:val="00521AAB"/>
    <w:rsid w:val="00522393"/>
    <w:rsid w:val="00522620"/>
    <w:rsid w:val="00523CE8"/>
    <w:rsid w:val="00523EB0"/>
    <w:rsid w:val="005241F5"/>
    <w:rsid w:val="00524E4E"/>
    <w:rsid w:val="00525420"/>
    <w:rsid w:val="00525656"/>
    <w:rsid w:val="0052585A"/>
    <w:rsid w:val="0052726A"/>
    <w:rsid w:val="005304F1"/>
    <w:rsid w:val="00530C06"/>
    <w:rsid w:val="00530EC3"/>
    <w:rsid w:val="005327BB"/>
    <w:rsid w:val="0053480B"/>
    <w:rsid w:val="00534C02"/>
    <w:rsid w:val="005404F3"/>
    <w:rsid w:val="0054080A"/>
    <w:rsid w:val="0054145C"/>
    <w:rsid w:val="0054264B"/>
    <w:rsid w:val="00542D62"/>
    <w:rsid w:val="00543786"/>
    <w:rsid w:val="00543B97"/>
    <w:rsid w:val="00545804"/>
    <w:rsid w:val="00545F3A"/>
    <w:rsid w:val="005467C0"/>
    <w:rsid w:val="005479EF"/>
    <w:rsid w:val="00550E0F"/>
    <w:rsid w:val="0055110E"/>
    <w:rsid w:val="00552B6F"/>
    <w:rsid w:val="005533D7"/>
    <w:rsid w:val="00553736"/>
    <w:rsid w:val="00554999"/>
    <w:rsid w:val="005552EB"/>
    <w:rsid w:val="00555E9F"/>
    <w:rsid w:val="005566A0"/>
    <w:rsid w:val="0055682B"/>
    <w:rsid w:val="0055717B"/>
    <w:rsid w:val="005576FA"/>
    <w:rsid w:val="00557D80"/>
    <w:rsid w:val="005606BD"/>
    <w:rsid w:val="00561287"/>
    <w:rsid w:val="005612AD"/>
    <w:rsid w:val="00561388"/>
    <w:rsid w:val="0056181C"/>
    <w:rsid w:val="00561C62"/>
    <w:rsid w:val="00562062"/>
    <w:rsid w:val="00562667"/>
    <w:rsid w:val="00563087"/>
    <w:rsid w:val="00563542"/>
    <w:rsid w:val="0056493D"/>
    <w:rsid w:val="005650F1"/>
    <w:rsid w:val="00565EE7"/>
    <w:rsid w:val="00566A6D"/>
    <w:rsid w:val="00567B69"/>
    <w:rsid w:val="00570065"/>
    <w:rsid w:val="005703DE"/>
    <w:rsid w:val="00571E5D"/>
    <w:rsid w:val="0057222F"/>
    <w:rsid w:val="00572278"/>
    <w:rsid w:val="00572FA7"/>
    <w:rsid w:val="00574897"/>
    <w:rsid w:val="00574D7B"/>
    <w:rsid w:val="005756C5"/>
    <w:rsid w:val="00576ED1"/>
    <w:rsid w:val="0057764B"/>
    <w:rsid w:val="0058097A"/>
    <w:rsid w:val="00581D20"/>
    <w:rsid w:val="00581F0C"/>
    <w:rsid w:val="00583D99"/>
    <w:rsid w:val="0058464E"/>
    <w:rsid w:val="0058514B"/>
    <w:rsid w:val="005873F0"/>
    <w:rsid w:val="0058795C"/>
    <w:rsid w:val="005909AB"/>
    <w:rsid w:val="005915C3"/>
    <w:rsid w:val="00591824"/>
    <w:rsid w:val="00593B48"/>
    <w:rsid w:val="00594CA6"/>
    <w:rsid w:val="00594D43"/>
    <w:rsid w:val="00594EF1"/>
    <w:rsid w:val="00595504"/>
    <w:rsid w:val="005A01CB"/>
    <w:rsid w:val="005A0C16"/>
    <w:rsid w:val="005A2828"/>
    <w:rsid w:val="005A3CCF"/>
    <w:rsid w:val="005A4277"/>
    <w:rsid w:val="005A44CD"/>
    <w:rsid w:val="005A44F7"/>
    <w:rsid w:val="005A4770"/>
    <w:rsid w:val="005A4878"/>
    <w:rsid w:val="005A58FF"/>
    <w:rsid w:val="005A59DF"/>
    <w:rsid w:val="005A5EAF"/>
    <w:rsid w:val="005A5EC8"/>
    <w:rsid w:val="005A64C0"/>
    <w:rsid w:val="005A76E8"/>
    <w:rsid w:val="005A7FBE"/>
    <w:rsid w:val="005B1A08"/>
    <w:rsid w:val="005B28F0"/>
    <w:rsid w:val="005B342B"/>
    <w:rsid w:val="005B3A5A"/>
    <w:rsid w:val="005B3C11"/>
    <w:rsid w:val="005B5661"/>
    <w:rsid w:val="005B589F"/>
    <w:rsid w:val="005B6268"/>
    <w:rsid w:val="005B7800"/>
    <w:rsid w:val="005C0538"/>
    <w:rsid w:val="005C1206"/>
    <w:rsid w:val="005C1C28"/>
    <w:rsid w:val="005C3817"/>
    <w:rsid w:val="005C3BB5"/>
    <w:rsid w:val="005C49B9"/>
    <w:rsid w:val="005C58F4"/>
    <w:rsid w:val="005C6DB5"/>
    <w:rsid w:val="005C6E38"/>
    <w:rsid w:val="005C7A7A"/>
    <w:rsid w:val="005D0300"/>
    <w:rsid w:val="005D09D9"/>
    <w:rsid w:val="005D18C4"/>
    <w:rsid w:val="005D2D04"/>
    <w:rsid w:val="005D3EE3"/>
    <w:rsid w:val="005D4941"/>
    <w:rsid w:val="005D5081"/>
    <w:rsid w:val="005D568F"/>
    <w:rsid w:val="005D6A17"/>
    <w:rsid w:val="005E19E7"/>
    <w:rsid w:val="005E23BB"/>
    <w:rsid w:val="005E2EF0"/>
    <w:rsid w:val="005E3FE8"/>
    <w:rsid w:val="005E5121"/>
    <w:rsid w:val="005E7D94"/>
    <w:rsid w:val="005F0D35"/>
    <w:rsid w:val="005F53B5"/>
    <w:rsid w:val="005F69D1"/>
    <w:rsid w:val="005F76C3"/>
    <w:rsid w:val="00600F27"/>
    <w:rsid w:val="006019B4"/>
    <w:rsid w:val="00602BE7"/>
    <w:rsid w:val="00602E15"/>
    <w:rsid w:val="00602EEB"/>
    <w:rsid w:val="0060344E"/>
    <w:rsid w:val="00603EDF"/>
    <w:rsid w:val="00604C8C"/>
    <w:rsid w:val="00605E04"/>
    <w:rsid w:val="0060609D"/>
    <w:rsid w:val="0060686F"/>
    <w:rsid w:val="00606CCF"/>
    <w:rsid w:val="00607425"/>
    <w:rsid w:val="00610031"/>
    <w:rsid w:val="00610C4D"/>
    <w:rsid w:val="0061257D"/>
    <w:rsid w:val="00612A16"/>
    <w:rsid w:val="00612BD5"/>
    <w:rsid w:val="00613755"/>
    <w:rsid w:val="00616CBC"/>
    <w:rsid w:val="0061716C"/>
    <w:rsid w:val="00623752"/>
    <w:rsid w:val="006241B1"/>
    <w:rsid w:val="006243A1"/>
    <w:rsid w:val="00624852"/>
    <w:rsid w:val="00624B28"/>
    <w:rsid w:val="00624E34"/>
    <w:rsid w:val="00625DB1"/>
    <w:rsid w:val="00631A78"/>
    <w:rsid w:val="00631D28"/>
    <w:rsid w:val="00631E5B"/>
    <w:rsid w:val="00632BDE"/>
    <w:rsid w:val="00632E56"/>
    <w:rsid w:val="00632E5A"/>
    <w:rsid w:val="006339F0"/>
    <w:rsid w:val="00633A50"/>
    <w:rsid w:val="00633E4C"/>
    <w:rsid w:val="00635CBA"/>
    <w:rsid w:val="0064080A"/>
    <w:rsid w:val="006413F3"/>
    <w:rsid w:val="00642855"/>
    <w:rsid w:val="0064338B"/>
    <w:rsid w:val="0064355C"/>
    <w:rsid w:val="00643988"/>
    <w:rsid w:val="006457DB"/>
    <w:rsid w:val="00646448"/>
    <w:rsid w:val="00646542"/>
    <w:rsid w:val="00650497"/>
    <w:rsid w:val="006504F4"/>
    <w:rsid w:val="00650BA2"/>
    <w:rsid w:val="006511D8"/>
    <w:rsid w:val="0065201C"/>
    <w:rsid w:val="00654588"/>
    <w:rsid w:val="00654B98"/>
    <w:rsid w:val="00654BC9"/>
    <w:rsid w:val="00654DA7"/>
    <w:rsid w:val="006552FD"/>
    <w:rsid w:val="00655343"/>
    <w:rsid w:val="006557D1"/>
    <w:rsid w:val="006563BE"/>
    <w:rsid w:val="00656408"/>
    <w:rsid w:val="0066203E"/>
    <w:rsid w:val="00663AF3"/>
    <w:rsid w:val="00664013"/>
    <w:rsid w:val="00665BE1"/>
    <w:rsid w:val="00665C37"/>
    <w:rsid w:val="00666B6C"/>
    <w:rsid w:val="00667571"/>
    <w:rsid w:val="006678B0"/>
    <w:rsid w:val="00670662"/>
    <w:rsid w:val="00670A17"/>
    <w:rsid w:val="00670A8E"/>
    <w:rsid w:val="0067215E"/>
    <w:rsid w:val="0067526D"/>
    <w:rsid w:val="00675D28"/>
    <w:rsid w:val="00675DB9"/>
    <w:rsid w:val="00677941"/>
    <w:rsid w:val="00677A2F"/>
    <w:rsid w:val="006808DE"/>
    <w:rsid w:val="00681E8A"/>
    <w:rsid w:val="00682682"/>
    <w:rsid w:val="00682702"/>
    <w:rsid w:val="00682A64"/>
    <w:rsid w:val="00682CAE"/>
    <w:rsid w:val="00682EA2"/>
    <w:rsid w:val="0068535B"/>
    <w:rsid w:val="00685C05"/>
    <w:rsid w:val="00685E45"/>
    <w:rsid w:val="00690C9B"/>
    <w:rsid w:val="006921CF"/>
    <w:rsid w:val="00692368"/>
    <w:rsid w:val="006927EA"/>
    <w:rsid w:val="0069307E"/>
    <w:rsid w:val="00693633"/>
    <w:rsid w:val="00695BB8"/>
    <w:rsid w:val="00696B3F"/>
    <w:rsid w:val="00697DE0"/>
    <w:rsid w:val="006A038C"/>
    <w:rsid w:val="006A1E94"/>
    <w:rsid w:val="006A2A8C"/>
    <w:rsid w:val="006A2C21"/>
    <w:rsid w:val="006A2EBC"/>
    <w:rsid w:val="006A33C2"/>
    <w:rsid w:val="006A34C8"/>
    <w:rsid w:val="006A5C71"/>
    <w:rsid w:val="006A5CD2"/>
    <w:rsid w:val="006A5EA0"/>
    <w:rsid w:val="006A783B"/>
    <w:rsid w:val="006A7A59"/>
    <w:rsid w:val="006A7B33"/>
    <w:rsid w:val="006A7F59"/>
    <w:rsid w:val="006B2E26"/>
    <w:rsid w:val="006B364B"/>
    <w:rsid w:val="006B3C35"/>
    <w:rsid w:val="006B4E13"/>
    <w:rsid w:val="006B522D"/>
    <w:rsid w:val="006B5557"/>
    <w:rsid w:val="006B5834"/>
    <w:rsid w:val="006B5A6D"/>
    <w:rsid w:val="006B657D"/>
    <w:rsid w:val="006B6869"/>
    <w:rsid w:val="006B75DD"/>
    <w:rsid w:val="006B7B8D"/>
    <w:rsid w:val="006C0570"/>
    <w:rsid w:val="006C0634"/>
    <w:rsid w:val="006C0FA1"/>
    <w:rsid w:val="006C3D42"/>
    <w:rsid w:val="006C4608"/>
    <w:rsid w:val="006C6669"/>
    <w:rsid w:val="006C67E0"/>
    <w:rsid w:val="006C6AEA"/>
    <w:rsid w:val="006C6E14"/>
    <w:rsid w:val="006C7ABA"/>
    <w:rsid w:val="006D0D60"/>
    <w:rsid w:val="006D1122"/>
    <w:rsid w:val="006D2504"/>
    <w:rsid w:val="006D2D09"/>
    <w:rsid w:val="006D3147"/>
    <w:rsid w:val="006D329E"/>
    <w:rsid w:val="006D3996"/>
    <w:rsid w:val="006D3C00"/>
    <w:rsid w:val="006D4029"/>
    <w:rsid w:val="006D43B0"/>
    <w:rsid w:val="006D54CD"/>
    <w:rsid w:val="006D6CF4"/>
    <w:rsid w:val="006D6D53"/>
    <w:rsid w:val="006D71FC"/>
    <w:rsid w:val="006E0C0C"/>
    <w:rsid w:val="006E0CF7"/>
    <w:rsid w:val="006E17C6"/>
    <w:rsid w:val="006E180C"/>
    <w:rsid w:val="006E1D31"/>
    <w:rsid w:val="006E3675"/>
    <w:rsid w:val="006E38DE"/>
    <w:rsid w:val="006E4A7F"/>
    <w:rsid w:val="006E5397"/>
    <w:rsid w:val="006E6028"/>
    <w:rsid w:val="006E6172"/>
    <w:rsid w:val="006E618D"/>
    <w:rsid w:val="006E6EDC"/>
    <w:rsid w:val="006E74F6"/>
    <w:rsid w:val="006F127B"/>
    <w:rsid w:val="006F17C2"/>
    <w:rsid w:val="006F22DB"/>
    <w:rsid w:val="006F27B9"/>
    <w:rsid w:val="006F4A0F"/>
    <w:rsid w:val="006F535D"/>
    <w:rsid w:val="006F7554"/>
    <w:rsid w:val="006F7CA9"/>
    <w:rsid w:val="007005E5"/>
    <w:rsid w:val="00700713"/>
    <w:rsid w:val="00704001"/>
    <w:rsid w:val="0070465F"/>
    <w:rsid w:val="00704DF6"/>
    <w:rsid w:val="00704E08"/>
    <w:rsid w:val="00705EC2"/>
    <w:rsid w:val="0070651C"/>
    <w:rsid w:val="00711089"/>
    <w:rsid w:val="007113AD"/>
    <w:rsid w:val="0071167C"/>
    <w:rsid w:val="00711A8D"/>
    <w:rsid w:val="007120BB"/>
    <w:rsid w:val="00712F13"/>
    <w:rsid w:val="007132A3"/>
    <w:rsid w:val="007140DF"/>
    <w:rsid w:val="007147A0"/>
    <w:rsid w:val="00716421"/>
    <w:rsid w:val="00716683"/>
    <w:rsid w:val="007174B7"/>
    <w:rsid w:val="00717836"/>
    <w:rsid w:val="007215F4"/>
    <w:rsid w:val="007218C9"/>
    <w:rsid w:val="00721A43"/>
    <w:rsid w:val="00721E44"/>
    <w:rsid w:val="00722D03"/>
    <w:rsid w:val="00722FEF"/>
    <w:rsid w:val="007239D0"/>
    <w:rsid w:val="00724179"/>
    <w:rsid w:val="00724EFB"/>
    <w:rsid w:val="00725089"/>
    <w:rsid w:val="00727914"/>
    <w:rsid w:val="007326E6"/>
    <w:rsid w:val="007328D7"/>
    <w:rsid w:val="007342E9"/>
    <w:rsid w:val="0073441F"/>
    <w:rsid w:val="00735653"/>
    <w:rsid w:val="007356F1"/>
    <w:rsid w:val="00736716"/>
    <w:rsid w:val="00736744"/>
    <w:rsid w:val="00736DFC"/>
    <w:rsid w:val="0073700C"/>
    <w:rsid w:val="0074094A"/>
    <w:rsid w:val="007419C3"/>
    <w:rsid w:val="00742001"/>
    <w:rsid w:val="00742B10"/>
    <w:rsid w:val="00743887"/>
    <w:rsid w:val="007442B1"/>
    <w:rsid w:val="00744F22"/>
    <w:rsid w:val="007450CF"/>
    <w:rsid w:val="007464A0"/>
    <w:rsid w:val="007467A7"/>
    <w:rsid w:val="007469DD"/>
    <w:rsid w:val="00746DFC"/>
    <w:rsid w:val="0074741B"/>
    <w:rsid w:val="0074759E"/>
    <w:rsid w:val="007478EA"/>
    <w:rsid w:val="00747C54"/>
    <w:rsid w:val="0075119E"/>
    <w:rsid w:val="00751AA5"/>
    <w:rsid w:val="007536E4"/>
    <w:rsid w:val="00753C47"/>
    <w:rsid w:val="0075415C"/>
    <w:rsid w:val="007548BE"/>
    <w:rsid w:val="00754C6C"/>
    <w:rsid w:val="00757635"/>
    <w:rsid w:val="00757DBF"/>
    <w:rsid w:val="0076043F"/>
    <w:rsid w:val="00760553"/>
    <w:rsid w:val="00762DCA"/>
    <w:rsid w:val="0076337C"/>
    <w:rsid w:val="00763502"/>
    <w:rsid w:val="00765E0B"/>
    <w:rsid w:val="007660C3"/>
    <w:rsid w:val="007665B7"/>
    <w:rsid w:val="00766776"/>
    <w:rsid w:val="0077051B"/>
    <w:rsid w:val="00771D1A"/>
    <w:rsid w:val="0077245E"/>
    <w:rsid w:val="00772927"/>
    <w:rsid w:val="007729BC"/>
    <w:rsid w:val="00772F03"/>
    <w:rsid w:val="007733BD"/>
    <w:rsid w:val="00773408"/>
    <w:rsid w:val="00773A5C"/>
    <w:rsid w:val="00774200"/>
    <w:rsid w:val="00777D49"/>
    <w:rsid w:val="00780071"/>
    <w:rsid w:val="0078086B"/>
    <w:rsid w:val="00780963"/>
    <w:rsid w:val="007814B7"/>
    <w:rsid w:val="00783100"/>
    <w:rsid w:val="00784A5D"/>
    <w:rsid w:val="00785649"/>
    <w:rsid w:val="00786AF4"/>
    <w:rsid w:val="00786D8A"/>
    <w:rsid w:val="007904E0"/>
    <w:rsid w:val="00790CEA"/>
    <w:rsid w:val="007913AB"/>
    <w:rsid w:val="007914F7"/>
    <w:rsid w:val="00791E0C"/>
    <w:rsid w:val="00792CAB"/>
    <w:rsid w:val="007931AC"/>
    <w:rsid w:val="0079330E"/>
    <w:rsid w:val="007935A2"/>
    <w:rsid w:val="007946BA"/>
    <w:rsid w:val="0079524C"/>
    <w:rsid w:val="0079556A"/>
    <w:rsid w:val="0079577D"/>
    <w:rsid w:val="00795A63"/>
    <w:rsid w:val="0079680C"/>
    <w:rsid w:val="007A09A4"/>
    <w:rsid w:val="007A0DC4"/>
    <w:rsid w:val="007A0E21"/>
    <w:rsid w:val="007A1C03"/>
    <w:rsid w:val="007A2CA7"/>
    <w:rsid w:val="007A36FF"/>
    <w:rsid w:val="007A483E"/>
    <w:rsid w:val="007A5CC8"/>
    <w:rsid w:val="007A6CAA"/>
    <w:rsid w:val="007B1625"/>
    <w:rsid w:val="007B194A"/>
    <w:rsid w:val="007B1B55"/>
    <w:rsid w:val="007B1F56"/>
    <w:rsid w:val="007B351D"/>
    <w:rsid w:val="007B3681"/>
    <w:rsid w:val="007B5852"/>
    <w:rsid w:val="007B5FAD"/>
    <w:rsid w:val="007B697F"/>
    <w:rsid w:val="007B706E"/>
    <w:rsid w:val="007B71EB"/>
    <w:rsid w:val="007C1F0B"/>
    <w:rsid w:val="007C27A4"/>
    <w:rsid w:val="007C2AB4"/>
    <w:rsid w:val="007C2D39"/>
    <w:rsid w:val="007C402D"/>
    <w:rsid w:val="007C4CC3"/>
    <w:rsid w:val="007C59A6"/>
    <w:rsid w:val="007C6205"/>
    <w:rsid w:val="007C675D"/>
    <w:rsid w:val="007C686A"/>
    <w:rsid w:val="007C714E"/>
    <w:rsid w:val="007C728E"/>
    <w:rsid w:val="007D01AC"/>
    <w:rsid w:val="007D124B"/>
    <w:rsid w:val="007D1B5B"/>
    <w:rsid w:val="007D2332"/>
    <w:rsid w:val="007D240D"/>
    <w:rsid w:val="007D2C53"/>
    <w:rsid w:val="007D3924"/>
    <w:rsid w:val="007D3D60"/>
    <w:rsid w:val="007D4503"/>
    <w:rsid w:val="007D4BB8"/>
    <w:rsid w:val="007D5208"/>
    <w:rsid w:val="007D6E4F"/>
    <w:rsid w:val="007D718E"/>
    <w:rsid w:val="007D7A06"/>
    <w:rsid w:val="007D7B1A"/>
    <w:rsid w:val="007E03BD"/>
    <w:rsid w:val="007E0D0C"/>
    <w:rsid w:val="007E12EC"/>
    <w:rsid w:val="007E185B"/>
    <w:rsid w:val="007E1980"/>
    <w:rsid w:val="007E3219"/>
    <w:rsid w:val="007E4B76"/>
    <w:rsid w:val="007E5EA8"/>
    <w:rsid w:val="007F0538"/>
    <w:rsid w:val="007F09AB"/>
    <w:rsid w:val="007F0CF1"/>
    <w:rsid w:val="007F12A5"/>
    <w:rsid w:val="007F48EC"/>
    <w:rsid w:val="007F4CF1"/>
    <w:rsid w:val="007F5733"/>
    <w:rsid w:val="007F6960"/>
    <w:rsid w:val="007F7519"/>
    <w:rsid w:val="007F758D"/>
    <w:rsid w:val="007F7D52"/>
    <w:rsid w:val="0080003F"/>
    <w:rsid w:val="00800562"/>
    <w:rsid w:val="00803A39"/>
    <w:rsid w:val="00804499"/>
    <w:rsid w:val="008047CF"/>
    <w:rsid w:val="008058F3"/>
    <w:rsid w:val="0080654C"/>
    <w:rsid w:val="00806F8B"/>
    <w:rsid w:val="008071C6"/>
    <w:rsid w:val="00810370"/>
    <w:rsid w:val="0081078D"/>
    <w:rsid w:val="00810E87"/>
    <w:rsid w:val="00811548"/>
    <w:rsid w:val="00811922"/>
    <w:rsid w:val="008131F8"/>
    <w:rsid w:val="00813B29"/>
    <w:rsid w:val="0081596B"/>
    <w:rsid w:val="008178C2"/>
    <w:rsid w:val="00817A00"/>
    <w:rsid w:val="00817AFF"/>
    <w:rsid w:val="00820CE8"/>
    <w:rsid w:val="008210FF"/>
    <w:rsid w:val="008222CD"/>
    <w:rsid w:val="00822646"/>
    <w:rsid w:val="00823F3F"/>
    <w:rsid w:val="00824476"/>
    <w:rsid w:val="0082733E"/>
    <w:rsid w:val="00827CB6"/>
    <w:rsid w:val="00830716"/>
    <w:rsid w:val="00833269"/>
    <w:rsid w:val="00834758"/>
    <w:rsid w:val="00834B43"/>
    <w:rsid w:val="00834E39"/>
    <w:rsid w:val="00835DB3"/>
    <w:rsid w:val="0083617B"/>
    <w:rsid w:val="008371BD"/>
    <w:rsid w:val="0083724E"/>
    <w:rsid w:val="00840385"/>
    <w:rsid w:val="008404FC"/>
    <w:rsid w:val="008410D1"/>
    <w:rsid w:val="0084210C"/>
    <w:rsid w:val="00842BEB"/>
    <w:rsid w:val="008434C5"/>
    <w:rsid w:val="008447C3"/>
    <w:rsid w:val="00844A28"/>
    <w:rsid w:val="00846EE0"/>
    <w:rsid w:val="008504A8"/>
    <w:rsid w:val="00850B78"/>
    <w:rsid w:val="00852118"/>
    <w:rsid w:val="0085282E"/>
    <w:rsid w:val="00852D68"/>
    <w:rsid w:val="008535B0"/>
    <w:rsid w:val="00855952"/>
    <w:rsid w:val="00855BF6"/>
    <w:rsid w:val="0085651C"/>
    <w:rsid w:val="00856A38"/>
    <w:rsid w:val="00856BDB"/>
    <w:rsid w:val="0085722E"/>
    <w:rsid w:val="0085758A"/>
    <w:rsid w:val="00860435"/>
    <w:rsid w:val="00863B90"/>
    <w:rsid w:val="00864D27"/>
    <w:rsid w:val="008656BB"/>
    <w:rsid w:val="00865754"/>
    <w:rsid w:val="008704C5"/>
    <w:rsid w:val="0087198C"/>
    <w:rsid w:val="008723C3"/>
    <w:rsid w:val="00872C1F"/>
    <w:rsid w:val="008730D3"/>
    <w:rsid w:val="00873B42"/>
    <w:rsid w:val="00873DA0"/>
    <w:rsid w:val="00875A06"/>
    <w:rsid w:val="0087623A"/>
    <w:rsid w:val="008770BE"/>
    <w:rsid w:val="00877203"/>
    <w:rsid w:val="008776D9"/>
    <w:rsid w:val="00880552"/>
    <w:rsid w:val="008813F7"/>
    <w:rsid w:val="0088315D"/>
    <w:rsid w:val="008856D8"/>
    <w:rsid w:val="008863D2"/>
    <w:rsid w:val="00892E82"/>
    <w:rsid w:val="008930CA"/>
    <w:rsid w:val="008933BD"/>
    <w:rsid w:val="00893DC3"/>
    <w:rsid w:val="00893FDC"/>
    <w:rsid w:val="0089519B"/>
    <w:rsid w:val="008956E7"/>
    <w:rsid w:val="00896C74"/>
    <w:rsid w:val="00897DE8"/>
    <w:rsid w:val="008A0AAD"/>
    <w:rsid w:val="008A0B78"/>
    <w:rsid w:val="008A2321"/>
    <w:rsid w:val="008A260B"/>
    <w:rsid w:val="008A394F"/>
    <w:rsid w:val="008A6330"/>
    <w:rsid w:val="008A6B0D"/>
    <w:rsid w:val="008A78E6"/>
    <w:rsid w:val="008A7F52"/>
    <w:rsid w:val="008B10E7"/>
    <w:rsid w:val="008B1318"/>
    <w:rsid w:val="008B2245"/>
    <w:rsid w:val="008B24EF"/>
    <w:rsid w:val="008B2714"/>
    <w:rsid w:val="008B2791"/>
    <w:rsid w:val="008B2AD3"/>
    <w:rsid w:val="008B4CC1"/>
    <w:rsid w:val="008B54DC"/>
    <w:rsid w:val="008B5A3A"/>
    <w:rsid w:val="008B5F0B"/>
    <w:rsid w:val="008B74D7"/>
    <w:rsid w:val="008C0928"/>
    <w:rsid w:val="008C1147"/>
    <w:rsid w:val="008C12C8"/>
    <w:rsid w:val="008C1B58"/>
    <w:rsid w:val="008C1E79"/>
    <w:rsid w:val="008C2C1A"/>
    <w:rsid w:val="008C37FB"/>
    <w:rsid w:val="008C39AE"/>
    <w:rsid w:val="008C4970"/>
    <w:rsid w:val="008C4C43"/>
    <w:rsid w:val="008C5280"/>
    <w:rsid w:val="008C5354"/>
    <w:rsid w:val="008C590D"/>
    <w:rsid w:val="008C64DB"/>
    <w:rsid w:val="008C7D3E"/>
    <w:rsid w:val="008D122A"/>
    <w:rsid w:val="008D3054"/>
    <w:rsid w:val="008D4B2B"/>
    <w:rsid w:val="008D4C10"/>
    <w:rsid w:val="008D4C69"/>
    <w:rsid w:val="008D58AC"/>
    <w:rsid w:val="008D7509"/>
    <w:rsid w:val="008E031B"/>
    <w:rsid w:val="008E297C"/>
    <w:rsid w:val="008E6646"/>
    <w:rsid w:val="008E7029"/>
    <w:rsid w:val="008E72FC"/>
    <w:rsid w:val="008E7CD5"/>
    <w:rsid w:val="008E7EF6"/>
    <w:rsid w:val="008F03ED"/>
    <w:rsid w:val="008F0926"/>
    <w:rsid w:val="008F1335"/>
    <w:rsid w:val="008F18F1"/>
    <w:rsid w:val="008F1F98"/>
    <w:rsid w:val="008F1FDB"/>
    <w:rsid w:val="008F2928"/>
    <w:rsid w:val="008F32DA"/>
    <w:rsid w:val="008F50F9"/>
    <w:rsid w:val="008F58DA"/>
    <w:rsid w:val="008F5FD3"/>
    <w:rsid w:val="008F649B"/>
    <w:rsid w:val="008F6758"/>
    <w:rsid w:val="008F68EF"/>
    <w:rsid w:val="008F6FFF"/>
    <w:rsid w:val="008F75EF"/>
    <w:rsid w:val="008F77FF"/>
    <w:rsid w:val="00902962"/>
    <w:rsid w:val="009040DD"/>
    <w:rsid w:val="00904228"/>
    <w:rsid w:val="00904E50"/>
    <w:rsid w:val="00905B47"/>
    <w:rsid w:val="00906956"/>
    <w:rsid w:val="0091183A"/>
    <w:rsid w:val="00913168"/>
    <w:rsid w:val="0091331C"/>
    <w:rsid w:val="009147F3"/>
    <w:rsid w:val="00914CF5"/>
    <w:rsid w:val="00920BD2"/>
    <w:rsid w:val="009221CA"/>
    <w:rsid w:val="0092394A"/>
    <w:rsid w:val="00924FA8"/>
    <w:rsid w:val="00925BDE"/>
    <w:rsid w:val="00926F18"/>
    <w:rsid w:val="009274F0"/>
    <w:rsid w:val="009279DE"/>
    <w:rsid w:val="00930116"/>
    <w:rsid w:val="00930840"/>
    <w:rsid w:val="00931139"/>
    <w:rsid w:val="009311E3"/>
    <w:rsid w:val="00931E6C"/>
    <w:rsid w:val="0093313F"/>
    <w:rsid w:val="0093472B"/>
    <w:rsid w:val="009402C3"/>
    <w:rsid w:val="0094072A"/>
    <w:rsid w:val="0094077A"/>
    <w:rsid w:val="00941082"/>
    <w:rsid w:val="00941A00"/>
    <w:rsid w:val="0094212C"/>
    <w:rsid w:val="00942462"/>
    <w:rsid w:val="009446E9"/>
    <w:rsid w:val="00945C16"/>
    <w:rsid w:val="00946B45"/>
    <w:rsid w:val="00946E75"/>
    <w:rsid w:val="00952273"/>
    <w:rsid w:val="009522A5"/>
    <w:rsid w:val="0095287B"/>
    <w:rsid w:val="009528CE"/>
    <w:rsid w:val="00953018"/>
    <w:rsid w:val="00954689"/>
    <w:rsid w:val="00954B93"/>
    <w:rsid w:val="009556E9"/>
    <w:rsid w:val="009558EF"/>
    <w:rsid w:val="009559FB"/>
    <w:rsid w:val="00955DF7"/>
    <w:rsid w:val="00955F23"/>
    <w:rsid w:val="00956811"/>
    <w:rsid w:val="00956D21"/>
    <w:rsid w:val="009571AD"/>
    <w:rsid w:val="009579C3"/>
    <w:rsid w:val="00957DA5"/>
    <w:rsid w:val="00961110"/>
    <w:rsid w:val="009617C9"/>
    <w:rsid w:val="00961C93"/>
    <w:rsid w:val="00961E83"/>
    <w:rsid w:val="009624E9"/>
    <w:rsid w:val="00962878"/>
    <w:rsid w:val="009629D6"/>
    <w:rsid w:val="00962BC6"/>
    <w:rsid w:val="009642CC"/>
    <w:rsid w:val="00964866"/>
    <w:rsid w:val="00964B26"/>
    <w:rsid w:val="00965324"/>
    <w:rsid w:val="00965E39"/>
    <w:rsid w:val="00966042"/>
    <w:rsid w:val="0097091E"/>
    <w:rsid w:val="00971237"/>
    <w:rsid w:val="00971AF1"/>
    <w:rsid w:val="009722A6"/>
    <w:rsid w:val="00972C3F"/>
    <w:rsid w:val="0097457E"/>
    <w:rsid w:val="00974E7F"/>
    <w:rsid w:val="00975439"/>
    <w:rsid w:val="009758D2"/>
    <w:rsid w:val="009760D3"/>
    <w:rsid w:val="0097680C"/>
    <w:rsid w:val="00977132"/>
    <w:rsid w:val="009778B4"/>
    <w:rsid w:val="00977D45"/>
    <w:rsid w:val="00981A4B"/>
    <w:rsid w:val="00981E0B"/>
    <w:rsid w:val="00982501"/>
    <w:rsid w:val="009839CD"/>
    <w:rsid w:val="00983F99"/>
    <w:rsid w:val="009856B5"/>
    <w:rsid w:val="00985D34"/>
    <w:rsid w:val="00986249"/>
    <w:rsid w:val="0098683A"/>
    <w:rsid w:val="0098702A"/>
    <w:rsid w:val="009873BD"/>
    <w:rsid w:val="00987736"/>
    <w:rsid w:val="009877D3"/>
    <w:rsid w:val="0099005B"/>
    <w:rsid w:val="009908E4"/>
    <w:rsid w:val="00990B96"/>
    <w:rsid w:val="00991169"/>
    <w:rsid w:val="009912CB"/>
    <w:rsid w:val="00991B83"/>
    <w:rsid w:val="0099366E"/>
    <w:rsid w:val="009945D1"/>
    <w:rsid w:val="0099489F"/>
    <w:rsid w:val="00994E8F"/>
    <w:rsid w:val="009951DC"/>
    <w:rsid w:val="009954C8"/>
    <w:rsid w:val="009959BB"/>
    <w:rsid w:val="00997040"/>
    <w:rsid w:val="00997158"/>
    <w:rsid w:val="009A0081"/>
    <w:rsid w:val="009A0E51"/>
    <w:rsid w:val="009A0EA3"/>
    <w:rsid w:val="009A1014"/>
    <w:rsid w:val="009A1658"/>
    <w:rsid w:val="009A18BD"/>
    <w:rsid w:val="009A36BC"/>
    <w:rsid w:val="009A396F"/>
    <w:rsid w:val="009A3A7C"/>
    <w:rsid w:val="009A518C"/>
    <w:rsid w:val="009A68DE"/>
    <w:rsid w:val="009A78A0"/>
    <w:rsid w:val="009A7A54"/>
    <w:rsid w:val="009B20DF"/>
    <w:rsid w:val="009B2ADB"/>
    <w:rsid w:val="009B5165"/>
    <w:rsid w:val="009B55D1"/>
    <w:rsid w:val="009B5CE9"/>
    <w:rsid w:val="009B603A"/>
    <w:rsid w:val="009B6BC5"/>
    <w:rsid w:val="009B75EB"/>
    <w:rsid w:val="009B7F12"/>
    <w:rsid w:val="009C0D6E"/>
    <w:rsid w:val="009C2D0E"/>
    <w:rsid w:val="009C3DAC"/>
    <w:rsid w:val="009C42E0"/>
    <w:rsid w:val="009C4F5E"/>
    <w:rsid w:val="009C54A8"/>
    <w:rsid w:val="009D1A00"/>
    <w:rsid w:val="009D30F6"/>
    <w:rsid w:val="009D3A47"/>
    <w:rsid w:val="009D3C53"/>
    <w:rsid w:val="009D43AA"/>
    <w:rsid w:val="009D4431"/>
    <w:rsid w:val="009D5362"/>
    <w:rsid w:val="009D5F6B"/>
    <w:rsid w:val="009E1415"/>
    <w:rsid w:val="009E1DE7"/>
    <w:rsid w:val="009E37D3"/>
    <w:rsid w:val="009E3ECC"/>
    <w:rsid w:val="009E3F07"/>
    <w:rsid w:val="009E3F43"/>
    <w:rsid w:val="009E60C1"/>
    <w:rsid w:val="009E6116"/>
    <w:rsid w:val="009E7C63"/>
    <w:rsid w:val="009E7D3D"/>
    <w:rsid w:val="009F0597"/>
    <w:rsid w:val="009F2DD0"/>
    <w:rsid w:val="009F38C5"/>
    <w:rsid w:val="009F4FF8"/>
    <w:rsid w:val="009F58FB"/>
    <w:rsid w:val="009F6380"/>
    <w:rsid w:val="00A00C9F"/>
    <w:rsid w:val="00A01000"/>
    <w:rsid w:val="00A02E43"/>
    <w:rsid w:val="00A038E3"/>
    <w:rsid w:val="00A0583E"/>
    <w:rsid w:val="00A05FE7"/>
    <w:rsid w:val="00A065F9"/>
    <w:rsid w:val="00A07BB9"/>
    <w:rsid w:val="00A07F34"/>
    <w:rsid w:val="00A110A0"/>
    <w:rsid w:val="00A13EA9"/>
    <w:rsid w:val="00A1584C"/>
    <w:rsid w:val="00A17A15"/>
    <w:rsid w:val="00A17B27"/>
    <w:rsid w:val="00A2149C"/>
    <w:rsid w:val="00A22154"/>
    <w:rsid w:val="00A2352E"/>
    <w:rsid w:val="00A23935"/>
    <w:rsid w:val="00A25090"/>
    <w:rsid w:val="00A2537A"/>
    <w:rsid w:val="00A253B9"/>
    <w:rsid w:val="00A25C38"/>
    <w:rsid w:val="00A25D77"/>
    <w:rsid w:val="00A2688E"/>
    <w:rsid w:val="00A303F3"/>
    <w:rsid w:val="00A31A07"/>
    <w:rsid w:val="00A32DBA"/>
    <w:rsid w:val="00A332CF"/>
    <w:rsid w:val="00A34553"/>
    <w:rsid w:val="00A34802"/>
    <w:rsid w:val="00A34824"/>
    <w:rsid w:val="00A3528C"/>
    <w:rsid w:val="00A354D6"/>
    <w:rsid w:val="00A35F4B"/>
    <w:rsid w:val="00A362DC"/>
    <w:rsid w:val="00A36BBE"/>
    <w:rsid w:val="00A36CFE"/>
    <w:rsid w:val="00A37F2B"/>
    <w:rsid w:val="00A40734"/>
    <w:rsid w:val="00A40931"/>
    <w:rsid w:val="00A40B40"/>
    <w:rsid w:val="00A40D8D"/>
    <w:rsid w:val="00A4307A"/>
    <w:rsid w:val="00A47EBB"/>
    <w:rsid w:val="00A50092"/>
    <w:rsid w:val="00A51697"/>
    <w:rsid w:val="00A51CDD"/>
    <w:rsid w:val="00A52532"/>
    <w:rsid w:val="00A5278C"/>
    <w:rsid w:val="00A53C41"/>
    <w:rsid w:val="00A547C1"/>
    <w:rsid w:val="00A54F2B"/>
    <w:rsid w:val="00A555DD"/>
    <w:rsid w:val="00A55F32"/>
    <w:rsid w:val="00A56583"/>
    <w:rsid w:val="00A5721C"/>
    <w:rsid w:val="00A60B21"/>
    <w:rsid w:val="00A61798"/>
    <w:rsid w:val="00A61832"/>
    <w:rsid w:val="00A6190E"/>
    <w:rsid w:val="00A61D6A"/>
    <w:rsid w:val="00A61D72"/>
    <w:rsid w:val="00A624DA"/>
    <w:rsid w:val="00A6413D"/>
    <w:rsid w:val="00A64751"/>
    <w:rsid w:val="00A66A0A"/>
    <w:rsid w:val="00A672FA"/>
    <w:rsid w:val="00A6730D"/>
    <w:rsid w:val="00A7015D"/>
    <w:rsid w:val="00A71625"/>
    <w:rsid w:val="00A71B9B"/>
    <w:rsid w:val="00A72275"/>
    <w:rsid w:val="00A72663"/>
    <w:rsid w:val="00A72DD5"/>
    <w:rsid w:val="00A73C71"/>
    <w:rsid w:val="00A74B7B"/>
    <w:rsid w:val="00A751C7"/>
    <w:rsid w:val="00A77260"/>
    <w:rsid w:val="00A777E0"/>
    <w:rsid w:val="00A77BB1"/>
    <w:rsid w:val="00A80EF5"/>
    <w:rsid w:val="00A8263F"/>
    <w:rsid w:val="00A826AC"/>
    <w:rsid w:val="00A826FA"/>
    <w:rsid w:val="00A838DB"/>
    <w:rsid w:val="00A85068"/>
    <w:rsid w:val="00A85224"/>
    <w:rsid w:val="00A85806"/>
    <w:rsid w:val="00A859C5"/>
    <w:rsid w:val="00A86EF2"/>
    <w:rsid w:val="00A87844"/>
    <w:rsid w:val="00A90883"/>
    <w:rsid w:val="00A91E8C"/>
    <w:rsid w:val="00A91FEE"/>
    <w:rsid w:val="00A9365B"/>
    <w:rsid w:val="00A93B81"/>
    <w:rsid w:val="00A94291"/>
    <w:rsid w:val="00A957B1"/>
    <w:rsid w:val="00A96162"/>
    <w:rsid w:val="00A96F9C"/>
    <w:rsid w:val="00A973E9"/>
    <w:rsid w:val="00A97470"/>
    <w:rsid w:val="00A978CB"/>
    <w:rsid w:val="00A97F7B"/>
    <w:rsid w:val="00AA038C"/>
    <w:rsid w:val="00AA041F"/>
    <w:rsid w:val="00AA11CF"/>
    <w:rsid w:val="00AA2EBF"/>
    <w:rsid w:val="00AA542A"/>
    <w:rsid w:val="00AA5E3C"/>
    <w:rsid w:val="00AA6575"/>
    <w:rsid w:val="00AA6852"/>
    <w:rsid w:val="00AA6FCA"/>
    <w:rsid w:val="00AA7A09"/>
    <w:rsid w:val="00AB14EF"/>
    <w:rsid w:val="00AB1C92"/>
    <w:rsid w:val="00AB2CFE"/>
    <w:rsid w:val="00AB3B50"/>
    <w:rsid w:val="00AB459A"/>
    <w:rsid w:val="00AB4ABE"/>
    <w:rsid w:val="00AB507F"/>
    <w:rsid w:val="00AB56FC"/>
    <w:rsid w:val="00AB7E55"/>
    <w:rsid w:val="00AC04FC"/>
    <w:rsid w:val="00AC05B1"/>
    <w:rsid w:val="00AC279D"/>
    <w:rsid w:val="00AC27AA"/>
    <w:rsid w:val="00AC336D"/>
    <w:rsid w:val="00AC345E"/>
    <w:rsid w:val="00AC3A4E"/>
    <w:rsid w:val="00AC5493"/>
    <w:rsid w:val="00AC63E1"/>
    <w:rsid w:val="00AD0FB1"/>
    <w:rsid w:val="00AD1DAB"/>
    <w:rsid w:val="00AD1E65"/>
    <w:rsid w:val="00AD356C"/>
    <w:rsid w:val="00AD3B3A"/>
    <w:rsid w:val="00AD3F5A"/>
    <w:rsid w:val="00AD4B9D"/>
    <w:rsid w:val="00AD58F9"/>
    <w:rsid w:val="00AD5C0B"/>
    <w:rsid w:val="00AE1927"/>
    <w:rsid w:val="00AE2914"/>
    <w:rsid w:val="00AE2E1A"/>
    <w:rsid w:val="00AE46D4"/>
    <w:rsid w:val="00AE5EB4"/>
    <w:rsid w:val="00AE6D15"/>
    <w:rsid w:val="00AF03F5"/>
    <w:rsid w:val="00AF14F2"/>
    <w:rsid w:val="00AF3474"/>
    <w:rsid w:val="00AF3A3D"/>
    <w:rsid w:val="00AF6A4E"/>
    <w:rsid w:val="00AF7DAE"/>
    <w:rsid w:val="00B012A6"/>
    <w:rsid w:val="00B0173D"/>
    <w:rsid w:val="00B022B3"/>
    <w:rsid w:val="00B0281A"/>
    <w:rsid w:val="00B0336A"/>
    <w:rsid w:val="00B03CA8"/>
    <w:rsid w:val="00B04182"/>
    <w:rsid w:val="00B0475D"/>
    <w:rsid w:val="00B0501D"/>
    <w:rsid w:val="00B0548F"/>
    <w:rsid w:val="00B05542"/>
    <w:rsid w:val="00B057A7"/>
    <w:rsid w:val="00B062CB"/>
    <w:rsid w:val="00B07AE3"/>
    <w:rsid w:val="00B07C06"/>
    <w:rsid w:val="00B11430"/>
    <w:rsid w:val="00B11C3E"/>
    <w:rsid w:val="00B12AB3"/>
    <w:rsid w:val="00B1300F"/>
    <w:rsid w:val="00B1346C"/>
    <w:rsid w:val="00B137BA"/>
    <w:rsid w:val="00B13A65"/>
    <w:rsid w:val="00B16432"/>
    <w:rsid w:val="00B175E3"/>
    <w:rsid w:val="00B17AD6"/>
    <w:rsid w:val="00B20CCE"/>
    <w:rsid w:val="00B20E3B"/>
    <w:rsid w:val="00B20E6A"/>
    <w:rsid w:val="00B22194"/>
    <w:rsid w:val="00B22AB7"/>
    <w:rsid w:val="00B2335C"/>
    <w:rsid w:val="00B2361E"/>
    <w:rsid w:val="00B2386C"/>
    <w:rsid w:val="00B24BEC"/>
    <w:rsid w:val="00B26D62"/>
    <w:rsid w:val="00B2754E"/>
    <w:rsid w:val="00B27677"/>
    <w:rsid w:val="00B307DD"/>
    <w:rsid w:val="00B30EA4"/>
    <w:rsid w:val="00B3110F"/>
    <w:rsid w:val="00B3171D"/>
    <w:rsid w:val="00B3188A"/>
    <w:rsid w:val="00B31B36"/>
    <w:rsid w:val="00B31D28"/>
    <w:rsid w:val="00B32AEE"/>
    <w:rsid w:val="00B34D9E"/>
    <w:rsid w:val="00B34F91"/>
    <w:rsid w:val="00B35366"/>
    <w:rsid w:val="00B353EB"/>
    <w:rsid w:val="00B35585"/>
    <w:rsid w:val="00B37605"/>
    <w:rsid w:val="00B3761B"/>
    <w:rsid w:val="00B376F6"/>
    <w:rsid w:val="00B37705"/>
    <w:rsid w:val="00B400EA"/>
    <w:rsid w:val="00B417AE"/>
    <w:rsid w:val="00B41F96"/>
    <w:rsid w:val="00B426E7"/>
    <w:rsid w:val="00B439C4"/>
    <w:rsid w:val="00B43DE5"/>
    <w:rsid w:val="00B44EC5"/>
    <w:rsid w:val="00B44FE0"/>
    <w:rsid w:val="00B4535E"/>
    <w:rsid w:val="00B510C8"/>
    <w:rsid w:val="00B51235"/>
    <w:rsid w:val="00B51B5B"/>
    <w:rsid w:val="00B521A9"/>
    <w:rsid w:val="00B52A8C"/>
    <w:rsid w:val="00B54579"/>
    <w:rsid w:val="00B551B7"/>
    <w:rsid w:val="00B56A11"/>
    <w:rsid w:val="00B56A81"/>
    <w:rsid w:val="00B57D01"/>
    <w:rsid w:val="00B60FC2"/>
    <w:rsid w:val="00B613B5"/>
    <w:rsid w:val="00B61E48"/>
    <w:rsid w:val="00B621FF"/>
    <w:rsid w:val="00B636A8"/>
    <w:rsid w:val="00B64635"/>
    <w:rsid w:val="00B648ED"/>
    <w:rsid w:val="00B665C6"/>
    <w:rsid w:val="00B67063"/>
    <w:rsid w:val="00B67155"/>
    <w:rsid w:val="00B67AC5"/>
    <w:rsid w:val="00B70482"/>
    <w:rsid w:val="00B70D37"/>
    <w:rsid w:val="00B70DF4"/>
    <w:rsid w:val="00B73017"/>
    <w:rsid w:val="00B7342F"/>
    <w:rsid w:val="00B73590"/>
    <w:rsid w:val="00B738EF"/>
    <w:rsid w:val="00B75E82"/>
    <w:rsid w:val="00B75EF9"/>
    <w:rsid w:val="00B7633E"/>
    <w:rsid w:val="00B769B8"/>
    <w:rsid w:val="00B76CCC"/>
    <w:rsid w:val="00B76F5F"/>
    <w:rsid w:val="00B772DA"/>
    <w:rsid w:val="00B80266"/>
    <w:rsid w:val="00B805AF"/>
    <w:rsid w:val="00B80DBD"/>
    <w:rsid w:val="00B81172"/>
    <w:rsid w:val="00B8118D"/>
    <w:rsid w:val="00B869EC"/>
    <w:rsid w:val="00B87D35"/>
    <w:rsid w:val="00B91BB5"/>
    <w:rsid w:val="00B9397A"/>
    <w:rsid w:val="00B945D8"/>
    <w:rsid w:val="00B94AEB"/>
    <w:rsid w:val="00B94D84"/>
    <w:rsid w:val="00B95C08"/>
    <w:rsid w:val="00B95F92"/>
    <w:rsid w:val="00B9633D"/>
    <w:rsid w:val="00B96A53"/>
    <w:rsid w:val="00BA0B75"/>
    <w:rsid w:val="00BA0BA5"/>
    <w:rsid w:val="00BA278E"/>
    <w:rsid w:val="00BA2D46"/>
    <w:rsid w:val="00BA2EBE"/>
    <w:rsid w:val="00BA3717"/>
    <w:rsid w:val="00BA4C8D"/>
    <w:rsid w:val="00BA50F0"/>
    <w:rsid w:val="00BA5AAE"/>
    <w:rsid w:val="00BA6E1A"/>
    <w:rsid w:val="00BA7F79"/>
    <w:rsid w:val="00BB0F28"/>
    <w:rsid w:val="00BB11EA"/>
    <w:rsid w:val="00BB323E"/>
    <w:rsid w:val="00BB4093"/>
    <w:rsid w:val="00BB446F"/>
    <w:rsid w:val="00BB453A"/>
    <w:rsid w:val="00BB458A"/>
    <w:rsid w:val="00BB4EAF"/>
    <w:rsid w:val="00BB54DF"/>
    <w:rsid w:val="00BB7D9F"/>
    <w:rsid w:val="00BC1229"/>
    <w:rsid w:val="00BC1480"/>
    <w:rsid w:val="00BC1D54"/>
    <w:rsid w:val="00BC2A83"/>
    <w:rsid w:val="00BC2E53"/>
    <w:rsid w:val="00BC3BCC"/>
    <w:rsid w:val="00BC6662"/>
    <w:rsid w:val="00BC6E38"/>
    <w:rsid w:val="00BC7E2F"/>
    <w:rsid w:val="00BD00D3"/>
    <w:rsid w:val="00BD1659"/>
    <w:rsid w:val="00BD2F78"/>
    <w:rsid w:val="00BD332A"/>
    <w:rsid w:val="00BD3AA9"/>
    <w:rsid w:val="00BD4A18"/>
    <w:rsid w:val="00BD5B04"/>
    <w:rsid w:val="00BD6DB2"/>
    <w:rsid w:val="00BD7121"/>
    <w:rsid w:val="00BD7D47"/>
    <w:rsid w:val="00BD7D88"/>
    <w:rsid w:val="00BE0F24"/>
    <w:rsid w:val="00BE114E"/>
    <w:rsid w:val="00BE11CF"/>
    <w:rsid w:val="00BE1FED"/>
    <w:rsid w:val="00BE21AB"/>
    <w:rsid w:val="00BE3468"/>
    <w:rsid w:val="00BE427D"/>
    <w:rsid w:val="00BE4D5A"/>
    <w:rsid w:val="00BE55CB"/>
    <w:rsid w:val="00BE572E"/>
    <w:rsid w:val="00BE5EC3"/>
    <w:rsid w:val="00BE6003"/>
    <w:rsid w:val="00BE798E"/>
    <w:rsid w:val="00BE7D1E"/>
    <w:rsid w:val="00BF617A"/>
    <w:rsid w:val="00BF6810"/>
    <w:rsid w:val="00BF69D1"/>
    <w:rsid w:val="00BF6E2A"/>
    <w:rsid w:val="00BF6FCE"/>
    <w:rsid w:val="00BF7B83"/>
    <w:rsid w:val="00C00266"/>
    <w:rsid w:val="00C00AC2"/>
    <w:rsid w:val="00C01CEF"/>
    <w:rsid w:val="00C02A26"/>
    <w:rsid w:val="00C02D57"/>
    <w:rsid w:val="00C0379D"/>
    <w:rsid w:val="00C03931"/>
    <w:rsid w:val="00C043B8"/>
    <w:rsid w:val="00C0445E"/>
    <w:rsid w:val="00C04687"/>
    <w:rsid w:val="00C04890"/>
    <w:rsid w:val="00C04AC2"/>
    <w:rsid w:val="00C05111"/>
    <w:rsid w:val="00C05D54"/>
    <w:rsid w:val="00C05DF0"/>
    <w:rsid w:val="00C05FE3"/>
    <w:rsid w:val="00C06873"/>
    <w:rsid w:val="00C068E0"/>
    <w:rsid w:val="00C06C31"/>
    <w:rsid w:val="00C06CCC"/>
    <w:rsid w:val="00C06D54"/>
    <w:rsid w:val="00C06F8F"/>
    <w:rsid w:val="00C117C2"/>
    <w:rsid w:val="00C121C9"/>
    <w:rsid w:val="00C157EF"/>
    <w:rsid w:val="00C1663F"/>
    <w:rsid w:val="00C2136D"/>
    <w:rsid w:val="00C214EE"/>
    <w:rsid w:val="00C21A4B"/>
    <w:rsid w:val="00C21C53"/>
    <w:rsid w:val="00C2299D"/>
    <w:rsid w:val="00C22CDF"/>
    <w:rsid w:val="00C2314B"/>
    <w:rsid w:val="00C23387"/>
    <w:rsid w:val="00C23469"/>
    <w:rsid w:val="00C2403C"/>
    <w:rsid w:val="00C241DB"/>
    <w:rsid w:val="00C24237"/>
    <w:rsid w:val="00C246E3"/>
    <w:rsid w:val="00C24971"/>
    <w:rsid w:val="00C2688E"/>
    <w:rsid w:val="00C26BE5"/>
    <w:rsid w:val="00C26E4D"/>
    <w:rsid w:val="00C271A7"/>
    <w:rsid w:val="00C277EE"/>
    <w:rsid w:val="00C27909"/>
    <w:rsid w:val="00C27B03"/>
    <w:rsid w:val="00C303C0"/>
    <w:rsid w:val="00C309F7"/>
    <w:rsid w:val="00C30B68"/>
    <w:rsid w:val="00C314E1"/>
    <w:rsid w:val="00C337FE"/>
    <w:rsid w:val="00C34397"/>
    <w:rsid w:val="00C3505E"/>
    <w:rsid w:val="00C35D40"/>
    <w:rsid w:val="00C35F9B"/>
    <w:rsid w:val="00C3680C"/>
    <w:rsid w:val="00C36A75"/>
    <w:rsid w:val="00C3788B"/>
    <w:rsid w:val="00C37B37"/>
    <w:rsid w:val="00C4095D"/>
    <w:rsid w:val="00C40AD7"/>
    <w:rsid w:val="00C40AF9"/>
    <w:rsid w:val="00C40E75"/>
    <w:rsid w:val="00C4290B"/>
    <w:rsid w:val="00C42B91"/>
    <w:rsid w:val="00C43D16"/>
    <w:rsid w:val="00C446A5"/>
    <w:rsid w:val="00C46C4C"/>
    <w:rsid w:val="00C4713B"/>
    <w:rsid w:val="00C51774"/>
    <w:rsid w:val="00C52B6B"/>
    <w:rsid w:val="00C5680B"/>
    <w:rsid w:val="00C577F5"/>
    <w:rsid w:val="00C601D2"/>
    <w:rsid w:val="00C60728"/>
    <w:rsid w:val="00C623DE"/>
    <w:rsid w:val="00C6282F"/>
    <w:rsid w:val="00C62B07"/>
    <w:rsid w:val="00C62FD9"/>
    <w:rsid w:val="00C633F0"/>
    <w:rsid w:val="00C6349B"/>
    <w:rsid w:val="00C63FD2"/>
    <w:rsid w:val="00C653FA"/>
    <w:rsid w:val="00C65BCC"/>
    <w:rsid w:val="00C66970"/>
    <w:rsid w:val="00C672CA"/>
    <w:rsid w:val="00C67A5A"/>
    <w:rsid w:val="00C71B49"/>
    <w:rsid w:val="00C7284C"/>
    <w:rsid w:val="00C74BFF"/>
    <w:rsid w:val="00C74F8D"/>
    <w:rsid w:val="00C75853"/>
    <w:rsid w:val="00C767E8"/>
    <w:rsid w:val="00C814BD"/>
    <w:rsid w:val="00C815B7"/>
    <w:rsid w:val="00C81E24"/>
    <w:rsid w:val="00C8404C"/>
    <w:rsid w:val="00C86223"/>
    <w:rsid w:val="00C8691C"/>
    <w:rsid w:val="00C8696C"/>
    <w:rsid w:val="00C86EE6"/>
    <w:rsid w:val="00C87E05"/>
    <w:rsid w:val="00C90CC2"/>
    <w:rsid w:val="00C913C2"/>
    <w:rsid w:val="00C938AF"/>
    <w:rsid w:val="00C93F02"/>
    <w:rsid w:val="00C94192"/>
    <w:rsid w:val="00C9526B"/>
    <w:rsid w:val="00C969B3"/>
    <w:rsid w:val="00C96CBC"/>
    <w:rsid w:val="00C97240"/>
    <w:rsid w:val="00C979F2"/>
    <w:rsid w:val="00CA09BD"/>
    <w:rsid w:val="00CA0ACC"/>
    <w:rsid w:val="00CA0DA0"/>
    <w:rsid w:val="00CA0F89"/>
    <w:rsid w:val="00CA146E"/>
    <w:rsid w:val="00CA1525"/>
    <w:rsid w:val="00CA168A"/>
    <w:rsid w:val="00CA1DA2"/>
    <w:rsid w:val="00CA357E"/>
    <w:rsid w:val="00CA44F9"/>
    <w:rsid w:val="00CA4A69"/>
    <w:rsid w:val="00CA5448"/>
    <w:rsid w:val="00CA5F66"/>
    <w:rsid w:val="00CB1F33"/>
    <w:rsid w:val="00CB21F4"/>
    <w:rsid w:val="00CB36BF"/>
    <w:rsid w:val="00CB4653"/>
    <w:rsid w:val="00CB6971"/>
    <w:rsid w:val="00CB7967"/>
    <w:rsid w:val="00CC1528"/>
    <w:rsid w:val="00CC1E3B"/>
    <w:rsid w:val="00CC1FF2"/>
    <w:rsid w:val="00CC332A"/>
    <w:rsid w:val="00CC3E0C"/>
    <w:rsid w:val="00CC4080"/>
    <w:rsid w:val="00CC4326"/>
    <w:rsid w:val="00CC4888"/>
    <w:rsid w:val="00CC49C6"/>
    <w:rsid w:val="00CC4BA2"/>
    <w:rsid w:val="00CC58D3"/>
    <w:rsid w:val="00CC68B3"/>
    <w:rsid w:val="00CC6BA8"/>
    <w:rsid w:val="00CC784D"/>
    <w:rsid w:val="00CD024C"/>
    <w:rsid w:val="00CD09A7"/>
    <w:rsid w:val="00CD0C9C"/>
    <w:rsid w:val="00CD0E15"/>
    <w:rsid w:val="00CD1461"/>
    <w:rsid w:val="00CD2B11"/>
    <w:rsid w:val="00CD5B7F"/>
    <w:rsid w:val="00CE1BE6"/>
    <w:rsid w:val="00CE3BF5"/>
    <w:rsid w:val="00CE7238"/>
    <w:rsid w:val="00CE7C27"/>
    <w:rsid w:val="00CF0BC1"/>
    <w:rsid w:val="00CF111A"/>
    <w:rsid w:val="00CF130B"/>
    <w:rsid w:val="00CF29EE"/>
    <w:rsid w:val="00CF2B76"/>
    <w:rsid w:val="00CF332C"/>
    <w:rsid w:val="00CF3A55"/>
    <w:rsid w:val="00CF521C"/>
    <w:rsid w:val="00CF5F99"/>
    <w:rsid w:val="00CF62DF"/>
    <w:rsid w:val="00CF737D"/>
    <w:rsid w:val="00D00777"/>
    <w:rsid w:val="00D00E47"/>
    <w:rsid w:val="00D015E8"/>
    <w:rsid w:val="00D0337B"/>
    <w:rsid w:val="00D03B80"/>
    <w:rsid w:val="00D043DB"/>
    <w:rsid w:val="00D06C93"/>
    <w:rsid w:val="00D0729E"/>
    <w:rsid w:val="00D079B2"/>
    <w:rsid w:val="00D104C5"/>
    <w:rsid w:val="00D10AD3"/>
    <w:rsid w:val="00D114E9"/>
    <w:rsid w:val="00D1190D"/>
    <w:rsid w:val="00D12CB8"/>
    <w:rsid w:val="00D132D5"/>
    <w:rsid w:val="00D140DA"/>
    <w:rsid w:val="00D142C1"/>
    <w:rsid w:val="00D14BD6"/>
    <w:rsid w:val="00D14F79"/>
    <w:rsid w:val="00D157E1"/>
    <w:rsid w:val="00D15D34"/>
    <w:rsid w:val="00D15F68"/>
    <w:rsid w:val="00D166D5"/>
    <w:rsid w:val="00D16C29"/>
    <w:rsid w:val="00D20970"/>
    <w:rsid w:val="00D236A6"/>
    <w:rsid w:val="00D249EB"/>
    <w:rsid w:val="00D24D84"/>
    <w:rsid w:val="00D26B59"/>
    <w:rsid w:val="00D26C11"/>
    <w:rsid w:val="00D26C4A"/>
    <w:rsid w:val="00D27AAE"/>
    <w:rsid w:val="00D27AF0"/>
    <w:rsid w:val="00D27C36"/>
    <w:rsid w:val="00D316AA"/>
    <w:rsid w:val="00D31CA7"/>
    <w:rsid w:val="00D320A4"/>
    <w:rsid w:val="00D32716"/>
    <w:rsid w:val="00D3315F"/>
    <w:rsid w:val="00D33374"/>
    <w:rsid w:val="00D3339B"/>
    <w:rsid w:val="00D3461B"/>
    <w:rsid w:val="00D34C31"/>
    <w:rsid w:val="00D358A1"/>
    <w:rsid w:val="00D3623E"/>
    <w:rsid w:val="00D364FE"/>
    <w:rsid w:val="00D36B30"/>
    <w:rsid w:val="00D40086"/>
    <w:rsid w:val="00D41132"/>
    <w:rsid w:val="00D4140C"/>
    <w:rsid w:val="00D415B8"/>
    <w:rsid w:val="00D4295D"/>
    <w:rsid w:val="00D429C6"/>
    <w:rsid w:val="00D42C1A"/>
    <w:rsid w:val="00D42F65"/>
    <w:rsid w:val="00D43A16"/>
    <w:rsid w:val="00D4486D"/>
    <w:rsid w:val="00D4523B"/>
    <w:rsid w:val="00D455D1"/>
    <w:rsid w:val="00D4596A"/>
    <w:rsid w:val="00D46459"/>
    <w:rsid w:val="00D46FDC"/>
    <w:rsid w:val="00D474F9"/>
    <w:rsid w:val="00D47748"/>
    <w:rsid w:val="00D47C45"/>
    <w:rsid w:val="00D506A3"/>
    <w:rsid w:val="00D50E03"/>
    <w:rsid w:val="00D513F3"/>
    <w:rsid w:val="00D53239"/>
    <w:rsid w:val="00D5402E"/>
    <w:rsid w:val="00D54433"/>
    <w:rsid w:val="00D548A8"/>
    <w:rsid w:val="00D54B0F"/>
    <w:rsid w:val="00D54CC3"/>
    <w:rsid w:val="00D559F1"/>
    <w:rsid w:val="00D55F2E"/>
    <w:rsid w:val="00D57396"/>
    <w:rsid w:val="00D6041A"/>
    <w:rsid w:val="00D606EF"/>
    <w:rsid w:val="00D60B12"/>
    <w:rsid w:val="00D60D94"/>
    <w:rsid w:val="00D6256C"/>
    <w:rsid w:val="00D62B4F"/>
    <w:rsid w:val="00D633EB"/>
    <w:rsid w:val="00D641A2"/>
    <w:rsid w:val="00D64799"/>
    <w:rsid w:val="00D65C53"/>
    <w:rsid w:val="00D65CCC"/>
    <w:rsid w:val="00D65E6C"/>
    <w:rsid w:val="00D67C51"/>
    <w:rsid w:val="00D67E06"/>
    <w:rsid w:val="00D71F32"/>
    <w:rsid w:val="00D73503"/>
    <w:rsid w:val="00D7438B"/>
    <w:rsid w:val="00D746DB"/>
    <w:rsid w:val="00D769BF"/>
    <w:rsid w:val="00D77459"/>
    <w:rsid w:val="00D77E0A"/>
    <w:rsid w:val="00D82FF7"/>
    <w:rsid w:val="00D83078"/>
    <w:rsid w:val="00D838E8"/>
    <w:rsid w:val="00D83ABC"/>
    <w:rsid w:val="00D84729"/>
    <w:rsid w:val="00D847FE"/>
    <w:rsid w:val="00D84B08"/>
    <w:rsid w:val="00D918D5"/>
    <w:rsid w:val="00D937BB"/>
    <w:rsid w:val="00D95462"/>
    <w:rsid w:val="00D95A0B"/>
    <w:rsid w:val="00D964EA"/>
    <w:rsid w:val="00D966D0"/>
    <w:rsid w:val="00D966D6"/>
    <w:rsid w:val="00D976B3"/>
    <w:rsid w:val="00D97DF3"/>
    <w:rsid w:val="00DA0384"/>
    <w:rsid w:val="00DA05AC"/>
    <w:rsid w:val="00DA0C59"/>
    <w:rsid w:val="00DA12CA"/>
    <w:rsid w:val="00DA1C75"/>
    <w:rsid w:val="00DA1CE8"/>
    <w:rsid w:val="00DA2772"/>
    <w:rsid w:val="00DA33A9"/>
    <w:rsid w:val="00DA3991"/>
    <w:rsid w:val="00DA3CB5"/>
    <w:rsid w:val="00DA58D1"/>
    <w:rsid w:val="00DA662C"/>
    <w:rsid w:val="00DA7C3A"/>
    <w:rsid w:val="00DB0067"/>
    <w:rsid w:val="00DB0335"/>
    <w:rsid w:val="00DB0848"/>
    <w:rsid w:val="00DB0990"/>
    <w:rsid w:val="00DB0B25"/>
    <w:rsid w:val="00DB1632"/>
    <w:rsid w:val="00DB23C1"/>
    <w:rsid w:val="00DB4941"/>
    <w:rsid w:val="00DB5051"/>
    <w:rsid w:val="00DB60E4"/>
    <w:rsid w:val="00DB776D"/>
    <w:rsid w:val="00DB7782"/>
    <w:rsid w:val="00DB7E6C"/>
    <w:rsid w:val="00DC0D7F"/>
    <w:rsid w:val="00DC10DE"/>
    <w:rsid w:val="00DC18CD"/>
    <w:rsid w:val="00DC27E1"/>
    <w:rsid w:val="00DC3F86"/>
    <w:rsid w:val="00DC6ADF"/>
    <w:rsid w:val="00DC76E9"/>
    <w:rsid w:val="00DC7C1D"/>
    <w:rsid w:val="00DD09D1"/>
    <w:rsid w:val="00DD0B43"/>
    <w:rsid w:val="00DD254D"/>
    <w:rsid w:val="00DD2707"/>
    <w:rsid w:val="00DD3F19"/>
    <w:rsid w:val="00DD4458"/>
    <w:rsid w:val="00DD5A29"/>
    <w:rsid w:val="00DD5D9D"/>
    <w:rsid w:val="00DE06E4"/>
    <w:rsid w:val="00DE14FA"/>
    <w:rsid w:val="00DE1E94"/>
    <w:rsid w:val="00DE1F7D"/>
    <w:rsid w:val="00DE265F"/>
    <w:rsid w:val="00DE35CB"/>
    <w:rsid w:val="00DE3686"/>
    <w:rsid w:val="00DE3DDF"/>
    <w:rsid w:val="00DE5284"/>
    <w:rsid w:val="00DE5DC0"/>
    <w:rsid w:val="00DE6585"/>
    <w:rsid w:val="00DE677A"/>
    <w:rsid w:val="00DE76CE"/>
    <w:rsid w:val="00DF21E9"/>
    <w:rsid w:val="00DF281A"/>
    <w:rsid w:val="00DF360C"/>
    <w:rsid w:val="00DF5532"/>
    <w:rsid w:val="00DF5E04"/>
    <w:rsid w:val="00DF7081"/>
    <w:rsid w:val="00E00F14"/>
    <w:rsid w:val="00E01639"/>
    <w:rsid w:val="00E03C38"/>
    <w:rsid w:val="00E04CDF"/>
    <w:rsid w:val="00E06386"/>
    <w:rsid w:val="00E07ABE"/>
    <w:rsid w:val="00E07C88"/>
    <w:rsid w:val="00E10F0A"/>
    <w:rsid w:val="00E11C2A"/>
    <w:rsid w:val="00E11CCF"/>
    <w:rsid w:val="00E11F71"/>
    <w:rsid w:val="00E13DCF"/>
    <w:rsid w:val="00E1506C"/>
    <w:rsid w:val="00E15F6E"/>
    <w:rsid w:val="00E16012"/>
    <w:rsid w:val="00E20BDF"/>
    <w:rsid w:val="00E20DA5"/>
    <w:rsid w:val="00E20FC5"/>
    <w:rsid w:val="00E22027"/>
    <w:rsid w:val="00E231E3"/>
    <w:rsid w:val="00E2471D"/>
    <w:rsid w:val="00E24CDA"/>
    <w:rsid w:val="00E24EB4"/>
    <w:rsid w:val="00E25B5E"/>
    <w:rsid w:val="00E25BBA"/>
    <w:rsid w:val="00E315EC"/>
    <w:rsid w:val="00E320ED"/>
    <w:rsid w:val="00E32FB5"/>
    <w:rsid w:val="00E3379F"/>
    <w:rsid w:val="00E33AFB"/>
    <w:rsid w:val="00E34218"/>
    <w:rsid w:val="00E3637D"/>
    <w:rsid w:val="00E37DA4"/>
    <w:rsid w:val="00E4036A"/>
    <w:rsid w:val="00E40431"/>
    <w:rsid w:val="00E40974"/>
    <w:rsid w:val="00E419BA"/>
    <w:rsid w:val="00E44337"/>
    <w:rsid w:val="00E447CF"/>
    <w:rsid w:val="00E46282"/>
    <w:rsid w:val="00E46772"/>
    <w:rsid w:val="00E46B57"/>
    <w:rsid w:val="00E46DD7"/>
    <w:rsid w:val="00E47DE0"/>
    <w:rsid w:val="00E47FE6"/>
    <w:rsid w:val="00E5216E"/>
    <w:rsid w:val="00E526AA"/>
    <w:rsid w:val="00E52C15"/>
    <w:rsid w:val="00E54CAD"/>
    <w:rsid w:val="00E5537C"/>
    <w:rsid w:val="00E56B86"/>
    <w:rsid w:val="00E5706E"/>
    <w:rsid w:val="00E571F4"/>
    <w:rsid w:val="00E57BE4"/>
    <w:rsid w:val="00E57DC3"/>
    <w:rsid w:val="00E60C5A"/>
    <w:rsid w:val="00E62748"/>
    <w:rsid w:val="00E628FB"/>
    <w:rsid w:val="00E63156"/>
    <w:rsid w:val="00E64240"/>
    <w:rsid w:val="00E651FC"/>
    <w:rsid w:val="00E675FB"/>
    <w:rsid w:val="00E67A6B"/>
    <w:rsid w:val="00E70FD5"/>
    <w:rsid w:val="00E70FF7"/>
    <w:rsid w:val="00E72908"/>
    <w:rsid w:val="00E72C40"/>
    <w:rsid w:val="00E7421E"/>
    <w:rsid w:val="00E74C1A"/>
    <w:rsid w:val="00E77901"/>
    <w:rsid w:val="00E81C0D"/>
    <w:rsid w:val="00E81E60"/>
    <w:rsid w:val="00E82344"/>
    <w:rsid w:val="00E82DAE"/>
    <w:rsid w:val="00E832E2"/>
    <w:rsid w:val="00E83721"/>
    <w:rsid w:val="00E83BFB"/>
    <w:rsid w:val="00E8480C"/>
    <w:rsid w:val="00E84C82"/>
    <w:rsid w:val="00E84CB9"/>
    <w:rsid w:val="00E84D64"/>
    <w:rsid w:val="00E852B6"/>
    <w:rsid w:val="00E87353"/>
    <w:rsid w:val="00E87408"/>
    <w:rsid w:val="00E900F9"/>
    <w:rsid w:val="00E905C4"/>
    <w:rsid w:val="00E913FD"/>
    <w:rsid w:val="00E914C4"/>
    <w:rsid w:val="00E91A3A"/>
    <w:rsid w:val="00E9209B"/>
    <w:rsid w:val="00E92A76"/>
    <w:rsid w:val="00E92D68"/>
    <w:rsid w:val="00E92EF9"/>
    <w:rsid w:val="00E934F5"/>
    <w:rsid w:val="00E9409C"/>
    <w:rsid w:val="00E95DB5"/>
    <w:rsid w:val="00E96961"/>
    <w:rsid w:val="00EA0A2F"/>
    <w:rsid w:val="00EA14C5"/>
    <w:rsid w:val="00EA16BF"/>
    <w:rsid w:val="00EA19BD"/>
    <w:rsid w:val="00EA2D97"/>
    <w:rsid w:val="00EA4271"/>
    <w:rsid w:val="00EA50D7"/>
    <w:rsid w:val="00EA55E4"/>
    <w:rsid w:val="00EA6FC7"/>
    <w:rsid w:val="00EA72CF"/>
    <w:rsid w:val="00EA72EC"/>
    <w:rsid w:val="00EA74C0"/>
    <w:rsid w:val="00EA7D14"/>
    <w:rsid w:val="00EB11CB"/>
    <w:rsid w:val="00EB275A"/>
    <w:rsid w:val="00EB44C0"/>
    <w:rsid w:val="00EB596E"/>
    <w:rsid w:val="00EB7598"/>
    <w:rsid w:val="00EB786A"/>
    <w:rsid w:val="00EC0791"/>
    <w:rsid w:val="00EC1578"/>
    <w:rsid w:val="00EC1C72"/>
    <w:rsid w:val="00EC2D19"/>
    <w:rsid w:val="00EC35B0"/>
    <w:rsid w:val="00EC3CC9"/>
    <w:rsid w:val="00EC431D"/>
    <w:rsid w:val="00EC53E3"/>
    <w:rsid w:val="00EC680A"/>
    <w:rsid w:val="00EC684D"/>
    <w:rsid w:val="00EC73F2"/>
    <w:rsid w:val="00EC7BB6"/>
    <w:rsid w:val="00ED058A"/>
    <w:rsid w:val="00ED0D16"/>
    <w:rsid w:val="00ED1347"/>
    <w:rsid w:val="00ED1B89"/>
    <w:rsid w:val="00ED2AF7"/>
    <w:rsid w:val="00ED3751"/>
    <w:rsid w:val="00ED4D9C"/>
    <w:rsid w:val="00ED4FEE"/>
    <w:rsid w:val="00ED6775"/>
    <w:rsid w:val="00ED6AF4"/>
    <w:rsid w:val="00ED7209"/>
    <w:rsid w:val="00ED7C54"/>
    <w:rsid w:val="00EE0292"/>
    <w:rsid w:val="00EE02E9"/>
    <w:rsid w:val="00EE1496"/>
    <w:rsid w:val="00EE2381"/>
    <w:rsid w:val="00EE2BED"/>
    <w:rsid w:val="00EE374B"/>
    <w:rsid w:val="00EE3857"/>
    <w:rsid w:val="00EE4E52"/>
    <w:rsid w:val="00EE5714"/>
    <w:rsid w:val="00EE5A38"/>
    <w:rsid w:val="00EE6145"/>
    <w:rsid w:val="00EF0B97"/>
    <w:rsid w:val="00EF0BE8"/>
    <w:rsid w:val="00EF1ACF"/>
    <w:rsid w:val="00EF2024"/>
    <w:rsid w:val="00EF23A6"/>
    <w:rsid w:val="00EF2CDE"/>
    <w:rsid w:val="00EF2E84"/>
    <w:rsid w:val="00EF3A96"/>
    <w:rsid w:val="00EF53C8"/>
    <w:rsid w:val="00EF55AA"/>
    <w:rsid w:val="00EF7EDA"/>
    <w:rsid w:val="00F01680"/>
    <w:rsid w:val="00F024B0"/>
    <w:rsid w:val="00F05BDB"/>
    <w:rsid w:val="00F07661"/>
    <w:rsid w:val="00F1119B"/>
    <w:rsid w:val="00F11BB5"/>
    <w:rsid w:val="00F13058"/>
    <w:rsid w:val="00F13777"/>
    <w:rsid w:val="00F1417B"/>
    <w:rsid w:val="00F151EA"/>
    <w:rsid w:val="00F15234"/>
    <w:rsid w:val="00F1573B"/>
    <w:rsid w:val="00F1610E"/>
    <w:rsid w:val="00F16A4A"/>
    <w:rsid w:val="00F16C1F"/>
    <w:rsid w:val="00F16F14"/>
    <w:rsid w:val="00F20A14"/>
    <w:rsid w:val="00F225AF"/>
    <w:rsid w:val="00F23C30"/>
    <w:rsid w:val="00F2438D"/>
    <w:rsid w:val="00F26F78"/>
    <w:rsid w:val="00F2710F"/>
    <w:rsid w:val="00F303FC"/>
    <w:rsid w:val="00F30E50"/>
    <w:rsid w:val="00F31232"/>
    <w:rsid w:val="00F330C9"/>
    <w:rsid w:val="00F343E5"/>
    <w:rsid w:val="00F34B99"/>
    <w:rsid w:val="00F356F4"/>
    <w:rsid w:val="00F36E67"/>
    <w:rsid w:val="00F37AEC"/>
    <w:rsid w:val="00F37C3F"/>
    <w:rsid w:val="00F40274"/>
    <w:rsid w:val="00F42BF9"/>
    <w:rsid w:val="00F43E5C"/>
    <w:rsid w:val="00F44267"/>
    <w:rsid w:val="00F458F9"/>
    <w:rsid w:val="00F4651D"/>
    <w:rsid w:val="00F46570"/>
    <w:rsid w:val="00F47D94"/>
    <w:rsid w:val="00F520AB"/>
    <w:rsid w:val="00F52DAB"/>
    <w:rsid w:val="00F52E05"/>
    <w:rsid w:val="00F533EF"/>
    <w:rsid w:val="00F534FA"/>
    <w:rsid w:val="00F543F0"/>
    <w:rsid w:val="00F54F6C"/>
    <w:rsid w:val="00F55087"/>
    <w:rsid w:val="00F56B35"/>
    <w:rsid w:val="00F57311"/>
    <w:rsid w:val="00F57A6F"/>
    <w:rsid w:val="00F57D68"/>
    <w:rsid w:val="00F60875"/>
    <w:rsid w:val="00F60D1B"/>
    <w:rsid w:val="00F62D87"/>
    <w:rsid w:val="00F64569"/>
    <w:rsid w:val="00F649A1"/>
    <w:rsid w:val="00F66D76"/>
    <w:rsid w:val="00F67B30"/>
    <w:rsid w:val="00F67D39"/>
    <w:rsid w:val="00F70310"/>
    <w:rsid w:val="00F70582"/>
    <w:rsid w:val="00F70EBC"/>
    <w:rsid w:val="00F727C2"/>
    <w:rsid w:val="00F74087"/>
    <w:rsid w:val="00F756B8"/>
    <w:rsid w:val="00F76165"/>
    <w:rsid w:val="00F76222"/>
    <w:rsid w:val="00F76A75"/>
    <w:rsid w:val="00F771F6"/>
    <w:rsid w:val="00F80226"/>
    <w:rsid w:val="00F8151B"/>
    <w:rsid w:val="00F81D29"/>
    <w:rsid w:val="00F828A5"/>
    <w:rsid w:val="00F8383D"/>
    <w:rsid w:val="00F845C8"/>
    <w:rsid w:val="00F856D1"/>
    <w:rsid w:val="00F85ECF"/>
    <w:rsid w:val="00F863E5"/>
    <w:rsid w:val="00F86847"/>
    <w:rsid w:val="00F878B1"/>
    <w:rsid w:val="00F87989"/>
    <w:rsid w:val="00F90176"/>
    <w:rsid w:val="00F918AA"/>
    <w:rsid w:val="00F91A18"/>
    <w:rsid w:val="00F91B5D"/>
    <w:rsid w:val="00F91C4D"/>
    <w:rsid w:val="00F92270"/>
    <w:rsid w:val="00F92FD9"/>
    <w:rsid w:val="00F934FB"/>
    <w:rsid w:val="00F93FB6"/>
    <w:rsid w:val="00F94B75"/>
    <w:rsid w:val="00F95415"/>
    <w:rsid w:val="00F95417"/>
    <w:rsid w:val="00F95E26"/>
    <w:rsid w:val="00F961CB"/>
    <w:rsid w:val="00F963AB"/>
    <w:rsid w:val="00F96E65"/>
    <w:rsid w:val="00FA1EA5"/>
    <w:rsid w:val="00FA2E51"/>
    <w:rsid w:val="00FA3B0B"/>
    <w:rsid w:val="00FA5BF0"/>
    <w:rsid w:val="00FA6568"/>
    <w:rsid w:val="00FA6684"/>
    <w:rsid w:val="00FA6D05"/>
    <w:rsid w:val="00FA72C8"/>
    <w:rsid w:val="00FA731E"/>
    <w:rsid w:val="00FB0B72"/>
    <w:rsid w:val="00FB0CC4"/>
    <w:rsid w:val="00FB20C6"/>
    <w:rsid w:val="00FB2342"/>
    <w:rsid w:val="00FB2B38"/>
    <w:rsid w:val="00FB2DA6"/>
    <w:rsid w:val="00FB2E7C"/>
    <w:rsid w:val="00FB3074"/>
    <w:rsid w:val="00FB5756"/>
    <w:rsid w:val="00FB581D"/>
    <w:rsid w:val="00FB5F8F"/>
    <w:rsid w:val="00FB6757"/>
    <w:rsid w:val="00FC17DB"/>
    <w:rsid w:val="00FC1C83"/>
    <w:rsid w:val="00FC2872"/>
    <w:rsid w:val="00FC2A14"/>
    <w:rsid w:val="00FC3064"/>
    <w:rsid w:val="00FC3AC0"/>
    <w:rsid w:val="00FC3D90"/>
    <w:rsid w:val="00FC480C"/>
    <w:rsid w:val="00FC5106"/>
    <w:rsid w:val="00FC6175"/>
    <w:rsid w:val="00FC6358"/>
    <w:rsid w:val="00FC70D1"/>
    <w:rsid w:val="00FC758E"/>
    <w:rsid w:val="00FD01CF"/>
    <w:rsid w:val="00FD07C0"/>
    <w:rsid w:val="00FD0F5D"/>
    <w:rsid w:val="00FD142F"/>
    <w:rsid w:val="00FD320D"/>
    <w:rsid w:val="00FD393A"/>
    <w:rsid w:val="00FD3D5F"/>
    <w:rsid w:val="00FD42F0"/>
    <w:rsid w:val="00FD471A"/>
    <w:rsid w:val="00FD4B2C"/>
    <w:rsid w:val="00FD4C3E"/>
    <w:rsid w:val="00FD62C8"/>
    <w:rsid w:val="00FD6813"/>
    <w:rsid w:val="00FD6A36"/>
    <w:rsid w:val="00FD701C"/>
    <w:rsid w:val="00FE0D24"/>
    <w:rsid w:val="00FE186C"/>
    <w:rsid w:val="00FE234D"/>
    <w:rsid w:val="00FE2397"/>
    <w:rsid w:val="00FE23DE"/>
    <w:rsid w:val="00FE24E3"/>
    <w:rsid w:val="00FE2797"/>
    <w:rsid w:val="00FE3407"/>
    <w:rsid w:val="00FE5C8A"/>
    <w:rsid w:val="00FE7CEC"/>
    <w:rsid w:val="00FF0460"/>
    <w:rsid w:val="00FF0B48"/>
    <w:rsid w:val="00FF0B73"/>
    <w:rsid w:val="00FF1456"/>
    <w:rsid w:val="00FF18E4"/>
    <w:rsid w:val="00FF37DB"/>
    <w:rsid w:val="00FF56A8"/>
    <w:rsid w:val="00FF6EB4"/>
    <w:rsid w:val="00FF7608"/>
    <w:rsid w:val="00FF7A7D"/>
    <w:rsid w:val="00FF7A7E"/>
    <w:rsid w:val="012219FC"/>
    <w:rsid w:val="0167794B"/>
    <w:rsid w:val="016E7636"/>
    <w:rsid w:val="019A6790"/>
    <w:rsid w:val="01A95EED"/>
    <w:rsid w:val="01B666C0"/>
    <w:rsid w:val="01E97AAB"/>
    <w:rsid w:val="029A4513"/>
    <w:rsid w:val="02AB1FCD"/>
    <w:rsid w:val="02CF5A2E"/>
    <w:rsid w:val="031B4284"/>
    <w:rsid w:val="033379C0"/>
    <w:rsid w:val="03404493"/>
    <w:rsid w:val="034A09DE"/>
    <w:rsid w:val="03777EED"/>
    <w:rsid w:val="03E16F79"/>
    <w:rsid w:val="03E46318"/>
    <w:rsid w:val="041369E1"/>
    <w:rsid w:val="04315835"/>
    <w:rsid w:val="043F173E"/>
    <w:rsid w:val="044A7DD6"/>
    <w:rsid w:val="04762137"/>
    <w:rsid w:val="04EC1AEC"/>
    <w:rsid w:val="04F13E81"/>
    <w:rsid w:val="04FB7B82"/>
    <w:rsid w:val="05081319"/>
    <w:rsid w:val="050A47A8"/>
    <w:rsid w:val="054D10EA"/>
    <w:rsid w:val="055B2009"/>
    <w:rsid w:val="0598453C"/>
    <w:rsid w:val="059A2F03"/>
    <w:rsid w:val="05A351AD"/>
    <w:rsid w:val="05AD0072"/>
    <w:rsid w:val="06112117"/>
    <w:rsid w:val="06232261"/>
    <w:rsid w:val="069B0569"/>
    <w:rsid w:val="06CE1901"/>
    <w:rsid w:val="0728596A"/>
    <w:rsid w:val="074112DA"/>
    <w:rsid w:val="0794209D"/>
    <w:rsid w:val="07C929A1"/>
    <w:rsid w:val="07CC0BA8"/>
    <w:rsid w:val="07CD50A1"/>
    <w:rsid w:val="07CD682D"/>
    <w:rsid w:val="08354A32"/>
    <w:rsid w:val="08DD09B2"/>
    <w:rsid w:val="08ED4421"/>
    <w:rsid w:val="090D074B"/>
    <w:rsid w:val="096A2333"/>
    <w:rsid w:val="09CC5669"/>
    <w:rsid w:val="09CC5832"/>
    <w:rsid w:val="09F6562F"/>
    <w:rsid w:val="0A2658B6"/>
    <w:rsid w:val="0A516F86"/>
    <w:rsid w:val="0A6514D6"/>
    <w:rsid w:val="0A75494A"/>
    <w:rsid w:val="0AA91979"/>
    <w:rsid w:val="0ACF7993"/>
    <w:rsid w:val="0AE703CF"/>
    <w:rsid w:val="0AEC3153"/>
    <w:rsid w:val="0AF07719"/>
    <w:rsid w:val="0AF76B39"/>
    <w:rsid w:val="0B2A37F4"/>
    <w:rsid w:val="0B2E5D9F"/>
    <w:rsid w:val="0B3F7726"/>
    <w:rsid w:val="0B725406"/>
    <w:rsid w:val="0B755F08"/>
    <w:rsid w:val="0BB9732C"/>
    <w:rsid w:val="0BD72466"/>
    <w:rsid w:val="0BFB0240"/>
    <w:rsid w:val="0CAE43B6"/>
    <w:rsid w:val="0CC21B07"/>
    <w:rsid w:val="0CD9755A"/>
    <w:rsid w:val="0CDC34AD"/>
    <w:rsid w:val="0CFF46AF"/>
    <w:rsid w:val="0D731580"/>
    <w:rsid w:val="0DB137C5"/>
    <w:rsid w:val="0DB77A48"/>
    <w:rsid w:val="0E204A31"/>
    <w:rsid w:val="0E4445E9"/>
    <w:rsid w:val="0EA806B0"/>
    <w:rsid w:val="0ED70635"/>
    <w:rsid w:val="0EF565BB"/>
    <w:rsid w:val="0F0377C4"/>
    <w:rsid w:val="0F3C0933"/>
    <w:rsid w:val="0F455F66"/>
    <w:rsid w:val="0FE3268E"/>
    <w:rsid w:val="0FEC0E5A"/>
    <w:rsid w:val="10410981"/>
    <w:rsid w:val="10453175"/>
    <w:rsid w:val="106663EC"/>
    <w:rsid w:val="107C3E68"/>
    <w:rsid w:val="108E70AC"/>
    <w:rsid w:val="10900B28"/>
    <w:rsid w:val="10A25DC2"/>
    <w:rsid w:val="10B43BB2"/>
    <w:rsid w:val="10B730C3"/>
    <w:rsid w:val="10ED08B7"/>
    <w:rsid w:val="11466AA4"/>
    <w:rsid w:val="114E1850"/>
    <w:rsid w:val="11567578"/>
    <w:rsid w:val="115C354F"/>
    <w:rsid w:val="11AD095F"/>
    <w:rsid w:val="11C36AF5"/>
    <w:rsid w:val="11CF694E"/>
    <w:rsid w:val="11EF0194"/>
    <w:rsid w:val="11FE361B"/>
    <w:rsid w:val="11FF22A6"/>
    <w:rsid w:val="122A0061"/>
    <w:rsid w:val="125D575C"/>
    <w:rsid w:val="12753ACC"/>
    <w:rsid w:val="127D7C27"/>
    <w:rsid w:val="12AA5DA4"/>
    <w:rsid w:val="13292F4A"/>
    <w:rsid w:val="133100F1"/>
    <w:rsid w:val="13412F41"/>
    <w:rsid w:val="134224E0"/>
    <w:rsid w:val="13536972"/>
    <w:rsid w:val="137D3482"/>
    <w:rsid w:val="13B25F16"/>
    <w:rsid w:val="13C650A0"/>
    <w:rsid w:val="14037E47"/>
    <w:rsid w:val="14605247"/>
    <w:rsid w:val="14622FC1"/>
    <w:rsid w:val="147F224C"/>
    <w:rsid w:val="148803C5"/>
    <w:rsid w:val="14A17617"/>
    <w:rsid w:val="14B45E60"/>
    <w:rsid w:val="14C64F73"/>
    <w:rsid w:val="14E50640"/>
    <w:rsid w:val="159F1212"/>
    <w:rsid w:val="15A506CD"/>
    <w:rsid w:val="15BF0CE4"/>
    <w:rsid w:val="15F2777B"/>
    <w:rsid w:val="164A2DAE"/>
    <w:rsid w:val="16793EEF"/>
    <w:rsid w:val="16941AA7"/>
    <w:rsid w:val="16996B5B"/>
    <w:rsid w:val="16D650F8"/>
    <w:rsid w:val="1715758D"/>
    <w:rsid w:val="175A060D"/>
    <w:rsid w:val="180D40EB"/>
    <w:rsid w:val="181D1EC7"/>
    <w:rsid w:val="184075AC"/>
    <w:rsid w:val="184076F7"/>
    <w:rsid w:val="18550DA7"/>
    <w:rsid w:val="18600DC9"/>
    <w:rsid w:val="18780372"/>
    <w:rsid w:val="18954E2A"/>
    <w:rsid w:val="18A137C7"/>
    <w:rsid w:val="18DC2535"/>
    <w:rsid w:val="1936094D"/>
    <w:rsid w:val="19910B5A"/>
    <w:rsid w:val="19BF5263"/>
    <w:rsid w:val="19E73930"/>
    <w:rsid w:val="1A041A06"/>
    <w:rsid w:val="1A6920CA"/>
    <w:rsid w:val="1A731C0D"/>
    <w:rsid w:val="1AD00105"/>
    <w:rsid w:val="1ADB61D8"/>
    <w:rsid w:val="1AF62128"/>
    <w:rsid w:val="1AF77413"/>
    <w:rsid w:val="1B007F1A"/>
    <w:rsid w:val="1B082E33"/>
    <w:rsid w:val="1B177D78"/>
    <w:rsid w:val="1B234702"/>
    <w:rsid w:val="1B28788F"/>
    <w:rsid w:val="1B414170"/>
    <w:rsid w:val="1B4F135B"/>
    <w:rsid w:val="1B835293"/>
    <w:rsid w:val="1BF54CD5"/>
    <w:rsid w:val="1C19360F"/>
    <w:rsid w:val="1C2342B8"/>
    <w:rsid w:val="1C283432"/>
    <w:rsid w:val="1C2955B3"/>
    <w:rsid w:val="1C2F4C4D"/>
    <w:rsid w:val="1C3B2269"/>
    <w:rsid w:val="1C3E1AF3"/>
    <w:rsid w:val="1C6E3C9B"/>
    <w:rsid w:val="1C6F7CCB"/>
    <w:rsid w:val="1CA23671"/>
    <w:rsid w:val="1CAA0F46"/>
    <w:rsid w:val="1CAE069E"/>
    <w:rsid w:val="1CAE3B61"/>
    <w:rsid w:val="1CC83172"/>
    <w:rsid w:val="1CE811B1"/>
    <w:rsid w:val="1CFA0F33"/>
    <w:rsid w:val="1D1D1EA0"/>
    <w:rsid w:val="1D42569C"/>
    <w:rsid w:val="1D5A6959"/>
    <w:rsid w:val="1D5F0324"/>
    <w:rsid w:val="1D6D6258"/>
    <w:rsid w:val="1D807FEA"/>
    <w:rsid w:val="1DB47B00"/>
    <w:rsid w:val="1DC15BB7"/>
    <w:rsid w:val="1DE928FA"/>
    <w:rsid w:val="1E260811"/>
    <w:rsid w:val="1E2A472C"/>
    <w:rsid w:val="1E4B0C15"/>
    <w:rsid w:val="1E640431"/>
    <w:rsid w:val="1E646227"/>
    <w:rsid w:val="1E95700C"/>
    <w:rsid w:val="1EE04A36"/>
    <w:rsid w:val="1F334A54"/>
    <w:rsid w:val="1F472262"/>
    <w:rsid w:val="1F5A46D7"/>
    <w:rsid w:val="1F933745"/>
    <w:rsid w:val="1FAC03E3"/>
    <w:rsid w:val="1FCB54A6"/>
    <w:rsid w:val="1FDB587C"/>
    <w:rsid w:val="1FED7FAF"/>
    <w:rsid w:val="1FF14949"/>
    <w:rsid w:val="203930D0"/>
    <w:rsid w:val="205656B9"/>
    <w:rsid w:val="205B0707"/>
    <w:rsid w:val="20A11600"/>
    <w:rsid w:val="211D601B"/>
    <w:rsid w:val="21B079AA"/>
    <w:rsid w:val="21B23B59"/>
    <w:rsid w:val="21C94D14"/>
    <w:rsid w:val="21EF3B5E"/>
    <w:rsid w:val="22042806"/>
    <w:rsid w:val="220C05CD"/>
    <w:rsid w:val="222E4844"/>
    <w:rsid w:val="2255726F"/>
    <w:rsid w:val="225A1705"/>
    <w:rsid w:val="225B68F3"/>
    <w:rsid w:val="231A5355"/>
    <w:rsid w:val="232E79E6"/>
    <w:rsid w:val="23632F75"/>
    <w:rsid w:val="239113D8"/>
    <w:rsid w:val="23A46F6A"/>
    <w:rsid w:val="23B047DA"/>
    <w:rsid w:val="240473A9"/>
    <w:rsid w:val="24217795"/>
    <w:rsid w:val="24243C41"/>
    <w:rsid w:val="242A704F"/>
    <w:rsid w:val="246B6166"/>
    <w:rsid w:val="248C424B"/>
    <w:rsid w:val="24AF6095"/>
    <w:rsid w:val="24BA637B"/>
    <w:rsid w:val="24C34749"/>
    <w:rsid w:val="24DA75E2"/>
    <w:rsid w:val="251C53CB"/>
    <w:rsid w:val="2528325A"/>
    <w:rsid w:val="25AD719A"/>
    <w:rsid w:val="25D26F4E"/>
    <w:rsid w:val="260A56C5"/>
    <w:rsid w:val="26530D33"/>
    <w:rsid w:val="26711FC2"/>
    <w:rsid w:val="26735A32"/>
    <w:rsid w:val="26AB166D"/>
    <w:rsid w:val="26CA3C25"/>
    <w:rsid w:val="26DD698E"/>
    <w:rsid w:val="26F07935"/>
    <w:rsid w:val="27090EBD"/>
    <w:rsid w:val="272C23FA"/>
    <w:rsid w:val="274A2662"/>
    <w:rsid w:val="27B93193"/>
    <w:rsid w:val="27CA18D9"/>
    <w:rsid w:val="282B23EA"/>
    <w:rsid w:val="286435B5"/>
    <w:rsid w:val="288B069D"/>
    <w:rsid w:val="289023BD"/>
    <w:rsid w:val="28A21302"/>
    <w:rsid w:val="28A92C34"/>
    <w:rsid w:val="28C07A24"/>
    <w:rsid w:val="28FB69FC"/>
    <w:rsid w:val="2937602D"/>
    <w:rsid w:val="295976A1"/>
    <w:rsid w:val="297072D6"/>
    <w:rsid w:val="29BF4FE9"/>
    <w:rsid w:val="2A4C3D15"/>
    <w:rsid w:val="2A6754CA"/>
    <w:rsid w:val="2A753876"/>
    <w:rsid w:val="2AD5250D"/>
    <w:rsid w:val="2B0E2005"/>
    <w:rsid w:val="2B3A7FD6"/>
    <w:rsid w:val="2B5214C3"/>
    <w:rsid w:val="2B6B4C7E"/>
    <w:rsid w:val="2BA42B0F"/>
    <w:rsid w:val="2BF65788"/>
    <w:rsid w:val="2BFB4528"/>
    <w:rsid w:val="2C104747"/>
    <w:rsid w:val="2C1A5641"/>
    <w:rsid w:val="2C6015BA"/>
    <w:rsid w:val="2CA7297E"/>
    <w:rsid w:val="2CD87AC9"/>
    <w:rsid w:val="2D230ADF"/>
    <w:rsid w:val="2D5012D2"/>
    <w:rsid w:val="2D5239AB"/>
    <w:rsid w:val="2D5910EB"/>
    <w:rsid w:val="2D6C3FD1"/>
    <w:rsid w:val="2D7352E2"/>
    <w:rsid w:val="2D80215E"/>
    <w:rsid w:val="2D8E1801"/>
    <w:rsid w:val="2DA41267"/>
    <w:rsid w:val="2DBD14AA"/>
    <w:rsid w:val="2E331AD1"/>
    <w:rsid w:val="2E431935"/>
    <w:rsid w:val="2E607D93"/>
    <w:rsid w:val="2E657259"/>
    <w:rsid w:val="2EBC77DC"/>
    <w:rsid w:val="2ED7364E"/>
    <w:rsid w:val="2F0F103A"/>
    <w:rsid w:val="2F1A68E0"/>
    <w:rsid w:val="2F3152A6"/>
    <w:rsid w:val="2F4040E0"/>
    <w:rsid w:val="2F4E26B1"/>
    <w:rsid w:val="2F5800FF"/>
    <w:rsid w:val="2F974B8C"/>
    <w:rsid w:val="30044FAD"/>
    <w:rsid w:val="300942A1"/>
    <w:rsid w:val="307B44AD"/>
    <w:rsid w:val="307D6018"/>
    <w:rsid w:val="30840777"/>
    <w:rsid w:val="31060284"/>
    <w:rsid w:val="313B622E"/>
    <w:rsid w:val="3159659D"/>
    <w:rsid w:val="316504B6"/>
    <w:rsid w:val="317C5755"/>
    <w:rsid w:val="31942040"/>
    <w:rsid w:val="319C0B7F"/>
    <w:rsid w:val="32245C4E"/>
    <w:rsid w:val="32340DB8"/>
    <w:rsid w:val="324361A3"/>
    <w:rsid w:val="327A33B7"/>
    <w:rsid w:val="32807B59"/>
    <w:rsid w:val="32CF5ABA"/>
    <w:rsid w:val="32E54E76"/>
    <w:rsid w:val="32F07FE6"/>
    <w:rsid w:val="330843AC"/>
    <w:rsid w:val="331526B5"/>
    <w:rsid w:val="33261FCC"/>
    <w:rsid w:val="333D0C05"/>
    <w:rsid w:val="33465323"/>
    <w:rsid w:val="33491A3C"/>
    <w:rsid w:val="3371191D"/>
    <w:rsid w:val="33CB5A6A"/>
    <w:rsid w:val="33F20F2A"/>
    <w:rsid w:val="34061A1E"/>
    <w:rsid w:val="34137A61"/>
    <w:rsid w:val="344F2B02"/>
    <w:rsid w:val="346D5112"/>
    <w:rsid w:val="348322B5"/>
    <w:rsid w:val="348F0527"/>
    <w:rsid w:val="34A96B37"/>
    <w:rsid w:val="34C84D93"/>
    <w:rsid w:val="34CA3E2C"/>
    <w:rsid w:val="34F565DC"/>
    <w:rsid w:val="35143F5C"/>
    <w:rsid w:val="35445C5F"/>
    <w:rsid w:val="357756D2"/>
    <w:rsid w:val="35C51237"/>
    <w:rsid w:val="35DE1766"/>
    <w:rsid w:val="35E66C42"/>
    <w:rsid w:val="362E4622"/>
    <w:rsid w:val="364D1480"/>
    <w:rsid w:val="36971D2C"/>
    <w:rsid w:val="37285E75"/>
    <w:rsid w:val="372A2284"/>
    <w:rsid w:val="372D1AA0"/>
    <w:rsid w:val="37305FF2"/>
    <w:rsid w:val="376C4B50"/>
    <w:rsid w:val="379E0494"/>
    <w:rsid w:val="37B16457"/>
    <w:rsid w:val="37F93C55"/>
    <w:rsid w:val="38116215"/>
    <w:rsid w:val="38136CDD"/>
    <w:rsid w:val="38167357"/>
    <w:rsid w:val="386C17A3"/>
    <w:rsid w:val="388262C8"/>
    <w:rsid w:val="38E17CD1"/>
    <w:rsid w:val="39161217"/>
    <w:rsid w:val="396E1A8A"/>
    <w:rsid w:val="39BE446C"/>
    <w:rsid w:val="39DC1B4A"/>
    <w:rsid w:val="39DD1C17"/>
    <w:rsid w:val="3A2A5B99"/>
    <w:rsid w:val="3A4164A5"/>
    <w:rsid w:val="3A6E6C6A"/>
    <w:rsid w:val="3A874367"/>
    <w:rsid w:val="3A8E7CF0"/>
    <w:rsid w:val="3A9102DC"/>
    <w:rsid w:val="3AEA44E5"/>
    <w:rsid w:val="3B443E1A"/>
    <w:rsid w:val="3B4B2729"/>
    <w:rsid w:val="3BBB1B47"/>
    <w:rsid w:val="3BC554C1"/>
    <w:rsid w:val="3BC872CD"/>
    <w:rsid w:val="3BE417EC"/>
    <w:rsid w:val="3BED22BE"/>
    <w:rsid w:val="3BF31572"/>
    <w:rsid w:val="3C2228BC"/>
    <w:rsid w:val="3C3A346E"/>
    <w:rsid w:val="3C5F2ED5"/>
    <w:rsid w:val="3C5F339E"/>
    <w:rsid w:val="3C6D51CF"/>
    <w:rsid w:val="3C940DD1"/>
    <w:rsid w:val="3C9D7BC1"/>
    <w:rsid w:val="3CB971A8"/>
    <w:rsid w:val="3CEA09F1"/>
    <w:rsid w:val="3CFE42CF"/>
    <w:rsid w:val="3D33146D"/>
    <w:rsid w:val="3D39592F"/>
    <w:rsid w:val="3D413ADE"/>
    <w:rsid w:val="3D57260A"/>
    <w:rsid w:val="3D5C18C8"/>
    <w:rsid w:val="3D5D7C63"/>
    <w:rsid w:val="3D7071F9"/>
    <w:rsid w:val="3D8726E3"/>
    <w:rsid w:val="3DB762CD"/>
    <w:rsid w:val="3DB7702D"/>
    <w:rsid w:val="3DBE7CA0"/>
    <w:rsid w:val="3DDB6F2B"/>
    <w:rsid w:val="3E0335D3"/>
    <w:rsid w:val="3E542E5E"/>
    <w:rsid w:val="3EBE2198"/>
    <w:rsid w:val="3ECD1242"/>
    <w:rsid w:val="3ED77E9D"/>
    <w:rsid w:val="3EF40231"/>
    <w:rsid w:val="3F1E4982"/>
    <w:rsid w:val="3F2B6AA7"/>
    <w:rsid w:val="3F356D6F"/>
    <w:rsid w:val="3F650535"/>
    <w:rsid w:val="3F7E0F6C"/>
    <w:rsid w:val="3F7E3055"/>
    <w:rsid w:val="3F891A0D"/>
    <w:rsid w:val="3F9849C3"/>
    <w:rsid w:val="3FE74022"/>
    <w:rsid w:val="40127082"/>
    <w:rsid w:val="404C2E51"/>
    <w:rsid w:val="4081341A"/>
    <w:rsid w:val="408950DA"/>
    <w:rsid w:val="40BD0183"/>
    <w:rsid w:val="40BD5297"/>
    <w:rsid w:val="40F77B80"/>
    <w:rsid w:val="411B22D3"/>
    <w:rsid w:val="412B5BC3"/>
    <w:rsid w:val="416D399E"/>
    <w:rsid w:val="41775A0C"/>
    <w:rsid w:val="41BF692C"/>
    <w:rsid w:val="41CE7091"/>
    <w:rsid w:val="41EF14D0"/>
    <w:rsid w:val="42472441"/>
    <w:rsid w:val="4299371A"/>
    <w:rsid w:val="43032287"/>
    <w:rsid w:val="437E2DA2"/>
    <w:rsid w:val="43822DA8"/>
    <w:rsid w:val="438A4566"/>
    <w:rsid w:val="438A480E"/>
    <w:rsid w:val="43B92A96"/>
    <w:rsid w:val="43E954D4"/>
    <w:rsid w:val="43EB6F80"/>
    <w:rsid w:val="44084782"/>
    <w:rsid w:val="440A0005"/>
    <w:rsid w:val="44812823"/>
    <w:rsid w:val="4481793B"/>
    <w:rsid w:val="448D54EC"/>
    <w:rsid w:val="44BE3F88"/>
    <w:rsid w:val="45051259"/>
    <w:rsid w:val="450D1720"/>
    <w:rsid w:val="45192CA0"/>
    <w:rsid w:val="451C49B5"/>
    <w:rsid w:val="454C32E5"/>
    <w:rsid w:val="457E4B98"/>
    <w:rsid w:val="45880C30"/>
    <w:rsid w:val="459718CB"/>
    <w:rsid w:val="45B752AB"/>
    <w:rsid w:val="45C94763"/>
    <w:rsid w:val="45E87A97"/>
    <w:rsid w:val="46002CCA"/>
    <w:rsid w:val="46181616"/>
    <w:rsid w:val="46252AD3"/>
    <w:rsid w:val="46374F2F"/>
    <w:rsid w:val="465D0B70"/>
    <w:rsid w:val="4667140B"/>
    <w:rsid w:val="466B1248"/>
    <w:rsid w:val="46D31A9E"/>
    <w:rsid w:val="46EE732F"/>
    <w:rsid w:val="46F07F12"/>
    <w:rsid w:val="46F4531F"/>
    <w:rsid w:val="46FC67E9"/>
    <w:rsid w:val="46FF32EA"/>
    <w:rsid w:val="476350EE"/>
    <w:rsid w:val="47705CE5"/>
    <w:rsid w:val="477C493B"/>
    <w:rsid w:val="478447E3"/>
    <w:rsid w:val="47A36A64"/>
    <w:rsid w:val="47AF2F63"/>
    <w:rsid w:val="483454B8"/>
    <w:rsid w:val="48D04263"/>
    <w:rsid w:val="48DD3AFF"/>
    <w:rsid w:val="48E07F96"/>
    <w:rsid w:val="48EF58E3"/>
    <w:rsid w:val="490B2EAF"/>
    <w:rsid w:val="491A6B14"/>
    <w:rsid w:val="492A4641"/>
    <w:rsid w:val="493502C3"/>
    <w:rsid w:val="493A40EC"/>
    <w:rsid w:val="493C58EC"/>
    <w:rsid w:val="4940381C"/>
    <w:rsid w:val="49474C41"/>
    <w:rsid w:val="495234FD"/>
    <w:rsid w:val="498C01D3"/>
    <w:rsid w:val="49900836"/>
    <w:rsid w:val="49A73263"/>
    <w:rsid w:val="49C10D2B"/>
    <w:rsid w:val="49C12FFD"/>
    <w:rsid w:val="49CA638D"/>
    <w:rsid w:val="49DE7D7D"/>
    <w:rsid w:val="49DF63D4"/>
    <w:rsid w:val="49F64E79"/>
    <w:rsid w:val="4A105A1F"/>
    <w:rsid w:val="4A1754B0"/>
    <w:rsid w:val="4A6D4A0F"/>
    <w:rsid w:val="4AB51373"/>
    <w:rsid w:val="4ABE1451"/>
    <w:rsid w:val="4ADB4956"/>
    <w:rsid w:val="4AEA5EE3"/>
    <w:rsid w:val="4B0378FD"/>
    <w:rsid w:val="4B12752A"/>
    <w:rsid w:val="4B1F5D27"/>
    <w:rsid w:val="4B5C0D0B"/>
    <w:rsid w:val="4B9B6012"/>
    <w:rsid w:val="4BA00C70"/>
    <w:rsid w:val="4BD77BF9"/>
    <w:rsid w:val="4BF6116E"/>
    <w:rsid w:val="4BFD0839"/>
    <w:rsid w:val="4C544E26"/>
    <w:rsid w:val="4C96649F"/>
    <w:rsid w:val="4CA547BC"/>
    <w:rsid w:val="4CA615C2"/>
    <w:rsid w:val="4CAE2353"/>
    <w:rsid w:val="4CB23B89"/>
    <w:rsid w:val="4CD93F7A"/>
    <w:rsid w:val="4CE61EA6"/>
    <w:rsid w:val="4D130821"/>
    <w:rsid w:val="4D5F7344"/>
    <w:rsid w:val="4DA42413"/>
    <w:rsid w:val="4DA70238"/>
    <w:rsid w:val="4DBE3EFF"/>
    <w:rsid w:val="4DD549F4"/>
    <w:rsid w:val="4E622C19"/>
    <w:rsid w:val="4E746118"/>
    <w:rsid w:val="4EC87325"/>
    <w:rsid w:val="4ECE5844"/>
    <w:rsid w:val="4ED40E8E"/>
    <w:rsid w:val="4EEC17DF"/>
    <w:rsid w:val="4F1C5579"/>
    <w:rsid w:val="4F2F603C"/>
    <w:rsid w:val="4F726F50"/>
    <w:rsid w:val="4FB31F60"/>
    <w:rsid w:val="4FC0530E"/>
    <w:rsid w:val="4FCB17BF"/>
    <w:rsid w:val="50152A51"/>
    <w:rsid w:val="508526B5"/>
    <w:rsid w:val="50DF5BCF"/>
    <w:rsid w:val="50F55FFE"/>
    <w:rsid w:val="514A09AC"/>
    <w:rsid w:val="514E4E9E"/>
    <w:rsid w:val="518E282D"/>
    <w:rsid w:val="52157728"/>
    <w:rsid w:val="521A0578"/>
    <w:rsid w:val="523A3584"/>
    <w:rsid w:val="5255651F"/>
    <w:rsid w:val="528D13CE"/>
    <w:rsid w:val="52A064E8"/>
    <w:rsid w:val="52B642E9"/>
    <w:rsid w:val="52B94C95"/>
    <w:rsid w:val="52D86B01"/>
    <w:rsid w:val="52DE6261"/>
    <w:rsid w:val="53135DC6"/>
    <w:rsid w:val="53235413"/>
    <w:rsid w:val="533911DE"/>
    <w:rsid w:val="53497A60"/>
    <w:rsid w:val="53591C70"/>
    <w:rsid w:val="537D2167"/>
    <w:rsid w:val="53F245D9"/>
    <w:rsid w:val="54C61062"/>
    <w:rsid w:val="54D06254"/>
    <w:rsid w:val="55524CCF"/>
    <w:rsid w:val="555A1BA0"/>
    <w:rsid w:val="559C0ECE"/>
    <w:rsid w:val="55B948FD"/>
    <w:rsid w:val="55DB478F"/>
    <w:rsid w:val="562E2338"/>
    <w:rsid w:val="56544A99"/>
    <w:rsid w:val="567664F1"/>
    <w:rsid w:val="56A12098"/>
    <w:rsid w:val="56EA26AF"/>
    <w:rsid w:val="576D4988"/>
    <w:rsid w:val="579A50DA"/>
    <w:rsid w:val="579F6A0D"/>
    <w:rsid w:val="57B37C72"/>
    <w:rsid w:val="582E57DE"/>
    <w:rsid w:val="584F14E5"/>
    <w:rsid w:val="587A085B"/>
    <w:rsid w:val="587A6907"/>
    <w:rsid w:val="58D04EEB"/>
    <w:rsid w:val="596013A4"/>
    <w:rsid w:val="59A20926"/>
    <w:rsid w:val="59B82373"/>
    <w:rsid w:val="59BA1119"/>
    <w:rsid w:val="59D56FCB"/>
    <w:rsid w:val="5A1E5BC9"/>
    <w:rsid w:val="5A557999"/>
    <w:rsid w:val="5A82356B"/>
    <w:rsid w:val="5AC87F98"/>
    <w:rsid w:val="5AC97A40"/>
    <w:rsid w:val="5AD8442B"/>
    <w:rsid w:val="5B107B27"/>
    <w:rsid w:val="5B1D250E"/>
    <w:rsid w:val="5B291234"/>
    <w:rsid w:val="5B2E5729"/>
    <w:rsid w:val="5B503CBD"/>
    <w:rsid w:val="5C0B1FEA"/>
    <w:rsid w:val="5C204034"/>
    <w:rsid w:val="5C2361FF"/>
    <w:rsid w:val="5C6E03E4"/>
    <w:rsid w:val="5C7F0CFE"/>
    <w:rsid w:val="5CA32377"/>
    <w:rsid w:val="5D0B6FB2"/>
    <w:rsid w:val="5D215911"/>
    <w:rsid w:val="5D3323F4"/>
    <w:rsid w:val="5D401DB4"/>
    <w:rsid w:val="5D6E3134"/>
    <w:rsid w:val="5D881E34"/>
    <w:rsid w:val="5DB80C55"/>
    <w:rsid w:val="5DC016B0"/>
    <w:rsid w:val="5DC4706D"/>
    <w:rsid w:val="5DF3666D"/>
    <w:rsid w:val="5DF80792"/>
    <w:rsid w:val="5E030BDD"/>
    <w:rsid w:val="5E0E1F3A"/>
    <w:rsid w:val="5E167440"/>
    <w:rsid w:val="5E2A2EEB"/>
    <w:rsid w:val="5E385608"/>
    <w:rsid w:val="5E457C97"/>
    <w:rsid w:val="5E550ABC"/>
    <w:rsid w:val="5E7F5CDD"/>
    <w:rsid w:val="5E8C24F0"/>
    <w:rsid w:val="5EB834B8"/>
    <w:rsid w:val="5F050F69"/>
    <w:rsid w:val="5F101E43"/>
    <w:rsid w:val="5F27742B"/>
    <w:rsid w:val="5F3D0CC1"/>
    <w:rsid w:val="5F50072F"/>
    <w:rsid w:val="5F797C86"/>
    <w:rsid w:val="5F7F1523"/>
    <w:rsid w:val="5FAD2C4B"/>
    <w:rsid w:val="5FBB4342"/>
    <w:rsid w:val="5FC32719"/>
    <w:rsid w:val="5FC7688E"/>
    <w:rsid w:val="60135DAE"/>
    <w:rsid w:val="60584FB2"/>
    <w:rsid w:val="60F144CD"/>
    <w:rsid w:val="61283A42"/>
    <w:rsid w:val="612C33AF"/>
    <w:rsid w:val="61A145F4"/>
    <w:rsid w:val="61FF32B4"/>
    <w:rsid w:val="620F0F50"/>
    <w:rsid w:val="62582BD7"/>
    <w:rsid w:val="6269113A"/>
    <w:rsid w:val="627A0579"/>
    <w:rsid w:val="62BD1BEB"/>
    <w:rsid w:val="62C4493B"/>
    <w:rsid w:val="62E542ED"/>
    <w:rsid w:val="62E859EB"/>
    <w:rsid w:val="630907A0"/>
    <w:rsid w:val="63163CE2"/>
    <w:rsid w:val="63182EAC"/>
    <w:rsid w:val="631C2492"/>
    <w:rsid w:val="63532703"/>
    <w:rsid w:val="635822A8"/>
    <w:rsid w:val="63681884"/>
    <w:rsid w:val="638031CA"/>
    <w:rsid w:val="63B81EE2"/>
    <w:rsid w:val="63DF49E9"/>
    <w:rsid w:val="63FA4F34"/>
    <w:rsid w:val="640B7DAC"/>
    <w:rsid w:val="642B60CB"/>
    <w:rsid w:val="64A82A4B"/>
    <w:rsid w:val="64F02C8A"/>
    <w:rsid w:val="65450320"/>
    <w:rsid w:val="65576140"/>
    <w:rsid w:val="6569254B"/>
    <w:rsid w:val="656E1B1E"/>
    <w:rsid w:val="65944B26"/>
    <w:rsid w:val="65A43FC9"/>
    <w:rsid w:val="65B415CE"/>
    <w:rsid w:val="660D2ED6"/>
    <w:rsid w:val="66212E26"/>
    <w:rsid w:val="66237A0D"/>
    <w:rsid w:val="662B7800"/>
    <w:rsid w:val="663E4DE4"/>
    <w:rsid w:val="664901A6"/>
    <w:rsid w:val="665925BF"/>
    <w:rsid w:val="666D20C5"/>
    <w:rsid w:val="666F5074"/>
    <w:rsid w:val="67065E2D"/>
    <w:rsid w:val="674D72CB"/>
    <w:rsid w:val="67666605"/>
    <w:rsid w:val="677D3F57"/>
    <w:rsid w:val="678F7CFE"/>
    <w:rsid w:val="67933FF5"/>
    <w:rsid w:val="67ED5EA9"/>
    <w:rsid w:val="67FD1FC9"/>
    <w:rsid w:val="68AB1361"/>
    <w:rsid w:val="68C42C20"/>
    <w:rsid w:val="68EC3E19"/>
    <w:rsid w:val="68FC7232"/>
    <w:rsid w:val="69153AB4"/>
    <w:rsid w:val="69280ABE"/>
    <w:rsid w:val="69360996"/>
    <w:rsid w:val="695A0B28"/>
    <w:rsid w:val="69B045E4"/>
    <w:rsid w:val="69BF2E9B"/>
    <w:rsid w:val="69C9448A"/>
    <w:rsid w:val="6A1E618D"/>
    <w:rsid w:val="6A6830C7"/>
    <w:rsid w:val="6A89513B"/>
    <w:rsid w:val="6AF86CCA"/>
    <w:rsid w:val="6B1F2A69"/>
    <w:rsid w:val="6B6271EC"/>
    <w:rsid w:val="6B63694B"/>
    <w:rsid w:val="6B944C9F"/>
    <w:rsid w:val="6BB169FA"/>
    <w:rsid w:val="6BB81E9C"/>
    <w:rsid w:val="6BC0308D"/>
    <w:rsid w:val="6BC169DB"/>
    <w:rsid w:val="6C507E9E"/>
    <w:rsid w:val="6C6E0CDB"/>
    <w:rsid w:val="6CA302ED"/>
    <w:rsid w:val="6CBD219B"/>
    <w:rsid w:val="6CDE6539"/>
    <w:rsid w:val="6CE949FC"/>
    <w:rsid w:val="6D1250B4"/>
    <w:rsid w:val="6D4333EB"/>
    <w:rsid w:val="6D4578FD"/>
    <w:rsid w:val="6D5B5009"/>
    <w:rsid w:val="6D7927F5"/>
    <w:rsid w:val="6DA5433C"/>
    <w:rsid w:val="6DB82D84"/>
    <w:rsid w:val="6DC07BE1"/>
    <w:rsid w:val="6DF22304"/>
    <w:rsid w:val="6E1E7249"/>
    <w:rsid w:val="6E4C770B"/>
    <w:rsid w:val="6E660453"/>
    <w:rsid w:val="6E671015"/>
    <w:rsid w:val="6EB573D5"/>
    <w:rsid w:val="6ECF41D9"/>
    <w:rsid w:val="6EDA324E"/>
    <w:rsid w:val="6EDC1FE0"/>
    <w:rsid w:val="6EFE1F56"/>
    <w:rsid w:val="6F0F5F11"/>
    <w:rsid w:val="6F5A4CB2"/>
    <w:rsid w:val="6F6C446C"/>
    <w:rsid w:val="6FA31ED0"/>
    <w:rsid w:val="6FAA7DC7"/>
    <w:rsid w:val="6FFF53CD"/>
    <w:rsid w:val="702B1DB3"/>
    <w:rsid w:val="70330545"/>
    <w:rsid w:val="70383B5E"/>
    <w:rsid w:val="7046345D"/>
    <w:rsid w:val="70700FEC"/>
    <w:rsid w:val="70873F25"/>
    <w:rsid w:val="70DB5C50"/>
    <w:rsid w:val="70E22E6B"/>
    <w:rsid w:val="70E44DFB"/>
    <w:rsid w:val="70E60574"/>
    <w:rsid w:val="7115666A"/>
    <w:rsid w:val="71283A40"/>
    <w:rsid w:val="7145658E"/>
    <w:rsid w:val="71516E4C"/>
    <w:rsid w:val="715E1B3B"/>
    <w:rsid w:val="71BB412E"/>
    <w:rsid w:val="71D50C08"/>
    <w:rsid w:val="72200306"/>
    <w:rsid w:val="72802DD1"/>
    <w:rsid w:val="728B2D64"/>
    <w:rsid w:val="72BF41FF"/>
    <w:rsid w:val="72CA40A3"/>
    <w:rsid w:val="72D336FA"/>
    <w:rsid w:val="72FA1D9E"/>
    <w:rsid w:val="730E7546"/>
    <w:rsid w:val="731A1328"/>
    <w:rsid w:val="73225B94"/>
    <w:rsid w:val="735859AD"/>
    <w:rsid w:val="73AA64F6"/>
    <w:rsid w:val="73AB01D2"/>
    <w:rsid w:val="742548C6"/>
    <w:rsid w:val="742F4960"/>
    <w:rsid w:val="74395B62"/>
    <w:rsid w:val="74872D2C"/>
    <w:rsid w:val="74A3249F"/>
    <w:rsid w:val="74A528F7"/>
    <w:rsid w:val="74B60001"/>
    <w:rsid w:val="74B9591D"/>
    <w:rsid w:val="74C948AE"/>
    <w:rsid w:val="752B04F1"/>
    <w:rsid w:val="753B1786"/>
    <w:rsid w:val="7547340F"/>
    <w:rsid w:val="755846A3"/>
    <w:rsid w:val="755A5A0C"/>
    <w:rsid w:val="75B5764E"/>
    <w:rsid w:val="75BC1782"/>
    <w:rsid w:val="75C51409"/>
    <w:rsid w:val="75F31DC5"/>
    <w:rsid w:val="76443835"/>
    <w:rsid w:val="76452218"/>
    <w:rsid w:val="766E7A4E"/>
    <w:rsid w:val="76C90024"/>
    <w:rsid w:val="76E40F21"/>
    <w:rsid w:val="77171CF2"/>
    <w:rsid w:val="774E340D"/>
    <w:rsid w:val="776808B4"/>
    <w:rsid w:val="77805973"/>
    <w:rsid w:val="7784595D"/>
    <w:rsid w:val="77A35559"/>
    <w:rsid w:val="77CF4F3C"/>
    <w:rsid w:val="77F621A1"/>
    <w:rsid w:val="77FF49FF"/>
    <w:rsid w:val="78005013"/>
    <w:rsid w:val="781661DD"/>
    <w:rsid w:val="781F488D"/>
    <w:rsid w:val="782737EE"/>
    <w:rsid w:val="784B2F23"/>
    <w:rsid w:val="78B70534"/>
    <w:rsid w:val="78D46E6C"/>
    <w:rsid w:val="78D9133E"/>
    <w:rsid w:val="7901334D"/>
    <w:rsid w:val="793378CE"/>
    <w:rsid w:val="79445522"/>
    <w:rsid w:val="794A0303"/>
    <w:rsid w:val="796B57AB"/>
    <w:rsid w:val="79827F50"/>
    <w:rsid w:val="798B2A6D"/>
    <w:rsid w:val="79AB4DB8"/>
    <w:rsid w:val="79D042F9"/>
    <w:rsid w:val="7A161F72"/>
    <w:rsid w:val="7A225BCB"/>
    <w:rsid w:val="7A3D682E"/>
    <w:rsid w:val="7A9F7821"/>
    <w:rsid w:val="7B133AD1"/>
    <w:rsid w:val="7B477731"/>
    <w:rsid w:val="7B5B37C9"/>
    <w:rsid w:val="7BBE695A"/>
    <w:rsid w:val="7BC609BA"/>
    <w:rsid w:val="7BEE1A48"/>
    <w:rsid w:val="7BF94115"/>
    <w:rsid w:val="7C2231EF"/>
    <w:rsid w:val="7C281CA5"/>
    <w:rsid w:val="7C607E09"/>
    <w:rsid w:val="7CC866AC"/>
    <w:rsid w:val="7CD75C71"/>
    <w:rsid w:val="7CE608EB"/>
    <w:rsid w:val="7D1B0348"/>
    <w:rsid w:val="7D394CB6"/>
    <w:rsid w:val="7D5835A2"/>
    <w:rsid w:val="7D913864"/>
    <w:rsid w:val="7DC21FBB"/>
    <w:rsid w:val="7E0552DA"/>
    <w:rsid w:val="7E0F30CA"/>
    <w:rsid w:val="7E233624"/>
    <w:rsid w:val="7E391887"/>
    <w:rsid w:val="7E3F2705"/>
    <w:rsid w:val="7E631DD5"/>
    <w:rsid w:val="7E776D60"/>
    <w:rsid w:val="7E814130"/>
    <w:rsid w:val="7EE92EC5"/>
    <w:rsid w:val="7EEB09B2"/>
    <w:rsid w:val="7EED5B43"/>
    <w:rsid w:val="7F412B63"/>
    <w:rsid w:val="7FDF16F2"/>
    <w:rsid w:val="7FFD5B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nhideWhenUsed="0" w:uiPriority="0" w:semiHidden="0" w:name="index 1"/>
    <w:lsdException w:qFormat="1" w:unhideWhenUsed="0" w:uiPriority="0" w:semiHidden="0" w:name="index 2"/>
    <w:lsdException w:qFormat="1" w:unhideWhenUsed="0" w:uiPriority="0" w:semiHidden="0" w:name="index 3"/>
    <w:lsdException w:qFormat="1" w:unhideWhenUsed="0" w:uiPriority="0" w:semiHidden="0" w:name="index 4"/>
    <w:lsdException w:qFormat="1" w:unhideWhenUsed="0" w:uiPriority="0" w:semiHidden="0" w:name="index 5"/>
    <w:lsdException w:qFormat="1" w:unhideWhenUsed="0" w:uiPriority="0" w:semiHidden="0" w:name="index 6"/>
    <w:lsdException w:qFormat="1" w:unhideWhenUsed="0" w:uiPriority="0" w:semiHidden="0" w:name="index 7"/>
    <w:lsdException w:qFormat="1" w:unhideWhenUsed="0" w:uiPriority="0" w:semiHidden="0" w:name="index 8"/>
    <w:lsdException w:qFormat="1" w:unhideWhenUsed="0" w:uiPriority="0" w:semiHidden="0"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0" w:name="toc 4"/>
    <w:lsdException w:qFormat="1" w:unhideWhenUsed="0" w:uiPriority="0" w:name="toc 5"/>
    <w:lsdException w:qFormat="1" w:unhideWhenUsed="0" w:uiPriority="0" w:name="toc 6"/>
    <w:lsdException w:qFormat="1" w:unhideWhenUsed="0" w:uiPriority="0" w:name="toc 7"/>
    <w:lsdException w:qFormat="1" w:unhideWhenUsed="0" w:uiPriority="0" w:name="toc 8"/>
    <w:lsdException w:qFormat="1" w:unhideWhenUsed="0" w:uiPriority="0" w:name="toc 9"/>
    <w:lsdException w:uiPriority="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qFormat="1" w:unhideWhenUsed="0" w:uiPriority="0" w:semiHidden="0" w:name="index heading"/>
    <w:lsdException w:qFormat="1" w:unhideWhenUsed="0" w:uiPriority="0" w:semiHidden="0" w:name="caption"/>
    <w:lsdException w:uiPriority="0" w:name="table of figures"/>
    <w:lsdException w:uiPriority="0" w:name="envelope address"/>
    <w:lsdException w:uiPriority="0" w:name="envelope return"/>
    <w:lsdException w:qFormat="1" w:unhideWhenUsed="0" w:uiPriority="0" w:name="footnote reference"/>
    <w:lsdException w:qFormat="1" w:unhideWhenUsed="0" w:uiPriority="0" w:semiHidden="0" w:name="annotation reference"/>
    <w:lsdException w:uiPriority="0" w:name="line number"/>
    <w:lsdException w:qFormat="1" w:unhideWhenUsed="0" w:uiPriority="0" w:semiHidden="0" w:name="page number"/>
    <w:lsdException w:qFormat="1" w:unhideWhenUsed="0" w:uiPriority="0" w:name="endnote reference"/>
    <w:lsdException w:qFormat="1" w:unhideWhenUsed="0"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0"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name="Document Map"/>
    <w:lsdException w:uiPriority="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147"/>
    <w:autoRedefine/>
    <w:qFormat/>
    <w:uiPriority w:val="0"/>
    <w:pPr>
      <w:keepNext/>
      <w:keepLines/>
      <w:spacing w:before="340" w:after="330" w:line="578" w:lineRule="auto"/>
      <w:outlineLvl w:val="0"/>
    </w:pPr>
    <w:rPr>
      <w:b/>
      <w:bCs/>
      <w:kern w:val="44"/>
      <w:sz w:val="44"/>
      <w:szCs w:val="44"/>
    </w:rPr>
  </w:style>
  <w:style w:type="paragraph" w:styleId="4">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paragraph" w:styleId="2">
    <w:name w:val="heading 3"/>
    <w:basedOn w:val="1"/>
    <w:next w:val="1"/>
    <w:autoRedefine/>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38">
    <w:name w:val="Default Paragraph Font"/>
    <w:autoRedefine/>
    <w:semiHidden/>
    <w:unhideWhenUsed/>
    <w:qFormat/>
    <w:uiPriority w:val="1"/>
  </w:style>
  <w:style w:type="table" w:default="1" w:styleId="36">
    <w:name w:val="Normal Table"/>
    <w:autoRedefine/>
    <w:semiHidden/>
    <w:unhideWhenUsed/>
    <w:qFormat/>
    <w:uiPriority w:val="99"/>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5">
    <w:name w:val="toc 7"/>
    <w:basedOn w:val="1"/>
    <w:next w:val="1"/>
    <w:autoRedefine/>
    <w:semiHidden/>
    <w:qFormat/>
    <w:uiPriority w:val="0"/>
    <w:pPr>
      <w:tabs>
        <w:tab w:val="right" w:leader="dot" w:pos="9241"/>
      </w:tabs>
      <w:ind w:firstLine="505" w:firstLineChars="500"/>
      <w:jc w:val="left"/>
    </w:pPr>
    <w:rPr>
      <w:rFonts w:ascii="宋体"/>
      <w:szCs w:val="21"/>
    </w:rPr>
  </w:style>
  <w:style w:type="paragraph" w:styleId="6">
    <w:name w:val="index 8"/>
    <w:basedOn w:val="1"/>
    <w:next w:val="1"/>
    <w:autoRedefine/>
    <w:qFormat/>
    <w:uiPriority w:val="0"/>
    <w:pPr>
      <w:ind w:left="1680" w:hanging="210"/>
      <w:jc w:val="left"/>
    </w:pPr>
    <w:rPr>
      <w:rFonts w:ascii="Calibri" w:hAnsi="Calibri"/>
      <w:sz w:val="20"/>
      <w:szCs w:val="20"/>
    </w:rPr>
  </w:style>
  <w:style w:type="paragraph" w:styleId="7">
    <w:name w:val="caption"/>
    <w:basedOn w:val="1"/>
    <w:next w:val="1"/>
    <w:autoRedefine/>
    <w:qFormat/>
    <w:uiPriority w:val="0"/>
    <w:pPr>
      <w:spacing w:before="152" w:after="160"/>
    </w:pPr>
    <w:rPr>
      <w:rFonts w:ascii="Arial" w:hAnsi="Arial" w:eastAsia="黑体" w:cs="Arial"/>
      <w:sz w:val="20"/>
      <w:szCs w:val="20"/>
    </w:rPr>
  </w:style>
  <w:style w:type="paragraph" w:styleId="8">
    <w:name w:val="index 5"/>
    <w:basedOn w:val="1"/>
    <w:next w:val="1"/>
    <w:autoRedefine/>
    <w:qFormat/>
    <w:uiPriority w:val="0"/>
    <w:pPr>
      <w:ind w:left="1050" w:hanging="210"/>
      <w:jc w:val="left"/>
    </w:pPr>
    <w:rPr>
      <w:rFonts w:ascii="Calibri" w:hAnsi="Calibri"/>
      <w:sz w:val="20"/>
      <w:szCs w:val="20"/>
    </w:rPr>
  </w:style>
  <w:style w:type="paragraph" w:styleId="9">
    <w:name w:val="Document Map"/>
    <w:basedOn w:val="1"/>
    <w:autoRedefine/>
    <w:semiHidden/>
    <w:qFormat/>
    <w:uiPriority w:val="0"/>
    <w:pPr>
      <w:shd w:val="clear" w:color="auto" w:fill="000080"/>
    </w:pPr>
  </w:style>
  <w:style w:type="paragraph" w:styleId="10">
    <w:name w:val="annotation text"/>
    <w:basedOn w:val="1"/>
    <w:link w:val="151"/>
    <w:autoRedefine/>
    <w:qFormat/>
    <w:uiPriority w:val="0"/>
    <w:pPr>
      <w:jc w:val="left"/>
    </w:pPr>
  </w:style>
  <w:style w:type="paragraph" w:styleId="11">
    <w:name w:val="index 6"/>
    <w:basedOn w:val="1"/>
    <w:next w:val="1"/>
    <w:autoRedefine/>
    <w:qFormat/>
    <w:uiPriority w:val="0"/>
    <w:pPr>
      <w:ind w:left="1260" w:hanging="210"/>
      <w:jc w:val="left"/>
    </w:pPr>
    <w:rPr>
      <w:rFonts w:ascii="Calibri" w:hAnsi="Calibri"/>
      <w:sz w:val="20"/>
      <w:szCs w:val="20"/>
    </w:rPr>
  </w:style>
  <w:style w:type="paragraph" w:styleId="12">
    <w:name w:val="Body Text"/>
    <w:basedOn w:val="1"/>
    <w:link w:val="142"/>
    <w:autoRedefine/>
    <w:qFormat/>
    <w:uiPriority w:val="0"/>
    <w:pPr>
      <w:autoSpaceDE w:val="0"/>
      <w:autoSpaceDN w:val="0"/>
      <w:jc w:val="left"/>
    </w:pPr>
    <w:rPr>
      <w:rFonts w:ascii="宋体" w:hAnsi="宋体" w:cs="宋体"/>
      <w:kern w:val="0"/>
      <w:szCs w:val="21"/>
      <w:lang w:val="zh-CN" w:bidi="zh-CN"/>
    </w:rPr>
  </w:style>
  <w:style w:type="paragraph" w:styleId="13">
    <w:name w:val="index 4"/>
    <w:basedOn w:val="1"/>
    <w:next w:val="1"/>
    <w:autoRedefine/>
    <w:qFormat/>
    <w:uiPriority w:val="0"/>
    <w:pPr>
      <w:ind w:left="840" w:hanging="210"/>
      <w:jc w:val="left"/>
    </w:pPr>
    <w:rPr>
      <w:rFonts w:ascii="Calibri" w:hAnsi="Calibri"/>
      <w:sz w:val="20"/>
      <w:szCs w:val="20"/>
    </w:rPr>
  </w:style>
  <w:style w:type="paragraph" w:styleId="14">
    <w:name w:val="toc 5"/>
    <w:basedOn w:val="1"/>
    <w:next w:val="1"/>
    <w:autoRedefine/>
    <w:semiHidden/>
    <w:qFormat/>
    <w:uiPriority w:val="0"/>
    <w:pPr>
      <w:tabs>
        <w:tab w:val="right" w:leader="dot" w:pos="9241"/>
      </w:tabs>
      <w:ind w:firstLine="300" w:firstLineChars="300"/>
      <w:jc w:val="left"/>
    </w:pPr>
    <w:rPr>
      <w:rFonts w:ascii="宋体"/>
      <w:szCs w:val="21"/>
    </w:rPr>
  </w:style>
  <w:style w:type="paragraph" w:styleId="15">
    <w:name w:val="toc 3"/>
    <w:basedOn w:val="1"/>
    <w:next w:val="1"/>
    <w:autoRedefine/>
    <w:qFormat/>
    <w:uiPriority w:val="39"/>
    <w:pPr>
      <w:tabs>
        <w:tab w:val="right" w:leader="dot" w:pos="9241"/>
      </w:tabs>
      <w:ind w:firstLine="102" w:firstLineChars="100"/>
      <w:jc w:val="left"/>
    </w:pPr>
    <w:rPr>
      <w:rFonts w:ascii="宋体"/>
      <w:szCs w:val="21"/>
    </w:rPr>
  </w:style>
  <w:style w:type="paragraph" w:styleId="16">
    <w:name w:val="toc 8"/>
    <w:basedOn w:val="1"/>
    <w:next w:val="1"/>
    <w:autoRedefine/>
    <w:semiHidden/>
    <w:qFormat/>
    <w:uiPriority w:val="0"/>
    <w:pPr>
      <w:tabs>
        <w:tab w:val="right" w:leader="dot" w:pos="9241"/>
      </w:tabs>
      <w:ind w:firstLine="607" w:firstLineChars="600"/>
      <w:jc w:val="left"/>
    </w:pPr>
    <w:rPr>
      <w:rFonts w:ascii="宋体"/>
      <w:szCs w:val="21"/>
    </w:rPr>
  </w:style>
  <w:style w:type="paragraph" w:styleId="17">
    <w:name w:val="index 3"/>
    <w:basedOn w:val="1"/>
    <w:next w:val="1"/>
    <w:autoRedefine/>
    <w:qFormat/>
    <w:uiPriority w:val="0"/>
    <w:pPr>
      <w:ind w:left="630" w:hanging="210"/>
      <w:jc w:val="left"/>
    </w:pPr>
    <w:rPr>
      <w:rFonts w:ascii="Calibri" w:hAnsi="Calibri"/>
      <w:sz w:val="20"/>
      <w:szCs w:val="20"/>
    </w:rPr>
  </w:style>
  <w:style w:type="paragraph" w:styleId="18">
    <w:name w:val="endnote text"/>
    <w:basedOn w:val="1"/>
    <w:autoRedefine/>
    <w:semiHidden/>
    <w:qFormat/>
    <w:uiPriority w:val="0"/>
    <w:pPr>
      <w:snapToGrid w:val="0"/>
      <w:jc w:val="left"/>
    </w:pPr>
  </w:style>
  <w:style w:type="paragraph" w:styleId="19">
    <w:name w:val="Balloon Text"/>
    <w:basedOn w:val="1"/>
    <w:link w:val="149"/>
    <w:autoRedefine/>
    <w:qFormat/>
    <w:uiPriority w:val="0"/>
    <w:rPr>
      <w:sz w:val="18"/>
      <w:szCs w:val="18"/>
    </w:rPr>
  </w:style>
  <w:style w:type="paragraph" w:styleId="20">
    <w:name w:val="footer"/>
    <w:basedOn w:val="1"/>
    <w:autoRedefine/>
    <w:qFormat/>
    <w:uiPriority w:val="0"/>
    <w:pPr>
      <w:snapToGrid w:val="0"/>
      <w:ind w:right="210" w:rightChars="100"/>
      <w:jc w:val="right"/>
    </w:pPr>
    <w:rPr>
      <w:sz w:val="18"/>
      <w:szCs w:val="18"/>
    </w:rPr>
  </w:style>
  <w:style w:type="paragraph" w:styleId="21">
    <w:name w:val="header"/>
    <w:basedOn w:val="1"/>
    <w:autoRedefine/>
    <w:qFormat/>
    <w:uiPriority w:val="0"/>
    <w:pPr>
      <w:snapToGrid w:val="0"/>
      <w:jc w:val="left"/>
    </w:pPr>
    <w:rPr>
      <w:sz w:val="18"/>
      <w:szCs w:val="18"/>
    </w:rPr>
  </w:style>
  <w:style w:type="paragraph" w:styleId="22">
    <w:name w:val="toc 1"/>
    <w:basedOn w:val="1"/>
    <w:next w:val="1"/>
    <w:autoRedefine/>
    <w:qFormat/>
    <w:uiPriority w:val="39"/>
    <w:pPr>
      <w:tabs>
        <w:tab w:val="right" w:leader="dot" w:pos="9241"/>
      </w:tabs>
      <w:spacing w:before="25" w:beforeLines="25" w:after="25" w:afterLines="25"/>
      <w:jc w:val="left"/>
    </w:pPr>
    <w:rPr>
      <w:rFonts w:ascii="宋体"/>
      <w:szCs w:val="21"/>
    </w:rPr>
  </w:style>
  <w:style w:type="paragraph" w:styleId="23">
    <w:name w:val="toc 4"/>
    <w:basedOn w:val="1"/>
    <w:next w:val="1"/>
    <w:autoRedefine/>
    <w:semiHidden/>
    <w:qFormat/>
    <w:uiPriority w:val="0"/>
    <w:pPr>
      <w:tabs>
        <w:tab w:val="right" w:leader="dot" w:pos="9241"/>
      </w:tabs>
      <w:ind w:firstLine="198" w:firstLineChars="200"/>
      <w:jc w:val="left"/>
    </w:pPr>
    <w:rPr>
      <w:rFonts w:ascii="宋体"/>
      <w:szCs w:val="21"/>
    </w:rPr>
  </w:style>
  <w:style w:type="paragraph" w:styleId="24">
    <w:name w:val="index heading"/>
    <w:basedOn w:val="1"/>
    <w:next w:val="25"/>
    <w:autoRedefine/>
    <w:qFormat/>
    <w:uiPriority w:val="0"/>
    <w:pPr>
      <w:spacing w:before="120" w:after="120"/>
      <w:jc w:val="center"/>
    </w:pPr>
    <w:rPr>
      <w:rFonts w:ascii="Calibri" w:hAnsi="Calibri"/>
      <w:b/>
      <w:bCs/>
      <w:iCs/>
      <w:szCs w:val="20"/>
    </w:rPr>
  </w:style>
  <w:style w:type="paragraph" w:styleId="25">
    <w:name w:val="index 1"/>
    <w:basedOn w:val="1"/>
    <w:next w:val="26"/>
    <w:autoRedefine/>
    <w:qFormat/>
    <w:uiPriority w:val="0"/>
    <w:pPr>
      <w:tabs>
        <w:tab w:val="right" w:leader="dot" w:pos="9299"/>
      </w:tabs>
      <w:jc w:val="left"/>
    </w:pPr>
    <w:rPr>
      <w:rFonts w:ascii="宋体"/>
      <w:szCs w:val="21"/>
    </w:rPr>
  </w:style>
  <w:style w:type="paragraph" w:customStyle="1" w:styleId="26">
    <w:name w:val="段"/>
    <w:link w:val="46"/>
    <w:autoRedefine/>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paragraph" w:styleId="27">
    <w:name w:val="footnote text"/>
    <w:basedOn w:val="1"/>
    <w:autoRedefine/>
    <w:qFormat/>
    <w:uiPriority w:val="0"/>
    <w:pPr>
      <w:numPr>
        <w:ilvl w:val="0"/>
        <w:numId w:val="1"/>
      </w:numPr>
      <w:snapToGrid w:val="0"/>
      <w:jc w:val="left"/>
    </w:pPr>
    <w:rPr>
      <w:rFonts w:ascii="宋体"/>
      <w:sz w:val="18"/>
      <w:szCs w:val="18"/>
    </w:rPr>
  </w:style>
  <w:style w:type="paragraph" w:styleId="28">
    <w:name w:val="toc 6"/>
    <w:basedOn w:val="1"/>
    <w:next w:val="1"/>
    <w:autoRedefine/>
    <w:semiHidden/>
    <w:qFormat/>
    <w:uiPriority w:val="0"/>
    <w:pPr>
      <w:tabs>
        <w:tab w:val="right" w:leader="dot" w:pos="9241"/>
      </w:tabs>
      <w:ind w:firstLine="403" w:firstLineChars="400"/>
      <w:jc w:val="left"/>
    </w:pPr>
    <w:rPr>
      <w:rFonts w:ascii="宋体"/>
      <w:szCs w:val="21"/>
    </w:rPr>
  </w:style>
  <w:style w:type="paragraph" w:styleId="29">
    <w:name w:val="index 7"/>
    <w:basedOn w:val="1"/>
    <w:next w:val="1"/>
    <w:autoRedefine/>
    <w:qFormat/>
    <w:uiPriority w:val="0"/>
    <w:pPr>
      <w:ind w:left="1470" w:hanging="210"/>
      <w:jc w:val="left"/>
    </w:pPr>
    <w:rPr>
      <w:rFonts w:ascii="Calibri" w:hAnsi="Calibri"/>
      <w:sz w:val="20"/>
      <w:szCs w:val="20"/>
    </w:rPr>
  </w:style>
  <w:style w:type="paragraph" w:styleId="30">
    <w:name w:val="index 9"/>
    <w:basedOn w:val="1"/>
    <w:next w:val="1"/>
    <w:autoRedefine/>
    <w:qFormat/>
    <w:uiPriority w:val="0"/>
    <w:pPr>
      <w:ind w:left="1890" w:hanging="210"/>
      <w:jc w:val="left"/>
    </w:pPr>
    <w:rPr>
      <w:rFonts w:ascii="Calibri" w:hAnsi="Calibri"/>
      <w:sz w:val="20"/>
      <w:szCs w:val="20"/>
    </w:rPr>
  </w:style>
  <w:style w:type="paragraph" w:styleId="31">
    <w:name w:val="toc 2"/>
    <w:basedOn w:val="1"/>
    <w:next w:val="1"/>
    <w:autoRedefine/>
    <w:qFormat/>
    <w:uiPriority w:val="39"/>
    <w:pPr>
      <w:tabs>
        <w:tab w:val="right" w:leader="dot" w:pos="9241"/>
      </w:tabs>
    </w:pPr>
    <w:rPr>
      <w:rFonts w:ascii="宋体"/>
      <w:szCs w:val="21"/>
    </w:rPr>
  </w:style>
  <w:style w:type="paragraph" w:styleId="32">
    <w:name w:val="toc 9"/>
    <w:basedOn w:val="1"/>
    <w:next w:val="1"/>
    <w:autoRedefine/>
    <w:semiHidden/>
    <w:qFormat/>
    <w:uiPriority w:val="0"/>
    <w:pPr>
      <w:ind w:left="1470"/>
      <w:jc w:val="left"/>
    </w:pPr>
    <w:rPr>
      <w:sz w:val="20"/>
      <w:szCs w:val="20"/>
    </w:rPr>
  </w:style>
  <w:style w:type="paragraph" w:styleId="33">
    <w:name w:val="Normal (Web)"/>
    <w:basedOn w:val="1"/>
    <w:autoRedefine/>
    <w:unhideWhenUsed/>
    <w:qFormat/>
    <w:uiPriority w:val="99"/>
    <w:pPr>
      <w:widowControl/>
      <w:spacing w:before="100" w:beforeAutospacing="1" w:after="100" w:afterAutospacing="1"/>
      <w:jc w:val="left"/>
    </w:pPr>
    <w:rPr>
      <w:rFonts w:ascii="宋体" w:hAnsi="宋体" w:cs="宋体"/>
      <w:kern w:val="0"/>
      <w:sz w:val="24"/>
    </w:rPr>
  </w:style>
  <w:style w:type="paragraph" w:styleId="34">
    <w:name w:val="index 2"/>
    <w:basedOn w:val="1"/>
    <w:next w:val="1"/>
    <w:autoRedefine/>
    <w:qFormat/>
    <w:uiPriority w:val="0"/>
    <w:pPr>
      <w:ind w:left="420" w:hanging="210"/>
      <w:jc w:val="left"/>
    </w:pPr>
    <w:rPr>
      <w:rFonts w:ascii="Calibri" w:hAnsi="Calibri"/>
      <w:sz w:val="20"/>
      <w:szCs w:val="20"/>
    </w:rPr>
  </w:style>
  <w:style w:type="paragraph" w:styleId="35">
    <w:name w:val="annotation subject"/>
    <w:basedOn w:val="10"/>
    <w:next w:val="10"/>
    <w:link w:val="152"/>
    <w:autoRedefine/>
    <w:qFormat/>
    <w:uiPriority w:val="0"/>
    <w:rPr>
      <w:b/>
      <w:bCs/>
    </w:rPr>
  </w:style>
  <w:style w:type="table" w:styleId="37">
    <w:name w:val="Table Grid"/>
    <w:basedOn w:val="36"/>
    <w:autoRedefine/>
    <w:qFormat/>
    <w:uiPriority w:val="39"/>
    <w:rPr>
      <w:rFonts w:ascii="宋体"/>
      <w:sz w:val="18"/>
      <w:szCs w:val="18"/>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39">
    <w:name w:val="Strong"/>
    <w:basedOn w:val="38"/>
    <w:autoRedefine/>
    <w:qFormat/>
    <w:uiPriority w:val="0"/>
    <w:rPr>
      <w:b/>
    </w:rPr>
  </w:style>
  <w:style w:type="character" w:styleId="40">
    <w:name w:val="endnote reference"/>
    <w:autoRedefine/>
    <w:semiHidden/>
    <w:qFormat/>
    <w:uiPriority w:val="0"/>
    <w:rPr>
      <w:vertAlign w:val="superscript"/>
    </w:rPr>
  </w:style>
  <w:style w:type="character" w:styleId="41">
    <w:name w:val="page number"/>
    <w:autoRedefine/>
    <w:qFormat/>
    <w:uiPriority w:val="0"/>
    <w:rPr>
      <w:rFonts w:ascii="Times New Roman" w:hAnsi="Times New Roman" w:eastAsia="宋体"/>
      <w:sz w:val="18"/>
    </w:rPr>
  </w:style>
  <w:style w:type="character" w:styleId="42">
    <w:name w:val="FollowedHyperlink"/>
    <w:autoRedefine/>
    <w:qFormat/>
    <w:uiPriority w:val="0"/>
    <w:rPr>
      <w:color w:val="800080"/>
      <w:u w:val="single"/>
    </w:rPr>
  </w:style>
  <w:style w:type="character" w:styleId="43">
    <w:name w:val="Hyperlink"/>
    <w:basedOn w:val="38"/>
    <w:autoRedefine/>
    <w:qFormat/>
    <w:uiPriority w:val="99"/>
    <w:rPr>
      <w:color w:val="0000FF"/>
      <w:spacing w:val="0"/>
      <w:w w:val="100"/>
      <w:szCs w:val="21"/>
      <w:u w:val="single"/>
    </w:rPr>
  </w:style>
  <w:style w:type="character" w:styleId="44">
    <w:name w:val="annotation reference"/>
    <w:basedOn w:val="38"/>
    <w:autoRedefine/>
    <w:qFormat/>
    <w:uiPriority w:val="0"/>
    <w:rPr>
      <w:sz w:val="21"/>
      <w:szCs w:val="21"/>
    </w:rPr>
  </w:style>
  <w:style w:type="character" w:styleId="45">
    <w:name w:val="footnote reference"/>
    <w:autoRedefine/>
    <w:semiHidden/>
    <w:qFormat/>
    <w:uiPriority w:val="0"/>
    <w:rPr>
      <w:vertAlign w:val="superscript"/>
    </w:rPr>
  </w:style>
  <w:style w:type="character" w:customStyle="1" w:styleId="46">
    <w:name w:val="段 Char"/>
    <w:link w:val="26"/>
    <w:autoRedefine/>
    <w:qFormat/>
    <w:uiPriority w:val="0"/>
    <w:rPr>
      <w:rFonts w:ascii="宋体"/>
      <w:sz w:val="21"/>
      <w:lang w:val="en-US" w:eastAsia="zh-CN" w:bidi="ar-SA"/>
    </w:rPr>
  </w:style>
  <w:style w:type="paragraph" w:customStyle="1" w:styleId="47">
    <w:name w:val="一级条标题"/>
    <w:next w:val="26"/>
    <w:autoRedefine/>
    <w:qFormat/>
    <w:uiPriority w:val="0"/>
    <w:pPr>
      <w:numPr>
        <w:ilvl w:val="1"/>
        <w:numId w:val="2"/>
      </w:numPr>
      <w:spacing w:before="156" w:beforeLines="50" w:after="156" w:afterLines="50"/>
      <w:outlineLvl w:val="2"/>
    </w:pPr>
    <w:rPr>
      <w:rFonts w:ascii="黑体" w:hAnsi="Times New Roman" w:eastAsia="黑体" w:cs="Times New Roman"/>
      <w:sz w:val="21"/>
      <w:szCs w:val="21"/>
      <w:lang w:val="en-US" w:eastAsia="zh-CN" w:bidi="ar-SA"/>
    </w:rPr>
  </w:style>
  <w:style w:type="paragraph" w:customStyle="1" w:styleId="48">
    <w:name w:val="标准书脚_奇数页"/>
    <w:autoRedefine/>
    <w:qFormat/>
    <w:uiPriority w:val="0"/>
    <w:pPr>
      <w:spacing w:before="120"/>
      <w:ind w:right="198"/>
      <w:jc w:val="right"/>
    </w:pPr>
    <w:rPr>
      <w:rFonts w:ascii="宋体" w:hAnsi="Times New Roman" w:eastAsia="宋体" w:cs="Times New Roman"/>
      <w:sz w:val="18"/>
      <w:szCs w:val="18"/>
      <w:lang w:val="en-US" w:eastAsia="zh-CN" w:bidi="ar-SA"/>
    </w:rPr>
  </w:style>
  <w:style w:type="paragraph" w:customStyle="1" w:styleId="49">
    <w:name w:val="标准书眉_奇数页"/>
    <w:next w:val="1"/>
    <w:autoRedefine/>
    <w:qFormat/>
    <w:uiPriority w:val="0"/>
    <w:pPr>
      <w:tabs>
        <w:tab w:val="center" w:pos="4154"/>
        <w:tab w:val="right" w:pos="8306"/>
      </w:tabs>
      <w:spacing w:after="220"/>
      <w:jc w:val="right"/>
    </w:pPr>
    <w:rPr>
      <w:rFonts w:ascii="黑体" w:hAnsi="Times New Roman" w:eastAsia="黑体" w:cs="Times New Roman"/>
      <w:sz w:val="21"/>
      <w:szCs w:val="21"/>
      <w:lang w:val="en-US" w:eastAsia="zh-CN" w:bidi="ar-SA"/>
    </w:rPr>
  </w:style>
  <w:style w:type="paragraph" w:customStyle="1" w:styleId="50">
    <w:name w:val="章标题"/>
    <w:next w:val="26"/>
    <w:autoRedefine/>
    <w:qFormat/>
    <w:uiPriority w:val="0"/>
    <w:pPr>
      <w:numPr>
        <w:ilvl w:val="0"/>
        <w:numId w:val="2"/>
      </w:numPr>
      <w:spacing w:before="312" w:beforeLines="100" w:after="312" w:afterLines="100"/>
      <w:jc w:val="both"/>
      <w:outlineLvl w:val="1"/>
    </w:pPr>
    <w:rPr>
      <w:rFonts w:ascii="黑体" w:hAnsi="Times New Roman" w:eastAsia="黑体" w:cs="Times New Roman"/>
      <w:sz w:val="21"/>
      <w:lang w:val="en-US" w:eastAsia="zh-CN" w:bidi="ar-SA"/>
    </w:rPr>
  </w:style>
  <w:style w:type="paragraph" w:customStyle="1" w:styleId="51">
    <w:name w:val="二级条标题"/>
    <w:basedOn w:val="47"/>
    <w:next w:val="26"/>
    <w:autoRedefine/>
    <w:qFormat/>
    <w:uiPriority w:val="0"/>
    <w:pPr>
      <w:numPr>
        <w:ilvl w:val="2"/>
      </w:numPr>
      <w:spacing w:before="50" w:after="50"/>
      <w:outlineLvl w:val="3"/>
    </w:pPr>
  </w:style>
  <w:style w:type="paragraph" w:customStyle="1" w:styleId="52">
    <w:name w:val="封面标准号2"/>
    <w:autoRedefine/>
    <w:qFormat/>
    <w:uiPriority w:val="0"/>
    <w:pPr>
      <w:framePr w:w="9140" w:h="1242" w:hRule="exact" w:hSpace="284" w:wrap="around" w:vAnchor="page" w:hAnchor="page" w:x="1645" w:y="2910" w:anchorLock="1"/>
      <w:spacing w:before="357" w:line="280" w:lineRule="exact"/>
      <w:jc w:val="right"/>
    </w:pPr>
    <w:rPr>
      <w:rFonts w:ascii="黑体" w:hAnsi="Times New Roman" w:eastAsia="黑体" w:cs="Times New Roman"/>
      <w:sz w:val="28"/>
      <w:szCs w:val="28"/>
      <w:lang w:val="en-US" w:eastAsia="zh-CN" w:bidi="ar-SA"/>
    </w:rPr>
  </w:style>
  <w:style w:type="paragraph" w:customStyle="1" w:styleId="53">
    <w:name w:val="列项——（一级）"/>
    <w:autoRedefine/>
    <w:qFormat/>
    <w:uiPriority w:val="0"/>
    <w:pPr>
      <w:widowControl w:val="0"/>
      <w:numPr>
        <w:ilvl w:val="0"/>
        <w:numId w:val="3"/>
      </w:numPr>
      <w:jc w:val="both"/>
    </w:pPr>
    <w:rPr>
      <w:rFonts w:ascii="宋体" w:hAnsi="Times New Roman" w:eastAsia="宋体" w:cs="Times New Roman"/>
      <w:sz w:val="21"/>
      <w:lang w:val="en-US" w:eastAsia="zh-CN" w:bidi="ar-SA"/>
    </w:rPr>
  </w:style>
  <w:style w:type="paragraph" w:customStyle="1" w:styleId="54">
    <w:name w:val="列项●（二级）"/>
    <w:autoRedefine/>
    <w:qFormat/>
    <w:uiPriority w:val="0"/>
    <w:pPr>
      <w:numPr>
        <w:ilvl w:val="1"/>
        <w:numId w:val="3"/>
      </w:numPr>
      <w:tabs>
        <w:tab w:val="left" w:pos="840"/>
      </w:tabs>
      <w:jc w:val="both"/>
    </w:pPr>
    <w:rPr>
      <w:rFonts w:ascii="宋体" w:hAnsi="Times New Roman" w:eastAsia="宋体" w:cs="Times New Roman"/>
      <w:sz w:val="21"/>
      <w:lang w:val="en-US" w:eastAsia="zh-CN" w:bidi="ar-SA"/>
    </w:rPr>
  </w:style>
  <w:style w:type="paragraph" w:customStyle="1" w:styleId="55">
    <w:name w:val="目次、标准名称标题"/>
    <w:basedOn w:val="1"/>
    <w:next w:val="26"/>
    <w:autoRedefine/>
    <w:qFormat/>
    <w:uiPriority w:val="0"/>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56">
    <w:name w:val="三级条标题"/>
    <w:basedOn w:val="51"/>
    <w:next w:val="26"/>
    <w:autoRedefine/>
    <w:qFormat/>
    <w:uiPriority w:val="0"/>
    <w:pPr>
      <w:numPr>
        <w:ilvl w:val="0"/>
        <w:numId w:val="0"/>
      </w:numPr>
      <w:outlineLvl w:val="4"/>
    </w:pPr>
  </w:style>
  <w:style w:type="paragraph" w:customStyle="1" w:styleId="57">
    <w:name w:val="示例"/>
    <w:next w:val="58"/>
    <w:autoRedefine/>
    <w:qFormat/>
    <w:uiPriority w:val="0"/>
    <w:pPr>
      <w:widowControl w:val="0"/>
      <w:numPr>
        <w:ilvl w:val="0"/>
        <w:numId w:val="4"/>
      </w:numPr>
      <w:jc w:val="both"/>
    </w:pPr>
    <w:rPr>
      <w:rFonts w:ascii="宋体" w:hAnsi="Times New Roman" w:eastAsia="宋体" w:cs="Times New Roman"/>
      <w:sz w:val="18"/>
      <w:szCs w:val="18"/>
      <w:lang w:val="en-US" w:eastAsia="zh-CN" w:bidi="ar-SA"/>
    </w:rPr>
  </w:style>
  <w:style w:type="paragraph" w:customStyle="1" w:styleId="58">
    <w:name w:val="示例内容"/>
    <w:autoRedefine/>
    <w:qFormat/>
    <w:uiPriority w:val="0"/>
    <w:pPr>
      <w:ind w:firstLine="200" w:firstLineChars="200"/>
    </w:pPr>
    <w:rPr>
      <w:rFonts w:ascii="宋体" w:hAnsi="Times New Roman" w:eastAsia="宋体" w:cs="Times New Roman"/>
      <w:sz w:val="18"/>
      <w:szCs w:val="18"/>
      <w:lang w:val="en-US" w:eastAsia="zh-CN" w:bidi="ar-SA"/>
    </w:rPr>
  </w:style>
  <w:style w:type="paragraph" w:customStyle="1" w:styleId="59">
    <w:name w:val="数字编号列项（二级）"/>
    <w:autoRedefine/>
    <w:qFormat/>
    <w:uiPriority w:val="0"/>
    <w:pPr>
      <w:numPr>
        <w:ilvl w:val="1"/>
        <w:numId w:val="5"/>
      </w:numPr>
      <w:jc w:val="both"/>
    </w:pPr>
    <w:rPr>
      <w:rFonts w:ascii="宋体" w:hAnsi="Times New Roman" w:eastAsia="宋体" w:cs="Times New Roman"/>
      <w:sz w:val="21"/>
      <w:lang w:val="en-US" w:eastAsia="zh-CN" w:bidi="ar-SA"/>
    </w:rPr>
  </w:style>
  <w:style w:type="paragraph" w:customStyle="1" w:styleId="60">
    <w:name w:val="四级条标题"/>
    <w:basedOn w:val="56"/>
    <w:next w:val="26"/>
    <w:autoRedefine/>
    <w:qFormat/>
    <w:uiPriority w:val="0"/>
    <w:pPr>
      <w:numPr>
        <w:ilvl w:val="4"/>
        <w:numId w:val="2"/>
      </w:numPr>
      <w:outlineLvl w:val="5"/>
    </w:pPr>
  </w:style>
  <w:style w:type="paragraph" w:customStyle="1" w:styleId="61">
    <w:name w:val="五级条标题"/>
    <w:basedOn w:val="60"/>
    <w:next w:val="26"/>
    <w:autoRedefine/>
    <w:qFormat/>
    <w:uiPriority w:val="0"/>
    <w:pPr>
      <w:numPr>
        <w:ilvl w:val="5"/>
      </w:numPr>
      <w:outlineLvl w:val="6"/>
    </w:pPr>
  </w:style>
  <w:style w:type="paragraph" w:customStyle="1" w:styleId="62">
    <w:name w:val="注："/>
    <w:next w:val="26"/>
    <w:link w:val="156"/>
    <w:autoRedefine/>
    <w:qFormat/>
    <w:uiPriority w:val="0"/>
    <w:pPr>
      <w:widowControl w:val="0"/>
      <w:numPr>
        <w:ilvl w:val="0"/>
        <w:numId w:val="6"/>
      </w:numPr>
      <w:autoSpaceDE w:val="0"/>
      <w:autoSpaceDN w:val="0"/>
      <w:jc w:val="both"/>
    </w:pPr>
    <w:rPr>
      <w:rFonts w:ascii="宋体" w:hAnsi="Times New Roman" w:eastAsia="宋体" w:cs="Times New Roman"/>
      <w:sz w:val="18"/>
      <w:szCs w:val="18"/>
      <w:lang w:val="en-US" w:eastAsia="zh-CN" w:bidi="ar-SA"/>
    </w:rPr>
  </w:style>
  <w:style w:type="paragraph" w:customStyle="1" w:styleId="63">
    <w:name w:val="注×："/>
    <w:autoRedefine/>
    <w:qFormat/>
    <w:uiPriority w:val="0"/>
    <w:pPr>
      <w:widowControl w:val="0"/>
      <w:numPr>
        <w:ilvl w:val="0"/>
        <w:numId w:val="7"/>
      </w:numPr>
      <w:autoSpaceDE w:val="0"/>
      <w:autoSpaceDN w:val="0"/>
      <w:jc w:val="both"/>
    </w:pPr>
    <w:rPr>
      <w:rFonts w:ascii="宋体" w:hAnsi="Times New Roman" w:eastAsia="宋体" w:cs="Times New Roman"/>
      <w:sz w:val="18"/>
      <w:szCs w:val="18"/>
      <w:lang w:val="en-US" w:eastAsia="zh-CN" w:bidi="ar-SA"/>
    </w:rPr>
  </w:style>
  <w:style w:type="paragraph" w:customStyle="1" w:styleId="64">
    <w:name w:val="字母编号列项（一级）"/>
    <w:autoRedefine/>
    <w:qFormat/>
    <w:uiPriority w:val="0"/>
    <w:pPr>
      <w:numPr>
        <w:ilvl w:val="0"/>
        <w:numId w:val="5"/>
      </w:numPr>
      <w:jc w:val="both"/>
    </w:pPr>
    <w:rPr>
      <w:rFonts w:ascii="宋体" w:hAnsi="Times New Roman" w:eastAsia="宋体" w:cs="Times New Roman"/>
      <w:sz w:val="21"/>
      <w:lang w:val="en-US" w:eastAsia="zh-CN" w:bidi="ar-SA"/>
    </w:rPr>
  </w:style>
  <w:style w:type="paragraph" w:customStyle="1" w:styleId="65">
    <w:name w:val="列项◆（三级）"/>
    <w:basedOn w:val="1"/>
    <w:autoRedefine/>
    <w:qFormat/>
    <w:uiPriority w:val="0"/>
    <w:pPr>
      <w:numPr>
        <w:ilvl w:val="2"/>
        <w:numId w:val="3"/>
      </w:numPr>
    </w:pPr>
    <w:rPr>
      <w:rFonts w:ascii="宋体"/>
      <w:szCs w:val="21"/>
    </w:rPr>
  </w:style>
  <w:style w:type="paragraph" w:customStyle="1" w:styleId="66">
    <w:name w:val="编号列项（三级）"/>
    <w:autoRedefine/>
    <w:qFormat/>
    <w:uiPriority w:val="0"/>
    <w:rPr>
      <w:rFonts w:ascii="宋体" w:hAnsi="Times New Roman" w:eastAsia="宋体" w:cs="Times New Roman"/>
      <w:sz w:val="21"/>
      <w:lang w:val="en-US" w:eastAsia="zh-CN" w:bidi="ar-SA"/>
    </w:rPr>
  </w:style>
  <w:style w:type="paragraph" w:customStyle="1" w:styleId="67">
    <w:name w:val="示例×："/>
    <w:basedOn w:val="50"/>
    <w:autoRedefine/>
    <w:qFormat/>
    <w:uiPriority w:val="0"/>
    <w:pPr>
      <w:numPr>
        <w:numId w:val="8"/>
      </w:numPr>
      <w:spacing w:before="0" w:beforeLines="0" w:after="0" w:afterLines="0"/>
      <w:outlineLvl w:val="9"/>
    </w:pPr>
    <w:rPr>
      <w:rFonts w:ascii="宋体" w:eastAsia="宋体"/>
      <w:sz w:val="18"/>
      <w:szCs w:val="18"/>
    </w:rPr>
  </w:style>
  <w:style w:type="paragraph" w:customStyle="1" w:styleId="68">
    <w:name w:val="二级无"/>
    <w:basedOn w:val="51"/>
    <w:autoRedefine/>
    <w:qFormat/>
    <w:uiPriority w:val="0"/>
    <w:pPr>
      <w:spacing w:before="0" w:beforeLines="0" w:after="0" w:afterLines="0"/>
    </w:pPr>
    <w:rPr>
      <w:rFonts w:ascii="宋体" w:eastAsia="宋体"/>
    </w:rPr>
  </w:style>
  <w:style w:type="paragraph" w:customStyle="1" w:styleId="69">
    <w:name w:val="注：（正文）"/>
    <w:basedOn w:val="62"/>
    <w:next w:val="26"/>
    <w:autoRedefine/>
    <w:qFormat/>
    <w:uiPriority w:val="0"/>
    <w:pPr>
      <w:numPr>
        <w:ilvl w:val="0"/>
        <w:numId w:val="9"/>
      </w:numPr>
    </w:pPr>
  </w:style>
  <w:style w:type="paragraph" w:customStyle="1" w:styleId="70">
    <w:name w:val="注×：（正文）"/>
    <w:autoRedefine/>
    <w:qFormat/>
    <w:uiPriority w:val="0"/>
    <w:pPr>
      <w:numPr>
        <w:ilvl w:val="0"/>
        <w:numId w:val="10"/>
      </w:numPr>
      <w:jc w:val="both"/>
    </w:pPr>
    <w:rPr>
      <w:rFonts w:ascii="宋体" w:hAnsi="Times New Roman" w:eastAsia="宋体" w:cs="Times New Roman"/>
      <w:sz w:val="18"/>
      <w:szCs w:val="18"/>
      <w:lang w:val="en-US" w:eastAsia="zh-CN" w:bidi="ar-SA"/>
    </w:rPr>
  </w:style>
  <w:style w:type="paragraph" w:customStyle="1" w:styleId="71">
    <w:name w:val="标准标志"/>
    <w:next w:val="1"/>
    <w:autoRedefine/>
    <w:qFormat/>
    <w:uiPriority w:val="0"/>
    <w:pPr>
      <w:framePr w:w="2546" w:h="1389" w:hRule="exact" w:hSpace="181" w:vSpace="181" w:wrap="around" w:vAnchor="margin" w:hAnchor="margin" w:x="6522" w:y="398" w:anchorLock="1"/>
      <w:shd w:val="solid" w:color="FFFFFF" w:fill="FFFFFF"/>
      <w:spacing w:line="0" w:lineRule="atLeast"/>
      <w:jc w:val="right"/>
    </w:pPr>
    <w:rPr>
      <w:rFonts w:ascii="Times New Roman" w:hAnsi="Times New Roman" w:eastAsia="宋体" w:cs="Times New Roman"/>
      <w:b/>
      <w:w w:val="170"/>
      <w:sz w:val="96"/>
      <w:szCs w:val="96"/>
      <w:lang w:val="en-US" w:eastAsia="zh-CN" w:bidi="ar-SA"/>
    </w:rPr>
  </w:style>
  <w:style w:type="paragraph" w:customStyle="1" w:styleId="72">
    <w:name w:val="标准称谓"/>
    <w:next w:val="1"/>
    <w:autoRedefine/>
    <w:qFormat/>
    <w:uiPriority w:val="0"/>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hAnsi="Times New Roman" w:eastAsia="宋体" w:cs="Times New Roman"/>
      <w:b/>
      <w:bCs/>
      <w:spacing w:val="20"/>
      <w:w w:val="148"/>
      <w:sz w:val="48"/>
      <w:lang w:val="en-US" w:eastAsia="zh-CN" w:bidi="ar-SA"/>
    </w:rPr>
  </w:style>
  <w:style w:type="paragraph" w:customStyle="1" w:styleId="73">
    <w:name w:val="标准书脚_偶数页"/>
    <w:autoRedefine/>
    <w:qFormat/>
    <w:uiPriority w:val="0"/>
    <w:pPr>
      <w:spacing w:before="120"/>
      <w:ind w:left="221"/>
    </w:pPr>
    <w:rPr>
      <w:rFonts w:ascii="宋体" w:hAnsi="Times New Roman" w:eastAsia="宋体" w:cs="Times New Roman"/>
      <w:sz w:val="18"/>
      <w:szCs w:val="18"/>
      <w:lang w:val="en-US" w:eastAsia="zh-CN" w:bidi="ar-SA"/>
    </w:rPr>
  </w:style>
  <w:style w:type="paragraph" w:customStyle="1" w:styleId="74">
    <w:name w:val="标准书眉_偶数页"/>
    <w:basedOn w:val="49"/>
    <w:next w:val="1"/>
    <w:autoRedefine/>
    <w:qFormat/>
    <w:uiPriority w:val="0"/>
    <w:pPr>
      <w:jc w:val="left"/>
    </w:pPr>
  </w:style>
  <w:style w:type="paragraph" w:customStyle="1" w:styleId="75">
    <w:name w:val="标准书眉一"/>
    <w:autoRedefine/>
    <w:qFormat/>
    <w:uiPriority w:val="0"/>
    <w:pPr>
      <w:jc w:val="both"/>
    </w:pPr>
    <w:rPr>
      <w:rFonts w:ascii="Times New Roman" w:hAnsi="Times New Roman" w:eastAsia="宋体" w:cs="Times New Roman"/>
      <w:lang w:val="en-US" w:eastAsia="zh-CN" w:bidi="ar-SA"/>
    </w:rPr>
  </w:style>
  <w:style w:type="paragraph" w:customStyle="1" w:styleId="76">
    <w:name w:val="参考文献"/>
    <w:basedOn w:val="1"/>
    <w:next w:val="26"/>
    <w:autoRedefine/>
    <w:qFormat/>
    <w:uiPriority w:val="0"/>
    <w:pPr>
      <w:keepNext/>
      <w:pageBreakBefore/>
      <w:widowControl/>
      <w:shd w:val="clear" w:color="FFFFFF" w:fill="FFFFFF"/>
      <w:spacing w:before="640" w:after="200"/>
      <w:jc w:val="center"/>
      <w:outlineLvl w:val="0"/>
    </w:pPr>
    <w:rPr>
      <w:rFonts w:ascii="黑体" w:eastAsia="黑体"/>
      <w:kern w:val="0"/>
      <w:szCs w:val="20"/>
    </w:rPr>
  </w:style>
  <w:style w:type="paragraph" w:customStyle="1" w:styleId="77">
    <w:name w:val="参考文献、索引标题"/>
    <w:basedOn w:val="1"/>
    <w:next w:val="26"/>
    <w:autoRedefine/>
    <w:qFormat/>
    <w:uiPriority w:val="0"/>
    <w:pPr>
      <w:keepNext/>
      <w:pageBreakBefore/>
      <w:widowControl/>
      <w:shd w:val="clear" w:color="FFFFFF" w:fill="FFFFFF"/>
      <w:spacing w:before="640" w:after="200"/>
      <w:jc w:val="center"/>
      <w:outlineLvl w:val="0"/>
    </w:pPr>
    <w:rPr>
      <w:rFonts w:ascii="黑体" w:eastAsia="黑体"/>
      <w:kern w:val="0"/>
      <w:szCs w:val="20"/>
    </w:rPr>
  </w:style>
  <w:style w:type="character" w:customStyle="1" w:styleId="78">
    <w:name w:val="发布"/>
    <w:autoRedefine/>
    <w:qFormat/>
    <w:uiPriority w:val="0"/>
    <w:rPr>
      <w:rFonts w:ascii="黑体" w:eastAsia="黑体"/>
      <w:spacing w:val="85"/>
      <w:w w:val="100"/>
      <w:position w:val="3"/>
      <w:sz w:val="28"/>
      <w:szCs w:val="28"/>
    </w:rPr>
  </w:style>
  <w:style w:type="paragraph" w:customStyle="1" w:styleId="79">
    <w:name w:val="发布部门"/>
    <w:next w:val="26"/>
    <w:autoRedefine/>
    <w:qFormat/>
    <w:uiPriority w:val="0"/>
    <w:pPr>
      <w:framePr w:w="7938" w:h="1134" w:hRule="exact" w:hSpace="125" w:vSpace="181" w:wrap="around" w:vAnchor="page" w:hAnchor="page" w:x="2150" w:y="14630" w:anchorLock="1"/>
      <w:jc w:val="center"/>
    </w:pPr>
    <w:rPr>
      <w:rFonts w:ascii="宋体" w:hAnsi="Times New Roman" w:eastAsia="宋体" w:cs="Times New Roman"/>
      <w:b/>
      <w:spacing w:val="20"/>
      <w:w w:val="135"/>
      <w:sz w:val="28"/>
      <w:lang w:val="en-US" w:eastAsia="zh-CN" w:bidi="ar-SA"/>
    </w:rPr>
  </w:style>
  <w:style w:type="paragraph" w:customStyle="1" w:styleId="80">
    <w:name w:val="发布日期"/>
    <w:autoRedefine/>
    <w:qFormat/>
    <w:uiPriority w:val="0"/>
    <w:pPr>
      <w:framePr w:w="3997" w:h="471" w:hRule="exact" w:vSpace="181" w:wrap="around" w:vAnchor="margin" w:hAnchor="page" w:x="7089" w:y="14097" w:anchorLock="1"/>
    </w:pPr>
    <w:rPr>
      <w:rFonts w:ascii="Times New Roman" w:hAnsi="Times New Roman" w:eastAsia="黑体" w:cs="Times New Roman"/>
      <w:sz w:val="28"/>
      <w:lang w:val="en-US" w:eastAsia="zh-CN" w:bidi="ar-SA"/>
    </w:rPr>
  </w:style>
  <w:style w:type="paragraph" w:customStyle="1" w:styleId="81">
    <w:name w:val="封面标准代替信息"/>
    <w:autoRedefine/>
    <w:qFormat/>
    <w:uiPriority w:val="0"/>
    <w:pPr>
      <w:framePr w:w="9140" w:h="1242" w:hRule="exact" w:hSpace="284" w:wrap="around" w:vAnchor="page" w:hAnchor="page" w:x="1645" w:y="2910" w:anchorLock="1"/>
      <w:spacing w:before="57" w:line="280" w:lineRule="exact"/>
      <w:jc w:val="right"/>
    </w:pPr>
    <w:rPr>
      <w:rFonts w:ascii="宋体" w:hAnsi="Times New Roman" w:eastAsia="宋体" w:cs="Times New Roman"/>
      <w:sz w:val="21"/>
      <w:szCs w:val="21"/>
      <w:lang w:val="en-US" w:eastAsia="zh-CN" w:bidi="ar-SA"/>
    </w:rPr>
  </w:style>
  <w:style w:type="paragraph" w:customStyle="1" w:styleId="82">
    <w:name w:val="封面标准号1"/>
    <w:autoRedefine/>
    <w:qFormat/>
    <w:uiPriority w:val="0"/>
    <w:pPr>
      <w:widowControl w:val="0"/>
      <w:kinsoku w:val="0"/>
      <w:overflowPunct w:val="0"/>
      <w:autoSpaceDE w:val="0"/>
      <w:autoSpaceDN w:val="0"/>
      <w:spacing w:before="308"/>
      <w:jc w:val="right"/>
      <w:textAlignment w:val="center"/>
    </w:pPr>
    <w:rPr>
      <w:rFonts w:ascii="Times New Roman" w:hAnsi="Times New Roman" w:eastAsia="宋体" w:cs="Times New Roman"/>
      <w:sz w:val="28"/>
      <w:lang w:val="en-US" w:eastAsia="zh-CN" w:bidi="ar-SA"/>
    </w:rPr>
  </w:style>
  <w:style w:type="paragraph" w:customStyle="1" w:styleId="83">
    <w:name w:val="封面标准名称"/>
    <w:autoRedefine/>
    <w:qFormat/>
    <w:uiPriority w:val="0"/>
    <w:pPr>
      <w:framePr w:w="9639" w:h="6917" w:hRule="exact" w:wrap="around" w:vAnchor="page" w:hAnchor="page" w:xAlign="center" w:y="6408"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84">
    <w:name w:val="封面标准英文名称"/>
    <w:basedOn w:val="83"/>
    <w:autoRedefine/>
    <w:qFormat/>
    <w:uiPriority w:val="0"/>
    <w:pPr>
      <w:framePr w:wrap="around"/>
      <w:spacing w:before="370" w:line="400" w:lineRule="exact"/>
    </w:pPr>
    <w:rPr>
      <w:rFonts w:ascii="Times New Roman"/>
      <w:sz w:val="28"/>
      <w:szCs w:val="28"/>
    </w:rPr>
  </w:style>
  <w:style w:type="paragraph" w:customStyle="1" w:styleId="85">
    <w:name w:val="封面一致性程度标识"/>
    <w:basedOn w:val="84"/>
    <w:autoRedefine/>
    <w:qFormat/>
    <w:uiPriority w:val="0"/>
    <w:pPr>
      <w:framePr w:wrap="around"/>
      <w:spacing w:before="440"/>
    </w:pPr>
    <w:rPr>
      <w:rFonts w:ascii="宋体" w:eastAsia="宋体"/>
    </w:rPr>
  </w:style>
  <w:style w:type="paragraph" w:customStyle="1" w:styleId="86">
    <w:name w:val="封面标准文稿类别"/>
    <w:basedOn w:val="85"/>
    <w:autoRedefine/>
    <w:qFormat/>
    <w:uiPriority w:val="0"/>
    <w:pPr>
      <w:framePr w:wrap="around"/>
      <w:spacing w:after="160" w:line="240" w:lineRule="auto"/>
    </w:pPr>
    <w:rPr>
      <w:sz w:val="24"/>
    </w:rPr>
  </w:style>
  <w:style w:type="paragraph" w:customStyle="1" w:styleId="87">
    <w:name w:val="封面标准文稿编辑信息"/>
    <w:basedOn w:val="86"/>
    <w:autoRedefine/>
    <w:qFormat/>
    <w:uiPriority w:val="0"/>
    <w:pPr>
      <w:framePr w:wrap="around"/>
      <w:spacing w:before="180" w:line="180" w:lineRule="exact"/>
    </w:pPr>
    <w:rPr>
      <w:sz w:val="21"/>
    </w:rPr>
  </w:style>
  <w:style w:type="paragraph" w:customStyle="1" w:styleId="88">
    <w:name w:val="封面正文"/>
    <w:autoRedefine/>
    <w:qFormat/>
    <w:uiPriority w:val="0"/>
    <w:pPr>
      <w:jc w:val="both"/>
    </w:pPr>
    <w:rPr>
      <w:rFonts w:ascii="Times New Roman" w:hAnsi="Times New Roman" w:eastAsia="宋体" w:cs="Times New Roman"/>
      <w:lang w:val="en-US" w:eastAsia="zh-CN" w:bidi="ar-SA"/>
    </w:rPr>
  </w:style>
  <w:style w:type="paragraph" w:customStyle="1" w:styleId="89">
    <w:name w:val="附录标识"/>
    <w:basedOn w:val="1"/>
    <w:next w:val="26"/>
    <w:autoRedefine/>
    <w:qFormat/>
    <w:uiPriority w:val="0"/>
    <w:pPr>
      <w:keepNext/>
      <w:widowControl/>
      <w:numPr>
        <w:ilvl w:val="0"/>
        <w:numId w:val="11"/>
      </w:numPr>
      <w:shd w:val="clear" w:color="FFFFFF" w:fill="FFFFFF"/>
      <w:tabs>
        <w:tab w:val="left" w:pos="360"/>
        <w:tab w:val="left" w:pos="6405"/>
      </w:tabs>
      <w:spacing w:before="640" w:after="280"/>
      <w:jc w:val="center"/>
      <w:outlineLvl w:val="0"/>
    </w:pPr>
    <w:rPr>
      <w:rFonts w:ascii="黑体" w:eastAsia="黑体"/>
      <w:kern w:val="0"/>
      <w:szCs w:val="20"/>
    </w:rPr>
  </w:style>
  <w:style w:type="paragraph" w:customStyle="1" w:styleId="90">
    <w:name w:val="附录标题"/>
    <w:basedOn w:val="26"/>
    <w:next w:val="26"/>
    <w:autoRedefine/>
    <w:qFormat/>
    <w:uiPriority w:val="0"/>
    <w:pPr>
      <w:ind w:firstLine="0" w:firstLineChars="0"/>
      <w:jc w:val="center"/>
    </w:pPr>
    <w:rPr>
      <w:rFonts w:ascii="黑体" w:eastAsia="黑体"/>
    </w:rPr>
  </w:style>
  <w:style w:type="paragraph" w:customStyle="1" w:styleId="91">
    <w:name w:val="附录表标号"/>
    <w:basedOn w:val="1"/>
    <w:next w:val="26"/>
    <w:autoRedefine/>
    <w:qFormat/>
    <w:uiPriority w:val="0"/>
    <w:pPr>
      <w:numPr>
        <w:ilvl w:val="0"/>
        <w:numId w:val="12"/>
      </w:numPr>
      <w:tabs>
        <w:tab w:val="clear" w:pos="0"/>
      </w:tabs>
      <w:spacing w:line="14" w:lineRule="exact"/>
      <w:ind w:left="811" w:hanging="448"/>
      <w:jc w:val="center"/>
      <w:outlineLvl w:val="0"/>
    </w:pPr>
    <w:rPr>
      <w:color w:val="FFFFFF"/>
    </w:rPr>
  </w:style>
  <w:style w:type="paragraph" w:customStyle="1" w:styleId="92">
    <w:name w:val="附录表标题"/>
    <w:basedOn w:val="1"/>
    <w:next w:val="26"/>
    <w:autoRedefine/>
    <w:qFormat/>
    <w:uiPriority w:val="0"/>
    <w:pPr>
      <w:numPr>
        <w:ilvl w:val="1"/>
        <w:numId w:val="12"/>
      </w:numPr>
      <w:tabs>
        <w:tab w:val="left" w:pos="0"/>
        <w:tab w:val="left" w:pos="180"/>
      </w:tabs>
      <w:spacing w:before="50" w:beforeLines="50" w:after="50" w:afterLines="50"/>
      <w:jc w:val="center"/>
    </w:pPr>
    <w:rPr>
      <w:rFonts w:ascii="黑体" w:eastAsia="黑体"/>
      <w:szCs w:val="21"/>
    </w:rPr>
  </w:style>
  <w:style w:type="paragraph" w:customStyle="1" w:styleId="93">
    <w:name w:val="附录二级条标题"/>
    <w:basedOn w:val="1"/>
    <w:next w:val="26"/>
    <w:autoRedefine/>
    <w:qFormat/>
    <w:uiPriority w:val="0"/>
    <w:pPr>
      <w:widowControl/>
      <w:numPr>
        <w:ilvl w:val="3"/>
        <w:numId w:val="11"/>
      </w:numPr>
      <w:tabs>
        <w:tab w:val="left" w:pos="360"/>
      </w:tabs>
      <w:wordWrap w:val="0"/>
      <w:overflowPunct w:val="0"/>
      <w:autoSpaceDE w:val="0"/>
      <w:autoSpaceDN w:val="0"/>
      <w:spacing w:before="50" w:beforeLines="50" w:after="50" w:afterLines="50"/>
      <w:textAlignment w:val="baseline"/>
      <w:outlineLvl w:val="3"/>
    </w:pPr>
    <w:rPr>
      <w:rFonts w:ascii="黑体" w:eastAsia="黑体"/>
      <w:kern w:val="21"/>
      <w:szCs w:val="20"/>
    </w:rPr>
  </w:style>
  <w:style w:type="paragraph" w:customStyle="1" w:styleId="94">
    <w:name w:val="附录二级无"/>
    <w:basedOn w:val="93"/>
    <w:autoRedefine/>
    <w:qFormat/>
    <w:uiPriority w:val="0"/>
    <w:pPr>
      <w:tabs>
        <w:tab w:val="clear" w:pos="360"/>
      </w:tabs>
      <w:spacing w:before="0" w:beforeLines="0" w:after="0" w:afterLines="0"/>
    </w:pPr>
    <w:rPr>
      <w:rFonts w:ascii="宋体" w:eastAsia="宋体"/>
      <w:szCs w:val="21"/>
    </w:rPr>
  </w:style>
  <w:style w:type="paragraph" w:customStyle="1" w:styleId="95">
    <w:name w:val="附录公式"/>
    <w:basedOn w:val="26"/>
    <w:next w:val="26"/>
    <w:link w:val="96"/>
    <w:autoRedefine/>
    <w:qFormat/>
    <w:uiPriority w:val="0"/>
  </w:style>
  <w:style w:type="character" w:customStyle="1" w:styleId="96">
    <w:name w:val="附录公式 Char"/>
    <w:basedOn w:val="46"/>
    <w:link w:val="95"/>
    <w:autoRedefine/>
    <w:qFormat/>
    <w:uiPriority w:val="0"/>
    <w:rPr>
      <w:rFonts w:ascii="宋体"/>
      <w:sz w:val="21"/>
      <w:lang w:val="en-US" w:eastAsia="zh-CN" w:bidi="ar-SA"/>
    </w:rPr>
  </w:style>
  <w:style w:type="paragraph" w:customStyle="1" w:styleId="97">
    <w:name w:val="附录公式编号制表符"/>
    <w:basedOn w:val="1"/>
    <w:next w:val="26"/>
    <w:autoRedefine/>
    <w:qFormat/>
    <w:uiPriority w:val="0"/>
    <w:pPr>
      <w:widowControl/>
      <w:tabs>
        <w:tab w:val="center" w:pos="4201"/>
        <w:tab w:val="right" w:leader="dot" w:pos="9298"/>
      </w:tabs>
      <w:autoSpaceDE w:val="0"/>
      <w:autoSpaceDN w:val="0"/>
    </w:pPr>
    <w:rPr>
      <w:rFonts w:ascii="宋体"/>
      <w:kern w:val="0"/>
      <w:szCs w:val="20"/>
    </w:rPr>
  </w:style>
  <w:style w:type="paragraph" w:customStyle="1" w:styleId="98">
    <w:name w:val="附录三级条标题"/>
    <w:basedOn w:val="93"/>
    <w:next w:val="26"/>
    <w:autoRedefine/>
    <w:qFormat/>
    <w:uiPriority w:val="0"/>
    <w:pPr>
      <w:numPr>
        <w:ilvl w:val="4"/>
      </w:numPr>
      <w:outlineLvl w:val="4"/>
    </w:pPr>
  </w:style>
  <w:style w:type="paragraph" w:customStyle="1" w:styleId="99">
    <w:name w:val="附录三级无"/>
    <w:basedOn w:val="98"/>
    <w:autoRedefine/>
    <w:qFormat/>
    <w:uiPriority w:val="0"/>
    <w:pPr>
      <w:tabs>
        <w:tab w:val="clear" w:pos="360"/>
      </w:tabs>
      <w:spacing w:before="0" w:beforeLines="0" w:after="0" w:afterLines="0"/>
    </w:pPr>
    <w:rPr>
      <w:rFonts w:ascii="宋体" w:eastAsia="宋体"/>
      <w:szCs w:val="21"/>
    </w:rPr>
  </w:style>
  <w:style w:type="paragraph" w:customStyle="1" w:styleId="100">
    <w:name w:val="附录数字编号列项（二级）"/>
    <w:autoRedefine/>
    <w:qFormat/>
    <w:uiPriority w:val="0"/>
    <w:pPr>
      <w:numPr>
        <w:ilvl w:val="1"/>
        <w:numId w:val="13"/>
      </w:numPr>
    </w:pPr>
    <w:rPr>
      <w:rFonts w:ascii="宋体" w:hAnsi="Times New Roman" w:eastAsia="宋体" w:cs="Times New Roman"/>
      <w:sz w:val="21"/>
      <w:lang w:val="en-US" w:eastAsia="zh-CN" w:bidi="ar-SA"/>
    </w:rPr>
  </w:style>
  <w:style w:type="paragraph" w:customStyle="1" w:styleId="101">
    <w:name w:val="附录四级条标题"/>
    <w:basedOn w:val="98"/>
    <w:next w:val="26"/>
    <w:autoRedefine/>
    <w:qFormat/>
    <w:uiPriority w:val="0"/>
    <w:pPr>
      <w:numPr>
        <w:ilvl w:val="5"/>
      </w:numPr>
      <w:outlineLvl w:val="5"/>
    </w:pPr>
  </w:style>
  <w:style w:type="paragraph" w:customStyle="1" w:styleId="102">
    <w:name w:val="附录四级无"/>
    <w:basedOn w:val="101"/>
    <w:autoRedefine/>
    <w:qFormat/>
    <w:uiPriority w:val="0"/>
    <w:pPr>
      <w:tabs>
        <w:tab w:val="clear" w:pos="360"/>
      </w:tabs>
      <w:spacing w:before="0" w:beforeLines="0" w:after="0" w:afterLines="0"/>
    </w:pPr>
    <w:rPr>
      <w:rFonts w:ascii="宋体" w:eastAsia="宋体"/>
      <w:szCs w:val="21"/>
    </w:rPr>
  </w:style>
  <w:style w:type="paragraph" w:customStyle="1" w:styleId="103">
    <w:name w:val="附录图标号"/>
    <w:basedOn w:val="1"/>
    <w:autoRedefine/>
    <w:qFormat/>
    <w:uiPriority w:val="0"/>
    <w:pPr>
      <w:keepNext/>
      <w:pageBreakBefore/>
      <w:widowControl/>
      <w:numPr>
        <w:ilvl w:val="0"/>
        <w:numId w:val="14"/>
      </w:numPr>
      <w:spacing w:line="14" w:lineRule="exact"/>
      <w:ind w:left="0" w:firstLine="363"/>
      <w:jc w:val="center"/>
      <w:outlineLvl w:val="0"/>
    </w:pPr>
    <w:rPr>
      <w:color w:val="FFFFFF"/>
    </w:rPr>
  </w:style>
  <w:style w:type="paragraph" w:customStyle="1" w:styleId="104">
    <w:name w:val="附录图标题"/>
    <w:basedOn w:val="1"/>
    <w:next w:val="26"/>
    <w:autoRedefine/>
    <w:qFormat/>
    <w:uiPriority w:val="0"/>
    <w:pPr>
      <w:numPr>
        <w:ilvl w:val="1"/>
        <w:numId w:val="14"/>
      </w:numPr>
      <w:tabs>
        <w:tab w:val="left" w:pos="363"/>
      </w:tabs>
      <w:spacing w:before="50" w:beforeLines="50" w:after="50" w:afterLines="50"/>
      <w:ind w:left="0" w:firstLine="0"/>
      <w:jc w:val="center"/>
    </w:pPr>
    <w:rPr>
      <w:rFonts w:ascii="黑体" w:eastAsia="黑体"/>
      <w:szCs w:val="21"/>
    </w:rPr>
  </w:style>
  <w:style w:type="paragraph" w:customStyle="1" w:styleId="105">
    <w:name w:val="附录五级条标题"/>
    <w:basedOn w:val="101"/>
    <w:next w:val="26"/>
    <w:autoRedefine/>
    <w:qFormat/>
    <w:uiPriority w:val="0"/>
    <w:pPr>
      <w:numPr>
        <w:ilvl w:val="6"/>
      </w:numPr>
      <w:outlineLvl w:val="6"/>
    </w:pPr>
  </w:style>
  <w:style w:type="paragraph" w:customStyle="1" w:styleId="106">
    <w:name w:val="附录五级无"/>
    <w:basedOn w:val="105"/>
    <w:autoRedefine/>
    <w:qFormat/>
    <w:uiPriority w:val="0"/>
    <w:pPr>
      <w:tabs>
        <w:tab w:val="clear" w:pos="360"/>
      </w:tabs>
      <w:spacing w:before="0" w:beforeLines="0" w:after="0" w:afterLines="0"/>
    </w:pPr>
    <w:rPr>
      <w:rFonts w:ascii="宋体" w:eastAsia="宋体"/>
      <w:szCs w:val="21"/>
    </w:rPr>
  </w:style>
  <w:style w:type="paragraph" w:customStyle="1" w:styleId="107">
    <w:name w:val="附录章标题"/>
    <w:next w:val="26"/>
    <w:autoRedefine/>
    <w:qFormat/>
    <w:uiPriority w:val="0"/>
    <w:pPr>
      <w:numPr>
        <w:ilvl w:val="1"/>
        <w:numId w:val="11"/>
      </w:numPr>
      <w:tabs>
        <w:tab w:val="left" w:pos="360"/>
      </w:tabs>
      <w:wordWrap w:val="0"/>
      <w:overflowPunct w:val="0"/>
      <w:autoSpaceDE w:val="0"/>
      <w:spacing w:before="100" w:beforeLines="100" w:after="100" w:afterLines="100"/>
      <w:jc w:val="both"/>
      <w:textAlignment w:val="baseline"/>
      <w:outlineLvl w:val="1"/>
    </w:pPr>
    <w:rPr>
      <w:rFonts w:ascii="黑体" w:hAnsi="Times New Roman" w:eastAsia="黑体" w:cs="Times New Roman"/>
      <w:kern w:val="21"/>
      <w:sz w:val="21"/>
      <w:lang w:val="en-US" w:eastAsia="zh-CN" w:bidi="ar-SA"/>
    </w:rPr>
  </w:style>
  <w:style w:type="paragraph" w:customStyle="1" w:styleId="108">
    <w:name w:val="附录一级条标题"/>
    <w:basedOn w:val="107"/>
    <w:next w:val="26"/>
    <w:autoRedefine/>
    <w:qFormat/>
    <w:uiPriority w:val="0"/>
    <w:pPr>
      <w:numPr>
        <w:ilvl w:val="2"/>
      </w:numPr>
      <w:autoSpaceDN w:val="0"/>
      <w:spacing w:before="50" w:beforeLines="50" w:after="50" w:afterLines="50"/>
      <w:outlineLvl w:val="2"/>
    </w:pPr>
  </w:style>
  <w:style w:type="paragraph" w:customStyle="1" w:styleId="109">
    <w:name w:val="附录一级无"/>
    <w:basedOn w:val="108"/>
    <w:autoRedefine/>
    <w:qFormat/>
    <w:uiPriority w:val="0"/>
    <w:pPr>
      <w:tabs>
        <w:tab w:val="clear" w:pos="360"/>
      </w:tabs>
      <w:spacing w:before="0" w:beforeLines="0" w:after="0" w:afterLines="0"/>
    </w:pPr>
    <w:rPr>
      <w:rFonts w:ascii="宋体" w:eastAsia="宋体"/>
      <w:szCs w:val="21"/>
    </w:rPr>
  </w:style>
  <w:style w:type="paragraph" w:customStyle="1" w:styleId="110">
    <w:name w:val="附录字母编号列项（一级）"/>
    <w:autoRedefine/>
    <w:qFormat/>
    <w:uiPriority w:val="0"/>
    <w:pPr>
      <w:numPr>
        <w:ilvl w:val="0"/>
        <w:numId w:val="13"/>
      </w:numPr>
    </w:pPr>
    <w:rPr>
      <w:rFonts w:ascii="宋体" w:hAnsi="Times New Roman" w:eastAsia="宋体" w:cs="Times New Roman"/>
      <w:sz w:val="21"/>
      <w:lang w:val="en-US" w:eastAsia="zh-CN" w:bidi="ar-SA"/>
    </w:rPr>
  </w:style>
  <w:style w:type="paragraph" w:customStyle="1" w:styleId="111">
    <w:name w:val="列项说明"/>
    <w:basedOn w:val="1"/>
    <w:autoRedefine/>
    <w:qFormat/>
    <w:uiPriority w:val="0"/>
    <w:pPr>
      <w:adjustRightInd w:val="0"/>
      <w:spacing w:line="320" w:lineRule="exact"/>
      <w:ind w:left="400" w:leftChars="200" w:hanging="200" w:hangingChars="200"/>
      <w:jc w:val="left"/>
      <w:textAlignment w:val="baseline"/>
    </w:pPr>
    <w:rPr>
      <w:rFonts w:ascii="宋体"/>
      <w:kern w:val="0"/>
      <w:szCs w:val="20"/>
    </w:rPr>
  </w:style>
  <w:style w:type="paragraph" w:customStyle="1" w:styleId="112">
    <w:name w:val="列项说明数字编号"/>
    <w:autoRedefine/>
    <w:qFormat/>
    <w:uiPriority w:val="0"/>
    <w:pPr>
      <w:ind w:left="600" w:leftChars="400" w:hanging="200" w:hangingChars="200"/>
    </w:pPr>
    <w:rPr>
      <w:rFonts w:ascii="宋体" w:hAnsi="Times New Roman" w:eastAsia="宋体" w:cs="Times New Roman"/>
      <w:sz w:val="21"/>
      <w:lang w:val="en-US" w:eastAsia="zh-CN" w:bidi="ar-SA"/>
    </w:rPr>
  </w:style>
  <w:style w:type="paragraph" w:customStyle="1" w:styleId="113">
    <w:name w:val="目次、索引正文"/>
    <w:autoRedefine/>
    <w:qFormat/>
    <w:uiPriority w:val="0"/>
    <w:pPr>
      <w:spacing w:line="320" w:lineRule="exact"/>
      <w:jc w:val="both"/>
    </w:pPr>
    <w:rPr>
      <w:rFonts w:ascii="宋体" w:hAnsi="Times New Roman" w:eastAsia="宋体" w:cs="Times New Roman"/>
      <w:sz w:val="21"/>
      <w:lang w:val="en-US" w:eastAsia="zh-CN" w:bidi="ar-SA"/>
    </w:rPr>
  </w:style>
  <w:style w:type="paragraph" w:customStyle="1" w:styleId="114">
    <w:name w:val="其他标准标志"/>
    <w:basedOn w:val="71"/>
    <w:autoRedefine/>
    <w:qFormat/>
    <w:uiPriority w:val="0"/>
    <w:pPr>
      <w:framePr w:w="6101" w:wrap="around" w:vAnchor="page" w:hAnchor="page" w:x="4673" w:y="942"/>
    </w:pPr>
    <w:rPr>
      <w:w w:val="130"/>
    </w:rPr>
  </w:style>
  <w:style w:type="paragraph" w:customStyle="1" w:styleId="115">
    <w:name w:val="其他标准称谓"/>
    <w:next w:val="1"/>
    <w:autoRedefine/>
    <w:qFormat/>
    <w:uiPriority w:val="0"/>
    <w:pPr>
      <w:framePr w:hSpace="181" w:vSpace="181" w:wrap="around" w:vAnchor="page" w:hAnchor="page" w:x="1419" w:y="2286" w:anchorLock="1"/>
      <w:spacing w:line="0" w:lineRule="atLeast"/>
      <w:jc w:val="distribute"/>
    </w:pPr>
    <w:rPr>
      <w:rFonts w:ascii="黑体" w:hAnsi="宋体" w:eastAsia="黑体" w:cs="Times New Roman"/>
      <w:spacing w:val="-40"/>
      <w:sz w:val="48"/>
      <w:szCs w:val="52"/>
      <w:lang w:val="en-US" w:eastAsia="zh-CN" w:bidi="ar-SA"/>
    </w:rPr>
  </w:style>
  <w:style w:type="paragraph" w:customStyle="1" w:styleId="116">
    <w:name w:val="其他发布部门"/>
    <w:basedOn w:val="79"/>
    <w:autoRedefine/>
    <w:qFormat/>
    <w:uiPriority w:val="0"/>
    <w:pPr>
      <w:framePr w:wrap="around" w:y="15310"/>
      <w:spacing w:line="0" w:lineRule="atLeast"/>
    </w:pPr>
    <w:rPr>
      <w:rFonts w:ascii="黑体" w:eastAsia="黑体"/>
      <w:b w:val="0"/>
    </w:rPr>
  </w:style>
  <w:style w:type="paragraph" w:customStyle="1" w:styleId="117">
    <w:name w:val="前言、引言标题"/>
    <w:next w:val="26"/>
    <w:autoRedefine/>
    <w:qFormat/>
    <w:uiPriority w:val="0"/>
    <w:pPr>
      <w:keepNext/>
      <w:pageBreakBefore/>
      <w:shd w:val="clear" w:color="FFFFFF" w:fill="FFFFFF"/>
      <w:spacing w:before="640" w:after="560"/>
      <w:jc w:val="center"/>
      <w:outlineLvl w:val="0"/>
    </w:pPr>
    <w:rPr>
      <w:rFonts w:ascii="黑体" w:hAnsi="Times New Roman" w:eastAsia="黑体" w:cs="Times New Roman"/>
      <w:sz w:val="32"/>
      <w:lang w:val="en-US" w:eastAsia="zh-CN" w:bidi="ar-SA"/>
    </w:rPr>
  </w:style>
  <w:style w:type="paragraph" w:customStyle="1" w:styleId="118">
    <w:name w:val="三级无"/>
    <w:basedOn w:val="56"/>
    <w:autoRedefine/>
    <w:qFormat/>
    <w:uiPriority w:val="0"/>
    <w:pPr>
      <w:spacing w:before="0" w:beforeLines="0" w:after="0" w:afterLines="0"/>
    </w:pPr>
    <w:rPr>
      <w:rFonts w:ascii="宋体" w:eastAsia="宋体"/>
    </w:rPr>
  </w:style>
  <w:style w:type="paragraph" w:customStyle="1" w:styleId="119">
    <w:name w:val="实施日期"/>
    <w:basedOn w:val="80"/>
    <w:autoRedefine/>
    <w:qFormat/>
    <w:uiPriority w:val="0"/>
    <w:pPr>
      <w:framePr w:wrap="around" w:vAnchor="page" w:hAnchor="text"/>
      <w:jc w:val="right"/>
    </w:pPr>
  </w:style>
  <w:style w:type="paragraph" w:customStyle="1" w:styleId="120">
    <w:name w:val="示例后文字"/>
    <w:basedOn w:val="26"/>
    <w:next w:val="26"/>
    <w:autoRedefine/>
    <w:qFormat/>
    <w:uiPriority w:val="0"/>
    <w:pPr>
      <w:ind w:firstLine="360"/>
    </w:pPr>
    <w:rPr>
      <w:sz w:val="18"/>
    </w:rPr>
  </w:style>
  <w:style w:type="paragraph" w:customStyle="1" w:styleId="121">
    <w:name w:val="首示例"/>
    <w:next w:val="26"/>
    <w:link w:val="122"/>
    <w:autoRedefine/>
    <w:qFormat/>
    <w:uiPriority w:val="0"/>
    <w:pPr>
      <w:numPr>
        <w:ilvl w:val="0"/>
        <w:numId w:val="15"/>
      </w:numPr>
      <w:tabs>
        <w:tab w:val="left" w:pos="360"/>
      </w:tabs>
      <w:ind w:firstLine="0"/>
    </w:pPr>
    <w:rPr>
      <w:rFonts w:ascii="宋体" w:hAnsi="宋体" w:eastAsia="宋体" w:cs="Times New Roman"/>
      <w:kern w:val="2"/>
      <w:sz w:val="18"/>
      <w:szCs w:val="18"/>
      <w:lang w:val="en-US" w:eastAsia="zh-CN" w:bidi="ar-SA"/>
    </w:rPr>
  </w:style>
  <w:style w:type="character" w:customStyle="1" w:styleId="122">
    <w:name w:val="首示例 Char"/>
    <w:link w:val="121"/>
    <w:autoRedefine/>
    <w:qFormat/>
    <w:uiPriority w:val="0"/>
    <w:rPr>
      <w:rFonts w:ascii="宋体" w:hAnsi="宋体"/>
      <w:kern w:val="2"/>
      <w:sz w:val="18"/>
      <w:szCs w:val="18"/>
    </w:rPr>
  </w:style>
  <w:style w:type="paragraph" w:customStyle="1" w:styleId="123">
    <w:name w:val="四级无"/>
    <w:basedOn w:val="60"/>
    <w:autoRedefine/>
    <w:qFormat/>
    <w:uiPriority w:val="0"/>
    <w:pPr>
      <w:spacing w:before="0" w:beforeLines="0" w:after="0" w:afterLines="0"/>
    </w:pPr>
    <w:rPr>
      <w:rFonts w:ascii="宋体" w:eastAsia="宋体"/>
    </w:rPr>
  </w:style>
  <w:style w:type="paragraph" w:customStyle="1" w:styleId="124">
    <w:name w:val="条文脚注"/>
    <w:basedOn w:val="27"/>
    <w:link w:val="157"/>
    <w:autoRedefine/>
    <w:qFormat/>
    <w:uiPriority w:val="0"/>
    <w:pPr>
      <w:numPr>
        <w:numId w:val="0"/>
      </w:numPr>
      <w:jc w:val="both"/>
    </w:pPr>
  </w:style>
  <w:style w:type="paragraph" w:customStyle="1" w:styleId="125">
    <w:name w:val="图标脚注说明"/>
    <w:basedOn w:val="26"/>
    <w:autoRedefine/>
    <w:qFormat/>
    <w:uiPriority w:val="0"/>
    <w:pPr>
      <w:ind w:left="840" w:hanging="420" w:firstLineChars="0"/>
    </w:pPr>
    <w:rPr>
      <w:sz w:val="18"/>
      <w:szCs w:val="18"/>
    </w:rPr>
  </w:style>
  <w:style w:type="paragraph" w:customStyle="1" w:styleId="126">
    <w:name w:val="图表脚注说明"/>
    <w:basedOn w:val="1"/>
    <w:autoRedefine/>
    <w:qFormat/>
    <w:uiPriority w:val="0"/>
    <w:pPr>
      <w:numPr>
        <w:ilvl w:val="0"/>
        <w:numId w:val="16"/>
      </w:numPr>
    </w:pPr>
    <w:rPr>
      <w:rFonts w:ascii="宋体"/>
      <w:sz w:val="18"/>
      <w:szCs w:val="18"/>
    </w:rPr>
  </w:style>
  <w:style w:type="paragraph" w:customStyle="1" w:styleId="127">
    <w:name w:val="图的脚注"/>
    <w:next w:val="26"/>
    <w:autoRedefine/>
    <w:qFormat/>
    <w:uiPriority w:val="0"/>
    <w:pPr>
      <w:widowControl w:val="0"/>
      <w:ind w:left="840" w:leftChars="200" w:hanging="420" w:hangingChars="200"/>
      <w:jc w:val="both"/>
    </w:pPr>
    <w:rPr>
      <w:rFonts w:ascii="宋体" w:hAnsi="Times New Roman" w:eastAsia="宋体" w:cs="Times New Roman"/>
      <w:sz w:val="18"/>
      <w:lang w:val="en-US" w:eastAsia="zh-CN" w:bidi="ar-SA"/>
    </w:rPr>
  </w:style>
  <w:style w:type="paragraph" w:customStyle="1" w:styleId="128">
    <w:name w:val="文献分类号"/>
    <w:autoRedefine/>
    <w:qFormat/>
    <w:uiPriority w:val="0"/>
    <w:pPr>
      <w:framePr w:hSpace="180" w:vSpace="180" w:wrap="around" w:vAnchor="margin" w:hAnchor="margin" w:y="1" w:anchorLock="1"/>
      <w:widowControl w:val="0"/>
      <w:textAlignment w:val="center"/>
    </w:pPr>
    <w:rPr>
      <w:rFonts w:ascii="黑体" w:hAnsi="Times New Roman" w:eastAsia="黑体" w:cs="Times New Roman"/>
      <w:sz w:val="21"/>
      <w:szCs w:val="21"/>
      <w:lang w:val="en-US" w:eastAsia="zh-CN" w:bidi="ar-SA"/>
    </w:rPr>
  </w:style>
  <w:style w:type="paragraph" w:customStyle="1" w:styleId="129">
    <w:name w:val="五级无"/>
    <w:basedOn w:val="61"/>
    <w:autoRedefine/>
    <w:qFormat/>
    <w:uiPriority w:val="0"/>
    <w:pPr>
      <w:spacing w:before="0" w:beforeLines="0" w:after="0" w:afterLines="0"/>
    </w:pPr>
    <w:rPr>
      <w:rFonts w:ascii="宋体" w:eastAsia="宋体"/>
    </w:rPr>
  </w:style>
  <w:style w:type="paragraph" w:customStyle="1" w:styleId="130">
    <w:name w:val="一级无"/>
    <w:basedOn w:val="47"/>
    <w:autoRedefine/>
    <w:qFormat/>
    <w:uiPriority w:val="0"/>
    <w:pPr>
      <w:spacing w:before="0" w:beforeLines="0" w:after="0" w:afterLines="0"/>
    </w:pPr>
    <w:rPr>
      <w:rFonts w:ascii="宋体" w:eastAsia="宋体"/>
    </w:rPr>
  </w:style>
  <w:style w:type="paragraph" w:customStyle="1" w:styleId="131">
    <w:name w:val="正文表标题"/>
    <w:next w:val="26"/>
    <w:autoRedefine/>
    <w:qFormat/>
    <w:uiPriority w:val="0"/>
    <w:pPr>
      <w:numPr>
        <w:ilvl w:val="0"/>
        <w:numId w:val="17"/>
      </w:numPr>
      <w:tabs>
        <w:tab w:val="left" w:pos="360"/>
      </w:tabs>
      <w:spacing w:before="156" w:beforeLines="50" w:after="156" w:afterLines="50"/>
      <w:jc w:val="center"/>
    </w:pPr>
    <w:rPr>
      <w:rFonts w:ascii="黑体" w:hAnsi="Times New Roman" w:eastAsia="黑体" w:cs="Times New Roman"/>
      <w:sz w:val="21"/>
      <w:lang w:val="en-US" w:eastAsia="zh-CN" w:bidi="ar-SA"/>
    </w:rPr>
  </w:style>
  <w:style w:type="paragraph" w:customStyle="1" w:styleId="132">
    <w:name w:val="正文公式编号制表符"/>
    <w:basedOn w:val="26"/>
    <w:next w:val="26"/>
    <w:autoRedefine/>
    <w:qFormat/>
    <w:uiPriority w:val="0"/>
    <w:pPr>
      <w:ind w:firstLine="0" w:firstLineChars="0"/>
    </w:pPr>
  </w:style>
  <w:style w:type="paragraph" w:customStyle="1" w:styleId="133">
    <w:name w:val="正文图标题"/>
    <w:next w:val="26"/>
    <w:autoRedefine/>
    <w:qFormat/>
    <w:uiPriority w:val="0"/>
    <w:pPr>
      <w:numPr>
        <w:ilvl w:val="0"/>
        <w:numId w:val="18"/>
      </w:numPr>
      <w:spacing w:before="156" w:beforeLines="50" w:after="156" w:afterLines="50"/>
      <w:jc w:val="center"/>
    </w:pPr>
    <w:rPr>
      <w:rFonts w:ascii="黑体" w:hAnsi="Times New Roman" w:eastAsia="黑体" w:cs="Times New Roman"/>
      <w:sz w:val="21"/>
      <w:lang w:val="en-US" w:eastAsia="zh-CN" w:bidi="ar-SA"/>
    </w:rPr>
  </w:style>
  <w:style w:type="paragraph" w:customStyle="1" w:styleId="134">
    <w:name w:val="终结线"/>
    <w:basedOn w:val="1"/>
    <w:autoRedefine/>
    <w:qFormat/>
    <w:uiPriority w:val="0"/>
    <w:pPr>
      <w:framePr w:hSpace="181" w:vSpace="181" w:wrap="around" w:vAnchor="text" w:hAnchor="margin" w:xAlign="center" w:y="285"/>
    </w:pPr>
  </w:style>
  <w:style w:type="paragraph" w:customStyle="1" w:styleId="135">
    <w:name w:val="其他发布日期"/>
    <w:basedOn w:val="80"/>
    <w:autoRedefine/>
    <w:qFormat/>
    <w:uiPriority w:val="0"/>
    <w:pPr>
      <w:framePr w:wrap="around" w:vAnchor="page" w:hAnchor="text" w:x="1419"/>
    </w:pPr>
  </w:style>
  <w:style w:type="paragraph" w:customStyle="1" w:styleId="136">
    <w:name w:val="其他实施日期"/>
    <w:basedOn w:val="119"/>
    <w:autoRedefine/>
    <w:qFormat/>
    <w:uiPriority w:val="0"/>
    <w:pPr>
      <w:framePr w:wrap="around"/>
    </w:pPr>
  </w:style>
  <w:style w:type="paragraph" w:customStyle="1" w:styleId="137">
    <w:name w:val="封面标准名称2"/>
    <w:basedOn w:val="83"/>
    <w:autoRedefine/>
    <w:qFormat/>
    <w:uiPriority w:val="0"/>
    <w:pPr>
      <w:framePr w:wrap="around" w:y="4469"/>
      <w:spacing w:before="630" w:beforeLines="630"/>
    </w:pPr>
  </w:style>
  <w:style w:type="paragraph" w:customStyle="1" w:styleId="138">
    <w:name w:val="封面标准英文名称2"/>
    <w:basedOn w:val="84"/>
    <w:autoRedefine/>
    <w:qFormat/>
    <w:uiPriority w:val="0"/>
    <w:pPr>
      <w:framePr w:wrap="around" w:y="4469"/>
    </w:pPr>
  </w:style>
  <w:style w:type="paragraph" w:customStyle="1" w:styleId="139">
    <w:name w:val="封面一致性程度标识2"/>
    <w:basedOn w:val="85"/>
    <w:autoRedefine/>
    <w:qFormat/>
    <w:uiPriority w:val="0"/>
    <w:pPr>
      <w:framePr w:wrap="around" w:y="4469"/>
    </w:pPr>
  </w:style>
  <w:style w:type="paragraph" w:customStyle="1" w:styleId="140">
    <w:name w:val="封面标准文稿类别2"/>
    <w:basedOn w:val="86"/>
    <w:autoRedefine/>
    <w:qFormat/>
    <w:uiPriority w:val="0"/>
    <w:pPr>
      <w:framePr w:wrap="around" w:y="4469"/>
    </w:pPr>
  </w:style>
  <w:style w:type="paragraph" w:customStyle="1" w:styleId="141">
    <w:name w:val="封面标准文稿编辑信息2"/>
    <w:basedOn w:val="87"/>
    <w:autoRedefine/>
    <w:qFormat/>
    <w:uiPriority w:val="0"/>
    <w:pPr>
      <w:framePr w:wrap="around" w:y="4469"/>
    </w:pPr>
  </w:style>
  <w:style w:type="character" w:customStyle="1" w:styleId="142">
    <w:name w:val="正文文本 Char"/>
    <w:link w:val="12"/>
    <w:autoRedefine/>
    <w:qFormat/>
    <w:uiPriority w:val="0"/>
    <w:rPr>
      <w:rFonts w:ascii="宋体" w:hAnsi="宋体" w:cs="宋体"/>
      <w:sz w:val="21"/>
      <w:szCs w:val="21"/>
      <w:lang w:val="zh-CN" w:bidi="zh-CN"/>
    </w:rPr>
  </w:style>
  <w:style w:type="paragraph" w:customStyle="1" w:styleId="143">
    <w:name w:val="Table Paragraph"/>
    <w:basedOn w:val="1"/>
    <w:autoRedefine/>
    <w:qFormat/>
    <w:uiPriority w:val="1"/>
    <w:pPr>
      <w:autoSpaceDE w:val="0"/>
      <w:autoSpaceDN w:val="0"/>
      <w:jc w:val="left"/>
    </w:pPr>
    <w:rPr>
      <w:rFonts w:ascii="宋体" w:hAnsi="宋体" w:cs="宋体"/>
      <w:kern w:val="0"/>
      <w:sz w:val="22"/>
      <w:szCs w:val="22"/>
      <w:lang w:val="zh-CN" w:bidi="zh-CN"/>
    </w:rPr>
  </w:style>
  <w:style w:type="table" w:customStyle="1" w:styleId="144">
    <w:name w:val="Table Normal"/>
    <w:autoRedefine/>
    <w:semiHidden/>
    <w:unhideWhenUsed/>
    <w:qFormat/>
    <w:uiPriority w:val="2"/>
    <w:pPr>
      <w:widowControl w:val="0"/>
      <w:autoSpaceDE w:val="0"/>
      <w:autoSpaceDN w:val="0"/>
    </w:pPr>
    <w:rPr>
      <w:rFonts w:ascii="Calibri" w:hAnsi="Calibri"/>
      <w:sz w:val="22"/>
      <w:szCs w:val="22"/>
      <w:lang w:eastAsia="en-US"/>
    </w:rPr>
    <w:tblPr>
      <w:tblCellMar>
        <w:top w:w="0" w:type="dxa"/>
        <w:left w:w="0" w:type="dxa"/>
        <w:bottom w:w="0" w:type="dxa"/>
        <w:right w:w="0" w:type="dxa"/>
      </w:tblCellMar>
    </w:tblPr>
  </w:style>
  <w:style w:type="paragraph" w:customStyle="1" w:styleId="145">
    <w:name w:val="Default"/>
    <w:autoRedefine/>
    <w:qFormat/>
    <w:uiPriority w:val="0"/>
    <w:pPr>
      <w:widowControl w:val="0"/>
      <w:autoSpaceDE w:val="0"/>
      <w:autoSpaceDN w:val="0"/>
      <w:adjustRightInd w:val="0"/>
    </w:pPr>
    <w:rPr>
      <w:rFonts w:ascii="宋体" w:hAnsi="Times New Roman" w:eastAsia="宋体" w:cs="宋体"/>
      <w:lang w:val="en-US" w:eastAsia="zh-CN" w:bidi="ar-SA"/>
    </w:rPr>
  </w:style>
  <w:style w:type="paragraph" w:styleId="146">
    <w:name w:val="List Paragraph"/>
    <w:basedOn w:val="1"/>
    <w:autoRedefine/>
    <w:qFormat/>
    <w:uiPriority w:val="34"/>
    <w:pPr>
      <w:ind w:firstLine="420" w:firstLineChars="200"/>
    </w:pPr>
  </w:style>
  <w:style w:type="character" w:customStyle="1" w:styleId="147">
    <w:name w:val="标题 1 Char"/>
    <w:link w:val="3"/>
    <w:autoRedefine/>
    <w:qFormat/>
    <w:uiPriority w:val="0"/>
    <w:rPr>
      <w:b/>
      <w:bCs/>
      <w:kern w:val="44"/>
      <w:sz w:val="44"/>
      <w:szCs w:val="44"/>
    </w:rPr>
  </w:style>
  <w:style w:type="paragraph" w:customStyle="1" w:styleId="148">
    <w:name w:val="TOC 标题1"/>
    <w:basedOn w:val="3"/>
    <w:next w:val="1"/>
    <w:autoRedefine/>
    <w:unhideWhenUsed/>
    <w:qFormat/>
    <w:uiPriority w:val="39"/>
    <w:pPr>
      <w:widowControl/>
      <w:spacing w:before="240" w:after="0" w:line="259" w:lineRule="auto"/>
      <w:jc w:val="left"/>
      <w:outlineLvl w:val="9"/>
    </w:pPr>
    <w:rPr>
      <w:rFonts w:ascii="Calibri Light" w:hAnsi="Calibri Light"/>
      <w:b w:val="0"/>
      <w:bCs w:val="0"/>
      <w:color w:val="2E74B5"/>
      <w:kern w:val="0"/>
      <w:sz w:val="32"/>
      <w:szCs w:val="32"/>
    </w:rPr>
  </w:style>
  <w:style w:type="character" w:customStyle="1" w:styleId="149">
    <w:name w:val="批注框文本 Char"/>
    <w:link w:val="19"/>
    <w:autoRedefine/>
    <w:qFormat/>
    <w:uiPriority w:val="0"/>
    <w:rPr>
      <w:kern w:val="2"/>
      <w:sz w:val="18"/>
      <w:szCs w:val="18"/>
    </w:rPr>
  </w:style>
  <w:style w:type="character" w:styleId="150">
    <w:name w:val="Placeholder Text"/>
    <w:autoRedefine/>
    <w:semiHidden/>
    <w:qFormat/>
    <w:uiPriority w:val="99"/>
    <w:rPr>
      <w:color w:val="808080"/>
    </w:rPr>
  </w:style>
  <w:style w:type="character" w:customStyle="1" w:styleId="151">
    <w:name w:val="批注文字 Char"/>
    <w:basedOn w:val="38"/>
    <w:link w:val="10"/>
    <w:autoRedefine/>
    <w:qFormat/>
    <w:uiPriority w:val="0"/>
    <w:rPr>
      <w:kern w:val="2"/>
      <w:sz w:val="21"/>
      <w:szCs w:val="24"/>
    </w:rPr>
  </w:style>
  <w:style w:type="character" w:customStyle="1" w:styleId="152">
    <w:name w:val="批注主题 Char"/>
    <w:basedOn w:val="151"/>
    <w:link w:val="35"/>
    <w:autoRedefine/>
    <w:qFormat/>
    <w:uiPriority w:val="0"/>
    <w:rPr>
      <w:b/>
      <w:bCs/>
      <w:kern w:val="2"/>
      <w:sz w:val="21"/>
      <w:szCs w:val="24"/>
    </w:rPr>
  </w:style>
  <w:style w:type="paragraph" w:customStyle="1" w:styleId="153">
    <w:name w:val="列出段落2"/>
    <w:basedOn w:val="1"/>
    <w:autoRedefine/>
    <w:qFormat/>
    <w:uiPriority w:val="99"/>
    <w:pPr>
      <w:ind w:firstLine="420" w:firstLineChars="200"/>
    </w:pPr>
    <w:rPr>
      <w:rFonts w:ascii="Calibri" w:hAnsi="Calibri" w:cs="黑体"/>
      <w:szCs w:val="22"/>
    </w:rPr>
  </w:style>
  <w:style w:type="paragraph" w:customStyle="1" w:styleId="154">
    <w:name w:val="WPSOffice手动目录 1"/>
    <w:autoRedefine/>
    <w:qFormat/>
    <w:uiPriority w:val="0"/>
    <w:rPr>
      <w:rFonts w:ascii="Times New Roman" w:hAnsi="Times New Roman" w:eastAsia="宋体" w:cs="Times New Roman"/>
      <w:lang w:val="en-US" w:eastAsia="zh-CN" w:bidi="ar-SA"/>
    </w:rPr>
  </w:style>
  <w:style w:type="paragraph" w:customStyle="1" w:styleId="155">
    <w:name w:val="WPSOffice手动目录 2"/>
    <w:autoRedefine/>
    <w:qFormat/>
    <w:uiPriority w:val="0"/>
    <w:pPr>
      <w:ind w:left="200" w:leftChars="200"/>
    </w:pPr>
    <w:rPr>
      <w:rFonts w:ascii="Times New Roman" w:hAnsi="Times New Roman" w:eastAsia="宋体" w:cs="Times New Roman"/>
      <w:lang w:val="en-US" w:eastAsia="zh-CN" w:bidi="ar-SA"/>
    </w:rPr>
  </w:style>
  <w:style w:type="character" w:customStyle="1" w:styleId="156">
    <w:name w:val="注： Char"/>
    <w:link w:val="62"/>
    <w:autoRedefine/>
    <w:qFormat/>
    <w:uiPriority w:val="0"/>
    <w:rPr>
      <w:rFonts w:ascii="宋体" w:hAnsi="Times New Roman" w:eastAsia="宋体" w:cs="Times New Roman"/>
      <w:sz w:val="18"/>
      <w:szCs w:val="18"/>
      <w:lang w:val="en-US" w:eastAsia="zh-CN" w:bidi="ar-SA"/>
    </w:rPr>
  </w:style>
  <w:style w:type="character" w:customStyle="1" w:styleId="157">
    <w:name w:val="条文脚注 Char"/>
    <w:link w:val="124"/>
    <w:autoRedefine/>
    <w:qFormat/>
    <w:uiPriority w:val="0"/>
  </w:style>
  <w:style w:type="paragraph" w:customStyle="1" w:styleId="158">
    <w:name w:val="标准标志TB"/>
    <w:basedOn w:val="1"/>
    <w:autoRedefine/>
    <w:qFormat/>
    <w:uiPriority w:val="0"/>
    <w:pPr>
      <w:widowControl/>
      <w:shd w:val="solid" w:color="FFFFFF" w:fill="FFFFFF"/>
      <w:spacing w:line="0" w:lineRule="atLeast"/>
      <w:jc w:val="right"/>
    </w:pPr>
    <w:rPr>
      <w:rFonts w:ascii="Times New Roman" w:hAnsi="Times New Roman" w:eastAsia="Arial Unicode MS"/>
      <w:b/>
      <w:w w:val="130"/>
      <w:sz w:val="96"/>
      <w:szCs w:val="20"/>
    </w:rPr>
  </w:style>
</w:style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1" Type="http://schemas.openxmlformats.org/officeDocument/2006/relationships/fontTable" Target="fontTable.xml"/><Relationship Id="rId20" Type="http://schemas.microsoft.com/office/2006/relationships/keyMapCustomizations" Target="customizations.xml"/><Relationship Id="rId2" Type="http://schemas.openxmlformats.org/officeDocument/2006/relationships/settings" Target="settings.xml"/><Relationship Id="rId19" Type="http://schemas.openxmlformats.org/officeDocument/2006/relationships/customXml" Target="../customXml/item2.xml"/><Relationship Id="rId18" Type="http://schemas.openxmlformats.org/officeDocument/2006/relationships/numbering" Target="numbering.xml"/><Relationship Id="rId17" Type="http://schemas.openxmlformats.org/officeDocument/2006/relationships/customXml" Target="../customXml/item1.xml"/><Relationship Id="rId16" Type="http://schemas.openxmlformats.org/officeDocument/2006/relationships/theme" Target="theme/theme1.xml"/><Relationship Id="rId15" Type="http://schemas.openxmlformats.org/officeDocument/2006/relationships/footer" Target="footer9.xml"/><Relationship Id="rId14" Type="http://schemas.openxmlformats.org/officeDocument/2006/relationships/footer" Target="footer8.xml"/><Relationship Id="rId13" Type="http://schemas.openxmlformats.org/officeDocument/2006/relationships/header" Target="header4.xml"/><Relationship Id="rId12" Type="http://schemas.openxmlformats.org/officeDocument/2006/relationships/footer" Target="footer7.xml"/><Relationship Id="rId11" Type="http://schemas.openxmlformats.org/officeDocument/2006/relationships/footer" Target="footer6.xml"/><Relationship Id="rId10" Type="http://schemas.openxmlformats.org/officeDocument/2006/relationships/header" Target="head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759EDAF-8E5E-4FF1-B99B-92B5AD7DAE5E}">
  <ds:schemaRefs/>
</ds:datastoreItem>
</file>

<file path=docProps/app.xml><?xml version="1.0" encoding="utf-8"?>
<Properties xmlns="http://schemas.openxmlformats.org/officeDocument/2006/extended-properties" xmlns:vt="http://schemas.openxmlformats.org/officeDocument/2006/docPropsVTypes">
  <Template>Normal</Template>
  <Company>zle</Company>
  <Pages>36</Pages>
  <Words>3841</Words>
  <Characters>4328</Characters>
  <Lines>1</Lines>
  <Paragraphs>1</Paragraphs>
  <TotalTime>3</TotalTime>
  <ScaleCrop>false</ScaleCrop>
  <LinksUpToDate>false</LinksUpToDate>
  <CharactersWithSpaces>4518</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2022-11-02T03:34:00Z</dcterms:created>
  <dc:creator>CNIS</dc:creator>
  <cp:lastModifiedBy>Dai</cp:lastModifiedBy>
  <cp:lastPrinted>2022-10-28T08:41:00Z</cp:lastPrinted>
  <dcterms:modified xsi:type="dcterms:W3CDTF">2025-04-09T08:17:01Z</dcterms:modified>
  <dc:title>标准名称</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2D14FEA6D12D46B687A5155045404F8A</vt:lpwstr>
  </property>
  <property fmtid="{D5CDD505-2E9C-101B-9397-08002B2CF9AE}" pid="4" name="KSOTemplateDocerSaveRecord">
    <vt:lpwstr>eyJoZGlkIjoiZTFjZGUyM2M2NzNmNTZhOWJhMzJmYjhmMDAwOGY2YWUiLCJ1c2VySWQiOiI1MTA0MjQzNTcifQ==</vt:lpwstr>
  </property>
</Properties>
</file>