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14:paraId="73BC35ED">
      <w:pPr>
        <w:pStyle w:val="126"/>
        <w:framePr w:wrap="around"/>
        <w:rPr>
          <w:rFonts w:hAnsi="黑体" w:cs="黑体"/>
        </w:rPr>
      </w:pPr>
      <w:r>
        <w:rPr>
          <w:rFonts w:hAnsi="黑体" w:cs="黑体"/>
        </w:rPr>
        <w:t>ICS 13.020.99</w:t>
      </w:r>
    </w:p>
    <w:p w14:paraId="166DCBD2">
      <w:pPr>
        <w:pStyle w:val="126"/>
        <w:framePr w:wrap="around"/>
        <w:rPr>
          <w:rFonts w:ascii="Times New Roman"/>
        </w:rPr>
      </w:pPr>
      <w:r>
        <w:rPr>
          <w:rFonts w:hAnsi="黑体" w:cs="黑体"/>
        </w:rPr>
        <w:t>CCS Z 00</w:t>
      </w:r>
    </w:p>
    <w:tbl>
      <w:tblPr>
        <w:tblStyle w:val="35"/>
        <w:tblW w:w="95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70"/>
      </w:tblGrid>
      <w:tr w14:paraId="2C150B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70" w:type="dxa"/>
            <w:tcBorders>
              <w:top w:val="nil"/>
              <w:left w:val="nil"/>
              <w:bottom w:val="nil"/>
              <w:right w:val="nil"/>
            </w:tcBorders>
          </w:tcPr>
          <w:p w14:paraId="0D31018C">
            <w:pPr>
              <w:pStyle w:val="126"/>
              <w:keepNext w:val="0"/>
              <w:keepLines w:val="0"/>
              <w:framePr w:wrap="around"/>
              <w:suppressLineNumbers w:val="0"/>
              <w:spacing w:before="0" w:beforeAutospacing="0" w:after="0" w:afterAutospacing="0"/>
              <w:ind w:left="0" w:right="0"/>
              <w:rPr>
                <w:rFonts w:hint="default" w:ascii="Times New Roman"/>
              </w:rPr>
            </w:pPr>
          </w:p>
        </w:tc>
      </w:tr>
    </w:tbl>
    <w:p w14:paraId="3E695387">
      <w:pPr>
        <w:pStyle w:val="113"/>
        <w:framePr w:wrap="around"/>
        <w:rPr>
          <w:rFonts w:ascii="Times New Roman" w:hAnsi="Times New Roman"/>
        </w:rPr>
      </w:pPr>
      <w:r>
        <w:rPr>
          <w:rFonts w:hint="eastAsia" w:ascii="Times New Roman" w:hAnsi="Times New Roman"/>
        </w:rPr>
        <w:t>团体标准</w:t>
      </w:r>
    </w:p>
    <w:p w14:paraId="69B62F11">
      <w:pPr>
        <w:pStyle w:val="81"/>
        <w:framePr w:w="9638" w:h="6916" w:hRule="exact" w:wrap="around" w:x="1030" w:y="6282"/>
        <w:rPr>
          <w:rFonts w:ascii="Times New Roman"/>
        </w:rPr>
      </w:pPr>
      <w:r>
        <w:rPr>
          <w:rFonts w:ascii="Times New Roman"/>
        </w:rPr>
        <w:t>绿色</w:t>
      </w:r>
      <w:r>
        <w:rPr>
          <w:rFonts w:hint="eastAsia" w:ascii="Times New Roman"/>
        </w:rPr>
        <w:t>低碳</w:t>
      </w:r>
      <w:r>
        <w:rPr>
          <w:rFonts w:ascii="Times New Roman"/>
        </w:rPr>
        <w:t>产业认定行业技术规范</w:t>
      </w:r>
    </w:p>
    <w:p w14:paraId="0D3894E4">
      <w:pPr>
        <w:pStyle w:val="81"/>
        <w:framePr w:w="9638" w:h="6916" w:hRule="exact" w:wrap="around" w:x="1030" w:y="6282"/>
        <w:rPr>
          <w:rFonts w:ascii="Times New Roman"/>
          <w:sz w:val="44"/>
          <w:szCs w:val="44"/>
        </w:rPr>
      </w:pPr>
      <w:r>
        <w:rPr>
          <w:rFonts w:hint="eastAsia" w:ascii="Times New Roman"/>
        </w:rPr>
        <w:t>绿色金融认证和评级</w:t>
      </w:r>
    </w:p>
    <w:p w14:paraId="4EB4B004">
      <w:pPr>
        <w:pStyle w:val="82"/>
        <w:framePr w:w="9638" w:h="6916" w:hRule="exact" w:wrap="around" w:x="1030" w:y="6282"/>
        <w:rPr>
          <w:rFonts w:ascii="黑体" w:hAnsi="黑体" w:cs="黑体"/>
        </w:rPr>
      </w:pPr>
      <w:r>
        <w:rPr>
          <w:rFonts w:hint="eastAsia" w:ascii="黑体" w:hAnsi="黑体" w:cs="黑体"/>
          <w:spacing w:val="-23"/>
        </w:rPr>
        <w:t>Technical specifications of green and low-carbon industries identification</w:t>
      </w:r>
    </w:p>
    <w:p w14:paraId="04D16458">
      <w:pPr>
        <w:pStyle w:val="82"/>
        <w:framePr w:w="9638" w:h="6916" w:hRule="exact" w:wrap="around" w:x="1030" w:y="6282"/>
      </w:pPr>
      <w:r>
        <w:rPr>
          <w:rFonts w:hint="eastAsia" w:ascii="黑体" w:hAnsi="黑体" w:cs="黑体"/>
        </w:rPr>
        <w:t>—Green Finance Certifications and Ratings</w:t>
      </w:r>
    </w:p>
    <w:tbl>
      <w:tblPr>
        <w:tblStyle w:val="35"/>
        <w:tblW w:w="98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4858AC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7003441B">
            <w:pPr>
              <w:pStyle w:val="84"/>
              <w:keepNext w:val="0"/>
              <w:keepLines w:val="0"/>
              <w:framePr w:w="9638" w:h="6916" w:hRule="exact" w:wrap="around" w:x="1030" w:y="6282"/>
              <w:suppressLineNumbers w:val="0"/>
              <w:spacing w:beforeAutospacing="0" w:afterAutospacing="0"/>
              <w:ind w:left="0" w:right="0" w:firstLine="360"/>
              <w:rPr>
                <w:rFonts w:hint="default" w:ascii="Times New Roman"/>
              </w:rPr>
            </w:pPr>
          </w:p>
        </w:tc>
      </w:tr>
      <w:tr w14:paraId="41E832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0CD426FB">
            <w:pPr>
              <w:pStyle w:val="85"/>
              <w:keepNext w:val="0"/>
              <w:keepLines w:val="0"/>
              <w:framePr w:w="9638" w:h="6916" w:hRule="exact" w:wrap="around" w:x="1030" w:y="6282"/>
              <w:suppressLineNumbers w:val="0"/>
              <w:spacing w:beforeAutospacing="0" w:afterAutospacing="0"/>
              <w:ind w:left="0" w:right="0"/>
              <w:rPr>
                <w:rFonts w:hint="default" w:ascii="Times New Roman"/>
              </w:rPr>
            </w:pPr>
            <w:r>
              <w:rPr>
                <w:rFonts w:hint="default" w:ascii="Times New Roman"/>
              </w:rP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308610</wp:posOffset>
                      </wp:positionV>
                      <wp:extent cx="1905000" cy="254000"/>
                      <wp:effectExtent l="0" t="0" r="3175" b="3175"/>
                      <wp:wrapNone/>
                      <wp:docPr id="7"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14:paraId="3385F218">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24.3pt;height:20pt;width:150pt;z-index:-251656192;mso-width-relative:page;mso-height-relative:page;" fillcolor="#FFFFFF" filled="t" stroked="f" coordsize="21600,21600" o:gfxdata="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l3bXvVAAAACQEAAA8AAAAAAAAAAQAgAAAA&#10;IgAAAGRycy9kb3ducmV2LnhtbFBLAQIUABQAAAAIAIdO4kCDkIUWDgIAACsEAAAOAAAAAAAAAAEA&#10;IAAAACQBAABkcnMvZTJvRG9jLnhtbFBLBQYAAAAABgAGAFkBAACkBQAAAAA=&#10;">
                      <v:fill on="t" focussize="0,0"/>
                      <v:stroke on="f"/>
                      <v:imagedata o:title=""/>
                      <o:lock v:ext="edit" aspectratio="f"/>
                      <v:textbox>
                        <w:txbxContent>
                          <w:p w14:paraId="3385F218">
                            <w:pPr>
                              <w:jc w:val="center"/>
                            </w:pPr>
                          </w:p>
                        </w:txbxContent>
                      </v:textbox>
                      <w10:anchorlock/>
                    </v:rect>
                  </w:pict>
                </mc:Fallback>
              </mc:AlternateContent>
            </w:r>
          </w:p>
        </w:tc>
      </w:tr>
    </w:tbl>
    <w:p w14:paraId="03F80806">
      <w:pPr>
        <w:pStyle w:val="133"/>
        <w:framePr w:wrap="around" w:hAnchor="page" w:x="1418" w:y="14095"/>
      </w:pPr>
      <w:r>
        <w:rPr>
          <w:rFonts w:hint="eastAsia" w:ascii="黑体" w:hAnsi="黑体" w:cs="黑体"/>
        </w:rPr>
        <mc:AlternateContent>
          <mc:Choice Requires="wps">
            <w:drawing>
              <wp:anchor distT="0" distB="0" distL="114300" distR="114300" simplePos="0" relativeHeight="251663360" behindDoc="0" locked="0" layoutInCell="1" allowOverlap="1">
                <wp:simplePos x="0" y="0"/>
                <wp:positionH relativeFrom="column">
                  <wp:posOffset>899160</wp:posOffset>
                </wp:positionH>
                <wp:positionV relativeFrom="paragraph">
                  <wp:posOffset>9299575</wp:posOffset>
                </wp:positionV>
                <wp:extent cx="6021705" cy="17145"/>
                <wp:effectExtent l="6350" t="8890" r="10795" b="12065"/>
                <wp:wrapNone/>
                <wp:docPr id="6" name="AutoShape 16"/>
                <wp:cNvGraphicFramePr/>
                <a:graphic xmlns:a="http://schemas.openxmlformats.org/drawingml/2006/main">
                  <a:graphicData uri="http://schemas.microsoft.com/office/word/2010/wordprocessingShape">
                    <wps:wsp>
                      <wps:cNvCnPr>
                        <a:cxnSpLocks noChangeShapeType="1"/>
                      </wps:cNvCnPr>
                      <wps:spPr bwMode="auto">
                        <a:xfrm flipV="1">
                          <a:off x="0" y="0"/>
                          <a:ext cx="6021705" cy="17145"/>
                        </a:xfrm>
                        <a:prstGeom prst="straightConnector1">
                          <a:avLst/>
                        </a:prstGeom>
                        <a:noFill/>
                        <a:ln w="9525">
                          <a:solidFill>
                            <a:srgbClr val="000000"/>
                          </a:solidFill>
                          <a:round/>
                        </a:ln>
                      </wps:spPr>
                      <wps:bodyPr/>
                    </wps:wsp>
                  </a:graphicData>
                </a:graphic>
              </wp:anchor>
            </w:drawing>
          </mc:Choice>
          <mc:Fallback>
            <w:pict>
              <v:shape id="AutoShape 16" o:spid="_x0000_s1026" o:spt="32" type="#_x0000_t32" style="position:absolute;left:0pt;flip:y;margin-left:70.8pt;margin-top:732.25pt;height:1.35pt;width:474.15pt;z-index:251663360;mso-width-relative:page;mso-height-relative:page;" filled="f" stroked="t" coordsize="21600,21600" o:gfxdata="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oOfQNkAAAAOAQAA&#10;DwAAAAAAAAABACAAAAAiAAAAZHJzL2Rvd25yZXYueG1sUEsBAhQAFAAAAAgAh07iQAfgUSLfAQAA&#10;wQMAAA4AAAAAAAAAAQAgAAAAKAEAAGRycy9lMm9Eb2MueG1sUEsFBgAAAAAGAAYAWQEAAHkFAAAA&#10;AA==&#10;">
                <v:fill on="f" focussize="0,0"/>
                <v:stroke color="#000000" joinstyle="round"/>
                <v:imagedata o:title=""/>
                <o:lock v:ext="edit" aspectratio="f"/>
              </v:shape>
            </w:pict>
          </mc:Fallback>
        </mc:AlternateContent>
      </w:r>
      <w:r>
        <w:rPr>
          <w:rFonts w:hint="eastAsia" w:ascii="黑体" w:hAnsi="黑体" w:cs="黑体"/>
        </w:rPr>
        <mc:AlternateContent>
          <mc:Choice Requires="wps">
            <w:drawing>
              <wp:anchor distT="0" distB="0" distL="114300" distR="114300" simplePos="0" relativeHeight="251663360" behindDoc="0" locked="0" layoutInCell="1" allowOverlap="1">
                <wp:simplePos x="0" y="0"/>
                <wp:positionH relativeFrom="column">
                  <wp:posOffset>833120</wp:posOffset>
                </wp:positionH>
                <wp:positionV relativeFrom="paragraph">
                  <wp:posOffset>9251950</wp:posOffset>
                </wp:positionV>
                <wp:extent cx="1056005" cy="0"/>
                <wp:effectExtent l="6985" t="8890" r="13335" b="10160"/>
                <wp:wrapNone/>
                <wp:docPr id="5" name="AutoShape 15"/>
                <wp:cNvGraphicFramePr/>
                <a:graphic xmlns:a="http://schemas.openxmlformats.org/drawingml/2006/main">
                  <a:graphicData uri="http://schemas.microsoft.com/office/word/2010/wordprocessingShape">
                    <wps:wsp>
                      <wps:cNvCnPr>
                        <a:cxnSpLocks noChangeShapeType="1"/>
                      </wps:cNvCnPr>
                      <wps:spPr bwMode="auto">
                        <a:xfrm>
                          <a:off x="0" y="0"/>
                          <a:ext cx="1056005" cy="0"/>
                        </a:xfrm>
                        <a:prstGeom prst="straightConnector1">
                          <a:avLst/>
                        </a:prstGeom>
                        <a:noFill/>
                        <a:ln w="9525">
                          <a:solidFill>
                            <a:srgbClr val="000000"/>
                          </a:solidFill>
                          <a:round/>
                        </a:ln>
                      </wps:spPr>
                      <wps:bodyPr/>
                    </wps:wsp>
                  </a:graphicData>
                </a:graphic>
              </wp:anchor>
            </w:drawing>
          </mc:Choice>
          <mc:Fallback>
            <w:pict>
              <v:shape id="AutoShape 15" o:spid="_x0000_s1026" o:spt="32" type="#_x0000_t32" style="position:absolute;left:0pt;margin-left:65.6pt;margin-top:728.5pt;height:0pt;width:83.15pt;z-index:251663360;mso-width-relative:page;mso-height-relative:page;" filled="f" stroked="t" coordsize="21600,21600" o:gfxdata="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Leh+DYAAAADQEAAA8AAAAAAAAAAQAg&#10;AAAAIgAAAGRycy9kb3ducmV2LnhtbFBLAQIUABQAAAAIAIdO4kACJCh51QEAALMDAAAOAAAAAAAA&#10;AAEAIAAAACcBAABkcnMvZTJvRG9jLnhtbFBLBQYAAAAABgAGAFkBAABuBQAAAAA=&#10;">
                <v:fill on="f" focussize="0,0"/>
                <v:stroke color="#000000" joinstyle="round"/>
                <v:imagedata o:title=""/>
                <o:lock v:ext="edit" aspectratio="f"/>
              </v:shape>
            </w:pict>
          </mc:Fallback>
        </mc:AlternateContent>
      </w:r>
      <w:r>
        <w:rPr>
          <w:rFonts w:hint="eastAsia" w:ascii="黑体" w:hAnsi="黑体" w:cs="黑体"/>
        </w:rPr>
        <w:t>XXXX-XX-XX发布</w:t>
      </w:r>
    </w:p>
    <w:p w14:paraId="5D587CEF">
      <w:pPr>
        <w:pStyle w:val="134"/>
        <w:framePr w:wrap="around" w:hAnchor="page" w:x="7088" w:y="14095"/>
      </w:pPr>
      <w:r>
        <w:rPr>
          <w:rFonts w:hint="eastAsia" w:ascii="黑体" w:hAnsi="黑体" w:cs="黑体"/>
        </w:rPr>
        <w:t>XXXX-XX-XX实施</w:t>
      </w:r>
    </w:p>
    <w:p w14:paraId="26BDC3DA">
      <w:pPr>
        <w:pStyle w:val="114"/>
        <w:framePr w:w="7937" w:wrap="around" w:y="15308"/>
        <w:rPr>
          <w:rFonts w:ascii="Times New Roman"/>
        </w:rPr>
      </w:pPr>
      <w:r>
        <w:rPr>
          <w:rFonts w:hint="eastAsia" w:ascii="Times New Roman"/>
        </w:rPr>
        <w:t>深圳市深圳标准促进会</w:t>
      </w:r>
      <w:r>
        <w:rPr>
          <w:rFonts w:ascii="Times New Roman"/>
        </w:rPr>
        <w:t>   </w:t>
      </w:r>
      <w:r>
        <w:rPr>
          <w:rStyle w:val="76"/>
          <w:rFonts w:ascii="Times New Roman"/>
        </w:rPr>
        <w:t>发布</w:t>
      </w:r>
    </w:p>
    <w:p w14:paraId="590F52AB">
      <w:pPr>
        <w:framePr w:w="9626" w:h="624" w:hRule="exact" w:hSpace="181" w:vSpace="181" w:wrap="around" w:vAnchor="page" w:hAnchor="page" w:x="1396" w:y="3164"/>
        <w:spacing w:line="280" w:lineRule="exact"/>
        <w:jc w:val="right"/>
        <w:rPr>
          <w:rFonts w:eastAsia="黑体"/>
          <w:sz w:val="28"/>
          <w:szCs w:val="28"/>
        </w:rPr>
      </w:pPr>
      <w:r>
        <w:rPr>
          <w:rFonts w:hint="eastAsia" w:ascii="黑体" w:hAnsi="黑体" w:eastAsia="黑体" w:cs="黑体"/>
          <w:sz w:val="28"/>
          <w:szCs w:val="28"/>
        </w:rPr>
        <w:t>T/SZS XXX—20XX</w:t>
      </w:r>
    </w:p>
    <w:tbl>
      <w:tblPr>
        <w:tblStyle w:val="35"/>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192BC0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3BE3471C">
            <w:pPr>
              <w:keepNext w:val="0"/>
              <w:keepLines w:val="0"/>
              <w:framePr w:w="9626" w:h="624" w:hRule="exact" w:hSpace="181" w:vSpace="181" w:wrap="around" w:vAnchor="page" w:hAnchor="page" w:x="1396" w:y="3164"/>
              <w:suppressLineNumbers w:val="0"/>
              <w:wordWrap w:val="0"/>
              <w:spacing w:before="57" w:beforeAutospacing="0" w:after="0" w:afterAutospacing="0" w:line="280" w:lineRule="exact"/>
              <w:ind w:left="0" w:right="630"/>
              <w:jc w:val="right"/>
              <w:rPr>
                <w:rFonts w:hint="default"/>
                <w:szCs w:val="21"/>
              </w:rPr>
            </w:pPr>
          </w:p>
        </w:tc>
      </w:tr>
      <w:tr w14:paraId="24FCE7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3E88E66E">
            <w:pPr>
              <w:keepNext w:val="0"/>
              <w:keepLines w:val="0"/>
              <w:framePr w:w="9626" w:h="624" w:hRule="exact" w:hSpace="181" w:vSpace="181" w:wrap="around" w:vAnchor="page" w:hAnchor="page" w:x="1396" w:y="3164"/>
              <w:suppressLineNumbers w:val="0"/>
              <w:wordWrap w:val="0"/>
              <w:spacing w:before="57" w:beforeAutospacing="0" w:after="0" w:afterAutospacing="0" w:line="280" w:lineRule="exact"/>
              <w:ind w:left="0" w:right="630"/>
              <w:jc w:val="right"/>
              <w:rPr>
                <w:rFonts w:hint="default"/>
                <w:szCs w:val="21"/>
              </w:rPr>
            </w:pPr>
          </w:p>
        </w:tc>
      </w:tr>
    </w:tbl>
    <w:p w14:paraId="155A1A09">
      <w:pPr>
        <w:framePr w:w="9626" w:h="624" w:hRule="exact" w:hSpace="181" w:vSpace="181" w:wrap="around" w:vAnchor="page" w:hAnchor="page" w:x="1396" w:y="3164"/>
        <w:spacing w:before="357" w:line="280" w:lineRule="exact"/>
        <w:jc w:val="right"/>
        <w:rPr>
          <w:rFonts w:eastAsia="黑体"/>
          <w:sz w:val="28"/>
          <w:szCs w:val="28"/>
        </w:rPr>
      </w:pPr>
    </w:p>
    <w:p w14:paraId="3CA581D1">
      <w:pPr>
        <w:framePr w:w="9626" w:h="624" w:hRule="exact" w:hSpace="181" w:vSpace="181" w:wrap="around" w:vAnchor="page" w:hAnchor="page" w:x="1396" w:y="3164"/>
        <w:spacing w:before="357" w:line="280" w:lineRule="exact"/>
        <w:jc w:val="right"/>
        <w:rPr>
          <w:rFonts w:eastAsia="黑体"/>
          <w:sz w:val="28"/>
          <w:szCs w:val="28"/>
        </w:rPr>
      </w:pPr>
    </w:p>
    <w:p w14:paraId="347211C2">
      <w:pPr>
        <w:pStyle w:val="25"/>
        <w:framePr w:w="9626" w:h="624" w:hRule="exact" w:hSpace="181" w:vSpace="181" w:wrap="around" w:vAnchor="page" w:hAnchor="page" w:x="1396" w:y="3164"/>
        <w:rPr>
          <w:rFonts w:ascii="Times New Roman"/>
        </w:rPr>
      </w:pPr>
    </w:p>
    <w:p w14:paraId="1720095C">
      <w:pPr>
        <w:pStyle w:val="25"/>
        <w:framePr w:w="9626" w:h="624" w:hRule="exact" w:hSpace="181" w:vSpace="181" w:wrap="around" w:vAnchor="page" w:hAnchor="page" w:x="1396" w:y="3164"/>
        <w:rPr>
          <w:rFonts w:ascii="Times New Roman"/>
        </w:rPr>
      </w:pPr>
    </w:p>
    <w:p w14:paraId="4313C5A5">
      <w:pPr>
        <w:pStyle w:val="25"/>
        <w:rPr>
          <w:rFonts w:ascii="Times New Roman"/>
        </w:rPr>
        <w:sectPr>
          <w:headerReference r:id="rId3" w:type="even"/>
          <w:footerReference r:id="rId4" w:type="even"/>
          <w:pgSz w:w="11906" w:h="16838"/>
          <w:pgMar w:top="567" w:right="1134" w:bottom="1134" w:left="1418" w:header="0" w:footer="0" w:gutter="0"/>
          <w:pgBorders>
            <w:top w:val="none" w:sz="0" w:space="0"/>
            <w:left w:val="none" w:sz="0" w:space="0"/>
            <w:bottom w:val="none" w:sz="0" w:space="0"/>
            <w:right w:val="none" w:sz="0" w:space="0"/>
          </w:pgBorders>
          <w:pgNumType w:start="1"/>
          <w:cols w:space="720" w:num="1"/>
          <w:docGrid w:type="lines" w:linePitch="312" w:charSpace="0"/>
        </w:sectPr>
      </w:pPr>
      <w:r>
        <w:rPr>
          <w:rFonts w:ascii="Times New Roman"/>
        </w:rPr>
        <mc:AlternateContent>
          <mc:Choice Requires="wps">
            <w:drawing>
              <wp:anchor distT="0" distB="0" distL="114300" distR="114300" simplePos="0" relativeHeight="251665408" behindDoc="0" locked="0" layoutInCell="1" allowOverlap="1">
                <wp:simplePos x="0" y="0"/>
                <wp:positionH relativeFrom="column">
                  <wp:posOffset>2051685</wp:posOffset>
                </wp:positionH>
                <wp:positionV relativeFrom="paragraph">
                  <wp:posOffset>136525</wp:posOffset>
                </wp:positionV>
                <wp:extent cx="3960495" cy="914400"/>
                <wp:effectExtent l="0" t="0" r="1905" b="0"/>
                <wp:wrapNone/>
                <wp:docPr id="17" name="文本框 17"/>
                <wp:cNvGraphicFramePr/>
                <a:graphic xmlns:a="http://schemas.openxmlformats.org/drawingml/2006/main">
                  <a:graphicData uri="http://schemas.microsoft.com/office/word/2010/wordprocessingShape">
                    <wps:wsp>
                      <wps:cNvSpPr txBox="1"/>
                      <wps:spPr>
                        <a:xfrm>
                          <a:off x="0" y="0"/>
                          <a:ext cx="3960495" cy="914400"/>
                        </a:xfrm>
                        <a:prstGeom prst="rect">
                          <a:avLst/>
                        </a:prstGeom>
                        <a:solidFill>
                          <a:srgbClr val="FFFFFF"/>
                        </a:solidFill>
                        <a:ln w="6350">
                          <a:noFill/>
                        </a:ln>
                        <a:effectLst/>
                      </wps:spPr>
                      <wps:txbx>
                        <w:txbxContent>
                          <w:p w14:paraId="4801DE6E">
                            <w:pPr>
                              <w:pStyle w:val="156"/>
                            </w:pPr>
                            <w:r>
                              <w:rPr>
                                <w:rFonts w:hint="eastAsia"/>
                              </w:rPr>
                              <w:t>T/SZS</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61.55pt;margin-top:10.75pt;height:72pt;width:311.85pt;z-index:251665408;mso-width-relative:page;mso-height-relative:page;" fillcolor="#FFFFFF" filled="t" stroked="f" coordsize="21600,21600" o:gfxdata="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3ngsdNoAAAAK&#10;AQAADwAAAAAAAAABACAAAAAiAAAAZHJzL2Rvd25yZXYueG1sUEsBAhQAFAAAAAgAh07iQHTftvhT&#10;AgAAkwQAAA4AAAAAAAAAAQAgAAAAKQEAAGRycy9lMm9Eb2MueG1sUEsFBgAAAAAGAAYAWQEAAO4F&#10;AAAAAA==&#10;">
                <v:fill on="t" focussize="0,0"/>
                <v:stroke on="f" weight="0.5pt"/>
                <v:imagedata o:title=""/>
                <o:lock v:ext="edit" aspectratio="f"/>
                <v:textbox inset="0mm,0mm,2.54mm,0mm">
                  <w:txbxContent>
                    <w:p w14:paraId="4801DE6E">
                      <w:pPr>
                        <w:pStyle w:val="156"/>
                      </w:pPr>
                      <w:r>
                        <w:rPr>
                          <w:rFonts w:hint="eastAsia"/>
                        </w:rPr>
                        <w:t>T/SZS</w:t>
                      </w:r>
                    </w:p>
                  </w:txbxContent>
                </v:textbox>
              </v:shape>
            </w:pict>
          </mc:Fallback>
        </mc:AlternateContent>
      </w:r>
      <w:r>
        <w:rPr>
          <w:rFonts w:ascii="Times New Roman"/>
        </w:rPr>
        <mc:AlternateContent>
          <mc:Choice Requires="wps">
            <w:drawing>
              <wp:anchor distT="0" distB="0" distL="114300" distR="114300" simplePos="0" relativeHeight="251664384" behindDoc="0" locked="0" layoutInCell="1" allowOverlap="1">
                <wp:simplePos x="0" y="0"/>
                <wp:positionH relativeFrom="column">
                  <wp:posOffset>-36195</wp:posOffset>
                </wp:positionH>
                <wp:positionV relativeFrom="paragraph">
                  <wp:posOffset>8896350</wp:posOffset>
                </wp:positionV>
                <wp:extent cx="6120130" cy="0"/>
                <wp:effectExtent l="0" t="0" r="33020" b="19050"/>
                <wp:wrapNone/>
                <wp:docPr id="9"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2.85pt;margin-top:700.5pt;height:0pt;width:481.9pt;z-index:251664384;mso-width-relative:page;mso-height-relative:page;" filled="f" stroked="t" coordsize="21600,21600" o:gfxdata="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LQSsG3WAAAADAEAAA8AAAAAAAAAAQAgAAAA&#10;IgAAAGRycy9kb3ducmV2LnhtbFBLAQIUABQAAAAIAIdO4kDfa5GH1AEAAKEDAAAOAAAAAAAAAAEA&#10;IAAAACUBAABkcnMvZTJvRG9jLnhtbFBLBQYAAAAABgAGAFkBAABr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62336" behindDoc="0" locked="0" layoutInCell="1" allowOverlap="1">
                <wp:simplePos x="0" y="0"/>
                <wp:positionH relativeFrom="column">
                  <wp:posOffset>-52705</wp:posOffset>
                </wp:positionH>
                <wp:positionV relativeFrom="paragraph">
                  <wp:posOffset>2308225</wp:posOffset>
                </wp:positionV>
                <wp:extent cx="6120130" cy="0"/>
                <wp:effectExtent l="13335" t="13970" r="10160" b="5080"/>
                <wp:wrapNone/>
                <wp:docPr id="1"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4.15pt;margin-top:181.75pt;height:0pt;width:481.9pt;z-index:251662336;mso-width-relative:page;mso-height-relative:page;" filled="f" stroked="t" coordsize="21600,21600" o:gfxdata="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KE817XAAAACgEAAA8AAAAAAAAAAQAg&#10;AAAAIgAAAGRycy9kb3ducmV2LnhtbFBLAQIUABQAAAAIAIdO4kA8A4fJ1gEAAKEDAAAOAAAAAAAA&#10;AAEAIAAAACYBAABkcnMvZTJvRG9jLnhtbFBLBQYAAAAABgAGAFkBAABuBQ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710565</wp:posOffset>
                </wp:positionV>
                <wp:extent cx="866775" cy="198120"/>
                <wp:effectExtent l="4445" t="3810" r="0" b="0"/>
                <wp:wrapNone/>
                <wp:docPr id="3"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55.95pt;height:15.6pt;width:68.25pt;z-index:-251655168;mso-width-relative:page;mso-height-relative:page;" fillcolor="#FFFFFF" filled="t" stroked="f" coordsize="21600,21600" o:gfxdata="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SsyDPYAAAACwEAAA8AAAAAAAAAAQAg&#10;AAAAIgAAAGRycy9kb3ducmV2LnhtbFBLAQIUABQAAAAIAIdO4kAyzGEHDgIAACAEAAAOAAAAAAAA&#10;AAEAIAAAACcBAABkcnMvZTJvRG9jLnhtbFBLBQYAAAAABgAGAFkBAACnBQAAAAA=&#10;">
                <v:fill on="t" focussize="0,0"/>
                <v:stroke on="f"/>
                <v:imagedata o:title=""/>
                <o:lock v:ext="edit" aspectratio="f"/>
              </v:rect>
            </w:pict>
          </mc:Fallback>
        </mc:AlternateContent>
      </w:r>
    </w:p>
    <w:sdt>
      <w:sdtPr>
        <w:rPr>
          <w:rFonts w:ascii="Times New Roman" w:hAnsi="Times New Roman" w:eastAsia="宋体" w:cs="Times New Roman"/>
          <w:color w:val="auto"/>
          <w:kern w:val="2"/>
          <w:sz w:val="21"/>
          <w:szCs w:val="24"/>
          <w:lang w:val="zh-CN"/>
        </w:rPr>
        <w:id w:val="578795051"/>
        <w:docPartObj>
          <w:docPartGallery w:val="Table of Contents"/>
          <w:docPartUnique/>
        </w:docPartObj>
      </w:sdtPr>
      <w:sdtEndPr>
        <w:rPr>
          <w:rFonts w:ascii="Times New Roman" w:hAnsi="Times New Roman" w:eastAsia="宋体" w:cs="Times New Roman"/>
          <w:b/>
          <w:bCs/>
          <w:color w:val="auto"/>
          <w:kern w:val="2"/>
          <w:sz w:val="21"/>
          <w:szCs w:val="24"/>
          <w:lang w:val="zh-CN"/>
        </w:rPr>
      </w:sdtEndPr>
      <w:sdtContent>
        <w:p w14:paraId="68921FC2">
          <w:pPr>
            <w:pStyle w:val="157"/>
            <w:jc w:val="center"/>
            <w:rPr>
              <w:rFonts w:ascii="Times New Roman" w:hAnsi="Times New Roman" w:eastAsia="黑体" w:cs="Times New Roman"/>
              <w:color w:val="auto"/>
              <w:szCs w:val="20"/>
            </w:rPr>
          </w:pPr>
          <w:bookmarkStart w:id="108" w:name="_GoBack"/>
          <w:bookmarkEnd w:id="108"/>
          <w:r>
            <w:rPr>
              <w:rFonts w:ascii="Times New Roman" w:hAnsi="Times New Roman" w:eastAsia="黑体" w:cs="Times New Roman"/>
              <w:color w:val="auto"/>
              <w:szCs w:val="20"/>
            </w:rPr>
            <w:t>目</w:t>
          </w:r>
          <w:r>
            <w:rPr>
              <w:rFonts w:hint="eastAsia" w:ascii="Times New Roman" w:hAnsi="Times New Roman" w:eastAsia="黑体" w:cs="Times New Roman"/>
              <w:color w:val="auto"/>
              <w:szCs w:val="20"/>
            </w:rPr>
            <w:t xml:space="preserve"> </w:t>
          </w:r>
          <w:r>
            <w:rPr>
              <w:rFonts w:ascii="Times New Roman" w:hAnsi="Times New Roman" w:eastAsia="黑体" w:cs="Times New Roman"/>
              <w:color w:val="auto"/>
              <w:szCs w:val="20"/>
            </w:rPr>
            <w:t xml:space="preserve"> </w:t>
          </w:r>
          <w:r>
            <w:rPr>
              <w:rFonts w:hint="eastAsia" w:ascii="Times New Roman" w:hAnsi="Times New Roman" w:eastAsia="黑体" w:cs="Times New Roman"/>
              <w:color w:val="auto"/>
              <w:szCs w:val="20"/>
            </w:rPr>
            <w:t>次</w:t>
          </w:r>
        </w:p>
        <w:p w14:paraId="6DC32118">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TOC \o "1-3" \h \z \u </w:instrText>
          </w:r>
          <w:r>
            <w:fldChar w:fldCharType="separate"/>
          </w:r>
          <w:r>
            <w:fldChar w:fldCharType="begin"/>
          </w:r>
          <w:r>
            <w:instrText xml:space="preserve"> HYPERLINK \l "_Toc195038116" </w:instrText>
          </w:r>
          <w:r>
            <w:fldChar w:fldCharType="separate"/>
          </w:r>
          <w:r>
            <w:rPr>
              <w:rStyle w:val="41"/>
              <w:rFonts w:hint="eastAsia" w:ascii="Times New Roman"/>
            </w:rPr>
            <w:t>前言</w:t>
          </w:r>
          <w:r>
            <w:rPr>
              <w:rFonts w:hint="eastAsia"/>
            </w:rPr>
            <w:tab/>
          </w:r>
          <w:r>
            <w:rPr>
              <w:rFonts w:hint="eastAsia"/>
            </w:rPr>
            <w:fldChar w:fldCharType="begin"/>
          </w:r>
          <w:r>
            <w:rPr>
              <w:rFonts w:hint="eastAsia"/>
            </w:rPr>
            <w:instrText xml:space="preserve"> </w:instrText>
          </w:r>
          <w:r>
            <w:instrText xml:space="preserve">PAGEREF _Toc195038116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41092B1F">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"_Toc195038118" </w:instrText>
          </w:r>
          <w:r>
            <w:fldChar w:fldCharType="separate"/>
          </w:r>
          <w:r>
            <w:rPr>
              <w:rStyle w:val="41"/>
              <w:rFonts w:hint="eastAsia"/>
            </w:rPr>
            <w:t>1</w:t>
          </w:r>
          <w:r>
            <w:rPr>
              <w:rStyle w:val="41"/>
              <w:rFonts w:hint="eastAsia" w:ascii="Times New Roman"/>
            </w:rPr>
            <w:t xml:space="preserve">  范围</w:t>
          </w:r>
          <w:r>
            <w:rPr>
              <w:rFonts w:hint="eastAsia"/>
            </w:rPr>
            <w:tab/>
          </w:r>
          <w:r>
            <w:rPr>
              <w:rFonts w:hint="eastAsia"/>
            </w:rPr>
            <w:fldChar w:fldCharType="begin"/>
          </w:r>
          <w:r>
            <w:rPr>
              <w:rFonts w:hint="eastAsia"/>
            </w:rPr>
            <w:instrText xml:space="preserve"> </w:instrText>
          </w:r>
          <w:r>
            <w:instrText xml:space="preserve">PAGEREF _Toc195038118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17C829A4">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"_Toc195038119" </w:instrText>
          </w:r>
          <w:r>
            <w:fldChar w:fldCharType="separate"/>
          </w:r>
          <w:r>
            <w:rPr>
              <w:rStyle w:val="41"/>
              <w:rFonts w:hint="eastAsia"/>
            </w:rPr>
            <w:t>2</w:t>
          </w:r>
          <w:r>
            <w:rPr>
              <w:rStyle w:val="41"/>
              <w:rFonts w:hint="eastAsia" w:ascii="Times New Roman"/>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_Toc195038119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74F24933">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"_Toc195038120" </w:instrText>
          </w:r>
          <w:r>
            <w:fldChar w:fldCharType="separate"/>
          </w:r>
          <w:r>
            <w:rPr>
              <w:rStyle w:val="41"/>
              <w:rFonts w:hint="eastAsia"/>
            </w:rPr>
            <w:t>3</w:t>
          </w:r>
          <w:r>
            <w:rPr>
              <w:rStyle w:val="41"/>
              <w:rFonts w:hint="eastAsia" w:ascii="Times New Roman"/>
            </w:rPr>
            <w:t xml:space="preserve">  术语和定义</w:t>
          </w:r>
          <w:r>
            <w:rPr>
              <w:rFonts w:hint="eastAsia"/>
            </w:rPr>
            <w:tab/>
          </w:r>
          <w:r>
            <w:rPr>
              <w:rFonts w:hint="eastAsia"/>
            </w:rPr>
            <w:fldChar w:fldCharType="begin"/>
          </w:r>
          <w:r>
            <w:rPr>
              <w:rFonts w:hint="eastAsia"/>
            </w:rPr>
            <w:instrText xml:space="preserve"> </w:instrText>
          </w:r>
          <w:r>
            <w:instrText xml:space="preserve">PAGEREF _Toc195038120 \h</w:instrText>
          </w:r>
          <w:r>
            <w:rPr>
              <w:rFonts w:hint="eastAsia"/>
            </w:rPr>
            <w:instrText xml:space="preserve"> </w:instrText>
          </w:r>
          <w:r>
            <w:rPr>
              <w:rFonts w:hint="eastAsia"/>
            </w:rPr>
            <w:fldChar w:fldCharType="separate"/>
          </w:r>
          <w:r>
            <w:t>3</w:t>
          </w:r>
          <w:r>
            <w:rPr>
              <w:rFonts w:hint="eastAsia"/>
            </w:rPr>
            <w:fldChar w:fldCharType="end"/>
          </w:r>
          <w:r>
            <w:rPr>
              <w:rFonts w:hint="eastAsia"/>
            </w:rPr>
            <w:fldChar w:fldCharType="end"/>
          </w:r>
        </w:p>
        <w:p w14:paraId="73B38910">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"_Toc195038126" </w:instrText>
          </w:r>
          <w:r>
            <w:fldChar w:fldCharType="separate"/>
          </w:r>
          <w:r>
            <w:rPr>
              <w:rStyle w:val="41"/>
              <w:rFonts w:hint="eastAsia"/>
            </w:rPr>
            <w:t>4</w:t>
          </w:r>
          <w:r>
            <w:rPr>
              <w:rStyle w:val="41"/>
              <w:rFonts w:hint="eastAsia" w:ascii="Times New Roman"/>
            </w:rPr>
            <w:t xml:space="preserve">  评价原则</w:t>
          </w:r>
          <w:r>
            <w:rPr>
              <w:rFonts w:hint="eastAsia"/>
            </w:rPr>
            <w:tab/>
          </w:r>
          <w:r>
            <w:rPr>
              <w:rFonts w:hint="eastAsia"/>
            </w:rPr>
            <w:fldChar w:fldCharType="begin"/>
          </w:r>
          <w:r>
            <w:rPr>
              <w:rFonts w:hint="eastAsia"/>
            </w:rPr>
            <w:instrText xml:space="preserve"> </w:instrText>
          </w:r>
          <w:r>
            <w:instrText xml:space="preserve">PAGEREF _Toc195038126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499E228D">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"_Toc195038127" </w:instrText>
          </w:r>
          <w:r>
            <w:fldChar w:fldCharType="separate"/>
          </w:r>
          <w:r>
            <w:rPr>
              <w:rStyle w:val="41"/>
              <w:rFonts w:hint="eastAsia"/>
            </w:rPr>
            <w:t>5</w:t>
          </w:r>
          <w:r>
            <w:rPr>
              <w:rStyle w:val="41"/>
              <w:rFonts w:hint="eastAsia" w:ascii="Times New Roman"/>
            </w:rPr>
            <w:t xml:space="preserve">  绿色低碳产业企业评价</w:t>
          </w:r>
          <w:r>
            <w:rPr>
              <w:rFonts w:hint="eastAsia"/>
            </w:rPr>
            <w:tab/>
          </w:r>
          <w:r>
            <w:rPr>
              <w:rFonts w:hint="eastAsia"/>
            </w:rPr>
            <w:fldChar w:fldCharType="begin"/>
          </w:r>
          <w:r>
            <w:rPr>
              <w:rFonts w:hint="eastAsia"/>
            </w:rPr>
            <w:instrText xml:space="preserve"> </w:instrText>
          </w:r>
          <w:r>
            <w:instrText xml:space="preserve">PAGEREF _Toc195038127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52A04720">
          <w:pPr>
            <w:pStyle w:val="30"/>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"_Toc195038128" </w:instrText>
          </w:r>
          <w:r>
            <w:fldChar w:fldCharType="separate"/>
          </w:r>
          <w:r>
            <w:rPr>
              <w:rStyle w:val="41"/>
              <w:rFonts w:hint="eastAsia"/>
            </w:rPr>
            <w:t>5.1</w:t>
          </w:r>
          <w:r>
            <w:rPr>
              <w:rStyle w:val="41"/>
              <w:rFonts w:hint="eastAsia" w:ascii="Times New Roman"/>
            </w:rPr>
            <w:t xml:space="preserve">  符合性评价</w:t>
          </w:r>
          <w:r>
            <w:rPr>
              <w:rFonts w:hint="eastAsia"/>
            </w:rPr>
            <w:tab/>
          </w:r>
          <w:r>
            <w:rPr>
              <w:rFonts w:hint="eastAsia"/>
            </w:rPr>
            <w:fldChar w:fldCharType="begin"/>
          </w:r>
          <w:r>
            <w:rPr>
              <w:rFonts w:hint="eastAsia"/>
            </w:rPr>
            <w:instrText xml:space="preserve"> </w:instrText>
          </w:r>
          <w:r>
            <w:instrText xml:space="preserve">PAGEREF _Toc195038128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69D57089">
          <w:pPr>
            <w:pStyle w:val="30"/>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"_Toc195038129" </w:instrText>
          </w:r>
          <w:r>
            <w:fldChar w:fldCharType="separate"/>
          </w:r>
          <w:r>
            <w:rPr>
              <w:rStyle w:val="41"/>
              <w:rFonts w:hint="eastAsia"/>
            </w:rPr>
            <w:t>5.2</w:t>
          </w:r>
          <w:r>
            <w:rPr>
              <w:rStyle w:val="41"/>
              <w:rFonts w:hint="eastAsia" w:ascii="Times New Roman"/>
            </w:rPr>
            <w:t xml:space="preserve">  综合评价</w:t>
          </w:r>
          <w:r>
            <w:rPr>
              <w:rFonts w:hint="eastAsia"/>
            </w:rPr>
            <w:tab/>
          </w:r>
          <w:r>
            <w:rPr>
              <w:rFonts w:hint="eastAsia"/>
            </w:rPr>
            <w:fldChar w:fldCharType="begin"/>
          </w:r>
          <w:r>
            <w:rPr>
              <w:rFonts w:hint="eastAsia"/>
            </w:rPr>
            <w:instrText xml:space="preserve"> </w:instrText>
          </w:r>
          <w:r>
            <w:instrText xml:space="preserve">PAGEREF _Toc195038129 \h</w:instrText>
          </w:r>
          <w:r>
            <w:rPr>
              <w:rFonts w:hint="eastAsia"/>
            </w:rPr>
            <w:instrText xml:space="preserve"> </w:instrText>
          </w:r>
          <w:r>
            <w:rPr>
              <w:rFonts w:hint="eastAsia"/>
            </w:rPr>
            <w:fldChar w:fldCharType="separate"/>
          </w:r>
          <w:r>
            <w:t>4</w:t>
          </w:r>
          <w:r>
            <w:rPr>
              <w:rFonts w:hint="eastAsia"/>
            </w:rPr>
            <w:fldChar w:fldCharType="end"/>
          </w:r>
          <w:r>
            <w:rPr>
              <w:rFonts w:hint="eastAsia"/>
            </w:rPr>
            <w:fldChar w:fldCharType="end"/>
          </w:r>
        </w:p>
        <w:p w14:paraId="3C4B36C6">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"_Toc195038130" </w:instrText>
          </w:r>
          <w:r>
            <w:fldChar w:fldCharType="separate"/>
          </w:r>
          <w:r>
            <w:rPr>
              <w:rStyle w:val="41"/>
              <w:rFonts w:hint="eastAsia"/>
            </w:rPr>
            <w:t>6</w:t>
          </w:r>
          <w:r>
            <w:rPr>
              <w:rStyle w:val="41"/>
              <w:rFonts w:hint="eastAsia" w:ascii="Times New Roman"/>
            </w:rPr>
            <w:t xml:space="preserve">  评价程序</w:t>
          </w:r>
          <w:r>
            <w:rPr>
              <w:rFonts w:hint="eastAsia"/>
            </w:rPr>
            <w:tab/>
          </w:r>
          <w:r>
            <w:rPr>
              <w:rFonts w:hint="eastAsia"/>
            </w:rPr>
            <w:fldChar w:fldCharType="begin"/>
          </w:r>
          <w:r>
            <w:rPr>
              <w:rFonts w:hint="eastAsia"/>
            </w:rPr>
            <w:instrText xml:space="preserve"> </w:instrText>
          </w:r>
          <w:r>
            <w:instrText xml:space="preserve">PAGEREF _Toc195038130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2C811F33">
          <w:pPr>
            <w:pStyle w:val="30"/>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"_Toc195038131" </w:instrText>
          </w:r>
          <w:r>
            <w:fldChar w:fldCharType="separate"/>
          </w:r>
          <w:r>
            <w:rPr>
              <w:rStyle w:val="41"/>
              <w:rFonts w:hint="eastAsia"/>
            </w:rPr>
            <w:t>6.1</w:t>
          </w:r>
          <w:r>
            <w:rPr>
              <w:rStyle w:val="41"/>
              <w:rFonts w:hint="eastAsia" w:ascii="Times New Roman"/>
            </w:rPr>
            <w:t xml:space="preserve"> 成立工作组</w:t>
          </w:r>
          <w:r>
            <w:rPr>
              <w:rFonts w:hint="eastAsia"/>
            </w:rPr>
            <w:tab/>
          </w:r>
          <w:r>
            <w:rPr>
              <w:rFonts w:hint="eastAsia"/>
            </w:rPr>
            <w:fldChar w:fldCharType="begin"/>
          </w:r>
          <w:r>
            <w:rPr>
              <w:rFonts w:hint="eastAsia"/>
            </w:rPr>
            <w:instrText xml:space="preserve"> </w:instrText>
          </w:r>
          <w:r>
            <w:instrText xml:space="preserve">PAGEREF _Toc195038131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7096B620">
          <w:pPr>
            <w:pStyle w:val="30"/>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"_Toc195038132" </w:instrText>
          </w:r>
          <w:r>
            <w:fldChar w:fldCharType="separate"/>
          </w:r>
          <w:r>
            <w:rPr>
              <w:rStyle w:val="41"/>
              <w:rFonts w:hint="eastAsia"/>
            </w:rPr>
            <w:t>6.2</w:t>
          </w:r>
          <w:r>
            <w:rPr>
              <w:rStyle w:val="41"/>
              <w:rFonts w:hint="eastAsia" w:ascii="Times New Roman"/>
            </w:rPr>
            <w:t xml:space="preserve"> 收集材料</w:t>
          </w:r>
          <w:r>
            <w:rPr>
              <w:rFonts w:hint="eastAsia"/>
            </w:rPr>
            <w:tab/>
          </w:r>
          <w:r>
            <w:rPr>
              <w:rFonts w:hint="eastAsia"/>
            </w:rPr>
            <w:fldChar w:fldCharType="begin"/>
          </w:r>
          <w:r>
            <w:rPr>
              <w:rFonts w:hint="eastAsia"/>
            </w:rPr>
            <w:instrText xml:space="preserve"> </w:instrText>
          </w:r>
          <w:r>
            <w:instrText xml:space="preserve">PAGEREF _Toc195038132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60D5D838">
          <w:pPr>
            <w:pStyle w:val="30"/>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"_Toc195038133" </w:instrText>
          </w:r>
          <w:r>
            <w:fldChar w:fldCharType="separate"/>
          </w:r>
          <w:r>
            <w:rPr>
              <w:rStyle w:val="41"/>
              <w:rFonts w:hint="eastAsia"/>
            </w:rPr>
            <w:t>6.3</w:t>
          </w:r>
          <w:r>
            <w:rPr>
              <w:rStyle w:val="41"/>
              <w:rFonts w:hint="eastAsia" w:ascii="Times New Roman"/>
            </w:rPr>
            <w:t xml:space="preserve"> 编制报告</w:t>
          </w:r>
          <w:r>
            <w:rPr>
              <w:rFonts w:hint="eastAsia"/>
            </w:rPr>
            <w:tab/>
          </w:r>
          <w:r>
            <w:rPr>
              <w:rFonts w:hint="eastAsia"/>
            </w:rPr>
            <w:fldChar w:fldCharType="begin"/>
          </w:r>
          <w:r>
            <w:rPr>
              <w:rFonts w:hint="eastAsia"/>
            </w:rPr>
            <w:instrText xml:space="preserve"> </w:instrText>
          </w:r>
          <w:r>
            <w:instrText xml:space="preserve">PAGEREF _Toc195038133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14:paraId="06D4BA15">
          <w:pPr>
            <w:pStyle w:val="30"/>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"_Toc195038134" </w:instrText>
          </w:r>
          <w:r>
            <w:fldChar w:fldCharType="separate"/>
          </w:r>
          <w:r>
            <w:rPr>
              <w:rStyle w:val="41"/>
              <w:rFonts w:hint="eastAsia"/>
            </w:rPr>
            <w:t>6.4</w:t>
          </w:r>
          <w:r>
            <w:rPr>
              <w:rStyle w:val="41"/>
              <w:rFonts w:hint="eastAsia" w:ascii="Times New Roman"/>
            </w:rPr>
            <w:t xml:space="preserve"> 认定评审</w:t>
          </w:r>
          <w:r>
            <w:rPr>
              <w:rFonts w:hint="eastAsia"/>
            </w:rPr>
            <w:tab/>
          </w:r>
          <w:r>
            <w:rPr>
              <w:rFonts w:hint="eastAsia"/>
            </w:rPr>
            <w:fldChar w:fldCharType="begin"/>
          </w:r>
          <w:r>
            <w:rPr>
              <w:rFonts w:hint="eastAsia"/>
            </w:rPr>
            <w:instrText xml:space="preserve"> </w:instrText>
          </w:r>
          <w:r>
            <w:instrText xml:space="preserve">PAGEREF _Toc195038134 \h</w:instrText>
          </w:r>
          <w:r>
            <w:rPr>
              <w:rFonts w:hint="eastAsia"/>
            </w:rPr>
            <w:instrText xml:space="preserve"> </w:instrText>
          </w:r>
          <w:r>
            <w:rPr>
              <w:rFonts w:hint="eastAsia"/>
            </w:rPr>
            <w:fldChar w:fldCharType="separate"/>
          </w:r>
          <w:r>
            <w:t>10</w:t>
          </w:r>
          <w:r>
            <w:rPr>
              <w:rFonts w:hint="eastAsia"/>
            </w:rPr>
            <w:fldChar w:fldCharType="end"/>
          </w:r>
          <w:r>
            <w:rPr>
              <w:rFonts w:hint="eastAsia"/>
            </w:rPr>
            <w:fldChar w:fldCharType="end"/>
          </w:r>
        </w:p>
        <w:p w14:paraId="29F37406">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"_Toc195038135" </w:instrText>
          </w:r>
          <w:r>
            <w:fldChar w:fldCharType="separate"/>
          </w:r>
          <w:r>
            <w:rPr>
              <w:rStyle w:val="41"/>
              <w:rFonts w:hint="eastAsia"/>
            </w:rPr>
            <w:t>附录A</w:t>
          </w:r>
          <w:r>
            <w:rPr>
              <w:rStyle w:val="41"/>
              <w:rFonts w:hint="eastAsia" w:ascii="Times New Roman"/>
            </w:rPr>
            <w:t>（规范性）  绿色金融认证和评级领域绿色低碳产业关键技术先进性评价指标</w:t>
          </w:r>
          <w:r>
            <w:rPr>
              <w:rFonts w:hint="eastAsia"/>
            </w:rPr>
            <w:tab/>
          </w:r>
          <w:r>
            <w:rPr>
              <w:rFonts w:hint="eastAsia"/>
            </w:rPr>
            <w:fldChar w:fldCharType="begin"/>
          </w:r>
          <w:r>
            <w:rPr>
              <w:rFonts w:hint="eastAsia"/>
            </w:rPr>
            <w:instrText xml:space="preserve"> </w:instrText>
          </w:r>
          <w:r>
            <w:instrText xml:space="preserve">PAGEREF _Toc195038135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7BB6CD16">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"_Toc195038136" </w:instrText>
          </w:r>
          <w:r>
            <w:fldChar w:fldCharType="separate"/>
          </w:r>
          <w:r>
            <w:rPr>
              <w:rStyle w:val="41"/>
              <w:rFonts w:hint="eastAsia"/>
            </w:rPr>
            <w:t>附录B</w:t>
          </w:r>
          <w:r>
            <w:rPr>
              <w:rStyle w:val="41"/>
              <w:rFonts w:hint="eastAsia" w:ascii="Times New Roman"/>
            </w:rPr>
            <w:t>（资料性）  绿色金融认证和评级领域绿色低碳产业企业认定评价报告模板</w:t>
          </w:r>
          <w:r>
            <w:rPr>
              <w:rFonts w:hint="eastAsia"/>
            </w:rPr>
            <w:tab/>
          </w:r>
          <w:r>
            <w:rPr>
              <w:rFonts w:hint="eastAsia"/>
            </w:rPr>
            <w:fldChar w:fldCharType="begin"/>
          </w:r>
          <w:r>
            <w:rPr>
              <w:rFonts w:hint="eastAsia"/>
            </w:rPr>
            <w:instrText xml:space="preserve"> </w:instrText>
          </w:r>
          <w:r>
            <w:instrText xml:space="preserve">PAGEREF _Toc195038136 \h</w:instrText>
          </w:r>
          <w:r>
            <w:rPr>
              <w:rFonts w:hint="eastAsia"/>
            </w:rPr>
            <w:instrText xml:space="preserve"> </w:instrText>
          </w:r>
          <w:r>
            <w:rPr>
              <w:rFonts w:hint="eastAsia"/>
            </w:rPr>
            <w:fldChar w:fldCharType="separate"/>
          </w:r>
          <w:r>
            <w:t>14</w:t>
          </w:r>
          <w:r>
            <w:rPr>
              <w:rFonts w:hint="eastAsia"/>
            </w:rPr>
            <w:fldChar w:fldCharType="end"/>
          </w:r>
          <w:r>
            <w:rPr>
              <w:rFonts w:hint="eastAsia"/>
            </w:rPr>
            <w:fldChar w:fldCharType="end"/>
          </w:r>
        </w:p>
        <w:p w14:paraId="2EE6CD10">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"_Toc195038137" </w:instrText>
          </w:r>
          <w:r>
            <w:fldChar w:fldCharType="separate"/>
          </w:r>
          <w:r>
            <w:rPr>
              <w:rStyle w:val="41"/>
              <w:rFonts w:hint="eastAsia"/>
            </w:rPr>
            <w:t>附录C</w:t>
          </w:r>
          <w:r>
            <w:rPr>
              <w:rStyle w:val="41"/>
              <w:rFonts w:hint="eastAsia" w:ascii="Times New Roman"/>
            </w:rPr>
            <w:t>（资料性）  绿色金融认证和评级领域绿色低碳产业认定评价指标表</w:t>
          </w:r>
          <w:r>
            <w:rPr>
              <w:rFonts w:hint="eastAsia"/>
            </w:rPr>
            <w:tab/>
          </w:r>
          <w:r>
            <w:rPr>
              <w:rFonts w:hint="eastAsia"/>
            </w:rPr>
            <w:fldChar w:fldCharType="begin"/>
          </w:r>
          <w:r>
            <w:rPr>
              <w:rFonts w:hint="eastAsia"/>
            </w:rPr>
            <w:instrText xml:space="preserve"> </w:instrText>
          </w:r>
          <w:r>
            <w:instrText xml:space="preserve">PAGEREF _Toc195038137 \h</w:instrText>
          </w:r>
          <w:r>
            <w:rPr>
              <w:rFonts w:hint="eastAsia"/>
            </w:rPr>
            <w:instrText xml:space="preserve"> </w:instrText>
          </w:r>
          <w:r>
            <w:rPr>
              <w:rFonts w:hint="eastAsia"/>
            </w:rPr>
            <w:fldChar w:fldCharType="separate"/>
          </w:r>
          <w:r>
            <w:t>18</w:t>
          </w:r>
          <w:r>
            <w:rPr>
              <w:rFonts w:hint="eastAsia"/>
            </w:rPr>
            <w:fldChar w:fldCharType="end"/>
          </w:r>
          <w:r>
            <w:rPr>
              <w:rFonts w:hint="eastAsia"/>
            </w:rPr>
            <w:fldChar w:fldCharType="end"/>
          </w:r>
        </w:p>
        <w:p w14:paraId="6755B341">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"_Toc195038138" </w:instrText>
          </w:r>
          <w:r>
            <w:fldChar w:fldCharType="separate"/>
          </w:r>
          <w:r>
            <w:rPr>
              <w:rStyle w:val="41"/>
              <w:rFonts w:hint="eastAsia" w:ascii="Times New Roman"/>
            </w:rPr>
            <w:t>参考文献</w:t>
          </w:r>
          <w:r>
            <w:rPr>
              <w:rFonts w:hint="eastAsia"/>
            </w:rPr>
            <w:tab/>
          </w:r>
          <w:r>
            <w:rPr>
              <w:rFonts w:hint="eastAsia"/>
            </w:rPr>
            <w:fldChar w:fldCharType="begin"/>
          </w:r>
          <w:r>
            <w:rPr>
              <w:rFonts w:hint="eastAsia"/>
            </w:rPr>
            <w:instrText xml:space="preserve"> </w:instrText>
          </w:r>
          <w:r>
            <w:instrText xml:space="preserve">PAGEREF _Toc195038138 \h</w:instrText>
          </w:r>
          <w:r>
            <w:rPr>
              <w:rFonts w:hint="eastAsia"/>
            </w:rPr>
            <w:instrText xml:space="preserve"> </w:instrText>
          </w:r>
          <w:r>
            <w:rPr>
              <w:rFonts w:hint="eastAsia"/>
            </w:rPr>
            <w:fldChar w:fldCharType="separate"/>
          </w:r>
          <w:r>
            <w:t>22</w:t>
          </w:r>
          <w:r>
            <w:rPr>
              <w:rFonts w:hint="eastAsia"/>
            </w:rPr>
            <w:fldChar w:fldCharType="end"/>
          </w:r>
          <w:r>
            <w:rPr>
              <w:rFonts w:hint="eastAsia"/>
            </w:rPr>
            <w:fldChar w:fldCharType="end"/>
          </w:r>
        </w:p>
        <w:p w14:paraId="6169880D">
          <w:r>
            <w:rPr>
              <w:b/>
              <w:bCs/>
              <w:lang w:val="zh-CN"/>
            </w:rPr>
            <w:fldChar w:fldCharType="end"/>
          </w:r>
        </w:p>
      </w:sdtContent>
    </w:sdt>
    <w:p w14:paraId="28955755">
      <w:pPr>
        <w:tabs>
          <w:tab w:val="left" w:pos="3193"/>
        </w:tabs>
      </w:pPr>
      <w:r>
        <w:rPr>
          <w:rFonts w:hint="eastAsia"/>
        </w:rPr>
        <w:tab/>
      </w:r>
    </w:p>
    <w:p w14:paraId="04440DFB">
      <w:pPr>
        <w:tabs>
          <w:tab w:val="left" w:pos="3110"/>
        </w:tabs>
        <w:jc w:val="left"/>
      </w:pPr>
      <w:r>
        <w:rPr>
          <w:rFonts w:hint="eastAsia"/>
        </w:rPr>
        <w:tab/>
      </w:r>
    </w:p>
    <w:p w14:paraId="41D90F34">
      <w:pPr>
        <w:pStyle w:val="115"/>
        <w:rPr>
          <w:rFonts w:ascii="Times New Roman"/>
        </w:rPr>
      </w:pPr>
      <w:bookmarkStart w:id="0" w:name="_Toc195038116"/>
      <w:r>
        <w:rPr>
          <w:rFonts w:ascii="Times New Roman"/>
        </w:rPr>
        <w:t>前</w:t>
      </w:r>
      <w:bookmarkStart w:id="1" w:name="BKQY"/>
      <w:r>
        <w:rPr>
          <w:rFonts w:ascii="Times New Roman"/>
        </w:rPr>
        <w:t>  言</w:t>
      </w:r>
      <w:bookmarkEnd w:id="0"/>
      <w:bookmarkEnd w:id="1"/>
    </w:p>
    <w:p w14:paraId="3F29207F">
      <w:pPr>
        <w:pStyle w:val="25"/>
        <w:rPr>
          <w:rFonts w:hAnsi="宋体" w:cs="宋体"/>
        </w:rPr>
      </w:pPr>
      <w:r>
        <w:rPr>
          <w:rFonts w:hint="eastAsia" w:hAnsi="宋体" w:cs="宋体"/>
        </w:rPr>
        <w:t>本文件按照GB/T 1.1—2020《标准化工作导则第1部分：标准化文件的结构和起草规则》的规定起草。</w:t>
      </w:r>
    </w:p>
    <w:p w14:paraId="27D0837A">
      <w:pPr>
        <w:pStyle w:val="25"/>
        <w:rPr>
          <w:rFonts w:hAnsi="宋体" w:cs="宋体"/>
        </w:rPr>
      </w:pPr>
      <w:r>
        <w:rPr>
          <w:rFonts w:hint="eastAsia" w:hAnsi="宋体" w:cs="宋体"/>
        </w:rPr>
        <w:t>本文件由深圳市深圳标准促进会提出并归口。</w:t>
      </w:r>
    </w:p>
    <w:p w14:paraId="0550A2E9">
      <w:pPr>
        <w:pStyle w:val="25"/>
        <w:rPr>
          <w:rFonts w:hAnsi="宋体" w:cs="宋体"/>
        </w:rPr>
      </w:pPr>
      <w:r>
        <w:rPr>
          <w:rFonts w:hint="eastAsia" w:hAnsi="宋体" w:cs="宋体"/>
        </w:rPr>
        <w:t>本文件起草单位：深圳市生态环境局、深圳市发展和改革委员会、深圳市市场监督管理局、深圳市计量质量检测研究院、中国质量认证中心深圳分中心、兴业银行深圳分行、盟浪可持续数字科技(深圳)有限责任公司、华测检测认证集团股份有限公司、深圳市谱尼测试科技有限公司、深圳市标准技术研究院、深圳国家高技术产业创新中心、一带一路环境技术交流与转移中心（深圳）</w:t>
      </w:r>
    </w:p>
    <w:p w14:paraId="018671FB">
      <w:pPr>
        <w:pStyle w:val="25"/>
        <w:rPr>
          <w:rFonts w:ascii="Times New Roman"/>
        </w:rPr>
      </w:pPr>
      <w:r>
        <w:rPr>
          <w:rFonts w:hint="eastAsia" w:hAnsi="宋体" w:cs="宋体"/>
        </w:rPr>
        <w:t>本文件主要起草人：X</w:t>
      </w:r>
      <w:r>
        <w:rPr>
          <w:rFonts w:hAnsi="宋体" w:cs="宋体"/>
        </w:rPr>
        <w:t>XX</w:t>
      </w:r>
      <w:r>
        <w:rPr>
          <w:rFonts w:hint="eastAsia" w:hAnsi="宋体" w:cs="宋体"/>
        </w:rPr>
        <w:t>。</w:t>
      </w:r>
    </w:p>
    <w:p w14:paraId="1DCF598A">
      <w:pPr>
        <w:pStyle w:val="25"/>
        <w:rPr>
          <w:rFonts w:ascii="Times New Roman"/>
        </w:rPr>
      </w:pPr>
    </w:p>
    <w:p w14:paraId="36AAD52E">
      <w:pPr>
        <w:pStyle w:val="53"/>
        <w:rPr>
          <w:rFonts w:ascii="Times New Roman"/>
        </w:rPr>
        <w:sectPr>
          <w:headerReference r:id="rId7" w:type="first"/>
          <w:headerReference r:id="rId5" w:type="default"/>
          <w:footerReference r:id="rId8" w:type="default"/>
          <w:headerReference r:id="rId6" w:type="even"/>
          <w:footerReference r:id="rId9"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bookmarkStart w:id="2" w:name="_Toc82157004"/>
      <w:bookmarkStart w:id="3" w:name="_Toc80887605"/>
      <w:bookmarkStart w:id="4" w:name="_Toc80953770"/>
      <w:bookmarkStart w:id="5" w:name="_Toc80690485"/>
      <w:bookmarkStart w:id="6" w:name="_Toc80954704"/>
      <w:bookmarkStart w:id="7" w:name="_Toc80867248"/>
      <w:bookmarkStart w:id="8" w:name="_Toc14800"/>
      <w:bookmarkStart w:id="9" w:name="_Toc19299"/>
      <w:bookmarkStart w:id="10" w:name="_Toc24880"/>
      <w:bookmarkStart w:id="11" w:name="_Toc82626056"/>
      <w:bookmarkStart w:id="12" w:name="_Toc52091808"/>
    </w:p>
    <w:p w14:paraId="52C12714">
      <w:pPr>
        <w:pStyle w:val="53"/>
        <w:rPr>
          <w:rFonts w:ascii="Times New Roman"/>
        </w:rPr>
      </w:pPr>
      <w:bookmarkStart w:id="13" w:name="_Toc12075"/>
      <w:bookmarkStart w:id="14" w:name="_Toc118281011"/>
      <w:bookmarkStart w:id="15" w:name="_Toc24543"/>
      <w:bookmarkStart w:id="16" w:name="_Toc12269"/>
      <w:bookmarkStart w:id="17" w:name="_Toc26728"/>
      <w:bookmarkStart w:id="18" w:name="_Toc10961"/>
      <w:bookmarkStart w:id="19" w:name="_Toc29162"/>
      <w:bookmarkStart w:id="20" w:name="_Toc195038117"/>
      <w:bookmarkStart w:id="21" w:name="_Toc192680666"/>
      <w:r>
        <w:rPr>
          <w:rFonts w:hint="eastAsia" w:ascii="Times New Roman"/>
        </w:rPr>
        <w:t>绿色低碳产业</w:t>
      </w:r>
      <w:r>
        <w:rPr>
          <w:rFonts w:ascii="Times New Roman"/>
        </w:rPr>
        <w:t>认定</w:t>
      </w:r>
      <w:bookmarkEnd w:id="2"/>
      <w:bookmarkEnd w:id="3"/>
      <w:bookmarkEnd w:id="4"/>
      <w:bookmarkEnd w:id="5"/>
      <w:bookmarkEnd w:id="6"/>
      <w:bookmarkEnd w:id="7"/>
      <w:r>
        <w:rPr>
          <w:rFonts w:ascii="Times New Roman"/>
        </w:rPr>
        <w:t>行业技术规范</w:t>
      </w:r>
      <w:bookmarkEnd w:id="8"/>
      <w:bookmarkEnd w:id="9"/>
      <w:bookmarkEnd w:id="10"/>
      <w:bookmarkEnd w:id="11"/>
      <w:bookmarkEnd w:id="13"/>
      <w:bookmarkEnd w:id="14"/>
      <w:bookmarkEnd w:id="15"/>
      <w:r>
        <w:rPr>
          <w:rFonts w:hint="eastAsia" w:ascii="Times New Roman"/>
        </w:rPr>
        <w:t xml:space="preserve"> </w:t>
      </w:r>
      <w:bookmarkEnd w:id="16"/>
      <w:bookmarkEnd w:id="17"/>
      <w:bookmarkEnd w:id="18"/>
      <w:bookmarkEnd w:id="19"/>
      <w:r>
        <w:rPr>
          <w:rFonts w:hint="eastAsia" w:ascii="Times New Roman"/>
        </w:rPr>
        <w:t>绿色金融认证和评级</w:t>
      </w:r>
      <w:bookmarkEnd w:id="20"/>
      <w:bookmarkEnd w:id="21"/>
    </w:p>
    <w:p w14:paraId="570518DC">
      <w:pPr>
        <w:pStyle w:val="48"/>
        <w:outlineLvl w:val="0"/>
        <w:rPr>
          <w:rFonts w:ascii="Times New Roman"/>
        </w:rPr>
      </w:pPr>
      <w:bookmarkStart w:id="22" w:name="_Toc195038118"/>
      <w:bookmarkStart w:id="23" w:name="_Toc102992448"/>
      <w:r>
        <w:rPr>
          <w:rFonts w:ascii="Times New Roman"/>
        </w:rPr>
        <w:t>范围</w:t>
      </w:r>
      <w:bookmarkEnd w:id="12"/>
      <w:bookmarkEnd w:id="22"/>
      <w:bookmarkEnd w:id="23"/>
    </w:p>
    <w:p w14:paraId="79978DA7">
      <w:pPr>
        <w:pStyle w:val="25"/>
        <w:rPr>
          <w:rFonts w:ascii="Times New Roman"/>
        </w:rPr>
      </w:pPr>
      <w:r>
        <w:rPr>
          <w:rFonts w:ascii="Times New Roman"/>
        </w:rPr>
        <w:t>本文件规定了</w:t>
      </w:r>
      <w:r>
        <w:rPr>
          <w:rFonts w:hint="eastAsia" w:ascii="Times New Roman"/>
        </w:rPr>
        <w:t>绿色金融认证和评级领域绿色低碳产业</w:t>
      </w:r>
      <w:r>
        <w:rPr>
          <w:rFonts w:ascii="Times New Roman"/>
        </w:rPr>
        <w:t>认定评价的</w:t>
      </w:r>
      <w:r>
        <w:rPr>
          <w:rFonts w:hint="eastAsia" w:ascii="Times New Roman"/>
        </w:rPr>
        <w:t>评价原则、评价方法、</w:t>
      </w:r>
      <w:r>
        <w:rPr>
          <w:rFonts w:ascii="Times New Roman"/>
        </w:rPr>
        <w:t>评价指标</w:t>
      </w:r>
      <w:r>
        <w:rPr>
          <w:rFonts w:hint="eastAsia" w:ascii="Times New Roman"/>
        </w:rPr>
        <w:t>及</w:t>
      </w:r>
      <w:r>
        <w:rPr>
          <w:rFonts w:ascii="Times New Roman"/>
        </w:rPr>
        <w:t>评价程序。</w:t>
      </w:r>
    </w:p>
    <w:p w14:paraId="462248C9">
      <w:pPr>
        <w:pStyle w:val="25"/>
        <w:rPr>
          <w:rFonts w:ascii="Times New Roman"/>
        </w:rPr>
      </w:pPr>
      <w:r>
        <w:rPr>
          <w:rFonts w:ascii="Times New Roman"/>
        </w:rPr>
        <w:t>本文件适用于</w:t>
      </w:r>
      <w:r>
        <w:rPr>
          <w:rFonts w:hint="eastAsia" w:ascii="Times New Roman"/>
        </w:rPr>
        <w:t>绿色金融认证和评级领域相关企事业单位</w:t>
      </w:r>
      <w:r>
        <w:rPr>
          <w:rFonts w:ascii="Times New Roman"/>
        </w:rPr>
        <w:t>的</w:t>
      </w:r>
      <w:r>
        <w:rPr>
          <w:rFonts w:hint="eastAsia" w:ascii="Times New Roman"/>
        </w:rPr>
        <w:t>绿色低碳产业</w:t>
      </w:r>
      <w:r>
        <w:rPr>
          <w:rFonts w:ascii="Times New Roman"/>
        </w:rPr>
        <w:t>认定评价。</w:t>
      </w:r>
    </w:p>
    <w:p w14:paraId="2C4F3072">
      <w:pPr>
        <w:pStyle w:val="48"/>
        <w:outlineLvl w:val="0"/>
        <w:rPr>
          <w:rFonts w:ascii="Times New Roman"/>
        </w:rPr>
      </w:pPr>
      <w:bookmarkStart w:id="24" w:name="_Toc52091809"/>
      <w:bookmarkStart w:id="25" w:name="_Toc102992449"/>
      <w:bookmarkStart w:id="26" w:name="_Toc195038119"/>
      <w:r>
        <w:rPr>
          <w:rFonts w:ascii="Times New Roman"/>
        </w:rPr>
        <w:t>规范性引用文件</w:t>
      </w:r>
      <w:bookmarkEnd w:id="24"/>
      <w:bookmarkEnd w:id="25"/>
      <w:bookmarkEnd w:id="26"/>
    </w:p>
    <w:p w14:paraId="75024EB1">
      <w:pPr>
        <w:autoSpaceDE w:val="0"/>
        <w:autoSpaceDN w:val="0"/>
        <w:ind w:firstLine="420" w:firstLineChars="200"/>
        <w:rPr>
          <w:rFonts w:ascii="宋体" w:hAnsi="宋体" w:cs="宋体"/>
        </w:rPr>
      </w:pPr>
      <w:r>
        <w:rPr>
          <w:rFonts w:hint="eastAsia" w:ascii="宋体" w:hAnsi="宋体" w:cs="宋体"/>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90DCDF0">
      <w:pPr>
        <w:ind w:firstLine="420" w:firstLineChars="200"/>
        <w:rPr>
          <w:rFonts w:ascii="宋体" w:hAnsi="宋体" w:cs="宋体"/>
        </w:rPr>
      </w:pPr>
      <w:r>
        <w:rPr>
          <w:rFonts w:hint="eastAsia" w:ascii="宋体" w:hAnsi="宋体" w:cs="宋体"/>
        </w:rPr>
        <w:t>GB/T 36132—2018  绿色工厂评价通则</w:t>
      </w:r>
    </w:p>
    <w:p w14:paraId="6E3451E6">
      <w:pPr>
        <w:ind w:firstLine="420" w:firstLineChars="200"/>
        <w:rPr>
          <w:rFonts w:ascii="宋体" w:hAnsi="宋体" w:cs="宋体"/>
        </w:rPr>
      </w:pPr>
      <w:r>
        <w:rPr>
          <w:rFonts w:hint="eastAsia" w:ascii="宋体" w:hAnsi="宋体" w:cs="宋体"/>
        </w:rPr>
        <w:t>SB/T 10409  商业服务业顾客满意度测评规范</w:t>
      </w:r>
    </w:p>
    <w:p w14:paraId="18B9EA26">
      <w:pPr>
        <w:autoSpaceDE w:val="0"/>
        <w:autoSpaceDN w:val="0"/>
        <w:ind w:firstLine="420" w:firstLineChars="200"/>
        <w:rPr>
          <w:rFonts w:ascii="宋体" w:hAnsi="宋体" w:cs="宋体"/>
        </w:rPr>
      </w:pPr>
      <w:r>
        <w:rPr>
          <w:rFonts w:ascii="宋体" w:hAnsi="宋体" w:cs="宋体"/>
        </w:rPr>
        <w:t xml:space="preserve">DB4403/T 391—2023  </w:t>
      </w:r>
      <w:r>
        <w:rPr>
          <w:rFonts w:hint="eastAsia" w:ascii="宋体" w:hAnsi="宋体" w:cs="宋体"/>
        </w:rPr>
        <w:t>绿色低碳产业认定评价导则</w:t>
      </w:r>
    </w:p>
    <w:p w14:paraId="2F588301">
      <w:pPr>
        <w:pStyle w:val="48"/>
        <w:outlineLvl w:val="0"/>
        <w:rPr>
          <w:rFonts w:ascii="Times New Roman"/>
        </w:rPr>
      </w:pPr>
      <w:bookmarkStart w:id="27" w:name="_Toc195038120"/>
      <w:bookmarkStart w:id="28" w:name="_Toc102992450"/>
      <w:r>
        <w:rPr>
          <w:rFonts w:ascii="Times New Roman"/>
        </w:rPr>
        <w:t>术语和定义</w:t>
      </w:r>
      <w:bookmarkEnd w:id="27"/>
      <w:bookmarkEnd w:id="28"/>
    </w:p>
    <w:p w14:paraId="71A696FA">
      <w:pPr>
        <w:pStyle w:val="25"/>
        <w:rPr>
          <w:rFonts w:ascii="Times New Roman"/>
        </w:rPr>
      </w:pPr>
      <w:bookmarkStart w:id="29" w:name="_Toc52098625"/>
      <w:bookmarkEnd w:id="29"/>
      <w:bookmarkStart w:id="30" w:name="_Toc55807229"/>
      <w:bookmarkEnd w:id="30"/>
      <w:r>
        <w:rPr>
          <w:rFonts w:ascii="Times New Roman"/>
        </w:rPr>
        <w:t>下列术语和定义适用于本文件。</w:t>
      </w:r>
    </w:p>
    <w:p w14:paraId="1EFAD7F4">
      <w:pPr>
        <w:pStyle w:val="45"/>
        <w:spacing w:before="0" w:beforeLines="0" w:after="0" w:afterLines="0"/>
        <w:rPr>
          <w:rFonts w:ascii="Times New Roman"/>
        </w:rPr>
      </w:pPr>
      <w:bookmarkStart w:id="31" w:name="_Toc195038121"/>
      <w:bookmarkEnd w:id="31"/>
      <w:bookmarkStart w:id="32" w:name="_Toc191391145"/>
      <w:bookmarkEnd w:id="32"/>
      <w:bookmarkStart w:id="33" w:name="_Toc192680670"/>
      <w:bookmarkEnd w:id="33"/>
      <w:bookmarkStart w:id="34" w:name="_Toc181868300"/>
      <w:bookmarkEnd w:id="34"/>
    </w:p>
    <w:p w14:paraId="183B6B1C">
      <w:pPr>
        <w:pStyle w:val="25"/>
        <w:rPr>
          <w:rFonts w:ascii="Times New Roman" w:eastAsia="黑体"/>
        </w:rPr>
      </w:pPr>
      <w:r>
        <w:rPr>
          <w:rFonts w:hint="eastAsia" w:ascii="黑体" w:hAnsi="黑体" w:eastAsia="黑体" w:cs="黑体"/>
        </w:rPr>
        <w:t>绿色低碳产业  green and low-carbon industries</w:t>
      </w:r>
    </w:p>
    <w:p w14:paraId="3A88BEE1">
      <w:pPr>
        <w:pStyle w:val="25"/>
        <w:rPr>
          <w:rFonts w:ascii="Times New Roman"/>
        </w:rPr>
      </w:pPr>
      <w:r>
        <w:rPr>
          <w:rFonts w:hint="eastAsia" w:ascii="Times New Roman"/>
        </w:rPr>
        <w:t>以低能耗、低排放和低污染为基础，提供有利于资源节约、环境友好、生态良好的服务的企事业单位及项目的集合体。</w:t>
      </w:r>
    </w:p>
    <w:p w14:paraId="2B0F8FF0">
      <w:pPr>
        <w:pStyle w:val="45"/>
        <w:spacing w:before="0" w:beforeLines="0" w:after="0" w:afterLines="0"/>
        <w:rPr>
          <w:rFonts w:ascii="Times New Roman"/>
        </w:rPr>
      </w:pPr>
      <w:bookmarkStart w:id="35" w:name="_Toc192680671"/>
      <w:bookmarkEnd w:id="35"/>
      <w:bookmarkStart w:id="36" w:name="_Toc181868301"/>
      <w:bookmarkEnd w:id="36"/>
      <w:bookmarkStart w:id="37" w:name="_Toc191391146"/>
      <w:bookmarkEnd w:id="37"/>
      <w:bookmarkStart w:id="38" w:name="_Toc195038122"/>
      <w:bookmarkEnd w:id="38"/>
    </w:p>
    <w:p w14:paraId="0F11A7A2">
      <w:pPr>
        <w:pStyle w:val="25"/>
        <w:rPr>
          <w:rFonts w:ascii="Times New Roman" w:eastAsia="黑体"/>
        </w:rPr>
      </w:pPr>
      <w:r>
        <w:rPr>
          <w:rFonts w:hint="eastAsia" w:ascii="黑体" w:hAnsi="黑体" w:eastAsia="黑体" w:cs="黑体"/>
        </w:rPr>
        <w:t xml:space="preserve">绿色低碳产业企业  </w:t>
      </w:r>
      <w:r>
        <w:rPr>
          <w:rFonts w:hint="eastAsia" w:ascii="黑体" w:hAnsi="黑体" w:eastAsia="黑体" w:cs="黑体"/>
          <w:spacing w:val="-11"/>
        </w:rPr>
        <w:t>enterprises and institutions recognized as green and low-carbon industries</w:t>
      </w:r>
    </w:p>
    <w:p w14:paraId="3358A33B">
      <w:pPr>
        <w:pStyle w:val="25"/>
        <w:rPr>
          <w:rFonts w:ascii="Times New Roman"/>
        </w:rPr>
      </w:pPr>
      <w:r>
        <w:rPr>
          <w:rFonts w:hint="eastAsia" w:ascii="Times New Roman"/>
        </w:rPr>
        <w:t>经营范围属于相关政府职能部门发布的绿色低碳产业</w:t>
      </w:r>
      <w:r>
        <w:rPr>
          <w:rFonts w:hint="eastAsia" w:hAnsi="宋体" w:cs="宋体"/>
        </w:rPr>
        <w:t>（3.1）</w:t>
      </w:r>
      <w:r>
        <w:rPr>
          <w:rFonts w:hint="eastAsia" w:ascii="Times New Roman"/>
        </w:rPr>
        <w:t>相关指导目录所涵盖的产业类别，且通过绿色低碳产业认定的企事业单位。</w:t>
      </w:r>
    </w:p>
    <w:p w14:paraId="6A7ADCCE">
      <w:pPr>
        <w:pStyle w:val="45"/>
        <w:spacing w:before="0" w:beforeLines="0" w:after="0" w:afterLines="0"/>
        <w:rPr>
          <w:rFonts w:ascii="Times New Roman"/>
        </w:rPr>
      </w:pPr>
      <w:bookmarkStart w:id="39" w:name="_Toc195038123"/>
      <w:bookmarkEnd w:id="39"/>
      <w:bookmarkStart w:id="40" w:name="_Toc192680672"/>
      <w:bookmarkEnd w:id="40"/>
      <w:bookmarkStart w:id="41" w:name="_Toc191391147"/>
      <w:bookmarkEnd w:id="41"/>
      <w:bookmarkStart w:id="42" w:name="_Toc181868302"/>
      <w:bookmarkEnd w:id="42"/>
    </w:p>
    <w:p w14:paraId="0675CAE4">
      <w:pPr>
        <w:pStyle w:val="25"/>
        <w:rPr>
          <w:rFonts w:ascii="Times New Roman" w:eastAsia="黑体"/>
        </w:rPr>
      </w:pPr>
      <w:r>
        <w:rPr>
          <w:rFonts w:hint="eastAsia" w:ascii="黑体" w:hAnsi="黑体" w:eastAsia="黑体" w:cs="黑体"/>
        </w:rPr>
        <w:t>绿色业务  green business</w:t>
      </w:r>
    </w:p>
    <w:p w14:paraId="6FF55090">
      <w:pPr>
        <w:pStyle w:val="25"/>
        <w:rPr>
          <w:rFonts w:ascii="Times New Roman"/>
        </w:rPr>
      </w:pPr>
      <w:r>
        <w:rPr>
          <w:rFonts w:ascii="Times New Roman"/>
        </w:rPr>
        <w:t>提供</w:t>
      </w:r>
      <w:r>
        <w:rPr>
          <w:rFonts w:hint="eastAsia" w:ascii="Times New Roman"/>
        </w:rPr>
        <w:t>相关政府职能部门发布的绿色低碳产业</w:t>
      </w:r>
      <w:r>
        <w:rPr>
          <w:rFonts w:hint="eastAsia" w:hAnsi="宋体" w:cs="宋体"/>
        </w:rPr>
        <w:t>（3.1）</w:t>
      </w:r>
      <w:r>
        <w:rPr>
          <w:rFonts w:hint="eastAsia" w:ascii="Times New Roman"/>
        </w:rPr>
        <w:t>相关指导目录所涵盖的产业类别的</w:t>
      </w:r>
      <w:r>
        <w:rPr>
          <w:rFonts w:ascii="Times New Roman"/>
        </w:rPr>
        <w:t>服务的经营活动。</w:t>
      </w:r>
    </w:p>
    <w:p w14:paraId="312085F2">
      <w:pPr>
        <w:pStyle w:val="45"/>
        <w:spacing w:before="0" w:beforeLines="0" w:after="0" w:afterLines="0"/>
        <w:rPr>
          <w:rFonts w:ascii="Times New Roman"/>
        </w:rPr>
      </w:pPr>
      <w:bookmarkStart w:id="43" w:name="_Toc181868303"/>
      <w:bookmarkEnd w:id="43"/>
      <w:bookmarkStart w:id="44" w:name="_Toc195038124"/>
      <w:bookmarkEnd w:id="44"/>
      <w:bookmarkStart w:id="45" w:name="_Toc191391148"/>
      <w:bookmarkEnd w:id="45"/>
      <w:bookmarkStart w:id="46" w:name="_Toc192680673"/>
      <w:bookmarkEnd w:id="46"/>
    </w:p>
    <w:p w14:paraId="47BF6277">
      <w:pPr>
        <w:pStyle w:val="25"/>
        <w:rPr>
          <w:rFonts w:ascii="黑体" w:hAnsi="黑体" w:eastAsia="黑体" w:cs="黑体"/>
        </w:rPr>
      </w:pPr>
      <w:r>
        <w:rPr>
          <w:rFonts w:hint="eastAsia" w:ascii="黑体" w:hAnsi="黑体" w:eastAsia="黑体" w:cs="黑体"/>
        </w:rPr>
        <w:t>优质中小企业  high quality small and medium-sized enterprises</w:t>
      </w:r>
    </w:p>
    <w:p w14:paraId="143148FF">
      <w:pPr>
        <w:autoSpaceDE w:val="0"/>
        <w:autoSpaceDN w:val="0"/>
        <w:ind w:firstLine="420" w:firstLineChars="200"/>
      </w:pPr>
      <w:r>
        <w:rPr>
          <w:rFonts w:hint="eastAsia"/>
        </w:rPr>
        <w:t>在产品、技术、管理、模式等方面创新能力强、专注细分市场、成长性好的中小企业。</w:t>
      </w:r>
    </w:p>
    <w:p w14:paraId="41CA2957">
      <w:pPr>
        <w:pStyle w:val="60"/>
        <w:rPr>
          <w:rFonts w:ascii="Times New Roman"/>
        </w:rPr>
      </w:pPr>
      <w:r>
        <w:rPr>
          <w:rFonts w:hint="eastAsia"/>
        </w:rPr>
        <w:t>优质中小企业由创新型中小企业、专精特新中小企业和专精特新“小巨人”企业三个层次组成</w:t>
      </w:r>
      <w:r>
        <w:t>。</w:t>
      </w:r>
    </w:p>
    <w:p w14:paraId="03A0CC1F">
      <w:pPr>
        <w:pStyle w:val="45"/>
        <w:spacing w:before="0" w:beforeLines="0" w:after="0" w:afterLines="0"/>
        <w:rPr>
          <w:rFonts w:ascii="Times New Roman"/>
        </w:rPr>
      </w:pPr>
      <w:bookmarkStart w:id="47" w:name="_Toc82684142"/>
      <w:bookmarkEnd w:id="47"/>
      <w:bookmarkStart w:id="48" w:name="_Toc195038125"/>
      <w:bookmarkEnd w:id="48"/>
      <w:bookmarkStart w:id="49" w:name="_Toc80887610"/>
      <w:bookmarkEnd w:id="49"/>
      <w:bookmarkStart w:id="50" w:name="_Toc80953775"/>
      <w:bookmarkEnd w:id="50"/>
      <w:bookmarkStart w:id="51" w:name="_Toc80954709"/>
      <w:bookmarkEnd w:id="51"/>
      <w:bookmarkStart w:id="52" w:name="_Toc191391149"/>
      <w:bookmarkEnd w:id="52"/>
      <w:bookmarkStart w:id="53" w:name="_Toc80867253"/>
      <w:bookmarkEnd w:id="53"/>
      <w:bookmarkStart w:id="54" w:name="_Toc181868304"/>
      <w:bookmarkEnd w:id="54"/>
      <w:bookmarkStart w:id="55" w:name="_Toc102992452"/>
      <w:bookmarkEnd w:id="55"/>
      <w:bookmarkStart w:id="56" w:name="_Toc192680674"/>
      <w:bookmarkEnd w:id="56"/>
      <w:bookmarkStart w:id="57" w:name="_Toc82157009"/>
      <w:bookmarkEnd w:id="57"/>
    </w:p>
    <w:p w14:paraId="4AC368C0">
      <w:pPr>
        <w:pStyle w:val="25"/>
        <w:rPr>
          <w:rFonts w:ascii="黑体" w:hAnsi="黑体" w:eastAsia="黑体" w:cs="黑体"/>
        </w:rPr>
      </w:pPr>
      <w:bookmarkStart w:id="58" w:name="_Toc52098627"/>
      <w:bookmarkEnd w:id="58"/>
      <w:bookmarkStart w:id="59" w:name="_Toc55807231"/>
      <w:bookmarkEnd w:id="59"/>
      <w:r>
        <w:rPr>
          <w:rFonts w:hint="eastAsia" w:ascii="黑体" w:hAnsi="黑体" w:eastAsia="黑体" w:cs="黑体"/>
        </w:rPr>
        <w:t>绿色金融认证和评级  Green Finance Certifications and Ratings</w:t>
      </w:r>
    </w:p>
    <w:p w14:paraId="45965D06">
      <w:pPr>
        <w:pStyle w:val="25"/>
        <w:rPr>
          <w:rFonts w:ascii="Times New Roman"/>
        </w:rPr>
      </w:pPr>
      <w:r>
        <w:rPr>
          <w:rFonts w:hint="eastAsia" w:ascii="Times New Roman"/>
        </w:rPr>
        <w:t>属于相关政府职能部门发布的绿色低碳产业</w:t>
      </w:r>
      <w:r>
        <w:rPr>
          <w:rFonts w:hint="eastAsia" w:hAnsi="宋体" w:cs="宋体"/>
        </w:rPr>
        <w:t>（3.1）</w:t>
      </w:r>
      <w:r>
        <w:rPr>
          <w:rFonts w:hint="eastAsia" w:ascii="Times New Roman"/>
        </w:rPr>
        <w:t>相关指导目录所列“绿色金融认证和评级”中列明的行业</w:t>
      </w:r>
      <w:r>
        <w:rPr>
          <w:rFonts w:ascii="Times New Roman"/>
        </w:rPr>
        <w:t>。</w:t>
      </w:r>
    </w:p>
    <w:p w14:paraId="347B8FC3">
      <w:pPr>
        <w:pStyle w:val="48"/>
        <w:outlineLvl w:val="0"/>
        <w:rPr>
          <w:rFonts w:ascii="Times New Roman"/>
        </w:rPr>
      </w:pPr>
      <w:bookmarkStart w:id="60" w:name="_Toc102992453"/>
      <w:bookmarkEnd w:id="60"/>
      <w:bookmarkStart w:id="61" w:name="_Toc52098628"/>
      <w:bookmarkEnd w:id="61"/>
      <w:bookmarkStart w:id="62" w:name="_Toc82684143"/>
      <w:bookmarkEnd w:id="62"/>
      <w:bookmarkStart w:id="63" w:name="_Toc55807232"/>
      <w:bookmarkEnd w:id="63"/>
      <w:bookmarkStart w:id="64" w:name="_Toc102992454"/>
      <w:bookmarkEnd w:id="64"/>
      <w:bookmarkStart w:id="65" w:name="_Toc52098629"/>
      <w:bookmarkEnd w:id="65"/>
      <w:bookmarkStart w:id="66" w:name="_Toc55807233"/>
      <w:bookmarkEnd w:id="66"/>
      <w:bookmarkStart w:id="67" w:name="_Toc195038126"/>
      <w:r>
        <w:rPr>
          <w:rFonts w:ascii="Times New Roman"/>
        </w:rPr>
        <w:t>评价</w:t>
      </w:r>
      <w:r>
        <w:rPr>
          <w:rFonts w:hint="eastAsia" w:ascii="Times New Roman"/>
        </w:rPr>
        <w:t>原则</w:t>
      </w:r>
      <w:bookmarkEnd w:id="67"/>
      <w:bookmarkStart w:id="68" w:name="_Toc52098632"/>
    </w:p>
    <w:bookmarkEnd w:id="68"/>
    <w:p w14:paraId="03470ADA">
      <w:pPr>
        <w:pStyle w:val="25"/>
        <w:rPr>
          <w:rFonts w:hAnsi="宋体" w:cs="宋体"/>
        </w:rPr>
      </w:pPr>
      <w:r>
        <w:rPr>
          <w:rFonts w:hint="eastAsia" w:hAnsi="宋体" w:cs="宋体"/>
        </w:rPr>
        <w:t>绿色低碳产业认定评价遵循以下原则：</w:t>
      </w:r>
    </w:p>
    <w:p w14:paraId="57780CF5">
      <w:pPr>
        <w:pStyle w:val="25"/>
        <w:ind w:left="840" w:leftChars="200" w:hanging="420" w:hangingChars="200"/>
        <w:rPr>
          <w:rFonts w:hAnsi="宋体" w:cs="宋体"/>
        </w:rPr>
      </w:pPr>
      <w:r>
        <w:rPr>
          <w:rFonts w:hint="eastAsia" w:hAnsi="宋体" w:cs="宋体"/>
        </w:rPr>
        <w:t>——科学性。评价过程根据</w:t>
      </w:r>
      <w:bookmarkStart w:id="69" w:name="_Hlk195017931"/>
      <w:r>
        <w:rPr>
          <w:rFonts w:hint="eastAsia" w:hAnsi="宋体" w:cs="宋体"/>
        </w:rPr>
        <w:t>绿色金融认证和评级</w:t>
      </w:r>
      <w:bookmarkEnd w:id="69"/>
      <w:r>
        <w:rPr>
          <w:rFonts w:hint="eastAsia" w:hAnsi="宋体" w:cs="宋体"/>
        </w:rPr>
        <w:t>领域特点和各子行业差异性，采用科学的方法，全面、客观地评价企事业单位实际情况，给出评价结论；</w:t>
      </w:r>
    </w:p>
    <w:p w14:paraId="339602F3">
      <w:pPr>
        <w:pStyle w:val="25"/>
        <w:rPr>
          <w:rFonts w:hAnsi="宋体" w:cs="宋体"/>
        </w:rPr>
      </w:pPr>
      <w:r>
        <w:rPr>
          <w:rFonts w:hint="eastAsia" w:hAnsi="宋体" w:cs="宋体"/>
        </w:rPr>
        <w:t>——可验证性。详细记录评价材料、数据、文件等的获取途径、渠道，保留原始的测试数据、材</w:t>
      </w:r>
    </w:p>
    <w:p w14:paraId="1CFBFCFF">
      <w:pPr>
        <w:pStyle w:val="25"/>
        <w:ind w:firstLine="840" w:firstLineChars="400"/>
        <w:rPr>
          <w:rFonts w:ascii="Times New Roman"/>
        </w:rPr>
      </w:pPr>
      <w:r>
        <w:rPr>
          <w:rFonts w:hint="eastAsia" w:hAnsi="宋体" w:cs="宋体"/>
        </w:rPr>
        <w:t>料，保证数据、材料的可溯源性和可验证性；</w:t>
      </w:r>
    </w:p>
    <w:p w14:paraId="0A257884">
      <w:pPr>
        <w:pStyle w:val="25"/>
        <w:ind w:left="840" w:leftChars="200" w:hanging="420" w:hangingChars="200"/>
        <w:rPr>
          <w:rFonts w:ascii="Times New Roman"/>
        </w:rPr>
      </w:pPr>
      <w:r>
        <w:rPr>
          <w:rFonts w:hint="eastAsia" w:hAnsi="宋体" w:cs="宋体"/>
        </w:rPr>
        <w:t>——审慎性。评价报告给出谨慎的评价意见，对于基础数据不全、信息不完整的企事业单位，说明由于条件不具备无法给出评价结论。</w:t>
      </w:r>
    </w:p>
    <w:p w14:paraId="5A8D0411">
      <w:pPr>
        <w:pStyle w:val="48"/>
        <w:outlineLvl w:val="0"/>
        <w:rPr>
          <w:rFonts w:ascii="Times New Roman"/>
        </w:rPr>
      </w:pPr>
      <w:bookmarkStart w:id="70" w:name="_Toc80690492"/>
      <w:bookmarkStart w:id="71" w:name="_Toc195038127"/>
      <w:bookmarkStart w:id="72" w:name="_Toc102992458"/>
      <w:r>
        <w:rPr>
          <w:rFonts w:hint="eastAsia" w:ascii="Times New Roman"/>
        </w:rPr>
        <w:t>绿色低碳产业企业</w:t>
      </w:r>
      <w:r>
        <w:rPr>
          <w:rFonts w:ascii="Times New Roman"/>
        </w:rPr>
        <w:t>评价</w:t>
      </w:r>
      <w:bookmarkEnd w:id="70"/>
      <w:bookmarkEnd w:id="71"/>
      <w:bookmarkEnd w:id="72"/>
    </w:p>
    <w:p w14:paraId="6EE1EF24">
      <w:pPr>
        <w:pStyle w:val="45"/>
        <w:outlineLvl w:val="1"/>
        <w:rPr>
          <w:rFonts w:ascii="Times New Roman"/>
        </w:rPr>
      </w:pPr>
      <w:bookmarkStart w:id="73" w:name="_Toc102992460"/>
      <w:bookmarkStart w:id="74" w:name="_Toc195038128"/>
      <w:r>
        <w:rPr>
          <w:rFonts w:ascii="Times New Roman"/>
        </w:rPr>
        <w:t>符合性评价</w:t>
      </w:r>
      <w:bookmarkEnd w:id="73"/>
      <w:bookmarkEnd w:id="74"/>
    </w:p>
    <w:p w14:paraId="6CA038A7">
      <w:pPr>
        <w:pStyle w:val="25"/>
        <w:rPr>
          <w:rFonts w:ascii="Times New Roman"/>
        </w:rPr>
      </w:pPr>
      <w:r>
        <w:rPr>
          <w:rFonts w:hint="eastAsia" w:ascii="Times New Roman"/>
        </w:rPr>
        <w:t>申报认定评价的绿色业务属于绿色金融认证和评级领域，或在当地具备一定市场规模、经相关政府职能部门认可的相关行业。</w:t>
      </w:r>
    </w:p>
    <w:p w14:paraId="59AA532E">
      <w:pPr>
        <w:pStyle w:val="45"/>
        <w:outlineLvl w:val="1"/>
        <w:rPr>
          <w:rFonts w:ascii="Times New Roman"/>
        </w:rPr>
      </w:pPr>
      <w:bookmarkStart w:id="75" w:name="_Toc82684150"/>
      <w:bookmarkEnd w:id="75"/>
      <w:bookmarkStart w:id="76" w:name="_Toc195038129"/>
      <w:bookmarkStart w:id="77" w:name="_Toc102992461"/>
      <w:r>
        <w:rPr>
          <w:rFonts w:ascii="Times New Roman"/>
        </w:rPr>
        <w:t>综合评价</w:t>
      </w:r>
      <w:bookmarkEnd w:id="76"/>
      <w:bookmarkEnd w:id="77"/>
    </w:p>
    <w:p w14:paraId="7645F6EE">
      <w:pPr>
        <w:pStyle w:val="49"/>
        <w:spacing w:before="156" w:after="156"/>
        <w:rPr>
          <w:rFonts w:ascii="Times New Roman"/>
        </w:rPr>
      </w:pPr>
      <w:r>
        <w:rPr>
          <w:rFonts w:ascii="Times New Roman"/>
        </w:rPr>
        <w:t>技术表现</w:t>
      </w:r>
    </w:p>
    <w:p w14:paraId="751F05E3">
      <w:pPr>
        <w:pStyle w:val="54"/>
        <w:numPr>
          <w:ilvl w:val="3"/>
          <w:numId w:val="2"/>
        </w:numPr>
        <w:spacing w:before="156" w:after="156"/>
        <w:rPr>
          <w:rFonts w:ascii="Times New Roman"/>
        </w:rPr>
      </w:pPr>
      <w:r>
        <w:rPr>
          <w:rFonts w:ascii="Times New Roman"/>
        </w:rPr>
        <w:t>先进性</w:t>
      </w:r>
    </w:p>
    <w:p w14:paraId="4231D85D">
      <w:pPr>
        <w:pStyle w:val="58"/>
        <w:spacing w:before="156" w:after="156"/>
        <w:rPr>
          <w:rFonts w:ascii="Times New Roman"/>
        </w:rPr>
      </w:pPr>
      <w:r>
        <w:rPr>
          <w:rFonts w:ascii="Times New Roman"/>
        </w:rPr>
        <w:t>有效知识产权</w:t>
      </w:r>
    </w:p>
    <w:p w14:paraId="0D464E37">
      <w:pPr>
        <w:pStyle w:val="25"/>
        <w:rPr>
          <w:rFonts w:hAnsi="宋体" w:cs="宋体"/>
        </w:rPr>
      </w:pPr>
      <w:r>
        <w:rPr>
          <w:rFonts w:hint="eastAsia" w:hAnsi="宋体" w:cs="宋体"/>
        </w:rPr>
        <w:t>有效知识产权基于知识产权类别和知识产权获得形式采用加权法计算，计算方法见公式（1），具体评分规则见表1。</w:t>
      </w:r>
    </w:p>
    <w:p w14:paraId="5D335312">
      <w:pPr>
        <w:pStyle w:val="25"/>
        <w:tabs>
          <w:tab w:val="center" w:leader="middleDot" w:pos="5680"/>
          <w:tab w:val="clear" w:pos="4201"/>
        </w:tabs>
        <w:autoSpaceDE/>
        <w:autoSpaceDN/>
        <w:jc w:val="right"/>
        <w:rPr>
          <w:rFonts w:hAnsi="宋体" w:cs="宋体"/>
        </w:rPr>
      </w:pPr>
      <m:oMath>
        <m:r>
          <m:rPr/>
          <w:rPr>
            <w:rFonts w:ascii="Cambria Math" w:hAnsi="Cambria Math" w:cs="宋体"/>
          </w:rPr>
          <m:t>N</m:t>
        </m:r>
        <m:r>
          <m:rPr/>
          <w:rPr>
            <w:rFonts w:hint="eastAsia" w:ascii="Cambria Math" w:hAnsi="Cambria Math" w:cs="宋体"/>
          </w:rPr>
          <m:t>=</m:t>
        </m:r>
        <m:nary>
          <m:naryPr>
            <m:chr m:val="∑"/>
            <m:limLoc m:val="undOvr"/>
            <m:ctrlPr>
              <w:rPr>
                <w:rFonts w:hint="eastAsia" w:ascii="Cambria Math" w:hAnsi="Cambria Math" w:cs="宋体"/>
                <w:i/>
                <w:iCs/>
              </w:rPr>
            </m:ctrlPr>
          </m:naryPr>
          <m:sub>
            <m:r>
              <m:rPr/>
              <w:rPr>
                <w:rFonts w:ascii="Cambria Math" w:hAnsi="Cambria Math" w:cs="宋体"/>
              </w:rPr>
              <m:t>i=1</m:t>
            </m:r>
            <m:ctrlPr>
              <w:rPr>
                <w:rFonts w:hint="eastAsia" w:ascii="Cambria Math" w:hAnsi="Cambria Math" w:cs="宋体"/>
                <w:i/>
                <w:iCs/>
              </w:rPr>
            </m:ctrlPr>
          </m:sub>
          <m:sup>
            <m:r>
              <m:rPr/>
              <w:rPr>
                <w:rFonts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ascii="Cambria Math" w:hAnsi="Cambria Math" w:cs="宋体"/>
                  </w:rPr>
                  <m:t>T</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ascii="Cambria Math" w:hAnsi="Cambria Math" w:cs="宋体"/>
                  </w:rPr>
                  <m:t>G</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w:r>
        <w:rPr>
          <w:rFonts w:hint="eastAsia" w:hAnsi="Cambria Math" w:cs="宋体"/>
        </w:rPr>
        <w:tab/>
      </w:r>
      <w:r>
        <w:rPr>
          <w:rFonts w:hint="eastAsia" w:hAnsi="Cambria Math" w:cs="宋体"/>
        </w:rPr>
        <w:t>（1）</w:t>
      </w:r>
    </w:p>
    <w:p w14:paraId="1506B122">
      <w:pPr>
        <w:pStyle w:val="25"/>
        <w:rPr>
          <w:rFonts w:hAnsi="宋体" w:cs="宋体"/>
        </w:rPr>
      </w:pPr>
      <w:r>
        <w:rPr>
          <w:rFonts w:hint="eastAsia" w:hAnsi="宋体" w:cs="宋体"/>
        </w:rPr>
        <w:t>式中：</w:t>
      </w:r>
    </w:p>
    <w:p w14:paraId="3CC625CA">
      <w:pPr>
        <w:pStyle w:val="25"/>
        <w:rPr>
          <w:rFonts w:hAnsi="宋体" w:cs="宋体"/>
        </w:rPr>
      </w:pPr>
      <m:oMath>
        <m:r>
          <m:rPr/>
          <w:rPr>
            <w:rFonts w:ascii="Cambria Math" w:hAnsi="Cambria Math" w:cs="宋体"/>
          </w:rPr>
          <m:t>N</m:t>
        </m:r>
      </m:oMath>
      <w:r>
        <w:rPr>
          <w:rFonts w:hint="eastAsia" w:hAnsi="宋体" w:cs="宋体"/>
        </w:rPr>
        <w:t>——有效知识产权数量；</w:t>
      </w:r>
    </w:p>
    <w:p w14:paraId="18A49851">
      <w:pPr>
        <w:pStyle w:val="25"/>
        <w:rPr>
          <w:rFonts w:hAnsi="宋体" w:cs="宋体"/>
        </w:rPr>
      </w:pPr>
      <m:oMath>
        <m:sSub>
          <m:sSubPr>
            <m:ctrlPr>
              <w:rPr>
                <w:rFonts w:hint="eastAsia" w:ascii="Cambria Math" w:hAnsi="Cambria Math" w:cs="宋体"/>
                <w:i/>
                <w:iCs/>
              </w:rPr>
            </m:ctrlPr>
          </m:sSubPr>
          <m:e>
            <m:r>
              <m:rPr/>
              <w:rPr>
                <w:rFonts w:ascii="Cambria Math" w:hAnsi="Cambria Math" w:cs="宋体"/>
              </w:rPr>
              <m:t>T</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——第i个知识产权类别折算系数；</w:t>
      </w:r>
    </w:p>
    <w:p w14:paraId="7D741E69">
      <w:pPr>
        <w:pStyle w:val="25"/>
        <w:rPr>
          <w:rFonts w:hAnsi="宋体" w:cs="宋体"/>
        </w:rPr>
      </w:pPr>
      <m:oMath>
        <m:sSub>
          <m:sSubPr>
            <m:ctrlPr>
              <w:rPr>
                <w:rFonts w:hint="eastAsia" w:ascii="Cambria Math" w:hAnsi="Cambria Math" w:cs="宋体"/>
                <w:i/>
                <w:iCs/>
              </w:rPr>
            </m:ctrlPr>
          </m:sSubPr>
          <m:e>
            <m:r>
              <m:rPr/>
              <w:rPr>
                <w:rFonts w:ascii="Cambria Math" w:hAnsi="Cambria Math" w:cs="宋体"/>
              </w:rPr>
              <m:t>G</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——第i个知识产权获得形式折算系数。</w:t>
      </w:r>
    </w:p>
    <w:p w14:paraId="6ABF8AD1">
      <w:pPr>
        <w:numPr>
          <w:ilvl w:val="0"/>
          <w:numId w:val="7"/>
        </w:numPr>
        <w:autoSpaceDE w:val="0"/>
        <w:autoSpaceDN w:val="0"/>
        <w:ind w:left="856" w:hanging="436"/>
      </w:pPr>
      <w:r>
        <w:rPr>
          <w:rFonts w:hint="eastAsia" w:ascii="宋体"/>
          <w:sz w:val="18"/>
          <w:szCs w:val="18"/>
        </w:rPr>
        <w:t>有效知识产权是与“绿色金融认证和评级”产业相关，通过自主研发、受让、受赠、并购等方式，获得在有效期内的发明专利、软件著作权、实用新型。</w:t>
      </w:r>
    </w:p>
    <w:p w14:paraId="513D6AB0">
      <w:pPr>
        <w:numPr>
          <w:ilvl w:val="0"/>
          <w:numId w:val="7"/>
        </w:numPr>
        <w:autoSpaceDE w:val="0"/>
        <w:autoSpaceDN w:val="0"/>
        <w:ind w:left="856" w:hanging="436"/>
      </w:pPr>
      <w:r>
        <w:rPr>
          <w:rFonts w:hint="eastAsia" w:ascii="宋体"/>
          <w:sz w:val="18"/>
          <w:szCs w:val="18"/>
        </w:rPr>
        <w:t>知识产权类别以发明专利为折算基数，软件著作权、实用新型专利折算系数为</w:t>
      </w:r>
      <w:r>
        <w:rPr>
          <w:rFonts w:ascii="宋体"/>
          <w:sz w:val="18"/>
          <w:szCs w:val="18"/>
        </w:rPr>
        <w:t>0.5</w:t>
      </w:r>
      <w:r>
        <w:rPr>
          <w:rFonts w:hint="eastAsia" w:ascii="宋体"/>
          <w:sz w:val="18"/>
          <w:szCs w:val="18"/>
        </w:rPr>
        <w:t>。</w:t>
      </w:r>
    </w:p>
    <w:p w14:paraId="3C32B7F5">
      <w:pPr>
        <w:numPr>
          <w:ilvl w:val="0"/>
          <w:numId w:val="7"/>
        </w:numPr>
        <w:autoSpaceDE w:val="0"/>
        <w:autoSpaceDN w:val="0"/>
        <w:ind w:left="856" w:hanging="436"/>
      </w:pPr>
      <w:r>
        <w:rPr>
          <w:rFonts w:hint="eastAsia" w:ascii="宋体"/>
          <w:sz w:val="18"/>
          <w:szCs w:val="18"/>
        </w:rPr>
        <w:t>知识产权获得形式以自主研发为折算基数，通过受让、受赠、并购方式获取其所有权折算系数为0.5。</w:t>
      </w:r>
    </w:p>
    <w:p w14:paraId="00C7F991">
      <w:pPr>
        <w:pStyle w:val="129"/>
        <w:rPr>
          <w:rFonts w:ascii="Times New Roman"/>
        </w:rPr>
      </w:pPr>
      <w:r>
        <w:rPr>
          <w:rFonts w:ascii="Times New Roman"/>
        </w:rPr>
        <w:t>有效知识产权评分规则</w:t>
      </w:r>
    </w:p>
    <w:tbl>
      <w:tblPr>
        <w:tblStyle w:val="35"/>
        <w:tblW w:w="956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Layout w:type="fixed"/>
        <w:tblCellMar>
          <w:top w:w="0" w:type="dxa"/>
          <w:left w:w="108" w:type="dxa"/>
          <w:bottom w:w="0" w:type="dxa"/>
          <w:right w:w="108" w:type="dxa"/>
        </w:tblCellMar>
      </w:tblPr>
      <w:tblGrid>
        <w:gridCol w:w="6648"/>
        <w:gridCol w:w="2912"/>
      </w:tblGrid>
      <w:tr w14:paraId="61A1D0D8">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rPr>
          <w:trHeight w:val="306" w:hRule="exact"/>
          <w:jc w:val="center"/>
        </w:trPr>
        <w:tc>
          <w:tcPr>
            <w:tcW w:w="6648" w:type="dxa"/>
            <w:vAlign w:val="center"/>
          </w:tcPr>
          <w:p w14:paraId="12BDCEB3">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6"/>
              </w:rPr>
            </w:pPr>
            <w:r>
              <w:rPr>
                <w:rFonts w:hint="eastAsia" w:ascii="Times New Roman"/>
                <w:b/>
                <w:bCs/>
                <w:sz w:val="18"/>
                <w:szCs w:val="16"/>
              </w:rPr>
              <w:t>评分规则</w:t>
            </w:r>
          </w:p>
        </w:tc>
        <w:tc>
          <w:tcPr>
            <w:tcW w:w="2912" w:type="dxa"/>
            <w:vAlign w:val="center"/>
          </w:tcPr>
          <w:p w14:paraId="16AF6426">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6"/>
              </w:rPr>
            </w:pPr>
            <w:r>
              <w:rPr>
                <w:rFonts w:hint="eastAsia" w:ascii="Times New Roman"/>
                <w:b/>
                <w:bCs/>
                <w:sz w:val="18"/>
                <w:szCs w:val="16"/>
              </w:rPr>
              <w:t>最高</w:t>
            </w:r>
            <w:r>
              <w:rPr>
                <w:rFonts w:hint="default" w:ascii="Times New Roman"/>
                <w:b/>
                <w:bCs/>
                <w:sz w:val="18"/>
                <w:szCs w:val="16"/>
              </w:rPr>
              <w:t>分值</w:t>
            </w:r>
            <w:r>
              <w:rPr>
                <w:rFonts w:hint="eastAsia" w:ascii="Times New Roman"/>
                <w:b/>
                <w:bCs/>
                <w:sz w:val="18"/>
                <w:szCs w:val="16"/>
              </w:rPr>
              <w:t>（分）</w:t>
            </w:r>
          </w:p>
        </w:tc>
      </w:tr>
      <w:tr w14:paraId="7AB011B5">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rPr>
          <w:trHeight w:val="306" w:hRule="exact"/>
          <w:jc w:val="center"/>
        </w:trPr>
        <w:tc>
          <w:tcPr>
            <w:tcW w:w="6648" w:type="dxa"/>
            <w:vAlign w:val="center"/>
          </w:tcPr>
          <w:p w14:paraId="17D5D828">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6"/>
              </w:rPr>
            </w:pPr>
            <w:r>
              <w:rPr>
                <w:rFonts w:hint="eastAsia" w:hAnsi="宋体" w:cs="宋体"/>
                <w:sz w:val="18"/>
                <w:szCs w:val="16"/>
              </w:rPr>
              <w:t>加权法计算后有效知识产权数量乘以</w:t>
            </w:r>
            <w:r>
              <w:rPr>
                <w:rFonts w:hint="default" w:hAnsi="宋体" w:cs="宋体"/>
                <w:sz w:val="18"/>
                <w:szCs w:val="16"/>
              </w:rPr>
              <w:t>2</w:t>
            </w:r>
            <w:r>
              <w:rPr>
                <w:rFonts w:hint="eastAsia" w:hAnsi="宋体" w:cs="宋体"/>
                <w:sz w:val="18"/>
                <w:szCs w:val="16"/>
              </w:rPr>
              <w:t>分</w:t>
            </w:r>
          </w:p>
        </w:tc>
        <w:tc>
          <w:tcPr>
            <w:tcW w:w="2912" w:type="dxa"/>
            <w:vAlign w:val="center"/>
          </w:tcPr>
          <w:p w14:paraId="01D2450F">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6"/>
              </w:rPr>
            </w:pPr>
            <w:r>
              <w:rPr>
                <w:rFonts w:hint="eastAsia" w:hAnsi="宋体" w:cs="宋体"/>
                <w:sz w:val="18"/>
                <w:szCs w:val="16"/>
              </w:rPr>
              <w:t>4</w:t>
            </w:r>
          </w:p>
        </w:tc>
      </w:tr>
    </w:tbl>
    <w:p w14:paraId="23A9D5C6">
      <w:pPr>
        <w:pStyle w:val="58"/>
        <w:spacing w:before="156" w:after="156"/>
        <w:rPr>
          <w:rFonts w:ascii="Times New Roman"/>
        </w:rPr>
      </w:pPr>
      <w:r>
        <w:rPr>
          <w:rFonts w:ascii="Times New Roman"/>
        </w:rPr>
        <w:t>制修订标准</w:t>
      </w:r>
    </w:p>
    <w:p w14:paraId="457ADF0D">
      <w:pPr>
        <w:pStyle w:val="25"/>
        <w:rPr>
          <w:rFonts w:hAnsi="宋体" w:cs="宋体"/>
        </w:rPr>
      </w:pPr>
      <w:r>
        <w:rPr>
          <w:rFonts w:hint="eastAsia" w:hAnsi="宋体" w:cs="宋体"/>
        </w:rPr>
        <w:t>制修订标准基于标准类别、标准编制形式和标准制修订参与程度采用加权法计算，计算方法见公式（2），具体评分规则见表2。</w:t>
      </w:r>
    </w:p>
    <w:p w14:paraId="15CBDE10">
      <w:pPr>
        <w:pStyle w:val="25"/>
        <w:tabs>
          <w:tab w:val="center" w:leader="middleDot" w:pos="5680"/>
          <w:tab w:val="clear" w:pos="4201"/>
        </w:tabs>
        <w:ind w:firstLine="0" w:firstLineChars="0"/>
        <w:jc w:val="right"/>
        <w:rPr>
          <w:rFonts w:hAnsi="宋体" w:cs="宋体"/>
        </w:rPr>
      </w:pPr>
      <m:oMath>
        <m:r>
          <m:rPr/>
          <w:rPr>
            <w:rFonts w:ascii="Cambria Math" w:hAnsi="Cambria Math" w:cs="宋体"/>
          </w:rPr>
          <m:t>N=</m:t>
        </m:r>
        <m:nary>
          <m:naryPr>
            <m:chr m:val="∑"/>
            <m:limLoc m:val="undOvr"/>
            <m:ctrlPr>
              <w:rPr>
                <w:rFonts w:ascii="Cambria Math" w:hAnsi="Cambria Math" w:cs="宋体"/>
                <w:i/>
                <w:iCs/>
              </w:rPr>
            </m:ctrlPr>
          </m:naryPr>
          <m:sub>
            <m:r>
              <m:rPr/>
              <w:rPr>
                <w:rFonts w:ascii="Cambria Math" w:hAnsi="Cambria Math" w:cs="宋体"/>
              </w:rPr>
              <m:t>i=1</m:t>
            </m:r>
            <m:ctrlPr>
              <w:rPr>
                <w:rFonts w:ascii="Cambria Math" w:hAnsi="Cambria Math" w:cs="宋体"/>
                <w:i/>
                <w:iCs/>
              </w:rPr>
            </m:ctrlPr>
          </m:sub>
          <m:sup>
            <m:r>
              <m:rPr/>
              <w:rPr>
                <w:rFonts w:ascii="Cambria Math" w:hAnsi="Cambria Math" w:cs="宋体"/>
              </w:rPr>
              <m:t>n</m:t>
            </m:r>
            <m:ctrlPr>
              <w:rPr>
                <w:rFonts w:ascii="Cambria Math" w:hAnsi="Cambria Math" w:cs="宋体"/>
                <w:i/>
                <w:iCs/>
              </w:rPr>
            </m:ctrlPr>
          </m:sup>
          <m:e>
            <m:sSub>
              <m:sSubPr>
                <m:ctrlPr>
                  <w:rPr>
                    <w:rFonts w:ascii="Cambria Math" w:hAnsi="Cambria Math" w:cs="宋体"/>
                    <w:i/>
                    <w:iCs/>
                  </w:rPr>
                </m:ctrlPr>
              </m:sSubPr>
              <m:e>
                <m:r>
                  <m:rPr/>
                  <w:rPr>
                    <w:rFonts w:ascii="Cambria Math" w:hAnsi="Cambria Math" w:cs="宋体"/>
                  </w:rPr>
                  <m:t>F</m:t>
                </m:r>
                <m:ctrlPr>
                  <w:rPr>
                    <w:rFonts w:ascii="Cambria Math" w:hAnsi="Cambria Math" w:cs="宋体"/>
                    <w:i/>
                    <w:iCs/>
                  </w:rPr>
                </m:ctrlPr>
              </m:e>
              <m:sub>
                <m:r>
                  <m:rPr/>
                  <w:rPr>
                    <w:rFonts w:ascii="Cambria Math" w:hAnsi="Cambria Math" w:cs="宋体"/>
                  </w:rPr>
                  <m:t>i</m:t>
                </m:r>
                <m:ctrlPr>
                  <w:rPr>
                    <w:rFonts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D</m:t>
                </m:r>
                <m:ctrlPr>
                  <w:rPr>
                    <w:rFonts w:ascii="Cambria Math" w:hAnsi="Cambria Math" w:cs="宋体"/>
                    <w:i/>
                    <w:iCs/>
                  </w:rPr>
                </m:ctrlPr>
              </m:e>
              <m:sub>
                <m:r>
                  <m:rPr/>
                  <w:rPr>
                    <w:rFonts w:ascii="Cambria Math" w:hAnsi="Cambria Math" w:cs="宋体"/>
                  </w:rPr>
                  <m:t>i</m:t>
                </m:r>
                <m:ctrlPr>
                  <w:rPr>
                    <w:rFonts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T</m:t>
                </m:r>
                <m:ctrlPr>
                  <w:rPr>
                    <w:rFonts w:ascii="Cambria Math" w:hAnsi="Cambria Math" w:cs="宋体"/>
                    <w:i/>
                    <w:iCs/>
                  </w:rPr>
                </m:ctrlPr>
              </m:e>
              <m:sub>
                <m:r>
                  <m:rPr/>
                  <w:rPr>
                    <w:rFonts w:ascii="Cambria Math" w:hAnsi="Cambria Math" w:cs="宋体"/>
                  </w:rPr>
                  <m:t>i</m:t>
                </m:r>
                <m:ctrlPr>
                  <w:rPr>
                    <w:rFonts w:ascii="Cambria Math" w:hAnsi="Cambria Math" w:cs="宋体"/>
                    <w:i/>
                    <w:iCs/>
                  </w:rPr>
                </m:ctrlPr>
              </m:sub>
            </m:sSub>
            <m:ctrlPr>
              <w:rPr>
                <w:rFonts w:ascii="Cambria Math" w:hAnsi="Cambria Math" w:cs="宋体"/>
                <w:i/>
                <w:iCs/>
              </w:rPr>
            </m:ctrlPr>
          </m:e>
        </m:nary>
      </m:oMath>
      <w:r>
        <w:rPr>
          <w:rFonts w:hAnsi="Cambria Math" w:cs="宋体"/>
          <w:iCs/>
        </w:rPr>
        <w:tab/>
      </w:r>
      <w:r>
        <w:rPr>
          <w:rFonts w:hint="eastAsia" w:hAnsi="Cambria Math" w:cs="宋体"/>
          <w:iCs/>
        </w:rPr>
        <w:t>（2）</w:t>
      </w:r>
    </w:p>
    <w:p w14:paraId="4912CFFF">
      <w:pPr>
        <w:autoSpaceDE w:val="0"/>
        <w:autoSpaceDN w:val="0"/>
        <w:ind w:firstLine="420" w:firstLineChars="200"/>
        <w:rPr>
          <w:rFonts w:ascii="宋体" w:hAnsi="宋体" w:cs="宋体"/>
        </w:rPr>
      </w:pPr>
      <w:r>
        <w:rPr>
          <w:rFonts w:hint="eastAsia" w:ascii="宋体" w:hAnsi="宋体" w:cs="宋体"/>
        </w:rPr>
        <w:t>式中：</w:t>
      </w:r>
    </w:p>
    <w:p w14:paraId="71C24EB6">
      <w:pPr>
        <w:autoSpaceDE w:val="0"/>
        <w:autoSpaceDN w:val="0"/>
        <w:ind w:firstLine="420" w:firstLineChars="200"/>
        <w:rPr>
          <w:rFonts w:ascii="宋体" w:hAnsi="宋体" w:cs="宋体"/>
        </w:rPr>
      </w:pPr>
      <m:oMath>
        <m:r>
          <m:rPr/>
          <w:rPr>
            <w:rFonts w:ascii="Cambria Math" w:hAnsi="Cambria Math" w:cs="宋体"/>
          </w:rPr>
          <m:t>N</m:t>
        </m:r>
      </m:oMath>
      <w:r>
        <w:rPr>
          <w:rFonts w:hint="eastAsia" w:ascii="宋体" w:hAnsi="宋体" w:cs="宋体"/>
        </w:rPr>
        <w:t>——制修订标准数量；</w:t>
      </w:r>
    </w:p>
    <w:p w14:paraId="46529D98">
      <w:pPr>
        <w:autoSpaceDE w:val="0"/>
        <w:autoSpaceDN w:val="0"/>
        <w:ind w:firstLine="420" w:firstLineChars="200"/>
        <w:rPr>
          <w:rFonts w:ascii="宋体" w:hAnsi="宋体" w:cs="宋体"/>
        </w:rPr>
      </w:pPr>
      <m:oMath>
        <m:sSub>
          <m:sSubPr>
            <m:ctrlPr>
              <w:rPr>
                <w:rFonts w:hint="eastAsia" w:ascii="Cambria Math" w:hAnsi="Cambria Math" w:cs="宋体"/>
                <w:i/>
              </w:rPr>
            </m:ctrlPr>
          </m:sSubPr>
          <m:e>
            <m:r>
              <m:rPr/>
              <w:rPr>
                <w:rFonts w:ascii="Cambria Math" w:hAnsi="Cambria Math" w:cs="宋体"/>
              </w:rPr>
              <m:t>F</m:t>
            </m:r>
            <m:ctrlPr>
              <w:rPr>
                <w:rFonts w:hint="eastAsia" w:ascii="Cambria Math" w:hAnsi="Cambria Math" w:cs="宋体"/>
                <w:i/>
              </w:rPr>
            </m:ctrlPr>
          </m:e>
          <m:sub>
            <m:r>
              <m:rPr/>
              <w:rPr>
                <w:rFonts w:ascii="Cambria Math" w:hAnsi="Cambria Math" w:cs="宋体"/>
              </w:rPr>
              <m:t>i</m:t>
            </m:r>
            <m:ctrlPr>
              <w:rPr>
                <w:rFonts w:hint="eastAsia" w:ascii="Cambria Math" w:hAnsi="Cambria Math" w:cs="宋体"/>
                <w:i/>
              </w:rPr>
            </m:ctrlPr>
          </m:sub>
        </m:sSub>
      </m:oMath>
      <w:r>
        <w:rPr>
          <w:rFonts w:hint="eastAsia" w:ascii="宋体" w:hAnsi="宋体" w:cs="宋体"/>
        </w:rPr>
        <w:t>——第i个标准的编制形式折算系数；</w:t>
      </w:r>
    </w:p>
    <w:p w14:paraId="6A74A543">
      <w:pPr>
        <w:autoSpaceDE w:val="0"/>
        <w:autoSpaceDN w:val="0"/>
        <w:ind w:firstLine="420" w:firstLineChars="200"/>
        <w:rPr>
          <w:rFonts w:ascii="宋体" w:hAnsi="宋体" w:cs="宋体"/>
        </w:rPr>
      </w:pPr>
      <m:oMath>
        <m:sSub>
          <m:sSubPr>
            <m:ctrlPr>
              <w:rPr>
                <w:rFonts w:hint="eastAsia" w:ascii="Cambria Math" w:hAnsi="Cambria Math" w:cs="宋体"/>
                <w:i/>
              </w:rPr>
            </m:ctrlPr>
          </m:sSubPr>
          <m:e>
            <m:r>
              <m:rPr/>
              <w:rPr>
                <w:rFonts w:ascii="Cambria Math" w:hAnsi="Cambria Math" w:cs="宋体"/>
              </w:rPr>
              <m:t>D</m:t>
            </m:r>
            <m:ctrlPr>
              <w:rPr>
                <w:rFonts w:hint="eastAsia" w:ascii="Cambria Math" w:hAnsi="Cambria Math" w:cs="宋体"/>
                <w:i/>
              </w:rPr>
            </m:ctrlPr>
          </m:e>
          <m:sub>
            <m:r>
              <m:rPr/>
              <w:rPr>
                <w:rFonts w:ascii="Cambria Math" w:hAnsi="Cambria Math" w:cs="宋体"/>
              </w:rPr>
              <m:t>i</m:t>
            </m:r>
            <m:ctrlPr>
              <w:rPr>
                <w:rFonts w:hint="eastAsia" w:ascii="Cambria Math" w:hAnsi="Cambria Math" w:cs="宋体"/>
                <w:i/>
              </w:rPr>
            </m:ctrlPr>
          </m:sub>
        </m:sSub>
      </m:oMath>
      <w:r>
        <w:rPr>
          <w:rFonts w:hint="eastAsia" w:ascii="宋体" w:hAnsi="宋体" w:cs="宋体"/>
        </w:rPr>
        <w:t>——第i个标准的制修订参与程度折算系数；</w:t>
      </w:r>
    </w:p>
    <w:p w14:paraId="17F4DB67">
      <w:pPr>
        <w:pStyle w:val="25"/>
        <w:rPr>
          <w:rFonts w:hAnsi="宋体" w:cs="宋体"/>
        </w:rPr>
      </w:pPr>
      <m:oMath>
        <m:sSub>
          <m:sSubPr>
            <m:ctrlPr>
              <w:rPr>
                <w:rFonts w:hint="eastAsia" w:ascii="Cambria Math" w:hAnsi="Cambria Math" w:cs="宋体"/>
                <w:i/>
              </w:rPr>
            </m:ctrlPr>
          </m:sSubPr>
          <m:e>
            <m:r>
              <m:rPr/>
              <w:rPr>
                <w:rFonts w:ascii="Cambria Math" w:hAnsi="Cambria Math" w:cs="宋体"/>
              </w:rPr>
              <m:t>T</m:t>
            </m:r>
            <m:ctrlPr>
              <w:rPr>
                <w:rFonts w:hint="eastAsia" w:ascii="Cambria Math" w:hAnsi="Cambria Math" w:cs="宋体"/>
                <w:i/>
              </w:rPr>
            </m:ctrlPr>
          </m:e>
          <m:sub>
            <m:r>
              <m:rPr/>
              <w:rPr>
                <w:rFonts w:ascii="Cambria Math" w:hAnsi="Cambria Math" w:cs="宋体"/>
              </w:rPr>
              <m:t>i</m:t>
            </m:r>
            <m:ctrlPr>
              <w:rPr>
                <w:rFonts w:hint="eastAsia" w:ascii="Cambria Math" w:hAnsi="Cambria Math" w:cs="宋体"/>
                <w:i/>
              </w:rPr>
            </m:ctrlPr>
          </m:sub>
        </m:sSub>
      </m:oMath>
      <w:r>
        <w:rPr>
          <w:rFonts w:hint="eastAsia" w:hAnsi="宋体" w:cs="宋体"/>
        </w:rPr>
        <w:t>——第i个标准的类别折算系数。</w:t>
      </w:r>
    </w:p>
    <w:p w14:paraId="2791ACA7">
      <w:pPr>
        <w:numPr>
          <w:ilvl w:val="0"/>
          <w:numId w:val="19"/>
        </w:numPr>
        <w:autoSpaceDE w:val="0"/>
        <w:autoSpaceDN w:val="0"/>
        <w:ind w:left="809" w:leftChars="171" w:hanging="450" w:hangingChars="250"/>
        <w:rPr>
          <w:rFonts w:ascii="宋体" w:hAnsi="宋体" w:cs="宋体"/>
        </w:rPr>
      </w:pPr>
      <w:r>
        <w:rPr>
          <w:rFonts w:hint="eastAsia" w:ascii="宋体"/>
          <w:sz w:val="18"/>
          <w:szCs w:val="18"/>
        </w:rPr>
        <w:t>制修订标准是在绿色金融认证和评级领域，近五年已正式发布的国际标准、国家标准、行业标准、地方标准、团体标准。</w:t>
      </w:r>
    </w:p>
    <w:p w14:paraId="1A9938EB">
      <w:pPr>
        <w:numPr>
          <w:ilvl w:val="0"/>
          <w:numId w:val="19"/>
        </w:numPr>
        <w:autoSpaceDE w:val="0"/>
        <w:autoSpaceDN w:val="0"/>
        <w:ind w:left="809" w:leftChars="171" w:hanging="450" w:hangingChars="250"/>
        <w:rPr>
          <w:rFonts w:ascii="宋体" w:hAnsi="宋体" w:cs="宋体"/>
        </w:rPr>
      </w:pPr>
      <w:r>
        <w:rPr>
          <w:rFonts w:hint="eastAsia" w:ascii="宋体"/>
          <w:sz w:val="18"/>
          <w:szCs w:val="18"/>
        </w:rPr>
        <w:t>标准类别以国家标准及行业标准为折算基数，国际标准折算系数为1.2，地方标准折算系数为0.8，团体标准折算系数为</w:t>
      </w:r>
      <w:r>
        <w:rPr>
          <w:rFonts w:ascii="宋体"/>
          <w:sz w:val="18"/>
          <w:szCs w:val="18"/>
        </w:rPr>
        <w:t>0.</w:t>
      </w:r>
      <w:r>
        <w:rPr>
          <w:rFonts w:hint="eastAsia" w:ascii="宋体"/>
          <w:sz w:val="18"/>
          <w:szCs w:val="18"/>
        </w:rPr>
        <w:t>5。</w:t>
      </w:r>
    </w:p>
    <w:p w14:paraId="03295655">
      <w:pPr>
        <w:numPr>
          <w:ilvl w:val="0"/>
          <w:numId w:val="19"/>
        </w:numPr>
        <w:autoSpaceDE w:val="0"/>
        <w:autoSpaceDN w:val="0"/>
        <w:ind w:left="809" w:leftChars="171" w:hanging="450" w:hangingChars="250"/>
        <w:rPr>
          <w:rFonts w:ascii="宋体" w:hAnsi="宋体" w:cs="宋体"/>
        </w:rPr>
      </w:pPr>
      <w:r>
        <w:rPr>
          <w:rFonts w:hint="eastAsia" w:ascii="宋体"/>
          <w:sz w:val="18"/>
          <w:szCs w:val="18"/>
        </w:rPr>
        <w:t>标准编制形式以制定标准为折算基数，修订标准折算系数为0.5。</w:t>
      </w:r>
    </w:p>
    <w:p w14:paraId="63E1AEE1">
      <w:pPr>
        <w:numPr>
          <w:ilvl w:val="0"/>
          <w:numId w:val="19"/>
        </w:numPr>
        <w:autoSpaceDE w:val="0"/>
        <w:autoSpaceDN w:val="0"/>
        <w:ind w:left="809" w:leftChars="171" w:hanging="450" w:hangingChars="250"/>
        <w:rPr>
          <w:rFonts w:ascii="宋体" w:hAnsi="宋体" w:cs="宋体"/>
        </w:rPr>
      </w:pPr>
      <w:r>
        <w:rPr>
          <w:rFonts w:hint="eastAsia" w:ascii="宋体"/>
          <w:sz w:val="18"/>
          <w:szCs w:val="18"/>
        </w:rPr>
        <w:t>在标准文本“主要起草单位”中排名前两名，视为主导制定起草单位；在标准文本“主要起草单位”中排名第三到第五名，视为参与制定标准单位。如排名前五名的起草单位中有行政机关单位的，名次可相应顺延。若标准中明确起草单位排名不分先后，均视为主导制定起草单位。标准制修订参与程度以主导制定起草单位为折算基数，参与制定标准单位折算系数为</w:t>
      </w:r>
      <w:r>
        <w:rPr>
          <w:rFonts w:ascii="宋体"/>
          <w:sz w:val="18"/>
          <w:szCs w:val="18"/>
        </w:rPr>
        <w:t>0.5</w:t>
      </w:r>
      <w:r>
        <w:rPr>
          <w:rFonts w:hint="eastAsia" w:ascii="宋体"/>
          <w:sz w:val="18"/>
          <w:szCs w:val="18"/>
        </w:rPr>
        <w:t>。</w:t>
      </w:r>
    </w:p>
    <w:p w14:paraId="63FEC9D3">
      <w:pPr>
        <w:pStyle w:val="129"/>
        <w:rPr>
          <w:rFonts w:ascii="Times New Roman"/>
        </w:rPr>
      </w:pPr>
      <w:r>
        <w:rPr>
          <w:rFonts w:ascii="Times New Roman"/>
        </w:rPr>
        <w:t>制修订标准评分规则</w:t>
      </w:r>
    </w:p>
    <w:tbl>
      <w:tblPr>
        <w:tblStyle w:val="35"/>
        <w:tblW w:w="95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506"/>
        <w:gridCol w:w="3062"/>
      </w:tblGrid>
      <w:tr w14:paraId="667124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6506" w:type="dxa"/>
            <w:tcBorders>
              <w:bottom w:val="single" w:color="auto" w:sz="12" w:space="0"/>
            </w:tcBorders>
            <w:vAlign w:val="center"/>
          </w:tcPr>
          <w:p w14:paraId="40919D90">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6"/>
              </w:rPr>
            </w:pPr>
            <w:r>
              <w:rPr>
                <w:rFonts w:hint="eastAsia" w:ascii="Times New Roman"/>
                <w:b/>
                <w:bCs/>
                <w:sz w:val="18"/>
                <w:szCs w:val="16"/>
              </w:rPr>
              <w:t>评分规则</w:t>
            </w:r>
          </w:p>
        </w:tc>
        <w:tc>
          <w:tcPr>
            <w:tcW w:w="3062" w:type="dxa"/>
            <w:tcBorders>
              <w:bottom w:val="single" w:color="auto" w:sz="12" w:space="0"/>
            </w:tcBorders>
            <w:vAlign w:val="center"/>
          </w:tcPr>
          <w:p w14:paraId="2D566518">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6"/>
              </w:rPr>
            </w:pPr>
            <w:r>
              <w:rPr>
                <w:rFonts w:hint="eastAsia" w:ascii="Times New Roman"/>
                <w:b/>
                <w:bCs/>
                <w:sz w:val="18"/>
                <w:szCs w:val="16"/>
              </w:rPr>
              <w:t>最高</w:t>
            </w:r>
            <w:r>
              <w:rPr>
                <w:rFonts w:hint="default" w:ascii="Times New Roman"/>
                <w:b/>
                <w:bCs/>
                <w:sz w:val="18"/>
                <w:szCs w:val="16"/>
              </w:rPr>
              <w:t>分值</w:t>
            </w:r>
            <w:r>
              <w:rPr>
                <w:rFonts w:hint="eastAsia" w:ascii="Times New Roman"/>
                <w:b/>
                <w:bCs/>
                <w:sz w:val="18"/>
                <w:szCs w:val="16"/>
              </w:rPr>
              <w:t>（分）</w:t>
            </w:r>
          </w:p>
        </w:tc>
      </w:tr>
      <w:tr w14:paraId="50D186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6506" w:type="dxa"/>
            <w:tcBorders>
              <w:top w:val="single" w:color="auto" w:sz="12" w:space="0"/>
              <w:tl2br w:val="nil"/>
              <w:tr2bl w:val="nil"/>
            </w:tcBorders>
            <w:vAlign w:val="center"/>
          </w:tcPr>
          <w:p w14:paraId="1D7F35D9">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6"/>
              </w:rPr>
            </w:pPr>
            <w:r>
              <w:rPr>
                <w:rFonts w:hint="eastAsia" w:hAnsi="宋体" w:cs="宋体"/>
                <w:sz w:val="18"/>
                <w:szCs w:val="16"/>
              </w:rPr>
              <w:t>加权法计算后制修订标准数量乘以</w:t>
            </w:r>
            <w:r>
              <w:rPr>
                <w:rFonts w:hint="default" w:hAnsi="宋体" w:cs="宋体"/>
                <w:sz w:val="18"/>
                <w:szCs w:val="16"/>
              </w:rPr>
              <w:t>2</w:t>
            </w:r>
            <w:r>
              <w:rPr>
                <w:rFonts w:hint="eastAsia" w:hAnsi="宋体" w:cs="宋体"/>
                <w:sz w:val="18"/>
                <w:szCs w:val="16"/>
              </w:rPr>
              <w:t>分</w:t>
            </w:r>
          </w:p>
        </w:tc>
        <w:tc>
          <w:tcPr>
            <w:tcW w:w="3062" w:type="dxa"/>
            <w:tcBorders>
              <w:top w:val="single" w:color="auto" w:sz="12" w:space="0"/>
              <w:tl2br w:val="nil"/>
              <w:tr2bl w:val="nil"/>
            </w:tcBorders>
            <w:vAlign w:val="center"/>
          </w:tcPr>
          <w:p w14:paraId="3441867F">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6"/>
              </w:rPr>
            </w:pPr>
            <w:r>
              <w:rPr>
                <w:rFonts w:hint="default" w:hAnsi="宋体" w:cs="宋体"/>
                <w:sz w:val="18"/>
                <w:szCs w:val="16"/>
              </w:rPr>
              <w:t>4</w:t>
            </w:r>
          </w:p>
        </w:tc>
      </w:tr>
    </w:tbl>
    <w:p w14:paraId="4538A383">
      <w:pPr>
        <w:pStyle w:val="58"/>
        <w:spacing w:before="156" w:after="156"/>
        <w:rPr>
          <w:rFonts w:ascii="Times New Roman"/>
        </w:rPr>
      </w:pPr>
      <w:r>
        <w:rPr>
          <w:rFonts w:ascii="Times New Roman"/>
        </w:rPr>
        <w:t>关键技术先进性</w:t>
      </w:r>
    </w:p>
    <w:p w14:paraId="28E5B7C0">
      <w:pPr>
        <w:autoSpaceDE w:val="0"/>
        <w:autoSpaceDN w:val="0"/>
        <w:ind w:firstLine="420" w:firstLineChars="200"/>
        <w:rPr>
          <w:szCs w:val="21"/>
        </w:rPr>
      </w:pPr>
      <w:r>
        <w:rPr>
          <w:rFonts w:hint="eastAsia" w:ascii="宋体" w:hAnsi="宋体" w:cs="宋体"/>
          <w:szCs w:val="21"/>
          <w:lang w:bidi="ar"/>
        </w:rPr>
        <w:t>根据不同子行业、不同服务内容选取不同评价指标，具体评分规则见表3，具体评价内容及评价方法见附录A。</w:t>
      </w:r>
    </w:p>
    <w:p w14:paraId="0FC70E74">
      <w:pPr>
        <w:pStyle w:val="129"/>
        <w:rPr>
          <w:rFonts w:ascii="Times New Roman"/>
          <w:kern w:val="2"/>
          <w:szCs w:val="21"/>
        </w:rPr>
      </w:pPr>
      <w:r>
        <w:rPr>
          <w:rFonts w:hint="eastAsia" w:hAnsi="宋体" w:cs="黑体"/>
          <w:kern w:val="2"/>
          <w:szCs w:val="21"/>
          <w:lang w:bidi="ar"/>
        </w:rPr>
        <w:t>关键技术先进性评分规则</w:t>
      </w:r>
    </w:p>
    <w:tbl>
      <w:tblPr>
        <w:tblStyle w:val="35"/>
        <w:tblW w:w="956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604"/>
        <w:gridCol w:w="2962"/>
      </w:tblGrid>
      <w:tr w14:paraId="1A00F7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6604" w:type="dxa"/>
            <w:tcBorders>
              <w:top w:val="single" w:color="auto" w:sz="12" w:space="0"/>
              <w:bottom w:val="single" w:color="auto" w:sz="12" w:space="0"/>
            </w:tcBorders>
            <w:shd w:val="clear" w:color="auto" w:fill="auto"/>
            <w:vAlign w:val="center"/>
          </w:tcPr>
          <w:p w14:paraId="6282397A">
            <w:pPr>
              <w:keepNext w:val="0"/>
              <w:keepLines w:val="0"/>
              <w:suppressLineNumbers w:val="0"/>
              <w:autoSpaceDE w:val="0"/>
              <w:autoSpaceDN w:val="0"/>
              <w:spacing w:before="0" w:beforeAutospacing="0" w:after="0" w:afterAutospacing="0"/>
              <w:ind w:left="0" w:right="0"/>
              <w:jc w:val="center"/>
              <w:rPr>
                <w:rFonts w:hint="default"/>
                <w:b/>
                <w:bCs/>
                <w:sz w:val="18"/>
                <w:szCs w:val="18"/>
              </w:rPr>
            </w:pPr>
            <w:r>
              <w:rPr>
                <w:rFonts w:hint="eastAsia" w:ascii="宋体" w:hAnsi="宋体" w:cs="宋体"/>
                <w:b/>
                <w:bCs/>
                <w:sz w:val="18"/>
                <w:szCs w:val="18"/>
                <w:lang w:bidi="ar"/>
              </w:rPr>
              <w:t>关键技术先进水平</w:t>
            </w:r>
          </w:p>
        </w:tc>
        <w:tc>
          <w:tcPr>
            <w:tcW w:w="2962" w:type="dxa"/>
            <w:tcBorders>
              <w:top w:val="single" w:color="auto" w:sz="12" w:space="0"/>
              <w:bottom w:val="single" w:color="auto" w:sz="12" w:space="0"/>
            </w:tcBorders>
            <w:shd w:val="clear" w:color="auto" w:fill="auto"/>
            <w:vAlign w:val="center"/>
          </w:tcPr>
          <w:p w14:paraId="38E3E625">
            <w:pPr>
              <w:keepNext w:val="0"/>
              <w:keepLines w:val="0"/>
              <w:suppressLineNumbers w:val="0"/>
              <w:autoSpaceDE w:val="0"/>
              <w:autoSpaceDN w:val="0"/>
              <w:spacing w:before="0" w:beforeAutospacing="0" w:after="0" w:afterAutospacing="0"/>
              <w:ind w:left="0" w:right="0"/>
              <w:jc w:val="center"/>
              <w:rPr>
                <w:rFonts w:hint="default"/>
                <w:b/>
                <w:bCs/>
                <w:sz w:val="18"/>
                <w:szCs w:val="18"/>
              </w:rPr>
            </w:pPr>
            <w:r>
              <w:rPr>
                <w:rFonts w:hint="eastAsia" w:ascii="宋体" w:hAnsi="宋体" w:cs="宋体"/>
                <w:b/>
                <w:bCs/>
                <w:sz w:val="18"/>
                <w:szCs w:val="18"/>
                <w:lang w:bidi="ar"/>
              </w:rPr>
              <w:t>分值（分）</w:t>
            </w:r>
          </w:p>
        </w:tc>
      </w:tr>
      <w:tr w14:paraId="3D30B7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604" w:type="dxa"/>
            <w:tcBorders>
              <w:top w:val="single" w:color="auto" w:sz="12" w:space="0"/>
            </w:tcBorders>
            <w:shd w:val="clear" w:color="auto" w:fill="auto"/>
            <w:vAlign w:val="center"/>
          </w:tcPr>
          <w:p w14:paraId="322B7B33">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rPr>
            </w:pPr>
            <w:r>
              <w:rPr>
                <w:rFonts w:hint="eastAsia" w:ascii="宋体" w:hAnsi="宋体" w:cs="宋体"/>
                <w:sz w:val="18"/>
                <w:szCs w:val="18"/>
                <w:lang w:bidi="ar"/>
              </w:rPr>
              <w:t>处于行业领先水平，对产业（行业）具有显著技术引领作用</w:t>
            </w:r>
          </w:p>
        </w:tc>
        <w:tc>
          <w:tcPr>
            <w:tcW w:w="2962" w:type="dxa"/>
            <w:tcBorders>
              <w:top w:val="single" w:color="auto" w:sz="12" w:space="0"/>
            </w:tcBorders>
            <w:shd w:val="clear" w:color="auto" w:fill="auto"/>
            <w:vAlign w:val="center"/>
          </w:tcPr>
          <w:p w14:paraId="49221FF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lang w:bidi="ar"/>
              </w:rPr>
              <w:t>（</w:t>
            </w:r>
            <w:r>
              <w:rPr>
                <w:rFonts w:hint="default" w:ascii="宋体" w:hAnsi="宋体" w:cs="宋体"/>
                <w:sz w:val="18"/>
                <w:szCs w:val="18"/>
                <w:lang w:bidi="ar"/>
              </w:rPr>
              <w:t>10</w:t>
            </w:r>
            <w:r>
              <w:rPr>
                <w:rFonts w:hint="eastAsia" w:ascii="宋体" w:hAnsi="宋体" w:cs="宋体"/>
                <w:sz w:val="18"/>
                <w:szCs w:val="18"/>
                <w:lang w:bidi="ar"/>
              </w:rPr>
              <w:t>，</w:t>
            </w:r>
            <w:r>
              <w:rPr>
                <w:rFonts w:hint="default" w:ascii="宋体" w:hAnsi="宋体" w:cs="宋体"/>
                <w:sz w:val="18"/>
                <w:szCs w:val="18"/>
                <w:lang w:bidi="ar"/>
              </w:rPr>
              <w:t>15</w:t>
            </w:r>
            <w:r>
              <w:rPr>
                <w:rFonts w:hint="eastAsia" w:ascii="宋体" w:hAnsi="宋体" w:cs="宋体"/>
                <w:sz w:val="18"/>
                <w:szCs w:val="18"/>
                <w:lang w:bidi="ar"/>
              </w:rPr>
              <w:t>]</w:t>
            </w:r>
          </w:p>
        </w:tc>
      </w:tr>
      <w:tr w14:paraId="1DC593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6604" w:type="dxa"/>
            <w:shd w:val="clear" w:color="auto" w:fill="auto"/>
            <w:vAlign w:val="center"/>
          </w:tcPr>
          <w:p w14:paraId="110E8741">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rPr>
            </w:pPr>
            <w:r>
              <w:rPr>
                <w:rFonts w:hint="eastAsia" w:ascii="宋体" w:hAnsi="宋体" w:cs="宋体"/>
                <w:sz w:val="18"/>
                <w:szCs w:val="18"/>
                <w:lang w:bidi="ar"/>
              </w:rPr>
              <w:t>处于行业较好水平，对产业（行业）具有一定技术推动作用</w:t>
            </w:r>
          </w:p>
        </w:tc>
        <w:tc>
          <w:tcPr>
            <w:tcW w:w="2962" w:type="dxa"/>
            <w:shd w:val="clear" w:color="auto" w:fill="auto"/>
            <w:vAlign w:val="center"/>
          </w:tcPr>
          <w:p w14:paraId="75677A23">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lang w:bidi="ar"/>
              </w:rPr>
              <w:t>（</w:t>
            </w:r>
            <w:r>
              <w:rPr>
                <w:rFonts w:hint="default" w:ascii="宋体" w:hAnsi="宋体" w:cs="宋体"/>
                <w:sz w:val="18"/>
                <w:szCs w:val="18"/>
                <w:lang w:bidi="ar"/>
              </w:rPr>
              <w:t>5</w:t>
            </w:r>
            <w:r>
              <w:rPr>
                <w:rFonts w:hint="eastAsia" w:ascii="宋体" w:hAnsi="宋体" w:cs="宋体"/>
                <w:sz w:val="18"/>
                <w:szCs w:val="18"/>
                <w:lang w:bidi="ar"/>
              </w:rPr>
              <w:t>，</w:t>
            </w:r>
            <w:r>
              <w:rPr>
                <w:rFonts w:hint="default" w:ascii="宋体" w:hAnsi="宋体" w:cs="宋体"/>
                <w:sz w:val="18"/>
                <w:szCs w:val="18"/>
                <w:lang w:bidi="ar"/>
              </w:rPr>
              <w:t>10</w:t>
            </w:r>
            <w:r>
              <w:rPr>
                <w:rFonts w:hint="eastAsia" w:ascii="宋体" w:hAnsi="宋体" w:cs="宋体"/>
                <w:sz w:val="18"/>
                <w:szCs w:val="18"/>
                <w:lang w:bidi="ar"/>
              </w:rPr>
              <w:t>]</w:t>
            </w:r>
          </w:p>
        </w:tc>
      </w:tr>
      <w:tr w14:paraId="26C7FE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6604" w:type="dxa"/>
            <w:shd w:val="clear" w:color="auto" w:fill="auto"/>
            <w:vAlign w:val="center"/>
          </w:tcPr>
          <w:p w14:paraId="3FB434C7">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rPr>
            </w:pPr>
            <w:r>
              <w:rPr>
                <w:rFonts w:hint="eastAsia" w:ascii="宋体" w:hAnsi="宋体" w:cs="宋体"/>
                <w:sz w:val="18"/>
                <w:szCs w:val="18"/>
                <w:lang w:bidi="ar"/>
              </w:rPr>
              <w:t>处于行业平均水平</w:t>
            </w:r>
          </w:p>
        </w:tc>
        <w:tc>
          <w:tcPr>
            <w:tcW w:w="2962" w:type="dxa"/>
            <w:shd w:val="clear" w:color="auto" w:fill="auto"/>
            <w:vAlign w:val="center"/>
          </w:tcPr>
          <w:p w14:paraId="7F597AC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lang w:bidi="ar"/>
              </w:rPr>
              <w:t>（0，</w:t>
            </w:r>
            <w:r>
              <w:rPr>
                <w:rFonts w:hint="default" w:ascii="宋体" w:hAnsi="宋体" w:cs="宋体"/>
                <w:sz w:val="18"/>
                <w:szCs w:val="18"/>
                <w:lang w:bidi="ar"/>
              </w:rPr>
              <w:t>5</w:t>
            </w:r>
            <w:r>
              <w:rPr>
                <w:rFonts w:hint="eastAsia" w:ascii="宋体" w:hAnsi="宋体" w:cs="宋体"/>
                <w:sz w:val="18"/>
                <w:szCs w:val="18"/>
                <w:lang w:bidi="ar"/>
              </w:rPr>
              <w:t>]</w:t>
            </w:r>
          </w:p>
        </w:tc>
      </w:tr>
      <w:tr w14:paraId="73E74E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604" w:type="dxa"/>
            <w:shd w:val="clear" w:color="auto" w:fill="auto"/>
            <w:vAlign w:val="center"/>
          </w:tcPr>
          <w:p w14:paraId="6189EECE">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rPr>
            </w:pPr>
            <w:r>
              <w:rPr>
                <w:rFonts w:hint="eastAsia" w:ascii="宋体" w:hAnsi="宋体" w:cs="宋体"/>
                <w:sz w:val="18"/>
                <w:szCs w:val="18"/>
                <w:lang w:bidi="ar"/>
              </w:rPr>
              <w:t>未满足上述任何一项</w:t>
            </w:r>
          </w:p>
        </w:tc>
        <w:tc>
          <w:tcPr>
            <w:tcW w:w="2962" w:type="dxa"/>
            <w:shd w:val="clear" w:color="auto" w:fill="auto"/>
            <w:vAlign w:val="center"/>
          </w:tcPr>
          <w:p w14:paraId="039B325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lang w:bidi="ar"/>
              </w:rPr>
              <w:t>0</w:t>
            </w:r>
          </w:p>
        </w:tc>
      </w:tr>
    </w:tbl>
    <w:p w14:paraId="0BAF305A">
      <w:pPr>
        <w:pStyle w:val="54"/>
        <w:numPr>
          <w:ilvl w:val="3"/>
          <w:numId w:val="2"/>
        </w:numPr>
        <w:spacing w:before="156" w:after="156"/>
        <w:rPr>
          <w:rFonts w:ascii="Times New Roman"/>
        </w:rPr>
      </w:pPr>
      <w:r>
        <w:rPr>
          <w:rFonts w:ascii="Times New Roman"/>
        </w:rPr>
        <w:t>环境效益</w:t>
      </w:r>
    </w:p>
    <w:p w14:paraId="23EA395B">
      <w:pPr>
        <w:autoSpaceDE w:val="0"/>
        <w:autoSpaceDN w:val="0"/>
        <w:ind w:firstLine="420" w:firstLineChars="200"/>
        <w:rPr>
          <w:rFonts w:ascii="宋体" w:hAnsi="宋体" w:cs="宋体"/>
        </w:rPr>
      </w:pPr>
      <w:r>
        <w:rPr>
          <w:rFonts w:hint="eastAsia" w:ascii="宋体" w:hAnsi="宋体" w:cs="宋体"/>
        </w:rPr>
        <w:t>提供绿色金融认证和评级服务时，服务的应用场景和使用带来的节能减排效果，由申请认定评价的企业事业单位定性描述。具体评分规则见表4。</w:t>
      </w:r>
    </w:p>
    <w:p w14:paraId="1FCF928C">
      <w:pPr>
        <w:pStyle w:val="129"/>
        <w:rPr>
          <w:rFonts w:ascii="Times New Roman"/>
        </w:rPr>
      </w:pPr>
      <w:r>
        <w:rPr>
          <w:rFonts w:hint="eastAsia" w:ascii="Times New Roman"/>
        </w:rPr>
        <w:t>环境效益</w:t>
      </w:r>
      <w:r>
        <w:rPr>
          <w:rFonts w:ascii="Times New Roman"/>
        </w:rPr>
        <w:t>评分规则</w:t>
      </w:r>
    </w:p>
    <w:tbl>
      <w:tblPr>
        <w:tblStyle w:val="35"/>
        <w:tblW w:w="9559" w:type="dxa"/>
        <w:jc w:val="center"/>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Layout w:type="fixed"/>
        <w:tblCellMar>
          <w:top w:w="0" w:type="dxa"/>
          <w:left w:w="108" w:type="dxa"/>
          <w:bottom w:w="0" w:type="dxa"/>
          <w:right w:w="108" w:type="dxa"/>
        </w:tblCellMar>
      </w:tblPr>
      <w:tblGrid>
        <w:gridCol w:w="7056"/>
        <w:gridCol w:w="2503"/>
      </w:tblGrid>
      <w:tr w14:paraId="5DC150DF">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387" w:hRule="atLeast"/>
          <w:jc w:val="center"/>
        </w:trPr>
        <w:tc>
          <w:tcPr>
            <w:tcW w:w="7056" w:type="dxa"/>
            <w:tcBorders>
              <w:top w:val="single" w:color="auto" w:sz="12" w:space="0"/>
              <w:bottom w:val="single" w:color="auto" w:sz="12" w:space="0"/>
              <w:right w:val="single" w:color="auto" w:sz="4" w:space="0"/>
            </w:tcBorders>
            <w:vAlign w:val="center"/>
          </w:tcPr>
          <w:p w14:paraId="7935CDFC">
            <w:pPr>
              <w:keepNext w:val="0"/>
              <w:keepLines w:val="0"/>
              <w:suppressLineNumbers w:val="0"/>
              <w:autoSpaceDE w:val="0"/>
              <w:autoSpaceDN w:val="0"/>
              <w:spacing w:before="0" w:beforeAutospacing="0" w:after="0" w:afterAutospacing="0"/>
              <w:ind w:left="0" w:right="0"/>
              <w:jc w:val="center"/>
              <w:rPr>
                <w:rFonts w:hint="default"/>
                <w:b/>
                <w:bCs/>
                <w:sz w:val="18"/>
                <w:szCs w:val="16"/>
              </w:rPr>
            </w:pPr>
            <w:r>
              <w:rPr>
                <w:rFonts w:hint="eastAsia"/>
                <w:b/>
                <w:bCs/>
                <w:sz w:val="18"/>
                <w:szCs w:val="16"/>
              </w:rPr>
              <w:t>环境效益</w:t>
            </w:r>
            <w:r>
              <w:rPr>
                <w:rFonts w:hint="default"/>
                <w:b/>
                <w:bCs/>
                <w:sz w:val="18"/>
                <w:szCs w:val="16"/>
              </w:rPr>
              <w:t>水平</w:t>
            </w:r>
          </w:p>
        </w:tc>
        <w:tc>
          <w:tcPr>
            <w:tcW w:w="2503" w:type="dxa"/>
            <w:tcBorders>
              <w:top w:val="single" w:color="auto" w:sz="12" w:space="0"/>
              <w:left w:val="single" w:color="auto" w:sz="4" w:space="0"/>
              <w:bottom w:val="single" w:color="auto" w:sz="12" w:space="0"/>
            </w:tcBorders>
            <w:vAlign w:val="center"/>
          </w:tcPr>
          <w:p w14:paraId="202C478B">
            <w:pPr>
              <w:keepNext w:val="0"/>
              <w:keepLines w:val="0"/>
              <w:suppressLineNumbers w:val="0"/>
              <w:autoSpaceDE w:val="0"/>
              <w:autoSpaceDN w:val="0"/>
              <w:spacing w:before="0" w:beforeAutospacing="0" w:after="0" w:afterAutospacing="0"/>
              <w:ind w:left="0" w:right="0"/>
              <w:jc w:val="center"/>
              <w:rPr>
                <w:rFonts w:hint="default"/>
                <w:b/>
                <w:bCs/>
                <w:sz w:val="18"/>
                <w:szCs w:val="16"/>
              </w:rPr>
            </w:pPr>
            <w:r>
              <w:rPr>
                <w:rFonts w:hint="eastAsia"/>
                <w:b/>
                <w:bCs/>
                <w:sz w:val="18"/>
                <w:szCs w:val="16"/>
              </w:rPr>
              <w:t>分值（分）</w:t>
            </w:r>
          </w:p>
        </w:tc>
      </w:tr>
      <w:tr w14:paraId="66A89CC9">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461" w:hRule="atLeast"/>
          <w:jc w:val="center"/>
        </w:trPr>
        <w:tc>
          <w:tcPr>
            <w:tcW w:w="7056" w:type="dxa"/>
            <w:tcBorders>
              <w:top w:val="single" w:color="auto" w:sz="12" w:space="0"/>
              <w:bottom w:val="single" w:color="auto" w:sz="4" w:space="0"/>
              <w:right w:val="single" w:color="auto" w:sz="4" w:space="0"/>
            </w:tcBorders>
            <w:vAlign w:val="center"/>
          </w:tcPr>
          <w:p w14:paraId="5C486FC0">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rPr>
            </w:pPr>
            <w:r>
              <w:rPr>
                <w:rFonts w:hint="eastAsia" w:ascii="宋体" w:hAnsi="宋体" w:eastAsia="宋体" w:cs="宋体"/>
                <w:kern w:val="2"/>
                <w:sz w:val="18"/>
                <w:szCs w:val="16"/>
                <w:lang w:val="en-US" w:eastAsia="zh-CN" w:bidi="ar"/>
              </w:rPr>
              <w:t>产生实际环境效益贡献量较高</w:t>
            </w:r>
          </w:p>
        </w:tc>
        <w:tc>
          <w:tcPr>
            <w:tcW w:w="2503" w:type="dxa"/>
            <w:tcBorders>
              <w:top w:val="single" w:color="auto" w:sz="12" w:space="0"/>
              <w:left w:val="single" w:color="auto" w:sz="4" w:space="0"/>
              <w:bottom w:val="single" w:color="auto" w:sz="4" w:space="0"/>
            </w:tcBorders>
            <w:vAlign w:val="center"/>
          </w:tcPr>
          <w:p w14:paraId="61F3F27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rPr>
            </w:pPr>
            <w:r>
              <w:rPr>
                <w:rFonts w:hint="eastAsia" w:ascii="宋体" w:hAnsi="宋体" w:cs="宋体"/>
                <w:sz w:val="18"/>
                <w:szCs w:val="16"/>
              </w:rPr>
              <w:t>（3，5]</w:t>
            </w:r>
          </w:p>
        </w:tc>
      </w:tr>
      <w:tr w14:paraId="78366E62">
        <w:tblPrEx>
          <w:tblBorders>
            <w:top w:val="single" w:color="auto" w:sz="12" w:space="0"/>
            <w:left w:val="single" w:color="auto" w:sz="12" w:space="0"/>
            <w:bottom w:val="single" w:color="auto" w:sz="12" w:space="0"/>
            <w:right w:val="single" w:color="auto" w:sz="12" w:space="0"/>
            <w:insideH w:val="single" w:color="auto" w:sz="4" w:space="0"/>
            <w:insideV w:val="none" w:color="auto" w:sz="0" w:space="0"/>
          </w:tblBorders>
          <w:tblCellMar>
            <w:top w:w="0" w:type="dxa"/>
            <w:left w:w="108" w:type="dxa"/>
            <w:bottom w:w="0" w:type="dxa"/>
            <w:right w:w="108" w:type="dxa"/>
          </w:tblCellMar>
        </w:tblPrEx>
        <w:trPr>
          <w:trHeight w:val="392" w:hRule="atLeast"/>
          <w:jc w:val="center"/>
        </w:trPr>
        <w:tc>
          <w:tcPr>
            <w:tcW w:w="7056" w:type="dxa"/>
            <w:tcBorders>
              <w:top w:val="single" w:color="auto" w:sz="4" w:space="0"/>
              <w:bottom w:val="single" w:color="auto" w:sz="4" w:space="0"/>
              <w:right w:val="single" w:color="auto" w:sz="4" w:space="0"/>
            </w:tcBorders>
            <w:vAlign w:val="center"/>
          </w:tcPr>
          <w:p w14:paraId="6D93ACA6">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rPr>
            </w:pPr>
            <w:r>
              <w:rPr>
                <w:rFonts w:hint="eastAsia" w:ascii="宋体" w:hAnsi="宋体" w:eastAsia="宋体" w:cs="宋体"/>
                <w:kern w:val="2"/>
                <w:sz w:val="18"/>
                <w:szCs w:val="16"/>
                <w:lang w:val="en-US" w:eastAsia="zh-CN" w:bidi="ar"/>
              </w:rPr>
              <w:t>产生实际环境效益贡献量一般</w:t>
            </w:r>
          </w:p>
        </w:tc>
        <w:tc>
          <w:tcPr>
            <w:tcW w:w="2503" w:type="dxa"/>
            <w:tcBorders>
              <w:top w:val="single" w:color="auto" w:sz="4" w:space="0"/>
              <w:left w:val="single" w:color="auto" w:sz="4" w:space="0"/>
              <w:bottom w:val="single" w:color="auto" w:sz="4" w:space="0"/>
            </w:tcBorders>
            <w:vAlign w:val="center"/>
          </w:tcPr>
          <w:p w14:paraId="5553502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rPr>
            </w:pPr>
            <w:r>
              <w:rPr>
                <w:rFonts w:hint="eastAsia" w:ascii="宋体" w:hAnsi="宋体" w:cs="宋体"/>
                <w:sz w:val="18"/>
                <w:szCs w:val="16"/>
              </w:rPr>
              <w:t>（1，3]</w:t>
            </w:r>
          </w:p>
        </w:tc>
      </w:tr>
      <w:tr w14:paraId="48A39CCE">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rPr>
          <w:trHeight w:val="432" w:hRule="atLeast"/>
          <w:jc w:val="center"/>
        </w:trPr>
        <w:tc>
          <w:tcPr>
            <w:tcW w:w="7056" w:type="dxa"/>
            <w:tcBorders>
              <w:top w:val="single" w:color="auto" w:sz="4" w:space="0"/>
              <w:bottom w:val="single" w:color="auto" w:sz="4" w:space="0"/>
            </w:tcBorders>
            <w:vAlign w:val="center"/>
          </w:tcPr>
          <w:p w14:paraId="35B97450">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rPr>
            </w:pPr>
            <w:r>
              <w:rPr>
                <w:rFonts w:hint="eastAsia" w:ascii="宋体" w:hAnsi="宋体" w:eastAsia="宋体" w:cs="宋体"/>
                <w:kern w:val="2"/>
                <w:sz w:val="18"/>
                <w:szCs w:val="16"/>
                <w:lang w:val="en-US" w:eastAsia="zh-CN" w:bidi="ar"/>
              </w:rPr>
              <w:t>产生实际环境效益贡献量较少</w:t>
            </w:r>
          </w:p>
        </w:tc>
        <w:tc>
          <w:tcPr>
            <w:tcW w:w="2503" w:type="dxa"/>
            <w:tcBorders>
              <w:top w:val="single" w:color="auto" w:sz="4" w:space="0"/>
              <w:bottom w:val="single" w:color="auto" w:sz="4" w:space="0"/>
            </w:tcBorders>
            <w:vAlign w:val="center"/>
          </w:tcPr>
          <w:p w14:paraId="26AFFDA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rPr>
            </w:pPr>
            <w:r>
              <w:rPr>
                <w:rFonts w:hint="eastAsia" w:ascii="宋体" w:hAnsi="宋体" w:cs="宋体"/>
                <w:sz w:val="18"/>
                <w:szCs w:val="16"/>
              </w:rPr>
              <w:t>（0，1]</w:t>
            </w:r>
          </w:p>
        </w:tc>
      </w:tr>
      <w:tr w14:paraId="260CA9BB">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rPr>
          <w:trHeight w:val="432" w:hRule="atLeast"/>
          <w:jc w:val="center"/>
        </w:trPr>
        <w:tc>
          <w:tcPr>
            <w:tcW w:w="7056" w:type="dxa"/>
            <w:tcBorders>
              <w:top w:val="single" w:color="auto" w:sz="4" w:space="0"/>
            </w:tcBorders>
            <w:vAlign w:val="center"/>
          </w:tcPr>
          <w:p w14:paraId="70FA6D11">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rPr>
            </w:pPr>
            <w:r>
              <w:rPr>
                <w:rFonts w:hint="eastAsia" w:ascii="宋体" w:hAnsi="宋体" w:cs="宋体"/>
                <w:sz w:val="18"/>
                <w:szCs w:val="16"/>
              </w:rPr>
              <w:t>未产生实际环境效益</w:t>
            </w:r>
          </w:p>
        </w:tc>
        <w:tc>
          <w:tcPr>
            <w:tcW w:w="2503" w:type="dxa"/>
            <w:tcBorders>
              <w:top w:val="single" w:color="auto" w:sz="4" w:space="0"/>
            </w:tcBorders>
            <w:vAlign w:val="center"/>
          </w:tcPr>
          <w:p w14:paraId="5237142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rPr>
            </w:pPr>
            <w:r>
              <w:rPr>
                <w:rFonts w:hint="eastAsia" w:ascii="宋体" w:hAnsi="宋体" w:cs="宋体"/>
                <w:sz w:val="18"/>
                <w:szCs w:val="16"/>
              </w:rPr>
              <w:t>0</w:t>
            </w:r>
          </w:p>
        </w:tc>
      </w:tr>
    </w:tbl>
    <w:p w14:paraId="47C36533">
      <w:pPr>
        <w:pStyle w:val="49"/>
        <w:spacing w:before="156" w:after="156"/>
        <w:rPr>
          <w:rFonts w:ascii="Times New Roman"/>
        </w:rPr>
      </w:pPr>
      <w:r>
        <w:rPr>
          <w:rFonts w:ascii="Times New Roman"/>
        </w:rPr>
        <w:t>业务表现</w:t>
      </w:r>
    </w:p>
    <w:p w14:paraId="2E0E319E">
      <w:pPr>
        <w:pStyle w:val="54"/>
        <w:numPr>
          <w:ilvl w:val="3"/>
          <w:numId w:val="2"/>
        </w:numPr>
        <w:spacing w:before="156" w:after="156"/>
        <w:rPr>
          <w:rFonts w:ascii="Times New Roman"/>
        </w:rPr>
      </w:pPr>
      <w:r>
        <w:rPr>
          <w:rFonts w:ascii="Times New Roman"/>
        </w:rPr>
        <w:t>发展能力</w:t>
      </w:r>
    </w:p>
    <w:p w14:paraId="719236F0">
      <w:pPr>
        <w:pStyle w:val="58"/>
        <w:spacing w:before="156" w:after="156"/>
        <w:rPr>
          <w:rFonts w:ascii="Times New Roman"/>
        </w:rPr>
      </w:pPr>
      <w:r>
        <w:rPr>
          <w:rFonts w:ascii="Times New Roman"/>
        </w:rPr>
        <w:t>团队技术实力</w:t>
      </w:r>
    </w:p>
    <w:p w14:paraId="11528C67">
      <w:pPr>
        <w:pStyle w:val="25"/>
        <w:rPr>
          <w:rFonts w:hAnsi="宋体" w:cs="宋体"/>
        </w:rPr>
      </w:pPr>
      <w:r>
        <w:rPr>
          <w:rFonts w:hint="eastAsia" w:hAnsi="宋体" w:cs="宋体"/>
        </w:rPr>
        <w:t>从团队成员人员、相关工作年限、学历职称等等方面进行综合评价，具体评分规则见表5。</w:t>
      </w:r>
    </w:p>
    <w:p w14:paraId="26E0FE99">
      <w:pPr>
        <w:pStyle w:val="129"/>
        <w:rPr>
          <w:rFonts w:ascii="Times New Roman"/>
        </w:rPr>
      </w:pPr>
      <w:r>
        <w:rPr>
          <w:rFonts w:ascii="Times New Roman"/>
        </w:rPr>
        <w:t>团队技术实力评分规则</w:t>
      </w:r>
    </w:p>
    <w:tbl>
      <w:tblPr>
        <w:tblStyle w:val="35"/>
        <w:tblW w:w="95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954"/>
        <w:gridCol w:w="1579"/>
        <w:gridCol w:w="1540"/>
        <w:gridCol w:w="2486"/>
      </w:tblGrid>
      <w:tr w14:paraId="59E50F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3954" w:type="dxa"/>
            <w:tcBorders>
              <w:top w:val="single" w:color="auto" w:sz="12" w:space="0"/>
              <w:bottom w:val="single" w:color="auto" w:sz="12" w:space="0"/>
            </w:tcBorders>
            <w:vAlign w:val="center"/>
          </w:tcPr>
          <w:p w14:paraId="2093E962">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团队技术实力</w:t>
            </w:r>
          </w:p>
        </w:tc>
        <w:tc>
          <w:tcPr>
            <w:tcW w:w="1579" w:type="dxa"/>
            <w:tcBorders>
              <w:top w:val="single" w:color="auto" w:sz="12" w:space="0"/>
              <w:bottom w:val="single" w:color="auto" w:sz="12" w:space="0"/>
            </w:tcBorders>
            <w:vAlign w:val="center"/>
          </w:tcPr>
          <w:p w14:paraId="656D181C">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基础分值</w:t>
            </w:r>
            <w:r>
              <w:rPr>
                <w:rFonts w:hint="eastAsia" w:ascii="Times New Roman"/>
                <w:b/>
                <w:bCs/>
                <w:sz w:val="18"/>
                <w:szCs w:val="18"/>
              </w:rPr>
              <w:t>（分）</w:t>
            </w:r>
          </w:p>
        </w:tc>
        <w:tc>
          <w:tcPr>
            <w:tcW w:w="1540" w:type="dxa"/>
            <w:tcBorders>
              <w:top w:val="single" w:color="auto" w:sz="12" w:space="0"/>
              <w:bottom w:val="single" w:color="auto" w:sz="12" w:space="0"/>
            </w:tcBorders>
            <w:vAlign w:val="center"/>
          </w:tcPr>
          <w:p w14:paraId="2542DD44">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最高分值</w:t>
            </w:r>
            <w:r>
              <w:rPr>
                <w:rFonts w:hint="eastAsia" w:ascii="Times New Roman"/>
                <w:b/>
                <w:bCs/>
                <w:sz w:val="18"/>
                <w:szCs w:val="18"/>
              </w:rPr>
              <w:t>（分）</w:t>
            </w:r>
          </w:p>
        </w:tc>
        <w:tc>
          <w:tcPr>
            <w:tcW w:w="2486" w:type="dxa"/>
            <w:tcBorders>
              <w:top w:val="single" w:color="auto" w:sz="12" w:space="0"/>
              <w:bottom w:val="single" w:color="auto" w:sz="12" w:space="0"/>
            </w:tcBorders>
            <w:vAlign w:val="center"/>
          </w:tcPr>
          <w:p w14:paraId="112F2D2F">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加分规则</w:t>
            </w:r>
          </w:p>
        </w:tc>
      </w:tr>
      <w:tr w14:paraId="35067E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1" w:hRule="atLeast"/>
          <w:jc w:val="center"/>
        </w:trPr>
        <w:tc>
          <w:tcPr>
            <w:tcW w:w="3954" w:type="dxa"/>
            <w:tcBorders>
              <w:top w:val="single" w:color="auto" w:sz="12" w:space="0"/>
              <w:tl2br w:val="nil"/>
              <w:tr2bl w:val="nil"/>
            </w:tcBorders>
            <w:vAlign w:val="center"/>
          </w:tcPr>
          <w:p w14:paraId="438BFBFE">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ascii="宋体" w:hAnsi="宋体" w:eastAsia="宋体" w:cs="宋体"/>
                <w:kern w:val="0"/>
                <w:sz w:val="18"/>
                <w:szCs w:val="18"/>
                <w:lang w:val="en-US" w:eastAsia="zh-CN" w:bidi="ar"/>
              </w:rPr>
              <w:t>人员配置合理，至少配备 6 名及以上从事绿色金融认证和评级领域工作的人员，且其相关工作经验达 2 年及以上；同时，团队中至少有一名具备高级职称或拥有博士学位的人员</w:t>
            </w:r>
          </w:p>
        </w:tc>
        <w:tc>
          <w:tcPr>
            <w:tcW w:w="1579" w:type="dxa"/>
            <w:tcBorders>
              <w:top w:val="single" w:color="auto" w:sz="12" w:space="0"/>
              <w:tl2br w:val="nil"/>
              <w:tr2bl w:val="nil"/>
            </w:tcBorders>
            <w:vAlign w:val="center"/>
          </w:tcPr>
          <w:p w14:paraId="6C4F0D7F">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10</w:t>
            </w:r>
          </w:p>
        </w:tc>
        <w:tc>
          <w:tcPr>
            <w:tcW w:w="1540" w:type="dxa"/>
            <w:tcBorders>
              <w:top w:val="single" w:color="auto" w:sz="12" w:space="0"/>
              <w:tl2br w:val="nil"/>
              <w:tr2bl w:val="nil"/>
            </w:tcBorders>
            <w:vAlign w:val="center"/>
          </w:tcPr>
          <w:p w14:paraId="2FC5B341">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15</w:t>
            </w:r>
          </w:p>
        </w:tc>
        <w:tc>
          <w:tcPr>
            <w:tcW w:w="2486" w:type="dxa"/>
            <w:vMerge w:val="restart"/>
            <w:tcBorders>
              <w:top w:val="single" w:color="auto" w:sz="12" w:space="0"/>
              <w:tl2br w:val="nil"/>
              <w:tr2bl w:val="nil"/>
            </w:tcBorders>
            <w:vAlign w:val="center"/>
          </w:tcPr>
          <w:p w14:paraId="4E7A90AA">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（1）每增加</w:t>
            </w:r>
            <w:r>
              <w:rPr>
                <w:rFonts w:hint="default" w:hAnsi="宋体" w:cs="宋体"/>
                <w:sz w:val="18"/>
                <w:szCs w:val="18"/>
              </w:rPr>
              <w:t>1</w:t>
            </w:r>
            <w:r>
              <w:rPr>
                <w:rFonts w:hint="eastAsia" w:hAnsi="宋体" w:cs="宋体"/>
                <w:sz w:val="18"/>
                <w:szCs w:val="18"/>
              </w:rPr>
              <w:t>%从事绿色金融认证和评级领域相关工作达</w:t>
            </w:r>
            <w:r>
              <w:rPr>
                <w:rFonts w:hint="default" w:hAnsi="宋体" w:cs="宋体"/>
                <w:sz w:val="18"/>
                <w:szCs w:val="18"/>
              </w:rPr>
              <w:t>2</w:t>
            </w:r>
            <w:r>
              <w:rPr>
                <w:rFonts w:hint="eastAsia" w:hAnsi="宋体" w:cs="宋体"/>
                <w:sz w:val="18"/>
                <w:szCs w:val="18"/>
              </w:rPr>
              <w:t>年或以上年限的团队人员，加1分</w:t>
            </w:r>
          </w:p>
          <w:p w14:paraId="4F0CB19C">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（2）每增加</w:t>
            </w:r>
            <w:r>
              <w:rPr>
                <w:rFonts w:hint="default" w:hAnsi="宋体" w:cs="宋体"/>
                <w:sz w:val="18"/>
                <w:szCs w:val="18"/>
              </w:rPr>
              <w:t>1</w:t>
            </w:r>
            <w:r>
              <w:rPr>
                <w:rFonts w:hint="eastAsia" w:hAnsi="宋体" w:cs="宋体"/>
                <w:sz w:val="18"/>
                <w:szCs w:val="18"/>
              </w:rPr>
              <w:t>%业务人员获得绿色金融认证和评级领域相关从业资质证书，加1分</w:t>
            </w:r>
          </w:p>
        </w:tc>
      </w:tr>
      <w:tr w14:paraId="7BA0AF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46" w:hRule="atLeast"/>
          <w:jc w:val="center"/>
        </w:trPr>
        <w:tc>
          <w:tcPr>
            <w:tcW w:w="3954" w:type="dxa"/>
            <w:tcBorders>
              <w:tl2br w:val="nil"/>
              <w:tr2bl w:val="nil"/>
            </w:tcBorders>
            <w:vAlign w:val="center"/>
          </w:tcPr>
          <w:p w14:paraId="551F4E8E">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ascii="宋体" w:hAnsi="宋体" w:eastAsia="宋体" w:cs="宋体"/>
                <w:kern w:val="0"/>
                <w:sz w:val="18"/>
                <w:szCs w:val="18"/>
                <w:lang w:val="en-US" w:eastAsia="zh-CN" w:bidi="ar"/>
              </w:rPr>
              <w:t>人员配置合理，至少配备3 名及以上从事绿色金融认证和评级领域工作的人员，且其相关工作经验达 2 年及以上；同时，团队中至少有一名具备高级职称或拥有博士学位的人员</w:t>
            </w:r>
          </w:p>
        </w:tc>
        <w:tc>
          <w:tcPr>
            <w:tcW w:w="1579" w:type="dxa"/>
            <w:tcBorders>
              <w:tl2br w:val="nil"/>
              <w:tr2bl w:val="nil"/>
            </w:tcBorders>
            <w:vAlign w:val="center"/>
          </w:tcPr>
          <w:p w14:paraId="2D158B82">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default" w:hAnsi="宋体" w:cs="宋体"/>
                <w:sz w:val="18"/>
                <w:szCs w:val="18"/>
              </w:rPr>
              <w:t>8</w:t>
            </w:r>
          </w:p>
        </w:tc>
        <w:tc>
          <w:tcPr>
            <w:tcW w:w="1540" w:type="dxa"/>
            <w:tcBorders>
              <w:tl2br w:val="nil"/>
              <w:tr2bl w:val="nil"/>
            </w:tcBorders>
            <w:vAlign w:val="center"/>
          </w:tcPr>
          <w:p w14:paraId="2E95BF9D">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default" w:hAnsi="宋体" w:cs="宋体"/>
                <w:sz w:val="18"/>
                <w:szCs w:val="18"/>
              </w:rPr>
              <w:t>13</w:t>
            </w:r>
          </w:p>
        </w:tc>
        <w:tc>
          <w:tcPr>
            <w:tcW w:w="2486" w:type="dxa"/>
            <w:vMerge w:val="continue"/>
            <w:tcBorders>
              <w:tl2br w:val="nil"/>
              <w:tr2bl w:val="nil"/>
            </w:tcBorders>
            <w:vAlign w:val="center"/>
          </w:tcPr>
          <w:p w14:paraId="41E4A527">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p>
        </w:tc>
      </w:tr>
      <w:tr w14:paraId="21C0D1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3954" w:type="dxa"/>
            <w:tcBorders>
              <w:bottom w:val="single" w:color="auto" w:sz="12" w:space="0"/>
              <w:tl2br w:val="nil"/>
              <w:tr2bl w:val="nil"/>
            </w:tcBorders>
            <w:vAlign w:val="center"/>
          </w:tcPr>
          <w:p w14:paraId="5E692093">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团队资质和实力一般</w:t>
            </w:r>
          </w:p>
        </w:tc>
        <w:tc>
          <w:tcPr>
            <w:tcW w:w="1579" w:type="dxa"/>
            <w:tcBorders>
              <w:bottom w:val="single" w:color="auto" w:sz="12" w:space="0"/>
              <w:tl2br w:val="nil"/>
              <w:tr2bl w:val="nil"/>
            </w:tcBorders>
            <w:vAlign w:val="center"/>
          </w:tcPr>
          <w:p w14:paraId="02139BEC">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0</w:t>
            </w:r>
          </w:p>
        </w:tc>
        <w:tc>
          <w:tcPr>
            <w:tcW w:w="1540" w:type="dxa"/>
            <w:tcBorders>
              <w:bottom w:val="single" w:color="auto" w:sz="12" w:space="0"/>
              <w:tl2br w:val="nil"/>
              <w:tr2bl w:val="nil"/>
            </w:tcBorders>
            <w:vAlign w:val="center"/>
          </w:tcPr>
          <w:p w14:paraId="45514B28">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5</w:t>
            </w:r>
          </w:p>
        </w:tc>
        <w:tc>
          <w:tcPr>
            <w:tcW w:w="2486" w:type="dxa"/>
            <w:vMerge w:val="continue"/>
            <w:tcBorders>
              <w:bottom w:val="single" w:color="auto" w:sz="12" w:space="0"/>
              <w:tl2br w:val="nil"/>
              <w:tr2bl w:val="nil"/>
            </w:tcBorders>
            <w:vAlign w:val="center"/>
          </w:tcPr>
          <w:p w14:paraId="5ABD0DA1">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p>
        </w:tc>
      </w:tr>
    </w:tbl>
    <w:p w14:paraId="63526C9C">
      <w:pPr>
        <w:pStyle w:val="58"/>
        <w:spacing w:before="156" w:after="156"/>
        <w:rPr>
          <w:rFonts w:ascii="Times New Roman"/>
        </w:rPr>
      </w:pPr>
      <w:r>
        <w:rPr>
          <w:rFonts w:ascii="Times New Roman"/>
        </w:rPr>
        <w:t>研发投入</w:t>
      </w:r>
    </w:p>
    <w:p w14:paraId="6C1D8844">
      <w:pPr>
        <w:pStyle w:val="25"/>
        <w:rPr>
          <w:rFonts w:hAnsi="宋体" w:cs="宋体"/>
        </w:rPr>
      </w:pPr>
      <w:r>
        <w:rPr>
          <w:rFonts w:hint="eastAsia" w:hAnsi="宋体" w:cs="宋体"/>
        </w:rPr>
        <w:t>从绿色金融认证和评级领域的研发投入占比或研发投入金额等方面进行综合评价，具体评分规则见表6。</w:t>
      </w:r>
    </w:p>
    <w:p w14:paraId="4401929D">
      <w:pPr>
        <w:pStyle w:val="60"/>
        <w:rPr>
          <w:rFonts w:hAnsi="宋体" w:cs="宋体"/>
        </w:rPr>
      </w:pPr>
      <w:r>
        <w:rPr>
          <w:rFonts w:hint="eastAsia"/>
        </w:rPr>
        <w:t>绿色金融认证和评级领域的研发投入占比是上一个会计年度（实际经营期不满一年的，按实际经营时间计算）的绿色金融认证和评级领域相关绿色业务研究开发费用总额与同期绿色业务营业收入总额的比值。其中，研究开发费用包含研发人员人工费用、直接投入费用、折旧费用与长期待摊费用、无形资产摊销费用、设计费用、装备调试费用与试验费用、委托外部研究开发费用等。</w:t>
      </w:r>
    </w:p>
    <w:p w14:paraId="0B6258E5">
      <w:pPr>
        <w:pStyle w:val="129"/>
        <w:rPr>
          <w:rFonts w:ascii="Times New Roman"/>
        </w:rPr>
      </w:pPr>
      <w:r>
        <w:rPr>
          <w:rFonts w:ascii="Times New Roman"/>
        </w:rPr>
        <w:t>研发投入评分规则</w:t>
      </w:r>
    </w:p>
    <w:tbl>
      <w:tblPr>
        <w:tblStyle w:val="35"/>
        <w:tblW w:w="956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866"/>
        <w:gridCol w:w="2694"/>
      </w:tblGrid>
      <w:tr w14:paraId="71AD21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6866" w:type="dxa"/>
            <w:tcBorders>
              <w:bottom w:val="single" w:color="auto" w:sz="12" w:space="0"/>
            </w:tcBorders>
            <w:vAlign w:val="center"/>
          </w:tcPr>
          <w:p w14:paraId="56F90415">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研发投入占比</w:t>
            </w:r>
            <w:r>
              <w:rPr>
                <w:rFonts w:hint="eastAsia" w:ascii="Times New Roman"/>
                <w:b/>
                <w:bCs/>
                <w:sz w:val="18"/>
                <w:szCs w:val="18"/>
              </w:rPr>
              <w:t>/金额</w:t>
            </w:r>
          </w:p>
        </w:tc>
        <w:tc>
          <w:tcPr>
            <w:tcW w:w="2694" w:type="dxa"/>
            <w:tcBorders>
              <w:bottom w:val="single" w:color="auto" w:sz="12" w:space="0"/>
            </w:tcBorders>
            <w:vAlign w:val="center"/>
          </w:tcPr>
          <w:p w14:paraId="2A1E90FE">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分值</w:t>
            </w:r>
            <w:r>
              <w:rPr>
                <w:rFonts w:hint="eastAsia" w:ascii="Times New Roman"/>
                <w:b/>
                <w:bCs/>
                <w:sz w:val="18"/>
                <w:szCs w:val="18"/>
              </w:rPr>
              <w:t>（分）</w:t>
            </w:r>
          </w:p>
        </w:tc>
      </w:tr>
      <w:tr w14:paraId="623432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6866" w:type="dxa"/>
            <w:tcBorders>
              <w:top w:val="single" w:color="auto" w:sz="12" w:space="0"/>
              <w:tl2br w:val="nil"/>
              <w:tr2bl w:val="nil"/>
            </w:tcBorders>
            <w:vAlign w:val="center"/>
          </w:tcPr>
          <w:p w14:paraId="19E3C704">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最近一年营业收入在</w:t>
            </w:r>
            <w:r>
              <w:rPr>
                <w:rFonts w:hint="default" w:hAnsi="宋体" w:cs="宋体"/>
                <w:sz w:val="18"/>
                <w:szCs w:val="18"/>
              </w:rPr>
              <w:t>5000</w:t>
            </w:r>
            <w:r>
              <w:rPr>
                <w:rFonts w:hint="eastAsia" w:hAnsi="宋体" w:cs="宋体"/>
                <w:sz w:val="18"/>
                <w:szCs w:val="18"/>
              </w:rPr>
              <w:t>万元以上的企事业单位，比例不低于</w:t>
            </w:r>
            <w:r>
              <w:rPr>
                <w:rFonts w:hint="eastAsia" w:hAnsi="宋体" w:cs="宋体"/>
                <w:sz w:val="18"/>
                <w:szCs w:val="18"/>
                <w:lang w:val="en-US" w:eastAsia="zh-CN"/>
              </w:rPr>
              <w:t>2</w:t>
            </w:r>
            <w:r>
              <w:rPr>
                <w:rFonts w:hint="eastAsia" w:hAnsi="宋体" w:cs="宋体"/>
                <w:sz w:val="18"/>
                <w:szCs w:val="18"/>
              </w:rPr>
              <w:t>%，或不低于</w:t>
            </w:r>
            <w:r>
              <w:rPr>
                <w:rFonts w:hint="eastAsia" w:hAnsi="宋体" w:cs="宋体"/>
                <w:sz w:val="18"/>
                <w:szCs w:val="18"/>
                <w:lang w:val="en-US" w:eastAsia="zh-CN"/>
              </w:rPr>
              <w:t>100</w:t>
            </w:r>
            <w:r>
              <w:rPr>
                <w:rFonts w:hint="eastAsia" w:hAnsi="宋体" w:cs="宋体"/>
                <w:sz w:val="18"/>
                <w:szCs w:val="18"/>
              </w:rPr>
              <w:t>万元</w:t>
            </w:r>
          </w:p>
        </w:tc>
        <w:tc>
          <w:tcPr>
            <w:tcW w:w="2694" w:type="dxa"/>
            <w:vMerge w:val="restart"/>
            <w:tcBorders>
              <w:top w:val="single" w:color="auto" w:sz="12" w:space="0"/>
              <w:tl2br w:val="nil"/>
              <w:tr2bl w:val="nil"/>
            </w:tcBorders>
            <w:vAlign w:val="center"/>
          </w:tcPr>
          <w:p w14:paraId="5256ACE8">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3</w:t>
            </w:r>
          </w:p>
        </w:tc>
      </w:tr>
      <w:tr w14:paraId="10B692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866" w:type="dxa"/>
            <w:tcBorders>
              <w:tl2br w:val="nil"/>
              <w:tr2bl w:val="nil"/>
            </w:tcBorders>
            <w:vAlign w:val="center"/>
          </w:tcPr>
          <w:p w14:paraId="1531DC07">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最近一年营业收入在</w:t>
            </w:r>
            <w:r>
              <w:rPr>
                <w:rFonts w:hint="default" w:hAnsi="宋体" w:cs="宋体"/>
                <w:sz w:val="18"/>
                <w:szCs w:val="18"/>
              </w:rPr>
              <w:t>1000</w:t>
            </w:r>
            <w:r>
              <w:rPr>
                <w:rFonts w:hint="eastAsia" w:hAnsi="宋体" w:cs="宋体"/>
                <w:sz w:val="18"/>
                <w:szCs w:val="18"/>
              </w:rPr>
              <w:t>万元至</w:t>
            </w:r>
            <w:r>
              <w:rPr>
                <w:rFonts w:hint="default" w:hAnsi="宋体" w:cs="宋体"/>
                <w:sz w:val="18"/>
                <w:szCs w:val="18"/>
              </w:rPr>
              <w:t>5000</w:t>
            </w:r>
            <w:r>
              <w:rPr>
                <w:rFonts w:hint="eastAsia" w:hAnsi="宋体" w:cs="宋体"/>
                <w:sz w:val="18"/>
                <w:szCs w:val="18"/>
              </w:rPr>
              <w:t>万元（含）的企事业单位，比例不低于</w:t>
            </w:r>
            <w:r>
              <w:rPr>
                <w:rFonts w:hint="eastAsia" w:hAnsi="宋体" w:cs="宋体"/>
                <w:sz w:val="18"/>
                <w:szCs w:val="18"/>
                <w:lang w:val="en-US" w:eastAsia="zh-CN"/>
              </w:rPr>
              <w:t>3</w:t>
            </w:r>
            <w:r>
              <w:rPr>
                <w:rFonts w:hint="eastAsia" w:hAnsi="宋体" w:cs="宋体"/>
                <w:sz w:val="18"/>
                <w:szCs w:val="18"/>
              </w:rPr>
              <w:t>%，或不低于</w:t>
            </w:r>
            <w:r>
              <w:rPr>
                <w:rFonts w:hint="eastAsia" w:hAnsi="宋体" w:cs="宋体"/>
                <w:sz w:val="18"/>
                <w:szCs w:val="18"/>
                <w:lang w:val="en-US" w:eastAsia="zh-CN"/>
              </w:rPr>
              <w:t>60</w:t>
            </w:r>
            <w:r>
              <w:rPr>
                <w:rFonts w:hint="eastAsia" w:hAnsi="宋体" w:cs="宋体"/>
                <w:sz w:val="18"/>
                <w:szCs w:val="18"/>
              </w:rPr>
              <w:t>万元</w:t>
            </w:r>
          </w:p>
        </w:tc>
        <w:tc>
          <w:tcPr>
            <w:tcW w:w="2694" w:type="dxa"/>
            <w:vMerge w:val="continue"/>
            <w:tcBorders>
              <w:tl2br w:val="nil"/>
              <w:tr2bl w:val="nil"/>
            </w:tcBorders>
            <w:vAlign w:val="center"/>
          </w:tcPr>
          <w:p w14:paraId="34D2A953">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p>
        </w:tc>
      </w:tr>
      <w:tr w14:paraId="100A78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6866" w:type="dxa"/>
            <w:tcBorders>
              <w:tl2br w:val="nil"/>
              <w:tr2bl w:val="nil"/>
            </w:tcBorders>
            <w:vAlign w:val="center"/>
          </w:tcPr>
          <w:p w14:paraId="471169BC">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最近一年营业收入小于</w:t>
            </w:r>
            <w:r>
              <w:rPr>
                <w:rFonts w:hint="default" w:hAnsi="宋体" w:cs="宋体"/>
                <w:sz w:val="18"/>
                <w:szCs w:val="18"/>
              </w:rPr>
              <w:t>1000</w:t>
            </w:r>
            <w:r>
              <w:rPr>
                <w:rFonts w:hint="eastAsia" w:hAnsi="宋体" w:cs="宋体"/>
                <w:sz w:val="18"/>
                <w:szCs w:val="18"/>
              </w:rPr>
              <w:t>万元（含）的企事业单位，比例不低于</w:t>
            </w:r>
            <w:r>
              <w:rPr>
                <w:rFonts w:hint="eastAsia" w:hAnsi="宋体" w:cs="宋体"/>
                <w:sz w:val="18"/>
                <w:szCs w:val="18"/>
                <w:lang w:val="en-US" w:eastAsia="zh-CN"/>
              </w:rPr>
              <w:t>4</w:t>
            </w:r>
            <w:r>
              <w:rPr>
                <w:rFonts w:hint="eastAsia" w:hAnsi="宋体" w:cs="宋体"/>
                <w:sz w:val="18"/>
                <w:szCs w:val="18"/>
              </w:rPr>
              <w:t>%，或不低于</w:t>
            </w:r>
            <w:r>
              <w:rPr>
                <w:rFonts w:hint="eastAsia" w:hAnsi="宋体" w:cs="宋体"/>
                <w:sz w:val="18"/>
                <w:szCs w:val="18"/>
                <w:lang w:val="en-US" w:eastAsia="zh-CN"/>
              </w:rPr>
              <w:t>40</w:t>
            </w:r>
            <w:r>
              <w:rPr>
                <w:rFonts w:hint="eastAsia" w:hAnsi="宋体" w:cs="宋体"/>
                <w:sz w:val="18"/>
                <w:szCs w:val="18"/>
              </w:rPr>
              <w:t>万元</w:t>
            </w:r>
          </w:p>
        </w:tc>
        <w:tc>
          <w:tcPr>
            <w:tcW w:w="2694" w:type="dxa"/>
            <w:vMerge w:val="continue"/>
            <w:tcBorders>
              <w:tl2br w:val="nil"/>
              <w:tr2bl w:val="nil"/>
            </w:tcBorders>
            <w:vAlign w:val="center"/>
          </w:tcPr>
          <w:p w14:paraId="02123867">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p>
        </w:tc>
      </w:tr>
      <w:tr w14:paraId="770BFB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6866" w:type="dxa"/>
            <w:tcBorders>
              <w:tl2br w:val="nil"/>
              <w:tr2bl w:val="nil"/>
            </w:tcBorders>
            <w:vAlign w:val="center"/>
          </w:tcPr>
          <w:p w14:paraId="7CBD7900">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未满足上述任何一项</w:t>
            </w:r>
          </w:p>
        </w:tc>
        <w:tc>
          <w:tcPr>
            <w:tcW w:w="2694" w:type="dxa"/>
            <w:tcBorders>
              <w:tl2br w:val="nil"/>
              <w:tr2bl w:val="nil"/>
            </w:tcBorders>
            <w:vAlign w:val="center"/>
          </w:tcPr>
          <w:p w14:paraId="0BD7F62E">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0</w:t>
            </w:r>
          </w:p>
        </w:tc>
      </w:tr>
    </w:tbl>
    <w:p w14:paraId="21CAD748">
      <w:pPr>
        <w:numPr>
          <w:ilvl w:val="4"/>
          <w:numId w:val="2"/>
        </w:numPr>
        <w:spacing w:before="156" w:beforeLines="50" w:after="156" w:afterLines="50"/>
        <w:outlineLvl w:val="5"/>
        <w:rPr>
          <w:rFonts w:eastAsia="黑体"/>
          <w:szCs w:val="21"/>
        </w:rPr>
      </w:pPr>
      <w:r>
        <w:rPr>
          <w:rFonts w:hint="eastAsia" w:eastAsia="黑体"/>
          <w:szCs w:val="21"/>
        </w:rPr>
        <w:t>运营效益水平</w:t>
      </w:r>
    </w:p>
    <w:p w14:paraId="7DB1B866">
      <w:pPr>
        <w:autoSpaceDE w:val="0"/>
        <w:autoSpaceDN w:val="0"/>
        <w:ind w:firstLine="420" w:firstLineChars="200"/>
        <w:rPr>
          <w:rFonts w:ascii="宋体" w:hAnsi="宋体" w:cs="宋体"/>
        </w:rPr>
      </w:pPr>
      <w:r>
        <w:rPr>
          <w:rFonts w:hint="eastAsia" w:ascii="宋体" w:hAnsi="宋体" w:cs="宋体"/>
        </w:rPr>
        <w:t>从业务增长率进行评价，采用近三年平均值进行评估（实际经营期不满三年的，按实际经营时间计算），具体评分规则见表7。</w:t>
      </w:r>
    </w:p>
    <w:p w14:paraId="25FC19B1">
      <w:pPr>
        <w:numPr>
          <w:ilvl w:val="0"/>
          <w:numId w:val="20"/>
        </w:numPr>
        <w:autoSpaceDE w:val="0"/>
        <w:autoSpaceDN w:val="0"/>
        <w:ind w:left="780" w:leftChars="200" w:hanging="360" w:hangingChars="200"/>
        <w:rPr>
          <w:rFonts w:ascii="宋体" w:hAnsi="宋体" w:cs="宋体"/>
        </w:rPr>
      </w:pPr>
      <w:r>
        <w:rPr>
          <w:rFonts w:hint="eastAsia" w:ascii="宋体"/>
          <w:sz w:val="18"/>
          <w:szCs w:val="18"/>
        </w:rPr>
        <w:t>业务增长率是当年主营业务收入增长额与上年主营业务收入总额的比值。</w:t>
      </w:r>
    </w:p>
    <w:p w14:paraId="65D45C7A">
      <w:pPr>
        <w:numPr>
          <w:ilvl w:val="0"/>
          <w:numId w:val="17"/>
        </w:numPr>
        <w:spacing w:before="156" w:beforeLines="50" w:after="156" w:afterLines="50"/>
        <w:jc w:val="center"/>
        <w:rPr>
          <w:rFonts w:eastAsia="黑体"/>
        </w:rPr>
      </w:pPr>
      <w:r>
        <w:rPr>
          <w:rFonts w:hint="eastAsia" w:eastAsia="黑体"/>
        </w:rPr>
        <w:t>业务增长率</w:t>
      </w:r>
      <w:r>
        <w:rPr>
          <w:rFonts w:eastAsia="黑体"/>
        </w:rPr>
        <w:t>评分规则</w:t>
      </w:r>
    </w:p>
    <w:tbl>
      <w:tblPr>
        <w:tblStyle w:val="3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114"/>
        <w:gridCol w:w="2456"/>
      </w:tblGrid>
      <w:tr w14:paraId="035C79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3717" w:type="pct"/>
            <w:tcBorders>
              <w:bottom w:val="single" w:color="auto" w:sz="12" w:space="0"/>
            </w:tcBorders>
            <w:vAlign w:val="center"/>
          </w:tcPr>
          <w:p w14:paraId="1EECA132">
            <w:pPr>
              <w:keepNext w:val="0"/>
              <w:keepLines w:val="0"/>
              <w:suppressLineNumbers w:val="0"/>
              <w:autoSpaceDE w:val="0"/>
              <w:autoSpaceDN w:val="0"/>
              <w:spacing w:before="0" w:beforeAutospacing="0" w:after="0" w:afterAutospacing="0"/>
              <w:ind w:left="0" w:right="0"/>
              <w:jc w:val="center"/>
              <w:rPr>
                <w:rFonts w:hint="default" w:ascii="宋体" w:hAnsi="宋体" w:cs="宋体"/>
                <w:b/>
                <w:bCs/>
                <w:sz w:val="18"/>
                <w:szCs w:val="18"/>
              </w:rPr>
            </w:pPr>
            <w:r>
              <w:rPr>
                <w:rFonts w:hint="eastAsia" w:ascii="宋体" w:hAnsi="宋体" w:cs="宋体"/>
                <w:b/>
                <w:bCs/>
                <w:sz w:val="18"/>
                <w:szCs w:val="18"/>
              </w:rPr>
              <w:t>业务增长率（%）</w:t>
            </w:r>
          </w:p>
        </w:tc>
        <w:tc>
          <w:tcPr>
            <w:tcW w:w="1283" w:type="pct"/>
            <w:tcBorders>
              <w:bottom w:val="single" w:color="auto" w:sz="12" w:space="0"/>
            </w:tcBorders>
            <w:vAlign w:val="center"/>
          </w:tcPr>
          <w:p w14:paraId="76F0ABB7">
            <w:pPr>
              <w:keepNext w:val="0"/>
              <w:keepLines w:val="0"/>
              <w:suppressLineNumbers w:val="0"/>
              <w:autoSpaceDE w:val="0"/>
              <w:autoSpaceDN w:val="0"/>
              <w:spacing w:before="0" w:beforeAutospacing="0" w:after="0" w:afterAutospacing="0"/>
              <w:ind w:left="0" w:right="0"/>
              <w:jc w:val="center"/>
              <w:rPr>
                <w:rFonts w:hint="default" w:ascii="宋体" w:hAnsi="宋体" w:cs="宋体"/>
                <w:b/>
                <w:bCs/>
                <w:sz w:val="18"/>
                <w:szCs w:val="18"/>
              </w:rPr>
            </w:pPr>
            <w:r>
              <w:rPr>
                <w:rFonts w:hint="eastAsia" w:ascii="宋体" w:hAnsi="宋体" w:cs="宋体"/>
                <w:b/>
                <w:bCs/>
                <w:sz w:val="18"/>
                <w:szCs w:val="18"/>
              </w:rPr>
              <w:t>单项分值（分）</w:t>
            </w:r>
          </w:p>
        </w:tc>
      </w:tr>
      <w:tr w14:paraId="280AEE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3717" w:type="pct"/>
            <w:tcBorders>
              <w:top w:val="single" w:color="auto" w:sz="12" w:space="0"/>
              <w:tl2br w:val="nil"/>
              <w:tr2bl w:val="nil"/>
            </w:tcBorders>
            <w:vAlign w:val="center"/>
          </w:tcPr>
          <w:p w14:paraId="0D9E31B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w:t>
            </w:r>
            <w:r>
              <w:rPr>
                <w:rFonts w:hint="default" w:ascii="宋体" w:hAnsi="宋体" w:cs="宋体"/>
                <w:sz w:val="18"/>
                <w:szCs w:val="18"/>
              </w:rPr>
              <w:t>3</w:t>
            </w:r>
          </w:p>
        </w:tc>
        <w:tc>
          <w:tcPr>
            <w:tcW w:w="1283" w:type="pct"/>
            <w:tcBorders>
              <w:top w:val="single" w:color="auto" w:sz="12" w:space="0"/>
              <w:tl2br w:val="nil"/>
              <w:tr2bl w:val="nil"/>
            </w:tcBorders>
            <w:vAlign w:val="center"/>
          </w:tcPr>
          <w:p w14:paraId="08E4E79C">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default" w:ascii="宋体" w:hAnsi="宋体" w:cs="宋体"/>
                <w:sz w:val="18"/>
                <w:szCs w:val="18"/>
              </w:rPr>
              <w:t>4</w:t>
            </w:r>
          </w:p>
        </w:tc>
      </w:tr>
      <w:tr w14:paraId="441F97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3717" w:type="pct"/>
            <w:tcBorders>
              <w:tl2br w:val="nil"/>
              <w:tr2bl w:val="nil"/>
            </w:tcBorders>
            <w:vAlign w:val="center"/>
          </w:tcPr>
          <w:p w14:paraId="4672A63B">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w:t>
            </w:r>
            <w:r>
              <w:rPr>
                <w:rFonts w:hint="default" w:ascii="宋体" w:hAnsi="宋体" w:cs="宋体"/>
                <w:sz w:val="18"/>
                <w:szCs w:val="18"/>
              </w:rPr>
              <w:t>1</w:t>
            </w:r>
            <w:r>
              <w:rPr>
                <w:rFonts w:hint="eastAsia" w:ascii="宋体" w:hAnsi="宋体" w:cs="宋体"/>
                <w:sz w:val="18"/>
                <w:szCs w:val="18"/>
              </w:rPr>
              <w:t>，</w:t>
            </w:r>
            <w:r>
              <w:rPr>
                <w:rFonts w:hint="default" w:ascii="宋体" w:hAnsi="宋体" w:cs="宋体"/>
                <w:sz w:val="18"/>
                <w:szCs w:val="18"/>
              </w:rPr>
              <w:t>3</w:t>
            </w:r>
            <w:r>
              <w:rPr>
                <w:rFonts w:hint="eastAsia" w:ascii="宋体" w:hAnsi="宋体" w:cs="宋体"/>
                <w:sz w:val="18"/>
                <w:szCs w:val="18"/>
              </w:rPr>
              <w:t>）</w:t>
            </w:r>
          </w:p>
        </w:tc>
        <w:tc>
          <w:tcPr>
            <w:tcW w:w="1283" w:type="pct"/>
            <w:tcBorders>
              <w:tl2br w:val="nil"/>
              <w:tr2bl w:val="nil"/>
            </w:tcBorders>
            <w:vAlign w:val="center"/>
          </w:tcPr>
          <w:p w14:paraId="3760014C">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default" w:ascii="宋体" w:hAnsi="宋体" w:cs="宋体"/>
                <w:sz w:val="18"/>
                <w:szCs w:val="18"/>
              </w:rPr>
              <w:t>2</w:t>
            </w:r>
          </w:p>
        </w:tc>
      </w:tr>
      <w:tr w14:paraId="6F5FC3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3717" w:type="pct"/>
            <w:tcBorders>
              <w:tl2br w:val="nil"/>
              <w:tr2bl w:val="nil"/>
            </w:tcBorders>
            <w:vAlign w:val="center"/>
          </w:tcPr>
          <w:p w14:paraId="0B0FBF7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[0，</w:t>
            </w:r>
            <w:r>
              <w:rPr>
                <w:rFonts w:hint="default" w:ascii="宋体" w:hAnsi="宋体" w:cs="宋体"/>
                <w:sz w:val="18"/>
                <w:szCs w:val="18"/>
              </w:rPr>
              <w:t>1</w:t>
            </w:r>
            <w:r>
              <w:rPr>
                <w:rFonts w:hint="eastAsia" w:ascii="宋体" w:hAnsi="宋体" w:cs="宋体"/>
                <w:sz w:val="18"/>
                <w:szCs w:val="18"/>
              </w:rPr>
              <w:t>）</w:t>
            </w:r>
          </w:p>
        </w:tc>
        <w:tc>
          <w:tcPr>
            <w:tcW w:w="1283" w:type="pct"/>
            <w:tcBorders>
              <w:tl2br w:val="nil"/>
              <w:tr2bl w:val="nil"/>
            </w:tcBorders>
            <w:vAlign w:val="center"/>
          </w:tcPr>
          <w:p w14:paraId="762FD9F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default" w:ascii="宋体" w:hAnsi="宋体" w:cs="宋体"/>
                <w:sz w:val="18"/>
                <w:szCs w:val="18"/>
              </w:rPr>
              <w:t>1</w:t>
            </w:r>
          </w:p>
        </w:tc>
      </w:tr>
      <w:tr w14:paraId="62D248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3717" w:type="pct"/>
            <w:tcBorders>
              <w:tl2br w:val="nil"/>
              <w:tr2bl w:val="nil"/>
            </w:tcBorders>
            <w:vAlign w:val="center"/>
          </w:tcPr>
          <w:p w14:paraId="47D8AE8C">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＜0</w:t>
            </w:r>
          </w:p>
        </w:tc>
        <w:tc>
          <w:tcPr>
            <w:tcW w:w="1283" w:type="pct"/>
            <w:tcBorders>
              <w:tl2br w:val="nil"/>
              <w:tr2bl w:val="nil"/>
            </w:tcBorders>
            <w:vAlign w:val="center"/>
          </w:tcPr>
          <w:p w14:paraId="5EAD003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0</w:t>
            </w:r>
          </w:p>
        </w:tc>
      </w:tr>
    </w:tbl>
    <w:p w14:paraId="3827B9D2">
      <w:pPr>
        <w:pStyle w:val="54"/>
        <w:numPr>
          <w:ilvl w:val="3"/>
          <w:numId w:val="2"/>
        </w:numPr>
        <w:spacing w:before="156" w:after="156"/>
        <w:rPr>
          <w:rFonts w:ascii="Times New Roman"/>
        </w:rPr>
      </w:pPr>
      <w:r>
        <w:rPr>
          <w:rFonts w:ascii="Times New Roman"/>
        </w:rPr>
        <w:t>市场影响</w:t>
      </w:r>
    </w:p>
    <w:p w14:paraId="67106E1A">
      <w:pPr>
        <w:pStyle w:val="58"/>
        <w:spacing w:before="156" w:after="156"/>
        <w:rPr>
          <w:rFonts w:ascii="Times New Roman"/>
        </w:rPr>
      </w:pPr>
      <w:r>
        <w:rPr>
          <w:rFonts w:ascii="Times New Roman"/>
        </w:rPr>
        <w:t>市场竞争力</w:t>
      </w:r>
    </w:p>
    <w:p w14:paraId="7C5CB9DA">
      <w:pPr>
        <w:pStyle w:val="25"/>
        <w:rPr>
          <w:rFonts w:ascii="Times New Roman"/>
        </w:rPr>
      </w:pPr>
      <w:r>
        <w:rPr>
          <w:rFonts w:hint="eastAsia" w:hAnsi="宋体" w:cs="宋体"/>
        </w:rPr>
        <w:t>市场竞争力从取得从事相关业务经营的能力资质情况，以及稳定提供相关产品或服务的的年限进行综合评价，具体评分规则见表8。</w:t>
      </w:r>
    </w:p>
    <w:p w14:paraId="0C52DB4E">
      <w:pPr>
        <w:pStyle w:val="129"/>
        <w:rPr>
          <w:rFonts w:ascii="Times New Roman"/>
        </w:rPr>
      </w:pPr>
      <w:r>
        <w:rPr>
          <w:rFonts w:ascii="Times New Roman"/>
        </w:rPr>
        <w:t>市场竞争力评分规则</w:t>
      </w:r>
    </w:p>
    <w:tbl>
      <w:tblPr>
        <w:tblStyle w:val="35"/>
        <w:tblW w:w="95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194"/>
        <w:gridCol w:w="1312"/>
        <w:gridCol w:w="1499"/>
        <w:gridCol w:w="1348"/>
        <w:gridCol w:w="1206"/>
      </w:tblGrid>
      <w:tr w14:paraId="20AF0B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9" w:hRule="atLeast"/>
          <w:jc w:val="center"/>
        </w:trPr>
        <w:tc>
          <w:tcPr>
            <w:tcW w:w="4194" w:type="dxa"/>
            <w:tcBorders>
              <w:bottom w:val="single" w:color="auto" w:sz="12" w:space="0"/>
            </w:tcBorders>
            <w:vAlign w:val="center"/>
          </w:tcPr>
          <w:p w14:paraId="61B40398">
            <w:pPr>
              <w:pStyle w:val="25"/>
              <w:keepNext w:val="0"/>
              <w:keepLines w:val="0"/>
              <w:widowControl/>
              <w:suppressLineNumbers w:val="0"/>
              <w:adjustRightInd w:val="0"/>
              <w:spacing w:before="0" w:beforeAutospacing="0" w:after="0" w:afterAutospacing="0"/>
              <w:ind w:left="0" w:right="0" w:firstLine="0" w:firstLineChars="0"/>
              <w:jc w:val="center"/>
              <w:rPr>
                <w:rFonts w:hint="eastAsia" w:ascii="Times New Roman" w:eastAsia="宋体"/>
                <w:b/>
                <w:bCs/>
                <w:sz w:val="18"/>
                <w:szCs w:val="18"/>
                <w:lang w:eastAsia="zh-CN"/>
              </w:rPr>
            </w:pPr>
            <w:r>
              <w:rPr>
                <w:rFonts w:hint="eastAsia" w:ascii="Times New Roman"/>
                <w:b/>
                <w:bCs/>
                <w:sz w:val="18"/>
                <w:szCs w:val="18"/>
                <w:lang w:val="en-US" w:eastAsia="zh-CN"/>
              </w:rPr>
              <w:t>能力资质</w:t>
            </w:r>
          </w:p>
        </w:tc>
        <w:tc>
          <w:tcPr>
            <w:tcW w:w="1312" w:type="dxa"/>
            <w:tcBorders>
              <w:bottom w:val="single" w:color="auto" w:sz="12" w:space="0"/>
            </w:tcBorders>
            <w:vAlign w:val="center"/>
          </w:tcPr>
          <w:p w14:paraId="51FACA44">
            <w:pPr>
              <w:pStyle w:val="25"/>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单项分值</w:t>
            </w:r>
          </w:p>
          <w:p w14:paraId="1D2E69B3">
            <w:pPr>
              <w:pStyle w:val="25"/>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rPr>
            </w:pPr>
            <w:r>
              <w:rPr>
                <w:rFonts w:hint="eastAsia" w:ascii="Times New Roman"/>
                <w:b/>
                <w:bCs/>
                <w:sz w:val="18"/>
                <w:szCs w:val="18"/>
              </w:rPr>
              <w:t>（分）</w:t>
            </w:r>
          </w:p>
        </w:tc>
        <w:tc>
          <w:tcPr>
            <w:tcW w:w="1499" w:type="dxa"/>
            <w:tcBorders>
              <w:bottom w:val="single" w:color="auto" w:sz="12" w:space="0"/>
            </w:tcBorders>
            <w:vAlign w:val="center"/>
          </w:tcPr>
          <w:p w14:paraId="1899A716">
            <w:pPr>
              <w:pStyle w:val="25"/>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稳定提供</w:t>
            </w:r>
            <w:r>
              <w:rPr>
                <w:rFonts w:hint="eastAsia" w:ascii="Times New Roman"/>
                <w:b/>
                <w:bCs/>
                <w:sz w:val="18"/>
                <w:szCs w:val="18"/>
                <w:lang w:val="en-US" w:eastAsia="zh-CN"/>
              </w:rPr>
              <w:t>产品或</w:t>
            </w:r>
            <w:r>
              <w:rPr>
                <w:rFonts w:hint="default" w:ascii="Times New Roman"/>
                <w:b/>
                <w:bCs/>
                <w:sz w:val="18"/>
                <w:szCs w:val="18"/>
              </w:rPr>
              <w:t>服务年限</w:t>
            </w:r>
          </w:p>
        </w:tc>
        <w:tc>
          <w:tcPr>
            <w:tcW w:w="1348" w:type="dxa"/>
            <w:tcBorders>
              <w:bottom w:val="single" w:color="auto" w:sz="12" w:space="0"/>
            </w:tcBorders>
            <w:vAlign w:val="center"/>
          </w:tcPr>
          <w:p w14:paraId="59ABAD2A">
            <w:pPr>
              <w:pStyle w:val="25"/>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单项分值</w:t>
            </w:r>
          </w:p>
          <w:p w14:paraId="2A1F0A9D">
            <w:pPr>
              <w:pStyle w:val="25"/>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rPr>
            </w:pPr>
            <w:r>
              <w:rPr>
                <w:rFonts w:hint="eastAsia" w:ascii="Times New Roman"/>
                <w:b/>
                <w:bCs/>
                <w:sz w:val="18"/>
                <w:szCs w:val="18"/>
              </w:rPr>
              <w:t>（分）</w:t>
            </w:r>
          </w:p>
        </w:tc>
        <w:tc>
          <w:tcPr>
            <w:tcW w:w="1206" w:type="dxa"/>
            <w:tcBorders>
              <w:bottom w:val="single" w:color="auto" w:sz="12" w:space="0"/>
            </w:tcBorders>
            <w:vAlign w:val="center"/>
          </w:tcPr>
          <w:p w14:paraId="03E6E129">
            <w:pPr>
              <w:pStyle w:val="25"/>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分值</w:t>
            </w:r>
          </w:p>
          <w:p w14:paraId="4B58973E">
            <w:pPr>
              <w:pStyle w:val="25"/>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rPr>
            </w:pPr>
            <w:r>
              <w:rPr>
                <w:rFonts w:hint="eastAsia" w:ascii="Times New Roman"/>
                <w:b/>
                <w:bCs/>
                <w:sz w:val="18"/>
                <w:szCs w:val="18"/>
              </w:rPr>
              <w:t>（分）</w:t>
            </w:r>
          </w:p>
        </w:tc>
      </w:tr>
      <w:tr w14:paraId="1CA0F2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4194" w:type="dxa"/>
            <w:tcBorders>
              <w:top w:val="single" w:color="auto" w:sz="12" w:space="0"/>
              <w:tl2br w:val="nil"/>
              <w:tr2bl w:val="nil"/>
            </w:tcBorders>
            <w:vAlign w:val="center"/>
          </w:tcPr>
          <w:p w14:paraId="766A4EBA">
            <w:pPr>
              <w:pStyle w:val="25"/>
              <w:keepNext w:val="0"/>
              <w:keepLines w:val="0"/>
              <w:widowControl/>
              <w:suppressLineNumbers w:val="0"/>
              <w:adjustRightInd w:val="0"/>
              <w:spacing w:before="0" w:beforeAutospacing="0" w:after="0" w:afterAutospacing="0"/>
              <w:ind w:left="0" w:right="0" w:firstLine="0" w:firstLineChars="0"/>
              <w:jc w:val="left"/>
              <w:rPr>
                <w:rFonts w:hint="default" w:hAnsi="宋体" w:cs="宋体"/>
                <w:sz w:val="18"/>
                <w:szCs w:val="18"/>
              </w:rPr>
            </w:pPr>
            <w:r>
              <w:rPr>
                <w:rFonts w:hint="eastAsia" w:ascii="宋体" w:hAnsi="宋体" w:eastAsia="宋体" w:cs="宋体"/>
                <w:kern w:val="0"/>
                <w:sz w:val="18"/>
                <w:szCs w:val="18"/>
                <w:lang w:val="en-US" w:eastAsia="zh-CN" w:bidi="ar"/>
              </w:rPr>
              <w:t>资质优秀，在行业内有优秀的实力和专业水平</w:t>
            </w:r>
          </w:p>
        </w:tc>
        <w:tc>
          <w:tcPr>
            <w:tcW w:w="1312" w:type="dxa"/>
            <w:tcBorders>
              <w:top w:val="single" w:color="auto" w:sz="12" w:space="0"/>
              <w:tl2br w:val="nil"/>
              <w:tr2bl w:val="nil"/>
            </w:tcBorders>
            <w:vAlign w:val="center"/>
          </w:tcPr>
          <w:p w14:paraId="675B3386">
            <w:pPr>
              <w:pStyle w:val="25"/>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w:t>
            </w:r>
            <w:r>
              <w:rPr>
                <w:rFonts w:hint="default" w:hAnsi="宋体" w:cs="宋体"/>
                <w:sz w:val="18"/>
                <w:szCs w:val="18"/>
              </w:rPr>
              <w:t>4</w:t>
            </w:r>
            <w:r>
              <w:rPr>
                <w:rFonts w:hint="eastAsia" w:hAnsi="宋体" w:cs="宋体"/>
                <w:sz w:val="18"/>
                <w:szCs w:val="18"/>
              </w:rPr>
              <w:t>，</w:t>
            </w:r>
            <w:r>
              <w:rPr>
                <w:rFonts w:hint="default" w:hAnsi="宋体" w:cs="宋体"/>
                <w:sz w:val="18"/>
                <w:szCs w:val="18"/>
              </w:rPr>
              <w:t>6</w:t>
            </w:r>
            <w:r>
              <w:rPr>
                <w:rFonts w:hint="eastAsia" w:hAnsi="宋体" w:cs="宋体"/>
                <w:sz w:val="18"/>
                <w:szCs w:val="18"/>
              </w:rPr>
              <w:t>]</w:t>
            </w:r>
          </w:p>
        </w:tc>
        <w:tc>
          <w:tcPr>
            <w:tcW w:w="1499" w:type="dxa"/>
            <w:tcBorders>
              <w:top w:val="single" w:color="auto" w:sz="12" w:space="0"/>
              <w:tl2br w:val="nil"/>
              <w:tr2bl w:val="nil"/>
            </w:tcBorders>
            <w:vAlign w:val="center"/>
          </w:tcPr>
          <w:p w14:paraId="30D4828F">
            <w:pPr>
              <w:pStyle w:val="25"/>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w:t>
            </w:r>
            <w:r>
              <w:rPr>
                <w:rFonts w:hint="default" w:hAnsi="宋体" w:cs="宋体"/>
                <w:sz w:val="18"/>
                <w:szCs w:val="18"/>
              </w:rPr>
              <w:t>3</w:t>
            </w:r>
          </w:p>
        </w:tc>
        <w:tc>
          <w:tcPr>
            <w:tcW w:w="1348" w:type="dxa"/>
            <w:tcBorders>
              <w:top w:val="single" w:color="auto" w:sz="12" w:space="0"/>
              <w:tl2br w:val="nil"/>
              <w:tr2bl w:val="nil"/>
            </w:tcBorders>
            <w:vAlign w:val="center"/>
          </w:tcPr>
          <w:p w14:paraId="63A16A7C">
            <w:pPr>
              <w:pStyle w:val="25"/>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rPr>
            </w:pPr>
            <w:r>
              <w:rPr>
                <w:rFonts w:hint="default" w:hAnsi="宋体" w:cs="宋体"/>
                <w:sz w:val="18"/>
                <w:szCs w:val="18"/>
              </w:rPr>
              <w:t>6</w:t>
            </w:r>
          </w:p>
        </w:tc>
        <w:tc>
          <w:tcPr>
            <w:tcW w:w="1206" w:type="dxa"/>
            <w:vMerge w:val="restart"/>
            <w:tcBorders>
              <w:top w:val="single" w:color="auto" w:sz="12" w:space="0"/>
              <w:tl2br w:val="nil"/>
              <w:tr2bl w:val="nil"/>
            </w:tcBorders>
            <w:vAlign w:val="center"/>
          </w:tcPr>
          <w:p w14:paraId="427EFC46">
            <w:pPr>
              <w:pStyle w:val="25"/>
              <w:keepNext w:val="0"/>
              <w:keepLines w:val="0"/>
              <w:widowControl/>
              <w:suppressLineNumbers w:val="0"/>
              <w:adjustRightInd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该项得分为两项指标累计得分</w:t>
            </w:r>
          </w:p>
        </w:tc>
      </w:tr>
      <w:tr w14:paraId="46C513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4194" w:type="dxa"/>
            <w:tcBorders>
              <w:tl2br w:val="nil"/>
              <w:tr2bl w:val="nil"/>
            </w:tcBorders>
            <w:vAlign w:val="center"/>
          </w:tcPr>
          <w:p w14:paraId="6583257C">
            <w:pPr>
              <w:pStyle w:val="25"/>
              <w:keepNext w:val="0"/>
              <w:keepLines w:val="0"/>
              <w:widowControl/>
              <w:suppressLineNumbers w:val="0"/>
              <w:adjustRightInd w:val="0"/>
              <w:spacing w:before="0" w:beforeAutospacing="0" w:after="0" w:afterAutospacing="0"/>
              <w:ind w:left="0" w:right="0" w:firstLine="0" w:firstLineChars="0"/>
              <w:jc w:val="left"/>
              <w:rPr>
                <w:rFonts w:hint="default" w:hAnsi="宋体" w:cs="宋体"/>
                <w:sz w:val="18"/>
                <w:szCs w:val="18"/>
              </w:rPr>
            </w:pPr>
            <w:r>
              <w:rPr>
                <w:rFonts w:hint="eastAsia" w:ascii="宋体" w:hAnsi="宋体" w:eastAsia="宋体" w:cs="宋体"/>
                <w:kern w:val="0"/>
                <w:sz w:val="18"/>
                <w:szCs w:val="18"/>
                <w:lang w:val="en-US" w:eastAsia="zh-CN" w:bidi="ar"/>
              </w:rPr>
              <w:t>资质良好，在行业内有良好的实力和专业水平</w:t>
            </w:r>
          </w:p>
        </w:tc>
        <w:tc>
          <w:tcPr>
            <w:tcW w:w="1312" w:type="dxa"/>
            <w:tcBorders>
              <w:tl2br w:val="nil"/>
              <w:tr2bl w:val="nil"/>
            </w:tcBorders>
            <w:vAlign w:val="center"/>
          </w:tcPr>
          <w:p w14:paraId="7341E6DA">
            <w:pPr>
              <w:pStyle w:val="25"/>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w:t>
            </w:r>
            <w:r>
              <w:rPr>
                <w:rFonts w:hint="default" w:hAnsi="宋体" w:cs="宋体"/>
                <w:sz w:val="18"/>
                <w:szCs w:val="18"/>
              </w:rPr>
              <w:t>2</w:t>
            </w:r>
            <w:r>
              <w:rPr>
                <w:rFonts w:hint="eastAsia" w:hAnsi="宋体" w:cs="宋体"/>
                <w:sz w:val="18"/>
                <w:szCs w:val="18"/>
              </w:rPr>
              <w:t>，</w:t>
            </w:r>
            <w:r>
              <w:rPr>
                <w:rFonts w:hint="default" w:hAnsi="宋体" w:cs="宋体"/>
                <w:sz w:val="18"/>
                <w:szCs w:val="18"/>
              </w:rPr>
              <w:t>4</w:t>
            </w:r>
            <w:r>
              <w:rPr>
                <w:rFonts w:hint="eastAsia" w:hAnsi="宋体" w:cs="宋体"/>
                <w:sz w:val="18"/>
                <w:szCs w:val="18"/>
              </w:rPr>
              <w:t>]</w:t>
            </w:r>
          </w:p>
        </w:tc>
        <w:tc>
          <w:tcPr>
            <w:tcW w:w="1499" w:type="dxa"/>
            <w:tcBorders>
              <w:tl2br w:val="nil"/>
              <w:tr2bl w:val="nil"/>
            </w:tcBorders>
            <w:vAlign w:val="center"/>
          </w:tcPr>
          <w:p w14:paraId="42422D1C">
            <w:pPr>
              <w:pStyle w:val="25"/>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（2，</w:t>
            </w:r>
            <w:r>
              <w:rPr>
                <w:rFonts w:hint="default" w:hAnsi="宋体" w:cs="宋体"/>
                <w:sz w:val="18"/>
                <w:szCs w:val="18"/>
              </w:rPr>
              <w:t>3</w:t>
            </w:r>
            <w:r>
              <w:rPr>
                <w:rFonts w:hint="eastAsia" w:hAnsi="宋体" w:cs="宋体"/>
                <w:sz w:val="18"/>
                <w:szCs w:val="18"/>
              </w:rPr>
              <w:t>]</w:t>
            </w:r>
          </w:p>
        </w:tc>
        <w:tc>
          <w:tcPr>
            <w:tcW w:w="1348" w:type="dxa"/>
            <w:tcBorders>
              <w:tl2br w:val="nil"/>
              <w:tr2bl w:val="nil"/>
            </w:tcBorders>
            <w:vAlign w:val="center"/>
          </w:tcPr>
          <w:p w14:paraId="7FC96502">
            <w:pPr>
              <w:pStyle w:val="25"/>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rPr>
            </w:pPr>
            <w:r>
              <w:rPr>
                <w:rFonts w:hint="default" w:hAnsi="宋体" w:cs="宋体"/>
                <w:sz w:val="18"/>
                <w:szCs w:val="18"/>
              </w:rPr>
              <w:t>4</w:t>
            </w:r>
          </w:p>
        </w:tc>
        <w:tc>
          <w:tcPr>
            <w:tcW w:w="1206" w:type="dxa"/>
            <w:vMerge w:val="continue"/>
            <w:tcBorders>
              <w:tl2br w:val="nil"/>
              <w:tr2bl w:val="nil"/>
            </w:tcBorders>
            <w:vAlign w:val="center"/>
          </w:tcPr>
          <w:p w14:paraId="6C34F5C2">
            <w:pPr>
              <w:pStyle w:val="25"/>
              <w:keepNext w:val="0"/>
              <w:keepLines w:val="0"/>
              <w:widowControl/>
              <w:suppressLineNumbers w:val="0"/>
              <w:adjustRightInd w:val="0"/>
              <w:spacing w:before="0" w:beforeAutospacing="0" w:after="0" w:afterAutospacing="0"/>
              <w:ind w:left="0" w:right="0" w:firstLine="0" w:firstLineChars="0"/>
              <w:rPr>
                <w:rFonts w:hint="default" w:hAnsi="宋体" w:cs="宋体"/>
                <w:sz w:val="18"/>
                <w:szCs w:val="18"/>
              </w:rPr>
            </w:pPr>
          </w:p>
        </w:tc>
      </w:tr>
      <w:tr w14:paraId="728896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4194" w:type="dxa"/>
            <w:tcBorders>
              <w:tl2br w:val="nil"/>
              <w:tr2bl w:val="nil"/>
            </w:tcBorders>
            <w:vAlign w:val="center"/>
          </w:tcPr>
          <w:p w14:paraId="11854C7A">
            <w:pPr>
              <w:pStyle w:val="25"/>
              <w:keepNext w:val="0"/>
              <w:keepLines w:val="0"/>
              <w:widowControl/>
              <w:suppressLineNumbers w:val="0"/>
              <w:adjustRightInd w:val="0"/>
              <w:spacing w:before="0" w:beforeAutospacing="0" w:after="0" w:afterAutospacing="0"/>
              <w:ind w:left="0" w:right="0" w:firstLine="0" w:firstLineChars="0"/>
              <w:jc w:val="left"/>
              <w:rPr>
                <w:rFonts w:hint="default" w:hAnsi="宋体" w:cs="宋体"/>
                <w:sz w:val="18"/>
                <w:szCs w:val="18"/>
              </w:rPr>
            </w:pPr>
            <w:r>
              <w:rPr>
                <w:rFonts w:hint="eastAsia" w:ascii="宋体" w:hAnsi="宋体" w:eastAsia="宋体" w:cs="宋体"/>
                <w:kern w:val="0"/>
                <w:sz w:val="18"/>
                <w:szCs w:val="18"/>
                <w:lang w:val="en-US" w:eastAsia="zh-CN" w:bidi="ar"/>
              </w:rPr>
              <w:t>资质一般，在行业内有良好的实力和专业水平</w:t>
            </w:r>
          </w:p>
        </w:tc>
        <w:tc>
          <w:tcPr>
            <w:tcW w:w="1312" w:type="dxa"/>
            <w:tcBorders>
              <w:tl2br w:val="nil"/>
              <w:tr2bl w:val="nil"/>
            </w:tcBorders>
            <w:vAlign w:val="center"/>
          </w:tcPr>
          <w:p w14:paraId="41D3AECD">
            <w:pPr>
              <w:pStyle w:val="25"/>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[0，</w:t>
            </w:r>
            <w:r>
              <w:rPr>
                <w:rFonts w:hint="default" w:hAnsi="宋体" w:cs="宋体"/>
                <w:sz w:val="18"/>
                <w:szCs w:val="18"/>
              </w:rPr>
              <w:t>2</w:t>
            </w:r>
            <w:r>
              <w:rPr>
                <w:rFonts w:hint="eastAsia" w:hAnsi="宋体" w:cs="宋体"/>
                <w:sz w:val="18"/>
                <w:szCs w:val="18"/>
              </w:rPr>
              <w:t>]</w:t>
            </w:r>
          </w:p>
        </w:tc>
        <w:tc>
          <w:tcPr>
            <w:tcW w:w="1499" w:type="dxa"/>
            <w:tcBorders>
              <w:tl2br w:val="nil"/>
              <w:tr2bl w:val="nil"/>
            </w:tcBorders>
            <w:vAlign w:val="center"/>
          </w:tcPr>
          <w:p w14:paraId="70E5B713">
            <w:pPr>
              <w:pStyle w:val="25"/>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（0，2]</w:t>
            </w:r>
          </w:p>
        </w:tc>
        <w:tc>
          <w:tcPr>
            <w:tcW w:w="1348" w:type="dxa"/>
            <w:tcBorders>
              <w:tl2br w:val="nil"/>
              <w:tr2bl w:val="nil"/>
            </w:tcBorders>
            <w:vAlign w:val="center"/>
          </w:tcPr>
          <w:p w14:paraId="37AD547B">
            <w:pPr>
              <w:pStyle w:val="25"/>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rPr>
            </w:pPr>
            <w:r>
              <w:rPr>
                <w:rFonts w:hint="default" w:hAnsi="宋体" w:cs="宋体"/>
                <w:sz w:val="18"/>
                <w:szCs w:val="18"/>
              </w:rPr>
              <w:t>2</w:t>
            </w:r>
          </w:p>
        </w:tc>
        <w:tc>
          <w:tcPr>
            <w:tcW w:w="1206" w:type="dxa"/>
            <w:vMerge w:val="continue"/>
            <w:tcBorders>
              <w:tl2br w:val="nil"/>
              <w:tr2bl w:val="nil"/>
            </w:tcBorders>
            <w:vAlign w:val="center"/>
          </w:tcPr>
          <w:p w14:paraId="0F8EC0D6">
            <w:pPr>
              <w:pStyle w:val="25"/>
              <w:keepNext w:val="0"/>
              <w:keepLines w:val="0"/>
              <w:widowControl/>
              <w:suppressLineNumbers w:val="0"/>
              <w:adjustRightInd w:val="0"/>
              <w:spacing w:before="0" w:beforeAutospacing="0" w:after="0" w:afterAutospacing="0"/>
              <w:ind w:left="0" w:right="0" w:firstLine="0" w:firstLineChars="0"/>
              <w:rPr>
                <w:rFonts w:hint="default" w:hAnsi="宋体" w:cs="宋体"/>
                <w:sz w:val="18"/>
                <w:szCs w:val="18"/>
              </w:rPr>
            </w:pPr>
          </w:p>
        </w:tc>
      </w:tr>
    </w:tbl>
    <w:p w14:paraId="7D038923">
      <w:pPr>
        <w:pStyle w:val="58"/>
        <w:spacing w:before="156" w:after="156"/>
        <w:rPr>
          <w:rFonts w:ascii="Times New Roman"/>
        </w:rPr>
      </w:pPr>
      <w:r>
        <w:rPr>
          <w:rFonts w:hint="eastAsia" w:ascii="Times New Roman"/>
        </w:rPr>
        <w:t>产业影响力</w:t>
      </w:r>
    </w:p>
    <w:p w14:paraId="0BB10AAA">
      <w:pPr>
        <w:pStyle w:val="25"/>
        <w:rPr>
          <w:rFonts w:hAnsi="宋体" w:cs="宋体"/>
        </w:rPr>
      </w:pPr>
      <w:r>
        <w:rPr>
          <w:rFonts w:hint="eastAsia" w:hAnsi="宋体" w:cs="宋体"/>
        </w:rPr>
        <w:t>从提供绿色金融认证和评级领域的相关服务，在促进产业绿色低碳转型升级方面的贡献程度进行评价，具体评分规则见表9。</w:t>
      </w:r>
    </w:p>
    <w:p w14:paraId="21F2D47B">
      <w:pPr>
        <w:pStyle w:val="129"/>
        <w:rPr>
          <w:rFonts w:ascii="Times New Roman"/>
        </w:rPr>
      </w:pPr>
      <w:r>
        <w:rPr>
          <w:rFonts w:hint="eastAsia" w:ascii="Times New Roman"/>
        </w:rPr>
        <w:t>产业影响力</w:t>
      </w:r>
      <w:r>
        <w:rPr>
          <w:rFonts w:ascii="Times New Roman"/>
        </w:rPr>
        <w:t>评分规则</w:t>
      </w:r>
    </w:p>
    <w:tbl>
      <w:tblPr>
        <w:tblStyle w:val="35"/>
        <w:tblW w:w="956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023"/>
        <w:gridCol w:w="2541"/>
      </w:tblGrid>
      <w:tr w14:paraId="372416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7023" w:type="dxa"/>
            <w:tcBorders>
              <w:bottom w:val="single" w:color="auto" w:sz="12" w:space="0"/>
            </w:tcBorders>
            <w:vAlign w:val="center"/>
          </w:tcPr>
          <w:p w14:paraId="7BCE396A">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eastAsia" w:ascii="Times New Roman"/>
                <w:b/>
                <w:bCs/>
                <w:sz w:val="18"/>
                <w:szCs w:val="18"/>
              </w:rPr>
              <w:t>服务业绩</w:t>
            </w:r>
          </w:p>
        </w:tc>
        <w:tc>
          <w:tcPr>
            <w:tcW w:w="2541" w:type="dxa"/>
            <w:tcBorders>
              <w:bottom w:val="single" w:color="auto" w:sz="12" w:space="0"/>
            </w:tcBorders>
            <w:vAlign w:val="center"/>
          </w:tcPr>
          <w:p w14:paraId="317D8355">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分值</w:t>
            </w:r>
            <w:r>
              <w:rPr>
                <w:rFonts w:hint="eastAsia" w:ascii="Times New Roman"/>
                <w:b/>
                <w:bCs/>
                <w:sz w:val="18"/>
                <w:szCs w:val="18"/>
              </w:rPr>
              <w:t>（分）</w:t>
            </w:r>
          </w:p>
        </w:tc>
      </w:tr>
      <w:tr w14:paraId="6A0EE0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7023" w:type="dxa"/>
            <w:tcBorders>
              <w:top w:val="single" w:color="auto" w:sz="12" w:space="0"/>
              <w:tl2br w:val="nil"/>
              <w:tr2bl w:val="nil"/>
            </w:tcBorders>
            <w:vAlign w:val="center"/>
          </w:tcPr>
          <w:p w14:paraId="7E6E6661">
            <w:pPr>
              <w:pStyle w:val="25"/>
              <w:keepNext w:val="0"/>
              <w:keepLines w:val="0"/>
              <w:widowControl/>
              <w:suppressLineNumbers w:val="0"/>
              <w:spacing w:before="0" w:beforeAutospacing="0" w:after="0" w:afterAutospacing="0"/>
              <w:ind w:left="0" w:right="0" w:firstLine="0" w:firstLineChars="0"/>
              <w:jc w:val="left"/>
              <w:rPr>
                <w:rFonts w:hint="default" w:hAnsi="宋体" w:cs="宋体"/>
                <w:sz w:val="18"/>
                <w:szCs w:val="18"/>
              </w:rPr>
            </w:pPr>
            <w:r>
              <w:rPr>
                <w:rFonts w:hint="eastAsia" w:hAnsi="宋体" w:cs="宋体"/>
                <w:sz w:val="18"/>
                <w:szCs w:val="18"/>
              </w:rPr>
              <w:t>具有显著地促进产业绿色低碳转型升级的作用</w:t>
            </w:r>
          </w:p>
        </w:tc>
        <w:tc>
          <w:tcPr>
            <w:tcW w:w="2541" w:type="dxa"/>
            <w:tcBorders>
              <w:top w:val="single" w:color="auto" w:sz="12" w:space="0"/>
              <w:tl2br w:val="nil"/>
              <w:tr2bl w:val="nil"/>
            </w:tcBorders>
            <w:vAlign w:val="center"/>
          </w:tcPr>
          <w:p w14:paraId="6C5A94E4">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w:t>
            </w:r>
            <w:r>
              <w:rPr>
                <w:rFonts w:hint="default" w:hAnsi="宋体" w:cs="宋体"/>
                <w:sz w:val="18"/>
                <w:szCs w:val="18"/>
              </w:rPr>
              <w:t>5</w:t>
            </w:r>
            <w:r>
              <w:rPr>
                <w:rFonts w:hint="eastAsia" w:hAnsi="宋体" w:cs="宋体"/>
                <w:sz w:val="18"/>
                <w:szCs w:val="18"/>
              </w:rPr>
              <w:t>，</w:t>
            </w:r>
            <w:r>
              <w:rPr>
                <w:rFonts w:hint="default" w:hAnsi="宋体" w:cs="宋体"/>
                <w:sz w:val="18"/>
                <w:szCs w:val="18"/>
              </w:rPr>
              <w:t>7</w:t>
            </w:r>
            <w:r>
              <w:rPr>
                <w:rFonts w:hint="eastAsia" w:hAnsi="宋体" w:cs="宋体"/>
                <w:sz w:val="18"/>
                <w:szCs w:val="18"/>
              </w:rPr>
              <w:t>]</w:t>
            </w:r>
          </w:p>
        </w:tc>
      </w:tr>
      <w:tr w14:paraId="580E88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7023" w:type="dxa"/>
            <w:tcBorders>
              <w:tl2br w:val="nil"/>
              <w:tr2bl w:val="nil"/>
            </w:tcBorders>
            <w:vAlign w:val="center"/>
          </w:tcPr>
          <w:p w14:paraId="57BBB142">
            <w:pPr>
              <w:pStyle w:val="25"/>
              <w:keepNext w:val="0"/>
              <w:keepLines w:val="0"/>
              <w:widowControl/>
              <w:suppressLineNumbers w:val="0"/>
              <w:spacing w:before="0" w:beforeAutospacing="0" w:after="0" w:afterAutospacing="0"/>
              <w:ind w:left="0" w:right="0" w:firstLine="0" w:firstLineChars="0"/>
              <w:jc w:val="left"/>
              <w:rPr>
                <w:rFonts w:hint="default" w:hAnsi="宋体" w:cs="宋体"/>
                <w:sz w:val="18"/>
                <w:szCs w:val="18"/>
              </w:rPr>
            </w:pPr>
            <w:r>
              <w:rPr>
                <w:rFonts w:hint="eastAsia" w:hAnsi="宋体" w:cs="宋体"/>
                <w:sz w:val="18"/>
                <w:szCs w:val="18"/>
              </w:rPr>
              <w:t>具有较强地促进产业绿色低碳转型升级的作用</w:t>
            </w:r>
          </w:p>
        </w:tc>
        <w:tc>
          <w:tcPr>
            <w:tcW w:w="2541" w:type="dxa"/>
            <w:tcBorders>
              <w:tl2br w:val="nil"/>
              <w:tr2bl w:val="nil"/>
            </w:tcBorders>
            <w:vAlign w:val="center"/>
          </w:tcPr>
          <w:p w14:paraId="568C1BAC">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w:t>
            </w:r>
            <w:r>
              <w:rPr>
                <w:rFonts w:hint="default" w:hAnsi="宋体" w:cs="宋体"/>
                <w:sz w:val="18"/>
                <w:szCs w:val="18"/>
              </w:rPr>
              <w:t>3</w:t>
            </w:r>
            <w:r>
              <w:rPr>
                <w:rFonts w:hint="eastAsia" w:hAnsi="宋体" w:cs="宋体"/>
                <w:sz w:val="18"/>
                <w:szCs w:val="18"/>
              </w:rPr>
              <w:t>，</w:t>
            </w:r>
            <w:r>
              <w:rPr>
                <w:rFonts w:hint="default" w:hAnsi="宋体" w:cs="宋体"/>
                <w:sz w:val="18"/>
                <w:szCs w:val="18"/>
              </w:rPr>
              <w:t>5</w:t>
            </w:r>
            <w:r>
              <w:rPr>
                <w:rFonts w:hint="eastAsia" w:hAnsi="宋体" w:cs="宋体"/>
                <w:sz w:val="18"/>
                <w:szCs w:val="18"/>
              </w:rPr>
              <w:t>]</w:t>
            </w:r>
          </w:p>
        </w:tc>
      </w:tr>
      <w:tr w14:paraId="4F0084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7023" w:type="dxa"/>
            <w:tcBorders>
              <w:tl2br w:val="nil"/>
              <w:tr2bl w:val="nil"/>
            </w:tcBorders>
            <w:vAlign w:val="center"/>
          </w:tcPr>
          <w:p w14:paraId="4097695F">
            <w:pPr>
              <w:pStyle w:val="25"/>
              <w:keepNext w:val="0"/>
              <w:keepLines w:val="0"/>
              <w:widowControl/>
              <w:suppressLineNumbers w:val="0"/>
              <w:spacing w:before="0" w:beforeAutospacing="0" w:after="0" w:afterAutospacing="0"/>
              <w:ind w:left="0" w:right="0" w:firstLine="0" w:firstLineChars="0"/>
              <w:jc w:val="left"/>
              <w:rPr>
                <w:rFonts w:hint="default" w:hAnsi="宋体" w:cs="宋体"/>
                <w:sz w:val="18"/>
                <w:szCs w:val="18"/>
              </w:rPr>
            </w:pPr>
            <w:r>
              <w:rPr>
                <w:rFonts w:hint="eastAsia" w:hAnsi="宋体" w:cs="宋体"/>
                <w:sz w:val="18"/>
                <w:szCs w:val="18"/>
              </w:rPr>
              <w:t>具有一定地促进产业绿色低碳转型升级的作用</w:t>
            </w:r>
          </w:p>
        </w:tc>
        <w:tc>
          <w:tcPr>
            <w:tcW w:w="2541" w:type="dxa"/>
            <w:tcBorders>
              <w:tl2br w:val="nil"/>
              <w:tr2bl w:val="nil"/>
            </w:tcBorders>
            <w:vAlign w:val="center"/>
          </w:tcPr>
          <w:p w14:paraId="0BB2374F">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（0，</w:t>
            </w:r>
            <w:r>
              <w:rPr>
                <w:rFonts w:hint="default" w:hAnsi="宋体" w:cs="宋体"/>
                <w:sz w:val="18"/>
                <w:szCs w:val="18"/>
              </w:rPr>
              <w:t>3</w:t>
            </w:r>
            <w:r>
              <w:rPr>
                <w:rFonts w:hint="eastAsia" w:hAnsi="宋体" w:cs="宋体"/>
                <w:sz w:val="18"/>
                <w:szCs w:val="18"/>
              </w:rPr>
              <w:t>]</w:t>
            </w:r>
          </w:p>
        </w:tc>
      </w:tr>
      <w:tr w14:paraId="050A8B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7023" w:type="dxa"/>
            <w:tcBorders>
              <w:tl2br w:val="nil"/>
              <w:tr2bl w:val="nil"/>
            </w:tcBorders>
            <w:vAlign w:val="center"/>
          </w:tcPr>
          <w:p w14:paraId="61E24271">
            <w:pPr>
              <w:pStyle w:val="25"/>
              <w:keepNext w:val="0"/>
              <w:keepLines w:val="0"/>
              <w:widowControl/>
              <w:suppressLineNumbers w:val="0"/>
              <w:spacing w:before="0" w:beforeAutospacing="0" w:after="0" w:afterAutospacing="0"/>
              <w:ind w:left="0" w:right="0" w:firstLine="0" w:firstLineChars="0"/>
              <w:jc w:val="left"/>
              <w:rPr>
                <w:rFonts w:hint="default" w:hAnsi="宋体" w:cs="宋体"/>
                <w:sz w:val="18"/>
                <w:szCs w:val="18"/>
              </w:rPr>
            </w:pPr>
            <w:r>
              <w:rPr>
                <w:rFonts w:hint="eastAsia" w:hAnsi="宋体" w:cs="宋体"/>
                <w:sz w:val="18"/>
                <w:szCs w:val="18"/>
              </w:rPr>
              <w:t>未产生明显产业影响力</w:t>
            </w:r>
          </w:p>
        </w:tc>
        <w:tc>
          <w:tcPr>
            <w:tcW w:w="2541" w:type="dxa"/>
            <w:tcBorders>
              <w:tl2br w:val="nil"/>
              <w:tr2bl w:val="nil"/>
            </w:tcBorders>
            <w:vAlign w:val="center"/>
          </w:tcPr>
          <w:p w14:paraId="401BC969">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0</w:t>
            </w:r>
          </w:p>
        </w:tc>
      </w:tr>
    </w:tbl>
    <w:p w14:paraId="008CE262">
      <w:pPr>
        <w:pStyle w:val="58"/>
        <w:spacing w:before="156" w:after="156"/>
        <w:rPr>
          <w:rFonts w:ascii="Times New Roman"/>
        </w:rPr>
      </w:pPr>
      <w:r>
        <w:rPr>
          <w:rFonts w:ascii="Times New Roman"/>
        </w:rPr>
        <w:t>行业资质荣誉</w:t>
      </w:r>
    </w:p>
    <w:p w14:paraId="37D56BB2">
      <w:pPr>
        <w:pStyle w:val="25"/>
        <w:rPr>
          <w:rFonts w:hAnsi="宋体" w:cs="宋体"/>
        </w:rPr>
      </w:pPr>
      <w:r>
        <w:rPr>
          <w:rFonts w:hint="eastAsia" w:hAnsi="宋体" w:cs="宋体"/>
        </w:rPr>
        <w:t>在绿色金融认证和评级领域获得的国家级、省部级、市级或区级奖项、资质、荣誉、认定及证书的情况，具体评分规则见表10。</w:t>
      </w:r>
    </w:p>
    <w:p w14:paraId="119157F2">
      <w:pPr>
        <w:pStyle w:val="61"/>
        <w:numPr>
          <w:ilvl w:val="0"/>
          <w:numId w:val="21"/>
        </w:numPr>
        <w:ind w:left="0" w:firstLine="360" w:firstLineChars="200"/>
      </w:pPr>
      <w:r>
        <w:rPr>
          <w:rFonts w:hint="eastAsia"/>
        </w:rPr>
        <w:t>国家级行业协会颁发的相关荣誉、认定或证书视为省部级。</w:t>
      </w:r>
    </w:p>
    <w:p w14:paraId="0FE79A69">
      <w:pPr>
        <w:pStyle w:val="61"/>
        <w:numPr>
          <w:ilvl w:val="0"/>
          <w:numId w:val="21"/>
        </w:numPr>
        <w:ind w:left="0" w:firstLine="360" w:firstLineChars="200"/>
      </w:pPr>
      <w:r>
        <w:rPr>
          <w:rFonts w:hint="eastAsia"/>
        </w:rPr>
        <w:t>在国际上获得行业认可的同等级别行业资质荣誉，按对应等级行业资质荣誉得分。</w:t>
      </w:r>
    </w:p>
    <w:p w14:paraId="431B6A2A">
      <w:pPr>
        <w:pStyle w:val="129"/>
        <w:rPr>
          <w:rFonts w:ascii="Times New Roman"/>
        </w:rPr>
      </w:pPr>
      <w:r>
        <w:rPr>
          <w:rFonts w:ascii="Times New Roman"/>
        </w:rPr>
        <w:t>行业资质荣誉评分规则</w:t>
      </w:r>
    </w:p>
    <w:tbl>
      <w:tblPr>
        <w:tblStyle w:val="3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932"/>
        <w:gridCol w:w="3055"/>
        <w:gridCol w:w="1583"/>
      </w:tblGrid>
      <w:tr w14:paraId="6C0312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4" w:hRule="atLeast"/>
          <w:jc w:val="center"/>
        </w:trPr>
        <w:tc>
          <w:tcPr>
            <w:tcW w:w="2577" w:type="pct"/>
            <w:tcBorders>
              <w:bottom w:val="single" w:color="auto" w:sz="12" w:space="0"/>
            </w:tcBorders>
            <w:vAlign w:val="center"/>
          </w:tcPr>
          <w:p w14:paraId="0DC493B2">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eastAsia" w:ascii="Times New Roman"/>
                <w:b/>
                <w:bCs/>
                <w:sz w:val="18"/>
                <w:szCs w:val="18"/>
              </w:rPr>
              <w:t>行业资质荣誉</w:t>
            </w:r>
          </w:p>
        </w:tc>
        <w:tc>
          <w:tcPr>
            <w:tcW w:w="1596" w:type="pct"/>
            <w:tcBorders>
              <w:bottom w:val="single" w:color="auto" w:sz="12" w:space="0"/>
            </w:tcBorders>
          </w:tcPr>
          <w:p w14:paraId="4FA2D0B4">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eastAsia" w:ascii="Times New Roman"/>
                <w:b/>
                <w:bCs/>
                <w:sz w:val="18"/>
                <w:szCs w:val="18"/>
              </w:rPr>
              <w:t>加分规则</w:t>
            </w:r>
          </w:p>
        </w:tc>
        <w:tc>
          <w:tcPr>
            <w:tcW w:w="827" w:type="pct"/>
            <w:tcBorders>
              <w:bottom w:val="single" w:color="auto" w:sz="12" w:space="0"/>
            </w:tcBorders>
            <w:vAlign w:val="center"/>
          </w:tcPr>
          <w:p w14:paraId="4962BD40">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eastAsia" w:ascii="Times New Roman"/>
                <w:b/>
                <w:bCs/>
                <w:sz w:val="18"/>
                <w:szCs w:val="18"/>
              </w:rPr>
              <w:t>最高</w:t>
            </w:r>
            <w:r>
              <w:rPr>
                <w:rFonts w:hint="default" w:ascii="Times New Roman"/>
                <w:b/>
                <w:bCs/>
                <w:sz w:val="18"/>
                <w:szCs w:val="18"/>
              </w:rPr>
              <w:t>分值</w:t>
            </w:r>
            <w:r>
              <w:rPr>
                <w:rFonts w:hint="eastAsia" w:ascii="Times New Roman"/>
                <w:b/>
                <w:bCs/>
                <w:sz w:val="18"/>
                <w:szCs w:val="18"/>
              </w:rPr>
              <w:t>（分）</w:t>
            </w:r>
          </w:p>
        </w:tc>
      </w:tr>
      <w:tr w14:paraId="33AC32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52" w:hRule="atLeast"/>
          <w:jc w:val="center"/>
        </w:trPr>
        <w:tc>
          <w:tcPr>
            <w:tcW w:w="2577" w:type="pct"/>
            <w:tcBorders>
              <w:top w:val="single" w:color="auto" w:sz="12" w:space="0"/>
              <w:bottom w:val="single" w:color="auto" w:sz="12" w:space="0"/>
              <w:tl2br w:val="nil"/>
              <w:tr2bl w:val="nil"/>
            </w:tcBorders>
            <w:vAlign w:val="center"/>
          </w:tcPr>
          <w:p w14:paraId="4CF5E292">
            <w:pPr>
              <w:pStyle w:val="25"/>
              <w:keepNext w:val="0"/>
              <w:keepLines w:val="0"/>
              <w:widowControl/>
              <w:suppressLineNumbers w:val="0"/>
              <w:spacing w:before="0" w:beforeAutospacing="0" w:after="0" w:afterAutospacing="0"/>
              <w:ind w:left="0" w:right="0" w:firstLine="0" w:firstLineChars="0"/>
              <w:jc w:val="left"/>
              <w:rPr>
                <w:rFonts w:hint="default" w:hAnsi="宋体" w:cs="宋体"/>
                <w:sz w:val="18"/>
                <w:szCs w:val="18"/>
              </w:rPr>
            </w:pPr>
            <w:r>
              <w:rPr>
                <w:rFonts w:hint="eastAsia" w:hAnsi="宋体" w:cs="宋体"/>
                <w:sz w:val="18"/>
                <w:szCs w:val="18"/>
              </w:rPr>
              <w:t>以获得的一项最高级别行业资质荣誉为评价标准，国家级、省部级、市级、区级行业资质荣誉分别得5分、4分、3分、2分的基础分</w:t>
            </w:r>
          </w:p>
        </w:tc>
        <w:tc>
          <w:tcPr>
            <w:tcW w:w="1596" w:type="pct"/>
            <w:tcBorders>
              <w:top w:val="single" w:color="auto" w:sz="12" w:space="0"/>
              <w:bottom w:val="single" w:color="auto" w:sz="12" w:space="0"/>
              <w:tl2br w:val="nil"/>
              <w:tr2bl w:val="nil"/>
            </w:tcBorders>
          </w:tcPr>
          <w:p w14:paraId="4CBA7ACD">
            <w:pPr>
              <w:pStyle w:val="25"/>
              <w:keepNext w:val="0"/>
              <w:keepLines w:val="0"/>
              <w:widowControl/>
              <w:suppressLineNumbers w:val="0"/>
              <w:spacing w:before="0" w:beforeAutospacing="0" w:after="0" w:afterAutospacing="0"/>
              <w:ind w:left="0" w:right="0" w:firstLine="0" w:firstLineChars="0"/>
              <w:jc w:val="left"/>
              <w:rPr>
                <w:rFonts w:hint="default" w:hAnsi="宋体" w:cs="宋体"/>
                <w:sz w:val="18"/>
                <w:szCs w:val="18"/>
              </w:rPr>
            </w:pPr>
            <w:r>
              <w:rPr>
                <w:rFonts w:hint="eastAsia" w:hAnsi="宋体" w:cs="宋体"/>
                <w:sz w:val="18"/>
                <w:szCs w:val="18"/>
              </w:rPr>
              <w:t>每多获得一项省部级、市级、区级行业资质荣誉，分别加</w:t>
            </w:r>
            <w:r>
              <w:rPr>
                <w:rFonts w:hint="default" w:hAnsi="宋体" w:cs="宋体"/>
                <w:sz w:val="18"/>
                <w:szCs w:val="18"/>
              </w:rPr>
              <w:t>1</w:t>
            </w:r>
            <w:r>
              <w:rPr>
                <w:rFonts w:hint="eastAsia" w:hAnsi="宋体" w:cs="宋体"/>
                <w:sz w:val="18"/>
                <w:szCs w:val="18"/>
              </w:rPr>
              <w:t>分、</w:t>
            </w:r>
            <w:r>
              <w:rPr>
                <w:rFonts w:hint="default" w:hAnsi="宋体" w:cs="宋体"/>
                <w:sz w:val="18"/>
                <w:szCs w:val="18"/>
              </w:rPr>
              <w:t>0.5</w:t>
            </w:r>
            <w:r>
              <w:rPr>
                <w:rFonts w:hint="eastAsia" w:hAnsi="宋体" w:cs="宋体"/>
                <w:sz w:val="18"/>
                <w:szCs w:val="18"/>
              </w:rPr>
              <w:t>分、0.</w:t>
            </w:r>
            <w:r>
              <w:rPr>
                <w:rFonts w:hint="default" w:hAnsi="宋体" w:cs="宋体"/>
                <w:sz w:val="18"/>
                <w:szCs w:val="18"/>
              </w:rPr>
              <w:t>3</w:t>
            </w:r>
            <w:r>
              <w:rPr>
                <w:rFonts w:hint="eastAsia" w:hAnsi="宋体" w:cs="宋体"/>
                <w:sz w:val="18"/>
                <w:szCs w:val="18"/>
              </w:rPr>
              <w:t>分、0.2分</w:t>
            </w:r>
          </w:p>
        </w:tc>
        <w:tc>
          <w:tcPr>
            <w:tcW w:w="827" w:type="pct"/>
            <w:tcBorders>
              <w:top w:val="single" w:color="auto" w:sz="12" w:space="0"/>
              <w:bottom w:val="single" w:color="auto" w:sz="12" w:space="0"/>
              <w:tl2br w:val="nil"/>
              <w:tr2bl w:val="nil"/>
            </w:tcBorders>
            <w:vAlign w:val="center"/>
          </w:tcPr>
          <w:p w14:paraId="1001E49E">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default" w:hAnsi="宋体" w:cs="宋体"/>
                <w:sz w:val="18"/>
                <w:szCs w:val="18"/>
              </w:rPr>
              <w:t>5</w:t>
            </w:r>
          </w:p>
        </w:tc>
      </w:tr>
    </w:tbl>
    <w:p w14:paraId="3D39E766">
      <w:pPr>
        <w:pStyle w:val="58"/>
        <w:spacing w:before="156" w:after="156"/>
        <w:rPr>
          <w:rFonts w:ascii="Times New Roman"/>
        </w:rPr>
      </w:pPr>
      <w:r>
        <w:rPr>
          <w:rFonts w:hint="eastAsia" w:ascii="Times New Roman"/>
        </w:rPr>
        <w:t>客户满意度</w:t>
      </w:r>
    </w:p>
    <w:p w14:paraId="716F166F">
      <w:pPr>
        <w:pStyle w:val="25"/>
        <w:rPr>
          <w:rFonts w:hAnsi="宋体" w:cs="宋体"/>
        </w:rPr>
      </w:pPr>
      <w:r>
        <w:rPr>
          <w:rFonts w:hint="eastAsia" w:hAnsi="宋体" w:cs="宋体"/>
        </w:rPr>
        <w:t>从客户对申请认定评价的企事业单位提供服务的满意度进行评价，具体评分规则见表11。</w:t>
      </w:r>
    </w:p>
    <w:p w14:paraId="4DBCA41F">
      <w:pPr>
        <w:pStyle w:val="60"/>
        <w:rPr>
          <w:rFonts w:hAnsi="宋体" w:cs="宋体"/>
        </w:rPr>
      </w:pPr>
      <w:r>
        <w:rPr>
          <w:rFonts w:hint="eastAsia"/>
        </w:rPr>
        <w:t>客户满意度评价方法参考SB/T 10409。</w:t>
      </w:r>
    </w:p>
    <w:p w14:paraId="58F12695">
      <w:pPr>
        <w:pStyle w:val="129"/>
        <w:rPr>
          <w:rFonts w:ascii="Times New Roman"/>
        </w:rPr>
      </w:pPr>
      <w:r>
        <w:rPr>
          <w:rFonts w:hint="eastAsia" w:ascii="Times New Roman"/>
        </w:rPr>
        <w:t>客户满意度</w:t>
      </w:r>
      <w:r>
        <w:rPr>
          <w:rFonts w:ascii="Times New Roman"/>
        </w:rPr>
        <w:t>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356"/>
        <w:gridCol w:w="2214"/>
      </w:tblGrid>
      <w:tr w14:paraId="39BE5F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356" w:type="dxa"/>
            <w:tcBorders>
              <w:bottom w:val="single" w:color="auto" w:sz="12" w:space="0"/>
            </w:tcBorders>
            <w:vAlign w:val="center"/>
          </w:tcPr>
          <w:p w14:paraId="3661FC7E">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eastAsia" w:ascii="Times New Roman"/>
                <w:b/>
                <w:bCs/>
                <w:sz w:val="18"/>
                <w:szCs w:val="18"/>
              </w:rPr>
              <w:t>客户满意度</w:t>
            </w:r>
          </w:p>
        </w:tc>
        <w:tc>
          <w:tcPr>
            <w:tcW w:w="2214" w:type="dxa"/>
            <w:tcBorders>
              <w:bottom w:val="single" w:color="auto" w:sz="12" w:space="0"/>
            </w:tcBorders>
            <w:vAlign w:val="center"/>
          </w:tcPr>
          <w:p w14:paraId="682049DC">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分值</w:t>
            </w:r>
            <w:r>
              <w:rPr>
                <w:rFonts w:hint="eastAsia" w:ascii="Times New Roman"/>
                <w:b/>
                <w:bCs/>
                <w:sz w:val="18"/>
                <w:szCs w:val="18"/>
              </w:rPr>
              <w:t>（分）</w:t>
            </w:r>
          </w:p>
        </w:tc>
      </w:tr>
      <w:tr w14:paraId="60782D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7356" w:type="dxa"/>
            <w:tcBorders>
              <w:top w:val="single" w:color="auto" w:sz="12" w:space="0"/>
              <w:tl2br w:val="nil"/>
              <w:tr2bl w:val="nil"/>
            </w:tcBorders>
            <w:vAlign w:val="center"/>
          </w:tcPr>
          <w:p w14:paraId="576F18DD">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非常满意</w:t>
            </w:r>
          </w:p>
        </w:tc>
        <w:tc>
          <w:tcPr>
            <w:tcW w:w="2214" w:type="dxa"/>
            <w:tcBorders>
              <w:top w:val="single" w:color="auto" w:sz="12" w:space="0"/>
              <w:tl2br w:val="nil"/>
              <w:tr2bl w:val="nil"/>
            </w:tcBorders>
            <w:vAlign w:val="center"/>
          </w:tcPr>
          <w:p w14:paraId="5C19AFC0">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default" w:hAnsi="宋体" w:cs="宋体"/>
                <w:sz w:val="18"/>
                <w:szCs w:val="18"/>
              </w:rPr>
              <w:t>8</w:t>
            </w:r>
          </w:p>
        </w:tc>
      </w:tr>
      <w:tr w14:paraId="1A05C4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356" w:type="dxa"/>
            <w:tcBorders>
              <w:tl2br w:val="nil"/>
              <w:tr2bl w:val="nil"/>
            </w:tcBorders>
            <w:vAlign w:val="center"/>
          </w:tcPr>
          <w:p w14:paraId="7D87648B">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满意</w:t>
            </w:r>
          </w:p>
        </w:tc>
        <w:tc>
          <w:tcPr>
            <w:tcW w:w="2214" w:type="dxa"/>
            <w:tcBorders>
              <w:tl2br w:val="nil"/>
              <w:tr2bl w:val="nil"/>
            </w:tcBorders>
            <w:vAlign w:val="center"/>
          </w:tcPr>
          <w:p w14:paraId="4E291B36">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default" w:hAnsi="宋体" w:cs="宋体"/>
                <w:sz w:val="18"/>
                <w:szCs w:val="18"/>
              </w:rPr>
              <w:t>5</w:t>
            </w:r>
          </w:p>
        </w:tc>
      </w:tr>
      <w:tr w14:paraId="562184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7356" w:type="dxa"/>
            <w:tcBorders>
              <w:tl2br w:val="nil"/>
              <w:tr2bl w:val="nil"/>
            </w:tcBorders>
            <w:vAlign w:val="center"/>
          </w:tcPr>
          <w:p w14:paraId="16443532">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一般</w:t>
            </w:r>
          </w:p>
        </w:tc>
        <w:tc>
          <w:tcPr>
            <w:tcW w:w="2214" w:type="dxa"/>
            <w:tcBorders>
              <w:tl2br w:val="nil"/>
              <w:tr2bl w:val="nil"/>
            </w:tcBorders>
            <w:vAlign w:val="center"/>
          </w:tcPr>
          <w:p w14:paraId="51B98B4A">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default" w:hAnsi="宋体" w:cs="宋体"/>
                <w:sz w:val="18"/>
                <w:szCs w:val="18"/>
              </w:rPr>
              <w:t>2</w:t>
            </w:r>
          </w:p>
        </w:tc>
      </w:tr>
      <w:tr w14:paraId="11636F9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7356" w:type="dxa"/>
            <w:tcBorders>
              <w:tl2br w:val="nil"/>
              <w:tr2bl w:val="nil"/>
            </w:tcBorders>
            <w:vAlign w:val="center"/>
          </w:tcPr>
          <w:p w14:paraId="6A3F13F7">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不满意、非常不满意</w:t>
            </w:r>
          </w:p>
        </w:tc>
        <w:tc>
          <w:tcPr>
            <w:tcW w:w="2214" w:type="dxa"/>
            <w:tcBorders>
              <w:tl2br w:val="nil"/>
              <w:tr2bl w:val="nil"/>
            </w:tcBorders>
            <w:vAlign w:val="center"/>
          </w:tcPr>
          <w:p w14:paraId="10EDE47E">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0</w:t>
            </w:r>
          </w:p>
        </w:tc>
      </w:tr>
    </w:tbl>
    <w:p w14:paraId="4D3D7E50">
      <w:pPr>
        <w:pStyle w:val="49"/>
        <w:spacing w:before="156" w:after="156"/>
        <w:rPr>
          <w:rFonts w:ascii="Times New Roman"/>
        </w:rPr>
      </w:pPr>
      <w:r>
        <w:rPr>
          <w:rFonts w:ascii="Times New Roman"/>
        </w:rPr>
        <w:t>社会表现</w:t>
      </w:r>
    </w:p>
    <w:p w14:paraId="4B239C4D">
      <w:pPr>
        <w:pStyle w:val="54"/>
        <w:numPr>
          <w:ilvl w:val="3"/>
          <w:numId w:val="2"/>
        </w:numPr>
        <w:spacing w:before="156" w:after="156"/>
        <w:rPr>
          <w:rFonts w:ascii="Times New Roman"/>
        </w:rPr>
      </w:pPr>
      <w:r>
        <w:rPr>
          <w:rFonts w:ascii="Times New Roman"/>
        </w:rPr>
        <w:t>内部行动</w:t>
      </w:r>
    </w:p>
    <w:p w14:paraId="3DFB38C9">
      <w:pPr>
        <w:pStyle w:val="25"/>
        <w:rPr>
          <w:rFonts w:hAnsi="宋体" w:cs="宋体"/>
        </w:rPr>
      </w:pPr>
      <w:r>
        <w:rPr>
          <w:rFonts w:hint="eastAsia" w:hAnsi="宋体" w:cs="宋体"/>
        </w:rPr>
        <w:t>从企事业单位开展绿色行动、制度建设、信息披露、人员培训的情况进行评价。具体评分规则见表12。</w:t>
      </w:r>
    </w:p>
    <w:p w14:paraId="40C6FA1F">
      <w:pPr>
        <w:pStyle w:val="129"/>
        <w:rPr>
          <w:rFonts w:ascii="Times New Roman"/>
        </w:rPr>
      </w:pPr>
      <w:r>
        <w:rPr>
          <w:rFonts w:ascii="Times New Roman"/>
        </w:rPr>
        <w:t>内部行动评分规则</w:t>
      </w:r>
    </w:p>
    <w:tbl>
      <w:tblPr>
        <w:tblStyle w:val="35"/>
        <w:tblW w:w="95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828"/>
        <w:gridCol w:w="3544"/>
        <w:gridCol w:w="1535"/>
        <w:gridCol w:w="2652"/>
      </w:tblGrid>
      <w:tr w14:paraId="1B49ED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9" w:hRule="atLeast"/>
          <w:jc w:val="center"/>
        </w:trPr>
        <w:tc>
          <w:tcPr>
            <w:tcW w:w="1828" w:type="dxa"/>
            <w:tcBorders>
              <w:top w:val="single" w:color="auto" w:sz="12" w:space="0"/>
              <w:bottom w:val="single" w:color="auto" w:sz="12" w:space="0"/>
            </w:tcBorders>
            <w:vAlign w:val="center"/>
          </w:tcPr>
          <w:p w14:paraId="2C76427E">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eastAsia" w:ascii="Times New Roman"/>
                <w:b/>
                <w:bCs/>
                <w:sz w:val="18"/>
                <w:szCs w:val="18"/>
              </w:rPr>
              <w:t>内部行动</w:t>
            </w:r>
          </w:p>
        </w:tc>
        <w:tc>
          <w:tcPr>
            <w:tcW w:w="3544" w:type="dxa"/>
            <w:tcBorders>
              <w:top w:val="single" w:color="auto" w:sz="12" w:space="0"/>
              <w:bottom w:val="single" w:color="auto" w:sz="12" w:space="0"/>
            </w:tcBorders>
            <w:vAlign w:val="center"/>
          </w:tcPr>
          <w:p w14:paraId="4FE19D56">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开展情况</w:t>
            </w:r>
          </w:p>
        </w:tc>
        <w:tc>
          <w:tcPr>
            <w:tcW w:w="1535" w:type="dxa"/>
            <w:tcBorders>
              <w:top w:val="single" w:color="auto" w:sz="12" w:space="0"/>
              <w:bottom w:val="single" w:color="auto" w:sz="12" w:space="0"/>
            </w:tcBorders>
            <w:vAlign w:val="center"/>
          </w:tcPr>
          <w:p w14:paraId="1D5DC39C">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单项分值</w:t>
            </w:r>
            <w:r>
              <w:rPr>
                <w:rFonts w:hint="eastAsia" w:ascii="Times New Roman"/>
                <w:b/>
                <w:bCs/>
                <w:sz w:val="18"/>
                <w:szCs w:val="18"/>
              </w:rPr>
              <w:t>（分）</w:t>
            </w:r>
          </w:p>
        </w:tc>
        <w:tc>
          <w:tcPr>
            <w:tcW w:w="2652" w:type="dxa"/>
            <w:tcBorders>
              <w:top w:val="single" w:color="auto" w:sz="12" w:space="0"/>
              <w:bottom w:val="single" w:color="auto" w:sz="12" w:space="0"/>
            </w:tcBorders>
            <w:vAlign w:val="center"/>
          </w:tcPr>
          <w:p w14:paraId="31260992">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分值</w:t>
            </w:r>
            <w:r>
              <w:rPr>
                <w:rFonts w:hint="eastAsia" w:ascii="Times New Roman"/>
                <w:b/>
                <w:bCs/>
                <w:sz w:val="18"/>
                <w:szCs w:val="18"/>
              </w:rPr>
              <w:t>（分）</w:t>
            </w:r>
          </w:p>
        </w:tc>
      </w:tr>
      <w:tr w14:paraId="3B9162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828" w:type="dxa"/>
            <w:tcBorders>
              <w:top w:val="single" w:color="auto" w:sz="12" w:space="0"/>
              <w:bottom w:val="single" w:color="auto" w:sz="4" w:space="0"/>
            </w:tcBorders>
            <w:vAlign w:val="center"/>
          </w:tcPr>
          <w:p w14:paraId="7C79B822">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绿色行动</w:t>
            </w:r>
          </w:p>
        </w:tc>
        <w:tc>
          <w:tcPr>
            <w:tcW w:w="3544" w:type="dxa"/>
            <w:tcBorders>
              <w:top w:val="single" w:color="auto" w:sz="12" w:space="0"/>
              <w:bottom w:val="single" w:color="auto" w:sz="4" w:space="0"/>
            </w:tcBorders>
            <w:vAlign w:val="center"/>
          </w:tcPr>
          <w:p w14:paraId="6499EC22">
            <w:pPr>
              <w:pStyle w:val="25"/>
              <w:keepNext w:val="0"/>
              <w:keepLines w:val="0"/>
              <w:widowControl/>
              <w:suppressLineNumbers w:val="0"/>
              <w:spacing w:before="0" w:beforeAutospacing="0" w:after="0" w:afterAutospacing="0"/>
              <w:ind w:left="0" w:right="0" w:firstLine="0" w:firstLineChars="0"/>
              <w:jc w:val="left"/>
              <w:rPr>
                <w:rFonts w:hint="default" w:hAnsi="宋体" w:cs="宋体"/>
                <w:sz w:val="18"/>
                <w:szCs w:val="18"/>
              </w:rPr>
            </w:pPr>
            <w:r>
              <w:rPr>
                <w:rFonts w:hint="eastAsia" w:hAnsi="宋体" w:cs="宋体"/>
                <w:sz w:val="18"/>
                <w:szCs w:val="18"/>
              </w:rPr>
              <w:t>发布碳中和规划或行动方案等绿色行动</w:t>
            </w:r>
          </w:p>
        </w:tc>
        <w:tc>
          <w:tcPr>
            <w:tcW w:w="1535" w:type="dxa"/>
            <w:tcBorders>
              <w:top w:val="single" w:color="auto" w:sz="12" w:space="0"/>
              <w:bottom w:val="single" w:color="auto" w:sz="4" w:space="0"/>
            </w:tcBorders>
            <w:vAlign w:val="center"/>
          </w:tcPr>
          <w:p w14:paraId="0004B0E4">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default" w:hAnsi="宋体" w:cs="宋体"/>
                <w:sz w:val="18"/>
                <w:szCs w:val="18"/>
              </w:rPr>
              <w:t>4</w:t>
            </w:r>
          </w:p>
        </w:tc>
        <w:tc>
          <w:tcPr>
            <w:tcW w:w="2652" w:type="dxa"/>
            <w:vMerge w:val="restart"/>
            <w:tcBorders>
              <w:top w:val="single" w:color="auto" w:sz="12" w:space="0"/>
            </w:tcBorders>
            <w:vAlign w:val="center"/>
          </w:tcPr>
          <w:p w14:paraId="59024E91">
            <w:pPr>
              <w:pStyle w:val="25"/>
              <w:keepNext w:val="0"/>
              <w:keepLines w:val="0"/>
              <w:widowControl/>
              <w:suppressLineNumbers w:val="0"/>
              <w:spacing w:before="0" w:beforeAutospacing="0" w:after="0" w:afterAutospacing="0"/>
              <w:ind w:left="0" w:right="0" w:firstLine="0" w:firstLineChars="0"/>
              <w:rPr>
                <w:rFonts w:hint="default" w:ascii="Times New Roman"/>
                <w:b/>
                <w:bCs/>
                <w:sz w:val="18"/>
                <w:szCs w:val="18"/>
              </w:rPr>
            </w:pPr>
            <w:r>
              <w:rPr>
                <w:rFonts w:hint="eastAsia" w:hAnsi="宋体" w:cs="宋体"/>
                <w:sz w:val="18"/>
                <w:szCs w:val="18"/>
              </w:rPr>
              <w:t>该项得分为四项指标累计得分</w:t>
            </w:r>
          </w:p>
        </w:tc>
      </w:tr>
      <w:tr w14:paraId="677DE5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828" w:type="dxa"/>
            <w:tcBorders>
              <w:top w:val="single" w:color="auto" w:sz="4" w:space="0"/>
              <w:bottom w:val="single" w:color="auto" w:sz="4" w:space="0"/>
            </w:tcBorders>
            <w:vAlign w:val="center"/>
          </w:tcPr>
          <w:p w14:paraId="2A7A2734">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eastAsia" w:hAnsi="宋体" w:cs="宋体"/>
                <w:sz w:val="18"/>
                <w:szCs w:val="18"/>
              </w:rPr>
              <w:t>制度建设</w:t>
            </w:r>
          </w:p>
        </w:tc>
        <w:tc>
          <w:tcPr>
            <w:tcW w:w="3544" w:type="dxa"/>
            <w:tcBorders>
              <w:top w:val="single" w:color="auto" w:sz="4" w:space="0"/>
              <w:bottom w:val="single" w:color="auto" w:sz="4" w:space="0"/>
            </w:tcBorders>
            <w:vAlign w:val="center"/>
          </w:tcPr>
          <w:p w14:paraId="2B3EC517">
            <w:pPr>
              <w:pStyle w:val="25"/>
              <w:keepNext w:val="0"/>
              <w:keepLines w:val="0"/>
              <w:widowControl/>
              <w:suppressLineNumbers w:val="0"/>
              <w:spacing w:before="0" w:beforeAutospacing="0" w:after="0" w:afterAutospacing="0"/>
              <w:ind w:left="0" w:right="0" w:firstLine="0" w:firstLineChars="0"/>
              <w:jc w:val="left"/>
              <w:rPr>
                <w:rFonts w:hint="default" w:hAnsi="宋体" w:cs="宋体"/>
                <w:sz w:val="18"/>
                <w:szCs w:val="18"/>
              </w:rPr>
            </w:pPr>
            <w:r>
              <w:rPr>
                <w:rFonts w:hint="eastAsia" w:hAnsi="宋体" w:cs="宋体"/>
                <w:sz w:val="18"/>
                <w:szCs w:val="18"/>
              </w:rPr>
              <w:t>具有完备的管理制度，且能得到有效执行</w:t>
            </w:r>
          </w:p>
        </w:tc>
        <w:tc>
          <w:tcPr>
            <w:tcW w:w="1535" w:type="dxa"/>
            <w:tcBorders>
              <w:top w:val="single" w:color="auto" w:sz="4" w:space="0"/>
              <w:bottom w:val="single" w:color="auto" w:sz="4" w:space="0"/>
            </w:tcBorders>
            <w:vAlign w:val="center"/>
          </w:tcPr>
          <w:p w14:paraId="221BDCF9">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2</w:t>
            </w:r>
          </w:p>
        </w:tc>
        <w:tc>
          <w:tcPr>
            <w:tcW w:w="2652" w:type="dxa"/>
            <w:vMerge w:val="continue"/>
            <w:vAlign w:val="center"/>
          </w:tcPr>
          <w:p w14:paraId="21F8F93A">
            <w:pPr>
              <w:pStyle w:val="25"/>
              <w:keepNext w:val="0"/>
              <w:keepLines w:val="0"/>
              <w:widowControl/>
              <w:suppressLineNumbers w:val="0"/>
              <w:spacing w:before="0" w:beforeAutospacing="0" w:after="0" w:afterAutospacing="0"/>
              <w:ind w:left="0" w:right="0" w:firstLine="0" w:firstLineChars="0"/>
              <w:rPr>
                <w:rFonts w:hint="default" w:ascii="Times New Roman"/>
                <w:b/>
                <w:bCs/>
                <w:sz w:val="18"/>
                <w:szCs w:val="18"/>
              </w:rPr>
            </w:pPr>
          </w:p>
        </w:tc>
      </w:tr>
      <w:tr w14:paraId="572A46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1828" w:type="dxa"/>
            <w:tcBorders>
              <w:top w:val="single" w:color="auto" w:sz="4" w:space="0"/>
              <w:bottom w:val="single" w:color="auto" w:sz="4" w:space="0"/>
            </w:tcBorders>
            <w:vAlign w:val="center"/>
          </w:tcPr>
          <w:p w14:paraId="61F0D860">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信息披露</w:t>
            </w:r>
          </w:p>
        </w:tc>
        <w:tc>
          <w:tcPr>
            <w:tcW w:w="3544" w:type="dxa"/>
            <w:tcBorders>
              <w:top w:val="single" w:color="auto" w:sz="4" w:space="0"/>
              <w:bottom w:val="single" w:color="auto" w:sz="4" w:space="0"/>
            </w:tcBorders>
            <w:vAlign w:val="center"/>
          </w:tcPr>
          <w:p w14:paraId="6FA9BEAD">
            <w:pPr>
              <w:pStyle w:val="25"/>
              <w:keepNext w:val="0"/>
              <w:keepLines w:val="0"/>
              <w:widowControl/>
              <w:suppressLineNumbers w:val="0"/>
              <w:spacing w:before="0" w:beforeAutospacing="0" w:after="0" w:afterAutospacing="0"/>
              <w:ind w:left="0" w:right="0" w:firstLine="0" w:firstLineChars="0"/>
              <w:jc w:val="left"/>
              <w:rPr>
                <w:rFonts w:hint="default" w:hAnsi="宋体" w:cs="宋体"/>
                <w:sz w:val="18"/>
                <w:szCs w:val="18"/>
              </w:rPr>
            </w:pPr>
            <w:r>
              <w:rPr>
                <w:rFonts w:hint="eastAsia" w:hAnsi="宋体" w:cs="宋体"/>
                <w:sz w:val="18"/>
                <w:szCs w:val="18"/>
              </w:rPr>
              <w:t>通过公开渠道披露环境、社会和公司治理（ESG）情况</w:t>
            </w:r>
          </w:p>
        </w:tc>
        <w:tc>
          <w:tcPr>
            <w:tcW w:w="1535" w:type="dxa"/>
            <w:tcBorders>
              <w:top w:val="single" w:color="auto" w:sz="4" w:space="0"/>
              <w:bottom w:val="single" w:color="auto" w:sz="4" w:space="0"/>
            </w:tcBorders>
            <w:vAlign w:val="center"/>
          </w:tcPr>
          <w:p w14:paraId="5E04F0F3">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default" w:hAnsi="宋体" w:cs="宋体"/>
                <w:sz w:val="18"/>
                <w:szCs w:val="18"/>
              </w:rPr>
              <w:t>2</w:t>
            </w:r>
          </w:p>
        </w:tc>
        <w:tc>
          <w:tcPr>
            <w:tcW w:w="2652" w:type="dxa"/>
            <w:vMerge w:val="continue"/>
            <w:vAlign w:val="center"/>
          </w:tcPr>
          <w:p w14:paraId="7E9C8F16">
            <w:pPr>
              <w:pStyle w:val="25"/>
              <w:keepNext w:val="0"/>
              <w:keepLines w:val="0"/>
              <w:widowControl/>
              <w:suppressLineNumbers w:val="0"/>
              <w:spacing w:before="0" w:beforeAutospacing="0" w:after="0" w:afterAutospacing="0"/>
              <w:ind w:left="0" w:right="0" w:firstLine="361"/>
              <w:rPr>
                <w:rFonts w:hint="default" w:ascii="Times New Roman"/>
                <w:b/>
                <w:bCs/>
                <w:sz w:val="18"/>
                <w:szCs w:val="18"/>
              </w:rPr>
            </w:pPr>
          </w:p>
        </w:tc>
      </w:tr>
      <w:tr w14:paraId="7016B3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1828" w:type="dxa"/>
            <w:tcBorders>
              <w:top w:val="single" w:color="auto" w:sz="4" w:space="0"/>
            </w:tcBorders>
            <w:vAlign w:val="center"/>
          </w:tcPr>
          <w:p w14:paraId="77F2F507">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人员培训</w:t>
            </w:r>
          </w:p>
        </w:tc>
        <w:tc>
          <w:tcPr>
            <w:tcW w:w="3544" w:type="dxa"/>
            <w:tcBorders>
              <w:top w:val="single" w:color="auto" w:sz="4" w:space="0"/>
            </w:tcBorders>
            <w:vAlign w:val="center"/>
          </w:tcPr>
          <w:p w14:paraId="3EAF0AAC">
            <w:pPr>
              <w:pStyle w:val="25"/>
              <w:keepNext w:val="0"/>
              <w:keepLines w:val="0"/>
              <w:widowControl/>
              <w:suppressLineNumbers w:val="0"/>
              <w:spacing w:before="0" w:beforeAutospacing="0" w:after="0" w:afterAutospacing="0"/>
              <w:ind w:left="0" w:right="0" w:firstLine="0" w:firstLineChars="0"/>
              <w:jc w:val="left"/>
              <w:rPr>
                <w:rFonts w:hint="default" w:hAnsi="宋体" w:cs="宋体"/>
                <w:sz w:val="18"/>
                <w:szCs w:val="18"/>
              </w:rPr>
            </w:pPr>
            <w:r>
              <w:rPr>
                <w:rFonts w:hint="eastAsia" w:hAnsi="宋体" w:cs="宋体"/>
                <w:sz w:val="18"/>
                <w:szCs w:val="18"/>
              </w:rPr>
              <w:t>每年开展</w:t>
            </w:r>
            <w:r>
              <w:rPr>
                <w:rFonts w:hint="default" w:hAnsi="宋体" w:cs="宋体"/>
                <w:sz w:val="18"/>
                <w:szCs w:val="18"/>
              </w:rPr>
              <w:t>2</w:t>
            </w:r>
            <w:r>
              <w:rPr>
                <w:rFonts w:hint="eastAsia" w:hAnsi="宋体" w:cs="宋体"/>
                <w:sz w:val="18"/>
                <w:szCs w:val="18"/>
              </w:rPr>
              <w:t>次绿色业务领域能力水平提升的培训活动，或对员工开展2次及以上低碳环保、节能减排、循环经济等主题培训</w:t>
            </w:r>
          </w:p>
        </w:tc>
        <w:tc>
          <w:tcPr>
            <w:tcW w:w="1535" w:type="dxa"/>
            <w:tcBorders>
              <w:top w:val="single" w:color="auto" w:sz="4" w:space="0"/>
            </w:tcBorders>
            <w:vAlign w:val="center"/>
          </w:tcPr>
          <w:p w14:paraId="5C394F82">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default" w:hAnsi="宋体" w:cs="宋体"/>
                <w:sz w:val="18"/>
                <w:szCs w:val="18"/>
              </w:rPr>
              <w:t>2</w:t>
            </w:r>
          </w:p>
        </w:tc>
        <w:tc>
          <w:tcPr>
            <w:tcW w:w="2652" w:type="dxa"/>
            <w:vMerge w:val="continue"/>
            <w:vAlign w:val="center"/>
          </w:tcPr>
          <w:p w14:paraId="1DAC2511">
            <w:pPr>
              <w:pStyle w:val="25"/>
              <w:keepNext w:val="0"/>
              <w:keepLines w:val="0"/>
              <w:widowControl/>
              <w:suppressLineNumbers w:val="0"/>
              <w:spacing w:before="0" w:beforeAutospacing="0" w:after="0" w:afterAutospacing="0"/>
              <w:ind w:left="0" w:right="0" w:firstLine="361"/>
              <w:rPr>
                <w:rFonts w:hint="default" w:ascii="Times New Roman"/>
                <w:b/>
                <w:bCs/>
                <w:sz w:val="18"/>
                <w:szCs w:val="18"/>
              </w:rPr>
            </w:pPr>
          </w:p>
        </w:tc>
      </w:tr>
    </w:tbl>
    <w:p w14:paraId="505FD8EB">
      <w:pPr>
        <w:pStyle w:val="54"/>
        <w:numPr>
          <w:ilvl w:val="3"/>
          <w:numId w:val="2"/>
        </w:numPr>
        <w:spacing w:before="156" w:after="156"/>
        <w:rPr>
          <w:rFonts w:ascii="Times New Roman"/>
        </w:rPr>
      </w:pPr>
      <w:r>
        <w:rPr>
          <w:rFonts w:ascii="Times New Roman"/>
        </w:rPr>
        <w:t>社会责任</w:t>
      </w:r>
    </w:p>
    <w:p w14:paraId="0811A10B">
      <w:pPr>
        <w:pStyle w:val="25"/>
        <w:rPr>
          <w:rFonts w:hAnsi="宋体" w:cs="宋体"/>
        </w:rPr>
      </w:pPr>
      <w:r>
        <w:rPr>
          <w:rFonts w:hint="eastAsia" w:hAnsi="宋体" w:cs="宋体"/>
        </w:rPr>
        <w:t>社会责任从企事业单位履行公共关系和社会公益责任、社会信用记录等情况进行评价。具体评分规则见表13。</w:t>
      </w:r>
    </w:p>
    <w:p w14:paraId="275BDC2B">
      <w:pPr>
        <w:pStyle w:val="129"/>
        <w:rPr>
          <w:rFonts w:ascii="Times New Roman"/>
        </w:rPr>
      </w:pPr>
      <w:r>
        <w:rPr>
          <w:rFonts w:ascii="Times New Roman"/>
        </w:rPr>
        <w:t>社会责任评分规则</w:t>
      </w:r>
    </w:p>
    <w:tbl>
      <w:tblPr>
        <w:tblStyle w:val="35"/>
        <w:tblW w:w="95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32"/>
        <w:gridCol w:w="4812"/>
        <w:gridCol w:w="1697"/>
        <w:gridCol w:w="1718"/>
      </w:tblGrid>
      <w:tr w14:paraId="3C7C3B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332" w:type="dxa"/>
            <w:tcBorders>
              <w:bottom w:val="single" w:color="auto" w:sz="12" w:space="0"/>
            </w:tcBorders>
            <w:vAlign w:val="center"/>
          </w:tcPr>
          <w:p w14:paraId="0A1A27CE">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社会责任</w:t>
            </w:r>
          </w:p>
        </w:tc>
        <w:tc>
          <w:tcPr>
            <w:tcW w:w="4812" w:type="dxa"/>
            <w:tcBorders>
              <w:bottom w:val="single" w:color="auto" w:sz="12" w:space="0"/>
            </w:tcBorders>
            <w:vAlign w:val="center"/>
          </w:tcPr>
          <w:p w14:paraId="2875B692">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eastAsia" w:ascii="Times New Roman"/>
                <w:b/>
                <w:bCs/>
                <w:sz w:val="18"/>
                <w:szCs w:val="18"/>
              </w:rPr>
              <w:t>开展情况</w:t>
            </w:r>
          </w:p>
        </w:tc>
        <w:tc>
          <w:tcPr>
            <w:tcW w:w="1697" w:type="dxa"/>
            <w:tcBorders>
              <w:bottom w:val="single" w:color="auto" w:sz="12" w:space="0"/>
            </w:tcBorders>
            <w:vAlign w:val="center"/>
          </w:tcPr>
          <w:p w14:paraId="46E9C360">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单项分值</w:t>
            </w:r>
            <w:r>
              <w:rPr>
                <w:rFonts w:hint="eastAsia" w:ascii="Times New Roman"/>
                <w:b/>
                <w:bCs/>
                <w:sz w:val="18"/>
                <w:szCs w:val="18"/>
              </w:rPr>
              <w:t>（分）</w:t>
            </w:r>
          </w:p>
        </w:tc>
        <w:tc>
          <w:tcPr>
            <w:tcW w:w="1718" w:type="dxa"/>
            <w:tcBorders>
              <w:bottom w:val="single" w:color="auto" w:sz="12" w:space="0"/>
            </w:tcBorders>
            <w:vAlign w:val="center"/>
          </w:tcPr>
          <w:p w14:paraId="10F90688">
            <w:pPr>
              <w:pStyle w:val="25"/>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rPr>
            </w:pPr>
            <w:r>
              <w:rPr>
                <w:rFonts w:hint="default" w:ascii="Times New Roman"/>
                <w:b/>
                <w:bCs/>
                <w:sz w:val="18"/>
                <w:szCs w:val="18"/>
              </w:rPr>
              <w:t>分值</w:t>
            </w:r>
            <w:r>
              <w:rPr>
                <w:rFonts w:hint="eastAsia" w:ascii="Times New Roman"/>
                <w:b/>
                <w:bCs/>
                <w:sz w:val="18"/>
                <w:szCs w:val="18"/>
              </w:rPr>
              <w:t>（分）</w:t>
            </w:r>
          </w:p>
        </w:tc>
      </w:tr>
      <w:tr w14:paraId="27F989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1332" w:type="dxa"/>
            <w:tcBorders>
              <w:top w:val="single" w:color="auto" w:sz="12" w:space="0"/>
              <w:tl2br w:val="nil"/>
              <w:tr2bl w:val="nil"/>
            </w:tcBorders>
            <w:vAlign w:val="center"/>
          </w:tcPr>
          <w:p w14:paraId="051355CE">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公共关系和社会公益责任</w:t>
            </w:r>
          </w:p>
        </w:tc>
        <w:tc>
          <w:tcPr>
            <w:tcW w:w="4812" w:type="dxa"/>
            <w:tcBorders>
              <w:top w:val="single" w:color="auto" w:sz="12" w:space="0"/>
              <w:tl2br w:val="nil"/>
              <w:tr2bl w:val="nil"/>
            </w:tcBorders>
            <w:vAlign w:val="center"/>
          </w:tcPr>
          <w:p w14:paraId="51CF727D">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主动举办环保公益活动，或参加环境保护、教育、扶贫济困等公益活动，或积极对重大自然灾害、突发事件提供援助</w:t>
            </w:r>
          </w:p>
        </w:tc>
        <w:tc>
          <w:tcPr>
            <w:tcW w:w="1697" w:type="dxa"/>
            <w:tcBorders>
              <w:top w:val="single" w:color="auto" w:sz="12" w:space="0"/>
              <w:tl2br w:val="nil"/>
              <w:tr2bl w:val="nil"/>
            </w:tcBorders>
            <w:vAlign w:val="center"/>
          </w:tcPr>
          <w:p w14:paraId="1E67F729">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default" w:hAnsi="宋体" w:cs="宋体"/>
                <w:sz w:val="18"/>
                <w:szCs w:val="18"/>
              </w:rPr>
              <w:t>4</w:t>
            </w:r>
          </w:p>
        </w:tc>
        <w:tc>
          <w:tcPr>
            <w:tcW w:w="1718" w:type="dxa"/>
            <w:vMerge w:val="restart"/>
            <w:tcBorders>
              <w:top w:val="single" w:color="auto" w:sz="12" w:space="0"/>
              <w:tl2br w:val="nil"/>
              <w:tr2bl w:val="nil"/>
            </w:tcBorders>
            <w:vAlign w:val="center"/>
          </w:tcPr>
          <w:p w14:paraId="158199E4">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该项得分为两项指标累计得分</w:t>
            </w:r>
          </w:p>
        </w:tc>
      </w:tr>
      <w:tr w14:paraId="259FE9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1332" w:type="dxa"/>
            <w:tcBorders>
              <w:tl2br w:val="nil"/>
              <w:tr2bl w:val="nil"/>
            </w:tcBorders>
            <w:vAlign w:val="center"/>
          </w:tcPr>
          <w:p w14:paraId="2B2D61F4">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社会信用记录</w:t>
            </w:r>
          </w:p>
        </w:tc>
        <w:tc>
          <w:tcPr>
            <w:tcW w:w="4812" w:type="dxa"/>
            <w:tcBorders>
              <w:tl2br w:val="nil"/>
              <w:tr2bl w:val="nil"/>
            </w:tcBorders>
            <w:vAlign w:val="center"/>
          </w:tcPr>
          <w:p w14:paraId="0713961A">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default" w:hAnsi="宋体" w:cs="宋体"/>
                <w:sz w:val="18"/>
                <w:szCs w:val="18"/>
              </w:rPr>
              <w:t>近三年内未被相关行政主管部门通报违法违规情况</w:t>
            </w:r>
          </w:p>
        </w:tc>
        <w:tc>
          <w:tcPr>
            <w:tcW w:w="1697" w:type="dxa"/>
            <w:tcBorders>
              <w:tl2br w:val="nil"/>
              <w:tr2bl w:val="nil"/>
            </w:tcBorders>
            <w:vAlign w:val="center"/>
          </w:tcPr>
          <w:p w14:paraId="1572095D">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4</w:t>
            </w:r>
          </w:p>
        </w:tc>
        <w:tc>
          <w:tcPr>
            <w:tcW w:w="1718" w:type="dxa"/>
            <w:vMerge w:val="continue"/>
            <w:tcBorders>
              <w:tl2br w:val="nil"/>
              <w:tr2bl w:val="nil"/>
            </w:tcBorders>
            <w:vAlign w:val="center"/>
          </w:tcPr>
          <w:p w14:paraId="52DDE4D0">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p>
        </w:tc>
      </w:tr>
    </w:tbl>
    <w:p w14:paraId="02DF5983">
      <w:pPr>
        <w:pStyle w:val="48"/>
        <w:outlineLvl w:val="0"/>
        <w:rPr>
          <w:rFonts w:ascii="Times New Roman"/>
        </w:rPr>
      </w:pPr>
      <w:bookmarkStart w:id="78" w:name="_Toc195038130"/>
      <w:bookmarkStart w:id="79" w:name="_Toc102992462"/>
      <w:r>
        <w:rPr>
          <w:rFonts w:ascii="Times New Roman"/>
        </w:rPr>
        <w:t>评价程序</w:t>
      </w:r>
      <w:bookmarkEnd w:id="78"/>
      <w:bookmarkEnd w:id="79"/>
    </w:p>
    <w:p w14:paraId="4D79B395">
      <w:pPr>
        <w:pStyle w:val="45"/>
        <w:outlineLvl w:val="1"/>
        <w:rPr>
          <w:rFonts w:ascii="Times New Roman"/>
        </w:rPr>
      </w:pPr>
      <w:bookmarkStart w:id="80" w:name="_Toc195038131"/>
      <w:bookmarkStart w:id="81" w:name="_Toc19162"/>
      <w:r>
        <w:rPr>
          <w:rFonts w:ascii="Times New Roman"/>
        </w:rPr>
        <w:t>成立工作组</w:t>
      </w:r>
      <w:bookmarkEnd w:id="80"/>
      <w:bookmarkEnd w:id="81"/>
    </w:p>
    <w:p w14:paraId="50EB2F6D">
      <w:pPr>
        <w:ind w:firstLine="420" w:firstLineChars="200"/>
      </w:pPr>
      <w:r>
        <w:rPr>
          <w:rFonts w:hint="eastAsia"/>
        </w:rPr>
        <w:t>企事业单位成立绿色低碳产业认定申报工作组，负责具体协调、组织和实施绿色低碳产业认定申报工作。工作组成员应满足以下条件：</w:t>
      </w:r>
    </w:p>
    <w:p w14:paraId="69874056">
      <w:pPr>
        <w:ind w:firstLine="420" w:firstLineChars="200"/>
      </w:pPr>
      <w:r>
        <w:rPr>
          <w:rFonts w:hint="eastAsia"/>
        </w:rPr>
        <w:t>——具有绿色金融认证和评级、环境、财务等相关专业背景；</w:t>
      </w:r>
    </w:p>
    <w:p w14:paraId="04BC17FC">
      <w:pPr>
        <w:ind w:firstLine="420" w:firstLineChars="200"/>
      </w:pPr>
      <w:r>
        <w:rPr>
          <w:rFonts w:hint="eastAsia"/>
        </w:rPr>
        <w:t>——熟悉掌握绿色低碳产业认定评价方法和步骤；</w:t>
      </w:r>
    </w:p>
    <w:p w14:paraId="3EF0D1E0">
      <w:pPr>
        <w:ind w:firstLine="420" w:firstLineChars="200"/>
      </w:pPr>
      <w:r>
        <w:rPr>
          <w:rFonts w:hint="eastAsia"/>
        </w:rPr>
        <w:t>——具备良好的沟通协调能力和文字表达能力。</w:t>
      </w:r>
    </w:p>
    <w:p w14:paraId="37B0421C">
      <w:pPr>
        <w:pStyle w:val="45"/>
        <w:outlineLvl w:val="1"/>
        <w:rPr>
          <w:rFonts w:ascii="Times New Roman"/>
        </w:rPr>
      </w:pPr>
      <w:bookmarkStart w:id="82" w:name="_Toc195038132"/>
      <w:r>
        <w:rPr>
          <w:rFonts w:hint="eastAsia" w:ascii="Times New Roman"/>
        </w:rPr>
        <w:t>收集材料</w:t>
      </w:r>
      <w:bookmarkEnd w:id="82"/>
    </w:p>
    <w:p w14:paraId="7FE50DCD">
      <w:pPr>
        <w:pStyle w:val="25"/>
      </w:pPr>
      <w:r>
        <w:rPr>
          <w:rFonts w:hint="eastAsia"/>
        </w:rPr>
        <w:t>企事业单位开展绿色低碳产业认定评价应收集的信息</w:t>
      </w:r>
      <w:r>
        <w:rPr>
          <w:rFonts w:hint="eastAsia" w:hAnsi="宋体" w:cs="宋体"/>
        </w:rPr>
        <w:t>和文件资料见表14和表15</w:t>
      </w:r>
      <w:r>
        <w:rPr>
          <w:rFonts w:hint="eastAsia"/>
        </w:rPr>
        <w:t>。</w:t>
      </w:r>
    </w:p>
    <w:p w14:paraId="114F6551">
      <w:pPr>
        <w:numPr>
          <w:ilvl w:val="0"/>
          <w:numId w:val="17"/>
        </w:numPr>
        <w:spacing w:before="156" w:beforeLines="50" w:after="156" w:afterLines="50"/>
        <w:jc w:val="center"/>
      </w:pPr>
      <w:r>
        <w:rPr>
          <w:rFonts w:hint="eastAsia" w:eastAsia="黑体"/>
        </w:rPr>
        <w:t>绿色金融认证和评级领域绿色低碳产业企业符合性评价证明材料</w:t>
      </w:r>
    </w:p>
    <w:tbl>
      <w:tblPr>
        <w:tblStyle w:val="36"/>
        <w:tblW w:w="9559"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7196"/>
        <w:gridCol w:w="2363"/>
      </w:tblGrid>
      <w:tr w14:paraId="477DBE4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48" w:hRule="atLeast"/>
          <w:tblHeader/>
          <w:jc w:val="center"/>
        </w:trPr>
        <w:tc>
          <w:tcPr>
            <w:tcW w:w="7196" w:type="dxa"/>
            <w:tcBorders>
              <w:bottom w:val="single" w:color="000000" w:sz="12" w:space="0"/>
            </w:tcBorders>
            <w:vAlign w:val="center"/>
          </w:tcPr>
          <w:p w14:paraId="2DEE810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rPr>
            </w:pPr>
            <w:r>
              <w:rPr>
                <w:rFonts w:hint="eastAsia" w:ascii="宋体"/>
                <w:b/>
                <w:kern w:val="0"/>
                <w:sz w:val="18"/>
                <w:szCs w:val="18"/>
              </w:rPr>
              <w:t>评价内容</w:t>
            </w:r>
          </w:p>
        </w:tc>
        <w:tc>
          <w:tcPr>
            <w:tcW w:w="2363" w:type="dxa"/>
            <w:tcBorders>
              <w:bottom w:val="single" w:color="000000" w:sz="12" w:space="0"/>
            </w:tcBorders>
            <w:vAlign w:val="center"/>
          </w:tcPr>
          <w:p w14:paraId="31D8067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rPr>
            </w:pPr>
            <w:r>
              <w:rPr>
                <w:rFonts w:hint="default" w:ascii="宋体"/>
                <w:b/>
                <w:kern w:val="0"/>
                <w:sz w:val="18"/>
                <w:szCs w:val="18"/>
              </w:rPr>
              <w:t>证明材料</w:t>
            </w:r>
          </w:p>
        </w:tc>
      </w:tr>
      <w:tr w14:paraId="103F5E7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14" w:hRule="atLeast"/>
          <w:jc w:val="center"/>
        </w:trPr>
        <w:tc>
          <w:tcPr>
            <w:tcW w:w="7196" w:type="dxa"/>
            <w:tcBorders>
              <w:top w:val="single" w:color="000000" w:sz="12" w:space="0"/>
              <w:bottom w:val="single" w:color="000000" w:sz="12" w:space="0"/>
              <w:tl2br w:val="nil"/>
              <w:tr2bl w:val="nil"/>
            </w:tcBorders>
            <w:vAlign w:val="center"/>
          </w:tcPr>
          <w:p w14:paraId="3DFA8875">
            <w:pPr>
              <w:keepNext w:val="0"/>
              <w:keepLines w:val="0"/>
              <w:widowControl/>
              <w:suppressLineNumbers w:val="0"/>
              <w:tabs>
                <w:tab w:val="center" w:pos="4201"/>
                <w:tab w:val="right" w:leader="dot" w:pos="9298"/>
              </w:tabs>
              <w:autoSpaceDE w:val="0"/>
              <w:autoSpaceDN w:val="0"/>
              <w:spacing w:before="0" w:beforeAutospacing="0" w:after="0" w:afterAutospacing="0"/>
              <w:ind w:left="0" w:right="0"/>
              <w:rPr>
                <w:rFonts w:hint="default" w:ascii="宋体"/>
                <w:kern w:val="0"/>
                <w:sz w:val="18"/>
                <w:szCs w:val="18"/>
              </w:rPr>
            </w:pPr>
            <w:r>
              <w:rPr>
                <w:rFonts w:hint="eastAsia" w:ascii="宋体"/>
                <w:sz w:val="18"/>
                <w:szCs w:val="18"/>
              </w:rPr>
              <w:t>申报认定评价的绿色业务属于绿色金融认证和评级领域，或在当地具备一定市场规模、经相关政府职能部门认可的相关行业</w:t>
            </w:r>
          </w:p>
        </w:tc>
        <w:tc>
          <w:tcPr>
            <w:tcW w:w="2363" w:type="dxa"/>
            <w:tcBorders>
              <w:top w:val="single" w:color="000000" w:sz="12" w:space="0"/>
              <w:bottom w:val="single" w:color="000000" w:sz="12" w:space="0"/>
              <w:tl2br w:val="nil"/>
              <w:tr2bl w:val="nil"/>
            </w:tcBorders>
            <w:vAlign w:val="center"/>
          </w:tcPr>
          <w:p w14:paraId="4F51CD5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r>
              <w:rPr>
                <w:rFonts w:hint="default" w:ascii="宋体"/>
                <w:kern w:val="0"/>
                <w:sz w:val="18"/>
                <w:szCs w:val="18"/>
              </w:rPr>
              <w:t>有效营业执照</w:t>
            </w:r>
          </w:p>
        </w:tc>
      </w:tr>
    </w:tbl>
    <w:p w14:paraId="149E01BB">
      <w:pPr>
        <w:numPr>
          <w:ilvl w:val="0"/>
          <w:numId w:val="17"/>
        </w:numPr>
        <w:spacing w:before="156" w:beforeLines="50" w:after="156" w:afterLines="50"/>
        <w:jc w:val="center"/>
      </w:pPr>
      <w:r>
        <w:rPr>
          <w:rFonts w:hint="eastAsia" w:eastAsia="黑体"/>
        </w:rPr>
        <w:t>绿色金融认证和评级领域绿色低碳产业企业认定综合评价证明材料</w:t>
      </w:r>
    </w:p>
    <w:tbl>
      <w:tblPr>
        <w:tblStyle w:val="36"/>
        <w:tblW w:w="9560"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321"/>
        <w:gridCol w:w="1662"/>
        <w:gridCol w:w="2629"/>
        <w:gridCol w:w="3948"/>
      </w:tblGrid>
      <w:tr w14:paraId="42C4B1C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321" w:type="dxa"/>
            <w:tcBorders>
              <w:top w:val="single" w:color="000000" w:sz="12" w:space="0"/>
              <w:bottom w:val="single" w:color="000000" w:sz="12" w:space="0"/>
            </w:tcBorders>
            <w:vAlign w:val="center"/>
          </w:tcPr>
          <w:p w14:paraId="0CB5295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rPr>
            </w:pPr>
            <w:r>
              <w:rPr>
                <w:rFonts w:hint="default" w:ascii="宋体"/>
                <w:b/>
                <w:kern w:val="0"/>
                <w:sz w:val="18"/>
                <w:szCs w:val="18"/>
              </w:rPr>
              <w:t>一级指标</w:t>
            </w:r>
          </w:p>
        </w:tc>
        <w:tc>
          <w:tcPr>
            <w:tcW w:w="1662" w:type="dxa"/>
            <w:tcBorders>
              <w:top w:val="single" w:color="000000" w:sz="12" w:space="0"/>
              <w:bottom w:val="single" w:color="000000" w:sz="12" w:space="0"/>
            </w:tcBorders>
            <w:vAlign w:val="center"/>
          </w:tcPr>
          <w:p w14:paraId="1D00CB1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rPr>
            </w:pPr>
            <w:r>
              <w:rPr>
                <w:rFonts w:hint="default" w:ascii="宋体"/>
                <w:b/>
                <w:kern w:val="0"/>
                <w:sz w:val="18"/>
                <w:szCs w:val="18"/>
              </w:rPr>
              <w:t>二级指标</w:t>
            </w:r>
          </w:p>
        </w:tc>
        <w:tc>
          <w:tcPr>
            <w:tcW w:w="2629" w:type="dxa"/>
            <w:tcBorders>
              <w:top w:val="single" w:color="000000" w:sz="12" w:space="0"/>
              <w:bottom w:val="single" w:color="000000" w:sz="12" w:space="0"/>
            </w:tcBorders>
            <w:vAlign w:val="center"/>
          </w:tcPr>
          <w:p w14:paraId="427C50A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rPr>
            </w:pPr>
            <w:r>
              <w:rPr>
                <w:rFonts w:hint="default" w:ascii="宋体"/>
                <w:b/>
                <w:kern w:val="0"/>
                <w:sz w:val="18"/>
                <w:szCs w:val="18"/>
              </w:rPr>
              <w:t>三级指标</w:t>
            </w:r>
          </w:p>
        </w:tc>
        <w:tc>
          <w:tcPr>
            <w:tcW w:w="3948" w:type="dxa"/>
            <w:tcBorders>
              <w:top w:val="single" w:color="000000" w:sz="12" w:space="0"/>
              <w:bottom w:val="single" w:color="000000" w:sz="12" w:space="0"/>
            </w:tcBorders>
            <w:vAlign w:val="center"/>
          </w:tcPr>
          <w:p w14:paraId="362EF6F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rPr>
            </w:pPr>
            <w:r>
              <w:rPr>
                <w:rFonts w:hint="default" w:ascii="宋体"/>
                <w:b/>
                <w:kern w:val="0"/>
                <w:sz w:val="18"/>
                <w:szCs w:val="18"/>
              </w:rPr>
              <w:t>证明材料</w:t>
            </w:r>
          </w:p>
        </w:tc>
      </w:tr>
      <w:tr w14:paraId="044933E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321" w:type="dxa"/>
            <w:vMerge w:val="restart"/>
            <w:tcBorders>
              <w:top w:val="single" w:color="000000" w:sz="12" w:space="0"/>
            </w:tcBorders>
            <w:vAlign w:val="center"/>
          </w:tcPr>
          <w:p w14:paraId="33EDDC5A">
            <w:pPr>
              <w:keepNext w:val="0"/>
              <w:keepLines w:val="0"/>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rPr>
            </w:pPr>
            <w:r>
              <w:rPr>
                <w:rFonts w:hint="default" w:ascii="宋体"/>
                <w:kern w:val="0"/>
                <w:sz w:val="18"/>
                <w:szCs w:val="18"/>
              </w:rPr>
              <w:t>技术表现</w:t>
            </w:r>
          </w:p>
        </w:tc>
        <w:tc>
          <w:tcPr>
            <w:tcW w:w="1662" w:type="dxa"/>
            <w:vMerge w:val="restart"/>
            <w:tcBorders>
              <w:top w:val="single" w:color="000000" w:sz="12" w:space="0"/>
              <w:right w:val="single" w:color="auto" w:sz="4" w:space="0"/>
            </w:tcBorders>
            <w:vAlign w:val="center"/>
          </w:tcPr>
          <w:p w14:paraId="472B43E2">
            <w:pPr>
              <w:keepNext w:val="0"/>
              <w:keepLines w:val="0"/>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rPr>
            </w:pPr>
            <w:r>
              <w:rPr>
                <w:rFonts w:hint="default" w:ascii="宋体"/>
                <w:kern w:val="0"/>
                <w:sz w:val="18"/>
                <w:szCs w:val="18"/>
              </w:rPr>
              <w:t>先进性</w:t>
            </w:r>
          </w:p>
        </w:tc>
        <w:tc>
          <w:tcPr>
            <w:tcW w:w="2629" w:type="dxa"/>
            <w:tcBorders>
              <w:top w:val="single" w:color="000000" w:sz="12" w:space="0"/>
              <w:left w:val="single" w:color="auto" w:sz="4" w:space="0"/>
              <w:bottom w:val="single" w:color="auto" w:sz="4" w:space="0"/>
              <w:right w:val="single" w:color="auto" w:sz="4" w:space="0"/>
            </w:tcBorders>
            <w:vAlign w:val="center"/>
          </w:tcPr>
          <w:p w14:paraId="61D8111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rPr>
            </w:pPr>
            <w:r>
              <w:rPr>
                <w:rFonts w:hint="default" w:ascii="宋体"/>
                <w:sz w:val="18"/>
                <w:szCs w:val="18"/>
              </w:rPr>
              <w:t>有效知识产权</w:t>
            </w:r>
          </w:p>
        </w:tc>
        <w:tc>
          <w:tcPr>
            <w:tcW w:w="3948" w:type="dxa"/>
            <w:tcBorders>
              <w:top w:val="single" w:color="000000" w:sz="12" w:space="0"/>
              <w:left w:val="single" w:color="auto" w:sz="4" w:space="0"/>
              <w:bottom w:val="single" w:color="auto" w:sz="4" w:space="0"/>
              <w:right w:val="single" w:color="auto" w:sz="4" w:space="0"/>
            </w:tcBorders>
            <w:vAlign w:val="center"/>
          </w:tcPr>
          <w:p w14:paraId="3915617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rPr>
            </w:pPr>
            <w:r>
              <w:rPr>
                <w:rFonts w:hint="default" w:ascii="宋体"/>
                <w:kern w:val="0"/>
                <w:sz w:val="18"/>
                <w:szCs w:val="18"/>
              </w:rPr>
              <w:t>相关知识产权证明</w:t>
            </w:r>
          </w:p>
        </w:tc>
      </w:tr>
      <w:tr w14:paraId="55A0EC2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321" w:type="dxa"/>
            <w:vMerge w:val="continue"/>
            <w:vAlign w:val="center"/>
          </w:tcPr>
          <w:p w14:paraId="2F002E4B">
            <w:pPr>
              <w:keepNext w:val="0"/>
              <w:keepLines w:val="0"/>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rPr>
            </w:pPr>
          </w:p>
        </w:tc>
        <w:tc>
          <w:tcPr>
            <w:tcW w:w="1662" w:type="dxa"/>
            <w:vMerge w:val="continue"/>
            <w:tcBorders>
              <w:right w:val="single" w:color="auto" w:sz="4" w:space="0"/>
            </w:tcBorders>
            <w:vAlign w:val="center"/>
          </w:tcPr>
          <w:p w14:paraId="34FCBB07">
            <w:pPr>
              <w:keepNext w:val="0"/>
              <w:keepLines w:val="0"/>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rPr>
            </w:pPr>
          </w:p>
        </w:tc>
        <w:tc>
          <w:tcPr>
            <w:tcW w:w="2629" w:type="dxa"/>
            <w:tcBorders>
              <w:top w:val="single" w:color="auto" w:sz="4" w:space="0"/>
              <w:left w:val="single" w:color="auto" w:sz="4" w:space="0"/>
              <w:bottom w:val="single" w:color="auto" w:sz="4" w:space="0"/>
              <w:right w:val="single" w:color="auto" w:sz="4" w:space="0"/>
            </w:tcBorders>
            <w:vAlign w:val="center"/>
          </w:tcPr>
          <w:p w14:paraId="5E9FD5D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rPr>
            </w:pPr>
            <w:r>
              <w:rPr>
                <w:rFonts w:hint="default" w:ascii="宋体"/>
                <w:sz w:val="18"/>
                <w:szCs w:val="18"/>
              </w:rPr>
              <w:t>制修订标准</w:t>
            </w:r>
          </w:p>
        </w:tc>
        <w:tc>
          <w:tcPr>
            <w:tcW w:w="3948" w:type="dxa"/>
            <w:tcBorders>
              <w:top w:val="single" w:color="auto" w:sz="4" w:space="0"/>
              <w:left w:val="single" w:color="auto" w:sz="4" w:space="0"/>
              <w:bottom w:val="single" w:color="auto" w:sz="4" w:space="0"/>
              <w:right w:val="single" w:color="auto" w:sz="4" w:space="0"/>
            </w:tcBorders>
            <w:vAlign w:val="center"/>
          </w:tcPr>
          <w:p w14:paraId="34DB218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rPr>
            </w:pPr>
            <w:r>
              <w:rPr>
                <w:rFonts w:hint="default" w:ascii="宋体"/>
                <w:kern w:val="0"/>
                <w:sz w:val="18"/>
                <w:szCs w:val="18"/>
              </w:rPr>
              <w:t>相关</w:t>
            </w:r>
            <w:r>
              <w:rPr>
                <w:rFonts w:hint="eastAsia" w:ascii="宋体"/>
                <w:kern w:val="0"/>
                <w:sz w:val="18"/>
                <w:szCs w:val="18"/>
              </w:rPr>
              <w:t>标准材料</w:t>
            </w:r>
            <w:r>
              <w:rPr>
                <w:rFonts w:hint="default" w:ascii="宋体"/>
                <w:kern w:val="0"/>
                <w:sz w:val="18"/>
                <w:szCs w:val="18"/>
              </w:rPr>
              <w:t>证明</w:t>
            </w:r>
          </w:p>
        </w:tc>
      </w:tr>
      <w:tr w14:paraId="7E57922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321" w:type="dxa"/>
            <w:vMerge w:val="continue"/>
            <w:vAlign w:val="center"/>
          </w:tcPr>
          <w:p w14:paraId="0EE4EF8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p>
        </w:tc>
        <w:tc>
          <w:tcPr>
            <w:tcW w:w="1662" w:type="dxa"/>
            <w:vMerge w:val="continue"/>
            <w:tcBorders>
              <w:right w:val="single" w:color="auto" w:sz="4" w:space="0"/>
            </w:tcBorders>
            <w:vAlign w:val="center"/>
          </w:tcPr>
          <w:p w14:paraId="7FC66F9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p>
        </w:tc>
        <w:tc>
          <w:tcPr>
            <w:tcW w:w="2629" w:type="dxa"/>
            <w:tcBorders>
              <w:top w:val="single" w:color="auto" w:sz="4" w:space="0"/>
              <w:left w:val="single" w:color="auto" w:sz="4" w:space="0"/>
              <w:bottom w:val="single" w:color="auto" w:sz="4" w:space="0"/>
              <w:right w:val="single" w:color="auto" w:sz="4" w:space="0"/>
              <w:tl2br w:val="nil"/>
              <w:tr2bl w:val="nil"/>
            </w:tcBorders>
            <w:vAlign w:val="center"/>
          </w:tcPr>
          <w:p w14:paraId="7AB35090">
            <w:pPr>
              <w:keepNext w:val="0"/>
              <w:keepLines w:val="0"/>
              <w:suppressLineNumbers w:val="0"/>
              <w:autoSpaceDE w:val="0"/>
              <w:autoSpaceDN w:val="0"/>
              <w:spacing w:before="0" w:beforeAutospacing="0" w:after="0" w:afterAutospacing="0"/>
              <w:ind w:left="0" w:right="0"/>
              <w:jc w:val="center"/>
              <w:rPr>
                <w:rFonts w:hint="default" w:ascii="宋体"/>
                <w:sz w:val="18"/>
                <w:szCs w:val="18"/>
              </w:rPr>
            </w:pPr>
            <w:r>
              <w:rPr>
                <w:rFonts w:hint="eastAsia" w:ascii="宋体"/>
                <w:sz w:val="18"/>
                <w:szCs w:val="18"/>
              </w:rPr>
              <w:t>关键技术先进性</w:t>
            </w:r>
          </w:p>
        </w:tc>
        <w:tc>
          <w:tcPr>
            <w:tcW w:w="3948" w:type="dxa"/>
            <w:tcBorders>
              <w:top w:val="single" w:color="auto" w:sz="4" w:space="0"/>
              <w:left w:val="single" w:color="auto" w:sz="4" w:space="0"/>
              <w:bottom w:val="single" w:color="auto" w:sz="4" w:space="0"/>
              <w:right w:val="single" w:color="auto" w:sz="4" w:space="0"/>
              <w:tl2br w:val="nil"/>
              <w:tr2bl w:val="nil"/>
            </w:tcBorders>
            <w:vAlign w:val="center"/>
          </w:tcPr>
          <w:p w14:paraId="4C268F6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r>
              <w:rPr>
                <w:rFonts w:hint="eastAsia" w:ascii="宋体"/>
                <w:kern w:val="0"/>
                <w:sz w:val="18"/>
                <w:szCs w:val="18"/>
              </w:rPr>
              <w:t>企业相关自证材料</w:t>
            </w:r>
          </w:p>
        </w:tc>
      </w:tr>
      <w:tr w14:paraId="5F1C2CA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321" w:type="dxa"/>
            <w:vMerge w:val="continue"/>
            <w:vAlign w:val="center"/>
          </w:tcPr>
          <w:p w14:paraId="008F673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p>
        </w:tc>
        <w:tc>
          <w:tcPr>
            <w:tcW w:w="4291" w:type="dxa"/>
            <w:gridSpan w:val="2"/>
            <w:tcBorders>
              <w:tl2br w:val="nil"/>
              <w:tr2bl w:val="nil"/>
            </w:tcBorders>
            <w:vAlign w:val="center"/>
          </w:tcPr>
          <w:p w14:paraId="40B0CC9C">
            <w:pPr>
              <w:keepNext w:val="0"/>
              <w:keepLines w:val="0"/>
              <w:suppressLineNumbers w:val="0"/>
              <w:autoSpaceDE w:val="0"/>
              <w:autoSpaceDN w:val="0"/>
              <w:spacing w:before="0" w:beforeAutospacing="0" w:after="0" w:afterAutospacing="0"/>
              <w:ind w:left="0" w:right="0"/>
              <w:jc w:val="center"/>
              <w:rPr>
                <w:rFonts w:hint="default" w:ascii="宋体"/>
                <w:sz w:val="18"/>
                <w:szCs w:val="18"/>
              </w:rPr>
            </w:pPr>
            <w:r>
              <w:rPr>
                <w:rFonts w:hint="default" w:ascii="宋体"/>
                <w:kern w:val="0"/>
                <w:sz w:val="18"/>
                <w:szCs w:val="18"/>
              </w:rPr>
              <w:t>环境效益</w:t>
            </w:r>
          </w:p>
        </w:tc>
        <w:tc>
          <w:tcPr>
            <w:tcW w:w="3948" w:type="dxa"/>
            <w:tcBorders>
              <w:top w:val="single" w:color="auto" w:sz="4" w:space="0"/>
              <w:tl2br w:val="nil"/>
              <w:tr2bl w:val="nil"/>
            </w:tcBorders>
            <w:vAlign w:val="center"/>
          </w:tcPr>
          <w:p w14:paraId="59A6627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r>
              <w:rPr>
                <w:rFonts w:hint="default" w:ascii="宋体"/>
                <w:kern w:val="0"/>
                <w:sz w:val="18"/>
                <w:szCs w:val="18"/>
              </w:rPr>
              <w:t>企业相关自证材料</w:t>
            </w:r>
          </w:p>
        </w:tc>
      </w:tr>
      <w:tr w14:paraId="3D0BD0A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321" w:type="dxa"/>
            <w:vMerge w:val="restart"/>
            <w:tcBorders>
              <w:tl2br w:val="nil"/>
              <w:tr2bl w:val="nil"/>
            </w:tcBorders>
            <w:vAlign w:val="center"/>
          </w:tcPr>
          <w:p w14:paraId="56EA9A3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r>
              <w:rPr>
                <w:rFonts w:hint="default" w:ascii="宋体"/>
                <w:kern w:val="0"/>
                <w:sz w:val="18"/>
                <w:szCs w:val="18"/>
              </w:rPr>
              <w:t>业务表现</w:t>
            </w:r>
          </w:p>
        </w:tc>
        <w:tc>
          <w:tcPr>
            <w:tcW w:w="1662" w:type="dxa"/>
            <w:vMerge w:val="restart"/>
            <w:tcBorders>
              <w:tl2br w:val="nil"/>
              <w:tr2bl w:val="nil"/>
            </w:tcBorders>
            <w:vAlign w:val="center"/>
          </w:tcPr>
          <w:p w14:paraId="012B717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r>
              <w:rPr>
                <w:rFonts w:hint="default" w:ascii="宋体"/>
                <w:kern w:val="0"/>
                <w:sz w:val="18"/>
                <w:szCs w:val="18"/>
              </w:rPr>
              <w:t>发展能力</w:t>
            </w:r>
          </w:p>
        </w:tc>
        <w:tc>
          <w:tcPr>
            <w:tcW w:w="2629" w:type="dxa"/>
            <w:tcBorders>
              <w:tl2br w:val="nil"/>
              <w:tr2bl w:val="nil"/>
            </w:tcBorders>
            <w:vAlign w:val="center"/>
          </w:tcPr>
          <w:p w14:paraId="7AABFC1A">
            <w:pPr>
              <w:keepNext w:val="0"/>
              <w:keepLines w:val="0"/>
              <w:suppressLineNumbers w:val="0"/>
              <w:autoSpaceDE w:val="0"/>
              <w:autoSpaceDN w:val="0"/>
              <w:spacing w:before="0" w:beforeAutospacing="0" w:after="0" w:afterAutospacing="0"/>
              <w:ind w:left="0" w:right="0"/>
              <w:jc w:val="center"/>
              <w:rPr>
                <w:rFonts w:hint="default" w:ascii="宋体"/>
                <w:sz w:val="18"/>
                <w:szCs w:val="18"/>
              </w:rPr>
            </w:pPr>
            <w:r>
              <w:rPr>
                <w:rFonts w:hint="default" w:ascii="宋体"/>
                <w:sz w:val="18"/>
                <w:szCs w:val="18"/>
              </w:rPr>
              <w:t>团队技术实力</w:t>
            </w:r>
          </w:p>
        </w:tc>
        <w:tc>
          <w:tcPr>
            <w:tcW w:w="3948" w:type="dxa"/>
            <w:tcBorders>
              <w:tl2br w:val="nil"/>
              <w:tr2bl w:val="nil"/>
            </w:tcBorders>
            <w:vAlign w:val="center"/>
          </w:tcPr>
          <w:p w14:paraId="32F35B8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r>
              <w:rPr>
                <w:rFonts w:hint="default" w:ascii="宋体"/>
                <w:kern w:val="0"/>
                <w:sz w:val="18"/>
                <w:szCs w:val="18"/>
              </w:rPr>
              <w:t>合同</w:t>
            </w:r>
            <w:r>
              <w:rPr>
                <w:rFonts w:hint="eastAsia" w:ascii="宋体"/>
                <w:kern w:val="0"/>
                <w:sz w:val="18"/>
                <w:szCs w:val="18"/>
              </w:rPr>
              <w:t>、学历职称证书</w:t>
            </w:r>
            <w:r>
              <w:rPr>
                <w:rFonts w:hint="default" w:ascii="宋体"/>
                <w:kern w:val="0"/>
                <w:sz w:val="18"/>
                <w:szCs w:val="18"/>
              </w:rPr>
              <w:t>及社保等相关材料</w:t>
            </w:r>
          </w:p>
        </w:tc>
      </w:tr>
      <w:tr w14:paraId="7DC8EA7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321" w:type="dxa"/>
            <w:vMerge w:val="continue"/>
            <w:tcBorders>
              <w:tl2br w:val="nil"/>
              <w:tr2bl w:val="nil"/>
            </w:tcBorders>
            <w:vAlign w:val="center"/>
          </w:tcPr>
          <w:p w14:paraId="0950FC8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p>
        </w:tc>
        <w:tc>
          <w:tcPr>
            <w:tcW w:w="1662" w:type="dxa"/>
            <w:vMerge w:val="continue"/>
            <w:tcBorders>
              <w:tl2br w:val="nil"/>
              <w:tr2bl w:val="nil"/>
            </w:tcBorders>
            <w:vAlign w:val="center"/>
          </w:tcPr>
          <w:p w14:paraId="02F56B3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p>
        </w:tc>
        <w:tc>
          <w:tcPr>
            <w:tcW w:w="2629" w:type="dxa"/>
            <w:tcBorders>
              <w:tl2br w:val="nil"/>
              <w:tr2bl w:val="nil"/>
            </w:tcBorders>
            <w:vAlign w:val="center"/>
          </w:tcPr>
          <w:p w14:paraId="1C1DF299">
            <w:pPr>
              <w:keepNext w:val="0"/>
              <w:keepLines w:val="0"/>
              <w:suppressLineNumbers w:val="0"/>
              <w:autoSpaceDE w:val="0"/>
              <w:autoSpaceDN w:val="0"/>
              <w:spacing w:before="0" w:beforeAutospacing="0" w:after="0" w:afterAutospacing="0"/>
              <w:ind w:left="0" w:right="0"/>
              <w:jc w:val="center"/>
              <w:rPr>
                <w:rFonts w:hint="default" w:ascii="宋体"/>
                <w:sz w:val="18"/>
                <w:szCs w:val="18"/>
              </w:rPr>
            </w:pPr>
            <w:r>
              <w:rPr>
                <w:rFonts w:hint="eastAsia" w:ascii="宋体"/>
                <w:sz w:val="18"/>
                <w:szCs w:val="18"/>
              </w:rPr>
              <w:t>研发投入</w:t>
            </w:r>
          </w:p>
        </w:tc>
        <w:tc>
          <w:tcPr>
            <w:tcW w:w="3948" w:type="dxa"/>
            <w:tcBorders>
              <w:tl2br w:val="nil"/>
              <w:tr2bl w:val="nil"/>
            </w:tcBorders>
            <w:vAlign w:val="center"/>
          </w:tcPr>
          <w:p w14:paraId="43F0891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r>
              <w:rPr>
                <w:rFonts w:hint="eastAsia" w:ascii="宋体"/>
                <w:kern w:val="0"/>
                <w:sz w:val="18"/>
                <w:szCs w:val="18"/>
              </w:rPr>
              <w:t>专项审计或鉴证报告</w:t>
            </w:r>
            <w:r>
              <w:rPr>
                <w:rFonts w:hint="eastAsia" w:ascii="宋体"/>
                <w:kern w:val="0"/>
                <w:sz w:val="18"/>
                <w:szCs w:val="18"/>
                <w:vertAlign w:val="superscript"/>
              </w:rPr>
              <w:t>a</w:t>
            </w:r>
          </w:p>
        </w:tc>
      </w:tr>
      <w:tr w14:paraId="4B37257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321" w:type="dxa"/>
            <w:vMerge w:val="continue"/>
            <w:tcBorders>
              <w:tl2br w:val="nil"/>
              <w:tr2bl w:val="nil"/>
            </w:tcBorders>
            <w:vAlign w:val="center"/>
          </w:tcPr>
          <w:p w14:paraId="1FD885C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p>
        </w:tc>
        <w:tc>
          <w:tcPr>
            <w:tcW w:w="1662" w:type="dxa"/>
            <w:vMerge w:val="continue"/>
            <w:tcBorders>
              <w:tl2br w:val="nil"/>
              <w:tr2bl w:val="nil"/>
            </w:tcBorders>
            <w:vAlign w:val="center"/>
          </w:tcPr>
          <w:p w14:paraId="5091823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p>
        </w:tc>
        <w:tc>
          <w:tcPr>
            <w:tcW w:w="2629" w:type="dxa"/>
            <w:tcBorders>
              <w:tl2br w:val="nil"/>
              <w:tr2bl w:val="nil"/>
            </w:tcBorders>
            <w:vAlign w:val="center"/>
          </w:tcPr>
          <w:p w14:paraId="793CED56">
            <w:pPr>
              <w:keepNext w:val="0"/>
              <w:keepLines w:val="0"/>
              <w:suppressLineNumbers w:val="0"/>
              <w:autoSpaceDE w:val="0"/>
              <w:autoSpaceDN w:val="0"/>
              <w:spacing w:before="0" w:beforeAutospacing="0" w:after="0" w:afterAutospacing="0"/>
              <w:ind w:left="0" w:right="0"/>
              <w:jc w:val="center"/>
              <w:rPr>
                <w:rFonts w:hint="default" w:ascii="宋体"/>
                <w:sz w:val="18"/>
                <w:szCs w:val="18"/>
              </w:rPr>
            </w:pPr>
            <w:r>
              <w:rPr>
                <w:rFonts w:hint="eastAsia" w:ascii="宋体"/>
                <w:sz w:val="18"/>
                <w:szCs w:val="18"/>
              </w:rPr>
              <w:t>运营效益水平</w:t>
            </w:r>
          </w:p>
        </w:tc>
        <w:tc>
          <w:tcPr>
            <w:tcW w:w="3948" w:type="dxa"/>
            <w:tcBorders>
              <w:tl2br w:val="nil"/>
              <w:tr2bl w:val="nil"/>
            </w:tcBorders>
            <w:vAlign w:val="center"/>
          </w:tcPr>
          <w:p w14:paraId="316A046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r>
              <w:rPr>
                <w:rFonts w:hint="eastAsia" w:ascii="宋体"/>
                <w:kern w:val="0"/>
                <w:sz w:val="18"/>
                <w:szCs w:val="18"/>
              </w:rPr>
              <w:t>财务审计报告</w:t>
            </w:r>
            <w:r>
              <w:rPr>
                <w:rFonts w:hint="eastAsia" w:ascii="宋体"/>
                <w:kern w:val="0"/>
                <w:sz w:val="18"/>
                <w:szCs w:val="18"/>
                <w:vertAlign w:val="superscript"/>
              </w:rPr>
              <w:t>b</w:t>
            </w:r>
          </w:p>
        </w:tc>
      </w:tr>
      <w:tr w14:paraId="5A8122A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321" w:type="dxa"/>
            <w:vMerge w:val="continue"/>
            <w:tcBorders>
              <w:tl2br w:val="nil"/>
              <w:tr2bl w:val="nil"/>
            </w:tcBorders>
            <w:vAlign w:val="center"/>
          </w:tcPr>
          <w:p w14:paraId="1DA4A4A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p>
        </w:tc>
        <w:tc>
          <w:tcPr>
            <w:tcW w:w="1662" w:type="dxa"/>
            <w:vMerge w:val="restart"/>
            <w:tcBorders>
              <w:tl2br w:val="nil"/>
              <w:tr2bl w:val="nil"/>
            </w:tcBorders>
            <w:vAlign w:val="center"/>
          </w:tcPr>
          <w:p w14:paraId="504DD93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r>
              <w:rPr>
                <w:rFonts w:hint="default" w:ascii="宋体"/>
                <w:kern w:val="0"/>
                <w:sz w:val="18"/>
                <w:szCs w:val="18"/>
              </w:rPr>
              <w:t>市场影响</w:t>
            </w:r>
          </w:p>
        </w:tc>
        <w:tc>
          <w:tcPr>
            <w:tcW w:w="2629" w:type="dxa"/>
            <w:tcBorders>
              <w:tl2br w:val="nil"/>
              <w:tr2bl w:val="nil"/>
            </w:tcBorders>
            <w:vAlign w:val="center"/>
          </w:tcPr>
          <w:p w14:paraId="5592C315">
            <w:pPr>
              <w:keepNext w:val="0"/>
              <w:keepLines w:val="0"/>
              <w:suppressLineNumbers w:val="0"/>
              <w:autoSpaceDE w:val="0"/>
              <w:autoSpaceDN w:val="0"/>
              <w:spacing w:before="0" w:beforeAutospacing="0" w:after="0" w:afterAutospacing="0"/>
              <w:ind w:left="0" w:right="0"/>
              <w:jc w:val="center"/>
              <w:rPr>
                <w:rFonts w:hint="default" w:ascii="宋体"/>
                <w:sz w:val="18"/>
                <w:szCs w:val="18"/>
              </w:rPr>
            </w:pPr>
            <w:r>
              <w:rPr>
                <w:rFonts w:hint="default" w:ascii="宋体"/>
                <w:sz w:val="18"/>
                <w:szCs w:val="18"/>
              </w:rPr>
              <w:t>市场竞争力</w:t>
            </w:r>
          </w:p>
        </w:tc>
        <w:tc>
          <w:tcPr>
            <w:tcW w:w="3948" w:type="dxa"/>
            <w:tcBorders>
              <w:tl2br w:val="nil"/>
              <w:tr2bl w:val="nil"/>
            </w:tcBorders>
            <w:vAlign w:val="center"/>
          </w:tcPr>
          <w:p w14:paraId="7A52EDF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r>
              <w:rPr>
                <w:rFonts w:hint="eastAsia" w:ascii="宋体"/>
                <w:kern w:val="0"/>
                <w:sz w:val="18"/>
                <w:szCs w:val="18"/>
              </w:rPr>
              <w:t>能力资质证书、</w:t>
            </w:r>
            <w:r>
              <w:rPr>
                <w:rFonts w:hint="default" w:ascii="宋体"/>
                <w:kern w:val="0"/>
                <w:sz w:val="18"/>
                <w:szCs w:val="18"/>
              </w:rPr>
              <w:t>企业相关自证材料</w:t>
            </w:r>
          </w:p>
        </w:tc>
      </w:tr>
      <w:tr w14:paraId="6FF72A7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321" w:type="dxa"/>
            <w:vMerge w:val="continue"/>
            <w:tcBorders>
              <w:tl2br w:val="nil"/>
              <w:tr2bl w:val="nil"/>
            </w:tcBorders>
            <w:vAlign w:val="center"/>
          </w:tcPr>
          <w:p w14:paraId="271B6AC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p>
        </w:tc>
        <w:tc>
          <w:tcPr>
            <w:tcW w:w="1662" w:type="dxa"/>
            <w:vMerge w:val="continue"/>
            <w:tcBorders>
              <w:tl2br w:val="nil"/>
              <w:tr2bl w:val="nil"/>
            </w:tcBorders>
            <w:vAlign w:val="center"/>
          </w:tcPr>
          <w:p w14:paraId="61DB8B9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p>
        </w:tc>
        <w:tc>
          <w:tcPr>
            <w:tcW w:w="2629" w:type="dxa"/>
            <w:tcBorders>
              <w:tl2br w:val="nil"/>
              <w:tr2bl w:val="nil"/>
            </w:tcBorders>
            <w:vAlign w:val="center"/>
          </w:tcPr>
          <w:p w14:paraId="3E87D888">
            <w:pPr>
              <w:keepNext w:val="0"/>
              <w:keepLines w:val="0"/>
              <w:suppressLineNumbers w:val="0"/>
              <w:autoSpaceDE w:val="0"/>
              <w:autoSpaceDN w:val="0"/>
              <w:spacing w:before="0" w:beforeAutospacing="0" w:after="0" w:afterAutospacing="0"/>
              <w:ind w:left="0" w:right="0"/>
              <w:jc w:val="center"/>
              <w:rPr>
                <w:rFonts w:hint="default" w:ascii="宋体"/>
                <w:sz w:val="18"/>
                <w:szCs w:val="18"/>
              </w:rPr>
            </w:pPr>
            <w:r>
              <w:rPr>
                <w:rFonts w:hint="eastAsia" w:ascii="宋体"/>
                <w:sz w:val="18"/>
                <w:szCs w:val="18"/>
              </w:rPr>
              <w:t>产业影响力</w:t>
            </w:r>
          </w:p>
        </w:tc>
        <w:tc>
          <w:tcPr>
            <w:tcW w:w="3948" w:type="dxa"/>
            <w:tcBorders>
              <w:tl2br w:val="nil"/>
              <w:tr2bl w:val="nil"/>
            </w:tcBorders>
            <w:vAlign w:val="center"/>
          </w:tcPr>
          <w:p w14:paraId="7C8AB2B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r>
              <w:rPr>
                <w:rFonts w:hint="eastAsia" w:ascii="宋体"/>
                <w:kern w:val="0"/>
                <w:sz w:val="18"/>
                <w:szCs w:val="18"/>
              </w:rPr>
              <w:t>企业相关自证材料</w:t>
            </w:r>
          </w:p>
        </w:tc>
      </w:tr>
      <w:tr w14:paraId="755F09C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321" w:type="dxa"/>
            <w:vMerge w:val="continue"/>
            <w:tcBorders>
              <w:tl2br w:val="nil"/>
              <w:tr2bl w:val="nil"/>
            </w:tcBorders>
            <w:vAlign w:val="center"/>
          </w:tcPr>
          <w:p w14:paraId="7824E72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p>
        </w:tc>
        <w:tc>
          <w:tcPr>
            <w:tcW w:w="1662" w:type="dxa"/>
            <w:vMerge w:val="continue"/>
            <w:tcBorders>
              <w:tl2br w:val="nil"/>
              <w:tr2bl w:val="nil"/>
            </w:tcBorders>
            <w:vAlign w:val="center"/>
          </w:tcPr>
          <w:p w14:paraId="3AC5A25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p>
        </w:tc>
        <w:tc>
          <w:tcPr>
            <w:tcW w:w="2629" w:type="dxa"/>
            <w:tcBorders>
              <w:tl2br w:val="nil"/>
              <w:tr2bl w:val="nil"/>
            </w:tcBorders>
            <w:vAlign w:val="center"/>
          </w:tcPr>
          <w:p w14:paraId="4AF26462">
            <w:pPr>
              <w:keepNext w:val="0"/>
              <w:keepLines w:val="0"/>
              <w:suppressLineNumbers w:val="0"/>
              <w:autoSpaceDE w:val="0"/>
              <w:autoSpaceDN w:val="0"/>
              <w:spacing w:before="0" w:beforeAutospacing="0" w:after="0" w:afterAutospacing="0"/>
              <w:ind w:left="0" w:right="0"/>
              <w:jc w:val="center"/>
              <w:rPr>
                <w:rFonts w:hint="default" w:ascii="宋体"/>
                <w:sz w:val="18"/>
                <w:szCs w:val="18"/>
              </w:rPr>
            </w:pPr>
            <w:r>
              <w:rPr>
                <w:rFonts w:hint="default" w:ascii="宋体"/>
                <w:sz w:val="18"/>
                <w:szCs w:val="18"/>
              </w:rPr>
              <w:t>行业资质</w:t>
            </w:r>
            <w:r>
              <w:rPr>
                <w:rFonts w:hint="eastAsia" w:ascii="宋体"/>
                <w:sz w:val="18"/>
                <w:szCs w:val="18"/>
              </w:rPr>
              <w:t>荣誉</w:t>
            </w:r>
          </w:p>
        </w:tc>
        <w:tc>
          <w:tcPr>
            <w:tcW w:w="3948" w:type="dxa"/>
            <w:tcBorders>
              <w:tl2br w:val="nil"/>
              <w:tr2bl w:val="nil"/>
            </w:tcBorders>
            <w:vAlign w:val="center"/>
          </w:tcPr>
          <w:p w14:paraId="5001EFF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r>
              <w:rPr>
                <w:rFonts w:hint="eastAsia" w:ascii="宋体"/>
                <w:kern w:val="0"/>
                <w:sz w:val="18"/>
                <w:szCs w:val="18"/>
              </w:rPr>
              <w:t>相关机构颁发的证明文件</w:t>
            </w:r>
          </w:p>
        </w:tc>
      </w:tr>
      <w:tr w14:paraId="58A7DE6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321" w:type="dxa"/>
            <w:vMerge w:val="continue"/>
            <w:tcBorders>
              <w:tl2br w:val="nil"/>
              <w:tr2bl w:val="nil"/>
            </w:tcBorders>
            <w:vAlign w:val="center"/>
          </w:tcPr>
          <w:p w14:paraId="5A07029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p>
        </w:tc>
        <w:tc>
          <w:tcPr>
            <w:tcW w:w="1662" w:type="dxa"/>
            <w:vMerge w:val="continue"/>
            <w:tcBorders>
              <w:tl2br w:val="nil"/>
              <w:tr2bl w:val="nil"/>
            </w:tcBorders>
            <w:vAlign w:val="center"/>
          </w:tcPr>
          <w:p w14:paraId="59FB38E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p>
        </w:tc>
        <w:tc>
          <w:tcPr>
            <w:tcW w:w="2629" w:type="dxa"/>
            <w:tcBorders>
              <w:tl2br w:val="nil"/>
              <w:tr2bl w:val="nil"/>
            </w:tcBorders>
            <w:vAlign w:val="center"/>
          </w:tcPr>
          <w:p w14:paraId="15C25B19">
            <w:pPr>
              <w:keepNext w:val="0"/>
              <w:keepLines w:val="0"/>
              <w:suppressLineNumbers w:val="0"/>
              <w:autoSpaceDE w:val="0"/>
              <w:autoSpaceDN w:val="0"/>
              <w:spacing w:before="0" w:beforeAutospacing="0" w:after="0" w:afterAutospacing="0"/>
              <w:ind w:left="0" w:right="0"/>
              <w:jc w:val="center"/>
              <w:rPr>
                <w:rFonts w:hint="default" w:ascii="宋体"/>
                <w:sz w:val="18"/>
                <w:szCs w:val="18"/>
              </w:rPr>
            </w:pPr>
            <w:r>
              <w:rPr>
                <w:rFonts w:hint="eastAsia" w:ascii="宋体"/>
                <w:sz w:val="18"/>
                <w:szCs w:val="18"/>
              </w:rPr>
              <w:t>客户满意度</w:t>
            </w:r>
          </w:p>
        </w:tc>
        <w:tc>
          <w:tcPr>
            <w:tcW w:w="3948" w:type="dxa"/>
            <w:tcBorders>
              <w:tl2br w:val="nil"/>
              <w:tr2bl w:val="nil"/>
            </w:tcBorders>
            <w:vAlign w:val="center"/>
          </w:tcPr>
          <w:p w14:paraId="5C2D808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r>
              <w:rPr>
                <w:rFonts w:hint="eastAsia" w:ascii="宋体"/>
                <w:kern w:val="0"/>
                <w:sz w:val="18"/>
                <w:szCs w:val="18"/>
              </w:rPr>
              <w:t>企业相关自证材料</w:t>
            </w:r>
          </w:p>
        </w:tc>
      </w:tr>
      <w:tr w14:paraId="073C41C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321" w:type="dxa"/>
            <w:vMerge w:val="restart"/>
            <w:tcBorders>
              <w:tl2br w:val="nil"/>
              <w:tr2bl w:val="nil"/>
            </w:tcBorders>
            <w:vAlign w:val="center"/>
          </w:tcPr>
          <w:p w14:paraId="3B0D0EA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r>
              <w:rPr>
                <w:rFonts w:hint="default" w:ascii="宋体"/>
                <w:kern w:val="0"/>
                <w:sz w:val="18"/>
                <w:szCs w:val="18"/>
              </w:rPr>
              <w:t>社会表现</w:t>
            </w:r>
          </w:p>
        </w:tc>
        <w:tc>
          <w:tcPr>
            <w:tcW w:w="4291" w:type="dxa"/>
            <w:gridSpan w:val="2"/>
            <w:tcBorders>
              <w:tl2br w:val="nil"/>
              <w:tr2bl w:val="nil"/>
            </w:tcBorders>
            <w:vAlign w:val="center"/>
          </w:tcPr>
          <w:p w14:paraId="7EF9188D">
            <w:pPr>
              <w:keepNext w:val="0"/>
              <w:keepLines w:val="0"/>
              <w:widowControl/>
              <w:suppressLineNumbers w:val="0"/>
              <w:autoSpaceDE w:val="0"/>
              <w:autoSpaceDN w:val="0"/>
              <w:spacing w:before="0" w:beforeAutospacing="0" w:after="0" w:afterAutospacing="0"/>
              <w:ind w:left="0" w:right="0"/>
              <w:jc w:val="center"/>
              <w:rPr>
                <w:rFonts w:hint="default" w:ascii="宋体"/>
                <w:sz w:val="18"/>
                <w:szCs w:val="18"/>
              </w:rPr>
            </w:pPr>
            <w:r>
              <w:rPr>
                <w:rFonts w:hint="eastAsia" w:ascii="宋体"/>
                <w:kern w:val="0"/>
                <w:sz w:val="18"/>
                <w:szCs w:val="18"/>
              </w:rPr>
              <w:t>内部行动</w:t>
            </w:r>
          </w:p>
        </w:tc>
        <w:tc>
          <w:tcPr>
            <w:tcW w:w="3948" w:type="dxa"/>
            <w:tcBorders>
              <w:tl2br w:val="nil"/>
              <w:tr2bl w:val="nil"/>
            </w:tcBorders>
            <w:vAlign w:val="center"/>
          </w:tcPr>
          <w:p w14:paraId="352FD64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r>
              <w:rPr>
                <w:rFonts w:hint="eastAsia" w:ascii="宋体"/>
                <w:kern w:val="0"/>
                <w:sz w:val="18"/>
                <w:szCs w:val="18"/>
              </w:rPr>
              <w:t>企业相关自证材料</w:t>
            </w:r>
          </w:p>
        </w:tc>
      </w:tr>
      <w:tr w14:paraId="594428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321" w:type="dxa"/>
            <w:vMerge w:val="continue"/>
            <w:tcBorders>
              <w:bottom w:val="single" w:color="000000" w:sz="12" w:space="0"/>
              <w:tl2br w:val="nil"/>
              <w:tr2bl w:val="nil"/>
            </w:tcBorders>
            <w:vAlign w:val="center"/>
          </w:tcPr>
          <w:p w14:paraId="2DB43CE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p>
        </w:tc>
        <w:tc>
          <w:tcPr>
            <w:tcW w:w="4291" w:type="dxa"/>
            <w:gridSpan w:val="2"/>
            <w:tcBorders>
              <w:bottom w:val="single" w:color="000000" w:sz="12" w:space="0"/>
              <w:tl2br w:val="nil"/>
              <w:tr2bl w:val="nil"/>
            </w:tcBorders>
            <w:vAlign w:val="center"/>
          </w:tcPr>
          <w:p w14:paraId="7691E41A">
            <w:pPr>
              <w:keepNext w:val="0"/>
              <w:keepLines w:val="0"/>
              <w:suppressLineNumbers w:val="0"/>
              <w:autoSpaceDE w:val="0"/>
              <w:autoSpaceDN w:val="0"/>
              <w:spacing w:before="0" w:beforeAutospacing="0" w:after="0" w:afterAutospacing="0"/>
              <w:ind w:left="0" w:right="0"/>
              <w:jc w:val="center"/>
              <w:rPr>
                <w:rFonts w:hint="default" w:ascii="宋体"/>
                <w:sz w:val="18"/>
                <w:szCs w:val="18"/>
              </w:rPr>
            </w:pPr>
            <w:r>
              <w:rPr>
                <w:rFonts w:hint="default" w:ascii="宋体"/>
                <w:kern w:val="0"/>
                <w:sz w:val="18"/>
                <w:szCs w:val="18"/>
              </w:rPr>
              <w:t>社会责任</w:t>
            </w:r>
          </w:p>
        </w:tc>
        <w:tc>
          <w:tcPr>
            <w:tcW w:w="3948" w:type="dxa"/>
            <w:tcBorders>
              <w:bottom w:val="single" w:color="000000" w:sz="12" w:space="0"/>
              <w:tl2br w:val="nil"/>
              <w:tr2bl w:val="nil"/>
            </w:tcBorders>
            <w:vAlign w:val="center"/>
          </w:tcPr>
          <w:p w14:paraId="55E8A66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rPr>
            </w:pPr>
            <w:r>
              <w:rPr>
                <w:rFonts w:hint="default" w:ascii="宋体"/>
                <w:kern w:val="0"/>
                <w:sz w:val="18"/>
                <w:szCs w:val="18"/>
              </w:rPr>
              <w:t>企业相关自证材料</w:t>
            </w:r>
          </w:p>
        </w:tc>
      </w:tr>
      <w:tr w14:paraId="5CE613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560" w:type="dxa"/>
            <w:gridSpan w:val="4"/>
            <w:tcBorders>
              <w:top w:val="single" w:color="000000" w:sz="12" w:space="0"/>
            </w:tcBorders>
            <w:vAlign w:val="center"/>
          </w:tcPr>
          <w:p w14:paraId="26CD500D">
            <w:pPr>
              <w:keepNext w:val="0"/>
              <w:keepLines w:val="0"/>
              <w:widowControl/>
              <w:suppressLineNumbers w:val="0"/>
              <w:tabs>
                <w:tab w:val="center" w:pos="4201"/>
                <w:tab w:val="right" w:leader="dot" w:pos="9298"/>
              </w:tabs>
              <w:autoSpaceDE w:val="0"/>
              <w:autoSpaceDN w:val="0"/>
              <w:spacing w:before="0" w:beforeAutospacing="0" w:after="0" w:afterAutospacing="0"/>
              <w:ind w:left="0" w:right="0" w:firstLine="360" w:firstLineChars="200"/>
              <w:jc w:val="left"/>
              <w:rPr>
                <w:rFonts w:hint="default" w:ascii="宋体"/>
                <w:kern w:val="0"/>
                <w:sz w:val="18"/>
                <w:szCs w:val="18"/>
              </w:rPr>
            </w:pPr>
            <w:r>
              <w:rPr>
                <w:rFonts w:hint="eastAsia" w:ascii="宋体"/>
                <w:kern w:val="0"/>
                <w:sz w:val="18"/>
                <w:szCs w:val="18"/>
                <w:vertAlign w:val="superscript"/>
              </w:rPr>
              <w:t xml:space="preserve">a  </w:t>
            </w:r>
            <w:r>
              <w:rPr>
                <w:rFonts w:hint="eastAsia" w:ascii="宋体"/>
                <w:kern w:val="0"/>
                <w:sz w:val="18"/>
                <w:szCs w:val="18"/>
              </w:rPr>
              <w:t>提供近1个会计年度绿色低碳领域研究开发费用、营业收入专项审计或鉴证报告。</w:t>
            </w:r>
          </w:p>
          <w:p w14:paraId="2D84DB84">
            <w:pPr>
              <w:keepNext w:val="0"/>
              <w:keepLines w:val="0"/>
              <w:widowControl/>
              <w:suppressLineNumbers w:val="0"/>
              <w:tabs>
                <w:tab w:val="center" w:pos="4201"/>
                <w:tab w:val="right" w:leader="dot" w:pos="9298"/>
              </w:tabs>
              <w:autoSpaceDE w:val="0"/>
              <w:autoSpaceDN w:val="0"/>
              <w:spacing w:before="0" w:beforeAutospacing="0" w:after="0" w:afterAutospacing="0"/>
              <w:ind w:left="0" w:right="0" w:firstLine="360" w:firstLineChars="200"/>
              <w:jc w:val="left"/>
              <w:rPr>
                <w:rFonts w:hint="default" w:ascii="宋体"/>
                <w:kern w:val="0"/>
                <w:sz w:val="18"/>
                <w:szCs w:val="18"/>
              </w:rPr>
            </w:pPr>
            <w:r>
              <w:rPr>
                <w:rFonts w:hint="eastAsia" w:ascii="宋体"/>
                <w:kern w:val="0"/>
                <w:sz w:val="18"/>
                <w:szCs w:val="18"/>
                <w:vertAlign w:val="superscript"/>
              </w:rPr>
              <w:t xml:space="preserve">b  </w:t>
            </w:r>
            <w:r>
              <w:rPr>
                <w:rFonts w:hint="eastAsia" w:ascii="宋体"/>
                <w:kern w:val="0"/>
                <w:sz w:val="18"/>
                <w:szCs w:val="18"/>
              </w:rPr>
              <w:t>提供经具有资质的中介机构出具的企业近3年财务审计报告。</w:t>
            </w:r>
          </w:p>
        </w:tc>
      </w:tr>
    </w:tbl>
    <w:p w14:paraId="01923F79">
      <w:pPr>
        <w:pStyle w:val="45"/>
        <w:adjustRightInd w:val="0"/>
        <w:snapToGrid w:val="0"/>
        <w:outlineLvl w:val="1"/>
        <w:rPr>
          <w:rFonts w:ascii="Times New Roman"/>
        </w:rPr>
      </w:pPr>
      <w:bookmarkStart w:id="83" w:name="_Toc195038133"/>
      <w:bookmarkStart w:id="84" w:name="_Toc23498"/>
      <w:r>
        <w:rPr>
          <w:rFonts w:hint="eastAsia" w:ascii="Times New Roman"/>
        </w:rPr>
        <w:t>编制报告</w:t>
      </w:r>
      <w:bookmarkEnd w:id="83"/>
    </w:p>
    <w:p w14:paraId="6299A792">
      <w:pPr>
        <w:autoSpaceDE w:val="0"/>
        <w:autoSpaceDN w:val="0"/>
        <w:ind w:firstLine="420" w:firstLineChars="200"/>
        <w:rPr>
          <w:rFonts w:ascii="宋体" w:hAnsi="宋体" w:cs="宋体"/>
        </w:rPr>
      </w:pPr>
      <w:r>
        <w:rPr>
          <w:rFonts w:hint="eastAsia" w:ascii="宋体" w:hAnsi="宋体" w:cs="宋体"/>
        </w:rPr>
        <w:t>企事业单位编制绿色金融认证和评级领域绿色低碳产业认定评价报告（见附录B），内容包括但不限于：</w:t>
      </w:r>
    </w:p>
    <w:p w14:paraId="3BBE8919">
      <w:pPr>
        <w:autoSpaceDE w:val="0"/>
        <w:autoSpaceDN w:val="0"/>
        <w:ind w:firstLine="420" w:firstLineChars="200"/>
        <w:rPr>
          <w:rFonts w:ascii="宋体" w:hAnsi="宋体" w:cs="宋体"/>
        </w:rPr>
      </w:pPr>
      <w:r>
        <w:rPr>
          <w:rFonts w:hint="eastAsia" w:ascii="宋体" w:hAnsi="宋体" w:cs="宋体"/>
        </w:rPr>
        <w:t>——基本信息表，包括企事业单位基本信息；</w:t>
      </w:r>
    </w:p>
    <w:p w14:paraId="179E4918">
      <w:pPr>
        <w:autoSpaceDE w:val="0"/>
        <w:autoSpaceDN w:val="0"/>
        <w:ind w:firstLine="420" w:firstLineChars="200"/>
        <w:rPr>
          <w:rFonts w:ascii="宋体" w:hAnsi="宋体" w:cs="宋体"/>
        </w:rPr>
      </w:pPr>
      <w:r>
        <w:rPr>
          <w:rFonts w:hint="eastAsia" w:ascii="宋体" w:hAnsi="宋体" w:cs="宋体"/>
        </w:rPr>
        <w:t>——基本情况，概述企事业单位发展现状以及在绿色低碳方面开展的重点工作；</w:t>
      </w:r>
    </w:p>
    <w:p w14:paraId="2E66DC5C">
      <w:pPr>
        <w:autoSpaceDE w:val="0"/>
        <w:autoSpaceDN w:val="0"/>
        <w:ind w:firstLine="420" w:firstLineChars="200"/>
        <w:rPr>
          <w:rFonts w:ascii="宋体" w:hAnsi="宋体" w:cs="宋体"/>
        </w:rPr>
      </w:pPr>
      <w:r>
        <w:rPr>
          <w:rFonts w:hint="eastAsia" w:ascii="宋体" w:hAnsi="宋体" w:cs="宋体"/>
        </w:rPr>
        <w:t>——评价工作，概述绿色低碳产业认定评价工作具体开展情况；</w:t>
      </w:r>
    </w:p>
    <w:p w14:paraId="3B208991">
      <w:pPr>
        <w:autoSpaceDE w:val="0"/>
        <w:autoSpaceDN w:val="0"/>
        <w:ind w:firstLine="420" w:firstLineChars="200"/>
        <w:rPr>
          <w:rFonts w:ascii="宋体" w:hAnsi="宋体" w:cs="宋体"/>
        </w:rPr>
      </w:pPr>
      <w:r>
        <w:rPr>
          <w:rFonts w:hint="eastAsia" w:ascii="宋体" w:hAnsi="宋体" w:cs="宋体"/>
        </w:rPr>
        <w:t>——认定情况，对符合性评价及综合评价等内容进行具体描述；</w:t>
      </w:r>
    </w:p>
    <w:p w14:paraId="6A4A58D7">
      <w:pPr>
        <w:autoSpaceDE w:val="0"/>
        <w:autoSpaceDN w:val="0"/>
        <w:ind w:firstLine="420" w:firstLineChars="200"/>
        <w:rPr>
          <w:rFonts w:ascii="宋体" w:hAnsi="宋体" w:cs="宋体"/>
        </w:rPr>
      </w:pPr>
      <w:r>
        <w:rPr>
          <w:rFonts w:hint="eastAsia" w:ascii="宋体" w:hAnsi="宋体" w:cs="宋体"/>
        </w:rPr>
        <w:t>——评价表，对符合性评价及综合评价指标得分情况进行量化；</w:t>
      </w:r>
    </w:p>
    <w:p w14:paraId="413F0FCA">
      <w:pPr>
        <w:autoSpaceDE w:val="0"/>
        <w:autoSpaceDN w:val="0"/>
        <w:ind w:firstLine="420" w:firstLineChars="200"/>
      </w:pPr>
      <w:r>
        <w:rPr>
          <w:rFonts w:hint="eastAsia" w:ascii="宋体" w:hAnsi="宋体" w:cs="宋体"/>
        </w:rPr>
        <w:t>——相关支持材料。</w:t>
      </w:r>
    </w:p>
    <w:p w14:paraId="2B4D9080">
      <w:pPr>
        <w:pStyle w:val="45"/>
        <w:outlineLvl w:val="1"/>
        <w:rPr>
          <w:rFonts w:ascii="Times New Roman"/>
        </w:rPr>
      </w:pPr>
      <w:bookmarkStart w:id="85" w:name="_Toc195038134"/>
      <w:r>
        <w:rPr>
          <w:rFonts w:hint="eastAsia" w:ascii="Times New Roman"/>
        </w:rPr>
        <w:t>认定</w:t>
      </w:r>
      <w:bookmarkEnd w:id="84"/>
      <w:r>
        <w:rPr>
          <w:rFonts w:hint="eastAsia" w:ascii="Times New Roman"/>
        </w:rPr>
        <w:t>评审</w:t>
      </w:r>
      <w:bookmarkEnd w:id="85"/>
    </w:p>
    <w:p w14:paraId="59AD495A">
      <w:pPr>
        <w:pStyle w:val="49"/>
        <w:spacing w:before="156" w:after="156"/>
        <w:rPr>
          <w:rFonts w:ascii="Times New Roman"/>
        </w:rPr>
      </w:pPr>
      <w:r>
        <w:rPr>
          <w:rFonts w:ascii="Times New Roman"/>
        </w:rPr>
        <w:t>评价方式</w:t>
      </w:r>
    </w:p>
    <w:p w14:paraId="67E3ED24">
      <w:pPr>
        <w:pStyle w:val="25"/>
        <w:rPr>
          <w:rFonts w:ascii="Times New Roman"/>
        </w:rPr>
      </w:pPr>
      <w:r>
        <w:rPr>
          <w:rFonts w:hint="eastAsia" w:ascii="Times New Roman"/>
        </w:rPr>
        <w:t>依据符合性评价指标对企事业单位申请认定评价的绿色业务进行界定，达到符合性评价要求的，进一步依据综合评价指标对技术表现、业务表现以及社会表现进行综合评价。绿色金融认证和评级领域绿色低碳产业认定评价等级划分见表</w:t>
      </w:r>
      <w:r>
        <w:rPr>
          <w:rFonts w:hint="eastAsia" w:hAnsi="宋体" w:cs="宋体"/>
        </w:rPr>
        <w:t>16</w:t>
      </w:r>
      <w:r>
        <w:rPr>
          <w:rFonts w:hint="eastAsia" w:ascii="Times New Roman"/>
        </w:rPr>
        <w:t>。</w:t>
      </w:r>
    </w:p>
    <w:p w14:paraId="2E0D6A0D">
      <w:pPr>
        <w:numPr>
          <w:ilvl w:val="0"/>
          <w:numId w:val="17"/>
        </w:numPr>
        <w:spacing w:before="156" w:beforeLines="50" w:after="156" w:afterLines="50"/>
        <w:jc w:val="center"/>
        <w:rPr>
          <w:rFonts w:eastAsia="黑体"/>
        </w:rPr>
      </w:pPr>
      <w:r>
        <w:rPr>
          <w:rFonts w:hint="eastAsia" w:eastAsia="黑体"/>
        </w:rPr>
        <w:t>绿色金融认证和评级领域绿色低碳产业认定评价等级划分</w:t>
      </w:r>
    </w:p>
    <w:tbl>
      <w:tblPr>
        <w:tblStyle w:val="35"/>
        <w:tblW w:w="95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679"/>
        <w:gridCol w:w="2294"/>
        <w:gridCol w:w="2294"/>
        <w:gridCol w:w="2301"/>
      </w:tblGrid>
      <w:tr w14:paraId="41F45C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79" w:type="dxa"/>
            <w:vMerge w:val="restart"/>
            <w:vAlign w:val="center"/>
          </w:tcPr>
          <w:p w14:paraId="53AA44BF">
            <w:pPr>
              <w:keepNext w:val="0"/>
              <w:keepLines w:val="0"/>
              <w:suppressLineNumbers w:val="0"/>
              <w:autoSpaceDE w:val="0"/>
              <w:autoSpaceDN w:val="0"/>
              <w:spacing w:before="0" w:beforeAutospacing="0" w:after="0" w:afterAutospacing="0"/>
              <w:ind w:left="0" w:right="0"/>
              <w:jc w:val="center"/>
              <w:rPr>
                <w:rFonts w:hint="default"/>
                <w:b/>
                <w:bCs/>
                <w:sz w:val="18"/>
                <w:szCs w:val="16"/>
              </w:rPr>
            </w:pPr>
            <w:r>
              <w:rPr>
                <w:rFonts w:hint="eastAsia"/>
                <w:b/>
                <w:bCs/>
                <w:sz w:val="18"/>
                <w:szCs w:val="16"/>
              </w:rPr>
              <w:t>评价对象</w:t>
            </w:r>
          </w:p>
        </w:tc>
        <w:tc>
          <w:tcPr>
            <w:tcW w:w="6889" w:type="dxa"/>
            <w:gridSpan w:val="3"/>
            <w:vAlign w:val="center"/>
          </w:tcPr>
          <w:p w14:paraId="461C2CED">
            <w:pPr>
              <w:keepNext w:val="0"/>
              <w:keepLines w:val="0"/>
              <w:suppressLineNumbers w:val="0"/>
              <w:autoSpaceDE w:val="0"/>
              <w:autoSpaceDN w:val="0"/>
              <w:spacing w:before="0" w:beforeAutospacing="0" w:after="0" w:afterAutospacing="0"/>
              <w:ind w:left="0" w:right="0"/>
              <w:jc w:val="center"/>
              <w:rPr>
                <w:rFonts w:hint="default"/>
                <w:b/>
                <w:bCs/>
                <w:sz w:val="18"/>
                <w:szCs w:val="16"/>
              </w:rPr>
            </w:pPr>
            <w:r>
              <w:rPr>
                <w:rFonts w:hint="eastAsia"/>
                <w:b/>
                <w:bCs/>
                <w:sz w:val="18"/>
                <w:szCs w:val="16"/>
              </w:rPr>
              <w:t>评价等级</w:t>
            </w:r>
          </w:p>
        </w:tc>
      </w:tr>
      <w:tr w14:paraId="342192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79" w:type="dxa"/>
            <w:vMerge w:val="continue"/>
            <w:tcBorders>
              <w:bottom w:val="single" w:color="auto" w:sz="12" w:space="0"/>
            </w:tcBorders>
          </w:tcPr>
          <w:p w14:paraId="568439D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rPr>
            </w:pPr>
          </w:p>
        </w:tc>
        <w:tc>
          <w:tcPr>
            <w:tcW w:w="2294" w:type="dxa"/>
            <w:tcBorders>
              <w:bottom w:val="single" w:color="auto" w:sz="12" w:space="0"/>
            </w:tcBorders>
          </w:tcPr>
          <w:p w14:paraId="29AC2CEC">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rPr>
            </w:pPr>
            <w:r>
              <w:rPr>
                <w:rFonts w:hint="eastAsia" w:ascii="宋体" w:hAnsi="宋体" w:cs="宋体"/>
                <w:sz w:val="18"/>
                <w:szCs w:val="16"/>
              </w:rPr>
              <w:t>浅绿</w:t>
            </w:r>
          </w:p>
        </w:tc>
        <w:tc>
          <w:tcPr>
            <w:tcW w:w="2294" w:type="dxa"/>
            <w:tcBorders>
              <w:bottom w:val="single" w:color="auto" w:sz="12" w:space="0"/>
            </w:tcBorders>
          </w:tcPr>
          <w:p w14:paraId="4D443393">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rPr>
            </w:pPr>
            <w:r>
              <w:rPr>
                <w:rFonts w:hint="eastAsia" w:ascii="宋体" w:hAnsi="宋体" w:cs="宋体"/>
                <w:sz w:val="18"/>
                <w:szCs w:val="16"/>
              </w:rPr>
              <w:t>中绿</w:t>
            </w:r>
          </w:p>
        </w:tc>
        <w:tc>
          <w:tcPr>
            <w:tcW w:w="2301" w:type="dxa"/>
            <w:tcBorders>
              <w:bottom w:val="single" w:color="auto" w:sz="12" w:space="0"/>
            </w:tcBorders>
          </w:tcPr>
          <w:p w14:paraId="4C7B6013">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rPr>
            </w:pPr>
            <w:r>
              <w:rPr>
                <w:rFonts w:hint="eastAsia" w:ascii="宋体" w:hAnsi="宋体" w:cs="宋体"/>
                <w:sz w:val="18"/>
                <w:szCs w:val="16"/>
              </w:rPr>
              <w:t>深绿</w:t>
            </w:r>
          </w:p>
        </w:tc>
      </w:tr>
      <w:tr w14:paraId="10F2C5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679" w:type="dxa"/>
            <w:tcBorders>
              <w:top w:val="single" w:color="auto" w:sz="12" w:space="0"/>
              <w:bottom w:val="single" w:color="auto" w:sz="12" w:space="0"/>
              <w:tl2br w:val="nil"/>
              <w:tr2bl w:val="nil"/>
            </w:tcBorders>
          </w:tcPr>
          <w:p w14:paraId="06F6157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rPr>
            </w:pPr>
            <w:r>
              <w:rPr>
                <w:rFonts w:hint="eastAsia" w:ascii="宋体" w:hAnsi="宋体" w:cs="宋体"/>
                <w:sz w:val="18"/>
                <w:szCs w:val="16"/>
              </w:rPr>
              <w:t>绿色低碳产业企业</w:t>
            </w:r>
          </w:p>
        </w:tc>
        <w:tc>
          <w:tcPr>
            <w:tcW w:w="2294" w:type="dxa"/>
            <w:tcBorders>
              <w:top w:val="single" w:color="auto" w:sz="12" w:space="0"/>
              <w:bottom w:val="single" w:color="auto" w:sz="12" w:space="0"/>
              <w:tl2br w:val="nil"/>
              <w:tr2bl w:val="nil"/>
            </w:tcBorders>
          </w:tcPr>
          <w:p w14:paraId="29A28EB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rPr>
            </w:pPr>
            <w:r>
              <w:rPr>
                <w:rFonts w:hint="eastAsia" w:ascii="宋体" w:hAnsi="宋体" w:cs="宋体"/>
                <w:sz w:val="18"/>
                <w:szCs w:val="16"/>
              </w:rPr>
              <w:t>60分≤S＜70分</w:t>
            </w:r>
          </w:p>
        </w:tc>
        <w:tc>
          <w:tcPr>
            <w:tcW w:w="2294" w:type="dxa"/>
            <w:tcBorders>
              <w:top w:val="single" w:color="auto" w:sz="12" w:space="0"/>
              <w:bottom w:val="single" w:color="auto" w:sz="12" w:space="0"/>
              <w:tl2br w:val="nil"/>
              <w:tr2bl w:val="nil"/>
            </w:tcBorders>
          </w:tcPr>
          <w:p w14:paraId="5C49A818">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rPr>
            </w:pPr>
            <w:r>
              <w:rPr>
                <w:rFonts w:hint="eastAsia" w:ascii="宋体" w:hAnsi="宋体" w:cs="宋体"/>
                <w:sz w:val="18"/>
                <w:szCs w:val="16"/>
              </w:rPr>
              <w:t>70分≤S＜85分</w:t>
            </w:r>
          </w:p>
        </w:tc>
        <w:tc>
          <w:tcPr>
            <w:tcW w:w="2301" w:type="dxa"/>
            <w:tcBorders>
              <w:top w:val="single" w:color="auto" w:sz="12" w:space="0"/>
              <w:bottom w:val="single" w:color="auto" w:sz="12" w:space="0"/>
              <w:tl2br w:val="nil"/>
              <w:tr2bl w:val="nil"/>
            </w:tcBorders>
          </w:tcPr>
          <w:p w14:paraId="10C2819B">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rPr>
            </w:pPr>
            <w:r>
              <w:rPr>
                <w:rFonts w:hint="eastAsia" w:ascii="宋体" w:hAnsi="宋体" w:cs="宋体"/>
                <w:sz w:val="18"/>
                <w:szCs w:val="16"/>
              </w:rPr>
              <w:t>S≥85分</w:t>
            </w:r>
          </w:p>
        </w:tc>
      </w:tr>
      <w:tr w14:paraId="079BCB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568" w:type="dxa"/>
            <w:gridSpan w:val="4"/>
            <w:tcBorders>
              <w:top w:val="single" w:color="auto" w:sz="12" w:space="0"/>
            </w:tcBorders>
          </w:tcPr>
          <w:p w14:paraId="4C8E3BE0">
            <w:pPr>
              <w:keepNext w:val="0"/>
              <w:keepLines w:val="0"/>
              <w:numPr>
                <w:ilvl w:val="0"/>
                <w:numId w:val="6"/>
              </w:numPr>
              <w:suppressLineNumbers w:val="0"/>
              <w:autoSpaceDE w:val="0"/>
              <w:autoSpaceDN w:val="0"/>
              <w:spacing w:before="0" w:beforeAutospacing="0" w:after="0" w:afterAutospacing="0"/>
              <w:ind w:right="0"/>
              <w:rPr>
                <w:rFonts w:hint="default" w:ascii="宋体" w:hAnsi="宋体" w:cs="宋体"/>
                <w:sz w:val="18"/>
                <w:szCs w:val="16"/>
              </w:rPr>
            </w:pPr>
            <w:r>
              <w:rPr>
                <w:rFonts w:hint="eastAsia" w:ascii="宋体"/>
                <w:sz w:val="18"/>
                <w:szCs w:val="18"/>
              </w:rPr>
              <w:t>S为绿色低碳产业企业认定综合评价值</w:t>
            </w:r>
          </w:p>
        </w:tc>
      </w:tr>
    </w:tbl>
    <w:p w14:paraId="7ED8FB20">
      <w:pPr>
        <w:pStyle w:val="49"/>
        <w:spacing w:before="156" w:after="156"/>
        <w:rPr>
          <w:rFonts w:ascii="Times New Roman"/>
        </w:rPr>
      </w:pPr>
      <w:r>
        <w:rPr>
          <w:rFonts w:ascii="Times New Roman"/>
        </w:rPr>
        <w:t>评价</w:t>
      </w:r>
      <w:r>
        <w:rPr>
          <w:rFonts w:hint="eastAsia" w:ascii="Times New Roman"/>
        </w:rPr>
        <w:t>打分</w:t>
      </w:r>
    </w:p>
    <w:p w14:paraId="65270098">
      <w:pPr>
        <w:pStyle w:val="25"/>
        <w:rPr>
          <w:rFonts w:hAnsi="宋体" w:cs="宋体"/>
        </w:rPr>
      </w:pPr>
      <w:r>
        <w:rPr>
          <w:rFonts w:hint="eastAsia" w:hAnsi="宋体" w:cs="宋体"/>
        </w:rPr>
        <w:t>绿色低碳产业认定评价的符合性评价为一票否决项，绿色低碳产业认定综合评价值为各项指标得分的累计叠加值，满分为100分，计算方法见公式（3）。</w:t>
      </w:r>
    </w:p>
    <w:p w14:paraId="244EBEBB">
      <w:pPr>
        <w:pStyle w:val="25"/>
        <w:tabs>
          <w:tab w:val="center" w:leader="middleDot" w:pos="5460"/>
          <w:tab w:val="clear" w:pos="4201"/>
        </w:tabs>
        <w:autoSpaceDE/>
        <w:autoSpaceDN/>
        <w:jc w:val="right"/>
        <w:rPr>
          <w:rFonts w:hAnsi="宋体" w:cs="宋体"/>
        </w:rPr>
      </w:pPr>
      <m:oMath>
        <m:r>
          <m:rPr/>
          <w:rPr>
            <w:rFonts w:ascii="Cambria Math" w:hAnsi="Cambria Math" w:cs="宋体"/>
          </w:rPr>
          <m:t>S=</m:t>
        </m:r>
        <m:nary>
          <m:naryPr>
            <m:chr m:val="∑"/>
            <m:limLoc m:val="undOvr"/>
            <m:ctrlPr>
              <w:rPr>
                <w:rFonts w:hint="eastAsia" w:ascii="Cambria Math" w:hAnsi="Cambria Math" w:cs="宋体"/>
                <w:i/>
                <w:iCs/>
              </w:rPr>
            </m:ctrlPr>
          </m:naryPr>
          <m:sub>
            <m:r>
              <m:rPr/>
              <w:rPr>
                <w:rFonts w:ascii="Cambria Math" w:hAnsi="Cambria Math" w:cs="宋体"/>
              </w:rPr>
              <m:t>i=1</m:t>
            </m:r>
            <m:ctrlPr>
              <w:rPr>
                <w:rFonts w:hint="eastAsia" w:ascii="Cambria Math" w:hAnsi="Cambria Math" w:cs="宋体"/>
                <w:i/>
                <w:iCs/>
              </w:rPr>
            </m:ctrlPr>
          </m:sub>
          <m:sup>
            <m:r>
              <m:rPr/>
              <w:rPr>
                <w:rFonts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ascii="Cambria Math" w:hAnsi="Cambria Math" w:cs="宋体"/>
                  </w:rPr>
                  <m:t>X</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w:r>
        <w:rPr>
          <w:rFonts w:hint="eastAsia" w:hAnsi="Cambria Math" w:cs="宋体"/>
          <w:iCs/>
        </w:rPr>
        <w:tab/>
      </w:r>
      <w:r>
        <w:rPr>
          <w:rFonts w:hint="eastAsia" w:hAnsi="Cambria Math" w:cs="宋体"/>
          <w:iCs/>
        </w:rPr>
        <w:t>（3）</w:t>
      </w:r>
    </w:p>
    <w:p w14:paraId="7BF7DAE8">
      <w:pPr>
        <w:pStyle w:val="25"/>
        <w:rPr>
          <w:rFonts w:hAnsi="宋体" w:cs="宋体"/>
        </w:rPr>
      </w:pPr>
      <w:r>
        <w:rPr>
          <w:rFonts w:hint="eastAsia" w:hAnsi="宋体" w:cs="宋体"/>
        </w:rPr>
        <w:t>式中：</w:t>
      </w:r>
    </w:p>
    <w:p w14:paraId="6E95E15A">
      <w:pPr>
        <w:pStyle w:val="25"/>
        <w:rPr>
          <w:rFonts w:hAnsi="宋体" w:cs="宋体"/>
        </w:rPr>
      </w:pPr>
      <m:oMath>
        <m:r>
          <m:rPr/>
          <w:rPr>
            <w:rFonts w:ascii="Cambria Math" w:hAnsi="Cambria Math" w:cs="宋体"/>
          </w:rPr>
          <m:t>S</m:t>
        </m:r>
      </m:oMath>
      <w:r>
        <w:rPr>
          <w:rFonts w:hint="eastAsia" w:hAnsi="Cambria Math" w:cs="宋体"/>
          <w:spacing w:val="-17"/>
        </w:rPr>
        <w:t xml:space="preserve"> </w:t>
      </w:r>
      <w:r>
        <w:rPr>
          <w:rFonts w:hint="eastAsia" w:hAnsi="宋体" w:cs="宋体"/>
        </w:rPr>
        <w:t>——绿色低碳产业认定综合评价值；</w:t>
      </w:r>
    </w:p>
    <w:p w14:paraId="06F32944">
      <w:pPr>
        <w:pStyle w:val="25"/>
        <w:rPr>
          <w:rFonts w:hAnsi="宋体" w:cs="宋体"/>
        </w:rPr>
      </w:pPr>
      <m:oMath>
        <m:sSub>
          <m:sSubPr>
            <m:ctrlPr>
              <w:rPr>
                <w:rFonts w:hint="eastAsia" w:ascii="Cambria Math" w:hAnsi="Cambria Math" w:cs="宋体"/>
                <w:i/>
                <w:iCs/>
              </w:rPr>
            </m:ctrlPr>
          </m:sSubPr>
          <m:e>
            <m:r>
              <m:rPr/>
              <w:rPr>
                <w:rFonts w:ascii="Cambria Math" w:hAnsi="Cambria Math" w:cs="宋体"/>
              </w:rPr>
              <m:t>X</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——各综合评价指标得分值。</w:t>
      </w:r>
    </w:p>
    <w:p w14:paraId="3982DB03">
      <w:pPr>
        <w:pStyle w:val="60"/>
        <w:rPr>
          <w:rFonts w:hAnsi="宋体" w:cs="宋体"/>
        </w:rPr>
      </w:pPr>
      <w:r>
        <w:rPr>
          <w:rFonts w:hint="eastAsia"/>
        </w:rPr>
        <w:t>若综合评价指标的部分指标不适用于某行业，经专家评估审定后能够不参评该指标，其综合值折算方法为：综合评价值=参评项得分值/参评项总分值×100。</w:t>
      </w:r>
    </w:p>
    <w:p w14:paraId="6C18DC9A">
      <w:pPr>
        <w:pStyle w:val="49"/>
        <w:spacing w:before="156" w:after="156"/>
        <w:rPr>
          <w:rFonts w:ascii="Times New Roman"/>
        </w:rPr>
      </w:pPr>
      <w:bookmarkStart w:id="86" w:name="_Toc20408"/>
      <w:r>
        <w:rPr>
          <w:rFonts w:hint="eastAsia" w:ascii="Times New Roman"/>
        </w:rPr>
        <w:t>专家评审</w:t>
      </w:r>
      <w:bookmarkEnd w:id="86"/>
    </w:p>
    <w:p w14:paraId="10D3E9F9">
      <w:pPr>
        <w:pStyle w:val="25"/>
        <w:rPr>
          <w:rFonts w:hAnsi="宋体" w:cs="宋体"/>
        </w:rPr>
      </w:pPr>
      <w:r>
        <w:rPr>
          <w:rFonts w:hint="eastAsia" w:hAnsi="宋体" w:cs="宋体"/>
        </w:rPr>
        <w:t>由相关政府职能部门组织具备绿色金融认证和评级领域专业技术能力的专家，查看收集的报告文件、统计报表、原始记录，根据绿色金融认证和评级领域绿色低碳产业认定评价指标表（见附录C）对申报材料进行评审打分并给出具体评审结论。</w:t>
      </w:r>
      <w:bookmarkStart w:id="87" w:name="_Toc82684169"/>
      <w:bookmarkEnd w:id="87"/>
      <w:bookmarkStart w:id="88" w:name="_Toc82684164"/>
      <w:bookmarkEnd w:id="88"/>
      <w:bookmarkStart w:id="89" w:name="_Toc82684165"/>
      <w:bookmarkEnd w:id="89"/>
      <w:bookmarkStart w:id="90" w:name="_Toc82684168"/>
      <w:bookmarkEnd w:id="90"/>
      <w:bookmarkStart w:id="91" w:name="_Toc82684157"/>
      <w:bookmarkEnd w:id="91"/>
      <w:bookmarkStart w:id="92" w:name="_Toc82684161"/>
      <w:bookmarkEnd w:id="92"/>
      <w:bookmarkStart w:id="93" w:name="_Toc82684163"/>
      <w:bookmarkEnd w:id="93"/>
      <w:bookmarkStart w:id="94" w:name="_Toc82684158"/>
      <w:bookmarkEnd w:id="94"/>
      <w:bookmarkStart w:id="95" w:name="_Toc82684167"/>
      <w:bookmarkEnd w:id="95"/>
      <w:bookmarkStart w:id="96" w:name="_Toc82684162"/>
      <w:bookmarkEnd w:id="96"/>
      <w:bookmarkStart w:id="97" w:name="_Toc82684159"/>
      <w:bookmarkEnd w:id="97"/>
      <w:bookmarkStart w:id="98" w:name="_Toc82684160"/>
      <w:bookmarkEnd w:id="98"/>
      <w:bookmarkStart w:id="99" w:name="_Toc82684166"/>
      <w:bookmarkEnd w:id="99"/>
      <w:bookmarkStart w:id="100" w:name="_Toc82684170"/>
      <w:bookmarkEnd w:id="100"/>
      <w:bookmarkStart w:id="101" w:name="BKCKWX"/>
    </w:p>
    <w:p w14:paraId="2CC3A9D5">
      <w:pPr>
        <w:rPr>
          <w:rFonts w:hAnsi="宋体" w:cs="宋体"/>
        </w:rPr>
      </w:pPr>
      <w:r>
        <w:rPr>
          <w:rFonts w:hint="eastAsia" w:hAnsi="宋体" w:cs="宋体"/>
        </w:rPr>
        <w:br w:type="page"/>
      </w:r>
    </w:p>
    <w:p w14:paraId="695728F1">
      <w:pPr>
        <w:pStyle w:val="87"/>
        <w:rPr>
          <w:rFonts w:ascii="Times New Roman"/>
        </w:rPr>
      </w:pPr>
      <w:r>
        <w:rPr>
          <w:rFonts w:ascii="Times New Roman"/>
        </w:rPr>
        <w:br w:type="textWrapping"/>
      </w:r>
      <w:bookmarkStart w:id="102" w:name="_Toc195038135"/>
      <w:r>
        <w:rPr>
          <w:rFonts w:ascii="Times New Roman"/>
        </w:rPr>
        <w:t>（</w:t>
      </w:r>
      <w:r>
        <w:rPr>
          <w:rFonts w:hint="eastAsia" w:ascii="Times New Roman"/>
        </w:rPr>
        <w:t>规范</w:t>
      </w:r>
      <w:r>
        <w:rPr>
          <w:rFonts w:ascii="Times New Roman"/>
        </w:rPr>
        <w:t>性）</w:t>
      </w:r>
      <w:r>
        <w:rPr>
          <w:rFonts w:ascii="Times New Roman"/>
        </w:rPr>
        <w:br w:type="textWrapping"/>
      </w:r>
      <w:r>
        <w:rPr>
          <w:rFonts w:hint="eastAsia" w:ascii="Times New Roman"/>
        </w:rPr>
        <w:t>绿色金融认证和评级领域绿色低碳产业关键技术先进性评价指标</w:t>
      </w:r>
      <w:bookmarkEnd w:id="102"/>
    </w:p>
    <w:p w14:paraId="4FCA9A37">
      <w:pPr>
        <w:autoSpaceDE w:val="0"/>
        <w:autoSpaceDN w:val="0"/>
        <w:spacing w:before="156" w:beforeLines="50" w:after="156" w:afterLines="50"/>
        <w:rPr>
          <w:rFonts w:ascii="黑体" w:hAnsi="黑体" w:eastAsia="黑体" w:cs="黑体"/>
          <w:szCs w:val="21"/>
        </w:rPr>
      </w:pPr>
      <w:r>
        <w:rPr>
          <w:rFonts w:hint="eastAsia" w:ascii="黑体" w:hAnsi="黑体" w:eastAsia="黑体" w:cs="黑体"/>
          <w:szCs w:val="21"/>
        </w:rPr>
        <w:t>A.1  绿色债券评估认证</w:t>
      </w:r>
    </w:p>
    <w:p w14:paraId="2A8B02B4">
      <w:pPr>
        <w:autoSpaceDE w:val="0"/>
        <w:autoSpaceDN w:val="0"/>
        <w:ind w:firstLine="420" w:firstLineChars="200"/>
        <w:rPr>
          <w:rFonts w:ascii="宋体" w:hAnsi="宋体" w:cs="宋体"/>
          <w:szCs w:val="21"/>
          <w:lang w:bidi="ar"/>
        </w:rPr>
      </w:pPr>
      <w:r>
        <w:rPr>
          <w:rFonts w:hint="eastAsia" w:ascii="宋体" w:hAnsi="宋体" w:cs="宋体"/>
          <w:szCs w:val="21"/>
          <w:lang w:bidi="ar"/>
        </w:rPr>
        <w:t>绿色债券评估认证从资质与权威性</w:t>
      </w:r>
      <w:r>
        <w:rPr>
          <w:rFonts w:hint="eastAsia" w:ascii="宋体" w:hAnsi="宋体" w:cs="宋体"/>
          <w:szCs w:val="21"/>
          <w:lang w:eastAsia="zh-CN" w:bidi="ar"/>
        </w:rPr>
        <w:t>、绿色债券数量与市场占比、技术工具与平台的先进性、报告完整性、准确性</w:t>
      </w:r>
      <w:r>
        <w:rPr>
          <w:rFonts w:hint="eastAsia" w:ascii="宋体" w:hAnsi="宋体" w:cs="宋体"/>
          <w:szCs w:val="21"/>
          <w:lang w:val="en-US" w:eastAsia="zh-CN" w:bidi="ar"/>
        </w:rPr>
        <w:t>等</w:t>
      </w:r>
      <w:r>
        <w:rPr>
          <w:rFonts w:hint="eastAsia" w:ascii="宋体" w:hAnsi="宋体" w:cs="宋体"/>
          <w:szCs w:val="21"/>
          <w:lang w:bidi="ar"/>
        </w:rPr>
        <w:t>进行综合评价，具体评价内容及评价方法见表A.1。</w:t>
      </w:r>
    </w:p>
    <w:p w14:paraId="31F37B3F">
      <w:pPr>
        <w:pStyle w:val="129"/>
        <w:numPr>
          <w:ilvl w:val="0"/>
          <w:numId w:val="0"/>
        </w:numPr>
        <w:rPr>
          <w:rFonts w:ascii="Times New Roman" w:eastAsia="宋体"/>
          <w:kern w:val="2"/>
          <w:szCs w:val="21"/>
        </w:rPr>
      </w:pPr>
      <w:r>
        <w:rPr>
          <w:rFonts w:hint="eastAsia" w:hAnsi="宋体" w:cs="黑体"/>
          <w:kern w:val="2"/>
          <w:szCs w:val="21"/>
          <w:lang w:bidi="ar"/>
        </w:rPr>
        <w:t>表A.1  绿色债券评估认证关键技术先进性评价规则</w:t>
      </w:r>
    </w:p>
    <w:tbl>
      <w:tblPr>
        <w:tblStyle w:val="36"/>
        <w:tblW w:w="95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975"/>
        <w:gridCol w:w="1678"/>
        <w:gridCol w:w="5906"/>
      </w:tblGrid>
      <w:tr w14:paraId="7C1370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975" w:type="dxa"/>
            <w:tcBorders>
              <w:bottom w:val="single" w:color="auto" w:sz="12" w:space="0"/>
            </w:tcBorders>
            <w:shd w:val="clear" w:color="auto" w:fill="auto"/>
          </w:tcPr>
          <w:p w14:paraId="64CC0124">
            <w:pPr>
              <w:keepNext w:val="0"/>
              <w:keepLines w:val="0"/>
              <w:suppressLineNumbers w:val="0"/>
              <w:autoSpaceDE w:val="0"/>
              <w:autoSpaceDN w:val="0"/>
              <w:spacing w:before="0" w:beforeAutospacing="0" w:after="0" w:afterAutospacing="0"/>
              <w:ind w:left="0" w:right="0"/>
              <w:jc w:val="center"/>
              <w:rPr>
                <w:rFonts w:hint="default" w:ascii="宋体"/>
                <w:b/>
                <w:bCs/>
                <w:sz w:val="18"/>
                <w:szCs w:val="18"/>
              </w:rPr>
            </w:pPr>
            <w:r>
              <w:rPr>
                <w:rFonts w:hint="eastAsia" w:ascii="宋体" w:hAnsi="宋体" w:cs="宋体"/>
                <w:b/>
                <w:bCs/>
                <w:sz w:val="18"/>
                <w:szCs w:val="18"/>
                <w:lang w:bidi="ar"/>
              </w:rPr>
              <w:t>评价对象</w:t>
            </w:r>
          </w:p>
        </w:tc>
        <w:tc>
          <w:tcPr>
            <w:tcW w:w="1678" w:type="dxa"/>
            <w:tcBorders>
              <w:bottom w:val="single" w:color="auto" w:sz="12" w:space="0"/>
            </w:tcBorders>
            <w:shd w:val="clear" w:color="auto" w:fill="auto"/>
          </w:tcPr>
          <w:p w14:paraId="0154B971">
            <w:pPr>
              <w:keepNext w:val="0"/>
              <w:keepLines w:val="0"/>
              <w:suppressLineNumbers w:val="0"/>
              <w:autoSpaceDE w:val="0"/>
              <w:autoSpaceDN w:val="0"/>
              <w:spacing w:before="0" w:beforeAutospacing="0" w:after="0" w:afterAutospacing="0"/>
              <w:ind w:left="0" w:right="0"/>
              <w:jc w:val="center"/>
              <w:rPr>
                <w:rFonts w:hint="default" w:ascii="宋体"/>
                <w:b/>
                <w:bCs/>
                <w:sz w:val="18"/>
                <w:szCs w:val="18"/>
              </w:rPr>
            </w:pPr>
            <w:r>
              <w:rPr>
                <w:rFonts w:hint="eastAsia" w:ascii="宋体" w:hAnsi="宋体" w:cs="宋体"/>
                <w:b/>
                <w:bCs/>
                <w:sz w:val="18"/>
                <w:szCs w:val="18"/>
                <w:lang w:bidi="ar"/>
              </w:rPr>
              <w:t>核心评价指标</w:t>
            </w:r>
          </w:p>
        </w:tc>
        <w:tc>
          <w:tcPr>
            <w:tcW w:w="5906" w:type="dxa"/>
            <w:tcBorders>
              <w:bottom w:val="single" w:color="auto" w:sz="12" w:space="0"/>
            </w:tcBorders>
            <w:shd w:val="clear" w:color="auto" w:fill="auto"/>
          </w:tcPr>
          <w:p w14:paraId="2A5AE517">
            <w:pPr>
              <w:keepNext w:val="0"/>
              <w:keepLines w:val="0"/>
              <w:suppressLineNumbers w:val="0"/>
              <w:autoSpaceDE w:val="0"/>
              <w:autoSpaceDN w:val="0"/>
              <w:spacing w:before="0" w:beforeAutospacing="0" w:after="0" w:afterAutospacing="0"/>
              <w:ind w:left="0" w:right="0"/>
              <w:jc w:val="center"/>
              <w:rPr>
                <w:rFonts w:hint="default" w:ascii="宋体"/>
                <w:b/>
                <w:bCs/>
                <w:sz w:val="18"/>
                <w:szCs w:val="18"/>
              </w:rPr>
            </w:pPr>
            <w:r>
              <w:rPr>
                <w:rFonts w:hint="eastAsia" w:ascii="宋体" w:hAnsi="宋体" w:cs="宋体"/>
                <w:b/>
                <w:bCs/>
                <w:sz w:val="18"/>
                <w:szCs w:val="18"/>
                <w:lang w:bidi="ar"/>
              </w:rPr>
              <w:t>评价内容</w:t>
            </w:r>
          </w:p>
        </w:tc>
      </w:tr>
      <w:tr w14:paraId="30313B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975" w:type="dxa"/>
            <w:vMerge w:val="restart"/>
            <w:tcBorders>
              <w:tl2br w:val="nil"/>
              <w:tr2bl w:val="nil"/>
            </w:tcBorders>
            <w:shd w:val="clear" w:color="auto" w:fill="auto"/>
            <w:vAlign w:val="center"/>
          </w:tcPr>
          <w:p w14:paraId="10C85A96">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绿色债券评估认证</w:t>
            </w:r>
          </w:p>
        </w:tc>
        <w:tc>
          <w:tcPr>
            <w:tcW w:w="1678" w:type="dxa"/>
            <w:tcBorders>
              <w:tl2br w:val="nil"/>
              <w:tr2bl w:val="nil"/>
            </w:tcBorders>
            <w:shd w:val="clear" w:color="auto" w:fill="auto"/>
            <w:vAlign w:val="center"/>
          </w:tcPr>
          <w:p w14:paraId="7147DA1F">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yellow"/>
              </w:rPr>
            </w:pPr>
            <w:r>
              <w:rPr>
                <w:rFonts w:hint="eastAsia" w:ascii="宋体" w:hAnsi="宋体" w:cs="宋体"/>
                <w:sz w:val="18"/>
                <w:szCs w:val="18"/>
                <w:lang w:bidi="ar"/>
              </w:rPr>
              <w:t>资质与权威性</w:t>
            </w:r>
          </w:p>
        </w:tc>
        <w:tc>
          <w:tcPr>
            <w:tcW w:w="5906" w:type="dxa"/>
            <w:tcBorders>
              <w:tl2br w:val="nil"/>
              <w:tr2bl w:val="nil"/>
            </w:tcBorders>
            <w:shd w:val="clear" w:color="auto" w:fill="auto"/>
            <w:vAlign w:val="center"/>
          </w:tcPr>
          <w:p w14:paraId="21868E9D">
            <w:pPr>
              <w:keepNext w:val="0"/>
              <w:keepLines w:val="0"/>
              <w:suppressLineNumbers w:val="0"/>
              <w:autoSpaceDE w:val="0"/>
              <w:autoSpaceDN w:val="0"/>
              <w:spacing w:before="0" w:beforeAutospacing="0" w:after="0" w:afterAutospacing="0"/>
              <w:ind w:left="0" w:right="0"/>
              <w:rPr>
                <w:rFonts w:hint="default" w:ascii="宋体" w:hAnsi="宋体" w:cs="宋体"/>
                <w:sz w:val="18"/>
                <w:szCs w:val="18"/>
                <w:lang w:bidi="ar"/>
              </w:rPr>
            </w:pPr>
            <w:r>
              <w:rPr>
                <w:rFonts w:hint="eastAsia" w:ascii="宋体" w:hAnsi="宋体" w:cs="宋体"/>
                <w:sz w:val="18"/>
                <w:szCs w:val="18"/>
                <w:lang w:bidi="ar"/>
              </w:rPr>
              <w:t>1</w:t>
            </w:r>
            <w:r>
              <w:rPr>
                <w:rFonts w:hint="default" w:ascii="宋体" w:hAnsi="宋体" w:cs="宋体"/>
                <w:sz w:val="18"/>
                <w:szCs w:val="18"/>
                <w:lang w:bidi="ar"/>
              </w:rPr>
              <w:t>.</w:t>
            </w:r>
            <w:r>
              <w:rPr>
                <w:rFonts w:hint="eastAsia" w:ascii="宋体" w:hAnsi="宋体" w:cs="宋体"/>
                <w:sz w:val="18"/>
                <w:szCs w:val="18"/>
                <w:lang w:bidi="ar"/>
              </w:rPr>
              <w:t>具备有权部门授予的评级、认证、鉴证、能源、气候或环境领域执业资质；</w:t>
            </w:r>
          </w:p>
          <w:p w14:paraId="6C87C8DA">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yellow"/>
              </w:rPr>
            </w:pPr>
            <w:r>
              <w:rPr>
                <w:rFonts w:hint="eastAsia" w:ascii="宋体" w:hAnsi="宋体" w:cs="宋体"/>
                <w:sz w:val="18"/>
                <w:szCs w:val="18"/>
                <w:lang w:bidi="ar"/>
              </w:rPr>
              <w:t>2</w:t>
            </w:r>
            <w:r>
              <w:rPr>
                <w:rFonts w:hint="default" w:ascii="宋体" w:hAnsi="宋体" w:cs="宋体"/>
                <w:sz w:val="18"/>
                <w:szCs w:val="18"/>
                <w:lang w:bidi="ar"/>
              </w:rPr>
              <w:t>.</w:t>
            </w:r>
            <w:r>
              <w:rPr>
                <w:rFonts w:hint="eastAsia" w:ascii="宋体" w:hAnsi="宋体" w:cs="宋体"/>
                <w:sz w:val="18"/>
                <w:szCs w:val="18"/>
                <w:lang w:bidi="ar"/>
              </w:rPr>
              <w:t>是否获得国际或国内权威机构认可（如CBI、ICMA等）</w:t>
            </w:r>
          </w:p>
        </w:tc>
      </w:tr>
      <w:tr w14:paraId="20A8EB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975" w:type="dxa"/>
            <w:vMerge w:val="continue"/>
            <w:tcBorders>
              <w:tl2br w:val="nil"/>
              <w:tr2bl w:val="nil"/>
            </w:tcBorders>
            <w:shd w:val="clear" w:color="auto" w:fill="auto"/>
            <w:vAlign w:val="center"/>
          </w:tcPr>
          <w:p w14:paraId="6BB5EBB3">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p>
        </w:tc>
        <w:tc>
          <w:tcPr>
            <w:tcW w:w="1678" w:type="dxa"/>
            <w:tcBorders>
              <w:tl2br w:val="nil"/>
              <w:tr2bl w:val="nil"/>
            </w:tcBorders>
            <w:shd w:val="clear" w:color="auto" w:fill="auto"/>
            <w:vAlign w:val="center"/>
          </w:tcPr>
          <w:p w14:paraId="3D203142">
            <w:pPr>
              <w:keepNext w:val="0"/>
              <w:keepLines w:val="0"/>
              <w:suppressLineNumbers w:val="0"/>
              <w:autoSpaceDE w:val="0"/>
              <w:autoSpaceDN w:val="0"/>
              <w:spacing w:before="0" w:beforeAutospacing="0" w:after="0" w:afterAutospacing="0"/>
              <w:ind w:left="0" w:right="0"/>
              <w:rPr>
                <w:rFonts w:hint="default" w:ascii="宋体" w:hAnsi="宋体" w:cs="宋体"/>
                <w:sz w:val="18"/>
                <w:szCs w:val="18"/>
                <w:lang w:bidi="ar"/>
              </w:rPr>
            </w:pPr>
            <w:r>
              <w:rPr>
                <w:rFonts w:hint="eastAsia" w:ascii="宋体" w:hAnsi="宋体" w:cs="宋体"/>
                <w:sz w:val="18"/>
                <w:szCs w:val="18"/>
              </w:rPr>
              <w:t>绿色债券数量与市场占比</w:t>
            </w:r>
          </w:p>
        </w:tc>
        <w:tc>
          <w:tcPr>
            <w:tcW w:w="5906" w:type="dxa"/>
            <w:tcBorders>
              <w:tl2br w:val="nil"/>
              <w:tr2bl w:val="nil"/>
            </w:tcBorders>
            <w:shd w:val="clear" w:color="auto" w:fill="auto"/>
            <w:vAlign w:val="center"/>
          </w:tcPr>
          <w:p w14:paraId="170E74F0">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成功发行的绿色债券数量及其在国内外市场的占比（如过去3年的数据）</w:t>
            </w:r>
          </w:p>
        </w:tc>
      </w:tr>
      <w:tr w14:paraId="73FBAA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975" w:type="dxa"/>
            <w:vMerge w:val="continue"/>
            <w:tcBorders>
              <w:tl2br w:val="nil"/>
              <w:tr2bl w:val="nil"/>
            </w:tcBorders>
            <w:shd w:val="clear" w:color="auto" w:fill="auto"/>
            <w:vAlign w:val="center"/>
          </w:tcPr>
          <w:p w14:paraId="1F435C15">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p>
        </w:tc>
        <w:tc>
          <w:tcPr>
            <w:tcW w:w="1678" w:type="dxa"/>
            <w:tcBorders>
              <w:tl2br w:val="nil"/>
              <w:tr2bl w:val="nil"/>
            </w:tcBorders>
            <w:shd w:val="clear" w:color="auto" w:fill="auto"/>
            <w:vAlign w:val="center"/>
          </w:tcPr>
          <w:p w14:paraId="7630598F">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技术工具与平台的先进性</w:t>
            </w:r>
          </w:p>
        </w:tc>
        <w:tc>
          <w:tcPr>
            <w:tcW w:w="5906" w:type="dxa"/>
            <w:tcBorders>
              <w:tl2br w:val="nil"/>
              <w:tr2bl w:val="nil"/>
            </w:tcBorders>
            <w:shd w:val="clear" w:color="auto" w:fill="auto"/>
            <w:vAlign w:val="center"/>
          </w:tcPr>
          <w:p w14:paraId="11871973">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1</w:t>
            </w:r>
            <w:r>
              <w:rPr>
                <w:rFonts w:hint="default" w:ascii="宋体" w:hAnsi="宋体" w:cs="宋体"/>
                <w:sz w:val="18"/>
                <w:szCs w:val="18"/>
              </w:rPr>
              <w:t>.</w:t>
            </w:r>
            <w:r>
              <w:rPr>
                <w:rFonts w:hint="eastAsia" w:ascii="宋体" w:hAnsi="宋体" w:cs="宋体"/>
                <w:sz w:val="18"/>
                <w:szCs w:val="18"/>
              </w:rPr>
              <w:t>是否运用区块链、大数据等前沿技术提升评估认证准确性与效率；</w:t>
            </w:r>
          </w:p>
          <w:p w14:paraId="37E8AB2D">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2</w:t>
            </w:r>
            <w:r>
              <w:rPr>
                <w:rFonts w:hint="default" w:ascii="宋体" w:hAnsi="宋体" w:cs="宋体"/>
                <w:sz w:val="18"/>
                <w:szCs w:val="18"/>
              </w:rPr>
              <w:t>.</w:t>
            </w:r>
            <w:r>
              <w:rPr>
                <w:rFonts w:hint="eastAsia" w:ascii="宋体" w:hAnsi="宋体" w:cs="宋体"/>
                <w:sz w:val="18"/>
                <w:szCs w:val="18"/>
              </w:rPr>
              <w:t>有无自主研发且应用于评估认证流程的创新模型或工具</w:t>
            </w:r>
          </w:p>
        </w:tc>
      </w:tr>
      <w:tr w14:paraId="4FD0ED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975" w:type="dxa"/>
            <w:vMerge w:val="continue"/>
            <w:tcBorders>
              <w:tl2br w:val="nil"/>
              <w:tr2bl w:val="nil"/>
            </w:tcBorders>
            <w:shd w:val="clear" w:color="auto" w:fill="auto"/>
            <w:vAlign w:val="center"/>
          </w:tcPr>
          <w:p w14:paraId="24CE735D">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p>
        </w:tc>
        <w:tc>
          <w:tcPr>
            <w:tcW w:w="1678" w:type="dxa"/>
            <w:tcBorders>
              <w:tl2br w:val="nil"/>
              <w:tr2bl w:val="nil"/>
            </w:tcBorders>
            <w:shd w:val="clear" w:color="auto" w:fill="auto"/>
            <w:vAlign w:val="center"/>
          </w:tcPr>
          <w:p w14:paraId="1F2C8BAE">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报告完整性、准确性</w:t>
            </w:r>
          </w:p>
        </w:tc>
        <w:tc>
          <w:tcPr>
            <w:tcW w:w="5906" w:type="dxa"/>
            <w:tcBorders>
              <w:tl2br w:val="nil"/>
              <w:tr2bl w:val="nil"/>
            </w:tcBorders>
            <w:shd w:val="clear" w:color="auto" w:fill="auto"/>
            <w:vAlign w:val="center"/>
          </w:tcPr>
          <w:p w14:paraId="7888884E">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1</w:t>
            </w:r>
            <w:r>
              <w:rPr>
                <w:rFonts w:hint="default" w:ascii="宋体" w:hAnsi="宋体" w:cs="宋体"/>
                <w:sz w:val="18"/>
                <w:szCs w:val="18"/>
              </w:rPr>
              <w:t>.</w:t>
            </w:r>
            <w:r>
              <w:rPr>
                <w:rFonts w:hint="eastAsia" w:ascii="宋体" w:hAnsi="宋体" w:cs="宋体"/>
                <w:sz w:val="18"/>
                <w:szCs w:val="18"/>
              </w:rPr>
              <w:t>报告是否包含债券基本信息、评估方法、评估结果、环境效益分析等全面内容；</w:t>
            </w:r>
          </w:p>
          <w:p w14:paraId="0AF76456">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2</w:t>
            </w:r>
            <w:r>
              <w:rPr>
                <w:rFonts w:hint="default" w:ascii="宋体" w:hAnsi="宋体" w:cs="宋体"/>
                <w:sz w:val="18"/>
                <w:szCs w:val="18"/>
              </w:rPr>
              <w:t>.</w:t>
            </w:r>
            <w:r>
              <w:rPr>
                <w:rFonts w:hint="eastAsia" w:ascii="宋体" w:hAnsi="宋体" w:cs="宋体"/>
                <w:sz w:val="18"/>
                <w:szCs w:val="18"/>
              </w:rPr>
              <w:t>评估结果是否精准反映债券绿色属性，分析论证是否逻辑严密、证据充分</w:t>
            </w:r>
          </w:p>
        </w:tc>
      </w:tr>
    </w:tbl>
    <w:p w14:paraId="03F2398F">
      <w:pPr>
        <w:autoSpaceDE w:val="0"/>
        <w:autoSpaceDN w:val="0"/>
        <w:spacing w:before="156" w:beforeLines="50" w:after="156" w:afterLines="50"/>
        <w:rPr>
          <w:rFonts w:ascii="黑体" w:hAnsi="黑体" w:eastAsia="黑体" w:cs="黑体"/>
          <w:szCs w:val="21"/>
        </w:rPr>
      </w:pPr>
      <w:r>
        <w:rPr>
          <w:rFonts w:hint="eastAsia" w:ascii="黑体" w:hAnsi="黑体" w:eastAsia="黑体" w:cs="黑体"/>
          <w:szCs w:val="21"/>
        </w:rPr>
        <w:t>A.2 绿色票据认证</w:t>
      </w:r>
    </w:p>
    <w:p w14:paraId="7E96D200">
      <w:pPr>
        <w:autoSpaceDE w:val="0"/>
        <w:autoSpaceDN w:val="0"/>
        <w:ind w:firstLine="420" w:firstLineChars="200"/>
        <w:rPr>
          <w:rFonts w:ascii="宋体" w:hAnsi="宋体" w:cs="宋体"/>
          <w:szCs w:val="21"/>
          <w:lang w:bidi="ar"/>
        </w:rPr>
      </w:pPr>
      <w:r>
        <w:rPr>
          <w:rFonts w:hint="eastAsia" w:ascii="宋体" w:hAnsi="宋体" w:cs="宋体"/>
          <w:szCs w:val="21"/>
          <w:lang w:bidi="ar"/>
        </w:rPr>
        <w:t>绿色票据认证从资质与权威性</w:t>
      </w:r>
      <w:r>
        <w:rPr>
          <w:rFonts w:hint="eastAsia" w:ascii="宋体" w:hAnsi="宋体" w:cs="宋体"/>
          <w:szCs w:val="21"/>
          <w:lang w:eastAsia="zh-CN" w:bidi="ar"/>
        </w:rPr>
        <w:t>、服务项目数量与市场占比、技术工具与平台的先进性、报告完整性、准确性</w:t>
      </w:r>
      <w:r>
        <w:rPr>
          <w:rFonts w:hint="eastAsia" w:ascii="宋体" w:hAnsi="宋体" w:cs="宋体"/>
          <w:szCs w:val="21"/>
          <w:lang w:val="en-US" w:eastAsia="zh-CN" w:bidi="ar"/>
        </w:rPr>
        <w:t>等</w:t>
      </w:r>
      <w:r>
        <w:rPr>
          <w:rFonts w:hint="eastAsia" w:ascii="宋体" w:hAnsi="宋体" w:cs="宋体"/>
          <w:szCs w:val="21"/>
          <w:lang w:bidi="ar"/>
        </w:rPr>
        <w:t>进行综合评价，具体评价内容及评价方法见表A.2。</w:t>
      </w:r>
    </w:p>
    <w:p w14:paraId="7B034CE5">
      <w:pPr>
        <w:pStyle w:val="129"/>
        <w:numPr>
          <w:ilvl w:val="0"/>
          <w:numId w:val="0"/>
        </w:numPr>
        <w:rPr>
          <w:rFonts w:hAnsi="宋体" w:cs="黑体"/>
          <w:kern w:val="2"/>
          <w:szCs w:val="21"/>
          <w:lang w:bidi="ar"/>
        </w:rPr>
      </w:pPr>
      <w:r>
        <w:rPr>
          <w:rFonts w:hint="eastAsia" w:hAnsi="宋体" w:cs="黑体"/>
          <w:kern w:val="2"/>
          <w:szCs w:val="21"/>
          <w:lang w:bidi="ar"/>
        </w:rPr>
        <w:t xml:space="preserve">A.2  </w:t>
      </w:r>
      <w:r>
        <w:rPr>
          <w:rFonts w:hint="eastAsia" w:hAnsi="黑体" w:cs="黑体"/>
          <w:kern w:val="2"/>
          <w:szCs w:val="21"/>
        </w:rPr>
        <w:t>绿色票据</w:t>
      </w:r>
      <w:r>
        <w:rPr>
          <w:rFonts w:hint="eastAsia" w:hAnsi="宋体" w:cs="黑体"/>
          <w:kern w:val="2"/>
          <w:szCs w:val="21"/>
          <w:lang w:bidi="ar"/>
        </w:rPr>
        <w:t>认证关键技术先进性评价规则</w:t>
      </w:r>
    </w:p>
    <w:tbl>
      <w:tblPr>
        <w:tblStyle w:val="36"/>
        <w:tblW w:w="95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44"/>
        <w:gridCol w:w="2154"/>
        <w:gridCol w:w="5661"/>
      </w:tblGrid>
      <w:tr w14:paraId="018FD2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744" w:type="dxa"/>
            <w:tcBorders>
              <w:bottom w:val="single" w:color="auto" w:sz="12" w:space="0"/>
            </w:tcBorders>
            <w:shd w:val="clear" w:color="auto" w:fill="auto"/>
          </w:tcPr>
          <w:p w14:paraId="48A9F9FB">
            <w:pPr>
              <w:keepNext w:val="0"/>
              <w:keepLines w:val="0"/>
              <w:suppressLineNumbers w:val="0"/>
              <w:autoSpaceDE w:val="0"/>
              <w:autoSpaceDN w:val="0"/>
              <w:spacing w:before="0" w:beforeAutospacing="0" w:after="0" w:afterAutospacing="0"/>
              <w:ind w:left="0" w:right="0"/>
              <w:jc w:val="center"/>
              <w:rPr>
                <w:rFonts w:hint="default" w:ascii="宋体"/>
                <w:b/>
                <w:bCs/>
                <w:sz w:val="18"/>
                <w:szCs w:val="18"/>
              </w:rPr>
            </w:pPr>
            <w:r>
              <w:rPr>
                <w:rFonts w:hint="eastAsia" w:ascii="宋体" w:hAnsi="宋体" w:cs="宋体"/>
                <w:b/>
                <w:bCs/>
                <w:sz w:val="18"/>
                <w:szCs w:val="18"/>
                <w:lang w:bidi="ar"/>
              </w:rPr>
              <w:t>评价对象</w:t>
            </w:r>
          </w:p>
        </w:tc>
        <w:tc>
          <w:tcPr>
            <w:tcW w:w="2154" w:type="dxa"/>
            <w:tcBorders>
              <w:bottom w:val="single" w:color="auto" w:sz="12" w:space="0"/>
            </w:tcBorders>
            <w:shd w:val="clear" w:color="auto" w:fill="auto"/>
          </w:tcPr>
          <w:p w14:paraId="3BE7F7B6">
            <w:pPr>
              <w:keepNext w:val="0"/>
              <w:keepLines w:val="0"/>
              <w:suppressLineNumbers w:val="0"/>
              <w:autoSpaceDE w:val="0"/>
              <w:autoSpaceDN w:val="0"/>
              <w:spacing w:before="0" w:beforeAutospacing="0" w:after="0" w:afterAutospacing="0"/>
              <w:ind w:left="0" w:right="0"/>
              <w:jc w:val="center"/>
              <w:rPr>
                <w:rFonts w:hint="default" w:ascii="宋体"/>
                <w:b/>
                <w:bCs/>
                <w:sz w:val="18"/>
                <w:szCs w:val="18"/>
              </w:rPr>
            </w:pPr>
            <w:r>
              <w:rPr>
                <w:rFonts w:hint="eastAsia" w:ascii="宋体" w:hAnsi="宋体" w:cs="宋体"/>
                <w:b/>
                <w:bCs/>
                <w:sz w:val="18"/>
                <w:szCs w:val="18"/>
                <w:lang w:bidi="ar"/>
              </w:rPr>
              <w:t>核心评价指标</w:t>
            </w:r>
          </w:p>
        </w:tc>
        <w:tc>
          <w:tcPr>
            <w:tcW w:w="5661" w:type="dxa"/>
            <w:tcBorders>
              <w:bottom w:val="single" w:color="auto" w:sz="12" w:space="0"/>
            </w:tcBorders>
            <w:shd w:val="clear" w:color="auto" w:fill="auto"/>
          </w:tcPr>
          <w:p w14:paraId="4D16DFAD">
            <w:pPr>
              <w:keepNext w:val="0"/>
              <w:keepLines w:val="0"/>
              <w:suppressLineNumbers w:val="0"/>
              <w:autoSpaceDE w:val="0"/>
              <w:autoSpaceDN w:val="0"/>
              <w:spacing w:before="0" w:beforeAutospacing="0" w:after="0" w:afterAutospacing="0"/>
              <w:ind w:left="0" w:right="0"/>
              <w:jc w:val="center"/>
              <w:rPr>
                <w:rFonts w:hint="default" w:ascii="宋体"/>
                <w:b/>
                <w:bCs/>
                <w:sz w:val="18"/>
                <w:szCs w:val="18"/>
              </w:rPr>
            </w:pPr>
            <w:r>
              <w:rPr>
                <w:rFonts w:hint="eastAsia" w:ascii="宋体" w:hAnsi="宋体" w:cs="宋体"/>
                <w:b/>
                <w:bCs/>
                <w:sz w:val="18"/>
                <w:szCs w:val="18"/>
                <w:lang w:bidi="ar"/>
              </w:rPr>
              <w:t>评价内容</w:t>
            </w:r>
          </w:p>
        </w:tc>
      </w:tr>
      <w:tr w14:paraId="5EBA1B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744" w:type="dxa"/>
            <w:vMerge w:val="restart"/>
            <w:tcBorders>
              <w:tl2br w:val="nil"/>
              <w:tr2bl w:val="nil"/>
            </w:tcBorders>
            <w:shd w:val="clear" w:color="auto" w:fill="auto"/>
            <w:vAlign w:val="center"/>
          </w:tcPr>
          <w:p w14:paraId="058C675A">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绿色票据认证</w:t>
            </w:r>
          </w:p>
        </w:tc>
        <w:tc>
          <w:tcPr>
            <w:tcW w:w="2154" w:type="dxa"/>
            <w:tcBorders>
              <w:tl2br w:val="nil"/>
              <w:tr2bl w:val="nil"/>
            </w:tcBorders>
            <w:shd w:val="clear" w:color="auto" w:fill="auto"/>
            <w:vAlign w:val="center"/>
          </w:tcPr>
          <w:p w14:paraId="7665A728">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资质与权威性</w:t>
            </w:r>
          </w:p>
        </w:tc>
        <w:tc>
          <w:tcPr>
            <w:tcW w:w="5661" w:type="dxa"/>
            <w:tcBorders>
              <w:tl2br w:val="nil"/>
              <w:tr2bl w:val="nil"/>
            </w:tcBorders>
            <w:shd w:val="clear" w:color="auto" w:fill="auto"/>
            <w:vAlign w:val="center"/>
          </w:tcPr>
          <w:p w14:paraId="60C24732">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1</w:t>
            </w:r>
            <w:r>
              <w:rPr>
                <w:rFonts w:hint="default" w:ascii="宋体" w:hAnsi="宋体" w:cs="宋体"/>
                <w:sz w:val="18"/>
                <w:szCs w:val="18"/>
              </w:rPr>
              <w:t>.</w:t>
            </w:r>
            <w:r>
              <w:rPr>
                <w:rFonts w:hint="eastAsia" w:ascii="宋体" w:hAnsi="宋体" w:cs="宋体"/>
                <w:sz w:val="18"/>
                <w:szCs w:val="18"/>
              </w:rPr>
              <w:t>具备有权部门授予的评级、认证、鉴证、能源、气候或环境领域执业资质；</w:t>
            </w:r>
          </w:p>
          <w:p w14:paraId="34CAAF76">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2</w:t>
            </w:r>
            <w:r>
              <w:rPr>
                <w:rFonts w:hint="default" w:ascii="宋体" w:hAnsi="宋体" w:cs="宋体"/>
                <w:sz w:val="18"/>
                <w:szCs w:val="18"/>
              </w:rPr>
              <w:t>.</w:t>
            </w:r>
            <w:r>
              <w:rPr>
                <w:rFonts w:hint="eastAsia" w:ascii="宋体" w:hAnsi="宋体" w:cs="宋体"/>
                <w:sz w:val="18"/>
                <w:szCs w:val="18"/>
              </w:rPr>
              <w:t>是否获得国际或国内权威机构认可</w:t>
            </w:r>
          </w:p>
        </w:tc>
      </w:tr>
      <w:tr w14:paraId="6B8405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744" w:type="dxa"/>
            <w:vMerge w:val="continue"/>
            <w:tcBorders>
              <w:tl2br w:val="nil"/>
              <w:tr2bl w:val="nil"/>
            </w:tcBorders>
            <w:shd w:val="clear" w:color="auto" w:fill="auto"/>
            <w:vAlign w:val="center"/>
          </w:tcPr>
          <w:p w14:paraId="24AEC176">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p>
        </w:tc>
        <w:tc>
          <w:tcPr>
            <w:tcW w:w="2154" w:type="dxa"/>
            <w:tcBorders>
              <w:tl2br w:val="nil"/>
              <w:tr2bl w:val="nil"/>
            </w:tcBorders>
            <w:shd w:val="clear" w:color="auto" w:fill="auto"/>
            <w:vAlign w:val="center"/>
          </w:tcPr>
          <w:p w14:paraId="5F409FDC">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服务项目数量与市场占比</w:t>
            </w:r>
          </w:p>
        </w:tc>
        <w:tc>
          <w:tcPr>
            <w:tcW w:w="5661" w:type="dxa"/>
            <w:tcBorders>
              <w:tl2br w:val="nil"/>
              <w:tr2bl w:val="nil"/>
            </w:tcBorders>
            <w:shd w:val="clear" w:color="auto" w:fill="auto"/>
            <w:vAlign w:val="center"/>
          </w:tcPr>
          <w:p w14:paraId="4D41AC83">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绿色票据认证服务项目的数量及其在国内外市场的占比（如过去3年的数据）</w:t>
            </w:r>
          </w:p>
        </w:tc>
      </w:tr>
      <w:tr w14:paraId="64F268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744" w:type="dxa"/>
            <w:vMerge w:val="continue"/>
            <w:tcBorders>
              <w:tl2br w:val="nil"/>
              <w:tr2bl w:val="nil"/>
            </w:tcBorders>
            <w:shd w:val="clear" w:color="auto" w:fill="auto"/>
            <w:vAlign w:val="center"/>
          </w:tcPr>
          <w:p w14:paraId="0CA3DF2E">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p>
        </w:tc>
        <w:tc>
          <w:tcPr>
            <w:tcW w:w="2154" w:type="dxa"/>
            <w:tcBorders>
              <w:tl2br w:val="nil"/>
              <w:tr2bl w:val="nil"/>
            </w:tcBorders>
            <w:shd w:val="clear" w:color="auto" w:fill="auto"/>
            <w:vAlign w:val="center"/>
          </w:tcPr>
          <w:p w14:paraId="05B59126">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技术工具与平台的先进性</w:t>
            </w:r>
          </w:p>
        </w:tc>
        <w:tc>
          <w:tcPr>
            <w:tcW w:w="5661" w:type="dxa"/>
            <w:tcBorders>
              <w:tl2br w:val="nil"/>
              <w:tr2bl w:val="nil"/>
            </w:tcBorders>
            <w:shd w:val="clear" w:color="auto" w:fill="auto"/>
            <w:vAlign w:val="center"/>
          </w:tcPr>
          <w:p w14:paraId="218E2371">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1</w:t>
            </w:r>
            <w:r>
              <w:rPr>
                <w:rFonts w:hint="default" w:ascii="宋体" w:hAnsi="宋体" w:cs="宋体"/>
                <w:sz w:val="18"/>
                <w:szCs w:val="18"/>
              </w:rPr>
              <w:t>.</w:t>
            </w:r>
            <w:r>
              <w:rPr>
                <w:rFonts w:hint="eastAsia" w:ascii="宋体" w:hAnsi="宋体" w:cs="宋体"/>
                <w:sz w:val="18"/>
                <w:szCs w:val="18"/>
              </w:rPr>
              <w:t>是否运用区块链、大数据等前沿技术提升评估认证准确性与效率；2</w:t>
            </w:r>
            <w:r>
              <w:rPr>
                <w:rFonts w:hint="default" w:ascii="宋体" w:hAnsi="宋体" w:cs="宋体"/>
                <w:sz w:val="18"/>
                <w:szCs w:val="18"/>
              </w:rPr>
              <w:t>.</w:t>
            </w:r>
            <w:r>
              <w:rPr>
                <w:rFonts w:hint="eastAsia" w:ascii="宋体" w:hAnsi="宋体" w:cs="宋体"/>
                <w:sz w:val="18"/>
                <w:szCs w:val="18"/>
              </w:rPr>
              <w:t>有无自主研发且应用于评估认证流程的创新模型或工具</w:t>
            </w:r>
          </w:p>
        </w:tc>
      </w:tr>
      <w:tr w14:paraId="5D4C12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744" w:type="dxa"/>
            <w:vMerge w:val="continue"/>
            <w:tcBorders>
              <w:tl2br w:val="nil"/>
              <w:tr2bl w:val="nil"/>
            </w:tcBorders>
            <w:shd w:val="clear" w:color="auto" w:fill="auto"/>
            <w:vAlign w:val="center"/>
          </w:tcPr>
          <w:p w14:paraId="703B17EE">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p>
        </w:tc>
        <w:tc>
          <w:tcPr>
            <w:tcW w:w="2154" w:type="dxa"/>
            <w:tcBorders>
              <w:tl2br w:val="nil"/>
              <w:tr2bl w:val="nil"/>
            </w:tcBorders>
            <w:shd w:val="clear" w:color="auto" w:fill="auto"/>
            <w:vAlign w:val="center"/>
          </w:tcPr>
          <w:p w14:paraId="2611F495">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报告完整性、准确性</w:t>
            </w:r>
          </w:p>
        </w:tc>
        <w:tc>
          <w:tcPr>
            <w:tcW w:w="5661" w:type="dxa"/>
            <w:tcBorders>
              <w:tl2br w:val="nil"/>
              <w:tr2bl w:val="nil"/>
            </w:tcBorders>
            <w:shd w:val="clear" w:color="auto" w:fill="auto"/>
            <w:vAlign w:val="center"/>
          </w:tcPr>
          <w:p w14:paraId="68A76C1A">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1</w:t>
            </w:r>
            <w:r>
              <w:rPr>
                <w:rFonts w:hint="default" w:ascii="宋体" w:hAnsi="宋体" w:cs="宋体"/>
                <w:sz w:val="18"/>
                <w:szCs w:val="18"/>
              </w:rPr>
              <w:t>.</w:t>
            </w:r>
            <w:r>
              <w:rPr>
                <w:rFonts w:hint="eastAsia" w:ascii="宋体" w:hAnsi="宋体" w:cs="宋体"/>
                <w:sz w:val="18"/>
                <w:szCs w:val="18"/>
              </w:rPr>
              <w:t>认证报告是否涵盖票据基本信息、认定依据、绿色等级结论等全面内容；</w:t>
            </w:r>
          </w:p>
          <w:p w14:paraId="19E0B9FE">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2</w:t>
            </w:r>
            <w:r>
              <w:rPr>
                <w:rFonts w:hint="default" w:ascii="宋体" w:hAnsi="宋体" w:cs="宋体"/>
                <w:sz w:val="18"/>
                <w:szCs w:val="18"/>
              </w:rPr>
              <w:t>.</w:t>
            </w:r>
            <w:r>
              <w:rPr>
                <w:rFonts w:hint="eastAsia" w:ascii="宋体" w:hAnsi="宋体" w:cs="宋体"/>
                <w:sz w:val="18"/>
                <w:szCs w:val="18"/>
              </w:rPr>
              <w:t>认定结论是否准确合理，对票据绿色属性的分析判断是否有充分证据支撑</w:t>
            </w:r>
          </w:p>
        </w:tc>
      </w:tr>
    </w:tbl>
    <w:p w14:paraId="42D47052">
      <w:pPr>
        <w:autoSpaceDE w:val="0"/>
        <w:autoSpaceDN w:val="0"/>
        <w:spacing w:before="156" w:beforeLines="50" w:after="156" w:afterLines="50"/>
        <w:rPr>
          <w:rFonts w:ascii="黑体" w:hAnsi="黑体" w:eastAsia="黑体" w:cs="黑体"/>
          <w:szCs w:val="21"/>
        </w:rPr>
      </w:pPr>
      <w:r>
        <w:rPr>
          <w:rFonts w:hint="eastAsia" w:ascii="黑体" w:hAnsi="黑体" w:eastAsia="黑体" w:cs="黑体"/>
          <w:szCs w:val="21"/>
        </w:rPr>
        <w:t>A.3 ESG数据服务及评级</w:t>
      </w:r>
    </w:p>
    <w:p w14:paraId="6AE5CBD5">
      <w:pPr>
        <w:autoSpaceDE w:val="0"/>
        <w:autoSpaceDN w:val="0"/>
        <w:ind w:firstLine="420" w:firstLineChars="200"/>
        <w:rPr>
          <w:rFonts w:ascii="宋体" w:hAnsi="宋体" w:cs="宋体"/>
          <w:szCs w:val="21"/>
          <w:lang w:bidi="ar"/>
        </w:rPr>
      </w:pPr>
      <w:r>
        <w:rPr>
          <w:rFonts w:hint="eastAsia" w:ascii="宋体" w:hAnsi="宋体" w:cs="宋体"/>
          <w:szCs w:val="21"/>
          <w:lang w:bidi="ar"/>
        </w:rPr>
        <w:t>ESG数据服务及评级从资质与权威性</w:t>
      </w:r>
      <w:r>
        <w:rPr>
          <w:rFonts w:hint="eastAsia" w:ascii="宋体" w:hAnsi="宋体" w:cs="宋体"/>
          <w:szCs w:val="21"/>
          <w:lang w:eastAsia="zh-CN" w:bidi="ar"/>
        </w:rPr>
        <w:t>、服务项目数量与市场占比、数据质量、技术工具与平台的先进性、评级方法与模型</w:t>
      </w:r>
      <w:r>
        <w:rPr>
          <w:rFonts w:hint="eastAsia" w:ascii="宋体" w:hAnsi="宋体" w:cs="宋体"/>
          <w:szCs w:val="21"/>
          <w:lang w:val="en-US" w:eastAsia="zh-CN" w:bidi="ar"/>
        </w:rPr>
        <w:t>等</w:t>
      </w:r>
      <w:r>
        <w:rPr>
          <w:rFonts w:hint="eastAsia" w:ascii="宋体" w:hAnsi="宋体" w:cs="宋体"/>
          <w:szCs w:val="21"/>
          <w:lang w:bidi="ar"/>
        </w:rPr>
        <w:t>进行综合评价，具体评价内容及评价方法见表A.3。</w:t>
      </w:r>
    </w:p>
    <w:p w14:paraId="0CC9A69D">
      <w:pPr>
        <w:pStyle w:val="129"/>
        <w:numPr>
          <w:ilvl w:val="0"/>
          <w:numId w:val="0"/>
        </w:numPr>
      </w:pPr>
      <w:r>
        <w:rPr>
          <w:rFonts w:hint="eastAsia" w:hAnsi="宋体" w:cs="黑体"/>
          <w:kern w:val="2"/>
          <w:szCs w:val="21"/>
          <w:lang w:bidi="ar"/>
        </w:rPr>
        <w:t>A.3  ESG数据服务及评级关键技术先进性评价规则</w:t>
      </w:r>
    </w:p>
    <w:tbl>
      <w:tblPr>
        <w:tblStyle w:val="36"/>
        <w:tblW w:w="95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03"/>
        <w:gridCol w:w="2268"/>
        <w:gridCol w:w="5888"/>
      </w:tblGrid>
      <w:tr w14:paraId="71068F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403" w:type="dxa"/>
            <w:tcBorders>
              <w:bottom w:val="single" w:color="auto" w:sz="12" w:space="0"/>
            </w:tcBorders>
            <w:shd w:val="clear" w:color="auto" w:fill="auto"/>
          </w:tcPr>
          <w:p w14:paraId="2F098ECE">
            <w:pPr>
              <w:keepNext w:val="0"/>
              <w:keepLines w:val="0"/>
              <w:suppressLineNumbers w:val="0"/>
              <w:autoSpaceDE w:val="0"/>
              <w:autoSpaceDN w:val="0"/>
              <w:spacing w:before="0" w:beforeAutospacing="0" w:after="0" w:afterAutospacing="0"/>
              <w:ind w:left="0" w:right="0"/>
              <w:jc w:val="center"/>
              <w:rPr>
                <w:rFonts w:hint="default" w:ascii="宋体"/>
                <w:b/>
                <w:bCs/>
                <w:sz w:val="18"/>
                <w:szCs w:val="18"/>
              </w:rPr>
            </w:pPr>
            <w:r>
              <w:rPr>
                <w:rFonts w:hint="eastAsia" w:ascii="宋体" w:hAnsi="宋体" w:cs="宋体"/>
                <w:b/>
                <w:bCs/>
                <w:sz w:val="18"/>
                <w:szCs w:val="18"/>
                <w:lang w:bidi="ar"/>
              </w:rPr>
              <w:t>评价对象</w:t>
            </w:r>
          </w:p>
        </w:tc>
        <w:tc>
          <w:tcPr>
            <w:tcW w:w="2268" w:type="dxa"/>
            <w:tcBorders>
              <w:bottom w:val="single" w:color="auto" w:sz="12" w:space="0"/>
            </w:tcBorders>
            <w:shd w:val="clear" w:color="auto" w:fill="auto"/>
          </w:tcPr>
          <w:p w14:paraId="1CB85067">
            <w:pPr>
              <w:keepNext w:val="0"/>
              <w:keepLines w:val="0"/>
              <w:suppressLineNumbers w:val="0"/>
              <w:autoSpaceDE w:val="0"/>
              <w:autoSpaceDN w:val="0"/>
              <w:spacing w:before="0" w:beforeAutospacing="0" w:after="0" w:afterAutospacing="0"/>
              <w:ind w:left="0" w:right="0"/>
              <w:jc w:val="center"/>
              <w:rPr>
                <w:rFonts w:hint="default" w:ascii="宋体"/>
                <w:b/>
                <w:bCs/>
                <w:sz w:val="18"/>
                <w:szCs w:val="18"/>
              </w:rPr>
            </w:pPr>
            <w:r>
              <w:rPr>
                <w:rFonts w:hint="eastAsia" w:ascii="宋体" w:hAnsi="宋体" w:cs="宋体"/>
                <w:b/>
                <w:bCs/>
                <w:sz w:val="18"/>
                <w:szCs w:val="18"/>
                <w:lang w:bidi="ar"/>
              </w:rPr>
              <w:t>核心评价指标</w:t>
            </w:r>
          </w:p>
        </w:tc>
        <w:tc>
          <w:tcPr>
            <w:tcW w:w="5888" w:type="dxa"/>
            <w:tcBorders>
              <w:bottom w:val="single" w:color="auto" w:sz="12" w:space="0"/>
            </w:tcBorders>
            <w:shd w:val="clear" w:color="auto" w:fill="auto"/>
          </w:tcPr>
          <w:p w14:paraId="65F1318B">
            <w:pPr>
              <w:keepNext w:val="0"/>
              <w:keepLines w:val="0"/>
              <w:suppressLineNumbers w:val="0"/>
              <w:autoSpaceDE w:val="0"/>
              <w:autoSpaceDN w:val="0"/>
              <w:spacing w:before="0" w:beforeAutospacing="0" w:after="0" w:afterAutospacing="0"/>
              <w:ind w:left="0" w:right="0"/>
              <w:jc w:val="center"/>
              <w:rPr>
                <w:rFonts w:hint="default" w:ascii="宋体"/>
                <w:b/>
                <w:bCs/>
                <w:sz w:val="18"/>
                <w:szCs w:val="18"/>
              </w:rPr>
            </w:pPr>
            <w:r>
              <w:rPr>
                <w:rFonts w:hint="eastAsia" w:ascii="宋体" w:hAnsi="宋体" w:cs="宋体"/>
                <w:b/>
                <w:bCs/>
                <w:sz w:val="18"/>
                <w:szCs w:val="18"/>
                <w:lang w:bidi="ar"/>
              </w:rPr>
              <w:t>评价内容</w:t>
            </w:r>
          </w:p>
        </w:tc>
      </w:tr>
      <w:tr w14:paraId="72C3F4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403" w:type="dxa"/>
            <w:vMerge w:val="restart"/>
            <w:tcBorders>
              <w:tl2br w:val="nil"/>
              <w:tr2bl w:val="nil"/>
            </w:tcBorders>
            <w:shd w:val="clear" w:color="auto" w:fill="auto"/>
            <w:vAlign w:val="center"/>
          </w:tcPr>
          <w:p w14:paraId="23B021A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ESG数据服务及评级</w:t>
            </w:r>
          </w:p>
        </w:tc>
        <w:tc>
          <w:tcPr>
            <w:tcW w:w="2268" w:type="dxa"/>
            <w:tcBorders>
              <w:tl2br w:val="nil"/>
              <w:tr2bl w:val="nil"/>
            </w:tcBorders>
            <w:shd w:val="clear" w:color="auto" w:fill="auto"/>
            <w:vAlign w:val="center"/>
          </w:tcPr>
          <w:p w14:paraId="37077E80">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资质与权威性</w:t>
            </w:r>
          </w:p>
        </w:tc>
        <w:tc>
          <w:tcPr>
            <w:tcW w:w="5888" w:type="dxa"/>
            <w:tcBorders>
              <w:tl2br w:val="nil"/>
              <w:tr2bl w:val="nil"/>
            </w:tcBorders>
            <w:shd w:val="clear" w:color="auto" w:fill="auto"/>
            <w:vAlign w:val="center"/>
          </w:tcPr>
          <w:p w14:paraId="72729560">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1</w:t>
            </w:r>
            <w:r>
              <w:rPr>
                <w:rFonts w:hint="default" w:ascii="宋体" w:hAnsi="宋体" w:cs="宋体"/>
                <w:sz w:val="18"/>
                <w:szCs w:val="18"/>
              </w:rPr>
              <w:t>.</w:t>
            </w:r>
            <w:r>
              <w:rPr>
                <w:rFonts w:hint="eastAsia" w:ascii="宋体" w:hAnsi="宋体" w:cs="宋体"/>
                <w:sz w:val="18"/>
                <w:szCs w:val="18"/>
              </w:rPr>
              <w:t>具备有权部门授予的评级、认证、鉴证、能源、气候或环境领域执业资质</w:t>
            </w:r>
          </w:p>
          <w:p w14:paraId="358CB9E2">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2</w:t>
            </w:r>
            <w:r>
              <w:rPr>
                <w:rFonts w:hint="default" w:ascii="宋体" w:hAnsi="宋体" w:cs="宋体"/>
                <w:sz w:val="18"/>
                <w:szCs w:val="18"/>
              </w:rPr>
              <w:t>.</w:t>
            </w:r>
            <w:r>
              <w:rPr>
                <w:rFonts w:hint="eastAsia" w:ascii="宋体" w:hAnsi="宋体" w:cs="宋体"/>
                <w:sz w:val="18"/>
                <w:szCs w:val="18"/>
              </w:rPr>
              <w:t>是否获得国际或国内权威机构认可（如SASB、GRI、TCFD等）</w:t>
            </w:r>
          </w:p>
        </w:tc>
      </w:tr>
      <w:tr w14:paraId="4DC8BA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403" w:type="dxa"/>
            <w:vMerge w:val="continue"/>
            <w:tcBorders>
              <w:tl2br w:val="nil"/>
              <w:tr2bl w:val="nil"/>
            </w:tcBorders>
            <w:shd w:val="clear" w:color="auto" w:fill="auto"/>
            <w:vAlign w:val="center"/>
          </w:tcPr>
          <w:p w14:paraId="3B06B31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2268" w:type="dxa"/>
            <w:tcBorders>
              <w:tl2br w:val="nil"/>
              <w:tr2bl w:val="nil"/>
            </w:tcBorders>
            <w:shd w:val="clear" w:color="auto" w:fill="auto"/>
            <w:vAlign w:val="center"/>
          </w:tcPr>
          <w:p w14:paraId="0B128728">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服务项目数量与市场占比</w:t>
            </w:r>
          </w:p>
        </w:tc>
        <w:tc>
          <w:tcPr>
            <w:tcW w:w="5888" w:type="dxa"/>
            <w:tcBorders>
              <w:tl2br w:val="nil"/>
              <w:tr2bl w:val="nil"/>
            </w:tcBorders>
            <w:shd w:val="clear" w:color="auto" w:fill="auto"/>
            <w:vAlign w:val="center"/>
          </w:tcPr>
          <w:p w14:paraId="60D7B1B1">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碳信用评级服务项目的数量及其在国内外市场的占比（如过去3年的数据）</w:t>
            </w:r>
          </w:p>
        </w:tc>
      </w:tr>
      <w:tr w14:paraId="0FF25D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403" w:type="dxa"/>
            <w:vMerge w:val="continue"/>
            <w:tcBorders>
              <w:tl2br w:val="nil"/>
              <w:tr2bl w:val="nil"/>
            </w:tcBorders>
            <w:shd w:val="clear" w:color="auto" w:fill="auto"/>
            <w:vAlign w:val="center"/>
          </w:tcPr>
          <w:p w14:paraId="5D4A9E3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2268" w:type="dxa"/>
            <w:tcBorders>
              <w:tl2br w:val="nil"/>
              <w:tr2bl w:val="nil"/>
            </w:tcBorders>
            <w:shd w:val="clear" w:color="auto" w:fill="auto"/>
            <w:vAlign w:val="center"/>
          </w:tcPr>
          <w:p w14:paraId="12A452E4">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数据质量</w:t>
            </w:r>
          </w:p>
        </w:tc>
        <w:tc>
          <w:tcPr>
            <w:tcW w:w="5888" w:type="dxa"/>
            <w:tcBorders>
              <w:tl2br w:val="nil"/>
              <w:tr2bl w:val="nil"/>
            </w:tcBorders>
            <w:shd w:val="clear" w:color="auto" w:fill="auto"/>
            <w:vAlign w:val="center"/>
          </w:tcPr>
          <w:p w14:paraId="30083588">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1</w:t>
            </w:r>
            <w:r>
              <w:rPr>
                <w:rFonts w:hint="default" w:ascii="宋体" w:hAnsi="宋体" w:cs="宋体"/>
                <w:sz w:val="18"/>
                <w:szCs w:val="18"/>
              </w:rPr>
              <w:t>.</w:t>
            </w:r>
            <w:r>
              <w:rPr>
                <w:rFonts w:hint="eastAsia" w:ascii="宋体" w:hAnsi="宋体" w:cs="宋体"/>
                <w:sz w:val="18"/>
                <w:szCs w:val="18"/>
              </w:rPr>
              <w:t>数据的准确性：数据是否经过严格的验证和审核，与企业实际情况的相符程度高，误差率低；</w:t>
            </w:r>
          </w:p>
          <w:p w14:paraId="2CE6C148">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2</w:t>
            </w:r>
            <w:r>
              <w:rPr>
                <w:rFonts w:hint="default" w:ascii="宋体" w:hAnsi="宋体" w:cs="宋体"/>
                <w:sz w:val="18"/>
                <w:szCs w:val="18"/>
              </w:rPr>
              <w:t>.</w:t>
            </w:r>
            <w:r>
              <w:rPr>
                <w:rFonts w:hint="eastAsia" w:ascii="宋体" w:hAnsi="宋体" w:cs="宋体"/>
                <w:sz w:val="18"/>
                <w:szCs w:val="18"/>
              </w:rPr>
              <w:t>数据的完整性：涵盖环境、社会和治理等各方面的指标数据是否齐全，是否能全面反映企业的 ESG 表现；</w:t>
            </w:r>
          </w:p>
          <w:p w14:paraId="450C9D11">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3</w:t>
            </w:r>
            <w:r>
              <w:rPr>
                <w:rFonts w:hint="default" w:ascii="宋体" w:hAnsi="宋体" w:cs="宋体"/>
                <w:sz w:val="18"/>
                <w:szCs w:val="18"/>
              </w:rPr>
              <w:t>.</w:t>
            </w:r>
            <w:r>
              <w:rPr>
                <w:rFonts w:hint="eastAsia" w:ascii="宋体" w:hAnsi="宋体" w:cs="宋体"/>
                <w:sz w:val="18"/>
                <w:szCs w:val="18"/>
              </w:rPr>
              <w:t>数据的及时性：能否及时更新数据，以反映企业 ESG 状况的动态变化，确保数据在决策时具有时效性</w:t>
            </w:r>
          </w:p>
        </w:tc>
      </w:tr>
      <w:tr w14:paraId="6CC11F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403" w:type="dxa"/>
            <w:vMerge w:val="continue"/>
            <w:tcBorders>
              <w:tl2br w:val="nil"/>
              <w:tr2bl w:val="nil"/>
            </w:tcBorders>
            <w:shd w:val="clear" w:color="auto" w:fill="auto"/>
            <w:vAlign w:val="center"/>
          </w:tcPr>
          <w:p w14:paraId="3499EFD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2268" w:type="dxa"/>
            <w:tcBorders>
              <w:tl2br w:val="nil"/>
              <w:tr2bl w:val="nil"/>
            </w:tcBorders>
            <w:shd w:val="clear" w:color="auto" w:fill="auto"/>
            <w:vAlign w:val="center"/>
          </w:tcPr>
          <w:p w14:paraId="1093C3C9">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技术工具与平台的先进性</w:t>
            </w:r>
          </w:p>
        </w:tc>
        <w:tc>
          <w:tcPr>
            <w:tcW w:w="5888" w:type="dxa"/>
            <w:tcBorders>
              <w:tl2br w:val="nil"/>
              <w:tr2bl w:val="nil"/>
            </w:tcBorders>
            <w:shd w:val="clear" w:color="auto" w:fill="auto"/>
            <w:vAlign w:val="center"/>
          </w:tcPr>
          <w:p w14:paraId="6486521A">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1</w:t>
            </w:r>
            <w:r>
              <w:rPr>
                <w:rFonts w:hint="default" w:ascii="宋体" w:hAnsi="宋体" w:cs="宋体"/>
                <w:sz w:val="18"/>
                <w:szCs w:val="18"/>
              </w:rPr>
              <w:t>.</w:t>
            </w:r>
            <w:r>
              <w:rPr>
                <w:rFonts w:hint="eastAsia" w:ascii="宋体" w:hAnsi="宋体" w:cs="宋体"/>
                <w:sz w:val="18"/>
                <w:szCs w:val="18"/>
              </w:rPr>
              <w:t>是否运用区块链、大数据等前沿技术提升评估认证准确性与效率；</w:t>
            </w:r>
          </w:p>
          <w:p w14:paraId="0FCAA8F9">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2</w:t>
            </w:r>
            <w:r>
              <w:rPr>
                <w:rFonts w:hint="default" w:ascii="宋体" w:hAnsi="宋体" w:cs="宋体"/>
                <w:sz w:val="18"/>
                <w:szCs w:val="18"/>
              </w:rPr>
              <w:t>.</w:t>
            </w:r>
            <w:r>
              <w:rPr>
                <w:rFonts w:hint="eastAsia" w:ascii="宋体" w:hAnsi="宋体" w:cs="宋体"/>
                <w:sz w:val="18"/>
                <w:szCs w:val="18"/>
              </w:rPr>
              <w:t>有无自主研发且应用于评估认证流程的创新模型或工具</w:t>
            </w:r>
          </w:p>
        </w:tc>
      </w:tr>
      <w:tr w14:paraId="7926E4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403" w:type="dxa"/>
            <w:vMerge w:val="continue"/>
            <w:tcBorders>
              <w:tl2br w:val="nil"/>
              <w:tr2bl w:val="nil"/>
            </w:tcBorders>
            <w:shd w:val="clear" w:color="auto" w:fill="auto"/>
            <w:vAlign w:val="center"/>
          </w:tcPr>
          <w:p w14:paraId="0A17033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2268" w:type="dxa"/>
            <w:tcBorders>
              <w:tl2br w:val="nil"/>
              <w:tr2bl w:val="nil"/>
            </w:tcBorders>
            <w:shd w:val="clear" w:color="auto" w:fill="auto"/>
            <w:vAlign w:val="center"/>
          </w:tcPr>
          <w:p w14:paraId="2FE44A0D">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评级方法与模型</w:t>
            </w:r>
          </w:p>
        </w:tc>
        <w:tc>
          <w:tcPr>
            <w:tcW w:w="5888" w:type="dxa"/>
            <w:tcBorders>
              <w:tl2br w:val="nil"/>
              <w:tr2bl w:val="nil"/>
            </w:tcBorders>
            <w:shd w:val="clear" w:color="auto" w:fill="auto"/>
            <w:vAlign w:val="center"/>
          </w:tcPr>
          <w:p w14:paraId="59B97748">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1</w:t>
            </w:r>
            <w:r>
              <w:rPr>
                <w:rFonts w:hint="default" w:ascii="宋体" w:hAnsi="宋体" w:cs="宋体"/>
                <w:sz w:val="18"/>
                <w:szCs w:val="18"/>
              </w:rPr>
              <w:t>.</w:t>
            </w:r>
            <w:r>
              <w:rPr>
                <w:rFonts w:hint="eastAsia" w:ascii="宋体" w:hAnsi="宋体" w:cs="宋体"/>
                <w:sz w:val="18"/>
                <w:szCs w:val="18"/>
              </w:rPr>
              <w:t>科学性：评级方法和模型是否基于严谨的学术研究和行业实践，有明确的理论基础和逻辑框架，能够合理地衡量企业的 ESG 绩效；</w:t>
            </w:r>
          </w:p>
          <w:p w14:paraId="0B02F74A">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2</w:t>
            </w:r>
            <w:r>
              <w:rPr>
                <w:rFonts w:hint="default" w:ascii="宋体" w:hAnsi="宋体" w:cs="宋体"/>
                <w:sz w:val="18"/>
                <w:szCs w:val="18"/>
              </w:rPr>
              <w:t>.</w:t>
            </w:r>
            <w:r>
              <w:rPr>
                <w:rFonts w:hint="eastAsia" w:ascii="宋体" w:hAnsi="宋体" w:cs="宋体"/>
                <w:sz w:val="18"/>
                <w:szCs w:val="18"/>
              </w:rPr>
              <w:t>透明度：评级过程和方法是否公开透明，包括指标权重的设定、数据的处理方式等，使客户能够理解评级结果的得出过程；</w:t>
            </w:r>
          </w:p>
          <w:p w14:paraId="63F9971B">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3</w:t>
            </w:r>
            <w:r>
              <w:rPr>
                <w:rFonts w:hint="default" w:ascii="宋体" w:hAnsi="宋体" w:cs="宋体"/>
                <w:sz w:val="18"/>
                <w:szCs w:val="18"/>
              </w:rPr>
              <w:t>.</w:t>
            </w:r>
            <w:r>
              <w:rPr>
                <w:rFonts w:hint="eastAsia" w:ascii="宋体" w:hAnsi="宋体" w:cs="宋体"/>
                <w:sz w:val="18"/>
                <w:szCs w:val="18"/>
              </w:rPr>
              <w:t>适应性：能否根据不同行业、不同规模企业的特点，灵活调整评级模型，以确保评级结果具有可比性和针对性</w:t>
            </w:r>
          </w:p>
        </w:tc>
      </w:tr>
    </w:tbl>
    <w:p w14:paraId="622696D7">
      <w:pPr>
        <w:spacing w:before="156" w:beforeLines="50" w:after="156" w:afterLines="50"/>
        <w:rPr>
          <w:rFonts w:ascii="黑体" w:hAnsi="黑体" w:eastAsia="黑体" w:cs="黑体"/>
          <w:szCs w:val="21"/>
        </w:rPr>
      </w:pPr>
      <w:r>
        <w:rPr>
          <w:rFonts w:hint="eastAsia" w:ascii="黑体" w:hAnsi="黑体" w:eastAsia="黑体" w:cs="黑体"/>
          <w:szCs w:val="21"/>
        </w:rPr>
        <w:t>A.4 碳信用评级</w:t>
      </w:r>
    </w:p>
    <w:p w14:paraId="7D75B34F">
      <w:pPr>
        <w:autoSpaceDE w:val="0"/>
        <w:autoSpaceDN w:val="0"/>
        <w:ind w:firstLine="420" w:firstLineChars="200"/>
        <w:rPr>
          <w:rFonts w:hAnsi="宋体"/>
          <w:kern w:val="0"/>
          <w:szCs w:val="27"/>
        </w:rPr>
      </w:pPr>
      <w:r>
        <w:rPr>
          <w:rFonts w:hint="eastAsia" w:ascii="宋体" w:hAnsi="宋体" w:cs="宋体"/>
          <w:szCs w:val="21"/>
          <w:lang w:bidi="ar"/>
        </w:rPr>
        <w:t>碳信用评级从资质与权威性</w:t>
      </w:r>
      <w:r>
        <w:rPr>
          <w:rFonts w:hint="eastAsia" w:ascii="宋体" w:hAnsi="宋体" w:cs="宋体"/>
          <w:szCs w:val="21"/>
          <w:lang w:eastAsia="zh-CN" w:bidi="ar"/>
        </w:rPr>
        <w:t>、服务项目数量与市场占比、评级标准与方法、</w:t>
      </w:r>
      <w:r>
        <w:rPr>
          <w:rFonts w:hint="eastAsia" w:ascii="宋体" w:hAnsi="宋体" w:cs="宋体"/>
          <w:sz w:val="21"/>
          <w:szCs w:val="21"/>
          <w:lang w:bidi="ar"/>
        </w:rPr>
        <w:t>数据质量</w:t>
      </w:r>
      <w:r>
        <w:rPr>
          <w:rFonts w:hint="eastAsia" w:ascii="宋体" w:hAnsi="宋体" w:cs="宋体"/>
          <w:szCs w:val="21"/>
          <w:lang w:val="en-US" w:eastAsia="zh-CN" w:bidi="ar"/>
        </w:rPr>
        <w:t>等</w:t>
      </w:r>
      <w:r>
        <w:rPr>
          <w:rFonts w:hint="eastAsia" w:ascii="宋体" w:hAnsi="宋体" w:cs="宋体"/>
          <w:szCs w:val="21"/>
          <w:lang w:bidi="ar"/>
        </w:rPr>
        <w:t>进行综合评价，具体评价内容及评价方法见表A.4。</w:t>
      </w:r>
    </w:p>
    <w:p w14:paraId="276CCB8C">
      <w:pPr>
        <w:pStyle w:val="129"/>
        <w:numPr>
          <w:ilvl w:val="0"/>
          <w:numId w:val="0"/>
        </w:numPr>
        <w:rPr>
          <w:rFonts w:hAnsi="宋体" w:cs="黑体"/>
          <w:kern w:val="2"/>
          <w:szCs w:val="21"/>
          <w:lang w:bidi="ar"/>
        </w:rPr>
      </w:pPr>
      <w:r>
        <w:rPr>
          <w:rFonts w:hint="eastAsia" w:hAnsi="宋体" w:cs="黑体"/>
          <w:kern w:val="2"/>
          <w:szCs w:val="21"/>
          <w:lang w:bidi="ar"/>
        </w:rPr>
        <w:t>A.4  碳信用评级关键技术先进性评价规则</w:t>
      </w:r>
    </w:p>
    <w:tbl>
      <w:tblPr>
        <w:tblStyle w:val="35"/>
        <w:tblW w:w="95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44"/>
        <w:gridCol w:w="1785"/>
        <w:gridCol w:w="6030"/>
      </w:tblGrid>
      <w:tr w14:paraId="2487EC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744" w:type="dxa"/>
            <w:tcBorders>
              <w:top w:val="single" w:color="auto" w:sz="12" w:space="0"/>
              <w:bottom w:val="single" w:color="auto" w:sz="12" w:space="0"/>
            </w:tcBorders>
            <w:shd w:val="clear" w:color="auto" w:fill="auto"/>
          </w:tcPr>
          <w:p w14:paraId="13C9786D">
            <w:pPr>
              <w:keepNext w:val="0"/>
              <w:keepLines w:val="0"/>
              <w:suppressLineNumbers w:val="0"/>
              <w:autoSpaceDE w:val="0"/>
              <w:autoSpaceDN w:val="0"/>
              <w:spacing w:before="0" w:beforeAutospacing="0" w:after="0" w:afterAutospacing="0"/>
              <w:ind w:left="0" w:right="0"/>
              <w:jc w:val="center"/>
              <w:rPr>
                <w:rFonts w:hint="default" w:ascii="宋体"/>
                <w:b/>
                <w:bCs/>
                <w:sz w:val="18"/>
                <w:szCs w:val="18"/>
              </w:rPr>
            </w:pPr>
            <w:r>
              <w:rPr>
                <w:rFonts w:hint="eastAsia" w:ascii="宋体" w:hAnsi="宋体" w:cs="宋体"/>
                <w:b/>
                <w:bCs/>
                <w:sz w:val="18"/>
                <w:szCs w:val="18"/>
                <w:lang w:bidi="ar"/>
              </w:rPr>
              <w:t>评价对象</w:t>
            </w:r>
          </w:p>
        </w:tc>
        <w:tc>
          <w:tcPr>
            <w:tcW w:w="1785" w:type="dxa"/>
            <w:tcBorders>
              <w:top w:val="single" w:color="auto" w:sz="12" w:space="0"/>
              <w:bottom w:val="single" w:color="auto" w:sz="12" w:space="0"/>
            </w:tcBorders>
            <w:shd w:val="clear" w:color="auto" w:fill="auto"/>
          </w:tcPr>
          <w:p w14:paraId="331DBAC6">
            <w:pPr>
              <w:keepNext w:val="0"/>
              <w:keepLines w:val="0"/>
              <w:suppressLineNumbers w:val="0"/>
              <w:autoSpaceDE w:val="0"/>
              <w:autoSpaceDN w:val="0"/>
              <w:spacing w:before="0" w:beforeAutospacing="0" w:after="0" w:afterAutospacing="0"/>
              <w:ind w:left="0" w:right="0"/>
              <w:jc w:val="center"/>
              <w:rPr>
                <w:rFonts w:hint="default" w:ascii="宋体"/>
                <w:b/>
                <w:bCs/>
                <w:sz w:val="18"/>
                <w:szCs w:val="18"/>
              </w:rPr>
            </w:pPr>
            <w:r>
              <w:rPr>
                <w:rFonts w:hint="eastAsia" w:ascii="宋体" w:hAnsi="宋体" w:cs="宋体"/>
                <w:b/>
                <w:bCs/>
                <w:sz w:val="18"/>
                <w:szCs w:val="18"/>
                <w:lang w:bidi="ar"/>
              </w:rPr>
              <w:t>核心评价指标</w:t>
            </w:r>
          </w:p>
        </w:tc>
        <w:tc>
          <w:tcPr>
            <w:tcW w:w="6030" w:type="dxa"/>
            <w:tcBorders>
              <w:top w:val="single" w:color="auto" w:sz="12" w:space="0"/>
              <w:bottom w:val="single" w:color="auto" w:sz="12" w:space="0"/>
            </w:tcBorders>
            <w:shd w:val="clear" w:color="auto" w:fill="auto"/>
          </w:tcPr>
          <w:p w14:paraId="16931B38">
            <w:pPr>
              <w:keepNext w:val="0"/>
              <w:keepLines w:val="0"/>
              <w:suppressLineNumbers w:val="0"/>
              <w:autoSpaceDE w:val="0"/>
              <w:autoSpaceDN w:val="0"/>
              <w:spacing w:before="0" w:beforeAutospacing="0" w:after="0" w:afterAutospacing="0"/>
              <w:ind w:left="0" w:right="0"/>
              <w:jc w:val="center"/>
              <w:rPr>
                <w:rFonts w:hint="default" w:ascii="宋体"/>
                <w:b/>
                <w:bCs/>
                <w:sz w:val="18"/>
                <w:szCs w:val="18"/>
              </w:rPr>
            </w:pPr>
            <w:r>
              <w:rPr>
                <w:rFonts w:hint="eastAsia" w:ascii="宋体" w:hAnsi="宋体" w:cs="宋体"/>
                <w:b/>
                <w:bCs/>
                <w:sz w:val="18"/>
                <w:szCs w:val="18"/>
                <w:lang w:bidi="ar"/>
              </w:rPr>
              <w:t>评价内容</w:t>
            </w:r>
          </w:p>
        </w:tc>
      </w:tr>
      <w:tr w14:paraId="7843A8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1744" w:type="dxa"/>
            <w:vMerge w:val="restart"/>
            <w:tcBorders>
              <w:top w:val="single" w:color="auto" w:sz="12" w:space="0"/>
              <w:bottom w:val="single" w:color="auto" w:sz="4" w:space="0"/>
              <w:tl2br w:val="nil"/>
              <w:tr2bl w:val="nil"/>
            </w:tcBorders>
            <w:shd w:val="clear" w:color="auto" w:fill="auto"/>
            <w:vAlign w:val="center"/>
          </w:tcPr>
          <w:p w14:paraId="0D80AE8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碳信用评级</w:t>
            </w:r>
          </w:p>
        </w:tc>
        <w:tc>
          <w:tcPr>
            <w:tcW w:w="1785" w:type="dxa"/>
            <w:tcBorders>
              <w:top w:val="single" w:color="auto" w:sz="12" w:space="0"/>
              <w:bottom w:val="single" w:color="auto" w:sz="4" w:space="0"/>
              <w:tl2br w:val="nil"/>
              <w:tr2bl w:val="nil"/>
            </w:tcBorders>
            <w:shd w:val="clear" w:color="auto" w:fill="auto"/>
            <w:vAlign w:val="center"/>
          </w:tcPr>
          <w:p w14:paraId="1CB403C7">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资质与权威性</w:t>
            </w:r>
          </w:p>
        </w:tc>
        <w:tc>
          <w:tcPr>
            <w:tcW w:w="6030" w:type="dxa"/>
            <w:tcBorders>
              <w:top w:val="single" w:color="auto" w:sz="12" w:space="0"/>
              <w:bottom w:val="single" w:color="auto" w:sz="4" w:space="0"/>
              <w:tl2br w:val="nil"/>
              <w:tr2bl w:val="nil"/>
            </w:tcBorders>
            <w:shd w:val="clear" w:color="auto" w:fill="auto"/>
            <w:vAlign w:val="center"/>
          </w:tcPr>
          <w:p w14:paraId="6241A685">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1</w:t>
            </w:r>
            <w:r>
              <w:rPr>
                <w:rFonts w:hint="default" w:ascii="宋体" w:hAnsi="宋体" w:cs="宋体"/>
                <w:sz w:val="18"/>
                <w:szCs w:val="18"/>
              </w:rPr>
              <w:t>.</w:t>
            </w:r>
            <w:r>
              <w:rPr>
                <w:rFonts w:hint="eastAsia" w:ascii="宋体" w:hAnsi="宋体" w:cs="宋体"/>
                <w:sz w:val="18"/>
                <w:szCs w:val="18"/>
              </w:rPr>
              <w:t>具备有权部门授予的评级、认证、鉴证、能源、气候或环境领域执业资质；</w:t>
            </w:r>
          </w:p>
          <w:p w14:paraId="4101AC81">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2</w:t>
            </w:r>
            <w:r>
              <w:rPr>
                <w:rFonts w:hint="default" w:ascii="宋体" w:hAnsi="宋体" w:cs="宋体"/>
                <w:sz w:val="18"/>
                <w:szCs w:val="18"/>
              </w:rPr>
              <w:t>.</w:t>
            </w:r>
            <w:r>
              <w:rPr>
                <w:rFonts w:hint="eastAsia" w:ascii="宋体" w:hAnsi="宋体" w:cs="宋体"/>
                <w:sz w:val="18"/>
                <w:szCs w:val="18"/>
              </w:rPr>
              <w:t>是否获得国际或国内权威机构认可（如Verra、Gold Standard等）</w:t>
            </w:r>
          </w:p>
        </w:tc>
      </w:tr>
      <w:tr w14:paraId="200A0F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744" w:type="dxa"/>
            <w:vMerge w:val="continue"/>
            <w:tcBorders>
              <w:top w:val="single" w:color="auto" w:sz="4" w:space="0"/>
              <w:bottom w:val="single" w:color="auto" w:sz="4" w:space="0"/>
              <w:tl2br w:val="nil"/>
              <w:tr2bl w:val="nil"/>
            </w:tcBorders>
            <w:shd w:val="clear" w:color="auto" w:fill="auto"/>
            <w:vAlign w:val="center"/>
          </w:tcPr>
          <w:p w14:paraId="5693F196">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p>
        </w:tc>
        <w:tc>
          <w:tcPr>
            <w:tcW w:w="1785" w:type="dxa"/>
            <w:tcBorders>
              <w:top w:val="single" w:color="auto" w:sz="4" w:space="0"/>
              <w:bottom w:val="single" w:color="auto" w:sz="4" w:space="0"/>
              <w:tl2br w:val="nil"/>
              <w:tr2bl w:val="nil"/>
            </w:tcBorders>
            <w:shd w:val="clear" w:color="auto" w:fill="auto"/>
            <w:vAlign w:val="center"/>
          </w:tcPr>
          <w:p w14:paraId="04A7FE1C">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服务项目数量与市场占比</w:t>
            </w:r>
          </w:p>
        </w:tc>
        <w:tc>
          <w:tcPr>
            <w:tcW w:w="6030" w:type="dxa"/>
            <w:tcBorders>
              <w:top w:val="single" w:color="auto" w:sz="4" w:space="0"/>
              <w:bottom w:val="single" w:color="auto" w:sz="4" w:space="0"/>
              <w:tl2br w:val="nil"/>
              <w:tr2bl w:val="nil"/>
            </w:tcBorders>
            <w:shd w:val="clear" w:color="auto" w:fill="auto"/>
            <w:vAlign w:val="center"/>
          </w:tcPr>
          <w:p w14:paraId="3BCC19E4">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碳信用评级服务项目的数量及其在国内外市场的占比（如过去3年的数据）</w:t>
            </w:r>
          </w:p>
        </w:tc>
      </w:tr>
      <w:tr w14:paraId="62AB57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744" w:type="dxa"/>
            <w:vMerge w:val="continue"/>
            <w:tcBorders>
              <w:top w:val="single" w:color="auto" w:sz="4" w:space="0"/>
              <w:bottom w:val="single" w:color="auto" w:sz="12" w:space="0"/>
              <w:tl2br w:val="nil"/>
              <w:tr2bl w:val="nil"/>
            </w:tcBorders>
            <w:shd w:val="clear" w:color="auto" w:fill="auto"/>
            <w:vAlign w:val="center"/>
          </w:tcPr>
          <w:p w14:paraId="62F04D8F">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p>
        </w:tc>
        <w:tc>
          <w:tcPr>
            <w:tcW w:w="1785" w:type="dxa"/>
            <w:tcBorders>
              <w:top w:val="single" w:color="auto" w:sz="4" w:space="0"/>
              <w:bottom w:val="single" w:color="auto" w:sz="12" w:space="0"/>
              <w:tl2br w:val="nil"/>
              <w:tr2bl w:val="nil"/>
            </w:tcBorders>
            <w:shd w:val="clear" w:color="auto" w:fill="auto"/>
            <w:vAlign w:val="center"/>
          </w:tcPr>
          <w:p w14:paraId="37DC5253">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评级标准与方法</w:t>
            </w:r>
          </w:p>
        </w:tc>
        <w:tc>
          <w:tcPr>
            <w:tcW w:w="6030" w:type="dxa"/>
            <w:tcBorders>
              <w:top w:val="single" w:color="auto" w:sz="4" w:space="0"/>
              <w:bottom w:val="single" w:color="auto" w:sz="12" w:space="0"/>
              <w:tl2br w:val="nil"/>
              <w:tr2bl w:val="nil"/>
            </w:tcBorders>
            <w:shd w:val="clear" w:color="auto" w:fill="auto"/>
            <w:vAlign w:val="center"/>
          </w:tcPr>
          <w:p w14:paraId="316A50EF">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1.科学性：评级标准是否基于准确的碳排放核算方法、行业最佳实践以及相关政策法规，能否准确衡量企业或项目的碳信用水平。例如，是否采用国际认可的标准如 ISO 14064 系列标准等进行碳排放核算；</w:t>
            </w:r>
          </w:p>
          <w:p w14:paraId="1A4EF8CC">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2.透明度：评级方法和流程是否公开透明，包括指标权重设定、数据处理方式以及评级结果的调整机制等，是否能让被评级对象和利益相关者清晰理解；</w:t>
            </w:r>
          </w:p>
        </w:tc>
      </w:tr>
    </w:tbl>
    <w:p w14:paraId="219D4F53">
      <w:pPr>
        <w:pStyle w:val="129"/>
        <w:numPr>
          <w:ilvl w:val="0"/>
          <w:numId w:val="0"/>
        </w:numPr>
        <w:rPr>
          <w:rFonts w:hAnsi="宋体" w:cs="黑体"/>
          <w:kern w:val="2"/>
          <w:szCs w:val="21"/>
          <w:lang w:bidi="ar"/>
        </w:rPr>
      </w:pPr>
      <w:r>
        <w:rPr>
          <w:rFonts w:hint="eastAsia" w:hAnsi="宋体" w:cs="黑体"/>
          <w:kern w:val="2"/>
          <w:szCs w:val="21"/>
          <w:lang w:bidi="ar"/>
        </w:rPr>
        <w:t>A.4  碳信用评级关键技术先进性评价规则</w:t>
      </w:r>
      <w:r>
        <w:rPr>
          <w:rFonts w:hint="eastAsia" w:cs="黑体" w:asciiTheme="minorEastAsia" w:hAnsiTheme="minorEastAsia" w:eastAsiaTheme="minorEastAsia"/>
          <w:kern w:val="2"/>
          <w:szCs w:val="21"/>
          <w:lang w:bidi="ar"/>
        </w:rPr>
        <w:t>（续）</w:t>
      </w:r>
    </w:p>
    <w:tbl>
      <w:tblPr>
        <w:tblStyle w:val="35"/>
        <w:tblW w:w="95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44"/>
        <w:gridCol w:w="1785"/>
        <w:gridCol w:w="6030"/>
      </w:tblGrid>
      <w:tr w14:paraId="2A79AD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744" w:type="dxa"/>
            <w:tcBorders>
              <w:top w:val="single" w:color="auto" w:sz="12" w:space="0"/>
              <w:bottom w:val="single" w:color="auto" w:sz="12" w:space="0"/>
              <w:tl2br w:val="nil"/>
              <w:tr2bl w:val="nil"/>
            </w:tcBorders>
            <w:shd w:val="clear" w:color="auto" w:fill="auto"/>
          </w:tcPr>
          <w:p w14:paraId="79FAC59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b/>
                <w:bCs/>
                <w:sz w:val="18"/>
                <w:szCs w:val="18"/>
                <w:lang w:bidi="ar"/>
              </w:rPr>
              <w:t>评价对象</w:t>
            </w:r>
          </w:p>
        </w:tc>
        <w:tc>
          <w:tcPr>
            <w:tcW w:w="1785" w:type="dxa"/>
            <w:tcBorders>
              <w:top w:val="single" w:color="auto" w:sz="12" w:space="0"/>
              <w:bottom w:val="single" w:color="auto" w:sz="12" w:space="0"/>
              <w:tl2br w:val="nil"/>
              <w:tr2bl w:val="nil"/>
            </w:tcBorders>
            <w:shd w:val="clear" w:color="auto" w:fill="auto"/>
          </w:tcPr>
          <w:p w14:paraId="247C691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b/>
                <w:bCs/>
                <w:sz w:val="18"/>
                <w:szCs w:val="18"/>
                <w:lang w:bidi="ar"/>
              </w:rPr>
              <w:t>核心评价指标</w:t>
            </w:r>
          </w:p>
        </w:tc>
        <w:tc>
          <w:tcPr>
            <w:tcW w:w="6030" w:type="dxa"/>
            <w:tcBorders>
              <w:top w:val="single" w:color="auto" w:sz="12" w:space="0"/>
              <w:bottom w:val="single" w:color="auto" w:sz="12" w:space="0"/>
              <w:tl2br w:val="nil"/>
              <w:tr2bl w:val="nil"/>
            </w:tcBorders>
            <w:shd w:val="clear" w:color="auto" w:fill="auto"/>
          </w:tcPr>
          <w:p w14:paraId="53D8427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b/>
                <w:bCs/>
                <w:sz w:val="18"/>
                <w:szCs w:val="18"/>
                <w:lang w:bidi="ar"/>
              </w:rPr>
              <w:t>评价内容</w:t>
            </w:r>
          </w:p>
        </w:tc>
      </w:tr>
      <w:tr w14:paraId="290157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744" w:type="dxa"/>
            <w:vMerge w:val="restart"/>
            <w:tcBorders>
              <w:top w:val="single" w:color="auto" w:sz="12" w:space="0"/>
              <w:tl2br w:val="nil"/>
              <w:tr2bl w:val="nil"/>
            </w:tcBorders>
            <w:shd w:val="clear" w:color="auto" w:fill="auto"/>
            <w:vAlign w:val="center"/>
          </w:tcPr>
          <w:p w14:paraId="0E7DDDCE">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碳信用评级</w:t>
            </w:r>
          </w:p>
        </w:tc>
        <w:tc>
          <w:tcPr>
            <w:tcW w:w="1785" w:type="dxa"/>
            <w:tcBorders>
              <w:top w:val="single" w:color="auto" w:sz="12" w:space="0"/>
              <w:bottom w:val="single" w:color="auto" w:sz="4" w:space="0"/>
            </w:tcBorders>
            <w:shd w:val="clear" w:color="auto" w:fill="auto"/>
            <w:vAlign w:val="center"/>
          </w:tcPr>
          <w:p w14:paraId="1974AFC2">
            <w:pPr>
              <w:keepNext w:val="0"/>
              <w:keepLines w:val="0"/>
              <w:suppressLineNumbers w:val="0"/>
              <w:autoSpaceDE w:val="0"/>
              <w:autoSpaceDN w:val="0"/>
              <w:spacing w:before="0" w:beforeAutospacing="0" w:after="0" w:afterAutospacing="0"/>
              <w:ind w:left="0" w:right="0"/>
              <w:rPr>
                <w:rFonts w:hint="eastAsia" w:ascii="宋体" w:hAnsi="宋体" w:cs="宋体"/>
                <w:sz w:val="18"/>
                <w:szCs w:val="18"/>
              </w:rPr>
            </w:pPr>
            <w:r>
              <w:rPr>
                <w:rFonts w:hint="eastAsia" w:ascii="宋体" w:hAnsi="宋体" w:cs="宋体"/>
                <w:sz w:val="18"/>
                <w:szCs w:val="18"/>
              </w:rPr>
              <w:t>评级标准与方法</w:t>
            </w:r>
          </w:p>
        </w:tc>
        <w:tc>
          <w:tcPr>
            <w:tcW w:w="6030" w:type="dxa"/>
            <w:tcBorders>
              <w:top w:val="single" w:color="auto" w:sz="12" w:space="0"/>
              <w:bottom w:val="single" w:color="auto" w:sz="4" w:space="0"/>
            </w:tcBorders>
            <w:shd w:val="clear" w:color="auto" w:fill="auto"/>
            <w:vAlign w:val="center"/>
          </w:tcPr>
          <w:p w14:paraId="0A23C5B0">
            <w:pPr>
              <w:keepNext w:val="0"/>
              <w:keepLines w:val="0"/>
              <w:suppressLineNumbers w:val="0"/>
              <w:autoSpaceDE w:val="0"/>
              <w:autoSpaceDN w:val="0"/>
              <w:spacing w:before="0" w:beforeAutospacing="0" w:after="0" w:afterAutospacing="0"/>
              <w:ind w:left="0" w:right="0"/>
              <w:rPr>
                <w:rFonts w:hint="eastAsia" w:ascii="宋体" w:hAnsi="宋体" w:cs="宋体"/>
                <w:sz w:val="18"/>
                <w:szCs w:val="18"/>
              </w:rPr>
            </w:pPr>
            <w:r>
              <w:rPr>
                <w:rFonts w:hint="eastAsia" w:ascii="宋体" w:hAnsi="宋体" w:cs="宋体"/>
                <w:sz w:val="18"/>
                <w:szCs w:val="18"/>
              </w:rPr>
              <w:t>3.适应性：能否根据不同行业、企业规模和项目类型的特点，灵活调整评级模型和指标，以确保评级结果具有可比性和针对性。比如，对于高耗能行业和服务业，应采用不同的关键指标和权重进行评级</w:t>
            </w:r>
          </w:p>
        </w:tc>
      </w:tr>
      <w:tr w14:paraId="08DCF7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1744" w:type="dxa"/>
            <w:vMerge w:val="continue"/>
            <w:tcBorders>
              <w:tl2br w:val="nil"/>
              <w:tr2bl w:val="nil"/>
            </w:tcBorders>
            <w:shd w:val="clear" w:color="auto" w:fill="auto"/>
            <w:vAlign w:val="center"/>
          </w:tcPr>
          <w:p w14:paraId="0A58F72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1785" w:type="dxa"/>
            <w:tcBorders>
              <w:top w:val="single" w:color="auto" w:sz="4" w:space="0"/>
            </w:tcBorders>
            <w:shd w:val="clear" w:color="auto" w:fill="auto"/>
            <w:vAlign w:val="center"/>
          </w:tcPr>
          <w:p w14:paraId="120D62CA">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数据质量</w:t>
            </w:r>
          </w:p>
        </w:tc>
        <w:tc>
          <w:tcPr>
            <w:tcW w:w="6030" w:type="dxa"/>
            <w:tcBorders>
              <w:top w:val="single" w:color="auto" w:sz="4" w:space="0"/>
            </w:tcBorders>
            <w:shd w:val="clear" w:color="auto" w:fill="auto"/>
            <w:vAlign w:val="center"/>
          </w:tcPr>
          <w:p w14:paraId="54BFAF3B">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1.准确性：收集和使用的数据是否准确可靠，是否经过严格的验证和审核，与企业或项目的实际碳排放和减排情况相符程度高；</w:t>
            </w:r>
          </w:p>
          <w:p w14:paraId="58B24A91">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2.完整性：涵盖的碳相关数据是否全面，包括碳排放源、减排措施、碳资产等方面的数据，能否全面反映被评级对象的碳信用状况；</w:t>
            </w:r>
          </w:p>
          <w:p w14:paraId="2693A2E5">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3.及时性：数据更新是否及时，能否反映企业或项目在不同时间点的碳信用动态变化，以满足市场和监管的时效性需求</w:t>
            </w:r>
          </w:p>
        </w:tc>
      </w:tr>
    </w:tbl>
    <w:p w14:paraId="3D065820">
      <w:pPr>
        <w:pStyle w:val="25"/>
        <w:ind w:firstLine="0" w:firstLineChars="0"/>
        <w:rPr>
          <w:rFonts w:hAnsi="宋体" w:cs="宋体"/>
        </w:rPr>
      </w:pPr>
      <w:r>
        <w:rPr>
          <w:rFonts w:hint="eastAsia" w:hAnsi="宋体" w:cs="宋体"/>
        </w:rPr>
        <w:br w:type="page"/>
      </w:r>
    </w:p>
    <w:p w14:paraId="4C6C58C5">
      <w:pPr>
        <w:pStyle w:val="87"/>
        <w:rPr>
          <w:rFonts w:ascii="Times New Roman"/>
        </w:rPr>
      </w:pPr>
      <w:r>
        <w:rPr>
          <w:rFonts w:ascii="Times New Roman"/>
        </w:rPr>
        <w:br w:type="textWrapping"/>
      </w:r>
      <w:bookmarkStart w:id="103" w:name="_Toc195038136"/>
      <w:r>
        <w:rPr>
          <w:rFonts w:ascii="Times New Roman"/>
        </w:rPr>
        <w:t>（资料性）</w:t>
      </w:r>
      <w:r>
        <w:rPr>
          <w:rFonts w:ascii="Times New Roman"/>
        </w:rPr>
        <w:br w:type="textWrapping"/>
      </w:r>
      <w:r>
        <w:rPr>
          <w:rFonts w:hint="eastAsia" w:ascii="Times New Roman"/>
        </w:rPr>
        <w:t>绿色金融认证和评级领域绿色低碳产业企业认定评价报告模板</w:t>
      </w:r>
      <w:bookmarkEnd w:id="103"/>
    </w:p>
    <w:p w14:paraId="739654DB">
      <w:pPr>
        <w:pStyle w:val="90"/>
        <w:numPr>
          <w:ilvl w:val="1"/>
          <w:numId w:val="0"/>
        </w:numPr>
        <w:spacing w:before="156" w:after="156"/>
        <w:jc w:val="both"/>
        <w:rPr>
          <w:rFonts w:ascii="Times New Roman" w:eastAsia="Times New Roman"/>
        </w:rPr>
      </w:pPr>
      <w:r>
        <w:rPr>
          <w:rFonts w:hint="eastAsia" w:hAnsi="黑体" w:cs="黑体"/>
        </w:rPr>
        <w:t>B.1  封面</w:t>
      </w:r>
    </w:p>
    <w:p w14:paraId="694246D9">
      <w:pPr>
        <w:pStyle w:val="25"/>
        <w:rPr>
          <w:rFonts w:ascii="Times New Roman" w:eastAsia="Times New Roman"/>
          <w:szCs w:val="24"/>
        </w:rPr>
      </w:pPr>
      <w:r>
        <w:rPr>
          <w:rFonts w:hint="eastAsia" w:ascii="Times New Roman"/>
          <w:szCs w:val="24"/>
        </w:rPr>
        <w:t>绿色金融认证和评级领域绿色低碳产业企业认定评价报告封面要求见表</w:t>
      </w:r>
      <w:r>
        <w:rPr>
          <w:rFonts w:hint="eastAsia" w:hAnsi="宋体" w:cs="宋体"/>
          <w:szCs w:val="24"/>
        </w:rPr>
        <w:t>B.1</w:t>
      </w:r>
      <w:r>
        <w:rPr>
          <w:rFonts w:hint="eastAsia" w:ascii="Times New Roman"/>
          <w:szCs w:val="24"/>
        </w:rPr>
        <w:t>。</w:t>
      </w:r>
    </w:p>
    <w:p w14:paraId="2EA4E540">
      <w:pPr>
        <w:pStyle w:val="90"/>
        <w:numPr>
          <w:ilvl w:val="1"/>
          <w:numId w:val="0"/>
        </w:numPr>
        <w:tabs>
          <w:tab w:val="clear" w:pos="0"/>
        </w:tabs>
        <w:spacing w:before="156" w:after="156"/>
        <w:rPr>
          <w:rFonts w:hAnsi="黑体"/>
        </w:rPr>
      </w:pPr>
      <w:r>
        <w:rPr>
          <w:rFonts w:hint="eastAsia" w:hAnsi="黑体"/>
        </w:rPr>
        <w:t>表B.1  绿色金融认证和评级领域绿色低碳产业企业认定评价报告封面</w:t>
      </w:r>
    </w:p>
    <w:p w14:paraId="06FB89BE">
      <w:pPr>
        <w:pStyle w:val="25"/>
        <w:ind w:firstLine="0" w:firstLineChars="0"/>
        <w:jc w:val="center"/>
      </w:pPr>
      <w:r>
        <mc:AlternateContent>
          <mc:Choice Requires="wps">
            <w:drawing>
              <wp:inline distT="45720" distB="45720" distL="114300" distR="114300">
                <wp:extent cx="4999990" cy="3617595"/>
                <wp:effectExtent l="0" t="0" r="10160" b="20955"/>
                <wp:docPr id="2" name="文本框 2"/>
                <wp:cNvGraphicFramePr/>
                <a:graphic xmlns:a="http://schemas.openxmlformats.org/drawingml/2006/main">
                  <a:graphicData uri="http://schemas.microsoft.com/office/word/2010/wordprocessingShape">
                    <wps:wsp>
                      <wps:cNvSpPr txBox="1"/>
                      <wps:spPr>
                        <a:xfrm>
                          <a:off x="0" y="0"/>
                          <a:ext cx="4999990" cy="3617595"/>
                        </a:xfrm>
                        <a:prstGeom prst="rect">
                          <a:avLst/>
                        </a:prstGeom>
                        <a:noFill/>
                        <a:ln w="19050" cap="flat" cmpd="sng">
                          <a:solidFill>
                            <a:srgbClr val="000000"/>
                          </a:solidFill>
                          <a:prstDash val="solid"/>
                          <a:miter/>
                          <a:headEnd type="none" w="med" len="med"/>
                          <a:tailEnd type="none" w="med" len="med"/>
                        </a:ln>
                      </wps:spPr>
                      <wps:txbx>
                        <w:txbxContent>
                          <w:p w14:paraId="5BFCB713">
                            <w:pPr>
                              <w:pStyle w:val="25"/>
                              <w:spacing w:line="360" w:lineRule="auto"/>
                              <w:ind w:firstLine="422"/>
                              <w:jc w:val="center"/>
                              <w:rPr>
                                <w:b/>
                                <w:szCs w:val="24"/>
                              </w:rPr>
                            </w:pPr>
                          </w:p>
                          <w:p w14:paraId="09083816">
                            <w:pPr>
                              <w:pStyle w:val="25"/>
                              <w:spacing w:line="360" w:lineRule="auto"/>
                              <w:ind w:firstLine="0" w:firstLineChars="0"/>
                              <w:jc w:val="center"/>
                              <w:rPr>
                                <w:b/>
                                <w:szCs w:val="24"/>
                              </w:rPr>
                            </w:pPr>
                          </w:p>
                          <w:p w14:paraId="1B5C51DA">
                            <w:pPr>
                              <w:pStyle w:val="25"/>
                              <w:spacing w:line="360" w:lineRule="auto"/>
                              <w:ind w:firstLine="0" w:firstLineChars="0"/>
                              <w:jc w:val="center"/>
                              <w:rPr>
                                <w:b/>
                                <w:szCs w:val="24"/>
                              </w:rPr>
                            </w:pPr>
                            <w:r>
                              <w:rPr>
                                <w:rFonts w:hint="eastAsia"/>
                                <w:b/>
                                <w:szCs w:val="24"/>
                              </w:rPr>
                              <w:t>XXX公司</w:t>
                            </w:r>
                          </w:p>
                          <w:p w14:paraId="3FBCD1F7">
                            <w:pPr>
                              <w:pStyle w:val="25"/>
                              <w:adjustRightInd w:val="0"/>
                              <w:spacing w:line="360" w:lineRule="auto"/>
                              <w:ind w:firstLine="0" w:firstLineChars="0"/>
                              <w:jc w:val="center"/>
                              <w:rPr>
                                <w:b/>
                                <w:szCs w:val="24"/>
                              </w:rPr>
                            </w:pPr>
                            <w:r>
                              <w:rPr>
                                <w:rFonts w:hint="eastAsia"/>
                                <w:b/>
                                <w:szCs w:val="24"/>
                              </w:rPr>
                              <w:t>绿色金融认证和评级领域绿色低碳产业企业认定评价报告</w:t>
                            </w:r>
                          </w:p>
                          <w:p w14:paraId="49CFCC4B">
                            <w:pPr>
                              <w:pStyle w:val="25"/>
                              <w:adjustRightInd w:val="0"/>
                              <w:spacing w:line="360" w:lineRule="auto"/>
                              <w:ind w:firstLine="0" w:firstLineChars="0"/>
                              <w:jc w:val="center"/>
                              <w:rPr>
                                <w:b/>
                                <w:szCs w:val="24"/>
                              </w:rPr>
                            </w:pPr>
                          </w:p>
                          <w:p w14:paraId="43DD31BD">
                            <w:pPr>
                              <w:pStyle w:val="25"/>
                              <w:adjustRightInd w:val="0"/>
                              <w:spacing w:line="360" w:lineRule="auto"/>
                              <w:ind w:firstLine="0" w:firstLineChars="0"/>
                              <w:jc w:val="left"/>
                              <w:rPr>
                                <w:b/>
                                <w:szCs w:val="24"/>
                              </w:rPr>
                            </w:pPr>
                          </w:p>
                          <w:p w14:paraId="17C9E6FF">
                            <w:pPr>
                              <w:pStyle w:val="25"/>
                              <w:adjustRightInd w:val="0"/>
                              <w:spacing w:line="360" w:lineRule="auto"/>
                              <w:ind w:firstLine="1687" w:firstLineChars="800"/>
                              <w:jc w:val="left"/>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37AF751E">
                            <w:pPr>
                              <w:pStyle w:val="25"/>
                              <w:adjustRightInd w:val="0"/>
                              <w:spacing w:line="360" w:lineRule="auto"/>
                              <w:ind w:firstLine="1687" w:firstLineChars="800"/>
                              <w:jc w:val="left"/>
                              <w:rPr>
                                <w:b/>
                                <w:szCs w:val="24"/>
                                <w:u w:val="single"/>
                              </w:rPr>
                            </w:pPr>
                            <w:r>
                              <w:rPr>
                                <w:rFonts w:hint="eastAsia"/>
                                <w:b/>
                                <w:szCs w:val="24"/>
                              </w:rPr>
                              <w:t>编写人：</w:t>
                            </w:r>
                            <w:r>
                              <w:rPr>
                                <w:rFonts w:hint="eastAsia"/>
                                <w:b/>
                                <w:szCs w:val="24"/>
                                <w:u w:val="single"/>
                              </w:rPr>
                              <w:t xml:space="preserve">                           </w:t>
                            </w:r>
                          </w:p>
                          <w:p w14:paraId="612CC761">
                            <w:pPr>
                              <w:pStyle w:val="25"/>
                              <w:adjustRightInd w:val="0"/>
                              <w:spacing w:line="360" w:lineRule="auto"/>
                              <w:ind w:firstLine="1687" w:firstLineChars="800"/>
                              <w:jc w:val="left"/>
                              <w:rPr>
                                <w:b/>
                                <w:szCs w:val="24"/>
                                <w:u w:val="single"/>
                              </w:rPr>
                            </w:pPr>
                            <w:r>
                              <w:rPr>
                                <w:rFonts w:hint="eastAsia"/>
                                <w:b/>
                                <w:szCs w:val="24"/>
                              </w:rPr>
                              <w:t>责任人：</w:t>
                            </w:r>
                            <w:r>
                              <w:rPr>
                                <w:rFonts w:hint="eastAsia"/>
                                <w:b/>
                                <w:szCs w:val="24"/>
                                <w:u w:val="single"/>
                              </w:rPr>
                              <w:t xml:space="preserve">                           </w:t>
                            </w:r>
                          </w:p>
                          <w:p w14:paraId="0DE9B905">
                            <w:pPr>
                              <w:pStyle w:val="25"/>
                              <w:adjustRightInd w:val="0"/>
                              <w:spacing w:line="360" w:lineRule="auto"/>
                              <w:ind w:firstLine="1687" w:firstLineChars="800"/>
                              <w:jc w:val="left"/>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p w14:paraId="6DB31FAE">
                            <w:pPr>
                              <w:pStyle w:val="25"/>
                              <w:adjustRightInd w:val="0"/>
                              <w:spacing w:line="360" w:lineRule="auto"/>
                              <w:ind w:firstLine="1680" w:firstLineChars="800"/>
                              <w:jc w:val="left"/>
                              <w:rPr>
                                <w:szCs w:val="24"/>
                              </w:rPr>
                            </w:pPr>
                          </w:p>
                          <w:p w14:paraId="44EC1ABC">
                            <w:pPr>
                              <w:pStyle w:val="25"/>
                              <w:adjustRightInd w:val="0"/>
                              <w:spacing w:line="360" w:lineRule="auto"/>
                              <w:ind w:firstLine="1680" w:firstLineChars="800"/>
                              <w:jc w:val="left"/>
                              <w:rPr>
                                <w:szCs w:val="24"/>
                              </w:rPr>
                            </w:pPr>
                          </w:p>
                        </w:txbxContent>
                      </wps:txbx>
                      <wps:bodyPr vert="horz" wrap="square" anchor="t" anchorCtr="0" upright="1"/>
                    </wps:wsp>
                  </a:graphicData>
                </a:graphic>
              </wp:inline>
            </w:drawing>
          </mc:Choice>
          <mc:Fallback>
            <w:pict>
              <v:shape id="_x0000_s1026" o:spid="_x0000_s1026" o:spt="202" type="#_x0000_t202" style="height:284.85pt;width:393.7pt;" filled="f" stroked="t" coordsize="21600,21600" o:gfxdata="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5gcOw&#10;1wAAAAUBAAAPAAAAAAAAAAEAIAAAACIAAABkcnMvZG93bnJldi54bWxQSwECFAAUAAAACACHTuJA&#10;BEbLVCICAABCBAAADgAAAAAAAAABACAAAAAmAQAAZHJzL2Uyb0RvYy54bWxQSwUGAAAAAAYABgBZ&#10;AQAAugUAAAAA&#10;">
                <v:fill on="f" focussize="0,0"/>
                <v:stroke weight="1.5pt" color="#000000" joinstyle="miter"/>
                <v:imagedata o:title=""/>
                <o:lock v:ext="edit" aspectratio="f"/>
                <v:textbox>
                  <w:txbxContent>
                    <w:p w14:paraId="5BFCB713">
                      <w:pPr>
                        <w:pStyle w:val="25"/>
                        <w:spacing w:line="360" w:lineRule="auto"/>
                        <w:ind w:firstLine="422"/>
                        <w:jc w:val="center"/>
                        <w:rPr>
                          <w:b/>
                          <w:szCs w:val="24"/>
                        </w:rPr>
                      </w:pPr>
                    </w:p>
                    <w:p w14:paraId="09083816">
                      <w:pPr>
                        <w:pStyle w:val="25"/>
                        <w:spacing w:line="360" w:lineRule="auto"/>
                        <w:ind w:firstLine="0" w:firstLineChars="0"/>
                        <w:jc w:val="center"/>
                        <w:rPr>
                          <w:b/>
                          <w:szCs w:val="24"/>
                        </w:rPr>
                      </w:pPr>
                    </w:p>
                    <w:p w14:paraId="1B5C51DA">
                      <w:pPr>
                        <w:pStyle w:val="25"/>
                        <w:spacing w:line="360" w:lineRule="auto"/>
                        <w:ind w:firstLine="0" w:firstLineChars="0"/>
                        <w:jc w:val="center"/>
                        <w:rPr>
                          <w:b/>
                          <w:szCs w:val="24"/>
                        </w:rPr>
                      </w:pPr>
                      <w:r>
                        <w:rPr>
                          <w:rFonts w:hint="eastAsia"/>
                          <w:b/>
                          <w:szCs w:val="24"/>
                        </w:rPr>
                        <w:t>XXX公司</w:t>
                      </w:r>
                    </w:p>
                    <w:p w14:paraId="3FBCD1F7">
                      <w:pPr>
                        <w:pStyle w:val="25"/>
                        <w:adjustRightInd w:val="0"/>
                        <w:spacing w:line="360" w:lineRule="auto"/>
                        <w:ind w:firstLine="0" w:firstLineChars="0"/>
                        <w:jc w:val="center"/>
                        <w:rPr>
                          <w:b/>
                          <w:szCs w:val="24"/>
                        </w:rPr>
                      </w:pPr>
                      <w:r>
                        <w:rPr>
                          <w:rFonts w:hint="eastAsia"/>
                          <w:b/>
                          <w:szCs w:val="24"/>
                        </w:rPr>
                        <w:t>绿色金融认证和评级领域绿色低碳产业企业认定评价报告</w:t>
                      </w:r>
                    </w:p>
                    <w:p w14:paraId="49CFCC4B">
                      <w:pPr>
                        <w:pStyle w:val="25"/>
                        <w:adjustRightInd w:val="0"/>
                        <w:spacing w:line="360" w:lineRule="auto"/>
                        <w:ind w:firstLine="0" w:firstLineChars="0"/>
                        <w:jc w:val="center"/>
                        <w:rPr>
                          <w:b/>
                          <w:szCs w:val="24"/>
                        </w:rPr>
                      </w:pPr>
                    </w:p>
                    <w:p w14:paraId="43DD31BD">
                      <w:pPr>
                        <w:pStyle w:val="25"/>
                        <w:adjustRightInd w:val="0"/>
                        <w:spacing w:line="360" w:lineRule="auto"/>
                        <w:ind w:firstLine="0" w:firstLineChars="0"/>
                        <w:jc w:val="left"/>
                        <w:rPr>
                          <w:b/>
                          <w:szCs w:val="24"/>
                        </w:rPr>
                      </w:pPr>
                    </w:p>
                    <w:p w14:paraId="17C9E6FF">
                      <w:pPr>
                        <w:pStyle w:val="25"/>
                        <w:adjustRightInd w:val="0"/>
                        <w:spacing w:line="360" w:lineRule="auto"/>
                        <w:ind w:firstLine="1687" w:firstLineChars="800"/>
                        <w:jc w:val="left"/>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37AF751E">
                      <w:pPr>
                        <w:pStyle w:val="25"/>
                        <w:adjustRightInd w:val="0"/>
                        <w:spacing w:line="360" w:lineRule="auto"/>
                        <w:ind w:firstLine="1687" w:firstLineChars="800"/>
                        <w:jc w:val="left"/>
                        <w:rPr>
                          <w:b/>
                          <w:szCs w:val="24"/>
                          <w:u w:val="single"/>
                        </w:rPr>
                      </w:pPr>
                      <w:r>
                        <w:rPr>
                          <w:rFonts w:hint="eastAsia"/>
                          <w:b/>
                          <w:szCs w:val="24"/>
                        </w:rPr>
                        <w:t>编写人：</w:t>
                      </w:r>
                      <w:r>
                        <w:rPr>
                          <w:rFonts w:hint="eastAsia"/>
                          <w:b/>
                          <w:szCs w:val="24"/>
                          <w:u w:val="single"/>
                        </w:rPr>
                        <w:t xml:space="preserve">                           </w:t>
                      </w:r>
                    </w:p>
                    <w:p w14:paraId="612CC761">
                      <w:pPr>
                        <w:pStyle w:val="25"/>
                        <w:adjustRightInd w:val="0"/>
                        <w:spacing w:line="360" w:lineRule="auto"/>
                        <w:ind w:firstLine="1687" w:firstLineChars="800"/>
                        <w:jc w:val="left"/>
                        <w:rPr>
                          <w:b/>
                          <w:szCs w:val="24"/>
                          <w:u w:val="single"/>
                        </w:rPr>
                      </w:pPr>
                      <w:r>
                        <w:rPr>
                          <w:rFonts w:hint="eastAsia"/>
                          <w:b/>
                          <w:szCs w:val="24"/>
                        </w:rPr>
                        <w:t>责任人：</w:t>
                      </w:r>
                      <w:r>
                        <w:rPr>
                          <w:rFonts w:hint="eastAsia"/>
                          <w:b/>
                          <w:szCs w:val="24"/>
                          <w:u w:val="single"/>
                        </w:rPr>
                        <w:t xml:space="preserve">                           </w:t>
                      </w:r>
                    </w:p>
                    <w:p w14:paraId="0DE9B905">
                      <w:pPr>
                        <w:pStyle w:val="25"/>
                        <w:adjustRightInd w:val="0"/>
                        <w:spacing w:line="360" w:lineRule="auto"/>
                        <w:ind w:firstLine="1687" w:firstLineChars="800"/>
                        <w:jc w:val="left"/>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p w14:paraId="6DB31FAE">
                      <w:pPr>
                        <w:pStyle w:val="25"/>
                        <w:adjustRightInd w:val="0"/>
                        <w:spacing w:line="360" w:lineRule="auto"/>
                        <w:ind w:firstLine="1680" w:firstLineChars="800"/>
                        <w:jc w:val="left"/>
                        <w:rPr>
                          <w:szCs w:val="24"/>
                        </w:rPr>
                      </w:pPr>
                    </w:p>
                    <w:p w14:paraId="44EC1ABC">
                      <w:pPr>
                        <w:pStyle w:val="25"/>
                        <w:adjustRightInd w:val="0"/>
                        <w:spacing w:line="360" w:lineRule="auto"/>
                        <w:ind w:firstLine="1680" w:firstLineChars="800"/>
                        <w:jc w:val="left"/>
                        <w:rPr>
                          <w:szCs w:val="24"/>
                        </w:rPr>
                      </w:pPr>
                    </w:p>
                  </w:txbxContent>
                </v:textbox>
                <w10:wrap type="none"/>
                <w10:anchorlock/>
              </v:shape>
            </w:pict>
          </mc:Fallback>
        </mc:AlternateContent>
      </w:r>
    </w:p>
    <w:p w14:paraId="7ADFE80E">
      <w:pPr>
        <w:pStyle w:val="90"/>
        <w:numPr>
          <w:ilvl w:val="1"/>
          <w:numId w:val="0"/>
        </w:numPr>
        <w:spacing w:before="156" w:after="156"/>
        <w:jc w:val="both"/>
        <w:rPr>
          <w:rFonts w:ascii="Times New Roman" w:eastAsia="Times New Roman"/>
        </w:rPr>
      </w:pPr>
      <w:r>
        <w:rPr>
          <w:rFonts w:hint="eastAsia" w:hAnsi="黑体" w:cs="黑体"/>
        </w:rPr>
        <w:t xml:space="preserve">B.2  </w:t>
      </w:r>
      <w:r>
        <w:rPr>
          <w:rFonts w:hint="eastAsia" w:ascii="Times New Roman"/>
        </w:rPr>
        <w:t>基本信息</w:t>
      </w:r>
    </w:p>
    <w:p w14:paraId="7AD65D77">
      <w:pPr>
        <w:pStyle w:val="25"/>
        <w:rPr>
          <w:rFonts w:hAnsi="宋体"/>
          <w:szCs w:val="24"/>
        </w:rPr>
      </w:pPr>
      <w:r>
        <w:rPr>
          <w:rFonts w:hint="eastAsia" w:hAnsi="宋体"/>
          <w:szCs w:val="24"/>
        </w:rPr>
        <w:t>基本信息的填报要求见表B.2。</w:t>
      </w:r>
    </w:p>
    <w:p w14:paraId="0CCC8C27">
      <w:pPr>
        <w:pStyle w:val="90"/>
        <w:numPr>
          <w:ilvl w:val="1"/>
          <w:numId w:val="0"/>
        </w:numPr>
        <w:tabs>
          <w:tab w:val="clear" w:pos="0"/>
        </w:tabs>
        <w:spacing w:before="156" w:after="156"/>
        <w:rPr>
          <w:rFonts w:hAnsi="黑体"/>
        </w:rPr>
      </w:pPr>
      <w:r>
        <w:rPr>
          <w:rFonts w:hint="eastAsia" w:hAnsi="黑体"/>
        </w:rPr>
        <w:t>表B.2  基本信息</w:t>
      </w:r>
    </w:p>
    <w:tbl>
      <w:tblPr>
        <w:tblStyle w:val="35"/>
        <w:tblW w:w="9559"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959"/>
        <w:gridCol w:w="3845"/>
        <w:gridCol w:w="1549"/>
        <w:gridCol w:w="2206"/>
      </w:tblGrid>
      <w:tr w14:paraId="04FA043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9" w:type="dxa"/>
            <w:tcBorders>
              <w:tl2br w:val="nil"/>
              <w:tr2bl w:val="nil"/>
            </w:tcBorders>
            <w:vAlign w:val="center"/>
          </w:tcPr>
          <w:p w14:paraId="1E2979A1">
            <w:pPr>
              <w:keepNext w:val="0"/>
              <w:keepLines w:val="0"/>
              <w:widowControl/>
              <w:suppressLineNumbers w:val="0"/>
              <w:spacing w:before="0" w:beforeAutospacing="0" w:after="0" w:afterAutospacing="0"/>
              <w:ind w:left="0" w:right="0"/>
              <w:jc w:val="center"/>
              <w:rPr>
                <w:rFonts w:hint="default"/>
                <w:color w:val="000000"/>
                <w:kern w:val="0"/>
                <w:sz w:val="18"/>
                <w:szCs w:val="18"/>
              </w:rPr>
            </w:pPr>
            <w:r>
              <w:rPr>
                <w:rFonts w:hint="eastAsia"/>
                <w:color w:val="000000"/>
                <w:kern w:val="0"/>
                <w:sz w:val="18"/>
                <w:szCs w:val="18"/>
              </w:rPr>
              <w:t>企事业单位名称</w:t>
            </w:r>
          </w:p>
        </w:tc>
        <w:tc>
          <w:tcPr>
            <w:tcW w:w="7600" w:type="dxa"/>
            <w:gridSpan w:val="3"/>
            <w:tcBorders>
              <w:tl2br w:val="nil"/>
              <w:tr2bl w:val="nil"/>
            </w:tcBorders>
            <w:vAlign w:val="center"/>
          </w:tcPr>
          <w:p w14:paraId="382BD793">
            <w:pPr>
              <w:keepNext w:val="0"/>
              <w:keepLines w:val="0"/>
              <w:widowControl/>
              <w:suppressLineNumbers w:val="0"/>
              <w:spacing w:before="0" w:beforeAutospacing="0" w:after="0" w:afterAutospacing="0"/>
              <w:ind w:left="0" w:right="0"/>
              <w:rPr>
                <w:rFonts w:hint="default"/>
                <w:color w:val="000000"/>
                <w:kern w:val="0"/>
                <w:sz w:val="18"/>
                <w:szCs w:val="18"/>
              </w:rPr>
            </w:pPr>
          </w:p>
        </w:tc>
      </w:tr>
      <w:tr w14:paraId="68D2CE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9" w:type="dxa"/>
            <w:tcBorders>
              <w:tl2br w:val="nil"/>
              <w:tr2bl w:val="nil"/>
            </w:tcBorders>
            <w:vAlign w:val="center"/>
          </w:tcPr>
          <w:p w14:paraId="067F5A7E">
            <w:pPr>
              <w:keepNext w:val="0"/>
              <w:keepLines w:val="0"/>
              <w:widowControl/>
              <w:suppressLineNumbers w:val="0"/>
              <w:spacing w:before="0" w:beforeAutospacing="0" w:after="0" w:afterAutospacing="0"/>
              <w:ind w:left="0" w:right="0"/>
              <w:jc w:val="center"/>
              <w:rPr>
                <w:rFonts w:hint="default"/>
                <w:color w:val="000000"/>
                <w:kern w:val="0"/>
                <w:sz w:val="18"/>
                <w:szCs w:val="18"/>
              </w:rPr>
            </w:pPr>
            <w:r>
              <w:rPr>
                <w:rFonts w:hint="eastAsia"/>
                <w:color w:val="000000"/>
                <w:kern w:val="0"/>
                <w:sz w:val="18"/>
                <w:szCs w:val="18"/>
              </w:rPr>
              <w:t>单位性质</w:t>
            </w:r>
          </w:p>
        </w:tc>
        <w:tc>
          <w:tcPr>
            <w:tcW w:w="7600" w:type="dxa"/>
            <w:gridSpan w:val="3"/>
            <w:tcBorders>
              <w:tl2br w:val="nil"/>
              <w:tr2bl w:val="nil"/>
            </w:tcBorders>
            <w:vAlign w:val="center"/>
          </w:tcPr>
          <w:p w14:paraId="5EBF37F6">
            <w:pPr>
              <w:keepNext w:val="0"/>
              <w:keepLines w:val="0"/>
              <w:widowControl/>
              <w:suppressLineNumbers w:val="0"/>
              <w:spacing w:before="0" w:beforeAutospacing="0" w:after="0" w:afterAutospacing="0"/>
              <w:ind w:left="0" w:right="0"/>
              <w:rPr>
                <w:rFonts w:hint="default"/>
                <w:color w:val="000000"/>
                <w:kern w:val="0"/>
                <w:sz w:val="18"/>
                <w:szCs w:val="18"/>
              </w:rPr>
            </w:pPr>
            <w:r>
              <w:rPr>
                <w:rFonts w:hint="eastAsia"/>
                <w:color w:val="000000"/>
                <w:kern w:val="0"/>
                <w:sz w:val="18"/>
                <w:szCs w:val="18"/>
              </w:rPr>
              <w:t>内资（□国有□集体□民营）□中外合资□港澳台□外商独资</w:t>
            </w:r>
          </w:p>
        </w:tc>
      </w:tr>
      <w:tr w14:paraId="2FFC9AA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9" w:type="dxa"/>
            <w:tcBorders>
              <w:tl2br w:val="nil"/>
              <w:tr2bl w:val="nil"/>
            </w:tcBorders>
            <w:vAlign w:val="center"/>
          </w:tcPr>
          <w:p w14:paraId="7A415C6D">
            <w:pPr>
              <w:keepNext w:val="0"/>
              <w:keepLines w:val="0"/>
              <w:widowControl/>
              <w:suppressLineNumbers w:val="0"/>
              <w:spacing w:before="0" w:beforeAutospacing="0" w:after="0" w:afterAutospacing="0"/>
              <w:ind w:left="0" w:right="0"/>
              <w:jc w:val="center"/>
              <w:rPr>
                <w:rFonts w:hint="default"/>
                <w:color w:val="000000"/>
                <w:kern w:val="0"/>
                <w:sz w:val="18"/>
                <w:szCs w:val="18"/>
              </w:rPr>
            </w:pPr>
            <w:r>
              <w:rPr>
                <w:rFonts w:hint="eastAsia"/>
                <w:color w:val="000000"/>
                <w:kern w:val="0"/>
                <w:sz w:val="18"/>
                <w:szCs w:val="18"/>
              </w:rPr>
              <w:t>通讯地址</w:t>
            </w:r>
          </w:p>
        </w:tc>
        <w:tc>
          <w:tcPr>
            <w:tcW w:w="7600" w:type="dxa"/>
            <w:gridSpan w:val="3"/>
            <w:tcBorders>
              <w:tl2br w:val="nil"/>
              <w:tr2bl w:val="nil"/>
            </w:tcBorders>
            <w:vAlign w:val="center"/>
          </w:tcPr>
          <w:p w14:paraId="3883B67D">
            <w:pPr>
              <w:keepNext w:val="0"/>
              <w:keepLines w:val="0"/>
              <w:widowControl/>
              <w:suppressLineNumbers w:val="0"/>
              <w:spacing w:before="0" w:beforeAutospacing="0" w:after="0" w:afterAutospacing="0"/>
              <w:ind w:left="0" w:right="0"/>
              <w:rPr>
                <w:rFonts w:hint="default"/>
                <w:color w:val="000000"/>
                <w:kern w:val="0"/>
                <w:sz w:val="18"/>
                <w:szCs w:val="18"/>
              </w:rPr>
            </w:pPr>
          </w:p>
        </w:tc>
      </w:tr>
      <w:tr w14:paraId="1ACE56D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9" w:type="dxa"/>
            <w:tcBorders>
              <w:tl2br w:val="nil"/>
              <w:tr2bl w:val="nil"/>
            </w:tcBorders>
            <w:vAlign w:val="center"/>
          </w:tcPr>
          <w:p w14:paraId="08C69A58">
            <w:pPr>
              <w:keepNext w:val="0"/>
              <w:keepLines w:val="0"/>
              <w:widowControl/>
              <w:suppressLineNumbers w:val="0"/>
              <w:spacing w:before="0" w:beforeAutospacing="0" w:after="0" w:afterAutospacing="0"/>
              <w:ind w:left="0" w:right="0"/>
              <w:jc w:val="center"/>
              <w:rPr>
                <w:rFonts w:hint="default"/>
                <w:color w:val="000000"/>
                <w:kern w:val="0"/>
                <w:sz w:val="18"/>
                <w:szCs w:val="18"/>
              </w:rPr>
            </w:pPr>
            <w:r>
              <w:rPr>
                <w:rFonts w:hint="eastAsia"/>
                <w:color w:val="000000"/>
                <w:kern w:val="0"/>
                <w:sz w:val="18"/>
                <w:szCs w:val="18"/>
              </w:rPr>
              <w:t>统一社会</w:t>
            </w:r>
          </w:p>
          <w:p w14:paraId="461BDDFC">
            <w:pPr>
              <w:keepNext w:val="0"/>
              <w:keepLines w:val="0"/>
              <w:widowControl/>
              <w:suppressLineNumbers w:val="0"/>
              <w:spacing w:before="0" w:beforeAutospacing="0" w:after="0" w:afterAutospacing="0"/>
              <w:ind w:left="0" w:right="0"/>
              <w:jc w:val="center"/>
              <w:rPr>
                <w:rFonts w:hint="default"/>
                <w:color w:val="000000"/>
                <w:kern w:val="0"/>
                <w:sz w:val="18"/>
                <w:szCs w:val="18"/>
              </w:rPr>
            </w:pPr>
            <w:r>
              <w:rPr>
                <w:rFonts w:hint="eastAsia"/>
                <w:color w:val="000000"/>
                <w:kern w:val="0"/>
                <w:sz w:val="18"/>
                <w:szCs w:val="18"/>
              </w:rPr>
              <w:t>信用代码</w:t>
            </w:r>
          </w:p>
        </w:tc>
        <w:tc>
          <w:tcPr>
            <w:tcW w:w="3845" w:type="dxa"/>
            <w:tcBorders>
              <w:tl2br w:val="nil"/>
              <w:tr2bl w:val="nil"/>
            </w:tcBorders>
            <w:vAlign w:val="center"/>
          </w:tcPr>
          <w:p w14:paraId="361FF958">
            <w:pPr>
              <w:keepNext w:val="0"/>
              <w:keepLines w:val="0"/>
              <w:widowControl/>
              <w:suppressLineNumbers w:val="0"/>
              <w:spacing w:before="0" w:beforeAutospacing="0" w:after="0" w:afterAutospacing="0"/>
              <w:ind w:left="0" w:right="0"/>
              <w:jc w:val="center"/>
              <w:rPr>
                <w:rFonts w:hint="default"/>
                <w:color w:val="000000"/>
                <w:kern w:val="0"/>
                <w:sz w:val="18"/>
                <w:szCs w:val="18"/>
              </w:rPr>
            </w:pPr>
          </w:p>
        </w:tc>
        <w:tc>
          <w:tcPr>
            <w:tcW w:w="1549" w:type="dxa"/>
            <w:tcBorders>
              <w:tl2br w:val="nil"/>
              <w:tr2bl w:val="nil"/>
            </w:tcBorders>
            <w:vAlign w:val="center"/>
          </w:tcPr>
          <w:p w14:paraId="03AD74EC">
            <w:pPr>
              <w:keepNext w:val="0"/>
              <w:keepLines w:val="0"/>
              <w:widowControl/>
              <w:suppressLineNumbers w:val="0"/>
              <w:spacing w:before="0" w:beforeAutospacing="0" w:after="0" w:afterAutospacing="0"/>
              <w:ind w:left="0" w:right="0"/>
              <w:jc w:val="center"/>
              <w:rPr>
                <w:rFonts w:hint="default"/>
                <w:color w:val="000000"/>
                <w:kern w:val="0"/>
                <w:sz w:val="18"/>
                <w:szCs w:val="18"/>
              </w:rPr>
            </w:pPr>
            <w:r>
              <w:rPr>
                <w:rFonts w:hint="eastAsia"/>
                <w:color w:val="000000"/>
                <w:kern w:val="0"/>
                <w:sz w:val="18"/>
                <w:szCs w:val="18"/>
              </w:rPr>
              <w:t>法定代表人</w:t>
            </w:r>
          </w:p>
        </w:tc>
        <w:tc>
          <w:tcPr>
            <w:tcW w:w="2206" w:type="dxa"/>
            <w:tcBorders>
              <w:tl2br w:val="nil"/>
              <w:tr2bl w:val="nil"/>
            </w:tcBorders>
            <w:vAlign w:val="center"/>
          </w:tcPr>
          <w:p w14:paraId="306B2DF1">
            <w:pPr>
              <w:keepNext w:val="0"/>
              <w:keepLines w:val="0"/>
              <w:widowControl/>
              <w:suppressLineNumbers w:val="0"/>
              <w:spacing w:before="0" w:beforeAutospacing="0" w:after="0" w:afterAutospacing="0"/>
              <w:ind w:left="0" w:right="0"/>
              <w:jc w:val="center"/>
              <w:rPr>
                <w:rFonts w:hint="default"/>
                <w:color w:val="000000"/>
                <w:kern w:val="0"/>
                <w:sz w:val="18"/>
                <w:szCs w:val="18"/>
              </w:rPr>
            </w:pPr>
          </w:p>
        </w:tc>
      </w:tr>
      <w:tr w14:paraId="79FEB56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9" w:type="dxa"/>
            <w:tcBorders>
              <w:tl2br w:val="nil"/>
              <w:tr2bl w:val="nil"/>
            </w:tcBorders>
            <w:vAlign w:val="center"/>
          </w:tcPr>
          <w:p w14:paraId="78E612E0">
            <w:pPr>
              <w:keepNext w:val="0"/>
              <w:keepLines w:val="0"/>
              <w:widowControl/>
              <w:suppressLineNumbers w:val="0"/>
              <w:spacing w:before="0" w:beforeAutospacing="0" w:after="0" w:afterAutospacing="0"/>
              <w:ind w:left="0" w:right="0"/>
              <w:jc w:val="center"/>
              <w:rPr>
                <w:rFonts w:hint="default"/>
                <w:color w:val="000000"/>
                <w:kern w:val="0"/>
                <w:sz w:val="18"/>
                <w:szCs w:val="18"/>
              </w:rPr>
            </w:pPr>
            <w:r>
              <w:rPr>
                <w:rFonts w:hint="eastAsia"/>
                <w:color w:val="000000"/>
                <w:kern w:val="0"/>
                <w:sz w:val="18"/>
                <w:szCs w:val="18"/>
              </w:rPr>
              <w:t>成立日期</w:t>
            </w:r>
          </w:p>
        </w:tc>
        <w:tc>
          <w:tcPr>
            <w:tcW w:w="3845" w:type="dxa"/>
            <w:tcBorders>
              <w:tl2br w:val="nil"/>
              <w:tr2bl w:val="nil"/>
            </w:tcBorders>
            <w:vAlign w:val="center"/>
          </w:tcPr>
          <w:p w14:paraId="2D6F11FD">
            <w:pPr>
              <w:keepNext w:val="0"/>
              <w:keepLines w:val="0"/>
              <w:suppressLineNumbers w:val="0"/>
              <w:spacing w:before="0" w:beforeAutospacing="0" w:after="0" w:afterAutospacing="0"/>
              <w:ind w:left="0" w:right="0"/>
              <w:jc w:val="left"/>
              <w:rPr>
                <w:rFonts w:hint="default"/>
                <w:sz w:val="18"/>
                <w:szCs w:val="18"/>
              </w:rPr>
            </w:pPr>
          </w:p>
        </w:tc>
        <w:tc>
          <w:tcPr>
            <w:tcW w:w="1549" w:type="dxa"/>
            <w:tcBorders>
              <w:tl2br w:val="nil"/>
              <w:tr2bl w:val="nil"/>
            </w:tcBorders>
            <w:vAlign w:val="center"/>
          </w:tcPr>
          <w:p w14:paraId="1911DF12">
            <w:pPr>
              <w:keepNext w:val="0"/>
              <w:keepLines w:val="0"/>
              <w:widowControl/>
              <w:suppressLineNumbers w:val="0"/>
              <w:spacing w:before="0" w:beforeAutospacing="0" w:after="0" w:afterAutospacing="0"/>
              <w:ind w:left="0" w:right="0"/>
              <w:jc w:val="center"/>
              <w:rPr>
                <w:rFonts w:hint="default"/>
                <w:color w:val="000000"/>
                <w:kern w:val="0"/>
                <w:sz w:val="18"/>
                <w:szCs w:val="18"/>
              </w:rPr>
            </w:pPr>
            <w:r>
              <w:rPr>
                <w:rFonts w:hint="eastAsia"/>
                <w:color w:val="000000"/>
                <w:kern w:val="0"/>
                <w:sz w:val="18"/>
                <w:szCs w:val="18"/>
              </w:rPr>
              <w:t>注册资本</w:t>
            </w:r>
          </w:p>
        </w:tc>
        <w:tc>
          <w:tcPr>
            <w:tcW w:w="2206" w:type="dxa"/>
            <w:tcBorders>
              <w:tl2br w:val="nil"/>
              <w:tr2bl w:val="nil"/>
            </w:tcBorders>
            <w:vAlign w:val="center"/>
          </w:tcPr>
          <w:p w14:paraId="5DA765F1">
            <w:pPr>
              <w:keepNext w:val="0"/>
              <w:keepLines w:val="0"/>
              <w:widowControl/>
              <w:suppressLineNumbers w:val="0"/>
              <w:spacing w:before="0" w:beforeAutospacing="0" w:after="0" w:afterAutospacing="0"/>
              <w:ind w:left="0" w:right="0"/>
              <w:rPr>
                <w:rFonts w:hint="default"/>
                <w:color w:val="000000"/>
                <w:kern w:val="0"/>
                <w:sz w:val="18"/>
                <w:szCs w:val="18"/>
              </w:rPr>
            </w:pPr>
          </w:p>
        </w:tc>
      </w:tr>
      <w:tr w14:paraId="2B90905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559" w:type="dxa"/>
            <w:gridSpan w:val="4"/>
            <w:tcBorders>
              <w:bottom w:val="single" w:color="000000" w:sz="12" w:space="0"/>
            </w:tcBorders>
            <w:vAlign w:val="center"/>
          </w:tcPr>
          <w:p w14:paraId="3B82FF7F">
            <w:pPr>
              <w:keepNext w:val="0"/>
              <w:keepLines w:val="0"/>
              <w:widowControl/>
              <w:suppressLineNumbers w:val="0"/>
              <w:spacing w:before="0" w:beforeAutospacing="0" w:after="0" w:afterAutospacing="0"/>
              <w:ind w:left="0" w:right="0"/>
              <w:jc w:val="center"/>
              <w:rPr>
                <w:rFonts w:hint="default"/>
                <w:color w:val="000000"/>
                <w:kern w:val="0"/>
                <w:sz w:val="18"/>
                <w:szCs w:val="18"/>
              </w:rPr>
            </w:pPr>
            <w:r>
              <w:rPr>
                <w:rFonts w:hint="eastAsia" w:ascii="黑体" w:hAnsi="黑体" w:eastAsia="黑体" w:cs="黑体"/>
                <w:color w:val="000000"/>
                <w:kern w:val="0"/>
                <w:sz w:val="18"/>
                <w:szCs w:val="18"/>
              </w:rPr>
              <w:t>表B.2</w:t>
            </w:r>
            <w:r>
              <w:rPr>
                <w:rFonts w:hint="eastAsia" w:asciiTheme="minorEastAsia" w:hAnsiTheme="minorEastAsia" w:eastAsiaTheme="minorEastAsia" w:cstheme="minorEastAsia"/>
                <w:color w:val="000000"/>
                <w:kern w:val="0"/>
                <w:sz w:val="18"/>
                <w:szCs w:val="18"/>
              </w:rPr>
              <w:t>（第2页/共2页）</w:t>
            </w:r>
          </w:p>
        </w:tc>
      </w:tr>
      <w:tr w14:paraId="2C72623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9" w:type="dxa"/>
            <w:tcBorders>
              <w:top w:val="single" w:color="000000" w:sz="12" w:space="0"/>
              <w:tl2br w:val="nil"/>
              <w:tr2bl w:val="nil"/>
            </w:tcBorders>
            <w:vAlign w:val="center"/>
          </w:tcPr>
          <w:p w14:paraId="63FF28D5">
            <w:pPr>
              <w:keepNext w:val="0"/>
              <w:keepLines w:val="0"/>
              <w:widowControl/>
              <w:suppressLineNumbers w:val="0"/>
              <w:spacing w:before="0" w:beforeAutospacing="0" w:after="0" w:afterAutospacing="0"/>
              <w:ind w:left="0" w:right="0"/>
              <w:jc w:val="center"/>
              <w:rPr>
                <w:rFonts w:hint="default"/>
                <w:color w:val="000000"/>
                <w:kern w:val="0"/>
                <w:sz w:val="18"/>
                <w:szCs w:val="18"/>
              </w:rPr>
            </w:pPr>
            <w:r>
              <w:rPr>
                <w:rFonts w:hint="eastAsia"/>
                <w:color w:val="000000"/>
                <w:kern w:val="0"/>
                <w:sz w:val="18"/>
                <w:szCs w:val="18"/>
              </w:rPr>
              <w:t>联系人</w:t>
            </w:r>
          </w:p>
        </w:tc>
        <w:tc>
          <w:tcPr>
            <w:tcW w:w="3845" w:type="dxa"/>
            <w:tcBorders>
              <w:top w:val="single" w:color="000000" w:sz="12" w:space="0"/>
              <w:tl2br w:val="nil"/>
              <w:tr2bl w:val="nil"/>
            </w:tcBorders>
            <w:vAlign w:val="center"/>
          </w:tcPr>
          <w:p w14:paraId="4ECE668B">
            <w:pPr>
              <w:keepNext w:val="0"/>
              <w:keepLines w:val="0"/>
              <w:widowControl/>
              <w:suppressLineNumbers w:val="0"/>
              <w:spacing w:before="0" w:beforeAutospacing="0" w:after="0" w:afterAutospacing="0"/>
              <w:ind w:left="0" w:right="0"/>
              <w:jc w:val="left"/>
              <w:rPr>
                <w:rFonts w:hint="default"/>
                <w:color w:val="000000"/>
                <w:kern w:val="0"/>
                <w:sz w:val="18"/>
                <w:szCs w:val="18"/>
              </w:rPr>
            </w:pPr>
          </w:p>
        </w:tc>
        <w:tc>
          <w:tcPr>
            <w:tcW w:w="1549" w:type="dxa"/>
            <w:tcBorders>
              <w:top w:val="single" w:color="000000" w:sz="12" w:space="0"/>
              <w:tl2br w:val="nil"/>
              <w:tr2bl w:val="nil"/>
            </w:tcBorders>
            <w:vAlign w:val="center"/>
          </w:tcPr>
          <w:p w14:paraId="5F40C34D">
            <w:pPr>
              <w:keepNext w:val="0"/>
              <w:keepLines w:val="0"/>
              <w:widowControl/>
              <w:suppressLineNumbers w:val="0"/>
              <w:spacing w:before="0" w:beforeAutospacing="0" w:after="0" w:afterAutospacing="0"/>
              <w:ind w:left="0" w:right="0"/>
              <w:jc w:val="center"/>
              <w:rPr>
                <w:rFonts w:hint="default"/>
                <w:color w:val="000000"/>
                <w:kern w:val="0"/>
                <w:sz w:val="18"/>
                <w:szCs w:val="18"/>
              </w:rPr>
            </w:pPr>
            <w:r>
              <w:rPr>
                <w:rFonts w:hint="eastAsia"/>
                <w:color w:val="000000"/>
                <w:kern w:val="0"/>
                <w:sz w:val="18"/>
                <w:szCs w:val="18"/>
              </w:rPr>
              <w:t>联系电话</w:t>
            </w:r>
          </w:p>
        </w:tc>
        <w:tc>
          <w:tcPr>
            <w:tcW w:w="2206" w:type="dxa"/>
            <w:tcBorders>
              <w:top w:val="single" w:color="000000" w:sz="12" w:space="0"/>
              <w:tl2br w:val="nil"/>
              <w:tr2bl w:val="nil"/>
            </w:tcBorders>
            <w:vAlign w:val="center"/>
          </w:tcPr>
          <w:p w14:paraId="529154E3">
            <w:pPr>
              <w:keepNext w:val="0"/>
              <w:keepLines w:val="0"/>
              <w:widowControl/>
              <w:suppressLineNumbers w:val="0"/>
              <w:spacing w:before="0" w:beforeAutospacing="0" w:after="0" w:afterAutospacing="0"/>
              <w:ind w:left="0" w:right="0"/>
              <w:rPr>
                <w:rFonts w:hint="default"/>
                <w:color w:val="000000"/>
                <w:kern w:val="0"/>
                <w:sz w:val="18"/>
                <w:szCs w:val="18"/>
              </w:rPr>
            </w:pPr>
          </w:p>
        </w:tc>
      </w:tr>
      <w:tr w14:paraId="3C33C6E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9" w:type="dxa"/>
            <w:tcBorders>
              <w:tl2br w:val="nil"/>
              <w:tr2bl w:val="nil"/>
            </w:tcBorders>
            <w:vAlign w:val="center"/>
          </w:tcPr>
          <w:p w14:paraId="3B2F3C23">
            <w:pPr>
              <w:keepNext w:val="0"/>
              <w:keepLines w:val="0"/>
              <w:widowControl/>
              <w:suppressLineNumbers w:val="0"/>
              <w:spacing w:before="0" w:beforeAutospacing="0" w:after="0" w:afterAutospacing="0"/>
              <w:ind w:left="0" w:right="0"/>
              <w:jc w:val="center"/>
              <w:rPr>
                <w:rFonts w:hint="default"/>
                <w:color w:val="000000"/>
                <w:kern w:val="0"/>
                <w:sz w:val="18"/>
                <w:szCs w:val="18"/>
              </w:rPr>
            </w:pPr>
            <w:r>
              <w:rPr>
                <w:rFonts w:hint="eastAsia"/>
                <w:color w:val="000000"/>
                <w:kern w:val="0"/>
                <w:sz w:val="18"/>
                <w:szCs w:val="18"/>
              </w:rPr>
              <w:t>所属行业及代码</w:t>
            </w:r>
            <w:r>
              <w:rPr>
                <w:rFonts w:hint="eastAsia" w:ascii="宋体" w:hAnsi="宋体" w:cs="宋体"/>
                <w:color w:val="000000"/>
                <w:kern w:val="0"/>
                <w:sz w:val="18"/>
                <w:szCs w:val="18"/>
                <w:vertAlign w:val="superscript"/>
              </w:rPr>
              <w:t>a</w:t>
            </w:r>
          </w:p>
        </w:tc>
        <w:tc>
          <w:tcPr>
            <w:tcW w:w="7600" w:type="dxa"/>
            <w:gridSpan w:val="3"/>
            <w:tcBorders>
              <w:tl2br w:val="nil"/>
              <w:tr2bl w:val="nil"/>
            </w:tcBorders>
            <w:vAlign w:val="center"/>
          </w:tcPr>
          <w:p w14:paraId="1E22E83A">
            <w:pPr>
              <w:keepNext w:val="0"/>
              <w:keepLines w:val="0"/>
              <w:widowControl/>
              <w:suppressLineNumbers w:val="0"/>
              <w:spacing w:before="0" w:beforeAutospacing="0" w:after="0" w:afterAutospacing="0"/>
              <w:ind w:left="0" w:right="0"/>
              <w:rPr>
                <w:rFonts w:hint="default"/>
                <w:color w:val="000000"/>
                <w:kern w:val="0"/>
                <w:sz w:val="18"/>
                <w:szCs w:val="18"/>
              </w:rPr>
            </w:pPr>
          </w:p>
        </w:tc>
      </w:tr>
      <w:tr w14:paraId="58B8D17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9559" w:type="dxa"/>
            <w:gridSpan w:val="4"/>
            <w:tcBorders>
              <w:bottom w:val="single" w:color="000000" w:sz="12" w:space="0"/>
              <w:tl2br w:val="nil"/>
              <w:tr2bl w:val="nil"/>
            </w:tcBorders>
            <w:vAlign w:val="center"/>
          </w:tcPr>
          <w:p w14:paraId="29631B03">
            <w:pPr>
              <w:keepNext w:val="0"/>
              <w:keepLines w:val="0"/>
              <w:widowControl/>
              <w:suppressLineNumbers w:val="0"/>
              <w:spacing w:before="0" w:beforeAutospacing="0" w:after="0" w:afterAutospacing="0"/>
              <w:ind w:left="0" w:right="0"/>
              <w:rPr>
                <w:rFonts w:hint="default"/>
                <w:b/>
                <w:kern w:val="0"/>
                <w:sz w:val="18"/>
                <w:szCs w:val="18"/>
              </w:rPr>
            </w:pPr>
            <w:r>
              <w:rPr>
                <w:rFonts w:hint="eastAsia"/>
                <w:b/>
                <w:kern w:val="0"/>
                <w:sz w:val="18"/>
                <w:szCs w:val="18"/>
              </w:rPr>
              <w:t>材料真实性承诺：</w:t>
            </w:r>
          </w:p>
          <w:p w14:paraId="5A0FFC4F">
            <w:pPr>
              <w:keepNext w:val="0"/>
              <w:keepLines w:val="0"/>
              <w:widowControl/>
              <w:suppressLineNumbers w:val="0"/>
              <w:spacing w:before="0" w:beforeAutospacing="0" w:after="0" w:afterAutospacing="0"/>
              <w:ind w:left="0" w:right="0" w:firstLine="372" w:firstLineChars="207"/>
              <w:rPr>
                <w:rFonts w:hint="default"/>
                <w:kern w:val="0"/>
                <w:sz w:val="18"/>
                <w:szCs w:val="18"/>
              </w:rPr>
            </w:pPr>
          </w:p>
          <w:p w14:paraId="324F41B6">
            <w:pPr>
              <w:keepNext w:val="0"/>
              <w:keepLines w:val="0"/>
              <w:widowControl/>
              <w:suppressLineNumbers w:val="0"/>
              <w:spacing w:before="0" w:beforeAutospacing="0" w:after="0" w:afterAutospacing="0"/>
              <w:ind w:left="0" w:right="0" w:firstLine="372" w:firstLineChars="207"/>
              <w:rPr>
                <w:rFonts w:hint="default"/>
                <w:kern w:val="0"/>
                <w:sz w:val="18"/>
                <w:szCs w:val="18"/>
              </w:rPr>
            </w:pPr>
          </w:p>
          <w:p w14:paraId="2598A2E2">
            <w:pPr>
              <w:pStyle w:val="11"/>
              <w:keepNext w:val="0"/>
              <w:keepLines w:val="0"/>
              <w:suppressLineNumbers w:val="0"/>
              <w:spacing w:before="0" w:beforeAutospacing="0" w:after="0" w:afterAutospacing="0"/>
              <w:ind w:left="0" w:right="0"/>
              <w:rPr>
                <w:rFonts w:hint="default"/>
              </w:rPr>
            </w:pPr>
          </w:p>
          <w:p w14:paraId="6BAD81AE">
            <w:pPr>
              <w:pStyle w:val="11"/>
              <w:keepNext w:val="0"/>
              <w:keepLines w:val="0"/>
              <w:suppressLineNumbers w:val="0"/>
              <w:spacing w:before="0" w:beforeAutospacing="0" w:after="0" w:afterAutospacing="0"/>
              <w:ind w:left="0" w:right="0"/>
              <w:rPr>
                <w:rFonts w:hint="default"/>
              </w:rPr>
            </w:pPr>
          </w:p>
          <w:p w14:paraId="7A54D848">
            <w:pPr>
              <w:keepNext w:val="0"/>
              <w:keepLines w:val="0"/>
              <w:widowControl/>
              <w:suppressLineNumbers w:val="0"/>
              <w:spacing w:before="0" w:beforeAutospacing="0" w:after="0" w:afterAutospacing="0"/>
              <w:ind w:left="0" w:right="0" w:firstLine="372" w:firstLineChars="207"/>
              <w:rPr>
                <w:rFonts w:hint="default"/>
                <w:kern w:val="0"/>
                <w:sz w:val="18"/>
                <w:szCs w:val="18"/>
              </w:rPr>
            </w:pPr>
          </w:p>
          <w:p w14:paraId="23FA4DE6">
            <w:pPr>
              <w:keepNext w:val="0"/>
              <w:keepLines w:val="0"/>
              <w:widowControl/>
              <w:suppressLineNumbers w:val="0"/>
              <w:spacing w:before="0" w:beforeAutospacing="0" w:after="0" w:afterAutospacing="0"/>
              <w:ind w:left="0" w:right="0" w:firstLine="372" w:firstLineChars="207"/>
              <w:rPr>
                <w:rFonts w:hint="default"/>
                <w:kern w:val="0"/>
                <w:sz w:val="18"/>
                <w:szCs w:val="18"/>
              </w:rPr>
            </w:pPr>
            <w:r>
              <w:rPr>
                <w:rFonts w:hint="eastAsia"/>
                <w:kern w:val="0"/>
                <w:sz w:val="18"/>
                <w:szCs w:val="18"/>
              </w:rPr>
              <w:t>我单位郑重承诺：本次申报绿色低碳产业企业认定所提交的相关数据和信息均真实、有效，愿接受并积极配合主管部门的跟踪抽查。如有违反，愿承担由此产生的相应责任。</w:t>
            </w:r>
          </w:p>
          <w:p w14:paraId="548B4140">
            <w:pPr>
              <w:keepNext w:val="0"/>
              <w:keepLines w:val="0"/>
              <w:widowControl/>
              <w:suppressLineNumbers w:val="0"/>
              <w:spacing w:before="0" w:beforeAutospacing="0" w:after="0" w:afterAutospacing="0"/>
              <w:ind w:left="0" w:right="0" w:firstLine="372" w:firstLineChars="207"/>
              <w:rPr>
                <w:rFonts w:hint="default"/>
                <w:kern w:val="0"/>
                <w:sz w:val="18"/>
                <w:szCs w:val="18"/>
              </w:rPr>
            </w:pPr>
          </w:p>
          <w:p w14:paraId="7D532623">
            <w:pPr>
              <w:keepNext w:val="0"/>
              <w:keepLines w:val="0"/>
              <w:widowControl/>
              <w:suppressLineNumbers w:val="0"/>
              <w:spacing w:before="0" w:beforeAutospacing="0" w:after="0" w:afterAutospacing="0"/>
              <w:ind w:left="0" w:right="0" w:firstLine="372" w:firstLineChars="207"/>
              <w:rPr>
                <w:rFonts w:hint="default"/>
                <w:kern w:val="0"/>
                <w:sz w:val="18"/>
                <w:szCs w:val="18"/>
              </w:rPr>
            </w:pPr>
          </w:p>
          <w:p w14:paraId="79EB1083">
            <w:pPr>
              <w:pStyle w:val="11"/>
              <w:keepNext w:val="0"/>
              <w:keepLines w:val="0"/>
              <w:suppressLineNumbers w:val="0"/>
              <w:spacing w:before="0" w:beforeAutospacing="0" w:after="0" w:afterAutospacing="0"/>
              <w:ind w:left="0" w:right="0"/>
              <w:rPr>
                <w:rFonts w:hint="default"/>
              </w:rPr>
            </w:pPr>
          </w:p>
          <w:p w14:paraId="49E55EE9">
            <w:pPr>
              <w:pStyle w:val="11"/>
              <w:keepNext w:val="0"/>
              <w:keepLines w:val="0"/>
              <w:suppressLineNumbers w:val="0"/>
              <w:spacing w:before="0" w:beforeAutospacing="0" w:after="0" w:afterAutospacing="0"/>
              <w:ind w:left="0" w:right="0"/>
              <w:rPr>
                <w:rFonts w:hint="default"/>
              </w:rPr>
            </w:pPr>
          </w:p>
          <w:p w14:paraId="7F76EB14">
            <w:pPr>
              <w:pStyle w:val="11"/>
              <w:keepNext w:val="0"/>
              <w:keepLines w:val="0"/>
              <w:suppressLineNumbers w:val="0"/>
              <w:spacing w:before="0" w:beforeAutospacing="0" w:after="0" w:afterAutospacing="0"/>
              <w:ind w:left="0" w:right="0"/>
              <w:rPr>
                <w:rFonts w:hint="default"/>
              </w:rPr>
            </w:pPr>
          </w:p>
          <w:p w14:paraId="102567B0">
            <w:pPr>
              <w:keepNext w:val="0"/>
              <w:keepLines w:val="0"/>
              <w:widowControl/>
              <w:suppressLineNumbers w:val="0"/>
              <w:wordWrap w:val="0"/>
              <w:spacing w:before="0" w:beforeAutospacing="0" w:after="0" w:afterAutospacing="0"/>
              <w:ind w:left="0" w:right="0"/>
              <w:jc w:val="center"/>
              <w:rPr>
                <w:rFonts w:hint="default"/>
                <w:b/>
                <w:kern w:val="0"/>
                <w:sz w:val="18"/>
                <w:szCs w:val="18"/>
              </w:rPr>
            </w:pPr>
            <w:r>
              <w:rPr>
                <w:rFonts w:hint="eastAsia"/>
                <w:b/>
                <w:kern w:val="0"/>
                <w:sz w:val="18"/>
                <w:szCs w:val="18"/>
              </w:rPr>
              <w:t xml:space="preserve">                           法人或单位负责人签字：          </w:t>
            </w:r>
          </w:p>
          <w:p w14:paraId="06078383">
            <w:pPr>
              <w:keepNext w:val="0"/>
              <w:keepLines w:val="0"/>
              <w:widowControl/>
              <w:suppressLineNumbers w:val="0"/>
              <w:spacing w:before="0" w:beforeAutospacing="0" w:after="0" w:afterAutospacing="0"/>
              <w:ind w:left="0" w:right="0"/>
              <w:rPr>
                <w:rFonts w:hint="default"/>
              </w:rPr>
            </w:pPr>
            <w:r>
              <w:rPr>
                <w:rFonts w:hint="eastAsia"/>
                <w:b/>
                <w:kern w:val="0"/>
                <w:sz w:val="18"/>
                <w:szCs w:val="18"/>
              </w:rPr>
              <w:t xml:space="preserve">                                                         （公章）</w:t>
            </w:r>
          </w:p>
          <w:p w14:paraId="694CF162">
            <w:pPr>
              <w:keepNext w:val="0"/>
              <w:keepLines w:val="0"/>
              <w:widowControl/>
              <w:suppressLineNumbers w:val="0"/>
              <w:spacing w:before="0" w:beforeAutospacing="0" w:after="0" w:afterAutospacing="0"/>
              <w:ind w:left="0" w:right="0"/>
              <w:rPr>
                <w:rFonts w:hint="default"/>
                <w:b/>
                <w:kern w:val="0"/>
                <w:sz w:val="18"/>
                <w:szCs w:val="18"/>
              </w:rPr>
            </w:pPr>
          </w:p>
          <w:p w14:paraId="47D530AA">
            <w:pPr>
              <w:keepNext w:val="0"/>
              <w:keepLines w:val="0"/>
              <w:widowControl/>
              <w:suppressLineNumbers w:val="0"/>
              <w:wordWrap w:val="0"/>
              <w:spacing w:before="0" w:beforeAutospacing="0" w:after="0" w:afterAutospacing="0"/>
              <w:ind w:left="0" w:right="0"/>
              <w:jc w:val="center"/>
              <w:rPr>
                <w:rFonts w:hint="default"/>
                <w:b/>
                <w:kern w:val="0"/>
                <w:sz w:val="18"/>
                <w:szCs w:val="18"/>
              </w:rPr>
            </w:pPr>
            <w:r>
              <w:rPr>
                <w:rFonts w:hint="eastAsia"/>
                <w:b/>
                <w:kern w:val="0"/>
                <w:sz w:val="18"/>
                <w:szCs w:val="18"/>
              </w:rPr>
              <w:t xml:space="preserve">                                            日期：           </w:t>
            </w:r>
          </w:p>
        </w:tc>
      </w:tr>
      <w:tr w14:paraId="04579AC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9559" w:type="dxa"/>
            <w:gridSpan w:val="4"/>
            <w:tcBorders>
              <w:top w:val="single" w:color="000000" w:sz="12" w:space="0"/>
            </w:tcBorders>
            <w:vAlign w:val="center"/>
          </w:tcPr>
          <w:p w14:paraId="45485E54">
            <w:pPr>
              <w:keepNext w:val="0"/>
              <w:keepLines w:val="0"/>
              <w:widowControl/>
              <w:suppressLineNumbers w:val="0"/>
              <w:wordWrap w:val="0"/>
              <w:spacing w:before="0" w:beforeAutospacing="0" w:after="0" w:afterAutospacing="0"/>
              <w:ind w:left="0" w:right="0" w:firstLine="360" w:firstLineChars="200"/>
              <w:jc w:val="left"/>
              <w:rPr>
                <w:rFonts w:hint="default"/>
                <w:b/>
                <w:kern w:val="0"/>
                <w:sz w:val="18"/>
                <w:szCs w:val="18"/>
              </w:rPr>
            </w:pPr>
            <w:r>
              <w:rPr>
                <w:rFonts w:hint="eastAsia" w:ascii="宋体" w:hAnsi="宋体" w:cs="宋体"/>
                <w:bCs/>
                <w:kern w:val="0"/>
                <w:sz w:val="18"/>
                <w:szCs w:val="18"/>
                <w:vertAlign w:val="superscript"/>
              </w:rPr>
              <w:t>a</w:t>
            </w:r>
            <w:r>
              <w:rPr>
                <w:rFonts w:hint="eastAsia" w:ascii="宋体" w:hAnsi="宋体" w:cs="宋体"/>
                <w:bCs/>
                <w:kern w:val="0"/>
                <w:sz w:val="18"/>
                <w:szCs w:val="18"/>
              </w:rPr>
              <w:t xml:space="preserve">  行业类别参照相关政府职能部门发布的绿色低碳产业相关指导目录的第三级分类进行填报。</w:t>
            </w:r>
          </w:p>
        </w:tc>
      </w:tr>
    </w:tbl>
    <w:p w14:paraId="2FD98B1A">
      <w:pPr>
        <w:pStyle w:val="90"/>
        <w:numPr>
          <w:ilvl w:val="1"/>
          <w:numId w:val="0"/>
        </w:numPr>
        <w:spacing w:before="156" w:after="156"/>
        <w:jc w:val="both"/>
        <w:rPr>
          <w:rFonts w:hAnsi="黑体" w:cs="黑体"/>
        </w:rPr>
      </w:pPr>
      <w:r>
        <w:rPr>
          <w:rFonts w:hint="eastAsia" w:hAnsi="黑体" w:cs="黑体"/>
        </w:rPr>
        <w:t>B.3  基本情况概述</w:t>
      </w:r>
    </w:p>
    <w:p w14:paraId="47BA30DF">
      <w:pPr>
        <w:pStyle w:val="25"/>
        <w:rPr>
          <w:rFonts w:ascii="Times New Roman" w:eastAsia="Times New Roman"/>
          <w:szCs w:val="24"/>
        </w:rPr>
      </w:pPr>
      <w:r>
        <w:rPr>
          <w:rFonts w:hint="eastAsia" w:ascii="Times New Roman"/>
          <w:szCs w:val="24"/>
        </w:rPr>
        <w:t>概述企事业单位的经营范围、申请认定评价的绿色业务经营情况、在绿色发展方面开展的重点工作及取得的成效等。</w:t>
      </w:r>
    </w:p>
    <w:p w14:paraId="4CF1BF57">
      <w:pPr>
        <w:pStyle w:val="90"/>
        <w:numPr>
          <w:ilvl w:val="1"/>
          <w:numId w:val="0"/>
        </w:numPr>
        <w:spacing w:before="156" w:after="156"/>
        <w:jc w:val="both"/>
        <w:rPr>
          <w:rFonts w:hAnsi="黑体" w:cs="黑体"/>
        </w:rPr>
      </w:pPr>
      <w:r>
        <w:rPr>
          <w:rFonts w:hint="eastAsia" w:hAnsi="黑体" w:cs="黑体"/>
        </w:rPr>
        <w:t>B.4  评价工作概述</w:t>
      </w:r>
    </w:p>
    <w:p w14:paraId="71464EC2">
      <w:pPr>
        <w:pStyle w:val="25"/>
        <w:rPr>
          <w:rFonts w:ascii="Times New Roman" w:eastAsia="Times New Roman"/>
          <w:szCs w:val="24"/>
        </w:rPr>
      </w:pPr>
      <w:r>
        <w:rPr>
          <w:rFonts w:hint="eastAsia" w:ascii="Times New Roman"/>
          <w:szCs w:val="24"/>
        </w:rPr>
        <w:t>概述绿色低碳产业企业认定申报工作具体开展情况，包括但不限于工作组设立情况、收集资料类型、报告编制情况等。</w:t>
      </w:r>
    </w:p>
    <w:p w14:paraId="314866BB">
      <w:pPr>
        <w:pStyle w:val="90"/>
        <w:numPr>
          <w:ilvl w:val="1"/>
          <w:numId w:val="0"/>
        </w:numPr>
        <w:spacing w:before="156" w:after="156"/>
        <w:jc w:val="both"/>
        <w:rPr>
          <w:rFonts w:hAnsi="黑体" w:cs="黑体"/>
        </w:rPr>
      </w:pPr>
      <w:r>
        <w:rPr>
          <w:rFonts w:hint="eastAsia" w:hAnsi="黑体" w:cs="黑体"/>
        </w:rPr>
        <w:t>B.5  绿色低碳产业企业认定情况</w:t>
      </w:r>
    </w:p>
    <w:p w14:paraId="4199F052">
      <w:pPr>
        <w:pStyle w:val="90"/>
        <w:numPr>
          <w:ilvl w:val="1"/>
          <w:numId w:val="0"/>
        </w:numPr>
        <w:spacing w:before="156" w:after="156"/>
        <w:jc w:val="both"/>
        <w:rPr>
          <w:rFonts w:hAnsi="黑体" w:cs="黑体"/>
        </w:rPr>
      </w:pPr>
      <w:r>
        <w:rPr>
          <w:rFonts w:hint="eastAsia" w:hAnsi="黑体" w:cs="黑体"/>
        </w:rPr>
        <w:t>B.5.1  符合性评价</w:t>
      </w:r>
    </w:p>
    <w:p w14:paraId="49A55234">
      <w:pPr>
        <w:pStyle w:val="25"/>
        <w:rPr>
          <w:rFonts w:ascii="Times New Roman" w:eastAsia="Times New Roman"/>
          <w:szCs w:val="24"/>
        </w:rPr>
      </w:pPr>
      <w:r>
        <w:rPr>
          <w:rFonts w:hint="eastAsia" w:ascii="Times New Roman"/>
          <w:szCs w:val="24"/>
        </w:rPr>
        <w:t>申报认定评价的绿色业务属于绿色金融认证和评级领域，或在当地具备一定市场规模、经相关政府职能部门认可的相关行业。</w:t>
      </w:r>
    </w:p>
    <w:p w14:paraId="664F7B9E">
      <w:pPr>
        <w:pStyle w:val="90"/>
        <w:numPr>
          <w:ilvl w:val="1"/>
          <w:numId w:val="0"/>
        </w:numPr>
        <w:spacing w:before="156" w:after="156"/>
        <w:jc w:val="both"/>
        <w:rPr>
          <w:rFonts w:hAnsi="黑体" w:cs="黑体"/>
        </w:rPr>
      </w:pPr>
      <w:r>
        <w:rPr>
          <w:rFonts w:hint="eastAsia" w:hAnsi="黑体" w:cs="黑体"/>
        </w:rPr>
        <w:t>B.5.2  综合评价</w:t>
      </w:r>
    </w:p>
    <w:p w14:paraId="1246375D">
      <w:pPr>
        <w:pStyle w:val="90"/>
        <w:numPr>
          <w:ilvl w:val="1"/>
          <w:numId w:val="0"/>
        </w:numPr>
        <w:spacing w:before="156" w:after="156"/>
        <w:jc w:val="both"/>
        <w:rPr>
          <w:rFonts w:ascii="Times New Roman" w:eastAsia="Times New Roman"/>
        </w:rPr>
      </w:pPr>
      <w:r>
        <w:rPr>
          <w:rFonts w:hint="eastAsia" w:hAnsi="黑体" w:cs="黑体"/>
        </w:rPr>
        <w:t>B.5.2.1  技术表现</w:t>
      </w:r>
    </w:p>
    <w:p w14:paraId="2AC6B1E5">
      <w:pPr>
        <w:pStyle w:val="25"/>
        <w:rPr>
          <w:rFonts w:hAnsi="宋体" w:cs="宋体"/>
        </w:rPr>
      </w:pPr>
      <w:r>
        <w:rPr>
          <w:rFonts w:hint="eastAsia" w:hAnsi="宋体" w:cs="宋体"/>
        </w:rPr>
        <w:t>对以下内容进行具体描述：</w:t>
      </w:r>
    </w:p>
    <w:p w14:paraId="23A36021">
      <w:pPr>
        <w:pStyle w:val="25"/>
        <w:ind w:left="840" w:leftChars="200" w:hanging="420" w:hangingChars="200"/>
        <w:rPr>
          <w:rFonts w:hAnsi="宋体" w:cs="宋体"/>
        </w:rPr>
      </w:pPr>
      <w:r>
        <w:rPr>
          <w:rFonts w:hint="eastAsia" w:hAnsi="宋体" w:cs="宋体"/>
        </w:rPr>
        <w:t>——先进性：主要描述有效知识产权、制修订标准、关键技术先进性等情况；</w:t>
      </w:r>
    </w:p>
    <w:p w14:paraId="4DABA5D5">
      <w:pPr>
        <w:pStyle w:val="25"/>
        <w:ind w:left="840" w:leftChars="200" w:hanging="420" w:hangingChars="200"/>
        <w:rPr>
          <w:rFonts w:ascii="Times New Roman" w:eastAsia="Times New Roman"/>
          <w:szCs w:val="24"/>
        </w:rPr>
      </w:pPr>
      <w:r>
        <w:rPr>
          <w:rFonts w:hint="eastAsia" w:hAnsi="宋体" w:cs="宋体"/>
        </w:rPr>
        <w:t>——环境效益：提供绿色金融认证和评级服务时，服务的应用场景和使用带来的节能减排效果，由申请认定评价的企业事业单位定性描述。</w:t>
      </w:r>
    </w:p>
    <w:p w14:paraId="4D05C008">
      <w:pPr>
        <w:pStyle w:val="90"/>
        <w:numPr>
          <w:ilvl w:val="1"/>
          <w:numId w:val="0"/>
        </w:numPr>
        <w:spacing w:before="156" w:after="156"/>
        <w:jc w:val="both"/>
        <w:rPr>
          <w:rFonts w:hAnsi="黑体" w:cs="黑体"/>
        </w:rPr>
      </w:pPr>
      <w:r>
        <w:rPr>
          <w:rFonts w:hint="eastAsia" w:hAnsi="黑体" w:cs="黑体"/>
        </w:rPr>
        <w:t>B.5.2.2  业务表现</w:t>
      </w:r>
    </w:p>
    <w:p w14:paraId="70A4E312">
      <w:pPr>
        <w:pStyle w:val="25"/>
        <w:ind w:left="840" w:leftChars="200" w:hanging="420" w:hangingChars="200"/>
        <w:rPr>
          <w:rFonts w:hAnsi="宋体" w:cs="宋体"/>
        </w:rPr>
      </w:pPr>
      <w:r>
        <w:rPr>
          <w:rFonts w:hint="eastAsia" w:hAnsi="宋体" w:cs="宋体"/>
        </w:rPr>
        <w:t>对以下内容进行具体描述：</w:t>
      </w:r>
    </w:p>
    <w:p w14:paraId="00A82686">
      <w:pPr>
        <w:pStyle w:val="25"/>
        <w:ind w:left="840" w:leftChars="200" w:hanging="420" w:hangingChars="200"/>
        <w:rPr>
          <w:rFonts w:hAnsi="宋体" w:cs="宋体"/>
        </w:rPr>
      </w:pPr>
      <w:r>
        <w:rPr>
          <w:rFonts w:hint="eastAsia" w:hAnsi="宋体" w:cs="宋体"/>
        </w:rPr>
        <w:t>——发展能力：主要描述团队技术实力、研发投入、运营效益水平等情况；</w:t>
      </w:r>
    </w:p>
    <w:p w14:paraId="4DDA9541">
      <w:pPr>
        <w:pStyle w:val="25"/>
        <w:ind w:left="840" w:leftChars="200" w:hanging="420" w:hangingChars="200"/>
        <w:rPr>
          <w:rFonts w:ascii="Times New Roman" w:eastAsia="Times New Roman"/>
          <w:szCs w:val="24"/>
        </w:rPr>
      </w:pPr>
      <w:r>
        <w:rPr>
          <w:rFonts w:hint="eastAsia" w:hAnsi="宋体" w:cs="宋体"/>
        </w:rPr>
        <w:t>——市场影响：主要描述</w:t>
      </w:r>
      <w:r>
        <w:rPr>
          <w:rFonts w:hint="eastAsia" w:hAnsi="宋体" w:cs="宋体"/>
          <w:lang w:val="en-US" w:eastAsia="zh-CN"/>
        </w:rPr>
        <w:t>能力资质</w:t>
      </w:r>
      <w:r>
        <w:rPr>
          <w:rFonts w:hint="eastAsia" w:hAnsi="宋体" w:cs="宋体"/>
        </w:rPr>
        <w:t>，稳定提供相关服务的年限，促进产业绿色低碳转型升级的情况，获得的国家级、省部级、市级或区级奖项、资质、荣誉、认定及证书的情况，客户满意度的情况。</w:t>
      </w:r>
    </w:p>
    <w:p w14:paraId="559CCFC1">
      <w:pPr>
        <w:pStyle w:val="90"/>
        <w:numPr>
          <w:ilvl w:val="1"/>
          <w:numId w:val="0"/>
        </w:numPr>
        <w:spacing w:before="156" w:after="156"/>
        <w:jc w:val="both"/>
        <w:rPr>
          <w:rFonts w:ascii="Times New Roman" w:eastAsia="Times New Roman"/>
        </w:rPr>
      </w:pPr>
      <w:r>
        <w:rPr>
          <w:rFonts w:hint="eastAsia" w:hAnsi="黑体" w:cs="黑体"/>
        </w:rPr>
        <w:t>B.5.2.3  社会表现</w:t>
      </w:r>
    </w:p>
    <w:p w14:paraId="7BDB0F0E">
      <w:pPr>
        <w:pStyle w:val="25"/>
        <w:ind w:left="840" w:leftChars="200" w:hanging="420" w:hangingChars="200"/>
        <w:rPr>
          <w:rFonts w:hAnsi="宋体" w:cs="宋体"/>
        </w:rPr>
      </w:pPr>
      <w:r>
        <w:rPr>
          <w:rFonts w:hint="eastAsia" w:hAnsi="宋体" w:cs="宋体"/>
        </w:rPr>
        <w:t>对以下内容进行具体描述：</w:t>
      </w:r>
    </w:p>
    <w:p w14:paraId="1DDD742A">
      <w:pPr>
        <w:pStyle w:val="25"/>
        <w:ind w:left="840" w:leftChars="200" w:hanging="420" w:hangingChars="200"/>
        <w:rPr>
          <w:rFonts w:hAnsi="宋体" w:cs="宋体"/>
        </w:rPr>
      </w:pPr>
      <w:r>
        <w:rPr>
          <w:rFonts w:hint="eastAsia" w:hAnsi="宋体" w:cs="宋体"/>
        </w:rPr>
        <w:t>——内部行动：主要描述绿色行动、制度建设、信息披露及人员培训等情况；</w:t>
      </w:r>
    </w:p>
    <w:p w14:paraId="53BE2E46">
      <w:pPr>
        <w:pStyle w:val="25"/>
        <w:ind w:left="840" w:leftChars="200" w:hanging="420" w:hangingChars="200"/>
        <w:rPr>
          <w:rFonts w:ascii="Times New Roman" w:eastAsia="Times New Roman"/>
          <w:szCs w:val="24"/>
        </w:rPr>
      </w:pPr>
      <w:r>
        <w:rPr>
          <w:rFonts w:hint="eastAsia" w:hAnsi="宋体" w:cs="宋体"/>
        </w:rPr>
        <w:t>——社会责任：主要描述履行公共关系和社会公益责任、社会信用记录等情况。</w:t>
      </w:r>
    </w:p>
    <w:p w14:paraId="4202040D">
      <w:pPr>
        <w:pStyle w:val="90"/>
        <w:numPr>
          <w:ilvl w:val="1"/>
          <w:numId w:val="0"/>
        </w:numPr>
        <w:spacing w:before="156" w:after="156"/>
        <w:jc w:val="both"/>
        <w:rPr>
          <w:rFonts w:hAnsi="黑体" w:cs="黑体"/>
        </w:rPr>
      </w:pPr>
      <w:r>
        <w:rPr>
          <w:rFonts w:hint="eastAsia" w:hAnsi="黑体" w:cs="黑体"/>
        </w:rPr>
        <w:t>B.6  评分表</w:t>
      </w:r>
    </w:p>
    <w:p w14:paraId="626251A5">
      <w:pPr>
        <w:pStyle w:val="25"/>
        <w:rPr>
          <w:rFonts w:asciiTheme="minorEastAsia" w:hAnsiTheme="minorEastAsia" w:eastAsiaTheme="minorEastAsia"/>
          <w:szCs w:val="24"/>
        </w:rPr>
      </w:pPr>
      <w:r>
        <w:rPr>
          <w:rFonts w:hint="eastAsia" w:asciiTheme="minorEastAsia" w:hAnsiTheme="minorEastAsia" w:eastAsiaTheme="minorEastAsia"/>
          <w:szCs w:val="24"/>
        </w:rPr>
        <w:t>企事业单位评分表见表B.3和表B.4。</w:t>
      </w:r>
    </w:p>
    <w:p w14:paraId="70E3087F">
      <w:pPr>
        <w:pStyle w:val="90"/>
        <w:numPr>
          <w:ilvl w:val="1"/>
          <w:numId w:val="0"/>
        </w:numPr>
        <w:spacing w:before="156" w:after="156"/>
        <w:rPr>
          <w:rFonts w:ascii="Times New Roman"/>
        </w:rPr>
      </w:pPr>
      <w:r>
        <w:rPr>
          <w:rFonts w:hint="eastAsia" w:hAnsi="黑体" w:cs="黑体"/>
        </w:rPr>
        <w:t>表B.3  符合性评价</w:t>
      </w:r>
    </w:p>
    <w:tbl>
      <w:tblPr>
        <w:tblStyle w:val="35"/>
        <w:tblW w:w="95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026"/>
        <w:gridCol w:w="1812"/>
        <w:gridCol w:w="1721"/>
      </w:tblGrid>
      <w:tr w14:paraId="74F57A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6026" w:type="dxa"/>
            <w:tcBorders>
              <w:bottom w:val="single" w:color="auto" w:sz="12" w:space="0"/>
            </w:tcBorders>
            <w:vAlign w:val="center"/>
          </w:tcPr>
          <w:p w14:paraId="50C9DD02">
            <w:pPr>
              <w:keepNext w:val="0"/>
              <w:keepLines w:val="0"/>
              <w:suppressLineNumbers w:val="0"/>
              <w:spacing w:before="0" w:beforeAutospacing="0" w:after="0" w:afterAutospacing="0"/>
              <w:ind w:left="0" w:right="0"/>
              <w:jc w:val="center"/>
              <w:rPr>
                <w:rFonts w:hint="default"/>
                <w:b/>
                <w:sz w:val="18"/>
                <w:szCs w:val="18"/>
              </w:rPr>
            </w:pPr>
            <w:r>
              <w:rPr>
                <w:rFonts w:hint="eastAsia"/>
                <w:b/>
                <w:sz w:val="18"/>
                <w:szCs w:val="18"/>
              </w:rPr>
              <w:t>符合性评价内容</w:t>
            </w:r>
          </w:p>
        </w:tc>
        <w:tc>
          <w:tcPr>
            <w:tcW w:w="1812" w:type="dxa"/>
            <w:tcBorders>
              <w:bottom w:val="single" w:color="auto" w:sz="12" w:space="0"/>
            </w:tcBorders>
            <w:vAlign w:val="center"/>
          </w:tcPr>
          <w:p w14:paraId="6B306CB7">
            <w:pPr>
              <w:keepNext w:val="0"/>
              <w:keepLines w:val="0"/>
              <w:suppressLineNumbers w:val="0"/>
              <w:spacing w:before="0" w:beforeAutospacing="0" w:after="0" w:afterAutospacing="0"/>
              <w:ind w:left="0" w:right="0"/>
              <w:jc w:val="center"/>
              <w:rPr>
                <w:rFonts w:hint="default"/>
                <w:b/>
                <w:sz w:val="18"/>
                <w:szCs w:val="18"/>
              </w:rPr>
            </w:pPr>
            <w:r>
              <w:rPr>
                <w:rFonts w:hint="eastAsia"/>
                <w:b/>
                <w:sz w:val="18"/>
                <w:szCs w:val="18"/>
              </w:rPr>
              <w:t>评价结果（是/否）</w:t>
            </w:r>
          </w:p>
        </w:tc>
        <w:tc>
          <w:tcPr>
            <w:tcW w:w="1721" w:type="dxa"/>
            <w:tcBorders>
              <w:bottom w:val="single" w:color="auto" w:sz="12" w:space="0"/>
            </w:tcBorders>
            <w:vAlign w:val="center"/>
          </w:tcPr>
          <w:p w14:paraId="3BC7A443">
            <w:pPr>
              <w:keepNext w:val="0"/>
              <w:keepLines w:val="0"/>
              <w:suppressLineNumbers w:val="0"/>
              <w:spacing w:before="0" w:beforeAutospacing="0" w:after="0" w:afterAutospacing="0"/>
              <w:ind w:left="0" w:right="0"/>
              <w:jc w:val="center"/>
              <w:rPr>
                <w:rFonts w:hint="default"/>
                <w:b/>
                <w:sz w:val="18"/>
                <w:szCs w:val="18"/>
              </w:rPr>
            </w:pPr>
            <w:r>
              <w:rPr>
                <w:rFonts w:hint="eastAsia"/>
                <w:b/>
                <w:sz w:val="18"/>
                <w:szCs w:val="18"/>
              </w:rPr>
              <w:t>佐证材料备注</w:t>
            </w:r>
            <w:r>
              <w:rPr>
                <w:rFonts w:hint="eastAsia" w:ascii="宋体" w:hAnsi="宋体" w:cs="宋体"/>
                <w:bCs/>
                <w:sz w:val="18"/>
                <w:szCs w:val="18"/>
                <w:vertAlign w:val="superscript"/>
              </w:rPr>
              <w:t>a</w:t>
            </w:r>
          </w:p>
        </w:tc>
      </w:tr>
      <w:tr w14:paraId="18010B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6026" w:type="dxa"/>
            <w:tcBorders>
              <w:top w:val="single" w:color="auto" w:sz="12" w:space="0"/>
              <w:bottom w:val="single" w:color="auto" w:sz="12" w:space="0"/>
              <w:tl2br w:val="nil"/>
              <w:tr2bl w:val="nil"/>
            </w:tcBorders>
            <w:vAlign w:val="center"/>
          </w:tcPr>
          <w:p w14:paraId="0877C9BB">
            <w:pPr>
              <w:keepNext w:val="0"/>
              <w:keepLines w:val="0"/>
              <w:widowControl/>
              <w:suppressLineNumbers w:val="0"/>
              <w:tabs>
                <w:tab w:val="center" w:pos="4201"/>
                <w:tab w:val="right" w:leader="dot" w:pos="9298"/>
              </w:tabs>
              <w:autoSpaceDE w:val="0"/>
              <w:autoSpaceDN w:val="0"/>
              <w:spacing w:before="0" w:beforeAutospacing="0" w:after="0" w:afterAutospacing="0"/>
              <w:ind w:left="0" w:right="0"/>
              <w:rPr>
                <w:rFonts w:hint="default" w:ascii="宋体" w:hAnsi="宋体" w:cs="宋体"/>
                <w:kern w:val="0"/>
                <w:sz w:val="18"/>
                <w:szCs w:val="18"/>
              </w:rPr>
            </w:pPr>
            <w:r>
              <w:rPr>
                <w:rFonts w:hint="eastAsia" w:ascii="宋体" w:hAnsi="宋体" w:cs="宋体"/>
                <w:sz w:val="18"/>
                <w:szCs w:val="18"/>
              </w:rPr>
              <w:t>申报认定评价的绿色业务属于绿色金融认证和评级领域，或在当地具备一定市场规模、经相关政府职能部门认可的相关行业</w:t>
            </w:r>
          </w:p>
        </w:tc>
        <w:tc>
          <w:tcPr>
            <w:tcW w:w="1812" w:type="dxa"/>
            <w:tcBorders>
              <w:top w:val="single" w:color="auto" w:sz="12" w:space="0"/>
              <w:tl2br w:val="nil"/>
              <w:tr2bl w:val="nil"/>
            </w:tcBorders>
            <w:vAlign w:val="center"/>
          </w:tcPr>
          <w:p w14:paraId="7682C334">
            <w:pPr>
              <w:keepNext w:val="0"/>
              <w:keepLines w:val="0"/>
              <w:suppressLineNumbers w:val="0"/>
              <w:spacing w:before="0" w:beforeAutospacing="0" w:after="0" w:afterAutospacing="0"/>
              <w:ind w:left="0" w:right="0"/>
              <w:jc w:val="center"/>
              <w:rPr>
                <w:rFonts w:hint="default" w:ascii="宋体" w:hAnsi="宋体" w:cs="宋体"/>
                <w:sz w:val="18"/>
                <w:szCs w:val="18"/>
              </w:rPr>
            </w:pPr>
          </w:p>
        </w:tc>
        <w:tc>
          <w:tcPr>
            <w:tcW w:w="1721" w:type="dxa"/>
            <w:tcBorders>
              <w:top w:val="single" w:color="auto" w:sz="12" w:space="0"/>
              <w:tl2br w:val="nil"/>
              <w:tr2bl w:val="nil"/>
            </w:tcBorders>
            <w:vAlign w:val="center"/>
          </w:tcPr>
          <w:p w14:paraId="11878B8B">
            <w:pPr>
              <w:keepNext w:val="0"/>
              <w:keepLines w:val="0"/>
              <w:suppressLineNumbers w:val="0"/>
              <w:spacing w:before="0" w:beforeAutospacing="0" w:after="0" w:afterAutospacing="0"/>
              <w:ind w:left="0" w:right="0"/>
              <w:jc w:val="center"/>
              <w:rPr>
                <w:rFonts w:hint="default" w:ascii="宋体" w:hAnsi="宋体" w:cs="宋体"/>
                <w:sz w:val="18"/>
                <w:szCs w:val="18"/>
              </w:rPr>
            </w:pPr>
          </w:p>
        </w:tc>
      </w:tr>
      <w:tr w14:paraId="5A10AC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9559" w:type="dxa"/>
            <w:gridSpan w:val="3"/>
            <w:tcBorders>
              <w:top w:val="single" w:color="auto" w:sz="12" w:space="0"/>
              <w:bottom w:val="single" w:color="auto" w:sz="12" w:space="0"/>
            </w:tcBorders>
            <w:vAlign w:val="center"/>
          </w:tcPr>
          <w:p w14:paraId="7B21C85E">
            <w:pPr>
              <w:keepNext w:val="0"/>
              <w:keepLines w:val="0"/>
              <w:suppressLineNumbers w:val="0"/>
              <w:spacing w:before="0" w:beforeAutospacing="0" w:after="0" w:afterAutospacing="0"/>
              <w:ind w:left="0" w:right="0" w:firstLine="360" w:firstLineChars="200"/>
              <w:jc w:val="left"/>
              <w:rPr>
                <w:rFonts w:hint="default" w:ascii="宋体" w:hAnsi="宋体" w:cs="宋体"/>
                <w:sz w:val="18"/>
                <w:szCs w:val="18"/>
              </w:rPr>
            </w:pPr>
            <w:r>
              <w:rPr>
                <w:rStyle w:val="155"/>
                <w:rFonts w:hint="eastAsia" w:asciiTheme="minorEastAsia" w:hAnsiTheme="minorEastAsia" w:eastAsiaTheme="minorEastAsia" w:cstheme="minorEastAsia"/>
                <w:sz w:val="18"/>
                <w:szCs w:val="18"/>
                <w:vertAlign w:val="superscript"/>
              </w:rPr>
              <w:t>a</w:t>
            </w:r>
            <w:r>
              <w:rPr>
                <w:rFonts w:hint="eastAsia" w:cs="宋体" w:asciiTheme="minorEastAsia" w:hAnsiTheme="minorEastAsia" w:eastAsiaTheme="minorEastAsia"/>
                <w:sz w:val="18"/>
                <w:szCs w:val="18"/>
              </w:rPr>
              <w:t xml:space="preserve"> 给出材料对应的具体页码，例如，见第4页。</w:t>
            </w:r>
          </w:p>
        </w:tc>
      </w:tr>
    </w:tbl>
    <w:p w14:paraId="4CC2B2B4">
      <w:pPr>
        <w:pStyle w:val="90"/>
        <w:numPr>
          <w:ilvl w:val="1"/>
          <w:numId w:val="0"/>
        </w:numPr>
        <w:tabs>
          <w:tab w:val="clear" w:pos="0"/>
        </w:tabs>
        <w:spacing w:before="156" w:after="156"/>
        <w:rPr>
          <w:rFonts w:hAnsi="黑体"/>
        </w:rPr>
      </w:pPr>
      <w:r>
        <w:rPr>
          <w:rFonts w:hint="eastAsia" w:hAnsi="黑体"/>
        </w:rPr>
        <w:t>表B.4  综合评价</w:t>
      </w:r>
    </w:p>
    <w:tbl>
      <w:tblPr>
        <w:tblStyle w:val="35"/>
        <w:tblW w:w="9559"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193"/>
        <w:gridCol w:w="1434"/>
        <w:gridCol w:w="2178"/>
        <w:gridCol w:w="1417"/>
        <w:gridCol w:w="1604"/>
        <w:gridCol w:w="1733"/>
      </w:tblGrid>
      <w:tr w14:paraId="4C9E0B5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1193" w:type="dxa"/>
            <w:tcBorders>
              <w:bottom w:val="single" w:color="000000" w:sz="12" w:space="0"/>
            </w:tcBorders>
            <w:vAlign w:val="center"/>
          </w:tcPr>
          <w:p w14:paraId="644E88F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rPr>
            </w:pPr>
            <w:r>
              <w:rPr>
                <w:rFonts w:hint="eastAsia"/>
                <w:b/>
                <w:kern w:val="0"/>
                <w:sz w:val="18"/>
                <w:szCs w:val="18"/>
              </w:rPr>
              <w:t>一级指标</w:t>
            </w:r>
          </w:p>
        </w:tc>
        <w:tc>
          <w:tcPr>
            <w:tcW w:w="1434" w:type="dxa"/>
            <w:tcBorders>
              <w:bottom w:val="single" w:color="000000" w:sz="12" w:space="0"/>
            </w:tcBorders>
            <w:vAlign w:val="center"/>
          </w:tcPr>
          <w:p w14:paraId="33EA5DC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rPr>
            </w:pPr>
            <w:r>
              <w:rPr>
                <w:rFonts w:hint="eastAsia"/>
                <w:b/>
                <w:kern w:val="0"/>
                <w:sz w:val="18"/>
                <w:szCs w:val="18"/>
              </w:rPr>
              <w:t>二级指标</w:t>
            </w:r>
          </w:p>
        </w:tc>
        <w:tc>
          <w:tcPr>
            <w:tcW w:w="2178" w:type="dxa"/>
            <w:tcBorders>
              <w:bottom w:val="single" w:color="000000" w:sz="12" w:space="0"/>
            </w:tcBorders>
            <w:vAlign w:val="center"/>
          </w:tcPr>
          <w:p w14:paraId="411D600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rPr>
            </w:pPr>
            <w:r>
              <w:rPr>
                <w:rFonts w:hint="eastAsia"/>
                <w:b/>
                <w:kern w:val="0"/>
                <w:sz w:val="18"/>
                <w:szCs w:val="18"/>
              </w:rPr>
              <w:t>三级指标</w:t>
            </w:r>
          </w:p>
        </w:tc>
        <w:tc>
          <w:tcPr>
            <w:tcW w:w="1417" w:type="dxa"/>
            <w:tcBorders>
              <w:bottom w:val="single" w:color="000000" w:sz="12" w:space="0"/>
            </w:tcBorders>
            <w:vAlign w:val="center"/>
          </w:tcPr>
          <w:p w14:paraId="1EF9F59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rPr>
            </w:pPr>
            <w:r>
              <w:rPr>
                <w:rFonts w:hint="eastAsia"/>
                <w:b/>
                <w:kern w:val="0"/>
                <w:sz w:val="18"/>
                <w:szCs w:val="18"/>
              </w:rPr>
              <w:t>分值（分）</w:t>
            </w:r>
          </w:p>
        </w:tc>
        <w:tc>
          <w:tcPr>
            <w:tcW w:w="1604" w:type="dxa"/>
            <w:tcBorders>
              <w:bottom w:val="single" w:color="000000" w:sz="12" w:space="0"/>
            </w:tcBorders>
            <w:vAlign w:val="center"/>
          </w:tcPr>
          <w:p w14:paraId="764F5DC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rPr>
            </w:pPr>
            <w:r>
              <w:rPr>
                <w:rFonts w:hint="eastAsia"/>
                <w:b/>
                <w:kern w:val="0"/>
                <w:sz w:val="18"/>
                <w:szCs w:val="18"/>
              </w:rPr>
              <w:t>评价得分（分）</w:t>
            </w:r>
          </w:p>
        </w:tc>
        <w:tc>
          <w:tcPr>
            <w:tcW w:w="1733" w:type="dxa"/>
            <w:tcBorders>
              <w:bottom w:val="single" w:color="000000" w:sz="12" w:space="0"/>
            </w:tcBorders>
            <w:vAlign w:val="center"/>
          </w:tcPr>
          <w:p w14:paraId="5DCE40E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rPr>
            </w:pPr>
            <w:r>
              <w:rPr>
                <w:rFonts w:hint="eastAsia"/>
                <w:b/>
                <w:kern w:val="0"/>
                <w:sz w:val="18"/>
                <w:szCs w:val="18"/>
              </w:rPr>
              <w:t>佐证材料备注</w:t>
            </w:r>
            <w:r>
              <w:rPr>
                <w:rFonts w:hint="eastAsia" w:ascii="宋体" w:hAnsi="宋体" w:cs="宋体"/>
                <w:bCs/>
                <w:kern w:val="0"/>
                <w:sz w:val="18"/>
                <w:szCs w:val="18"/>
                <w:vertAlign w:val="superscript"/>
              </w:rPr>
              <w:t>a</w:t>
            </w:r>
          </w:p>
        </w:tc>
      </w:tr>
      <w:tr w14:paraId="440165D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93" w:type="dxa"/>
            <w:vMerge w:val="restart"/>
            <w:tcBorders>
              <w:top w:val="single" w:color="000000" w:sz="12" w:space="0"/>
              <w:tl2br w:val="nil"/>
              <w:tr2bl w:val="nil"/>
            </w:tcBorders>
            <w:vAlign w:val="center"/>
          </w:tcPr>
          <w:p w14:paraId="6625950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技术表现</w:t>
            </w:r>
          </w:p>
        </w:tc>
        <w:tc>
          <w:tcPr>
            <w:tcW w:w="1434" w:type="dxa"/>
            <w:vMerge w:val="restart"/>
            <w:tcBorders>
              <w:top w:val="single" w:color="000000" w:sz="12" w:space="0"/>
              <w:tl2br w:val="nil"/>
              <w:tr2bl w:val="nil"/>
            </w:tcBorders>
            <w:vAlign w:val="center"/>
          </w:tcPr>
          <w:p w14:paraId="4AD3A6A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先进性</w:t>
            </w:r>
          </w:p>
        </w:tc>
        <w:tc>
          <w:tcPr>
            <w:tcW w:w="2178" w:type="dxa"/>
            <w:tcBorders>
              <w:top w:val="single" w:color="000000" w:sz="12" w:space="0"/>
              <w:tl2br w:val="nil"/>
              <w:tr2bl w:val="nil"/>
            </w:tcBorders>
            <w:vAlign w:val="center"/>
          </w:tcPr>
          <w:p w14:paraId="34AE3954">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有效知识产权</w:t>
            </w:r>
          </w:p>
        </w:tc>
        <w:tc>
          <w:tcPr>
            <w:tcW w:w="1417" w:type="dxa"/>
            <w:tcBorders>
              <w:top w:val="single" w:color="000000" w:sz="12" w:space="0"/>
              <w:tl2br w:val="nil"/>
              <w:tr2bl w:val="nil"/>
            </w:tcBorders>
            <w:vAlign w:val="center"/>
          </w:tcPr>
          <w:p w14:paraId="1ADA165F">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rPr>
            </w:pPr>
            <w:r>
              <w:rPr>
                <w:rFonts w:hint="eastAsia" w:ascii="宋体" w:hAnsi="宋体" w:cs="宋体"/>
                <w:color w:val="000000"/>
                <w:kern w:val="0"/>
                <w:sz w:val="18"/>
                <w:szCs w:val="18"/>
                <w:lang w:bidi="ar"/>
              </w:rPr>
              <w:t>4</w:t>
            </w:r>
          </w:p>
        </w:tc>
        <w:tc>
          <w:tcPr>
            <w:tcW w:w="1604" w:type="dxa"/>
            <w:tcBorders>
              <w:top w:val="single" w:color="000000" w:sz="12" w:space="0"/>
              <w:tl2br w:val="nil"/>
              <w:tr2bl w:val="nil"/>
            </w:tcBorders>
            <w:vAlign w:val="center"/>
          </w:tcPr>
          <w:p w14:paraId="3B98FF9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733" w:type="dxa"/>
            <w:tcBorders>
              <w:top w:val="single" w:color="000000" w:sz="12" w:space="0"/>
              <w:tl2br w:val="nil"/>
              <w:tr2bl w:val="nil"/>
            </w:tcBorders>
            <w:vAlign w:val="center"/>
          </w:tcPr>
          <w:p w14:paraId="7792563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r>
      <w:tr w14:paraId="0C7F54C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93" w:type="dxa"/>
            <w:vMerge w:val="continue"/>
            <w:tcBorders>
              <w:tl2br w:val="nil"/>
              <w:tr2bl w:val="nil"/>
            </w:tcBorders>
            <w:vAlign w:val="center"/>
          </w:tcPr>
          <w:p w14:paraId="04AC293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434" w:type="dxa"/>
            <w:vMerge w:val="continue"/>
            <w:tcBorders>
              <w:tl2br w:val="nil"/>
              <w:tr2bl w:val="nil"/>
            </w:tcBorders>
            <w:vAlign w:val="center"/>
          </w:tcPr>
          <w:p w14:paraId="5BB518F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2178" w:type="dxa"/>
            <w:tcBorders>
              <w:tl2br w:val="nil"/>
              <w:tr2bl w:val="nil"/>
            </w:tcBorders>
            <w:vAlign w:val="center"/>
          </w:tcPr>
          <w:p w14:paraId="4D8B7F3E">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制修订标准</w:t>
            </w:r>
          </w:p>
        </w:tc>
        <w:tc>
          <w:tcPr>
            <w:tcW w:w="1417" w:type="dxa"/>
            <w:tcBorders>
              <w:tl2br w:val="nil"/>
              <w:tr2bl w:val="nil"/>
            </w:tcBorders>
            <w:vAlign w:val="center"/>
          </w:tcPr>
          <w:p w14:paraId="7B9D3A3F">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rPr>
            </w:pPr>
            <w:r>
              <w:rPr>
                <w:rFonts w:hint="default" w:ascii="宋体" w:hAnsi="宋体" w:cs="宋体"/>
                <w:color w:val="000000"/>
                <w:kern w:val="0"/>
                <w:sz w:val="18"/>
                <w:szCs w:val="18"/>
                <w:lang w:bidi="ar"/>
              </w:rPr>
              <w:t>4</w:t>
            </w:r>
          </w:p>
        </w:tc>
        <w:tc>
          <w:tcPr>
            <w:tcW w:w="1604" w:type="dxa"/>
            <w:tcBorders>
              <w:tl2br w:val="nil"/>
              <w:tr2bl w:val="nil"/>
            </w:tcBorders>
            <w:vAlign w:val="center"/>
          </w:tcPr>
          <w:p w14:paraId="59D0831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733" w:type="dxa"/>
            <w:tcBorders>
              <w:tl2br w:val="nil"/>
              <w:tr2bl w:val="nil"/>
            </w:tcBorders>
            <w:vAlign w:val="center"/>
          </w:tcPr>
          <w:p w14:paraId="2F41DB1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r>
      <w:tr w14:paraId="04AA34E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93" w:type="dxa"/>
            <w:vMerge w:val="continue"/>
            <w:tcBorders>
              <w:tl2br w:val="nil"/>
              <w:tr2bl w:val="nil"/>
            </w:tcBorders>
            <w:vAlign w:val="center"/>
          </w:tcPr>
          <w:p w14:paraId="0BE52CF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434" w:type="dxa"/>
            <w:vMerge w:val="continue"/>
            <w:tcBorders>
              <w:tl2br w:val="nil"/>
              <w:tr2bl w:val="nil"/>
            </w:tcBorders>
            <w:vAlign w:val="center"/>
          </w:tcPr>
          <w:p w14:paraId="71F9E5A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2178" w:type="dxa"/>
            <w:tcBorders>
              <w:tl2br w:val="nil"/>
              <w:tr2bl w:val="nil"/>
            </w:tcBorders>
            <w:vAlign w:val="center"/>
          </w:tcPr>
          <w:p w14:paraId="1AED0CAB">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关键技术先进性</w:t>
            </w:r>
          </w:p>
        </w:tc>
        <w:tc>
          <w:tcPr>
            <w:tcW w:w="1417" w:type="dxa"/>
            <w:tcBorders>
              <w:tl2br w:val="nil"/>
              <w:tr2bl w:val="nil"/>
            </w:tcBorders>
            <w:vAlign w:val="center"/>
          </w:tcPr>
          <w:p w14:paraId="130BC87A">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rPr>
            </w:pPr>
            <w:r>
              <w:rPr>
                <w:rFonts w:hint="default" w:ascii="宋体" w:hAnsi="宋体" w:cs="宋体"/>
                <w:color w:val="000000"/>
                <w:kern w:val="0"/>
                <w:sz w:val="18"/>
                <w:szCs w:val="18"/>
                <w:lang w:bidi="ar"/>
              </w:rPr>
              <w:t>15</w:t>
            </w:r>
          </w:p>
        </w:tc>
        <w:tc>
          <w:tcPr>
            <w:tcW w:w="1604" w:type="dxa"/>
            <w:tcBorders>
              <w:tl2br w:val="nil"/>
              <w:tr2bl w:val="nil"/>
            </w:tcBorders>
            <w:vAlign w:val="center"/>
          </w:tcPr>
          <w:p w14:paraId="4616A75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733" w:type="dxa"/>
            <w:tcBorders>
              <w:tl2br w:val="nil"/>
              <w:tr2bl w:val="nil"/>
            </w:tcBorders>
            <w:vAlign w:val="center"/>
          </w:tcPr>
          <w:p w14:paraId="6E1DB4B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r>
      <w:tr w14:paraId="3C8BF9C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93" w:type="dxa"/>
            <w:vMerge w:val="continue"/>
            <w:tcBorders>
              <w:tl2br w:val="nil"/>
              <w:tr2bl w:val="nil"/>
            </w:tcBorders>
            <w:vAlign w:val="center"/>
          </w:tcPr>
          <w:p w14:paraId="10BC881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3612" w:type="dxa"/>
            <w:gridSpan w:val="2"/>
            <w:tcBorders>
              <w:tl2br w:val="nil"/>
              <w:tr2bl w:val="nil"/>
            </w:tcBorders>
            <w:vAlign w:val="center"/>
          </w:tcPr>
          <w:p w14:paraId="4C09B17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rPr>
            </w:pPr>
            <w:r>
              <w:rPr>
                <w:rFonts w:hint="eastAsia" w:ascii="宋体" w:hAnsi="宋体" w:cs="宋体"/>
                <w:kern w:val="0"/>
                <w:sz w:val="18"/>
                <w:szCs w:val="18"/>
              </w:rPr>
              <w:t>环境效益</w:t>
            </w:r>
          </w:p>
        </w:tc>
        <w:tc>
          <w:tcPr>
            <w:tcW w:w="1417" w:type="dxa"/>
            <w:tcBorders>
              <w:tl2br w:val="nil"/>
              <w:tr2bl w:val="nil"/>
            </w:tcBorders>
            <w:vAlign w:val="center"/>
          </w:tcPr>
          <w:p w14:paraId="2AEA0E6E">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rPr>
            </w:pPr>
            <w:r>
              <w:rPr>
                <w:rFonts w:hint="eastAsia" w:ascii="宋体" w:hAnsi="宋体" w:cs="宋体"/>
                <w:color w:val="000000"/>
                <w:kern w:val="0"/>
                <w:sz w:val="18"/>
                <w:szCs w:val="18"/>
                <w:lang w:bidi="ar"/>
              </w:rPr>
              <w:t>5</w:t>
            </w:r>
          </w:p>
        </w:tc>
        <w:tc>
          <w:tcPr>
            <w:tcW w:w="1604" w:type="dxa"/>
            <w:tcBorders>
              <w:tl2br w:val="nil"/>
              <w:tr2bl w:val="nil"/>
            </w:tcBorders>
            <w:vAlign w:val="center"/>
          </w:tcPr>
          <w:p w14:paraId="7038508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733" w:type="dxa"/>
            <w:tcBorders>
              <w:tl2br w:val="nil"/>
              <w:tr2bl w:val="nil"/>
            </w:tcBorders>
            <w:vAlign w:val="center"/>
          </w:tcPr>
          <w:p w14:paraId="3B76183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r>
      <w:tr w14:paraId="33D44C9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93" w:type="dxa"/>
            <w:vMerge w:val="restart"/>
            <w:tcBorders>
              <w:tl2br w:val="nil"/>
              <w:tr2bl w:val="nil"/>
            </w:tcBorders>
            <w:vAlign w:val="center"/>
          </w:tcPr>
          <w:p w14:paraId="60FA348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业务表现</w:t>
            </w:r>
          </w:p>
        </w:tc>
        <w:tc>
          <w:tcPr>
            <w:tcW w:w="1434" w:type="dxa"/>
            <w:vMerge w:val="restart"/>
            <w:tcBorders>
              <w:tl2br w:val="nil"/>
              <w:tr2bl w:val="nil"/>
            </w:tcBorders>
            <w:vAlign w:val="center"/>
          </w:tcPr>
          <w:p w14:paraId="79BE658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发展能力</w:t>
            </w:r>
          </w:p>
        </w:tc>
        <w:tc>
          <w:tcPr>
            <w:tcW w:w="2178" w:type="dxa"/>
            <w:tcBorders>
              <w:tl2br w:val="nil"/>
              <w:tr2bl w:val="nil"/>
            </w:tcBorders>
            <w:vAlign w:val="center"/>
          </w:tcPr>
          <w:p w14:paraId="1849CC41">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团队技术实力</w:t>
            </w:r>
          </w:p>
        </w:tc>
        <w:tc>
          <w:tcPr>
            <w:tcW w:w="1417" w:type="dxa"/>
            <w:tcBorders>
              <w:tl2br w:val="nil"/>
              <w:tr2bl w:val="nil"/>
            </w:tcBorders>
            <w:vAlign w:val="center"/>
          </w:tcPr>
          <w:p w14:paraId="622D95C7">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rPr>
            </w:pPr>
            <w:r>
              <w:rPr>
                <w:rFonts w:hint="eastAsia" w:ascii="宋体" w:hAnsi="宋体" w:cs="宋体"/>
                <w:color w:val="000000"/>
                <w:kern w:val="0"/>
                <w:sz w:val="18"/>
                <w:szCs w:val="18"/>
                <w:lang w:bidi="ar"/>
              </w:rPr>
              <w:t>15</w:t>
            </w:r>
          </w:p>
        </w:tc>
        <w:tc>
          <w:tcPr>
            <w:tcW w:w="1604" w:type="dxa"/>
            <w:tcBorders>
              <w:tl2br w:val="nil"/>
              <w:tr2bl w:val="nil"/>
            </w:tcBorders>
            <w:vAlign w:val="center"/>
          </w:tcPr>
          <w:p w14:paraId="09D7EE0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733" w:type="dxa"/>
            <w:tcBorders>
              <w:tl2br w:val="nil"/>
              <w:tr2bl w:val="nil"/>
            </w:tcBorders>
            <w:vAlign w:val="center"/>
          </w:tcPr>
          <w:p w14:paraId="3BD34A4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r>
      <w:tr w14:paraId="656D01B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93" w:type="dxa"/>
            <w:vMerge w:val="continue"/>
            <w:tcBorders>
              <w:tl2br w:val="nil"/>
              <w:tr2bl w:val="nil"/>
            </w:tcBorders>
            <w:vAlign w:val="center"/>
          </w:tcPr>
          <w:p w14:paraId="728A564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434" w:type="dxa"/>
            <w:vMerge w:val="continue"/>
            <w:tcBorders>
              <w:tl2br w:val="nil"/>
              <w:tr2bl w:val="nil"/>
            </w:tcBorders>
            <w:vAlign w:val="center"/>
          </w:tcPr>
          <w:p w14:paraId="401CC87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2178" w:type="dxa"/>
            <w:tcBorders>
              <w:tl2br w:val="nil"/>
              <w:tr2bl w:val="nil"/>
            </w:tcBorders>
            <w:vAlign w:val="center"/>
          </w:tcPr>
          <w:p w14:paraId="2B42918F">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研发投入</w:t>
            </w:r>
          </w:p>
        </w:tc>
        <w:tc>
          <w:tcPr>
            <w:tcW w:w="1417" w:type="dxa"/>
            <w:tcBorders>
              <w:tl2br w:val="nil"/>
              <w:tr2bl w:val="nil"/>
            </w:tcBorders>
            <w:vAlign w:val="center"/>
          </w:tcPr>
          <w:p w14:paraId="33D6F41D">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rPr>
            </w:pPr>
            <w:r>
              <w:rPr>
                <w:rFonts w:hint="eastAsia" w:ascii="宋体" w:hAnsi="宋体" w:cs="宋体"/>
                <w:color w:val="000000"/>
                <w:kern w:val="0"/>
                <w:sz w:val="18"/>
                <w:szCs w:val="18"/>
                <w:lang w:bidi="ar"/>
              </w:rPr>
              <w:t>3</w:t>
            </w:r>
          </w:p>
        </w:tc>
        <w:tc>
          <w:tcPr>
            <w:tcW w:w="1604" w:type="dxa"/>
            <w:tcBorders>
              <w:tl2br w:val="nil"/>
              <w:tr2bl w:val="nil"/>
            </w:tcBorders>
            <w:vAlign w:val="center"/>
          </w:tcPr>
          <w:p w14:paraId="585FDC3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733" w:type="dxa"/>
            <w:tcBorders>
              <w:tl2br w:val="nil"/>
              <w:tr2bl w:val="nil"/>
            </w:tcBorders>
            <w:vAlign w:val="center"/>
          </w:tcPr>
          <w:p w14:paraId="7090287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r>
      <w:tr w14:paraId="02600EC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93" w:type="dxa"/>
            <w:vMerge w:val="continue"/>
            <w:tcBorders>
              <w:tl2br w:val="nil"/>
              <w:tr2bl w:val="nil"/>
            </w:tcBorders>
            <w:vAlign w:val="center"/>
          </w:tcPr>
          <w:p w14:paraId="21E7DB5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434" w:type="dxa"/>
            <w:vMerge w:val="continue"/>
            <w:tcBorders>
              <w:tl2br w:val="nil"/>
              <w:tr2bl w:val="nil"/>
            </w:tcBorders>
            <w:vAlign w:val="center"/>
          </w:tcPr>
          <w:p w14:paraId="56D771B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2178" w:type="dxa"/>
            <w:tcBorders>
              <w:tl2br w:val="nil"/>
              <w:tr2bl w:val="nil"/>
            </w:tcBorders>
            <w:vAlign w:val="center"/>
          </w:tcPr>
          <w:p w14:paraId="2232B87A">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运营效益水平</w:t>
            </w:r>
          </w:p>
        </w:tc>
        <w:tc>
          <w:tcPr>
            <w:tcW w:w="1417" w:type="dxa"/>
            <w:tcBorders>
              <w:tl2br w:val="nil"/>
              <w:tr2bl w:val="nil"/>
            </w:tcBorders>
            <w:vAlign w:val="center"/>
          </w:tcPr>
          <w:p w14:paraId="0EDBD3E0">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rPr>
            </w:pPr>
            <w:r>
              <w:rPr>
                <w:rFonts w:hint="eastAsia" w:ascii="宋体" w:hAnsi="宋体" w:cs="宋体"/>
                <w:color w:val="000000"/>
                <w:kern w:val="0"/>
                <w:sz w:val="18"/>
                <w:szCs w:val="18"/>
                <w:lang w:bidi="ar"/>
              </w:rPr>
              <w:t>4</w:t>
            </w:r>
          </w:p>
        </w:tc>
        <w:tc>
          <w:tcPr>
            <w:tcW w:w="1604" w:type="dxa"/>
            <w:tcBorders>
              <w:tl2br w:val="nil"/>
              <w:tr2bl w:val="nil"/>
            </w:tcBorders>
            <w:vAlign w:val="center"/>
          </w:tcPr>
          <w:p w14:paraId="225BEAA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733" w:type="dxa"/>
            <w:tcBorders>
              <w:tl2br w:val="nil"/>
              <w:tr2bl w:val="nil"/>
            </w:tcBorders>
            <w:vAlign w:val="center"/>
          </w:tcPr>
          <w:p w14:paraId="3B45DDF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r>
      <w:tr w14:paraId="4E0D6CF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93" w:type="dxa"/>
            <w:vMerge w:val="continue"/>
            <w:tcBorders>
              <w:tl2br w:val="nil"/>
              <w:tr2bl w:val="nil"/>
            </w:tcBorders>
            <w:vAlign w:val="center"/>
          </w:tcPr>
          <w:p w14:paraId="3A24239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434" w:type="dxa"/>
            <w:vMerge w:val="restart"/>
            <w:tcBorders>
              <w:tl2br w:val="nil"/>
              <w:tr2bl w:val="nil"/>
            </w:tcBorders>
            <w:vAlign w:val="center"/>
          </w:tcPr>
          <w:p w14:paraId="17771BC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市场影响</w:t>
            </w:r>
          </w:p>
        </w:tc>
        <w:tc>
          <w:tcPr>
            <w:tcW w:w="2178" w:type="dxa"/>
            <w:tcBorders>
              <w:tl2br w:val="nil"/>
              <w:tr2bl w:val="nil"/>
            </w:tcBorders>
            <w:vAlign w:val="center"/>
          </w:tcPr>
          <w:p w14:paraId="4F714E53">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市场竞争力</w:t>
            </w:r>
          </w:p>
        </w:tc>
        <w:tc>
          <w:tcPr>
            <w:tcW w:w="1417" w:type="dxa"/>
            <w:tcBorders>
              <w:tl2br w:val="nil"/>
              <w:tr2bl w:val="nil"/>
            </w:tcBorders>
            <w:vAlign w:val="center"/>
          </w:tcPr>
          <w:p w14:paraId="48D6A65C">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rPr>
            </w:pPr>
            <w:r>
              <w:rPr>
                <w:rFonts w:hint="default" w:ascii="宋体" w:hAnsi="宋体" w:cs="宋体"/>
                <w:color w:val="000000"/>
                <w:kern w:val="0"/>
                <w:sz w:val="18"/>
                <w:szCs w:val="18"/>
                <w:lang w:bidi="ar"/>
              </w:rPr>
              <w:t>12</w:t>
            </w:r>
          </w:p>
        </w:tc>
        <w:tc>
          <w:tcPr>
            <w:tcW w:w="1604" w:type="dxa"/>
            <w:tcBorders>
              <w:tl2br w:val="nil"/>
              <w:tr2bl w:val="nil"/>
            </w:tcBorders>
            <w:vAlign w:val="center"/>
          </w:tcPr>
          <w:p w14:paraId="6DB8F9F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733" w:type="dxa"/>
            <w:tcBorders>
              <w:tl2br w:val="nil"/>
              <w:tr2bl w:val="nil"/>
            </w:tcBorders>
            <w:vAlign w:val="center"/>
          </w:tcPr>
          <w:p w14:paraId="6C59DA0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r>
      <w:tr w14:paraId="29DB5A4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93" w:type="dxa"/>
            <w:vMerge w:val="continue"/>
            <w:tcBorders>
              <w:tl2br w:val="nil"/>
              <w:tr2bl w:val="nil"/>
            </w:tcBorders>
            <w:vAlign w:val="center"/>
          </w:tcPr>
          <w:p w14:paraId="7419613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434" w:type="dxa"/>
            <w:vMerge w:val="continue"/>
            <w:tcBorders>
              <w:tl2br w:val="nil"/>
              <w:tr2bl w:val="nil"/>
            </w:tcBorders>
            <w:vAlign w:val="center"/>
          </w:tcPr>
          <w:p w14:paraId="0CB485D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2178" w:type="dxa"/>
            <w:tcBorders>
              <w:tl2br w:val="nil"/>
              <w:tr2bl w:val="nil"/>
            </w:tcBorders>
            <w:vAlign w:val="center"/>
          </w:tcPr>
          <w:p w14:paraId="047FDFA1">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产业影响力</w:t>
            </w:r>
          </w:p>
        </w:tc>
        <w:tc>
          <w:tcPr>
            <w:tcW w:w="1417" w:type="dxa"/>
            <w:tcBorders>
              <w:tl2br w:val="nil"/>
              <w:tr2bl w:val="nil"/>
            </w:tcBorders>
            <w:vAlign w:val="center"/>
          </w:tcPr>
          <w:p w14:paraId="38B2D863">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rPr>
            </w:pPr>
            <w:r>
              <w:rPr>
                <w:rFonts w:hint="default" w:ascii="宋体" w:hAnsi="宋体" w:cs="宋体"/>
                <w:color w:val="000000"/>
                <w:kern w:val="0"/>
                <w:sz w:val="18"/>
                <w:szCs w:val="18"/>
                <w:lang w:bidi="ar"/>
              </w:rPr>
              <w:t>7</w:t>
            </w:r>
          </w:p>
        </w:tc>
        <w:tc>
          <w:tcPr>
            <w:tcW w:w="1604" w:type="dxa"/>
            <w:tcBorders>
              <w:tl2br w:val="nil"/>
              <w:tr2bl w:val="nil"/>
            </w:tcBorders>
            <w:vAlign w:val="center"/>
          </w:tcPr>
          <w:p w14:paraId="402430F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733" w:type="dxa"/>
            <w:tcBorders>
              <w:tl2br w:val="nil"/>
              <w:tr2bl w:val="nil"/>
            </w:tcBorders>
            <w:vAlign w:val="center"/>
          </w:tcPr>
          <w:p w14:paraId="47768BB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r>
      <w:tr w14:paraId="7C81865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93" w:type="dxa"/>
            <w:vMerge w:val="continue"/>
            <w:tcBorders>
              <w:tl2br w:val="nil"/>
              <w:tr2bl w:val="nil"/>
            </w:tcBorders>
            <w:vAlign w:val="center"/>
          </w:tcPr>
          <w:p w14:paraId="5F232B5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434" w:type="dxa"/>
            <w:vMerge w:val="continue"/>
            <w:tcBorders>
              <w:tl2br w:val="nil"/>
              <w:tr2bl w:val="nil"/>
            </w:tcBorders>
            <w:vAlign w:val="center"/>
          </w:tcPr>
          <w:p w14:paraId="634352E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2178" w:type="dxa"/>
            <w:tcBorders>
              <w:tl2br w:val="nil"/>
              <w:tr2bl w:val="nil"/>
            </w:tcBorders>
            <w:vAlign w:val="center"/>
          </w:tcPr>
          <w:p w14:paraId="28CFF94E">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行业资质荣誉</w:t>
            </w:r>
          </w:p>
        </w:tc>
        <w:tc>
          <w:tcPr>
            <w:tcW w:w="1417" w:type="dxa"/>
            <w:tcBorders>
              <w:tl2br w:val="nil"/>
              <w:tr2bl w:val="nil"/>
            </w:tcBorders>
            <w:vAlign w:val="center"/>
          </w:tcPr>
          <w:p w14:paraId="4D9BDE35">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rPr>
            </w:pPr>
            <w:r>
              <w:rPr>
                <w:rFonts w:hint="default" w:ascii="宋体" w:hAnsi="宋体" w:cs="宋体"/>
                <w:color w:val="000000"/>
                <w:kern w:val="0"/>
                <w:sz w:val="18"/>
                <w:szCs w:val="18"/>
                <w:lang w:bidi="ar"/>
              </w:rPr>
              <w:t>5</w:t>
            </w:r>
          </w:p>
        </w:tc>
        <w:tc>
          <w:tcPr>
            <w:tcW w:w="1604" w:type="dxa"/>
            <w:tcBorders>
              <w:tl2br w:val="nil"/>
              <w:tr2bl w:val="nil"/>
            </w:tcBorders>
            <w:vAlign w:val="center"/>
          </w:tcPr>
          <w:p w14:paraId="6FA86BE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733" w:type="dxa"/>
            <w:tcBorders>
              <w:tl2br w:val="nil"/>
              <w:tr2bl w:val="nil"/>
            </w:tcBorders>
            <w:vAlign w:val="center"/>
          </w:tcPr>
          <w:p w14:paraId="2B41205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r>
      <w:tr w14:paraId="5D5D5D9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93" w:type="dxa"/>
            <w:vMerge w:val="continue"/>
            <w:tcBorders>
              <w:tl2br w:val="nil"/>
              <w:tr2bl w:val="nil"/>
            </w:tcBorders>
            <w:vAlign w:val="center"/>
          </w:tcPr>
          <w:p w14:paraId="100B72F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434" w:type="dxa"/>
            <w:vMerge w:val="continue"/>
            <w:tcBorders>
              <w:tl2br w:val="nil"/>
              <w:tr2bl w:val="nil"/>
            </w:tcBorders>
            <w:vAlign w:val="center"/>
          </w:tcPr>
          <w:p w14:paraId="2245A8B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2178" w:type="dxa"/>
            <w:tcBorders>
              <w:tl2br w:val="nil"/>
              <w:tr2bl w:val="nil"/>
            </w:tcBorders>
            <w:vAlign w:val="center"/>
          </w:tcPr>
          <w:p w14:paraId="65668FE1">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客户满意度</w:t>
            </w:r>
          </w:p>
        </w:tc>
        <w:tc>
          <w:tcPr>
            <w:tcW w:w="1417" w:type="dxa"/>
            <w:tcBorders>
              <w:tl2br w:val="nil"/>
              <w:tr2bl w:val="nil"/>
            </w:tcBorders>
            <w:vAlign w:val="center"/>
          </w:tcPr>
          <w:p w14:paraId="2AAAA04D">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lang w:bidi="ar"/>
              </w:rPr>
            </w:pPr>
            <w:r>
              <w:rPr>
                <w:rFonts w:hint="default" w:ascii="宋体" w:hAnsi="宋体" w:cs="宋体"/>
                <w:color w:val="000000"/>
                <w:kern w:val="0"/>
                <w:sz w:val="18"/>
                <w:szCs w:val="18"/>
                <w:lang w:bidi="ar"/>
              </w:rPr>
              <w:t>8</w:t>
            </w:r>
          </w:p>
        </w:tc>
        <w:tc>
          <w:tcPr>
            <w:tcW w:w="1604" w:type="dxa"/>
            <w:tcBorders>
              <w:tl2br w:val="nil"/>
              <w:tr2bl w:val="nil"/>
            </w:tcBorders>
            <w:vAlign w:val="center"/>
          </w:tcPr>
          <w:p w14:paraId="6ED4839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733" w:type="dxa"/>
            <w:tcBorders>
              <w:tl2br w:val="nil"/>
              <w:tr2bl w:val="nil"/>
            </w:tcBorders>
            <w:vAlign w:val="center"/>
          </w:tcPr>
          <w:p w14:paraId="69C8F49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r>
      <w:tr w14:paraId="2F98387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93" w:type="dxa"/>
            <w:vMerge w:val="restart"/>
            <w:tcBorders>
              <w:tl2br w:val="nil"/>
              <w:tr2bl w:val="nil"/>
            </w:tcBorders>
            <w:vAlign w:val="center"/>
          </w:tcPr>
          <w:p w14:paraId="61DC3DE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社会表现</w:t>
            </w:r>
          </w:p>
        </w:tc>
        <w:tc>
          <w:tcPr>
            <w:tcW w:w="1434" w:type="dxa"/>
            <w:vMerge w:val="restart"/>
            <w:tcBorders>
              <w:tl2br w:val="nil"/>
              <w:tr2bl w:val="nil"/>
            </w:tcBorders>
            <w:vAlign w:val="center"/>
          </w:tcPr>
          <w:p w14:paraId="59407F4B">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内部行动</w:t>
            </w:r>
          </w:p>
        </w:tc>
        <w:tc>
          <w:tcPr>
            <w:tcW w:w="2178" w:type="dxa"/>
            <w:tcBorders>
              <w:tl2br w:val="nil"/>
              <w:tr2bl w:val="nil"/>
            </w:tcBorders>
            <w:vAlign w:val="center"/>
          </w:tcPr>
          <w:p w14:paraId="1A60440E">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绿色行动</w:t>
            </w:r>
          </w:p>
        </w:tc>
        <w:tc>
          <w:tcPr>
            <w:tcW w:w="1417" w:type="dxa"/>
            <w:tcBorders>
              <w:tl2br w:val="nil"/>
              <w:tr2bl w:val="nil"/>
            </w:tcBorders>
            <w:vAlign w:val="center"/>
          </w:tcPr>
          <w:p w14:paraId="7A1F7E76">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rPr>
            </w:pPr>
            <w:r>
              <w:rPr>
                <w:rFonts w:hint="default" w:ascii="宋体" w:hAnsi="宋体" w:cs="宋体"/>
                <w:color w:val="000000"/>
                <w:kern w:val="0"/>
                <w:sz w:val="18"/>
                <w:szCs w:val="18"/>
                <w:lang w:bidi="ar"/>
              </w:rPr>
              <w:t>4</w:t>
            </w:r>
          </w:p>
        </w:tc>
        <w:tc>
          <w:tcPr>
            <w:tcW w:w="1604" w:type="dxa"/>
            <w:tcBorders>
              <w:tl2br w:val="nil"/>
              <w:tr2bl w:val="nil"/>
            </w:tcBorders>
            <w:vAlign w:val="center"/>
          </w:tcPr>
          <w:p w14:paraId="2543699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733" w:type="dxa"/>
            <w:tcBorders>
              <w:tl2br w:val="nil"/>
              <w:tr2bl w:val="nil"/>
            </w:tcBorders>
            <w:vAlign w:val="center"/>
          </w:tcPr>
          <w:p w14:paraId="2637392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r>
      <w:tr w14:paraId="36F77F6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93" w:type="dxa"/>
            <w:vMerge w:val="continue"/>
            <w:tcBorders>
              <w:tl2br w:val="nil"/>
              <w:tr2bl w:val="nil"/>
            </w:tcBorders>
            <w:vAlign w:val="center"/>
          </w:tcPr>
          <w:p w14:paraId="044F053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434" w:type="dxa"/>
            <w:vMerge w:val="continue"/>
            <w:tcBorders>
              <w:tl2br w:val="nil"/>
              <w:tr2bl w:val="nil"/>
            </w:tcBorders>
            <w:vAlign w:val="center"/>
          </w:tcPr>
          <w:p w14:paraId="668702DD">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p>
        </w:tc>
        <w:tc>
          <w:tcPr>
            <w:tcW w:w="2178" w:type="dxa"/>
            <w:tcBorders>
              <w:tl2br w:val="nil"/>
              <w:tr2bl w:val="nil"/>
            </w:tcBorders>
            <w:vAlign w:val="center"/>
          </w:tcPr>
          <w:p w14:paraId="6485BEDC">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制度建设</w:t>
            </w:r>
          </w:p>
        </w:tc>
        <w:tc>
          <w:tcPr>
            <w:tcW w:w="1417" w:type="dxa"/>
            <w:tcBorders>
              <w:tl2br w:val="nil"/>
              <w:tr2bl w:val="nil"/>
            </w:tcBorders>
            <w:vAlign w:val="center"/>
          </w:tcPr>
          <w:p w14:paraId="79F7F14F">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lang w:bidi="ar"/>
              </w:rPr>
            </w:pPr>
            <w:r>
              <w:rPr>
                <w:rFonts w:hint="eastAsia" w:ascii="宋体" w:hAnsi="宋体" w:cs="宋体"/>
                <w:color w:val="000000"/>
                <w:kern w:val="0"/>
                <w:sz w:val="18"/>
                <w:szCs w:val="18"/>
                <w:lang w:bidi="ar"/>
              </w:rPr>
              <w:t>2</w:t>
            </w:r>
          </w:p>
        </w:tc>
        <w:tc>
          <w:tcPr>
            <w:tcW w:w="1604" w:type="dxa"/>
            <w:tcBorders>
              <w:tl2br w:val="nil"/>
              <w:tr2bl w:val="nil"/>
            </w:tcBorders>
            <w:vAlign w:val="center"/>
          </w:tcPr>
          <w:p w14:paraId="37F1596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733" w:type="dxa"/>
            <w:tcBorders>
              <w:tl2br w:val="nil"/>
              <w:tr2bl w:val="nil"/>
            </w:tcBorders>
            <w:vAlign w:val="center"/>
          </w:tcPr>
          <w:p w14:paraId="40FFF8C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r>
      <w:tr w14:paraId="3C603BE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93" w:type="dxa"/>
            <w:vMerge w:val="continue"/>
            <w:tcBorders>
              <w:tl2br w:val="nil"/>
              <w:tr2bl w:val="nil"/>
            </w:tcBorders>
            <w:vAlign w:val="center"/>
          </w:tcPr>
          <w:p w14:paraId="7A99F18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434" w:type="dxa"/>
            <w:vMerge w:val="continue"/>
            <w:tcBorders>
              <w:tl2br w:val="nil"/>
              <w:tr2bl w:val="nil"/>
            </w:tcBorders>
            <w:vAlign w:val="center"/>
          </w:tcPr>
          <w:p w14:paraId="7ED393DE">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p>
        </w:tc>
        <w:tc>
          <w:tcPr>
            <w:tcW w:w="2178" w:type="dxa"/>
            <w:tcBorders>
              <w:tl2br w:val="nil"/>
              <w:tr2bl w:val="nil"/>
            </w:tcBorders>
            <w:vAlign w:val="center"/>
          </w:tcPr>
          <w:p w14:paraId="15DCA4F6">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信息披露</w:t>
            </w:r>
          </w:p>
        </w:tc>
        <w:tc>
          <w:tcPr>
            <w:tcW w:w="1417" w:type="dxa"/>
            <w:tcBorders>
              <w:tl2br w:val="nil"/>
              <w:tr2bl w:val="nil"/>
            </w:tcBorders>
            <w:vAlign w:val="center"/>
          </w:tcPr>
          <w:p w14:paraId="4CB127D7">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lang w:bidi="ar"/>
              </w:rPr>
            </w:pPr>
            <w:r>
              <w:rPr>
                <w:rFonts w:hint="eastAsia" w:ascii="宋体" w:hAnsi="宋体" w:cs="宋体"/>
                <w:color w:val="000000"/>
                <w:kern w:val="0"/>
                <w:sz w:val="18"/>
                <w:szCs w:val="18"/>
                <w:lang w:bidi="ar"/>
              </w:rPr>
              <w:t>2</w:t>
            </w:r>
          </w:p>
        </w:tc>
        <w:tc>
          <w:tcPr>
            <w:tcW w:w="1604" w:type="dxa"/>
            <w:tcBorders>
              <w:tl2br w:val="nil"/>
              <w:tr2bl w:val="nil"/>
            </w:tcBorders>
            <w:vAlign w:val="center"/>
          </w:tcPr>
          <w:p w14:paraId="43523EF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733" w:type="dxa"/>
            <w:tcBorders>
              <w:tl2br w:val="nil"/>
              <w:tr2bl w:val="nil"/>
            </w:tcBorders>
            <w:vAlign w:val="center"/>
          </w:tcPr>
          <w:p w14:paraId="45467E1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r>
      <w:tr w14:paraId="5846DB0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1193" w:type="dxa"/>
            <w:vMerge w:val="continue"/>
            <w:tcBorders>
              <w:tl2br w:val="nil"/>
              <w:tr2bl w:val="nil"/>
            </w:tcBorders>
            <w:vAlign w:val="center"/>
          </w:tcPr>
          <w:p w14:paraId="4C25229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434" w:type="dxa"/>
            <w:vMerge w:val="continue"/>
            <w:tcBorders>
              <w:tl2br w:val="nil"/>
              <w:tr2bl w:val="nil"/>
            </w:tcBorders>
            <w:vAlign w:val="center"/>
          </w:tcPr>
          <w:p w14:paraId="47ADAA3D">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p>
        </w:tc>
        <w:tc>
          <w:tcPr>
            <w:tcW w:w="2178" w:type="dxa"/>
            <w:tcBorders>
              <w:tl2br w:val="nil"/>
              <w:tr2bl w:val="nil"/>
            </w:tcBorders>
            <w:vAlign w:val="center"/>
          </w:tcPr>
          <w:p w14:paraId="6C68D1C1">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人员培训</w:t>
            </w:r>
          </w:p>
        </w:tc>
        <w:tc>
          <w:tcPr>
            <w:tcW w:w="1417" w:type="dxa"/>
            <w:tcBorders>
              <w:tl2br w:val="nil"/>
              <w:tr2bl w:val="nil"/>
            </w:tcBorders>
            <w:vAlign w:val="center"/>
          </w:tcPr>
          <w:p w14:paraId="0C43D306">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lang w:bidi="ar"/>
              </w:rPr>
            </w:pPr>
            <w:r>
              <w:rPr>
                <w:rFonts w:hint="default" w:ascii="宋体" w:hAnsi="宋体" w:cs="宋体"/>
                <w:color w:val="000000"/>
                <w:kern w:val="0"/>
                <w:sz w:val="18"/>
                <w:szCs w:val="18"/>
                <w:lang w:bidi="ar"/>
              </w:rPr>
              <w:t>2</w:t>
            </w:r>
          </w:p>
        </w:tc>
        <w:tc>
          <w:tcPr>
            <w:tcW w:w="1604" w:type="dxa"/>
            <w:tcBorders>
              <w:tl2br w:val="nil"/>
              <w:tr2bl w:val="nil"/>
            </w:tcBorders>
            <w:vAlign w:val="center"/>
          </w:tcPr>
          <w:p w14:paraId="2103550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733" w:type="dxa"/>
            <w:tcBorders>
              <w:tl2br w:val="nil"/>
              <w:tr2bl w:val="nil"/>
            </w:tcBorders>
            <w:vAlign w:val="center"/>
          </w:tcPr>
          <w:p w14:paraId="17E21B8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r>
    </w:tbl>
    <w:p w14:paraId="0D18CD6D">
      <w:pPr>
        <w:numPr>
          <w:ilvl w:val="1"/>
          <w:numId w:val="0"/>
        </w:numPr>
        <w:spacing w:before="156" w:beforeLines="50" w:after="156" w:afterLines="50"/>
        <w:jc w:val="center"/>
        <w:rPr>
          <w:rFonts w:ascii="黑体" w:hAnsi="黑体" w:eastAsia="黑体"/>
          <w:szCs w:val="21"/>
        </w:rPr>
      </w:pPr>
      <w:r>
        <w:rPr>
          <w:rFonts w:hint="eastAsia" w:ascii="黑体" w:hAnsi="黑体" w:eastAsia="黑体"/>
          <w:szCs w:val="21"/>
        </w:rPr>
        <w:t>表B.4  综合评价</w:t>
      </w:r>
      <w:r>
        <w:rPr>
          <w:rFonts w:hint="eastAsia" w:ascii="宋体" w:hAnsi="宋体" w:cs="宋体"/>
          <w:szCs w:val="21"/>
        </w:rPr>
        <w:t>（续）</w:t>
      </w:r>
    </w:p>
    <w:tbl>
      <w:tblPr>
        <w:tblStyle w:val="35"/>
        <w:tblW w:w="9559"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192"/>
        <w:gridCol w:w="1434"/>
        <w:gridCol w:w="2759"/>
        <w:gridCol w:w="1115"/>
        <w:gridCol w:w="1361"/>
        <w:gridCol w:w="1698"/>
      </w:tblGrid>
      <w:tr w14:paraId="71B761E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92" w:type="dxa"/>
            <w:tcBorders>
              <w:bottom w:val="single" w:color="000000" w:sz="12" w:space="0"/>
            </w:tcBorders>
            <w:vAlign w:val="center"/>
          </w:tcPr>
          <w:p w14:paraId="0B8D87D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rPr>
            </w:pPr>
            <w:r>
              <w:rPr>
                <w:rFonts w:hint="eastAsia"/>
                <w:b/>
                <w:kern w:val="0"/>
                <w:sz w:val="18"/>
                <w:szCs w:val="18"/>
              </w:rPr>
              <w:t>一级指标</w:t>
            </w:r>
          </w:p>
        </w:tc>
        <w:tc>
          <w:tcPr>
            <w:tcW w:w="1434" w:type="dxa"/>
            <w:tcBorders>
              <w:bottom w:val="single" w:color="000000" w:sz="12" w:space="0"/>
            </w:tcBorders>
            <w:vAlign w:val="center"/>
          </w:tcPr>
          <w:p w14:paraId="4FA13A9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rPr>
            </w:pPr>
            <w:r>
              <w:rPr>
                <w:rFonts w:hint="eastAsia"/>
                <w:b/>
                <w:kern w:val="0"/>
                <w:sz w:val="18"/>
                <w:szCs w:val="18"/>
              </w:rPr>
              <w:t>二级指标</w:t>
            </w:r>
          </w:p>
        </w:tc>
        <w:tc>
          <w:tcPr>
            <w:tcW w:w="2759" w:type="dxa"/>
            <w:tcBorders>
              <w:bottom w:val="single" w:color="000000" w:sz="12" w:space="0"/>
            </w:tcBorders>
            <w:vAlign w:val="center"/>
          </w:tcPr>
          <w:p w14:paraId="77528E5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rPr>
            </w:pPr>
            <w:r>
              <w:rPr>
                <w:rFonts w:hint="eastAsia"/>
                <w:b/>
                <w:kern w:val="0"/>
                <w:sz w:val="18"/>
                <w:szCs w:val="18"/>
              </w:rPr>
              <w:t>三级指标</w:t>
            </w:r>
          </w:p>
        </w:tc>
        <w:tc>
          <w:tcPr>
            <w:tcW w:w="1115" w:type="dxa"/>
            <w:tcBorders>
              <w:bottom w:val="single" w:color="000000" w:sz="12" w:space="0"/>
            </w:tcBorders>
            <w:vAlign w:val="center"/>
          </w:tcPr>
          <w:p w14:paraId="352CBD9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rPr>
            </w:pPr>
            <w:r>
              <w:rPr>
                <w:rFonts w:hint="eastAsia"/>
                <w:b/>
                <w:kern w:val="0"/>
                <w:sz w:val="18"/>
                <w:szCs w:val="18"/>
              </w:rPr>
              <w:t>分值（分）</w:t>
            </w:r>
          </w:p>
        </w:tc>
        <w:tc>
          <w:tcPr>
            <w:tcW w:w="1361" w:type="dxa"/>
            <w:tcBorders>
              <w:bottom w:val="single" w:color="000000" w:sz="12" w:space="0"/>
            </w:tcBorders>
            <w:vAlign w:val="center"/>
          </w:tcPr>
          <w:p w14:paraId="1071ECB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rPr>
            </w:pPr>
            <w:r>
              <w:rPr>
                <w:rFonts w:hint="eastAsia"/>
                <w:b/>
                <w:kern w:val="0"/>
                <w:sz w:val="18"/>
                <w:szCs w:val="18"/>
              </w:rPr>
              <w:t>评价得分（分）</w:t>
            </w:r>
          </w:p>
        </w:tc>
        <w:tc>
          <w:tcPr>
            <w:tcW w:w="1698" w:type="dxa"/>
            <w:tcBorders>
              <w:bottom w:val="single" w:color="000000" w:sz="12" w:space="0"/>
            </w:tcBorders>
            <w:vAlign w:val="center"/>
          </w:tcPr>
          <w:p w14:paraId="7D92544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rPr>
            </w:pPr>
            <w:r>
              <w:rPr>
                <w:rFonts w:hint="eastAsia"/>
                <w:b/>
                <w:kern w:val="0"/>
                <w:sz w:val="18"/>
                <w:szCs w:val="18"/>
              </w:rPr>
              <w:t>佐证材料备注</w:t>
            </w:r>
            <w:r>
              <w:rPr>
                <w:rFonts w:hint="eastAsia" w:ascii="宋体" w:hAnsi="宋体" w:cs="宋体"/>
                <w:bCs/>
                <w:kern w:val="0"/>
                <w:sz w:val="18"/>
                <w:szCs w:val="18"/>
                <w:vertAlign w:val="superscript"/>
              </w:rPr>
              <w:t>a</w:t>
            </w:r>
          </w:p>
        </w:tc>
      </w:tr>
      <w:tr w14:paraId="651690D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92" w:type="dxa"/>
            <w:vMerge w:val="restart"/>
            <w:tcBorders>
              <w:top w:val="single" w:color="000000" w:sz="12" w:space="0"/>
              <w:tl2br w:val="nil"/>
              <w:tr2bl w:val="nil"/>
            </w:tcBorders>
            <w:vAlign w:val="center"/>
          </w:tcPr>
          <w:p w14:paraId="2333095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r>
              <w:rPr>
                <w:rFonts w:hint="eastAsia" w:ascii="宋体" w:hAnsi="宋体" w:cs="宋体"/>
                <w:kern w:val="0"/>
                <w:sz w:val="18"/>
                <w:szCs w:val="18"/>
              </w:rPr>
              <w:t>社会表现</w:t>
            </w:r>
          </w:p>
        </w:tc>
        <w:tc>
          <w:tcPr>
            <w:tcW w:w="1434" w:type="dxa"/>
            <w:vMerge w:val="restart"/>
            <w:tcBorders>
              <w:top w:val="single" w:color="000000" w:sz="12" w:space="0"/>
              <w:tl2br w:val="nil"/>
              <w:tr2bl w:val="nil"/>
            </w:tcBorders>
            <w:vAlign w:val="center"/>
          </w:tcPr>
          <w:p w14:paraId="77F9701E">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社会责任</w:t>
            </w:r>
          </w:p>
        </w:tc>
        <w:tc>
          <w:tcPr>
            <w:tcW w:w="2759" w:type="dxa"/>
            <w:tcBorders>
              <w:top w:val="single" w:color="000000" w:sz="12" w:space="0"/>
              <w:tl2br w:val="nil"/>
              <w:tr2bl w:val="nil"/>
            </w:tcBorders>
            <w:vAlign w:val="center"/>
          </w:tcPr>
          <w:p w14:paraId="374F2D3A">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公共关系和社会公益责任</w:t>
            </w:r>
          </w:p>
        </w:tc>
        <w:tc>
          <w:tcPr>
            <w:tcW w:w="1115" w:type="dxa"/>
            <w:tcBorders>
              <w:top w:val="single" w:color="000000" w:sz="12" w:space="0"/>
              <w:tl2br w:val="nil"/>
              <w:tr2bl w:val="nil"/>
            </w:tcBorders>
            <w:vAlign w:val="center"/>
          </w:tcPr>
          <w:p w14:paraId="7386ED7F">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lang w:bidi="ar"/>
              </w:rPr>
            </w:pPr>
            <w:r>
              <w:rPr>
                <w:rFonts w:hint="default" w:ascii="宋体" w:hAnsi="宋体" w:cs="宋体"/>
                <w:color w:val="000000"/>
                <w:kern w:val="0"/>
                <w:sz w:val="18"/>
                <w:szCs w:val="18"/>
                <w:lang w:bidi="ar"/>
              </w:rPr>
              <w:t>4</w:t>
            </w:r>
          </w:p>
        </w:tc>
        <w:tc>
          <w:tcPr>
            <w:tcW w:w="1361" w:type="dxa"/>
            <w:tcBorders>
              <w:top w:val="single" w:color="000000" w:sz="12" w:space="0"/>
              <w:tl2br w:val="nil"/>
              <w:tr2bl w:val="nil"/>
            </w:tcBorders>
            <w:vAlign w:val="center"/>
          </w:tcPr>
          <w:p w14:paraId="1A5222C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698" w:type="dxa"/>
            <w:tcBorders>
              <w:top w:val="single" w:color="000000" w:sz="12" w:space="0"/>
              <w:tl2br w:val="nil"/>
              <w:tr2bl w:val="nil"/>
            </w:tcBorders>
            <w:vAlign w:val="center"/>
          </w:tcPr>
          <w:p w14:paraId="5C0C75F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r>
      <w:tr w14:paraId="750B3CC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92" w:type="dxa"/>
            <w:vMerge w:val="continue"/>
            <w:tcBorders>
              <w:tl2br w:val="nil"/>
              <w:tr2bl w:val="nil"/>
            </w:tcBorders>
            <w:vAlign w:val="center"/>
          </w:tcPr>
          <w:p w14:paraId="2DBFA1E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434" w:type="dxa"/>
            <w:vMerge w:val="continue"/>
            <w:tcBorders>
              <w:tl2br w:val="nil"/>
              <w:tr2bl w:val="nil"/>
            </w:tcBorders>
            <w:vAlign w:val="center"/>
          </w:tcPr>
          <w:p w14:paraId="2BB42425">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p>
        </w:tc>
        <w:tc>
          <w:tcPr>
            <w:tcW w:w="2759" w:type="dxa"/>
            <w:tcBorders>
              <w:tl2br w:val="nil"/>
              <w:tr2bl w:val="nil"/>
            </w:tcBorders>
            <w:vAlign w:val="center"/>
          </w:tcPr>
          <w:p w14:paraId="38DB5C82">
            <w:pPr>
              <w:pStyle w:val="25"/>
              <w:keepNext w:val="0"/>
              <w:keepLines w:val="0"/>
              <w:widowControl/>
              <w:suppressLineNumbers w:val="0"/>
              <w:spacing w:before="0" w:beforeAutospacing="0" w:after="0" w:afterAutospacing="0"/>
              <w:ind w:left="0" w:right="0" w:firstLine="0" w:firstLineChars="0"/>
              <w:jc w:val="center"/>
              <w:rPr>
                <w:rFonts w:hint="default" w:hAnsi="宋体" w:cs="宋体"/>
                <w:sz w:val="18"/>
                <w:szCs w:val="18"/>
              </w:rPr>
            </w:pPr>
            <w:r>
              <w:rPr>
                <w:rFonts w:hint="eastAsia" w:hAnsi="宋体" w:cs="宋体"/>
                <w:sz w:val="18"/>
                <w:szCs w:val="18"/>
              </w:rPr>
              <w:t>社会信用记录</w:t>
            </w:r>
          </w:p>
        </w:tc>
        <w:tc>
          <w:tcPr>
            <w:tcW w:w="1115" w:type="dxa"/>
            <w:tcBorders>
              <w:tl2br w:val="nil"/>
              <w:tr2bl w:val="nil"/>
            </w:tcBorders>
            <w:vAlign w:val="center"/>
          </w:tcPr>
          <w:p w14:paraId="5278C27D">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lang w:bidi="ar"/>
              </w:rPr>
            </w:pPr>
            <w:r>
              <w:rPr>
                <w:rFonts w:hint="eastAsia" w:ascii="宋体" w:hAnsi="宋体" w:cs="宋体"/>
                <w:color w:val="000000"/>
                <w:kern w:val="0"/>
                <w:sz w:val="18"/>
                <w:szCs w:val="18"/>
                <w:lang w:bidi="ar"/>
              </w:rPr>
              <w:t>4</w:t>
            </w:r>
          </w:p>
        </w:tc>
        <w:tc>
          <w:tcPr>
            <w:tcW w:w="1361" w:type="dxa"/>
            <w:tcBorders>
              <w:tl2br w:val="nil"/>
              <w:tr2bl w:val="nil"/>
            </w:tcBorders>
            <w:vAlign w:val="center"/>
          </w:tcPr>
          <w:p w14:paraId="7DCA186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c>
          <w:tcPr>
            <w:tcW w:w="1698" w:type="dxa"/>
            <w:tcBorders>
              <w:tl2br w:val="nil"/>
              <w:tr2bl w:val="nil"/>
            </w:tcBorders>
            <w:vAlign w:val="center"/>
          </w:tcPr>
          <w:p w14:paraId="4D168C2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rPr>
            </w:pPr>
          </w:p>
        </w:tc>
      </w:tr>
      <w:tr w14:paraId="52E0B5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7861" w:type="dxa"/>
            <w:gridSpan w:val="5"/>
            <w:tcBorders>
              <w:bottom w:val="single" w:color="000000" w:sz="12" w:space="0"/>
              <w:tl2br w:val="nil"/>
              <w:tr2bl w:val="nil"/>
            </w:tcBorders>
            <w:vAlign w:val="center"/>
          </w:tcPr>
          <w:p w14:paraId="4B27C09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rPr>
            </w:pPr>
            <w:r>
              <w:rPr>
                <w:rFonts w:hint="eastAsia"/>
                <w:b/>
                <w:kern w:val="0"/>
                <w:sz w:val="18"/>
                <w:szCs w:val="18"/>
              </w:rPr>
              <w:t>总得分</w:t>
            </w:r>
          </w:p>
        </w:tc>
        <w:tc>
          <w:tcPr>
            <w:tcW w:w="1698" w:type="dxa"/>
            <w:tcBorders>
              <w:bottom w:val="single" w:color="000000" w:sz="12" w:space="0"/>
              <w:tl2br w:val="nil"/>
              <w:tr2bl w:val="nil"/>
            </w:tcBorders>
            <w:vAlign w:val="center"/>
          </w:tcPr>
          <w:p w14:paraId="4F14251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rPr>
            </w:pPr>
          </w:p>
        </w:tc>
      </w:tr>
      <w:tr w14:paraId="324936A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9559" w:type="dxa"/>
            <w:gridSpan w:val="6"/>
            <w:tcBorders>
              <w:top w:val="single" w:color="000000" w:sz="12" w:space="0"/>
            </w:tcBorders>
            <w:vAlign w:val="center"/>
          </w:tcPr>
          <w:p w14:paraId="11A2EC20">
            <w:pPr>
              <w:keepNext w:val="0"/>
              <w:keepLines w:val="0"/>
              <w:widowControl/>
              <w:suppressLineNumbers w:val="0"/>
              <w:tabs>
                <w:tab w:val="center" w:pos="4201"/>
                <w:tab w:val="right" w:leader="dot" w:pos="9298"/>
              </w:tabs>
              <w:autoSpaceDE w:val="0"/>
              <w:autoSpaceDN w:val="0"/>
              <w:spacing w:before="0" w:beforeAutospacing="0" w:after="0" w:afterAutospacing="0"/>
              <w:ind w:left="0" w:right="0" w:firstLine="360" w:firstLineChars="200"/>
              <w:jc w:val="left"/>
              <w:rPr>
                <w:rFonts w:hint="default"/>
                <w:b/>
                <w:kern w:val="0"/>
                <w:sz w:val="18"/>
                <w:szCs w:val="18"/>
              </w:rPr>
            </w:pPr>
            <w:r>
              <w:rPr>
                <w:rStyle w:val="155"/>
                <w:rFonts w:hint="eastAsia" w:asciiTheme="minorEastAsia" w:hAnsiTheme="minorEastAsia" w:eastAsiaTheme="minorEastAsia" w:cstheme="minorEastAsia"/>
                <w:sz w:val="18"/>
                <w:szCs w:val="18"/>
                <w:vertAlign w:val="superscript"/>
              </w:rPr>
              <w:t>a</w:t>
            </w:r>
            <w:r>
              <w:rPr>
                <w:rFonts w:hint="eastAsia" w:cs="宋体" w:asciiTheme="minorEastAsia" w:hAnsiTheme="minorEastAsia" w:eastAsiaTheme="minorEastAsia"/>
                <w:sz w:val="18"/>
                <w:szCs w:val="18"/>
              </w:rPr>
              <w:t xml:space="preserve"> 给出材料对应的具体页码，例如，见第4页。</w:t>
            </w:r>
          </w:p>
        </w:tc>
      </w:tr>
    </w:tbl>
    <w:p w14:paraId="3DC38DBF">
      <w:pPr>
        <w:pStyle w:val="90"/>
        <w:numPr>
          <w:ilvl w:val="1"/>
          <w:numId w:val="0"/>
        </w:numPr>
        <w:spacing w:before="156" w:after="156"/>
        <w:jc w:val="both"/>
        <w:rPr>
          <w:rFonts w:hAnsi="黑体" w:cs="黑体"/>
        </w:rPr>
      </w:pPr>
      <w:r>
        <w:rPr>
          <w:rFonts w:hint="eastAsia" w:hAnsi="黑体" w:cs="黑体"/>
        </w:rPr>
        <w:t>B.7  附录</w:t>
      </w:r>
    </w:p>
    <w:p w14:paraId="1221BEBE">
      <w:pPr>
        <w:pStyle w:val="25"/>
        <w:rPr>
          <w:szCs w:val="24"/>
        </w:rPr>
      </w:pPr>
      <w:r>
        <w:rPr>
          <w:rFonts w:hint="eastAsia"/>
          <w:szCs w:val="24"/>
        </w:rPr>
        <w:t>列明上述章节所述情况及评分表涉及的佐证材料。</w:t>
      </w:r>
      <w:r>
        <w:rPr>
          <w:rFonts w:hint="eastAsia"/>
          <w:szCs w:val="24"/>
        </w:rPr>
        <w:br w:type="page"/>
      </w:r>
    </w:p>
    <w:p w14:paraId="339F3725">
      <w:pPr>
        <w:pStyle w:val="87"/>
        <w:rPr>
          <w:rFonts w:ascii="Times New Roman"/>
        </w:rPr>
      </w:pPr>
      <w:r>
        <w:rPr>
          <w:rFonts w:ascii="Times New Roman"/>
        </w:rPr>
        <w:br w:type="textWrapping"/>
      </w:r>
      <w:bookmarkStart w:id="104" w:name="_Toc82684171"/>
      <w:bookmarkStart w:id="105" w:name="_Toc195038137"/>
      <w:r>
        <w:rPr>
          <w:rFonts w:ascii="Times New Roman"/>
        </w:rPr>
        <w:t>（资料性）</w:t>
      </w:r>
      <w:r>
        <w:rPr>
          <w:rFonts w:ascii="Times New Roman"/>
        </w:rPr>
        <w:br w:type="textWrapping"/>
      </w:r>
      <w:bookmarkEnd w:id="104"/>
      <w:r>
        <w:rPr>
          <w:rFonts w:hint="eastAsia" w:ascii="Times New Roman"/>
        </w:rPr>
        <w:t>绿色金融认证和评级领域绿色低碳产业</w:t>
      </w:r>
      <w:r>
        <w:rPr>
          <w:rFonts w:ascii="Times New Roman"/>
        </w:rPr>
        <w:t>认定评价指标表</w:t>
      </w:r>
      <w:bookmarkEnd w:id="105"/>
    </w:p>
    <w:p w14:paraId="7E136226">
      <w:pPr>
        <w:autoSpaceDE w:val="0"/>
        <w:autoSpaceDN w:val="0"/>
        <w:spacing w:before="156" w:beforeLines="50" w:after="156" w:afterLines="50"/>
        <w:rPr>
          <w:rFonts w:ascii="宋体" w:hAnsi="宋体" w:cs="宋体"/>
        </w:rPr>
      </w:pPr>
      <w:r>
        <w:rPr>
          <w:rFonts w:hint="eastAsia" w:ascii="黑体" w:hAnsi="黑体" w:eastAsia="黑体" w:cs="黑体"/>
          <w:szCs w:val="21"/>
        </w:rPr>
        <w:t>C.1  绿色低碳产业企业认定评价指标</w:t>
      </w:r>
    </w:p>
    <w:p w14:paraId="48A95898">
      <w:pPr>
        <w:autoSpaceDE w:val="0"/>
        <w:autoSpaceDN w:val="0"/>
        <w:ind w:firstLine="420" w:firstLineChars="200"/>
        <w:rPr>
          <w:rFonts w:asciiTheme="minorEastAsia" w:hAnsiTheme="minorEastAsia" w:eastAsiaTheme="minorEastAsia"/>
        </w:rPr>
      </w:pPr>
      <w:r>
        <w:rPr>
          <w:rFonts w:hint="eastAsia" w:ascii="宋体" w:hAnsi="宋体" w:cs="宋体"/>
        </w:rPr>
        <w:t>绿色金融认证和评级领域绿色低碳产业企业认定评价指标见表C.1和表C.2。绿色金融认证和评级领域绿色低碳产业企业各评价指标佐证材料索引见表</w:t>
      </w:r>
      <w:r>
        <w:rPr>
          <w:rFonts w:hint="eastAsia" w:ascii="宋体" w:hAnsi="宋体" w:cs="宋体"/>
          <w:lang w:val="en-US" w:eastAsia="zh-CN"/>
        </w:rPr>
        <w:t>C</w:t>
      </w:r>
      <w:r>
        <w:rPr>
          <w:rFonts w:hint="eastAsia" w:ascii="宋体" w:hAnsi="宋体" w:cs="宋体"/>
        </w:rPr>
        <w:t>.3、表</w:t>
      </w:r>
      <w:r>
        <w:rPr>
          <w:rFonts w:hint="eastAsia" w:ascii="宋体" w:hAnsi="宋体" w:cs="宋体"/>
          <w:lang w:val="en-US" w:eastAsia="zh-CN"/>
        </w:rPr>
        <w:t>C</w:t>
      </w:r>
      <w:r>
        <w:rPr>
          <w:rFonts w:hint="eastAsia" w:ascii="宋体" w:hAnsi="宋体" w:cs="宋体"/>
        </w:rPr>
        <w:t>.4。</w:t>
      </w:r>
    </w:p>
    <w:p w14:paraId="23B8A4C0">
      <w:pPr>
        <w:numPr>
          <w:ilvl w:val="1"/>
          <w:numId w:val="0"/>
        </w:numPr>
        <w:spacing w:before="156" w:beforeLines="50" w:after="156" w:afterLines="50"/>
        <w:jc w:val="center"/>
        <w:rPr>
          <w:rFonts w:eastAsia="黑体"/>
          <w:szCs w:val="21"/>
        </w:rPr>
      </w:pPr>
      <w:r>
        <w:rPr>
          <w:rFonts w:hint="eastAsia" w:ascii="黑体" w:hAnsi="黑体" w:eastAsia="黑体" w:cs="黑体"/>
          <w:szCs w:val="21"/>
        </w:rPr>
        <w:t>表C.1  绿色金融认证和评级领域绿色低碳产业企业认定符合性评价指标</w:t>
      </w:r>
    </w:p>
    <w:tbl>
      <w:tblPr>
        <w:tblStyle w:val="36"/>
        <w:tblpPr w:leftFromText="180" w:rightFromText="180" w:vertAnchor="text" w:tblpXSpec="center" w:tblpY="1"/>
        <w:tblOverlap w:val="never"/>
        <w:tblW w:w="9564"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952"/>
        <w:gridCol w:w="1361"/>
        <w:gridCol w:w="1251"/>
      </w:tblGrid>
      <w:tr w14:paraId="2B046A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6952" w:type="dxa"/>
            <w:tcBorders>
              <w:top w:val="single" w:color="auto" w:sz="12" w:space="0"/>
              <w:bottom w:val="single" w:color="auto" w:sz="12" w:space="0"/>
            </w:tcBorders>
            <w:vAlign w:val="center"/>
          </w:tcPr>
          <w:p w14:paraId="7D9511F1">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eastAsia" w:ascii="宋体"/>
                <w:b/>
                <w:sz w:val="18"/>
                <w:szCs w:val="18"/>
              </w:rPr>
              <w:t>符合性评价内容</w:t>
            </w:r>
          </w:p>
        </w:tc>
        <w:tc>
          <w:tcPr>
            <w:tcW w:w="1361" w:type="dxa"/>
            <w:tcBorders>
              <w:top w:val="single" w:color="auto" w:sz="12" w:space="0"/>
              <w:bottom w:val="single" w:color="auto" w:sz="12" w:space="0"/>
            </w:tcBorders>
            <w:vAlign w:val="center"/>
          </w:tcPr>
          <w:p w14:paraId="5ADE5398">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eastAsia" w:ascii="宋体"/>
                <w:b/>
                <w:sz w:val="18"/>
                <w:szCs w:val="18"/>
              </w:rPr>
              <w:t>评价</w:t>
            </w:r>
            <w:r>
              <w:rPr>
                <w:rFonts w:hint="default" w:ascii="宋体"/>
                <w:b/>
                <w:sz w:val="18"/>
                <w:szCs w:val="18"/>
              </w:rPr>
              <w:t>标准</w:t>
            </w:r>
          </w:p>
        </w:tc>
        <w:tc>
          <w:tcPr>
            <w:tcW w:w="1251" w:type="dxa"/>
            <w:tcBorders>
              <w:top w:val="single" w:color="auto" w:sz="12" w:space="0"/>
              <w:bottom w:val="single" w:color="auto" w:sz="12" w:space="0"/>
            </w:tcBorders>
            <w:vAlign w:val="center"/>
          </w:tcPr>
          <w:p w14:paraId="1E39D09A">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default" w:ascii="宋体"/>
                <w:b/>
                <w:sz w:val="18"/>
                <w:szCs w:val="18"/>
              </w:rPr>
              <w:t>评价</w:t>
            </w:r>
            <w:r>
              <w:rPr>
                <w:rFonts w:hint="eastAsia" w:ascii="宋体"/>
                <w:b/>
                <w:sz w:val="18"/>
                <w:szCs w:val="18"/>
              </w:rPr>
              <w:t>结果</w:t>
            </w:r>
          </w:p>
        </w:tc>
      </w:tr>
      <w:tr w14:paraId="4E80FA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6952" w:type="dxa"/>
            <w:tcBorders>
              <w:top w:val="single" w:color="auto" w:sz="12" w:space="0"/>
              <w:tl2br w:val="nil"/>
              <w:tr2bl w:val="nil"/>
            </w:tcBorders>
            <w:vAlign w:val="center"/>
          </w:tcPr>
          <w:p w14:paraId="6371DB2F">
            <w:pPr>
              <w:keepNext w:val="0"/>
              <w:keepLines w:val="0"/>
              <w:widowControl/>
              <w:suppressLineNumbers w:val="0"/>
              <w:tabs>
                <w:tab w:val="center" w:pos="4201"/>
                <w:tab w:val="right" w:leader="dot" w:pos="9298"/>
              </w:tabs>
              <w:autoSpaceDE w:val="0"/>
              <w:autoSpaceDN w:val="0"/>
              <w:spacing w:before="0" w:beforeAutospacing="0" w:after="0" w:afterAutospacing="0"/>
              <w:ind w:left="0" w:right="0"/>
              <w:rPr>
                <w:rFonts w:hint="default" w:ascii="宋体"/>
                <w:kern w:val="0"/>
                <w:sz w:val="18"/>
                <w:szCs w:val="18"/>
              </w:rPr>
            </w:pPr>
            <w:r>
              <w:rPr>
                <w:rFonts w:hint="eastAsia" w:ascii="宋体"/>
                <w:sz w:val="18"/>
                <w:szCs w:val="18"/>
              </w:rPr>
              <w:t>申报认定评价的绿色业务属于绿色金融认证和评级领域，或在当地具备一定市场规模、经相关政府职能部门认可的相关行业</w:t>
            </w:r>
          </w:p>
        </w:tc>
        <w:tc>
          <w:tcPr>
            <w:tcW w:w="1361" w:type="dxa"/>
            <w:tcBorders>
              <w:top w:val="single" w:color="auto" w:sz="12" w:space="0"/>
              <w:tl2br w:val="nil"/>
              <w:tr2bl w:val="nil"/>
            </w:tcBorders>
            <w:vAlign w:val="center"/>
          </w:tcPr>
          <w:p w14:paraId="21F29303">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是/否</w:t>
            </w:r>
          </w:p>
        </w:tc>
        <w:tc>
          <w:tcPr>
            <w:tcW w:w="1251" w:type="dxa"/>
            <w:tcBorders>
              <w:top w:val="single" w:color="auto" w:sz="12" w:space="0"/>
              <w:tl2br w:val="nil"/>
              <w:tr2bl w:val="nil"/>
            </w:tcBorders>
            <w:vAlign w:val="center"/>
          </w:tcPr>
          <w:p w14:paraId="71FE9402">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bl>
    <w:p w14:paraId="450C5352">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表C.2  绿色金融认证和评级领域绿色低碳产业企业认定综合评价指标</w:t>
      </w:r>
    </w:p>
    <w:tbl>
      <w:tblPr>
        <w:tblStyle w:val="36"/>
        <w:tblpPr w:leftFromText="180" w:rightFromText="180" w:vertAnchor="text" w:tblpXSpec="center" w:tblpY="1"/>
        <w:tblOverlap w:val="never"/>
        <w:tblW w:w="95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85"/>
        <w:gridCol w:w="614"/>
        <w:gridCol w:w="1004"/>
        <w:gridCol w:w="2687"/>
        <w:gridCol w:w="3263"/>
        <w:gridCol w:w="700"/>
        <w:gridCol w:w="706"/>
      </w:tblGrid>
      <w:tr w14:paraId="1EC6C4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5" w:type="dxa"/>
            <w:tcBorders>
              <w:bottom w:val="single" w:color="auto" w:sz="12" w:space="0"/>
            </w:tcBorders>
            <w:vAlign w:val="center"/>
          </w:tcPr>
          <w:p w14:paraId="04E538E0">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default" w:ascii="宋体"/>
                <w:b/>
                <w:sz w:val="18"/>
                <w:szCs w:val="18"/>
              </w:rPr>
              <w:t>一级指标</w:t>
            </w:r>
          </w:p>
        </w:tc>
        <w:tc>
          <w:tcPr>
            <w:tcW w:w="614" w:type="dxa"/>
            <w:tcBorders>
              <w:bottom w:val="single" w:color="auto" w:sz="12" w:space="0"/>
            </w:tcBorders>
            <w:vAlign w:val="center"/>
          </w:tcPr>
          <w:p w14:paraId="68C392CF">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default" w:ascii="宋体"/>
                <w:b/>
                <w:sz w:val="18"/>
                <w:szCs w:val="18"/>
              </w:rPr>
              <w:t>二级指标</w:t>
            </w:r>
          </w:p>
        </w:tc>
        <w:tc>
          <w:tcPr>
            <w:tcW w:w="1004" w:type="dxa"/>
            <w:tcBorders>
              <w:bottom w:val="single" w:color="auto" w:sz="12" w:space="0"/>
            </w:tcBorders>
            <w:vAlign w:val="center"/>
          </w:tcPr>
          <w:p w14:paraId="31E3FA33">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default" w:ascii="宋体"/>
                <w:b/>
                <w:sz w:val="18"/>
                <w:szCs w:val="18"/>
              </w:rPr>
              <w:t>三级指标</w:t>
            </w:r>
          </w:p>
        </w:tc>
        <w:tc>
          <w:tcPr>
            <w:tcW w:w="2687" w:type="dxa"/>
            <w:tcBorders>
              <w:bottom w:val="single" w:color="auto" w:sz="12" w:space="0"/>
            </w:tcBorders>
            <w:vAlign w:val="center"/>
          </w:tcPr>
          <w:p w14:paraId="120238B1">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eastAsia" w:ascii="宋体"/>
                <w:b/>
                <w:sz w:val="18"/>
                <w:szCs w:val="18"/>
              </w:rPr>
              <w:t>评价要求</w:t>
            </w:r>
          </w:p>
        </w:tc>
        <w:tc>
          <w:tcPr>
            <w:tcW w:w="3263" w:type="dxa"/>
            <w:tcBorders>
              <w:bottom w:val="single" w:color="auto" w:sz="12" w:space="0"/>
            </w:tcBorders>
            <w:vAlign w:val="center"/>
          </w:tcPr>
          <w:p w14:paraId="7A45A0AF">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eastAsia" w:ascii="宋体"/>
                <w:b/>
                <w:sz w:val="18"/>
                <w:szCs w:val="18"/>
              </w:rPr>
              <w:t>评分标准</w:t>
            </w:r>
          </w:p>
        </w:tc>
        <w:tc>
          <w:tcPr>
            <w:tcW w:w="700" w:type="dxa"/>
            <w:tcBorders>
              <w:bottom w:val="single" w:color="auto" w:sz="12" w:space="0"/>
            </w:tcBorders>
            <w:vAlign w:val="center"/>
          </w:tcPr>
          <w:p w14:paraId="5C32573A">
            <w:pPr>
              <w:keepNext w:val="0"/>
              <w:keepLines w:val="0"/>
              <w:suppressLineNumbers w:val="0"/>
              <w:autoSpaceDE w:val="0"/>
              <w:autoSpaceDN w:val="0"/>
              <w:spacing w:before="0" w:beforeAutospacing="0" w:after="0" w:afterAutospacing="0"/>
              <w:ind w:left="0" w:right="0"/>
              <w:rPr>
                <w:rFonts w:hint="default" w:ascii="宋体"/>
                <w:b/>
                <w:sz w:val="18"/>
                <w:szCs w:val="18"/>
              </w:rPr>
            </w:pPr>
            <w:r>
              <w:rPr>
                <w:rFonts w:hint="default" w:ascii="宋体"/>
                <w:b/>
                <w:sz w:val="18"/>
                <w:szCs w:val="18"/>
              </w:rPr>
              <w:t>分值</w:t>
            </w:r>
            <w:r>
              <w:rPr>
                <w:rFonts w:hint="eastAsia" w:ascii="宋体"/>
                <w:b/>
                <w:sz w:val="18"/>
                <w:szCs w:val="18"/>
              </w:rPr>
              <w:t>（分）</w:t>
            </w:r>
          </w:p>
        </w:tc>
        <w:tc>
          <w:tcPr>
            <w:tcW w:w="706" w:type="dxa"/>
            <w:tcBorders>
              <w:bottom w:val="single" w:color="auto" w:sz="12" w:space="0"/>
            </w:tcBorders>
            <w:vAlign w:val="center"/>
          </w:tcPr>
          <w:p w14:paraId="12493D71">
            <w:pPr>
              <w:keepNext w:val="0"/>
              <w:keepLines w:val="0"/>
              <w:suppressLineNumbers w:val="0"/>
              <w:autoSpaceDE w:val="0"/>
              <w:autoSpaceDN w:val="0"/>
              <w:spacing w:before="0" w:beforeAutospacing="0" w:after="0" w:afterAutospacing="0"/>
              <w:ind w:left="0" w:right="0"/>
              <w:rPr>
                <w:rFonts w:hint="default" w:ascii="宋体"/>
                <w:b/>
                <w:sz w:val="18"/>
                <w:szCs w:val="18"/>
              </w:rPr>
            </w:pPr>
            <w:r>
              <w:rPr>
                <w:rFonts w:hint="default" w:ascii="宋体"/>
                <w:b/>
                <w:sz w:val="18"/>
                <w:szCs w:val="18"/>
              </w:rPr>
              <w:t>得分</w:t>
            </w:r>
            <w:r>
              <w:rPr>
                <w:rFonts w:hint="eastAsia" w:ascii="宋体"/>
                <w:b/>
                <w:sz w:val="18"/>
                <w:szCs w:val="18"/>
              </w:rPr>
              <w:t>（分）</w:t>
            </w:r>
          </w:p>
        </w:tc>
      </w:tr>
      <w:tr w14:paraId="194546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8" w:hRule="atLeast"/>
        </w:trPr>
        <w:tc>
          <w:tcPr>
            <w:tcW w:w="585" w:type="dxa"/>
            <w:vMerge w:val="restart"/>
            <w:tcBorders>
              <w:top w:val="single" w:color="auto" w:sz="12" w:space="0"/>
              <w:tl2br w:val="nil"/>
              <w:tr2bl w:val="nil"/>
            </w:tcBorders>
            <w:vAlign w:val="center"/>
          </w:tcPr>
          <w:p w14:paraId="4A75377C">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技术表现</w:t>
            </w:r>
          </w:p>
        </w:tc>
        <w:tc>
          <w:tcPr>
            <w:tcW w:w="614" w:type="dxa"/>
            <w:vMerge w:val="restart"/>
            <w:tcBorders>
              <w:top w:val="single" w:color="auto" w:sz="12" w:space="0"/>
              <w:tl2br w:val="nil"/>
              <w:tr2bl w:val="nil"/>
            </w:tcBorders>
            <w:vAlign w:val="center"/>
          </w:tcPr>
          <w:p w14:paraId="0DDE60D3">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先进性</w:t>
            </w:r>
          </w:p>
        </w:tc>
        <w:tc>
          <w:tcPr>
            <w:tcW w:w="1004" w:type="dxa"/>
            <w:tcBorders>
              <w:top w:val="single" w:color="auto" w:sz="12" w:space="0"/>
              <w:tl2br w:val="nil"/>
              <w:tr2bl w:val="nil"/>
            </w:tcBorders>
            <w:vAlign w:val="center"/>
          </w:tcPr>
          <w:p w14:paraId="27352AC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有效知识产权</w:t>
            </w:r>
          </w:p>
        </w:tc>
        <w:tc>
          <w:tcPr>
            <w:tcW w:w="2687" w:type="dxa"/>
            <w:tcBorders>
              <w:top w:val="single" w:color="auto" w:sz="12" w:space="0"/>
              <w:tl2br w:val="nil"/>
              <w:tr2bl w:val="nil"/>
            </w:tcBorders>
            <w:vAlign w:val="center"/>
          </w:tcPr>
          <w:p w14:paraId="3DB73A56">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为绿色金融认证和评级领域的有效知识产权，按知识产权类别和知识产权获得形式加权计算数量</w:t>
            </w:r>
          </w:p>
        </w:tc>
        <w:tc>
          <w:tcPr>
            <w:tcW w:w="3263" w:type="dxa"/>
            <w:tcBorders>
              <w:top w:val="single" w:color="auto" w:sz="12" w:space="0"/>
              <w:tl2br w:val="nil"/>
              <w:tr2bl w:val="nil"/>
            </w:tcBorders>
            <w:vAlign w:val="center"/>
          </w:tcPr>
          <w:p w14:paraId="6CFB107A">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highlight w:val="yellow"/>
              </w:rPr>
            </w:pPr>
            <w:r>
              <w:rPr>
                <w:rFonts w:hint="eastAsia" w:hAnsi="宋体" w:cs="宋体"/>
                <w:sz w:val="18"/>
                <w:szCs w:val="18"/>
              </w:rPr>
              <w:t>加权法计算后有效知识产权数量乘以2分</w:t>
            </w:r>
          </w:p>
        </w:tc>
        <w:tc>
          <w:tcPr>
            <w:tcW w:w="700" w:type="dxa"/>
            <w:tcBorders>
              <w:top w:val="single" w:color="auto" w:sz="12" w:space="0"/>
              <w:tl2br w:val="nil"/>
              <w:tr2bl w:val="nil"/>
            </w:tcBorders>
            <w:vAlign w:val="center"/>
          </w:tcPr>
          <w:p w14:paraId="76B3FCB9">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rPr>
            </w:pPr>
            <w:r>
              <w:rPr>
                <w:rFonts w:hint="eastAsia" w:ascii="宋体" w:hAnsi="宋体" w:cs="宋体"/>
                <w:color w:val="000000"/>
                <w:kern w:val="0"/>
                <w:sz w:val="18"/>
                <w:szCs w:val="18"/>
                <w:lang w:bidi="ar"/>
              </w:rPr>
              <w:t>4</w:t>
            </w:r>
          </w:p>
        </w:tc>
        <w:tc>
          <w:tcPr>
            <w:tcW w:w="706" w:type="dxa"/>
            <w:tcBorders>
              <w:top w:val="single" w:color="auto" w:sz="12" w:space="0"/>
              <w:tl2br w:val="nil"/>
              <w:tr2bl w:val="nil"/>
            </w:tcBorders>
            <w:vAlign w:val="center"/>
          </w:tcPr>
          <w:p w14:paraId="71F32E54">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r w14:paraId="2DA150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37" w:hRule="atLeast"/>
        </w:trPr>
        <w:tc>
          <w:tcPr>
            <w:tcW w:w="585" w:type="dxa"/>
            <w:vMerge w:val="continue"/>
            <w:tcBorders>
              <w:tl2br w:val="nil"/>
              <w:tr2bl w:val="nil"/>
            </w:tcBorders>
            <w:vAlign w:val="center"/>
          </w:tcPr>
          <w:p w14:paraId="11B70AF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614" w:type="dxa"/>
            <w:vMerge w:val="continue"/>
            <w:tcBorders>
              <w:tl2br w:val="nil"/>
              <w:tr2bl w:val="nil"/>
            </w:tcBorders>
            <w:vAlign w:val="center"/>
          </w:tcPr>
          <w:p w14:paraId="362B69F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1004" w:type="dxa"/>
            <w:tcBorders>
              <w:tl2br w:val="nil"/>
              <w:tr2bl w:val="nil"/>
            </w:tcBorders>
            <w:vAlign w:val="center"/>
          </w:tcPr>
          <w:p w14:paraId="3A8CD4D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制修订</w:t>
            </w:r>
          </w:p>
          <w:p w14:paraId="47CEFB9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标准</w:t>
            </w:r>
          </w:p>
        </w:tc>
        <w:tc>
          <w:tcPr>
            <w:tcW w:w="2687" w:type="dxa"/>
            <w:tcBorders>
              <w:tl2br w:val="nil"/>
              <w:tr2bl w:val="nil"/>
            </w:tcBorders>
            <w:vAlign w:val="center"/>
          </w:tcPr>
          <w:p w14:paraId="6A970A33">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为近五年内在绿色金融认证和评级领域已正式发布的标准，按标准类别、标准编制形式和标准制修订参与程度进行加权计算数量</w:t>
            </w:r>
          </w:p>
        </w:tc>
        <w:tc>
          <w:tcPr>
            <w:tcW w:w="3263" w:type="dxa"/>
            <w:tcBorders>
              <w:tl2br w:val="nil"/>
              <w:tr2bl w:val="nil"/>
            </w:tcBorders>
            <w:vAlign w:val="center"/>
          </w:tcPr>
          <w:p w14:paraId="404DE171">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highlight w:val="yellow"/>
              </w:rPr>
            </w:pPr>
            <w:r>
              <w:rPr>
                <w:rFonts w:hint="eastAsia" w:hAnsi="宋体" w:cs="宋体"/>
                <w:sz w:val="18"/>
                <w:szCs w:val="18"/>
              </w:rPr>
              <w:t>加权法计算后有效知识产权数量乘以2分</w:t>
            </w:r>
          </w:p>
        </w:tc>
        <w:tc>
          <w:tcPr>
            <w:tcW w:w="700" w:type="dxa"/>
            <w:tcBorders>
              <w:tl2br w:val="nil"/>
              <w:tr2bl w:val="nil"/>
            </w:tcBorders>
            <w:vAlign w:val="center"/>
          </w:tcPr>
          <w:p w14:paraId="06CE7602">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rPr>
            </w:pPr>
            <w:r>
              <w:rPr>
                <w:rFonts w:hint="default" w:ascii="宋体" w:hAnsi="宋体" w:cs="宋体"/>
                <w:color w:val="000000"/>
                <w:kern w:val="0"/>
                <w:sz w:val="18"/>
                <w:szCs w:val="18"/>
                <w:lang w:bidi="ar"/>
              </w:rPr>
              <w:t>4</w:t>
            </w:r>
          </w:p>
        </w:tc>
        <w:tc>
          <w:tcPr>
            <w:tcW w:w="706" w:type="dxa"/>
            <w:tcBorders>
              <w:tl2br w:val="nil"/>
              <w:tr2bl w:val="nil"/>
            </w:tcBorders>
            <w:vAlign w:val="center"/>
          </w:tcPr>
          <w:p w14:paraId="3991E8EB">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r w14:paraId="4FBA41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52" w:hRule="atLeast"/>
        </w:trPr>
        <w:tc>
          <w:tcPr>
            <w:tcW w:w="585" w:type="dxa"/>
            <w:vMerge w:val="continue"/>
            <w:tcBorders>
              <w:tl2br w:val="nil"/>
              <w:tr2bl w:val="nil"/>
            </w:tcBorders>
            <w:vAlign w:val="center"/>
          </w:tcPr>
          <w:p w14:paraId="20898E12">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614" w:type="dxa"/>
            <w:vMerge w:val="continue"/>
            <w:tcBorders>
              <w:tl2br w:val="nil"/>
              <w:tr2bl w:val="nil"/>
            </w:tcBorders>
            <w:vAlign w:val="center"/>
          </w:tcPr>
          <w:p w14:paraId="581BFF9C">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1004" w:type="dxa"/>
            <w:tcBorders>
              <w:tl2br w:val="nil"/>
              <w:tr2bl w:val="nil"/>
            </w:tcBorders>
            <w:vAlign w:val="center"/>
          </w:tcPr>
          <w:p w14:paraId="4529F0EB">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sz w:val="18"/>
                <w:szCs w:val="18"/>
              </w:rPr>
              <w:t>关键技术先进性</w:t>
            </w:r>
          </w:p>
        </w:tc>
        <w:tc>
          <w:tcPr>
            <w:tcW w:w="2687" w:type="dxa"/>
            <w:tcBorders>
              <w:tl2br w:val="nil"/>
              <w:tr2bl w:val="nil"/>
            </w:tcBorders>
            <w:vAlign w:val="center"/>
          </w:tcPr>
          <w:p w14:paraId="750C3AC3">
            <w:pPr>
              <w:keepNext w:val="0"/>
              <w:keepLines w:val="0"/>
              <w:suppressLineNumbers w:val="0"/>
              <w:autoSpaceDE w:val="0"/>
              <w:autoSpaceDN w:val="0"/>
              <w:spacing w:before="0" w:beforeAutospacing="0" w:after="0" w:afterAutospacing="0"/>
              <w:ind w:left="0" w:right="0"/>
              <w:rPr>
                <w:rFonts w:hint="default" w:ascii="宋体"/>
                <w:sz w:val="18"/>
                <w:szCs w:val="18"/>
              </w:rPr>
            </w:pPr>
            <w:r>
              <w:rPr>
                <w:rFonts w:hint="eastAsia" w:ascii="宋体" w:hAnsi="宋体" w:cs="宋体"/>
                <w:kern w:val="0"/>
                <w:sz w:val="18"/>
                <w:szCs w:val="18"/>
              </w:rPr>
              <w:t>绿色金融认证和评级领域相关服务的核心技术先进水平，选取在该行业具备典型代表性的核心技术水平</w:t>
            </w:r>
          </w:p>
        </w:tc>
        <w:tc>
          <w:tcPr>
            <w:tcW w:w="3263" w:type="dxa"/>
            <w:tcBorders>
              <w:tl2br w:val="nil"/>
              <w:tr2bl w:val="nil"/>
            </w:tcBorders>
            <w:vAlign w:val="center"/>
          </w:tcPr>
          <w:p w14:paraId="71375169">
            <w:pPr>
              <w:keepNext w:val="0"/>
              <w:keepLines w:val="0"/>
              <w:suppressLineNumbers w:val="0"/>
              <w:autoSpaceDE w:val="0"/>
              <w:autoSpaceDN w:val="0"/>
              <w:spacing w:before="0" w:beforeAutospacing="0" w:after="0" w:afterAutospacing="0"/>
              <w:ind w:left="0" w:right="0"/>
              <w:rPr>
                <w:rFonts w:hint="eastAsia" w:ascii="宋体" w:hAnsi="宋体" w:cs="宋体"/>
                <w:kern w:val="0"/>
                <w:sz w:val="18"/>
                <w:szCs w:val="18"/>
              </w:rPr>
            </w:pPr>
            <w:r>
              <w:rPr>
                <w:rFonts w:hint="eastAsia" w:ascii="宋体" w:hAnsi="宋体" w:cs="宋体"/>
                <w:kern w:val="0"/>
                <w:sz w:val="18"/>
                <w:szCs w:val="18"/>
              </w:rPr>
              <w:t>a.处于行业领先水平，对产业（行业）具有显著技术引领作用。（10分，15分]</w:t>
            </w:r>
          </w:p>
          <w:p w14:paraId="723B0BAC">
            <w:pPr>
              <w:keepNext w:val="0"/>
              <w:keepLines w:val="0"/>
              <w:suppressLineNumbers w:val="0"/>
              <w:autoSpaceDE w:val="0"/>
              <w:autoSpaceDN w:val="0"/>
              <w:spacing w:before="0" w:beforeAutospacing="0" w:after="0" w:afterAutospacing="0"/>
              <w:ind w:left="0" w:right="0"/>
              <w:rPr>
                <w:rFonts w:hint="eastAsia" w:ascii="宋体" w:hAnsi="宋体" w:cs="宋体"/>
                <w:kern w:val="0"/>
                <w:sz w:val="18"/>
                <w:szCs w:val="18"/>
              </w:rPr>
            </w:pPr>
            <w:r>
              <w:rPr>
                <w:rFonts w:hint="eastAsia" w:ascii="宋体" w:hAnsi="宋体" w:cs="宋体"/>
                <w:kern w:val="0"/>
                <w:sz w:val="18"/>
                <w:szCs w:val="18"/>
              </w:rPr>
              <w:t>b.处于行业较好水平，对产业（行业）具有一定技术推动作用。（5分，10分]</w:t>
            </w:r>
          </w:p>
          <w:p w14:paraId="5E3BC04A">
            <w:pPr>
              <w:keepNext w:val="0"/>
              <w:keepLines w:val="0"/>
              <w:suppressLineNumbers w:val="0"/>
              <w:autoSpaceDE w:val="0"/>
              <w:autoSpaceDN w:val="0"/>
              <w:spacing w:before="0" w:beforeAutospacing="0" w:after="0" w:afterAutospacing="0"/>
              <w:ind w:left="0" w:right="0"/>
              <w:rPr>
                <w:rFonts w:hint="eastAsia" w:ascii="宋体" w:hAnsi="宋体" w:cs="宋体"/>
                <w:kern w:val="0"/>
                <w:sz w:val="18"/>
                <w:szCs w:val="18"/>
              </w:rPr>
            </w:pPr>
            <w:r>
              <w:rPr>
                <w:rFonts w:hint="eastAsia" w:ascii="宋体" w:hAnsi="宋体" w:cs="宋体"/>
                <w:kern w:val="0"/>
                <w:sz w:val="18"/>
                <w:szCs w:val="18"/>
              </w:rPr>
              <w:t>c.处于行业平均水平。（0分，5分]</w:t>
            </w:r>
          </w:p>
          <w:p w14:paraId="354CCBFF">
            <w:pPr>
              <w:keepNext w:val="0"/>
              <w:keepLines w:val="0"/>
              <w:suppressLineNumbers w:val="0"/>
              <w:autoSpaceDE w:val="0"/>
              <w:autoSpaceDN w:val="0"/>
              <w:spacing w:before="0" w:beforeAutospacing="0" w:after="0" w:afterAutospacing="0"/>
              <w:ind w:left="0" w:right="0"/>
              <w:rPr>
                <w:rFonts w:hint="default" w:ascii="宋体"/>
                <w:sz w:val="18"/>
                <w:szCs w:val="18"/>
              </w:rPr>
            </w:pPr>
            <w:r>
              <w:rPr>
                <w:rFonts w:hint="eastAsia" w:ascii="宋体" w:hAnsi="宋体" w:cs="宋体"/>
                <w:kern w:val="0"/>
                <w:sz w:val="18"/>
                <w:szCs w:val="18"/>
              </w:rPr>
              <w:t>d.未满足上述任何一项。（0分）</w:t>
            </w:r>
          </w:p>
        </w:tc>
        <w:tc>
          <w:tcPr>
            <w:tcW w:w="700" w:type="dxa"/>
            <w:tcBorders>
              <w:tl2br w:val="nil"/>
              <w:tr2bl w:val="nil"/>
            </w:tcBorders>
            <w:vAlign w:val="center"/>
          </w:tcPr>
          <w:p w14:paraId="5E3ACBCE">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rPr>
            </w:pPr>
            <w:r>
              <w:rPr>
                <w:rFonts w:hint="default" w:ascii="宋体" w:hAnsi="宋体" w:cs="宋体"/>
                <w:color w:val="000000"/>
                <w:kern w:val="0"/>
                <w:sz w:val="18"/>
                <w:szCs w:val="18"/>
                <w:lang w:bidi="ar"/>
              </w:rPr>
              <w:t>15</w:t>
            </w:r>
          </w:p>
        </w:tc>
        <w:tc>
          <w:tcPr>
            <w:tcW w:w="706" w:type="dxa"/>
            <w:tcBorders>
              <w:tl2br w:val="nil"/>
              <w:tr2bl w:val="nil"/>
            </w:tcBorders>
            <w:vAlign w:val="center"/>
          </w:tcPr>
          <w:p w14:paraId="10A97355">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r w14:paraId="7E7739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11" w:hRule="atLeast"/>
        </w:trPr>
        <w:tc>
          <w:tcPr>
            <w:tcW w:w="585" w:type="dxa"/>
            <w:vMerge w:val="continue"/>
            <w:tcBorders>
              <w:tl2br w:val="nil"/>
              <w:tr2bl w:val="nil"/>
            </w:tcBorders>
            <w:vAlign w:val="center"/>
          </w:tcPr>
          <w:p w14:paraId="375D3F0C">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614" w:type="dxa"/>
            <w:tcBorders>
              <w:tl2br w:val="nil"/>
              <w:tr2bl w:val="nil"/>
            </w:tcBorders>
            <w:vAlign w:val="center"/>
          </w:tcPr>
          <w:p w14:paraId="0F488E3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环境效益</w:t>
            </w:r>
          </w:p>
        </w:tc>
        <w:tc>
          <w:tcPr>
            <w:tcW w:w="3691" w:type="dxa"/>
            <w:gridSpan w:val="2"/>
            <w:tcBorders>
              <w:tl2br w:val="nil"/>
              <w:tr2bl w:val="nil"/>
            </w:tcBorders>
            <w:vAlign w:val="center"/>
          </w:tcPr>
          <w:p w14:paraId="6D84D288">
            <w:pPr>
              <w:pStyle w:val="25"/>
              <w:keepNext w:val="0"/>
              <w:keepLines w:val="0"/>
              <w:widowControl/>
              <w:suppressLineNumbers w:val="0"/>
              <w:spacing w:before="0" w:beforeAutospacing="0" w:after="0" w:afterAutospacing="0"/>
              <w:ind w:left="0" w:right="0" w:firstLine="0" w:firstLineChars="0"/>
              <w:rPr>
                <w:rFonts w:hint="eastAsia" w:hAnsi="宋体" w:cs="宋体"/>
                <w:sz w:val="18"/>
                <w:szCs w:val="18"/>
              </w:rPr>
            </w:pPr>
            <w:r>
              <w:rPr>
                <w:rFonts w:hint="eastAsia" w:ascii="宋体" w:hAnsi="宋体" w:eastAsia="宋体" w:cs="宋体"/>
                <w:kern w:val="0"/>
                <w:sz w:val="18"/>
                <w:szCs w:val="18"/>
                <w:lang w:val="en-US" w:eastAsia="zh-CN" w:bidi="ar-SA"/>
              </w:rPr>
              <w:t>提供绿色金融认证和评级服务时，服务的应用场景和使用带来的节能减排效果，由申请认定评价的企业事业单位定性描述</w:t>
            </w:r>
          </w:p>
        </w:tc>
        <w:tc>
          <w:tcPr>
            <w:tcW w:w="3263" w:type="dxa"/>
            <w:tcBorders>
              <w:tl2br w:val="nil"/>
              <w:tr2bl w:val="nil"/>
            </w:tcBorders>
            <w:vAlign w:val="center"/>
          </w:tcPr>
          <w:p w14:paraId="1B8DA398">
            <w:pPr>
              <w:pStyle w:val="25"/>
              <w:keepNext w:val="0"/>
              <w:keepLines w:val="0"/>
              <w:widowControl/>
              <w:suppressLineNumbers w:val="0"/>
              <w:spacing w:before="0" w:beforeAutospacing="0" w:after="0" w:afterAutospacing="0"/>
              <w:ind w:left="0" w:right="0" w:firstLine="0" w:firstLineChars="0"/>
              <w:rPr>
                <w:rFonts w:hint="eastAsia" w:hAnsi="宋体" w:cs="宋体"/>
                <w:sz w:val="18"/>
                <w:szCs w:val="18"/>
              </w:rPr>
            </w:pPr>
            <w:r>
              <w:rPr>
                <w:rFonts w:hint="eastAsia" w:hAnsi="宋体" w:cs="宋体"/>
                <w:sz w:val="18"/>
                <w:szCs w:val="18"/>
              </w:rPr>
              <w:t>a.</w:t>
            </w:r>
            <w:r>
              <w:rPr>
                <w:rFonts w:hint="eastAsia" w:ascii="宋体" w:hAnsi="宋体" w:eastAsia="宋体" w:cs="宋体"/>
                <w:kern w:val="0"/>
                <w:sz w:val="18"/>
                <w:szCs w:val="18"/>
                <w:lang w:val="en-US" w:eastAsia="zh-CN" w:bidi="ar-SA"/>
              </w:rPr>
              <w:t>产生实际环境效益贡献量较高</w:t>
            </w:r>
            <w:r>
              <w:rPr>
                <w:rFonts w:hint="eastAsia" w:hAnsi="宋体" w:cs="宋体"/>
                <w:sz w:val="18"/>
                <w:szCs w:val="18"/>
              </w:rPr>
              <w:t>。（3分，5分]</w:t>
            </w:r>
          </w:p>
          <w:p w14:paraId="23C9BF2F">
            <w:pPr>
              <w:pStyle w:val="25"/>
              <w:keepNext w:val="0"/>
              <w:keepLines w:val="0"/>
              <w:widowControl/>
              <w:suppressLineNumbers w:val="0"/>
              <w:spacing w:before="0" w:beforeAutospacing="0" w:after="0" w:afterAutospacing="0"/>
              <w:ind w:left="0" w:right="0" w:firstLine="0" w:firstLineChars="0"/>
              <w:rPr>
                <w:rFonts w:hint="eastAsia" w:hAnsi="宋体" w:cs="宋体"/>
                <w:sz w:val="18"/>
                <w:szCs w:val="18"/>
              </w:rPr>
            </w:pPr>
            <w:r>
              <w:rPr>
                <w:rFonts w:hint="eastAsia" w:hAnsi="宋体" w:cs="宋体"/>
                <w:sz w:val="18"/>
                <w:szCs w:val="18"/>
              </w:rPr>
              <w:t>b.</w:t>
            </w:r>
            <w:r>
              <w:rPr>
                <w:rFonts w:hint="eastAsia" w:ascii="宋体" w:hAnsi="宋体" w:eastAsia="宋体" w:cs="宋体"/>
                <w:kern w:val="0"/>
                <w:sz w:val="18"/>
                <w:szCs w:val="18"/>
                <w:lang w:val="en-US" w:eastAsia="zh-CN" w:bidi="ar-SA"/>
              </w:rPr>
              <w:t>产生实际环境效益贡献量一般</w:t>
            </w:r>
            <w:r>
              <w:rPr>
                <w:rFonts w:hint="eastAsia" w:hAnsi="宋体" w:cs="宋体"/>
                <w:sz w:val="18"/>
                <w:szCs w:val="18"/>
              </w:rPr>
              <w:t>。（1分，3分]</w:t>
            </w:r>
          </w:p>
          <w:p w14:paraId="0DB83410">
            <w:pPr>
              <w:pStyle w:val="25"/>
              <w:keepNext w:val="0"/>
              <w:keepLines w:val="0"/>
              <w:widowControl/>
              <w:suppressLineNumbers w:val="0"/>
              <w:spacing w:before="0" w:beforeAutospacing="0" w:after="0" w:afterAutospacing="0"/>
              <w:ind w:left="0" w:right="0" w:firstLine="0" w:firstLineChars="0"/>
              <w:rPr>
                <w:rFonts w:hint="eastAsia" w:hAnsi="宋体" w:cs="宋体"/>
                <w:sz w:val="18"/>
                <w:szCs w:val="18"/>
              </w:rPr>
            </w:pPr>
            <w:r>
              <w:rPr>
                <w:rFonts w:hint="eastAsia" w:hAnsi="宋体" w:cs="宋体"/>
                <w:sz w:val="18"/>
                <w:szCs w:val="18"/>
              </w:rPr>
              <w:t>c.</w:t>
            </w:r>
            <w:r>
              <w:rPr>
                <w:rFonts w:hint="eastAsia" w:ascii="宋体" w:hAnsi="宋体" w:eastAsia="宋体" w:cs="宋体"/>
                <w:kern w:val="0"/>
                <w:sz w:val="18"/>
                <w:szCs w:val="18"/>
                <w:lang w:val="en-US" w:eastAsia="zh-CN" w:bidi="ar-SA"/>
              </w:rPr>
              <w:t>产生实际环境效益贡献量较少</w:t>
            </w:r>
            <w:r>
              <w:rPr>
                <w:rFonts w:hint="eastAsia" w:hAnsi="宋体" w:cs="宋体"/>
                <w:sz w:val="18"/>
                <w:szCs w:val="18"/>
              </w:rPr>
              <w:t>。（0分，1分]</w:t>
            </w:r>
          </w:p>
          <w:p w14:paraId="6EB1EFF3">
            <w:pPr>
              <w:pStyle w:val="25"/>
              <w:keepNext w:val="0"/>
              <w:keepLines w:val="0"/>
              <w:widowControl/>
              <w:suppressLineNumbers w:val="0"/>
              <w:spacing w:before="0" w:beforeAutospacing="0" w:after="0" w:afterAutospacing="0"/>
              <w:ind w:left="0" w:right="0" w:firstLine="0" w:firstLineChars="0"/>
              <w:rPr>
                <w:rFonts w:hint="eastAsia" w:hAnsi="宋体" w:cs="宋体"/>
                <w:sz w:val="18"/>
                <w:szCs w:val="18"/>
              </w:rPr>
            </w:pPr>
            <w:r>
              <w:rPr>
                <w:rFonts w:hint="eastAsia" w:hAnsi="宋体" w:cs="宋体"/>
                <w:sz w:val="18"/>
                <w:szCs w:val="18"/>
              </w:rPr>
              <w:t>d.未产生实际环境效益。（0分）</w:t>
            </w:r>
          </w:p>
        </w:tc>
        <w:tc>
          <w:tcPr>
            <w:tcW w:w="700" w:type="dxa"/>
            <w:tcBorders>
              <w:tl2br w:val="nil"/>
              <w:tr2bl w:val="nil"/>
            </w:tcBorders>
            <w:vAlign w:val="center"/>
          </w:tcPr>
          <w:p w14:paraId="3B4F2893">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rPr>
            </w:pPr>
            <w:r>
              <w:rPr>
                <w:rFonts w:hint="eastAsia" w:ascii="宋体" w:hAnsi="宋体" w:cs="宋体"/>
                <w:color w:val="000000"/>
                <w:kern w:val="0"/>
                <w:sz w:val="18"/>
                <w:szCs w:val="18"/>
                <w:lang w:bidi="ar"/>
              </w:rPr>
              <w:t>5</w:t>
            </w:r>
          </w:p>
        </w:tc>
        <w:tc>
          <w:tcPr>
            <w:tcW w:w="706" w:type="dxa"/>
            <w:tcBorders>
              <w:tl2br w:val="nil"/>
              <w:tr2bl w:val="nil"/>
            </w:tcBorders>
            <w:vAlign w:val="center"/>
          </w:tcPr>
          <w:p w14:paraId="66D46D6F">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bl>
    <w:p w14:paraId="3EF71E6E">
      <w:pPr>
        <w:numPr>
          <w:ilvl w:val="1"/>
          <w:numId w:val="0"/>
        </w:numPr>
        <w:spacing w:before="312" w:beforeLines="100" w:after="156" w:afterLines="50"/>
        <w:jc w:val="center"/>
      </w:pPr>
      <w:r>
        <w:rPr>
          <w:rFonts w:hint="eastAsia" w:ascii="黑体" w:hAnsi="黑体" w:eastAsia="黑体" w:cs="黑体"/>
          <w:szCs w:val="21"/>
        </w:rPr>
        <w:t>表C.2  绿色金融认证和评级领域绿色低碳产业企业认定综合评价指标</w:t>
      </w:r>
      <w:r>
        <w:rPr>
          <w:rFonts w:hint="eastAsia" w:ascii="宋体" w:hAnsi="宋体" w:cs="宋体"/>
          <w:szCs w:val="21"/>
        </w:rPr>
        <w:t>（续）</w:t>
      </w:r>
    </w:p>
    <w:tbl>
      <w:tblPr>
        <w:tblStyle w:val="36"/>
        <w:tblpPr w:leftFromText="180" w:rightFromText="180" w:vertAnchor="text" w:tblpXSpec="center" w:tblpY="1"/>
        <w:tblOverlap w:val="never"/>
        <w:tblW w:w="95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85"/>
        <w:gridCol w:w="614"/>
        <w:gridCol w:w="1004"/>
        <w:gridCol w:w="1893"/>
        <w:gridCol w:w="4057"/>
        <w:gridCol w:w="700"/>
        <w:gridCol w:w="706"/>
      </w:tblGrid>
      <w:tr w14:paraId="56C374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585" w:type="dxa"/>
            <w:tcBorders>
              <w:bottom w:val="single" w:color="auto" w:sz="12" w:space="0"/>
            </w:tcBorders>
            <w:vAlign w:val="center"/>
          </w:tcPr>
          <w:p w14:paraId="2957453E">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default" w:ascii="宋体"/>
                <w:b/>
                <w:sz w:val="18"/>
                <w:szCs w:val="18"/>
              </w:rPr>
              <w:t>一级指标</w:t>
            </w:r>
          </w:p>
        </w:tc>
        <w:tc>
          <w:tcPr>
            <w:tcW w:w="614" w:type="dxa"/>
            <w:tcBorders>
              <w:bottom w:val="single" w:color="auto" w:sz="12" w:space="0"/>
            </w:tcBorders>
            <w:vAlign w:val="center"/>
          </w:tcPr>
          <w:p w14:paraId="140828DA">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default" w:ascii="宋体"/>
                <w:b/>
                <w:sz w:val="18"/>
                <w:szCs w:val="18"/>
              </w:rPr>
              <w:t>二级指标</w:t>
            </w:r>
          </w:p>
        </w:tc>
        <w:tc>
          <w:tcPr>
            <w:tcW w:w="1004" w:type="dxa"/>
            <w:tcBorders>
              <w:bottom w:val="single" w:color="auto" w:sz="12" w:space="0"/>
            </w:tcBorders>
            <w:vAlign w:val="center"/>
          </w:tcPr>
          <w:p w14:paraId="1813F80F">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default" w:ascii="宋体"/>
                <w:b/>
                <w:sz w:val="18"/>
                <w:szCs w:val="18"/>
              </w:rPr>
              <w:t>三级指标</w:t>
            </w:r>
          </w:p>
        </w:tc>
        <w:tc>
          <w:tcPr>
            <w:tcW w:w="1893" w:type="dxa"/>
            <w:tcBorders>
              <w:bottom w:val="single" w:color="auto" w:sz="12" w:space="0"/>
            </w:tcBorders>
            <w:vAlign w:val="center"/>
          </w:tcPr>
          <w:p w14:paraId="51200827">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eastAsia" w:ascii="宋体"/>
                <w:b/>
                <w:sz w:val="18"/>
                <w:szCs w:val="18"/>
              </w:rPr>
              <w:t>评价要求</w:t>
            </w:r>
          </w:p>
        </w:tc>
        <w:tc>
          <w:tcPr>
            <w:tcW w:w="4057" w:type="dxa"/>
            <w:tcBorders>
              <w:bottom w:val="single" w:color="auto" w:sz="12" w:space="0"/>
            </w:tcBorders>
            <w:vAlign w:val="center"/>
          </w:tcPr>
          <w:p w14:paraId="54E59C8E">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eastAsia" w:ascii="宋体"/>
                <w:b/>
                <w:sz w:val="18"/>
                <w:szCs w:val="18"/>
              </w:rPr>
              <w:t>评分标准</w:t>
            </w:r>
          </w:p>
        </w:tc>
        <w:tc>
          <w:tcPr>
            <w:tcW w:w="700" w:type="dxa"/>
            <w:tcBorders>
              <w:bottom w:val="single" w:color="auto" w:sz="12" w:space="0"/>
            </w:tcBorders>
            <w:vAlign w:val="center"/>
          </w:tcPr>
          <w:p w14:paraId="07B3CC01">
            <w:pPr>
              <w:keepNext w:val="0"/>
              <w:keepLines w:val="0"/>
              <w:suppressLineNumbers w:val="0"/>
              <w:autoSpaceDE w:val="0"/>
              <w:autoSpaceDN w:val="0"/>
              <w:spacing w:before="0" w:beforeAutospacing="0" w:after="0" w:afterAutospacing="0"/>
              <w:ind w:left="0" w:right="0"/>
              <w:rPr>
                <w:rFonts w:hint="default" w:ascii="宋体"/>
                <w:b/>
                <w:sz w:val="18"/>
                <w:szCs w:val="18"/>
              </w:rPr>
            </w:pPr>
            <w:r>
              <w:rPr>
                <w:rFonts w:hint="default" w:ascii="宋体"/>
                <w:b/>
                <w:sz w:val="18"/>
                <w:szCs w:val="18"/>
              </w:rPr>
              <w:t>分值</w:t>
            </w:r>
            <w:r>
              <w:rPr>
                <w:rFonts w:hint="eastAsia" w:ascii="宋体"/>
                <w:b/>
                <w:sz w:val="18"/>
                <w:szCs w:val="18"/>
              </w:rPr>
              <w:t>（分）</w:t>
            </w:r>
          </w:p>
        </w:tc>
        <w:tc>
          <w:tcPr>
            <w:tcW w:w="706" w:type="dxa"/>
            <w:tcBorders>
              <w:bottom w:val="single" w:color="auto" w:sz="12" w:space="0"/>
            </w:tcBorders>
            <w:vAlign w:val="center"/>
          </w:tcPr>
          <w:p w14:paraId="17A602BB">
            <w:pPr>
              <w:keepNext w:val="0"/>
              <w:keepLines w:val="0"/>
              <w:suppressLineNumbers w:val="0"/>
              <w:autoSpaceDE w:val="0"/>
              <w:autoSpaceDN w:val="0"/>
              <w:spacing w:before="0" w:beforeAutospacing="0" w:after="0" w:afterAutospacing="0"/>
              <w:ind w:left="0" w:right="0"/>
              <w:rPr>
                <w:rFonts w:hint="default" w:ascii="宋体"/>
                <w:b/>
                <w:sz w:val="18"/>
                <w:szCs w:val="18"/>
              </w:rPr>
            </w:pPr>
            <w:r>
              <w:rPr>
                <w:rFonts w:hint="default" w:ascii="宋体"/>
                <w:b/>
                <w:sz w:val="18"/>
                <w:szCs w:val="18"/>
              </w:rPr>
              <w:t>得分</w:t>
            </w:r>
            <w:r>
              <w:rPr>
                <w:rFonts w:hint="eastAsia" w:ascii="宋体"/>
                <w:b/>
                <w:sz w:val="18"/>
                <w:szCs w:val="18"/>
              </w:rPr>
              <w:t>（分）</w:t>
            </w:r>
          </w:p>
        </w:tc>
      </w:tr>
      <w:tr w14:paraId="18A203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9" w:hRule="atLeast"/>
        </w:trPr>
        <w:tc>
          <w:tcPr>
            <w:tcW w:w="585" w:type="dxa"/>
            <w:vMerge w:val="restart"/>
            <w:tcBorders>
              <w:top w:val="single" w:color="auto" w:sz="12" w:space="0"/>
              <w:tl2br w:val="nil"/>
              <w:tr2bl w:val="nil"/>
            </w:tcBorders>
            <w:vAlign w:val="center"/>
          </w:tcPr>
          <w:p w14:paraId="235A72E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业务表现</w:t>
            </w:r>
          </w:p>
        </w:tc>
        <w:tc>
          <w:tcPr>
            <w:tcW w:w="614" w:type="dxa"/>
            <w:vMerge w:val="restart"/>
            <w:tcBorders>
              <w:top w:val="single" w:color="auto" w:sz="12" w:space="0"/>
              <w:tl2br w:val="nil"/>
              <w:tr2bl w:val="nil"/>
            </w:tcBorders>
            <w:vAlign w:val="center"/>
          </w:tcPr>
          <w:p w14:paraId="5FF5E3AC">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发展能力</w:t>
            </w:r>
          </w:p>
        </w:tc>
        <w:tc>
          <w:tcPr>
            <w:tcW w:w="1004" w:type="dxa"/>
            <w:tcBorders>
              <w:top w:val="single" w:color="auto" w:sz="12" w:space="0"/>
              <w:tl2br w:val="nil"/>
              <w:tr2bl w:val="nil"/>
            </w:tcBorders>
            <w:vAlign w:val="center"/>
          </w:tcPr>
          <w:p w14:paraId="772C37B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团队技术实力</w:t>
            </w:r>
          </w:p>
        </w:tc>
        <w:tc>
          <w:tcPr>
            <w:tcW w:w="1893" w:type="dxa"/>
            <w:tcBorders>
              <w:top w:val="single" w:color="auto" w:sz="12" w:space="0"/>
              <w:tl2br w:val="nil"/>
              <w:tr2bl w:val="nil"/>
            </w:tcBorders>
            <w:vAlign w:val="center"/>
          </w:tcPr>
          <w:p w14:paraId="766164F4">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从</w:t>
            </w:r>
            <w:r>
              <w:rPr>
                <w:rFonts w:hint="eastAsia" w:ascii="宋体" w:hAnsi="宋体" w:eastAsia="宋体" w:cs="宋体"/>
                <w:kern w:val="0"/>
                <w:sz w:val="18"/>
                <w:szCs w:val="18"/>
                <w:lang w:val="en-US" w:eastAsia="zh-CN" w:bidi="ar"/>
              </w:rPr>
              <w:t>团队成员人员、相关工作年限、学历职称等</w:t>
            </w:r>
            <w:r>
              <w:rPr>
                <w:rFonts w:hint="eastAsia" w:hAnsi="宋体" w:cs="宋体"/>
                <w:sz w:val="18"/>
                <w:szCs w:val="18"/>
              </w:rPr>
              <w:t>等方面进行综合评价，人员通过劳动合同、缴纳社会保险或是否累计实际工作时间在183天以上来鉴别</w:t>
            </w:r>
          </w:p>
        </w:tc>
        <w:tc>
          <w:tcPr>
            <w:tcW w:w="4057" w:type="dxa"/>
            <w:tcBorders>
              <w:top w:val="single" w:color="auto" w:sz="12" w:space="0"/>
              <w:tl2br w:val="nil"/>
              <w:tr2bl w:val="nil"/>
            </w:tcBorders>
            <w:vAlign w:val="center"/>
          </w:tcPr>
          <w:p w14:paraId="116AD4F6">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a.</w:t>
            </w:r>
            <w:r>
              <w:rPr>
                <w:rFonts w:hint="eastAsia" w:ascii="宋体" w:hAnsi="宋体" w:eastAsia="宋体" w:cs="宋体"/>
                <w:kern w:val="0"/>
                <w:sz w:val="18"/>
                <w:szCs w:val="18"/>
                <w:lang w:val="en-US" w:eastAsia="zh-CN" w:bidi="ar"/>
              </w:rPr>
              <w:t>人员配置合理，至少配备 6 名及以上从事绿色金融认证和评级领域工作的人员，且其相关工作经验达 2 年及以上；同时，团队中至少有一名具备高级职称或拥有博士学位的人员</w:t>
            </w:r>
            <w:r>
              <w:rPr>
                <w:rFonts w:hint="eastAsia" w:hAnsi="宋体" w:cs="宋体"/>
                <w:sz w:val="18"/>
                <w:szCs w:val="18"/>
              </w:rPr>
              <w:t>。（10分，15分]</w:t>
            </w:r>
          </w:p>
          <w:p w14:paraId="0DF49885">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b.</w:t>
            </w:r>
            <w:r>
              <w:rPr>
                <w:rFonts w:hint="eastAsia" w:ascii="宋体" w:hAnsi="宋体" w:eastAsia="宋体" w:cs="宋体"/>
                <w:kern w:val="0"/>
                <w:sz w:val="18"/>
                <w:szCs w:val="18"/>
                <w:lang w:val="en-US" w:eastAsia="zh-CN" w:bidi="ar"/>
              </w:rPr>
              <w:t>人员配置合理，至少配备3 名及以上从事绿色金融认证和评级领域工作的人员，且其相关工作经验达 2 年及以上；同时，团队中至少有一名具备高级职称或拥有博士学位的人员</w:t>
            </w:r>
            <w:r>
              <w:rPr>
                <w:rFonts w:hint="eastAsia" w:hAnsi="宋体" w:cs="宋体"/>
                <w:sz w:val="18"/>
                <w:szCs w:val="18"/>
              </w:rPr>
              <w:t>。</w:t>
            </w:r>
          </w:p>
          <w:p w14:paraId="4A789FA2">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w:t>
            </w:r>
            <w:r>
              <w:rPr>
                <w:rFonts w:hint="default" w:hAnsi="宋体" w:cs="宋体"/>
                <w:sz w:val="18"/>
                <w:szCs w:val="18"/>
              </w:rPr>
              <w:t>8</w:t>
            </w:r>
            <w:r>
              <w:rPr>
                <w:rFonts w:hint="eastAsia" w:hAnsi="宋体" w:cs="宋体"/>
                <w:sz w:val="18"/>
                <w:szCs w:val="18"/>
              </w:rPr>
              <w:t>分，</w:t>
            </w:r>
            <w:r>
              <w:rPr>
                <w:rFonts w:hint="default" w:hAnsi="宋体" w:cs="宋体"/>
                <w:sz w:val="18"/>
                <w:szCs w:val="18"/>
              </w:rPr>
              <w:t>13</w:t>
            </w:r>
            <w:r>
              <w:rPr>
                <w:rFonts w:hint="eastAsia" w:hAnsi="宋体" w:cs="宋体"/>
                <w:sz w:val="18"/>
                <w:szCs w:val="18"/>
              </w:rPr>
              <w:t>分]</w:t>
            </w:r>
          </w:p>
          <w:p w14:paraId="1090E185">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c.团队资质和实力一般。（0分，5分]</w:t>
            </w:r>
          </w:p>
          <w:p w14:paraId="212872BA">
            <w:pPr>
              <w:pStyle w:val="25"/>
              <w:keepNext w:val="0"/>
              <w:keepLines w:val="0"/>
              <w:widowControl/>
              <w:suppressLineNumbers w:val="0"/>
              <w:spacing w:before="0" w:beforeAutospacing="0" w:after="0" w:afterAutospacing="0"/>
              <w:ind w:left="0" w:right="0" w:firstLine="0" w:firstLineChars="0"/>
              <w:rPr>
                <w:rFonts w:hint="default" w:ascii="宋体" w:hAnsi="宋体" w:cs="宋体"/>
                <w:sz w:val="18"/>
                <w:szCs w:val="18"/>
              </w:rPr>
            </w:pPr>
            <w:r>
              <w:rPr>
                <w:rFonts w:hint="eastAsia" w:ascii="宋体" w:hAnsi="宋体" w:cs="宋体"/>
                <w:sz w:val="18"/>
                <w:szCs w:val="18"/>
              </w:rPr>
              <w:t>d.在满足上述基础上，每增加</w:t>
            </w:r>
            <w:r>
              <w:rPr>
                <w:rFonts w:hint="eastAsia" w:ascii="宋体" w:hAnsi="宋体" w:cs="宋体"/>
                <w:sz w:val="18"/>
                <w:szCs w:val="18"/>
                <w:lang w:val="en-US" w:eastAsia="zh-CN"/>
              </w:rPr>
              <w:t>1名</w:t>
            </w:r>
            <w:r>
              <w:rPr>
                <w:rFonts w:hint="eastAsia" w:ascii="宋体" w:hAnsi="宋体" w:cs="宋体"/>
                <w:sz w:val="18"/>
                <w:szCs w:val="18"/>
              </w:rPr>
              <w:t>从事绿色金融认证和评级领域相关工作达2年或以上年限的团队人员，加1分；</w:t>
            </w:r>
            <w:r>
              <w:rPr>
                <w:rFonts w:hint="eastAsia" w:ascii="宋体" w:hAnsi="宋体" w:eastAsia="宋体" w:cs="宋体"/>
                <w:kern w:val="0"/>
                <w:sz w:val="18"/>
                <w:szCs w:val="18"/>
                <w:lang w:val="en-US" w:eastAsia="zh-CN" w:bidi="ar"/>
              </w:rPr>
              <w:t>每增加1名从事绿色金融认证和评级领域的高级职称或博士人员</w:t>
            </w:r>
            <w:r>
              <w:rPr>
                <w:rFonts w:hint="eastAsia" w:ascii="宋体" w:hAnsi="宋体" w:cs="宋体"/>
                <w:sz w:val="18"/>
                <w:szCs w:val="18"/>
              </w:rPr>
              <w:t>，加1分。</w:t>
            </w:r>
          </w:p>
        </w:tc>
        <w:tc>
          <w:tcPr>
            <w:tcW w:w="700" w:type="dxa"/>
            <w:tcBorders>
              <w:top w:val="single" w:color="auto" w:sz="12" w:space="0"/>
              <w:tl2br w:val="nil"/>
              <w:tr2bl w:val="nil"/>
            </w:tcBorders>
            <w:vAlign w:val="center"/>
          </w:tcPr>
          <w:p w14:paraId="27C60105">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rPr>
            </w:pPr>
            <w:r>
              <w:rPr>
                <w:rFonts w:hint="eastAsia" w:ascii="宋体" w:hAnsi="宋体" w:cs="宋体"/>
                <w:color w:val="000000"/>
                <w:kern w:val="0"/>
                <w:sz w:val="18"/>
                <w:szCs w:val="18"/>
                <w:lang w:bidi="ar"/>
              </w:rPr>
              <w:t>15</w:t>
            </w:r>
          </w:p>
        </w:tc>
        <w:tc>
          <w:tcPr>
            <w:tcW w:w="706" w:type="dxa"/>
            <w:tcBorders>
              <w:top w:val="single" w:color="auto" w:sz="12" w:space="0"/>
              <w:tl2br w:val="nil"/>
              <w:tr2bl w:val="nil"/>
            </w:tcBorders>
            <w:vAlign w:val="center"/>
          </w:tcPr>
          <w:p w14:paraId="7221E02D">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r w14:paraId="03A9EE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97" w:hRule="atLeast"/>
        </w:trPr>
        <w:tc>
          <w:tcPr>
            <w:tcW w:w="585" w:type="dxa"/>
            <w:vMerge w:val="continue"/>
            <w:tcBorders>
              <w:tl2br w:val="nil"/>
              <w:tr2bl w:val="nil"/>
            </w:tcBorders>
            <w:vAlign w:val="center"/>
          </w:tcPr>
          <w:p w14:paraId="1A6D27BC">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614" w:type="dxa"/>
            <w:vMerge w:val="continue"/>
            <w:tcBorders>
              <w:tl2br w:val="nil"/>
              <w:tr2bl w:val="nil"/>
            </w:tcBorders>
            <w:vAlign w:val="center"/>
          </w:tcPr>
          <w:p w14:paraId="689A0FC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1004" w:type="dxa"/>
            <w:tcBorders>
              <w:tl2br w:val="nil"/>
              <w:tr2bl w:val="nil"/>
            </w:tcBorders>
            <w:vAlign w:val="center"/>
          </w:tcPr>
          <w:p w14:paraId="795CB6E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研发投入</w:t>
            </w:r>
          </w:p>
        </w:tc>
        <w:tc>
          <w:tcPr>
            <w:tcW w:w="1893" w:type="dxa"/>
            <w:tcBorders>
              <w:tl2br w:val="nil"/>
              <w:tr2bl w:val="nil"/>
            </w:tcBorders>
            <w:vAlign w:val="center"/>
          </w:tcPr>
          <w:p w14:paraId="74E2E702">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从绿色金融认证和评级领域相关研发投入占比或研发投入金额进行综合评价，研发投入以上一个会计年度的情况为准</w:t>
            </w:r>
          </w:p>
        </w:tc>
        <w:tc>
          <w:tcPr>
            <w:tcW w:w="4057" w:type="dxa"/>
            <w:tcBorders>
              <w:tl2br w:val="nil"/>
              <w:tr2bl w:val="nil"/>
            </w:tcBorders>
            <w:vAlign w:val="center"/>
          </w:tcPr>
          <w:p w14:paraId="3FC51F0E">
            <w:pPr>
              <w:keepNext w:val="0"/>
              <w:keepLines w:val="0"/>
              <w:suppressLineNumbers w:val="0"/>
              <w:tabs>
                <w:tab w:val="center" w:pos="4201"/>
                <w:tab w:val="right" w:leader="dot" w:pos="9298"/>
              </w:tabs>
              <w:spacing w:before="0" w:beforeAutospacing="0" w:after="0" w:afterAutospacing="0"/>
              <w:ind w:left="0" w:right="0"/>
              <w:rPr>
                <w:rFonts w:hint="default" w:ascii="宋体" w:hAnsi="宋体" w:cs="宋体"/>
                <w:kern w:val="0"/>
                <w:sz w:val="18"/>
                <w:szCs w:val="18"/>
              </w:rPr>
            </w:pPr>
            <w:r>
              <w:rPr>
                <w:rFonts w:hint="eastAsia" w:ascii="宋体" w:hAnsi="宋体" w:cs="宋体"/>
                <w:kern w:val="0"/>
                <w:sz w:val="18"/>
                <w:szCs w:val="18"/>
              </w:rPr>
              <w:t>a.最近一年营业收入在5000万元以上的企事业单位，比例不低于</w:t>
            </w:r>
            <w:r>
              <w:rPr>
                <w:rFonts w:hint="eastAsia" w:ascii="宋体" w:hAnsi="宋体" w:cs="宋体"/>
                <w:kern w:val="0"/>
                <w:sz w:val="18"/>
                <w:szCs w:val="18"/>
                <w:lang w:val="en-US" w:eastAsia="zh-CN"/>
              </w:rPr>
              <w:t>2</w:t>
            </w:r>
            <w:r>
              <w:rPr>
                <w:rFonts w:hint="eastAsia" w:ascii="宋体" w:hAnsi="宋体" w:cs="宋体"/>
                <w:kern w:val="0"/>
                <w:sz w:val="18"/>
                <w:szCs w:val="18"/>
              </w:rPr>
              <w:t>%，或不低于</w:t>
            </w:r>
            <w:r>
              <w:rPr>
                <w:rFonts w:hint="eastAsia" w:ascii="宋体" w:hAnsi="宋体" w:cs="宋体"/>
                <w:kern w:val="0"/>
                <w:sz w:val="18"/>
                <w:szCs w:val="18"/>
                <w:lang w:val="en-US" w:eastAsia="zh-CN"/>
              </w:rPr>
              <w:t>100</w:t>
            </w:r>
            <w:r>
              <w:rPr>
                <w:rFonts w:hint="eastAsia" w:ascii="宋体" w:hAnsi="宋体" w:cs="宋体"/>
                <w:kern w:val="0"/>
                <w:sz w:val="18"/>
                <w:szCs w:val="18"/>
              </w:rPr>
              <w:t>万元。（3分）</w:t>
            </w:r>
          </w:p>
          <w:p w14:paraId="08452226">
            <w:pPr>
              <w:keepNext w:val="0"/>
              <w:keepLines w:val="0"/>
              <w:suppressLineNumbers w:val="0"/>
              <w:tabs>
                <w:tab w:val="center" w:pos="4201"/>
                <w:tab w:val="right" w:leader="dot" w:pos="9298"/>
              </w:tabs>
              <w:spacing w:before="0" w:beforeAutospacing="0" w:after="0" w:afterAutospacing="0"/>
              <w:ind w:left="0" w:right="0"/>
              <w:rPr>
                <w:rFonts w:hint="default" w:ascii="宋体" w:hAnsi="宋体" w:cs="宋体"/>
                <w:kern w:val="0"/>
                <w:sz w:val="18"/>
                <w:szCs w:val="18"/>
              </w:rPr>
            </w:pPr>
            <w:r>
              <w:rPr>
                <w:rFonts w:hint="eastAsia" w:ascii="宋体" w:hAnsi="宋体" w:cs="宋体"/>
                <w:kern w:val="0"/>
                <w:sz w:val="18"/>
                <w:szCs w:val="18"/>
              </w:rPr>
              <w:t>b.最近一年营业收入在1000万元至5000万元（含）的企事业单位，比例不低于</w:t>
            </w:r>
            <w:r>
              <w:rPr>
                <w:rFonts w:hint="eastAsia" w:ascii="宋体" w:hAnsi="宋体" w:cs="宋体"/>
                <w:kern w:val="0"/>
                <w:sz w:val="18"/>
                <w:szCs w:val="18"/>
                <w:lang w:val="en-US" w:eastAsia="zh-CN"/>
              </w:rPr>
              <w:t>3</w:t>
            </w:r>
            <w:r>
              <w:rPr>
                <w:rFonts w:hint="eastAsia" w:ascii="宋体" w:hAnsi="宋体" w:cs="宋体"/>
                <w:kern w:val="0"/>
                <w:sz w:val="18"/>
                <w:szCs w:val="18"/>
              </w:rPr>
              <w:t>%，或不低于</w:t>
            </w:r>
            <w:r>
              <w:rPr>
                <w:rFonts w:hint="eastAsia" w:ascii="宋体" w:hAnsi="宋体" w:cs="宋体"/>
                <w:kern w:val="0"/>
                <w:sz w:val="18"/>
                <w:szCs w:val="18"/>
                <w:lang w:val="en-US" w:eastAsia="zh-CN"/>
              </w:rPr>
              <w:t>60</w:t>
            </w:r>
            <w:r>
              <w:rPr>
                <w:rFonts w:hint="eastAsia" w:ascii="宋体" w:hAnsi="宋体" w:cs="宋体"/>
                <w:kern w:val="0"/>
                <w:sz w:val="18"/>
                <w:szCs w:val="18"/>
              </w:rPr>
              <w:t>万元。（3分）</w:t>
            </w:r>
          </w:p>
          <w:p w14:paraId="5F3BB8E9">
            <w:pPr>
              <w:keepNext w:val="0"/>
              <w:keepLines w:val="0"/>
              <w:suppressLineNumbers w:val="0"/>
              <w:tabs>
                <w:tab w:val="center" w:pos="4201"/>
                <w:tab w:val="right" w:leader="dot" w:pos="9298"/>
              </w:tabs>
              <w:spacing w:before="0" w:beforeAutospacing="0" w:after="0" w:afterAutospacing="0"/>
              <w:ind w:left="0" w:right="0"/>
              <w:rPr>
                <w:rFonts w:hint="default" w:ascii="宋体" w:hAnsi="宋体" w:cs="宋体"/>
                <w:kern w:val="0"/>
                <w:sz w:val="18"/>
                <w:szCs w:val="18"/>
              </w:rPr>
            </w:pPr>
            <w:r>
              <w:rPr>
                <w:rFonts w:hint="eastAsia" w:ascii="宋体" w:hAnsi="宋体" w:cs="宋体"/>
                <w:kern w:val="0"/>
                <w:sz w:val="18"/>
                <w:szCs w:val="18"/>
              </w:rPr>
              <w:t>c.最近一年营业收入小于1000万元（含）的企事业单位，比例不低于</w:t>
            </w:r>
            <w:r>
              <w:rPr>
                <w:rFonts w:hint="eastAsia" w:ascii="宋体" w:hAnsi="宋体" w:cs="宋体"/>
                <w:kern w:val="0"/>
                <w:sz w:val="18"/>
                <w:szCs w:val="18"/>
                <w:lang w:val="en-US" w:eastAsia="zh-CN"/>
              </w:rPr>
              <w:t>4</w:t>
            </w:r>
            <w:r>
              <w:rPr>
                <w:rFonts w:hint="eastAsia" w:ascii="宋体" w:hAnsi="宋体" w:cs="宋体"/>
                <w:kern w:val="0"/>
                <w:sz w:val="18"/>
                <w:szCs w:val="18"/>
              </w:rPr>
              <w:t>%，或不低于</w:t>
            </w:r>
            <w:r>
              <w:rPr>
                <w:rFonts w:hint="eastAsia" w:ascii="宋体" w:hAnsi="宋体" w:cs="宋体"/>
                <w:kern w:val="0"/>
                <w:sz w:val="18"/>
                <w:szCs w:val="18"/>
                <w:lang w:val="en-US" w:eastAsia="zh-CN"/>
              </w:rPr>
              <w:t>40</w:t>
            </w:r>
            <w:r>
              <w:rPr>
                <w:rFonts w:hint="eastAsia" w:ascii="宋体" w:hAnsi="宋体" w:cs="宋体"/>
                <w:kern w:val="0"/>
                <w:sz w:val="18"/>
                <w:szCs w:val="18"/>
              </w:rPr>
              <w:t>万元。（3分）</w:t>
            </w:r>
          </w:p>
          <w:p w14:paraId="1131A9D3">
            <w:pPr>
              <w:keepNext w:val="0"/>
              <w:keepLines w:val="0"/>
              <w:suppressLineNumbers w:val="0"/>
              <w:spacing w:before="0" w:beforeAutospacing="0" w:after="0" w:afterAutospacing="0"/>
              <w:ind w:left="6" w:right="0" w:hanging="6"/>
              <w:rPr>
                <w:rFonts w:hint="default" w:ascii="宋体" w:hAnsi="宋体" w:cs="宋体"/>
              </w:rPr>
            </w:pPr>
            <w:r>
              <w:rPr>
                <w:rFonts w:hint="eastAsia" w:ascii="宋体" w:hAnsi="宋体" w:cs="宋体"/>
                <w:kern w:val="0"/>
                <w:sz w:val="18"/>
                <w:szCs w:val="18"/>
              </w:rPr>
              <w:t>d.未满足上述任何一项。（0分）</w:t>
            </w:r>
          </w:p>
        </w:tc>
        <w:tc>
          <w:tcPr>
            <w:tcW w:w="700" w:type="dxa"/>
            <w:tcBorders>
              <w:tl2br w:val="nil"/>
              <w:tr2bl w:val="nil"/>
            </w:tcBorders>
            <w:vAlign w:val="center"/>
          </w:tcPr>
          <w:p w14:paraId="394CBBB3">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rPr>
            </w:pPr>
            <w:r>
              <w:rPr>
                <w:rFonts w:hint="eastAsia" w:ascii="宋体" w:hAnsi="宋体" w:cs="宋体"/>
                <w:color w:val="000000"/>
                <w:kern w:val="0"/>
                <w:sz w:val="18"/>
                <w:szCs w:val="18"/>
                <w:lang w:bidi="ar"/>
              </w:rPr>
              <w:t>3</w:t>
            </w:r>
          </w:p>
        </w:tc>
        <w:tc>
          <w:tcPr>
            <w:tcW w:w="706" w:type="dxa"/>
            <w:tcBorders>
              <w:tl2br w:val="nil"/>
              <w:tr2bl w:val="nil"/>
            </w:tcBorders>
            <w:vAlign w:val="center"/>
          </w:tcPr>
          <w:p w14:paraId="4FC996C5">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r w14:paraId="4BF1A1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52" w:hRule="atLeast"/>
        </w:trPr>
        <w:tc>
          <w:tcPr>
            <w:tcW w:w="585" w:type="dxa"/>
            <w:vMerge w:val="continue"/>
            <w:tcBorders>
              <w:tl2br w:val="nil"/>
              <w:tr2bl w:val="nil"/>
            </w:tcBorders>
            <w:vAlign w:val="center"/>
          </w:tcPr>
          <w:p w14:paraId="2920B39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614" w:type="dxa"/>
            <w:vMerge w:val="continue"/>
            <w:tcBorders>
              <w:tl2br w:val="nil"/>
              <w:tr2bl w:val="nil"/>
            </w:tcBorders>
            <w:vAlign w:val="center"/>
          </w:tcPr>
          <w:p w14:paraId="6697692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1004" w:type="dxa"/>
            <w:tcBorders>
              <w:tl2br w:val="nil"/>
              <w:tr2bl w:val="nil"/>
            </w:tcBorders>
            <w:vAlign w:val="center"/>
          </w:tcPr>
          <w:p w14:paraId="59A9ABD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运营效益水平</w:t>
            </w:r>
          </w:p>
        </w:tc>
        <w:tc>
          <w:tcPr>
            <w:tcW w:w="1893" w:type="dxa"/>
            <w:tcBorders>
              <w:tl2br w:val="nil"/>
              <w:tr2bl w:val="nil"/>
            </w:tcBorders>
            <w:vAlign w:val="center"/>
          </w:tcPr>
          <w:p w14:paraId="5D3283E3">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业务增长率为当年主营业务收入增长额与上年主营业务收入总额比值，采用近三年平均值进行评估</w:t>
            </w:r>
          </w:p>
        </w:tc>
        <w:tc>
          <w:tcPr>
            <w:tcW w:w="4057" w:type="dxa"/>
            <w:tcBorders>
              <w:tl2br w:val="nil"/>
              <w:tr2bl w:val="nil"/>
            </w:tcBorders>
            <w:vAlign w:val="center"/>
          </w:tcPr>
          <w:p w14:paraId="75FA966B">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a.≥</w:t>
            </w:r>
            <w:r>
              <w:rPr>
                <w:rFonts w:hint="default" w:hAnsi="宋体" w:cs="宋体"/>
                <w:sz w:val="18"/>
                <w:szCs w:val="18"/>
              </w:rPr>
              <w:t>3</w:t>
            </w:r>
            <w:r>
              <w:rPr>
                <w:rFonts w:hint="eastAsia" w:hAnsi="宋体" w:cs="宋体"/>
                <w:sz w:val="18"/>
                <w:szCs w:val="18"/>
              </w:rPr>
              <w:t>%（</w:t>
            </w:r>
            <w:r>
              <w:rPr>
                <w:rFonts w:hint="default" w:hAnsi="宋体" w:cs="宋体"/>
                <w:sz w:val="18"/>
                <w:szCs w:val="18"/>
              </w:rPr>
              <w:t>4</w:t>
            </w:r>
            <w:r>
              <w:rPr>
                <w:rFonts w:hint="eastAsia" w:hAnsi="宋体" w:cs="宋体"/>
                <w:sz w:val="18"/>
                <w:szCs w:val="18"/>
              </w:rPr>
              <w:t>分）</w:t>
            </w:r>
          </w:p>
          <w:p w14:paraId="296989D9">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b.[</w:t>
            </w:r>
            <w:r>
              <w:rPr>
                <w:rFonts w:hint="default" w:hAnsi="宋体" w:cs="宋体"/>
                <w:sz w:val="18"/>
                <w:szCs w:val="18"/>
              </w:rPr>
              <w:t>1</w:t>
            </w:r>
            <w:r>
              <w:rPr>
                <w:rFonts w:hint="eastAsia" w:hAnsi="宋体" w:cs="宋体"/>
                <w:sz w:val="18"/>
                <w:szCs w:val="18"/>
              </w:rPr>
              <w:t>%，</w:t>
            </w:r>
            <w:r>
              <w:rPr>
                <w:rFonts w:hint="default" w:hAnsi="宋体" w:cs="宋体"/>
                <w:sz w:val="18"/>
                <w:szCs w:val="18"/>
              </w:rPr>
              <w:t>3</w:t>
            </w:r>
            <w:r>
              <w:rPr>
                <w:rFonts w:hint="eastAsia" w:hAnsi="宋体" w:cs="宋体"/>
                <w:sz w:val="18"/>
                <w:szCs w:val="18"/>
              </w:rPr>
              <w:t>%）（</w:t>
            </w:r>
            <w:r>
              <w:rPr>
                <w:rFonts w:hint="default" w:hAnsi="宋体" w:cs="宋体"/>
                <w:sz w:val="18"/>
                <w:szCs w:val="18"/>
              </w:rPr>
              <w:t>2</w:t>
            </w:r>
            <w:r>
              <w:rPr>
                <w:rFonts w:hint="eastAsia" w:hAnsi="宋体" w:cs="宋体"/>
                <w:sz w:val="18"/>
                <w:szCs w:val="18"/>
              </w:rPr>
              <w:t>分）</w:t>
            </w:r>
          </w:p>
          <w:p w14:paraId="50DA10CA">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c.[0，</w:t>
            </w:r>
            <w:r>
              <w:rPr>
                <w:rFonts w:hint="default" w:hAnsi="宋体" w:cs="宋体"/>
                <w:sz w:val="18"/>
                <w:szCs w:val="18"/>
              </w:rPr>
              <w:t>1</w:t>
            </w:r>
            <w:r>
              <w:rPr>
                <w:rFonts w:hint="eastAsia" w:hAnsi="宋体" w:cs="宋体"/>
                <w:sz w:val="18"/>
                <w:szCs w:val="18"/>
              </w:rPr>
              <w:t>%）（</w:t>
            </w:r>
            <w:r>
              <w:rPr>
                <w:rFonts w:hint="default" w:hAnsi="宋体" w:cs="宋体"/>
                <w:sz w:val="18"/>
                <w:szCs w:val="18"/>
              </w:rPr>
              <w:t>1</w:t>
            </w:r>
            <w:r>
              <w:rPr>
                <w:rFonts w:hint="eastAsia" w:hAnsi="宋体" w:cs="宋体"/>
                <w:sz w:val="18"/>
                <w:szCs w:val="18"/>
              </w:rPr>
              <w:t>分）</w:t>
            </w:r>
          </w:p>
          <w:p w14:paraId="58C2EFBF">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d.＜0（0分）</w:t>
            </w:r>
          </w:p>
        </w:tc>
        <w:tc>
          <w:tcPr>
            <w:tcW w:w="700" w:type="dxa"/>
            <w:tcBorders>
              <w:tl2br w:val="nil"/>
              <w:tr2bl w:val="nil"/>
            </w:tcBorders>
            <w:vAlign w:val="center"/>
          </w:tcPr>
          <w:p w14:paraId="49744E79">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rPr>
            </w:pPr>
            <w:r>
              <w:rPr>
                <w:rFonts w:hint="default" w:ascii="宋体" w:hAnsi="宋体" w:cs="宋体"/>
                <w:color w:val="000000"/>
                <w:kern w:val="0"/>
                <w:sz w:val="18"/>
                <w:szCs w:val="18"/>
                <w:lang w:bidi="ar"/>
              </w:rPr>
              <w:t>4</w:t>
            </w:r>
          </w:p>
        </w:tc>
        <w:tc>
          <w:tcPr>
            <w:tcW w:w="706" w:type="dxa"/>
            <w:tcBorders>
              <w:tl2br w:val="nil"/>
              <w:tr2bl w:val="nil"/>
            </w:tcBorders>
            <w:vAlign w:val="center"/>
          </w:tcPr>
          <w:p w14:paraId="0DF35ADE">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r w14:paraId="5F4F00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88" w:hRule="atLeast"/>
        </w:trPr>
        <w:tc>
          <w:tcPr>
            <w:tcW w:w="585" w:type="dxa"/>
            <w:vMerge w:val="continue"/>
            <w:tcBorders>
              <w:tl2br w:val="nil"/>
              <w:tr2bl w:val="nil"/>
            </w:tcBorders>
            <w:vAlign w:val="center"/>
          </w:tcPr>
          <w:p w14:paraId="576B834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614" w:type="dxa"/>
            <w:tcBorders>
              <w:tl2br w:val="nil"/>
              <w:tr2bl w:val="nil"/>
            </w:tcBorders>
            <w:vAlign w:val="center"/>
          </w:tcPr>
          <w:p w14:paraId="5297E4D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市场影响</w:t>
            </w:r>
          </w:p>
        </w:tc>
        <w:tc>
          <w:tcPr>
            <w:tcW w:w="1004" w:type="dxa"/>
            <w:tcBorders>
              <w:tl2br w:val="nil"/>
              <w:tr2bl w:val="nil"/>
            </w:tcBorders>
            <w:vAlign w:val="center"/>
          </w:tcPr>
          <w:p w14:paraId="28326F0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市场</w:t>
            </w:r>
          </w:p>
          <w:p w14:paraId="31DA73D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竞争力</w:t>
            </w:r>
          </w:p>
        </w:tc>
        <w:tc>
          <w:tcPr>
            <w:tcW w:w="1893" w:type="dxa"/>
            <w:tcBorders>
              <w:tl2br w:val="nil"/>
              <w:tr2bl w:val="nil"/>
            </w:tcBorders>
            <w:vAlign w:val="center"/>
          </w:tcPr>
          <w:p w14:paraId="249A5167">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从绿色金融认证和评级领域的</w:t>
            </w:r>
            <w:r>
              <w:rPr>
                <w:rFonts w:hint="eastAsia" w:hAnsi="宋体" w:cs="宋体"/>
                <w:sz w:val="18"/>
                <w:szCs w:val="18"/>
                <w:lang w:val="en-US" w:eastAsia="zh-CN"/>
              </w:rPr>
              <w:t>能力资质</w:t>
            </w:r>
            <w:r>
              <w:rPr>
                <w:rFonts w:hint="eastAsia" w:hAnsi="宋体" w:cs="宋体"/>
                <w:sz w:val="18"/>
                <w:szCs w:val="18"/>
              </w:rPr>
              <w:t>进行评价</w:t>
            </w:r>
          </w:p>
        </w:tc>
        <w:tc>
          <w:tcPr>
            <w:tcW w:w="4057" w:type="dxa"/>
            <w:tcBorders>
              <w:tl2br w:val="nil"/>
              <w:tr2bl w:val="nil"/>
            </w:tcBorders>
            <w:vAlign w:val="center"/>
          </w:tcPr>
          <w:p w14:paraId="4F319789">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a.</w:t>
            </w:r>
            <w:r>
              <w:rPr>
                <w:rFonts w:hint="eastAsia" w:ascii="宋体" w:hAnsi="宋体" w:eastAsia="宋体" w:cs="宋体"/>
                <w:kern w:val="0"/>
                <w:sz w:val="18"/>
                <w:szCs w:val="18"/>
                <w:lang w:val="en-US" w:eastAsia="zh-CN" w:bidi="ar"/>
              </w:rPr>
              <w:t>资质优秀，在行业内有优秀的实力和专业水平</w:t>
            </w:r>
            <w:r>
              <w:rPr>
                <w:rFonts w:hint="eastAsia" w:hAnsi="宋体" w:cs="宋体"/>
                <w:sz w:val="18"/>
                <w:szCs w:val="18"/>
              </w:rPr>
              <w:t>。（</w:t>
            </w:r>
            <w:r>
              <w:rPr>
                <w:rFonts w:hint="default" w:hAnsi="宋体" w:cs="宋体"/>
                <w:sz w:val="18"/>
                <w:szCs w:val="18"/>
              </w:rPr>
              <w:t>4</w:t>
            </w:r>
            <w:r>
              <w:rPr>
                <w:rFonts w:hint="eastAsia" w:hAnsi="宋体" w:cs="宋体"/>
                <w:sz w:val="18"/>
                <w:szCs w:val="18"/>
              </w:rPr>
              <w:t>分，</w:t>
            </w:r>
            <w:r>
              <w:rPr>
                <w:rFonts w:hint="default" w:hAnsi="宋体" w:cs="宋体"/>
                <w:sz w:val="18"/>
                <w:szCs w:val="18"/>
              </w:rPr>
              <w:t>6</w:t>
            </w:r>
            <w:r>
              <w:rPr>
                <w:rFonts w:hint="eastAsia" w:hAnsi="宋体" w:cs="宋体"/>
                <w:sz w:val="18"/>
                <w:szCs w:val="18"/>
              </w:rPr>
              <w:t>分]</w:t>
            </w:r>
          </w:p>
          <w:p w14:paraId="3C8F48AC">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b.</w:t>
            </w:r>
            <w:r>
              <w:rPr>
                <w:rFonts w:hint="eastAsia" w:ascii="宋体" w:hAnsi="宋体" w:eastAsia="宋体" w:cs="宋体"/>
                <w:kern w:val="0"/>
                <w:sz w:val="18"/>
                <w:szCs w:val="18"/>
                <w:lang w:val="en-US" w:eastAsia="zh-CN" w:bidi="ar"/>
              </w:rPr>
              <w:t>资质良好，在行业内有良好的实力和专业水平</w:t>
            </w:r>
            <w:r>
              <w:rPr>
                <w:rFonts w:hint="eastAsia" w:hAnsi="宋体" w:cs="宋体"/>
                <w:sz w:val="18"/>
                <w:szCs w:val="18"/>
              </w:rPr>
              <w:t>。（</w:t>
            </w:r>
            <w:r>
              <w:rPr>
                <w:rFonts w:hint="default" w:hAnsi="宋体" w:cs="宋体"/>
                <w:sz w:val="18"/>
                <w:szCs w:val="18"/>
              </w:rPr>
              <w:t>2</w:t>
            </w:r>
            <w:r>
              <w:rPr>
                <w:rFonts w:hint="eastAsia" w:hAnsi="宋体" w:cs="宋体"/>
                <w:sz w:val="18"/>
                <w:szCs w:val="18"/>
              </w:rPr>
              <w:t>分，</w:t>
            </w:r>
            <w:r>
              <w:rPr>
                <w:rFonts w:hint="default" w:hAnsi="宋体" w:cs="宋体"/>
                <w:sz w:val="18"/>
                <w:szCs w:val="18"/>
              </w:rPr>
              <w:t>4</w:t>
            </w:r>
            <w:r>
              <w:rPr>
                <w:rFonts w:hint="eastAsia" w:hAnsi="宋体" w:cs="宋体"/>
                <w:sz w:val="18"/>
                <w:szCs w:val="18"/>
              </w:rPr>
              <w:t>分]</w:t>
            </w:r>
          </w:p>
          <w:p w14:paraId="5FE3C985">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c.</w:t>
            </w:r>
            <w:r>
              <w:rPr>
                <w:rFonts w:hint="eastAsia" w:ascii="宋体" w:hAnsi="宋体" w:eastAsia="宋体" w:cs="宋体"/>
                <w:kern w:val="0"/>
                <w:sz w:val="18"/>
                <w:szCs w:val="18"/>
                <w:lang w:val="en-US" w:eastAsia="zh-CN" w:bidi="ar"/>
              </w:rPr>
              <w:t>资质一般，在行业内有良好的实力和专业水平</w:t>
            </w:r>
            <w:r>
              <w:rPr>
                <w:rFonts w:hint="eastAsia" w:hAnsi="宋体" w:cs="宋体"/>
                <w:sz w:val="18"/>
                <w:szCs w:val="18"/>
              </w:rPr>
              <w:t>。[0分，</w:t>
            </w:r>
            <w:r>
              <w:rPr>
                <w:rFonts w:hint="default" w:hAnsi="宋体" w:cs="宋体"/>
                <w:sz w:val="18"/>
                <w:szCs w:val="18"/>
              </w:rPr>
              <w:t>2</w:t>
            </w:r>
            <w:r>
              <w:rPr>
                <w:rFonts w:hint="eastAsia" w:hAnsi="宋体" w:cs="宋体"/>
                <w:sz w:val="18"/>
                <w:szCs w:val="18"/>
              </w:rPr>
              <w:t>分]</w:t>
            </w:r>
          </w:p>
        </w:tc>
        <w:tc>
          <w:tcPr>
            <w:tcW w:w="700" w:type="dxa"/>
            <w:tcBorders>
              <w:tl2br w:val="nil"/>
              <w:tr2bl w:val="nil"/>
            </w:tcBorders>
            <w:vAlign w:val="center"/>
          </w:tcPr>
          <w:p w14:paraId="40B6E7C1">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rPr>
            </w:pPr>
            <w:r>
              <w:rPr>
                <w:rFonts w:hint="default" w:ascii="宋体" w:hAnsi="宋体" w:cs="宋体"/>
                <w:color w:val="000000"/>
                <w:kern w:val="0"/>
                <w:sz w:val="18"/>
                <w:szCs w:val="18"/>
                <w:lang w:bidi="ar"/>
              </w:rPr>
              <w:t>6</w:t>
            </w:r>
          </w:p>
        </w:tc>
        <w:tc>
          <w:tcPr>
            <w:tcW w:w="706" w:type="dxa"/>
            <w:tcBorders>
              <w:tl2br w:val="nil"/>
              <w:tr2bl w:val="nil"/>
            </w:tcBorders>
            <w:vAlign w:val="center"/>
          </w:tcPr>
          <w:p w14:paraId="43E5BB4B">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bl>
    <w:p w14:paraId="74D1B55C">
      <w:pPr>
        <w:numPr>
          <w:ilvl w:val="1"/>
          <w:numId w:val="0"/>
        </w:numPr>
        <w:spacing w:before="312" w:beforeLines="100" w:after="156" w:afterLines="50"/>
        <w:jc w:val="center"/>
      </w:pPr>
      <w:r>
        <w:rPr>
          <w:rFonts w:hint="eastAsia" w:ascii="黑体" w:hAnsi="黑体" w:eastAsia="黑体" w:cs="黑体"/>
          <w:szCs w:val="21"/>
        </w:rPr>
        <w:t>表C.2  绿色金融认证和评级领域绿色低碳产业企业认定综合评价指标</w:t>
      </w:r>
      <w:r>
        <w:rPr>
          <w:rFonts w:hint="eastAsia" w:ascii="宋体" w:hAnsi="宋体" w:cs="宋体"/>
          <w:szCs w:val="21"/>
        </w:rPr>
        <w:t>（续）</w:t>
      </w:r>
    </w:p>
    <w:tbl>
      <w:tblPr>
        <w:tblStyle w:val="36"/>
        <w:tblpPr w:leftFromText="180" w:rightFromText="180" w:vertAnchor="text" w:tblpXSpec="center" w:tblpY="1"/>
        <w:tblOverlap w:val="never"/>
        <w:tblW w:w="95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85"/>
        <w:gridCol w:w="614"/>
        <w:gridCol w:w="1004"/>
        <w:gridCol w:w="2337"/>
        <w:gridCol w:w="3613"/>
        <w:gridCol w:w="700"/>
        <w:gridCol w:w="706"/>
      </w:tblGrid>
      <w:tr w14:paraId="533FC2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585" w:type="dxa"/>
            <w:tcBorders>
              <w:bottom w:val="single" w:color="auto" w:sz="12" w:space="0"/>
            </w:tcBorders>
            <w:vAlign w:val="center"/>
          </w:tcPr>
          <w:p w14:paraId="2C278C59">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default" w:ascii="宋体"/>
                <w:b/>
                <w:sz w:val="18"/>
                <w:szCs w:val="18"/>
              </w:rPr>
              <w:t>一级指标</w:t>
            </w:r>
          </w:p>
        </w:tc>
        <w:tc>
          <w:tcPr>
            <w:tcW w:w="614" w:type="dxa"/>
            <w:tcBorders>
              <w:bottom w:val="single" w:color="auto" w:sz="12" w:space="0"/>
            </w:tcBorders>
            <w:vAlign w:val="center"/>
          </w:tcPr>
          <w:p w14:paraId="04400AFA">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default" w:ascii="宋体"/>
                <w:b/>
                <w:sz w:val="18"/>
                <w:szCs w:val="18"/>
              </w:rPr>
              <w:t>二级指标</w:t>
            </w:r>
          </w:p>
        </w:tc>
        <w:tc>
          <w:tcPr>
            <w:tcW w:w="1004" w:type="dxa"/>
            <w:tcBorders>
              <w:bottom w:val="single" w:color="auto" w:sz="12" w:space="0"/>
            </w:tcBorders>
            <w:vAlign w:val="center"/>
          </w:tcPr>
          <w:p w14:paraId="27F1C7BA">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default" w:ascii="宋体"/>
                <w:b/>
                <w:sz w:val="18"/>
                <w:szCs w:val="18"/>
              </w:rPr>
              <w:t>三级指标</w:t>
            </w:r>
          </w:p>
        </w:tc>
        <w:tc>
          <w:tcPr>
            <w:tcW w:w="2337" w:type="dxa"/>
            <w:tcBorders>
              <w:bottom w:val="single" w:color="auto" w:sz="12" w:space="0"/>
            </w:tcBorders>
            <w:vAlign w:val="center"/>
          </w:tcPr>
          <w:p w14:paraId="0187F92D">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eastAsia" w:ascii="宋体"/>
                <w:b/>
                <w:sz w:val="18"/>
                <w:szCs w:val="18"/>
              </w:rPr>
              <w:t>评价要求</w:t>
            </w:r>
          </w:p>
        </w:tc>
        <w:tc>
          <w:tcPr>
            <w:tcW w:w="3613" w:type="dxa"/>
            <w:tcBorders>
              <w:bottom w:val="single" w:color="auto" w:sz="12" w:space="0"/>
            </w:tcBorders>
            <w:vAlign w:val="center"/>
          </w:tcPr>
          <w:p w14:paraId="586ED537">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eastAsia" w:ascii="宋体"/>
                <w:b/>
                <w:sz w:val="18"/>
                <w:szCs w:val="18"/>
              </w:rPr>
              <w:t>评分标准</w:t>
            </w:r>
          </w:p>
        </w:tc>
        <w:tc>
          <w:tcPr>
            <w:tcW w:w="700" w:type="dxa"/>
            <w:tcBorders>
              <w:bottom w:val="single" w:color="auto" w:sz="12" w:space="0"/>
            </w:tcBorders>
            <w:vAlign w:val="center"/>
          </w:tcPr>
          <w:p w14:paraId="2EF67CB8">
            <w:pPr>
              <w:keepNext w:val="0"/>
              <w:keepLines w:val="0"/>
              <w:suppressLineNumbers w:val="0"/>
              <w:autoSpaceDE w:val="0"/>
              <w:autoSpaceDN w:val="0"/>
              <w:spacing w:before="0" w:beforeAutospacing="0" w:after="0" w:afterAutospacing="0"/>
              <w:ind w:left="0" w:right="0"/>
              <w:rPr>
                <w:rFonts w:hint="default" w:ascii="宋体"/>
                <w:b/>
                <w:sz w:val="18"/>
                <w:szCs w:val="18"/>
              </w:rPr>
            </w:pPr>
            <w:r>
              <w:rPr>
                <w:rFonts w:hint="default" w:ascii="宋体"/>
                <w:b/>
                <w:sz w:val="18"/>
                <w:szCs w:val="18"/>
              </w:rPr>
              <w:t>分值</w:t>
            </w:r>
            <w:r>
              <w:rPr>
                <w:rFonts w:hint="eastAsia" w:ascii="宋体"/>
                <w:b/>
                <w:sz w:val="18"/>
                <w:szCs w:val="18"/>
              </w:rPr>
              <w:t>（分）</w:t>
            </w:r>
          </w:p>
        </w:tc>
        <w:tc>
          <w:tcPr>
            <w:tcW w:w="706" w:type="dxa"/>
            <w:tcBorders>
              <w:bottom w:val="single" w:color="auto" w:sz="12" w:space="0"/>
            </w:tcBorders>
            <w:vAlign w:val="center"/>
          </w:tcPr>
          <w:p w14:paraId="411B66B3">
            <w:pPr>
              <w:keepNext w:val="0"/>
              <w:keepLines w:val="0"/>
              <w:suppressLineNumbers w:val="0"/>
              <w:autoSpaceDE w:val="0"/>
              <w:autoSpaceDN w:val="0"/>
              <w:spacing w:before="0" w:beforeAutospacing="0" w:after="0" w:afterAutospacing="0"/>
              <w:ind w:left="0" w:right="0"/>
              <w:rPr>
                <w:rFonts w:hint="default" w:ascii="宋体"/>
                <w:b/>
                <w:sz w:val="18"/>
                <w:szCs w:val="18"/>
              </w:rPr>
            </w:pPr>
            <w:r>
              <w:rPr>
                <w:rFonts w:hint="default" w:ascii="宋体"/>
                <w:b/>
                <w:sz w:val="18"/>
                <w:szCs w:val="18"/>
              </w:rPr>
              <w:t>得分</w:t>
            </w:r>
            <w:r>
              <w:rPr>
                <w:rFonts w:hint="eastAsia" w:ascii="宋体"/>
                <w:b/>
                <w:sz w:val="18"/>
                <w:szCs w:val="18"/>
              </w:rPr>
              <w:t>（分）</w:t>
            </w:r>
          </w:p>
        </w:tc>
      </w:tr>
      <w:tr w14:paraId="26161E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4" w:hRule="atLeast"/>
        </w:trPr>
        <w:tc>
          <w:tcPr>
            <w:tcW w:w="585" w:type="dxa"/>
            <w:vMerge w:val="restart"/>
            <w:tcBorders>
              <w:tl2br w:val="nil"/>
              <w:tr2bl w:val="nil"/>
            </w:tcBorders>
            <w:vAlign w:val="center"/>
          </w:tcPr>
          <w:p w14:paraId="064731A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业务表现</w:t>
            </w:r>
          </w:p>
        </w:tc>
        <w:tc>
          <w:tcPr>
            <w:tcW w:w="614" w:type="dxa"/>
            <w:vMerge w:val="restart"/>
            <w:tcBorders>
              <w:tl2br w:val="nil"/>
              <w:tr2bl w:val="nil"/>
            </w:tcBorders>
            <w:vAlign w:val="center"/>
          </w:tcPr>
          <w:p w14:paraId="59118FF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市场影响</w:t>
            </w:r>
          </w:p>
        </w:tc>
        <w:tc>
          <w:tcPr>
            <w:tcW w:w="1004" w:type="dxa"/>
            <w:tcBorders>
              <w:tl2br w:val="nil"/>
              <w:tr2bl w:val="nil"/>
            </w:tcBorders>
            <w:vAlign w:val="center"/>
          </w:tcPr>
          <w:p w14:paraId="53DA5727">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市场</w:t>
            </w:r>
          </w:p>
          <w:p w14:paraId="419F8F6F">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rPr>
            </w:pPr>
            <w:r>
              <w:rPr>
                <w:rFonts w:hint="eastAsia" w:ascii="宋体" w:hAnsi="宋体" w:cs="宋体"/>
                <w:sz w:val="18"/>
                <w:szCs w:val="18"/>
              </w:rPr>
              <w:t>竞争力</w:t>
            </w:r>
          </w:p>
        </w:tc>
        <w:tc>
          <w:tcPr>
            <w:tcW w:w="2337" w:type="dxa"/>
            <w:tcBorders>
              <w:tl2br w:val="nil"/>
              <w:tr2bl w:val="nil"/>
            </w:tcBorders>
            <w:shd w:val="clear" w:color="auto" w:fill="auto"/>
            <w:vAlign w:val="center"/>
          </w:tcPr>
          <w:p w14:paraId="62FD5888">
            <w:pPr>
              <w:pStyle w:val="25"/>
              <w:keepNext w:val="0"/>
              <w:keepLines w:val="0"/>
              <w:widowControl/>
              <w:suppressLineNumbers w:val="0"/>
              <w:spacing w:before="0" w:beforeAutospacing="0" w:after="0" w:afterAutospacing="0"/>
              <w:ind w:left="0" w:leftChars="0" w:right="0" w:rightChars="0" w:firstLine="0" w:firstLineChars="0"/>
              <w:rPr>
                <w:rFonts w:hint="eastAsia" w:ascii="宋体" w:hAnsi="宋体" w:eastAsia="宋体" w:cs="宋体"/>
                <w:sz w:val="18"/>
                <w:szCs w:val="18"/>
                <w:lang w:val="en-US" w:eastAsia="zh-CN" w:bidi="ar-SA"/>
              </w:rPr>
            </w:pPr>
            <w:r>
              <w:rPr>
                <w:rFonts w:hint="eastAsia" w:hAnsi="宋体" w:cs="宋体"/>
                <w:sz w:val="18"/>
                <w:szCs w:val="18"/>
              </w:rPr>
              <w:t>从稳定提供相关服务的年限进行评价</w:t>
            </w:r>
          </w:p>
        </w:tc>
        <w:tc>
          <w:tcPr>
            <w:tcW w:w="3613" w:type="dxa"/>
            <w:tcBorders>
              <w:tl2br w:val="nil"/>
              <w:tr2bl w:val="nil"/>
            </w:tcBorders>
            <w:shd w:val="clear" w:color="auto" w:fill="auto"/>
            <w:vAlign w:val="center"/>
          </w:tcPr>
          <w:p w14:paraId="3A70BB82">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a.＞</w:t>
            </w:r>
            <w:r>
              <w:rPr>
                <w:rFonts w:hint="default" w:ascii="宋体" w:hAnsi="宋体" w:cs="宋体"/>
                <w:sz w:val="18"/>
                <w:szCs w:val="18"/>
              </w:rPr>
              <w:t>3</w:t>
            </w:r>
            <w:r>
              <w:rPr>
                <w:rFonts w:hint="eastAsia" w:ascii="宋体" w:hAnsi="宋体" w:cs="宋体"/>
                <w:sz w:val="18"/>
                <w:szCs w:val="18"/>
              </w:rPr>
              <w:t>（</w:t>
            </w:r>
            <w:r>
              <w:rPr>
                <w:rFonts w:hint="default" w:ascii="宋体" w:hAnsi="宋体" w:cs="宋体"/>
                <w:sz w:val="18"/>
                <w:szCs w:val="18"/>
              </w:rPr>
              <w:t>6</w:t>
            </w:r>
            <w:r>
              <w:rPr>
                <w:rFonts w:hint="eastAsia" w:ascii="宋体" w:hAnsi="宋体" w:cs="宋体"/>
                <w:sz w:val="18"/>
                <w:szCs w:val="18"/>
              </w:rPr>
              <w:t>分）</w:t>
            </w:r>
          </w:p>
          <w:p w14:paraId="23A1C8E9">
            <w:pPr>
              <w:keepNext w:val="0"/>
              <w:keepLines w:val="0"/>
              <w:suppressLineNumbers w:val="0"/>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b.（2，</w:t>
            </w:r>
            <w:r>
              <w:rPr>
                <w:rFonts w:hint="default" w:ascii="宋体" w:hAnsi="宋体" w:cs="宋体"/>
                <w:sz w:val="18"/>
                <w:szCs w:val="18"/>
              </w:rPr>
              <w:t>3</w:t>
            </w:r>
            <w:r>
              <w:rPr>
                <w:rFonts w:hint="eastAsia" w:ascii="宋体" w:hAnsi="宋体" w:cs="宋体"/>
                <w:sz w:val="18"/>
                <w:szCs w:val="18"/>
              </w:rPr>
              <w:t>]（</w:t>
            </w:r>
            <w:r>
              <w:rPr>
                <w:rFonts w:hint="default" w:ascii="宋体" w:hAnsi="宋体" w:cs="宋体"/>
                <w:sz w:val="18"/>
                <w:szCs w:val="18"/>
              </w:rPr>
              <w:t>4</w:t>
            </w:r>
            <w:r>
              <w:rPr>
                <w:rFonts w:hint="eastAsia" w:ascii="宋体" w:hAnsi="宋体" w:cs="宋体"/>
                <w:sz w:val="18"/>
                <w:szCs w:val="18"/>
              </w:rPr>
              <w:t>分）</w:t>
            </w:r>
          </w:p>
          <w:p w14:paraId="3E1EB075">
            <w:pPr>
              <w:pStyle w:val="25"/>
              <w:keepNext w:val="0"/>
              <w:keepLines w:val="0"/>
              <w:widowControl/>
              <w:suppressLineNumbers w:val="0"/>
              <w:spacing w:before="0" w:beforeAutospacing="0" w:after="0" w:afterAutospacing="0"/>
              <w:ind w:left="0" w:leftChars="0" w:right="0" w:rightChars="0" w:firstLine="0" w:firstLineChars="0"/>
              <w:rPr>
                <w:rFonts w:hint="eastAsia" w:ascii="宋体" w:hAnsi="宋体" w:eastAsia="宋体" w:cs="宋体"/>
                <w:sz w:val="18"/>
                <w:szCs w:val="18"/>
                <w:lang w:val="en-US" w:eastAsia="zh-CN" w:bidi="ar-SA"/>
              </w:rPr>
            </w:pPr>
            <w:r>
              <w:rPr>
                <w:rFonts w:hint="eastAsia" w:hAnsi="宋体" w:cs="宋体"/>
                <w:sz w:val="18"/>
                <w:szCs w:val="18"/>
              </w:rPr>
              <w:t>c.（0，2]（</w:t>
            </w:r>
            <w:r>
              <w:rPr>
                <w:rFonts w:hint="default" w:hAnsi="宋体" w:cs="宋体"/>
                <w:sz w:val="18"/>
                <w:szCs w:val="18"/>
              </w:rPr>
              <w:t>2</w:t>
            </w:r>
            <w:r>
              <w:rPr>
                <w:rFonts w:hint="eastAsia" w:hAnsi="宋体" w:cs="宋体"/>
                <w:sz w:val="18"/>
                <w:szCs w:val="18"/>
              </w:rPr>
              <w:t>分）</w:t>
            </w:r>
          </w:p>
        </w:tc>
        <w:tc>
          <w:tcPr>
            <w:tcW w:w="700" w:type="dxa"/>
            <w:tcBorders>
              <w:tl2br w:val="nil"/>
              <w:tr2bl w:val="nil"/>
            </w:tcBorders>
            <w:shd w:val="clear" w:color="auto" w:fill="auto"/>
            <w:vAlign w:val="center"/>
          </w:tcPr>
          <w:p w14:paraId="6AD0A412">
            <w:pPr>
              <w:keepNext w:val="0"/>
              <w:keepLines w:val="0"/>
              <w:widowControl/>
              <w:suppressLineNumbers w:val="0"/>
              <w:spacing w:before="0" w:beforeAutospacing="0" w:after="0" w:afterAutospacing="0"/>
              <w:ind w:left="0" w:leftChars="0" w:right="0" w:rightChars="0"/>
              <w:jc w:val="center"/>
              <w:textAlignment w:val="center"/>
              <w:rPr>
                <w:rFonts w:hint="default" w:ascii="宋体" w:hAnsi="宋体" w:eastAsia="宋体" w:cs="宋体"/>
                <w:color w:val="000000"/>
                <w:kern w:val="0"/>
                <w:sz w:val="18"/>
                <w:szCs w:val="18"/>
                <w:lang w:val="en-US" w:eastAsia="zh-CN" w:bidi="ar"/>
              </w:rPr>
            </w:pPr>
            <w:r>
              <w:rPr>
                <w:rFonts w:hint="default" w:ascii="宋体" w:hAnsi="宋体" w:cs="宋体"/>
                <w:color w:val="000000"/>
                <w:kern w:val="0"/>
                <w:sz w:val="18"/>
                <w:szCs w:val="18"/>
                <w:lang w:bidi="ar"/>
              </w:rPr>
              <w:t>6</w:t>
            </w:r>
          </w:p>
        </w:tc>
        <w:tc>
          <w:tcPr>
            <w:tcW w:w="706" w:type="dxa"/>
            <w:tcBorders>
              <w:tl2br w:val="nil"/>
              <w:tr2bl w:val="nil"/>
            </w:tcBorders>
            <w:vAlign w:val="center"/>
          </w:tcPr>
          <w:p w14:paraId="3898A09A">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r w14:paraId="74817D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78" w:hRule="atLeast"/>
        </w:trPr>
        <w:tc>
          <w:tcPr>
            <w:tcW w:w="585" w:type="dxa"/>
            <w:vMerge w:val="continue"/>
            <w:tcBorders>
              <w:tl2br w:val="nil"/>
              <w:tr2bl w:val="nil"/>
            </w:tcBorders>
            <w:vAlign w:val="center"/>
          </w:tcPr>
          <w:p w14:paraId="3129270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614" w:type="dxa"/>
            <w:vMerge w:val="continue"/>
            <w:tcBorders>
              <w:tl2br w:val="nil"/>
              <w:tr2bl w:val="nil"/>
            </w:tcBorders>
            <w:vAlign w:val="center"/>
          </w:tcPr>
          <w:p w14:paraId="12CC2BB7">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1004" w:type="dxa"/>
            <w:tcBorders>
              <w:tl2br w:val="nil"/>
              <w:tr2bl w:val="nil"/>
            </w:tcBorders>
            <w:vAlign w:val="center"/>
          </w:tcPr>
          <w:p w14:paraId="3DB5C6F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产业</w:t>
            </w:r>
          </w:p>
          <w:p w14:paraId="019F20D8">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影响力</w:t>
            </w:r>
          </w:p>
        </w:tc>
        <w:tc>
          <w:tcPr>
            <w:tcW w:w="2337" w:type="dxa"/>
            <w:tcBorders>
              <w:tl2br w:val="nil"/>
              <w:tr2bl w:val="nil"/>
            </w:tcBorders>
            <w:vAlign w:val="center"/>
          </w:tcPr>
          <w:p w14:paraId="50BB9E8A">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从提供绿色金融认证和评级领域的相关服务，在促进产业绿色低碳转型升级等方面贡献程度进行评价</w:t>
            </w:r>
          </w:p>
        </w:tc>
        <w:tc>
          <w:tcPr>
            <w:tcW w:w="3613" w:type="dxa"/>
            <w:tcBorders>
              <w:tl2br w:val="nil"/>
              <w:tr2bl w:val="nil"/>
            </w:tcBorders>
            <w:vAlign w:val="center"/>
          </w:tcPr>
          <w:p w14:paraId="48BDE415">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a.具有显著地促进产业绿色低碳转型升级的作用。（</w:t>
            </w:r>
            <w:r>
              <w:rPr>
                <w:rFonts w:hint="default" w:hAnsi="宋体" w:cs="宋体"/>
                <w:sz w:val="18"/>
                <w:szCs w:val="18"/>
              </w:rPr>
              <w:t>5</w:t>
            </w:r>
            <w:r>
              <w:rPr>
                <w:rFonts w:hint="eastAsia" w:hAnsi="宋体" w:cs="宋体"/>
                <w:sz w:val="18"/>
                <w:szCs w:val="18"/>
              </w:rPr>
              <w:t>分，</w:t>
            </w:r>
            <w:r>
              <w:rPr>
                <w:rFonts w:hint="default" w:hAnsi="宋体" w:cs="宋体"/>
                <w:sz w:val="18"/>
                <w:szCs w:val="18"/>
              </w:rPr>
              <w:t>7</w:t>
            </w:r>
            <w:r>
              <w:rPr>
                <w:rFonts w:hint="eastAsia" w:hAnsi="宋体" w:cs="宋体"/>
                <w:sz w:val="18"/>
                <w:szCs w:val="18"/>
              </w:rPr>
              <w:t>分]</w:t>
            </w:r>
          </w:p>
          <w:p w14:paraId="37E3D7AA">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b.具有较强地促进产业绿色低碳转型升级的作用。（</w:t>
            </w:r>
            <w:r>
              <w:rPr>
                <w:rFonts w:hint="default" w:hAnsi="宋体" w:cs="宋体"/>
                <w:sz w:val="18"/>
                <w:szCs w:val="18"/>
              </w:rPr>
              <w:t>3</w:t>
            </w:r>
            <w:r>
              <w:rPr>
                <w:rFonts w:hint="eastAsia" w:hAnsi="宋体" w:cs="宋体"/>
                <w:sz w:val="18"/>
                <w:szCs w:val="18"/>
              </w:rPr>
              <w:t>分，</w:t>
            </w:r>
            <w:r>
              <w:rPr>
                <w:rFonts w:hint="default" w:hAnsi="宋体" w:cs="宋体"/>
                <w:sz w:val="18"/>
                <w:szCs w:val="18"/>
              </w:rPr>
              <w:t>5</w:t>
            </w:r>
            <w:r>
              <w:rPr>
                <w:rFonts w:hint="eastAsia" w:hAnsi="宋体" w:cs="宋体"/>
                <w:sz w:val="18"/>
                <w:szCs w:val="18"/>
              </w:rPr>
              <w:t>分]</w:t>
            </w:r>
          </w:p>
          <w:p w14:paraId="3AD56D06">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c.具有一定地促进产业绿色低碳转型升级的作用。（0分，</w:t>
            </w:r>
            <w:r>
              <w:rPr>
                <w:rFonts w:hint="default" w:hAnsi="宋体" w:cs="宋体"/>
                <w:sz w:val="18"/>
                <w:szCs w:val="18"/>
              </w:rPr>
              <w:t>3</w:t>
            </w:r>
            <w:r>
              <w:rPr>
                <w:rFonts w:hint="eastAsia" w:hAnsi="宋体" w:cs="宋体"/>
                <w:sz w:val="18"/>
                <w:szCs w:val="18"/>
              </w:rPr>
              <w:t>分]</w:t>
            </w:r>
          </w:p>
          <w:p w14:paraId="28C457F9">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d.未产生明显产业影响力。（0分）</w:t>
            </w:r>
          </w:p>
        </w:tc>
        <w:tc>
          <w:tcPr>
            <w:tcW w:w="700" w:type="dxa"/>
            <w:tcBorders>
              <w:tl2br w:val="nil"/>
              <w:tr2bl w:val="nil"/>
            </w:tcBorders>
            <w:vAlign w:val="center"/>
          </w:tcPr>
          <w:p w14:paraId="0F6FA84D">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rPr>
            </w:pPr>
            <w:r>
              <w:rPr>
                <w:rFonts w:hint="default" w:ascii="宋体" w:hAnsi="宋体" w:cs="宋体"/>
                <w:color w:val="000000"/>
                <w:kern w:val="0"/>
                <w:sz w:val="18"/>
                <w:szCs w:val="18"/>
                <w:lang w:bidi="ar"/>
              </w:rPr>
              <w:t>7</w:t>
            </w:r>
          </w:p>
        </w:tc>
        <w:tc>
          <w:tcPr>
            <w:tcW w:w="706" w:type="dxa"/>
            <w:tcBorders>
              <w:tl2br w:val="nil"/>
              <w:tr2bl w:val="nil"/>
            </w:tcBorders>
            <w:vAlign w:val="center"/>
          </w:tcPr>
          <w:p w14:paraId="49985854">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r w14:paraId="06A95D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68" w:hRule="atLeast"/>
        </w:trPr>
        <w:tc>
          <w:tcPr>
            <w:tcW w:w="585" w:type="dxa"/>
            <w:vMerge w:val="continue"/>
            <w:tcBorders>
              <w:tl2br w:val="nil"/>
              <w:tr2bl w:val="nil"/>
            </w:tcBorders>
            <w:vAlign w:val="center"/>
          </w:tcPr>
          <w:p w14:paraId="26C6379E">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614" w:type="dxa"/>
            <w:vMerge w:val="continue"/>
            <w:tcBorders>
              <w:tl2br w:val="nil"/>
              <w:tr2bl w:val="nil"/>
            </w:tcBorders>
            <w:vAlign w:val="center"/>
          </w:tcPr>
          <w:p w14:paraId="1D50620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1004" w:type="dxa"/>
            <w:tcBorders>
              <w:tl2br w:val="nil"/>
              <w:tr2bl w:val="nil"/>
            </w:tcBorders>
            <w:vAlign w:val="center"/>
          </w:tcPr>
          <w:p w14:paraId="2FCD2772">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行业资质荣誉</w:t>
            </w:r>
          </w:p>
        </w:tc>
        <w:tc>
          <w:tcPr>
            <w:tcW w:w="2337" w:type="dxa"/>
            <w:tcBorders>
              <w:tl2br w:val="nil"/>
              <w:tr2bl w:val="nil"/>
            </w:tcBorders>
            <w:vAlign w:val="center"/>
          </w:tcPr>
          <w:p w14:paraId="6C6EFAC8">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在绿色金融认证和评级领域获得的国家级、省部级、市级或区级奖项、资质、荣誉、认定及证书的情况，国家级行业协会颁发的相关资质、荣誉、认定或证书视为省部级</w:t>
            </w:r>
          </w:p>
        </w:tc>
        <w:tc>
          <w:tcPr>
            <w:tcW w:w="3613" w:type="dxa"/>
            <w:tcBorders>
              <w:tl2br w:val="nil"/>
              <w:tr2bl w:val="nil"/>
            </w:tcBorders>
            <w:vAlign w:val="center"/>
          </w:tcPr>
          <w:p w14:paraId="7897B799">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a.获得1项国家级奖项、资质、荣誉、认定或证书。（5分）</w:t>
            </w:r>
          </w:p>
          <w:p w14:paraId="6F6B6CFA">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b.获得1项省部级奖项、资质、荣誉、认定或证书。（4分）</w:t>
            </w:r>
          </w:p>
          <w:p w14:paraId="1D9B2CFE">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c.获得1项市级奖项、资质、荣誉、认定或证书。（3分）</w:t>
            </w:r>
          </w:p>
          <w:p w14:paraId="0740B187">
            <w:pPr>
              <w:pStyle w:val="25"/>
              <w:keepNext w:val="0"/>
              <w:keepLines w:val="0"/>
              <w:widowControl/>
              <w:suppressLineNumbers w:val="0"/>
              <w:spacing w:before="0" w:beforeAutospacing="0" w:after="0" w:afterAutospacing="0"/>
              <w:ind w:left="0" w:right="0" w:firstLine="0" w:firstLineChars="0"/>
              <w:rPr>
                <w:rFonts w:hint="default" w:hAnsi="宋体" w:cs="宋体"/>
                <w:kern w:val="2"/>
                <w:sz w:val="18"/>
                <w:szCs w:val="18"/>
              </w:rPr>
            </w:pPr>
            <w:r>
              <w:rPr>
                <w:rFonts w:hint="eastAsia" w:hAnsi="宋体" w:cs="宋体"/>
                <w:sz w:val="18"/>
                <w:szCs w:val="18"/>
              </w:rPr>
              <w:t>d.获得1项区级奖项、资质、荣誉、认定或证书。（2分）</w:t>
            </w:r>
            <w:r>
              <w:rPr>
                <w:rFonts w:hint="default" w:hAnsi="宋体" w:cs="宋体"/>
                <w:sz w:val="18"/>
                <w:szCs w:val="18"/>
              </w:rPr>
              <w:br w:type="textWrapping"/>
            </w:r>
            <w:r>
              <w:rPr>
                <w:rFonts w:hint="eastAsia" w:hAnsi="宋体" w:cs="宋体"/>
                <w:kern w:val="2"/>
                <w:sz w:val="18"/>
                <w:szCs w:val="18"/>
              </w:rPr>
              <w:t>e.未获得行业资质荣誉奖项。（0分）。</w:t>
            </w:r>
          </w:p>
          <w:p w14:paraId="57E74183">
            <w:pPr>
              <w:keepNext w:val="0"/>
              <w:keepLines w:val="0"/>
              <w:suppressLineNumbers w:val="0"/>
              <w:tabs>
                <w:tab w:val="center" w:pos="4201"/>
                <w:tab w:val="right" w:leader="dot" w:pos="9298"/>
              </w:tabs>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f.在满足上述基础上，每多获得1项省部级、市级、区级行业资质荣誉，分别加1分、0.5分、0.3分</w:t>
            </w:r>
          </w:p>
        </w:tc>
        <w:tc>
          <w:tcPr>
            <w:tcW w:w="700" w:type="dxa"/>
            <w:tcBorders>
              <w:tl2br w:val="nil"/>
              <w:tr2bl w:val="nil"/>
            </w:tcBorders>
            <w:vAlign w:val="center"/>
          </w:tcPr>
          <w:p w14:paraId="5DC924A4">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rPr>
            </w:pPr>
            <w:r>
              <w:rPr>
                <w:rFonts w:hint="default" w:ascii="宋体" w:hAnsi="宋体" w:cs="宋体"/>
                <w:color w:val="000000"/>
                <w:kern w:val="0"/>
                <w:sz w:val="18"/>
                <w:szCs w:val="18"/>
                <w:lang w:bidi="ar"/>
              </w:rPr>
              <w:t>5</w:t>
            </w:r>
          </w:p>
        </w:tc>
        <w:tc>
          <w:tcPr>
            <w:tcW w:w="706" w:type="dxa"/>
            <w:tcBorders>
              <w:tl2br w:val="nil"/>
              <w:tr2bl w:val="nil"/>
            </w:tcBorders>
            <w:vAlign w:val="center"/>
          </w:tcPr>
          <w:p w14:paraId="088F908E">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r w14:paraId="5A34A7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5" w:type="dxa"/>
            <w:vMerge w:val="continue"/>
            <w:tcBorders>
              <w:tl2br w:val="nil"/>
              <w:tr2bl w:val="nil"/>
            </w:tcBorders>
            <w:vAlign w:val="center"/>
          </w:tcPr>
          <w:p w14:paraId="2A71B6C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614" w:type="dxa"/>
            <w:vMerge w:val="continue"/>
            <w:tcBorders>
              <w:tl2br w:val="nil"/>
              <w:tr2bl w:val="nil"/>
            </w:tcBorders>
            <w:vAlign w:val="center"/>
          </w:tcPr>
          <w:p w14:paraId="677EA3A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1004" w:type="dxa"/>
            <w:tcBorders>
              <w:tl2br w:val="nil"/>
              <w:tr2bl w:val="nil"/>
            </w:tcBorders>
            <w:vAlign w:val="center"/>
          </w:tcPr>
          <w:p w14:paraId="0058F498">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客户</w:t>
            </w:r>
          </w:p>
          <w:p w14:paraId="6FAC242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满意度</w:t>
            </w:r>
          </w:p>
        </w:tc>
        <w:tc>
          <w:tcPr>
            <w:tcW w:w="2337" w:type="dxa"/>
            <w:tcBorders>
              <w:tl2br w:val="nil"/>
              <w:tr2bl w:val="nil"/>
            </w:tcBorders>
            <w:vAlign w:val="center"/>
          </w:tcPr>
          <w:p w14:paraId="39F43AE6">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从企事业单位提供服务的满意度进行评价</w:t>
            </w:r>
          </w:p>
        </w:tc>
        <w:tc>
          <w:tcPr>
            <w:tcW w:w="3613" w:type="dxa"/>
            <w:tcBorders>
              <w:tl2br w:val="nil"/>
              <w:tr2bl w:val="nil"/>
            </w:tcBorders>
            <w:vAlign w:val="center"/>
          </w:tcPr>
          <w:p w14:paraId="6984511C">
            <w:pPr>
              <w:keepNext w:val="0"/>
              <w:keepLines w:val="0"/>
              <w:suppressLineNumbers w:val="0"/>
              <w:tabs>
                <w:tab w:val="center" w:pos="4201"/>
                <w:tab w:val="right" w:leader="dot" w:pos="9298"/>
              </w:tabs>
              <w:autoSpaceDE w:val="0"/>
              <w:autoSpaceDN w:val="0"/>
              <w:spacing w:before="0" w:beforeAutospacing="0" w:after="0" w:afterAutospacing="0"/>
              <w:ind w:left="0" w:right="0"/>
              <w:rPr>
                <w:rFonts w:hint="default" w:ascii="宋体"/>
                <w:sz w:val="18"/>
                <w:szCs w:val="18"/>
              </w:rPr>
            </w:pPr>
            <w:r>
              <w:rPr>
                <w:rFonts w:hint="eastAsia" w:ascii="宋体"/>
                <w:sz w:val="18"/>
                <w:szCs w:val="18"/>
              </w:rPr>
              <w:t>a.非常满意。（</w:t>
            </w:r>
            <w:r>
              <w:rPr>
                <w:rFonts w:hint="default" w:ascii="宋体"/>
                <w:sz w:val="18"/>
                <w:szCs w:val="18"/>
              </w:rPr>
              <w:t>8</w:t>
            </w:r>
            <w:r>
              <w:rPr>
                <w:rFonts w:hint="eastAsia" w:ascii="宋体"/>
                <w:sz w:val="18"/>
                <w:szCs w:val="18"/>
              </w:rPr>
              <w:t>分）</w:t>
            </w:r>
          </w:p>
          <w:p w14:paraId="14288AEC">
            <w:pPr>
              <w:keepNext w:val="0"/>
              <w:keepLines w:val="0"/>
              <w:suppressLineNumbers w:val="0"/>
              <w:tabs>
                <w:tab w:val="center" w:pos="4201"/>
                <w:tab w:val="right" w:leader="dot" w:pos="9298"/>
              </w:tabs>
              <w:autoSpaceDE w:val="0"/>
              <w:autoSpaceDN w:val="0"/>
              <w:spacing w:before="0" w:beforeAutospacing="0" w:after="0" w:afterAutospacing="0"/>
              <w:ind w:left="0" w:right="0"/>
              <w:rPr>
                <w:rFonts w:hint="default" w:ascii="宋体"/>
                <w:sz w:val="18"/>
                <w:szCs w:val="18"/>
              </w:rPr>
            </w:pPr>
            <w:r>
              <w:rPr>
                <w:rFonts w:hint="eastAsia" w:ascii="宋体"/>
                <w:sz w:val="18"/>
                <w:szCs w:val="18"/>
              </w:rPr>
              <w:t>b.满意。（</w:t>
            </w:r>
            <w:r>
              <w:rPr>
                <w:rFonts w:hint="default" w:ascii="宋体"/>
                <w:sz w:val="18"/>
                <w:szCs w:val="18"/>
              </w:rPr>
              <w:t>5</w:t>
            </w:r>
            <w:r>
              <w:rPr>
                <w:rFonts w:hint="eastAsia" w:ascii="宋体"/>
                <w:sz w:val="18"/>
                <w:szCs w:val="18"/>
              </w:rPr>
              <w:t>分）</w:t>
            </w:r>
          </w:p>
          <w:p w14:paraId="72663ADA">
            <w:pPr>
              <w:keepNext w:val="0"/>
              <w:keepLines w:val="0"/>
              <w:suppressLineNumbers w:val="0"/>
              <w:tabs>
                <w:tab w:val="center" w:pos="4201"/>
                <w:tab w:val="right" w:leader="dot" w:pos="9298"/>
              </w:tabs>
              <w:autoSpaceDE w:val="0"/>
              <w:autoSpaceDN w:val="0"/>
              <w:spacing w:before="0" w:beforeAutospacing="0" w:after="0" w:afterAutospacing="0"/>
              <w:ind w:left="0" w:right="0"/>
              <w:rPr>
                <w:rFonts w:hint="default" w:ascii="宋体"/>
                <w:sz w:val="18"/>
                <w:szCs w:val="18"/>
              </w:rPr>
            </w:pPr>
            <w:r>
              <w:rPr>
                <w:rFonts w:hint="eastAsia" w:ascii="宋体"/>
                <w:sz w:val="18"/>
                <w:szCs w:val="18"/>
              </w:rPr>
              <w:t>c.一般。（</w:t>
            </w:r>
            <w:r>
              <w:rPr>
                <w:rFonts w:hint="default" w:ascii="宋体"/>
                <w:sz w:val="18"/>
                <w:szCs w:val="18"/>
              </w:rPr>
              <w:t>2</w:t>
            </w:r>
            <w:r>
              <w:rPr>
                <w:rFonts w:hint="eastAsia" w:ascii="宋体"/>
                <w:sz w:val="18"/>
                <w:szCs w:val="18"/>
              </w:rPr>
              <w:t>分）</w:t>
            </w:r>
          </w:p>
          <w:p w14:paraId="56ECA319">
            <w:pPr>
              <w:keepNext w:val="0"/>
              <w:keepLines w:val="0"/>
              <w:suppressLineNumbers w:val="0"/>
              <w:autoSpaceDE w:val="0"/>
              <w:autoSpaceDN w:val="0"/>
              <w:spacing w:before="0" w:beforeAutospacing="0" w:after="0" w:afterAutospacing="0"/>
              <w:ind w:left="0" w:right="0"/>
              <w:rPr>
                <w:rFonts w:hint="default" w:ascii="宋体"/>
                <w:sz w:val="18"/>
                <w:szCs w:val="18"/>
              </w:rPr>
            </w:pPr>
            <w:r>
              <w:rPr>
                <w:rFonts w:hint="eastAsia" w:ascii="宋体"/>
                <w:sz w:val="18"/>
                <w:szCs w:val="18"/>
              </w:rPr>
              <w:t>d.不满意、非常不满意。（0分）</w:t>
            </w:r>
          </w:p>
        </w:tc>
        <w:tc>
          <w:tcPr>
            <w:tcW w:w="700" w:type="dxa"/>
            <w:tcBorders>
              <w:tl2br w:val="nil"/>
              <w:tr2bl w:val="nil"/>
            </w:tcBorders>
            <w:vAlign w:val="center"/>
          </w:tcPr>
          <w:p w14:paraId="4F39D11F">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lang w:bidi="ar"/>
              </w:rPr>
            </w:pPr>
            <w:r>
              <w:rPr>
                <w:rFonts w:hint="default" w:ascii="宋体" w:hAnsi="宋体" w:cs="宋体"/>
                <w:color w:val="000000"/>
                <w:kern w:val="0"/>
                <w:sz w:val="18"/>
                <w:szCs w:val="18"/>
                <w:lang w:bidi="ar"/>
              </w:rPr>
              <w:t>8</w:t>
            </w:r>
          </w:p>
        </w:tc>
        <w:tc>
          <w:tcPr>
            <w:tcW w:w="706" w:type="dxa"/>
            <w:tcBorders>
              <w:tl2br w:val="nil"/>
              <w:tr2bl w:val="nil"/>
            </w:tcBorders>
            <w:vAlign w:val="center"/>
          </w:tcPr>
          <w:p w14:paraId="78186055">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r w14:paraId="55C282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585" w:type="dxa"/>
            <w:vMerge w:val="restart"/>
            <w:tcBorders>
              <w:tl2br w:val="nil"/>
              <w:tr2bl w:val="nil"/>
            </w:tcBorders>
            <w:vAlign w:val="center"/>
          </w:tcPr>
          <w:p w14:paraId="3107AE88">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社会表现</w:t>
            </w:r>
          </w:p>
        </w:tc>
        <w:tc>
          <w:tcPr>
            <w:tcW w:w="1618" w:type="dxa"/>
            <w:gridSpan w:val="2"/>
            <w:vMerge w:val="restart"/>
            <w:tcBorders>
              <w:tl2br w:val="nil"/>
              <w:tr2bl w:val="nil"/>
            </w:tcBorders>
            <w:vAlign w:val="center"/>
          </w:tcPr>
          <w:p w14:paraId="0EBF582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内部行动</w:t>
            </w:r>
          </w:p>
        </w:tc>
        <w:tc>
          <w:tcPr>
            <w:tcW w:w="2337" w:type="dxa"/>
            <w:tcBorders>
              <w:tl2br w:val="nil"/>
              <w:tr2bl w:val="nil"/>
            </w:tcBorders>
            <w:vAlign w:val="center"/>
          </w:tcPr>
          <w:p w14:paraId="5DA55AE2">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企事业单位开展绿色行动的情况</w:t>
            </w:r>
          </w:p>
        </w:tc>
        <w:tc>
          <w:tcPr>
            <w:tcW w:w="3613" w:type="dxa"/>
            <w:tcBorders>
              <w:tl2br w:val="nil"/>
              <w:tr2bl w:val="nil"/>
            </w:tcBorders>
            <w:vAlign w:val="center"/>
          </w:tcPr>
          <w:p w14:paraId="2B9C68F8">
            <w:pPr>
              <w:keepNext w:val="0"/>
              <w:keepLines w:val="0"/>
              <w:suppressLineNumbers w:val="0"/>
              <w:tabs>
                <w:tab w:val="center" w:pos="4201"/>
                <w:tab w:val="right" w:leader="dot" w:pos="9298"/>
              </w:tabs>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发布碳中和规划或行动方案等绿色行动。（4分）</w:t>
            </w:r>
          </w:p>
        </w:tc>
        <w:tc>
          <w:tcPr>
            <w:tcW w:w="700" w:type="dxa"/>
            <w:tcBorders>
              <w:tl2br w:val="nil"/>
              <w:tr2bl w:val="nil"/>
            </w:tcBorders>
            <w:vAlign w:val="center"/>
          </w:tcPr>
          <w:p w14:paraId="2A73B5E8">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rPr>
            </w:pPr>
            <w:r>
              <w:rPr>
                <w:rFonts w:hint="default" w:ascii="宋体" w:hAnsi="宋体" w:cs="宋体"/>
                <w:sz w:val="18"/>
                <w:szCs w:val="18"/>
              </w:rPr>
              <w:t>4</w:t>
            </w:r>
          </w:p>
        </w:tc>
        <w:tc>
          <w:tcPr>
            <w:tcW w:w="706" w:type="dxa"/>
            <w:tcBorders>
              <w:tl2br w:val="nil"/>
              <w:tr2bl w:val="nil"/>
            </w:tcBorders>
            <w:vAlign w:val="center"/>
          </w:tcPr>
          <w:p w14:paraId="34164785">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r w14:paraId="23D892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585" w:type="dxa"/>
            <w:vMerge w:val="continue"/>
            <w:tcBorders>
              <w:tl2br w:val="nil"/>
              <w:tr2bl w:val="nil"/>
            </w:tcBorders>
            <w:vAlign w:val="center"/>
          </w:tcPr>
          <w:p w14:paraId="0E3E51B8">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1618" w:type="dxa"/>
            <w:gridSpan w:val="2"/>
            <w:vMerge w:val="continue"/>
            <w:tcBorders>
              <w:tl2br w:val="nil"/>
              <w:tr2bl w:val="nil"/>
            </w:tcBorders>
            <w:vAlign w:val="center"/>
          </w:tcPr>
          <w:p w14:paraId="07D1BEF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2337" w:type="dxa"/>
            <w:tcBorders>
              <w:tl2br w:val="nil"/>
              <w:tr2bl w:val="nil"/>
            </w:tcBorders>
            <w:vAlign w:val="center"/>
          </w:tcPr>
          <w:p w14:paraId="1496AE6B">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企事业单位管理制度建设的情况</w:t>
            </w:r>
          </w:p>
        </w:tc>
        <w:tc>
          <w:tcPr>
            <w:tcW w:w="3613" w:type="dxa"/>
            <w:tcBorders>
              <w:tl2br w:val="nil"/>
              <w:tr2bl w:val="nil"/>
            </w:tcBorders>
            <w:vAlign w:val="center"/>
          </w:tcPr>
          <w:p w14:paraId="73ADFF4E">
            <w:pPr>
              <w:keepNext w:val="0"/>
              <w:keepLines w:val="0"/>
              <w:suppressLineNumbers w:val="0"/>
              <w:tabs>
                <w:tab w:val="center" w:pos="4201"/>
                <w:tab w:val="right" w:leader="dot" w:pos="9298"/>
              </w:tabs>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具有完备的管理制度，且能得到有效执行。（</w:t>
            </w:r>
            <w:r>
              <w:rPr>
                <w:rFonts w:hint="default" w:ascii="宋体" w:hAnsi="宋体" w:cs="宋体"/>
                <w:sz w:val="18"/>
                <w:szCs w:val="18"/>
              </w:rPr>
              <w:t>2</w:t>
            </w:r>
            <w:r>
              <w:rPr>
                <w:rFonts w:hint="eastAsia" w:ascii="宋体" w:hAnsi="宋体" w:cs="宋体"/>
                <w:sz w:val="18"/>
                <w:szCs w:val="18"/>
              </w:rPr>
              <w:t>分）</w:t>
            </w:r>
          </w:p>
        </w:tc>
        <w:tc>
          <w:tcPr>
            <w:tcW w:w="700" w:type="dxa"/>
            <w:tcBorders>
              <w:tl2br w:val="nil"/>
              <w:tr2bl w:val="nil"/>
            </w:tcBorders>
            <w:vAlign w:val="center"/>
          </w:tcPr>
          <w:p w14:paraId="75285BA1">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rPr>
            </w:pPr>
            <w:r>
              <w:rPr>
                <w:rFonts w:hint="eastAsia" w:ascii="宋体" w:hAnsi="宋体" w:cs="宋体"/>
                <w:sz w:val="18"/>
                <w:szCs w:val="18"/>
              </w:rPr>
              <w:t>2</w:t>
            </w:r>
          </w:p>
        </w:tc>
        <w:tc>
          <w:tcPr>
            <w:tcW w:w="706" w:type="dxa"/>
            <w:tcBorders>
              <w:tl2br w:val="nil"/>
              <w:tr2bl w:val="nil"/>
            </w:tcBorders>
            <w:vAlign w:val="center"/>
          </w:tcPr>
          <w:p w14:paraId="285018EA">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r w14:paraId="0214AC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1" w:hRule="atLeast"/>
        </w:trPr>
        <w:tc>
          <w:tcPr>
            <w:tcW w:w="585" w:type="dxa"/>
            <w:vMerge w:val="continue"/>
            <w:tcBorders>
              <w:tl2br w:val="nil"/>
              <w:tr2bl w:val="nil"/>
            </w:tcBorders>
            <w:vAlign w:val="center"/>
          </w:tcPr>
          <w:p w14:paraId="564D50B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1618" w:type="dxa"/>
            <w:gridSpan w:val="2"/>
            <w:vMerge w:val="continue"/>
            <w:tcBorders>
              <w:tl2br w:val="nil"/>
              <w:tr2bl w:val="nil"/>
            </w:tcBorders>
            <w:vAlign w:val="center"/>
          </w:tcPr>
          <w:p w14:paraId="6F1EC35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2337" w:type="dxa"/>
            <w:tcBorders>
              <w:tl2br w:val="nil"/>
              <w:tr2bl w:val="nil"/>
            </w:tcBorders>
            <w:vAlign w:val="center"/>
          </w:tcPr>
          <w:p w14:paraId="0A38BD4C">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企事业单位开展信息披露的情况</w:t>
            </w:r>
          </w:p>
        </w:tc>
        <w:tc>
          <w:tcPr>
            <w:tcW w:w="3613" w:type="dxa"/>
            <w:tcBorders>
              <w:tl2br w:val="nil"/>
              <w:tr2bl w:val="nil"/>
            </w:tcBorders>
            <w:vAlign w:val="center"/>
          </w:tcPr>
          <w:p w14:paraId="3DC2B43F">
            <w:pPr>
              <w:keepNext w:val="0"/>
              <w:keepLines w:val="0"/>
              <w:suppressLineNumbers w:val="0"/>
              <w:tabs>
                <w:tab w:val="center" w:pos="4201"/>
                <w:tab w:val="right" w:leader="dot" w:pos="9298"/>
              </w:tabs>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通过公开渠道披露环境、社会和公司治理（ESG）情况。（</w:t>
            </w:r>
            <w:r>
              <w:rPr>
                <w:rFonts w:hint="default" w:ascii="宋体" w:hAnsi="宋体" w:cs="宋体"/>
                <w:sz w:val="18"/>
                <w:szCs w:val="18"/>
              </w:rPr>
              <w:t>2</w:t>
            </w:r>
            <w:r>
              <w:rPr>
                <w:rFonts w:hint="eastAsia" w:ascii="宋体" w:hAnsi="宋体" w:cs="宋体"/>
                <w:sz w:val="18"/>
                <w:szCs w:val="18"/>
              </w:rPr>
              <w:t>分）</w:t>
            </w:r>
          </w:p>
        </w:tc>
        <w:tc>
          <w:tcPr>
            <w:tcW w:w="700" w:type="dxa"/>
            <w:tcBorders>
              <w:tl2br w:val="nil"/>
              <w:tr2bl w:val="nil"/>
            </w:tcBorders>
            <w:vAlign w:val="center"/>
          </w:tcPr>
          <w:p w14:paraId="7189B218">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rPr>
            </w:pPr>
            <w:r>
              <w:rPr>
                <w:rFonts w:hint="default" w:ascii="宋体" w:hAnsi="宋体" w:cs="宋体"/>
                <w:sz w:val="18"/>
                <w:szCs w:val="18"/>
              </w:rPr>
              <w:t>2</w:t>
            </w:r>
          </w:p>
        </w:tc>
        <w:tc>
          <w:tcPr>
            <w:tcW w:w="706" w:type="dxa"/>
            <w:tcBorders>
              <w:tl2br w:val="nil"/>
              <w:tr2bl w:val="nil"/>
            </w:tcBorders>
            <w:vAlign w:val="center"/>
          </w:tcPr>
          <w:p w14:paraId="4A82416C">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r w14:paraId="68DCBC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5" w:type="dxa"/>
            <w:vMerge w:val="continue"/>
            <w:tcBorders>
              <w:tl2br w:val="nil"/>
              <w:tr2bl w:val="nil"/>
            </w:tcBorders>
            <w:vAlign w:val="center"/>
          </w:tcPr>
          <w:p w14:paraId="221BD3A8">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1618" w:type="dxa"/>
            <w:gridSpan w:val="2"/>
            <w:vMerge w:val="continue"/>
            <w:tcBorders>
              <w:tl2br w:val="nil"/>
              <w:tr2bl w:val="nil"/>
            </w:tcBorders>
            <w:vAlign w:val="center"/>
          </w:tcPr>
          <w:p w14:paraId="20939F5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2337" w:type="dxa"/>
            <w:tcBorders>
              <w:tl2br w:val="nil"/>
              <w:tr2bl w:val="nil"/>
            </w:tcBorders>
            <w:vAlign w:val="center"/>
          </w:tcPr>
          <w:p w14:paraId="5A546EC6">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企事业单位开展绿色业务领域能力水平提升及低碳培训的情况</w:t>
            </w:r>
          </w:p>
        </w:tc>
        <w:tc>
          <w:tcPr>
            <w:tcW w:w="3613" w:type="dxa"/>
            <w:tcBorders>
              <w:tl2br w:val="nil"/>
              <w:tr2bl w:val="nil"/>
            </w:tcBorders>
            <w:vAlign w:val="center"/>
          </w:tcPr>
          <w:p w14:paraId="742A752C">
            <w:pPr>
              <w:keepNext w:val="0"/>
              <w:keepLines w:val="0"/>
              <w:suppressLineNumbers w:val="0"/>
              <w:tabs>
                <w:tab w:val="center" w:pos="4201"/>
                <w:tab w:val="right" w:leader="dot" w:pos="9298"/>
              </w:tabs>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每年开展2次绿色业务领域能力水平提升的培训活动，或对员工开展2次及以上低碳环保、节能减排、循环经济等主题培训。（2分）</w:t>
            </w:r>
          </w:p>
        </w:tc>
        <w:tc>
          <w:tcPr>
            <w:tcW w:w="700" w:type="dxa"/>
            <w:tcBorders>
              <w:tl2br w:val="nil"/>
              <w:tr2bl w:val="nil"/>
            </w:tcBorders>
            <w:vAlign w:val="center"/>
          </w:tcPr>
          <w:p w14:paraId="1BDE119F">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lang w:bidi="ar"/>
              </w:rPr>
            </w:pPr>
            <w:r>
              <w:rPr>
                <w:rFonts w:hint="default" w:ascii="宋体" w:hAnsi="宋体" w:cs="宋体"/>
                <w:color w:val="000000"/>
                <w:kern w:val="0"/>
                <w:sz w:val="18"/>
                <w:szCs w:val="18"/>
                <w:lang w:bidi="ar"/>
              </w:rPr>
              <w:t>2</w:t>
            </w:r>
          </w:p>
        </w:tc>
        <w:tc>
          <w:tcPr>
            <w:tcW w:w="706" w:type="dxa"/>
            <w:tcBorders>
              <w:tl2br w:val="nil"/>
              <w:tr2bl w:val="nil"/>
            </w:tcBorders>
            <w:vAlign w:val="center"/>
          </w:tcPr>
          <w:p w14:paraId="3156C553">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r w14:paraId="5C9740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5" w:type="dxa"/>
            <w:vMerge w:val="continue"/>
            <w:tcBorders>
              <w:tl2br w:val="nil"/>
              <w:tr2bl w:val="nil"/>
            </w:tcBorders>
            <w:vAlign w:val="center"/>
          </w:tcPr>
          <w:p w14:paraId="773268D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p>
        </w:tc>
        <w:tc>
          <w:tcPr>
            <w:tcW w:w="1618" w:type="dxa"/>
            <w:gridSpan w:val="2"/>
            <w:tcBorders>
              <w:tl2br w:val="nil"/>
              <w:tr2bl w:val="nil"/>
            </w:tcBorders>
            <w:vAlign w:val="center"/>
          </w:tcPr>
          <w:p w14:paraId="63ECD70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社会责任</w:t>
            </w:r>
          </w:p>
        </w:tc>
        <w:tc>
          <w:tcPr>
            <w:tcW w:w="2337" w:type="dxa"/>
            <w:tcBorders>
              <w:tl2br w:val="nil"/>
              <w:tr2bl w:val="nil"/>
            </w:tcBorders>
            <w:vAlign w:val="center"/>
          </w:tcPr>
          <w:p w14:paraId="1001CFA2">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企事业单位履行公共关系和社会公益责任的情况，满足其中任一项可得分</w:t>
            </w:r>
          </w:p>
        </w:tc>
        <w:tc>
          <w:tcPr>
            <w:tcW w:w="3613" w:type="dxa"/>
            <w:tcBorders>
              <w:tl2br w:val="nil"/>
              <w:tr2bl w:val="nil"/>
            </w:tcBorders>
            <w:vAlign w:val="center"/>
          </w:tcPr>
          <w:p w14:paraId="30873426">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主动举办环保公益活动，或参加环境保护、教育、扶贫济困等公益活动，或积极对重大自然灾害、突发事件提供援助。（</w:t>
            </w:r>
            <w:r>
              <w:rPr>
                <w:rFonts w:hint="default" w:hAnsi="宋体" w:cs="宋体"/>
                <w:sz w:val="18"/>
                <w:szCs w:val="18"/>
              </w:rPr>
              <w:t>4</w:t>
            </w:r>
            <w:r>
              <w:rPr>
                <w:rFonts w:hint="eastAsia" w:hAnsi="宋体" w:cs="宋体"/>
                <w:sz w:val="18"/>
                <w:szCs w:val="18"/>
              </w:rPr>
              <w:t>分）</w:t>
            </w:r>
          </w:p>
        </w:tc>
        <w:tc>
          <w:tcPr>
            <w:tcW w:w="700" w:type="dxa"/>
            <w:tcBorders>
              <w:tl2br w:val="nil"/>
              <w:tr2bl w:val="nil"/>
            </w:tcBorders>
            <w:vAlign w:val="center"/>
          </w:tcPr>
          <w:p w14:paraId="4DE8556B">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rPr>
            </w:pPr>
            <w:r>
              <w:rPr>
                <w:rFonts w:hint="default" w:ascii="宋体" w:hAnsi="宋体" w:cs="宋体"/>
                <w:color w:val="000000"/>
                <w:kern w:val="0"/>
                <w:sz w:val="18"/>
                <w:szCs w:val="18"/>
                <w:lang w:bidi="ar"/>
              </w:rPr>
              <w:t>4</w:t>
            </w:r>
          </w:p>
        </w:tc>
        <w:tc>
          <w:tcPr>
            <w:tcW w:w="706" w:type="dxa"/>
            <w:tcBorders>
              <w:tl2br w:val="nil"/>
              <w:tr2bl w:val="nil"/>
            </w:tcBorders>
            <w:vAlign w:val="center"/>
          </w:tcPr>
          <w:p w14:paraId="6521CBE0">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bl>
    <w:p w14:paraId="6ECBE24A">
      <w:pPr>
        <w:numPr>
          <w:ilvl w:val="1"/>
          <w:numId w:val="0"/>
        </w:numPr>
        <w:spacing w:before="312" w:beforeLines="100" w:after="156" w:afterLines="50"/>
        <w:jc w:val="center"/>
      </w:pPr>
      <w:r>
        <w:rPr>
          <w:rFonts w:hint="eastAsia" w:ascii="黑体" w:hAnsi="黑体" w:eastAsia="黑体" w:cs="黑体"/>
          <w:szCs w:val="21"/>
        </w:rPr>
        <w:t>表C.2  绿色金融认证和评级领域绿色低碳产业企业认定综合评价指标</w:t>
      </w:r>
      <w:r>
        <w:rPr>
          <w:rFonts w:hint="eastAsia" w:ascii="宋体" w:hAnsi="宋体" w:cs="宋体"/>
          <w:szCs w:val="21"/>
        </w:rPr>
        <w:t>（续）</w:t>
      </w:r>
    </w:p>
    <w:tbl>
      <w:tblPr>
        <w:tblStyle w:val="36"/>
        <w:tblpPr w:leftFromText="180" w:rightFromText="180" w:vertAnchor="text" w:tblpXSpec="center" w:tblpY="1"/>
        <w:tblOverlap w:val="never"/>
        <w:tblW w:w="95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85"/>
        <w:gridCol w:w="1618"/>
        <w:gridCol w:w="2337"/>
        <w:gridCol w:w="3613"/>
        <w:gridCol w:w="700"/>
        <w:gridCol w:w="706"/>
      </w:tblGrid>
      <w:tr w14:paraId="02B768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5" w:type="dxa"/>
            <w:tcBorders>
              <w:bottom w:val="single" w:color="auto" w:sz="12" w:space="0"/>
            </w:tcBorders>
            <w:shd w:val="clear" w:color="auto" w:fill="auto"/>
            <w:vAlign w:val="center"/>
          </w:tcPr>
          <w:p w14:paraId="1B3BF65F">
            <w:pPr>
              <w:keepNext w:val="0"/>
              <w:keepLines w:val="0"/>
              <w:suppressLineNumbers w:val="0"/>
              <w:autoSpaceDE w:val="0"/>
              <w:autoSpaceDN w:val="0"/>
              <w:spacing w:before="0" w:beforeAutospacing="0" w:after="0" w:afterAutospacing="0"/>
              <w:ind w:left="0" w:leftChars="0" w:right="0" w:rightChars="0"/>
              <w:jc w:val="center"/>
              <w:rPr>
                <w:rFonts w:hint="default" w:ascii="宋体" w:hAnsi="Times New Roman" w:eastAsia="宋体" w:cs="Times New Roman"/>
                <w:b/>
                <w:kern w:val="2"/>
                <w:sz w:val="18"/>
                <w:szCs w:val="18"/>
                <w:lang w:val="en-US" w:eastAsia="zh-CN" w:bidi="ar-SA"/>
              </w:rPr>
            </w:pPr>
            <w:r>
              <w:rPr>
                <w:rFonts w:hint="default" w:ascii="宋体"/>
                <w:b/>
                <w:sz w:val="18"/>
                <w:szCs w:val="18"/>
              </w:rPr>
              <w:t>一级指标</w:t>
            </w:r>
          </w:p>
        </w:tc>
        <w:tc>
          <w:tcPr>
            <w:tcW w:w="1618" w:type="dxa"/>
            <w:tcBorders>
              <w:bottom w:val="single" w:color="auto" w:sz="12" w:space="0"/>
            </w:tcBorders>
            <w:shd w:val="clear" w:color="auto" w:fill="auto"/>
            <w:vAlign w:val="center"/>
          </w:tcPr>
          <w:p w14:paraId="29FA7364">
            <w:pPr>
              <w:keepNext w:val="0"/>
              <w:keepLines w:val="0"/>
              <w:suppressLineNumbers w:val="0"/>
              <w:autoSpaceDE w:val="0"/>
              <w:autoSpaceDN w:val="0"/>
              <w:spacing w:before="0" w:beforeAutospacing="0" w:after="0" w:afterAutospacing="0"/>
              <w:ind w:left="0" w:leftChars="0" w:right="0" w:rightChars="0"/>
              <w:jc w:val="center"/>
              <w:rPr>
                <w:rFonts w:hint="default" w:ascii="宋体" w:hAnsi="Times New Roman" w:eastAsia="宋体" w:cs="Times New Roman"/>
                <w:b/>
                <w:kern w:val="2"/>
                <w:sz w:val="18"/>
                <w:szCs w:val="18"/>
                <w:lang w:val="en-US" w:eastAsia="zh-CN" w:bidi="ar-SA"/>
              </w:rPr>
            </w:pPr>
            <w:r>
              <w:rPr>
                <w:rFonts w:hint="default" w:ascii="宋体"/>
                <w:b/>
                <w:sz w:val="18"/>
                <w:szCs w:val="18"/>
              </w:rPr>
              <w:t>二级指标</w:t>
            </w:r>
          </w:p>
        </w:tc>
        <w:tc>
          <w:tcPr>
            <w:tcW w:w="2337" w:type="dxa"/>
            <w:tcBorders>
              <w:bottom w:val="single" w:color="auto" w:sz="12" w:space="0"/>
            </w:tcBorders>
            <w:shd w:val="clear" w:color="auto" w:fill="auto"/>
            <w:vAlign w:val="center"/>
          </w:tcPr>
          <w:p w14:paraId="4656DFA3">
            <w:pPr>
              <w:keepNext w:val="0"/>
              <w:keepLines w:val="0"/>
              <w:suppressLineNumbers w:val="0"/>
              <w:autoSpaceDE w:val="0"/>
              <w:autoSpaceDN w:val="0"/>
              <w:spacing w:before="0" w:beforeAutospacing="0" w:after="0" w:afterAutospacing="0"/>
              <w:ind w:left="0" w:leftChars="0" w:right="0" w:rightChars="0"/>
              <w:jc w:val="center"/>
              <w:rPr>
                <w:rFonts w:hint="eastAsia" w:ascii="宋体" w:hAnsi="Times New Roman" w:eastAsia="宋体" w:cs="Times New Roman"/>
                <w:b/>
                <w:kern w:val="2"/>
                <w:sz w:val="18"/>
                <w:szCs w:val="18"/>
                <w:lang w:val="en-US" w:eastAsia="zh-CN" w:bidi="ar-SA"/>
              </w:rPr>
            </w:pPr>
            <w:r>
              <w:rPr>
                <w:rFonts w:hint="default" w:ascii="宋体"/>
                <w:b/>
                <w:sz w:val="18"/>
                <w:szCs w:val="18"/>
              </w:rPr>
              <w:t>三级指标</w:t>
            </w:r>
          </w:p>
        </w:tc>
        <w:tc>
          <w:tcPr>
            <w:tcW w:w="3613" w:type="dxa"/>
            <w:tcBorders>
              <w:bottom w:val="single" w:color="auto" w:sz="12" w:space="0"/>
            </w:tcBorders>
            <w:shd w:val="clear" w:color="auto" w:fill="auto"/>
            <w:vAlign w:val="center"/>
          </w:tcPr>
          <w:p w14:paraId="2F5033DD">
            <w:pPr>
              <w:keepNext w:val="0"/>
              <w:keepLines w:val="0"/>
              <w:suppressLineNumbers w:val="0"/>
              <w:autoSpaceDE w:val="0"/>
              <w:autoSpaceDN w:val="0"/>
              <w:spacing w:before="0" w:beforeAutospacing="0" w:after="0" w:afterAutospacing="0"/>
              <w:ind w:left="0" w:leftChars="0" w:right="0" w:rightChars="0"/>
              <w:jc w:val="center"/>
              <w:rPr>
                <w:rFonts w:hint="eastAsia" w:ascii="宋体" w:hAnsi="Times New Roman" w:eastAsia="宋体" w:cs="Times New Roman"/>
                <w:b/>
                <w:kern w:val="2"/>
                <w:sz w:val="18"/>
                <w:szCs w:val="18"/>
                <w:lang w:val="en-US" w:eastAsia="zh-CN" w:bidi="ar-SA"/>
              </w:rPr>
            </w:pPr>
            <w:r>
              <w:rPr>
                <w:rFonts w:hint="eastAsia" w:ascii="宋体"/>
                <w:b/>
                <w:sz w:val="18"/>
                <w:szCs w:val="18"/>
              </w:rPr>
              <w:t>评价要求</w:t>
            </w:r>
          </w:p>
        </w:tc>
        <w:tc>
          <w:tcPr>
            <w:tcW w:w="700" w:type="dxa"/>
            <w:tcBorders>
              <w:bottom w:val="single" w:color="auto" w:sz="12" w:space="0"/>
            </w:tcBorders>
            <w:shd w:val="clear" w:color="auto" w:fill="auto"/>
            <w:vAlign w:val="center"/>
          </w:tcPr>
          <w:p w14:paraId="4A8FCF71">
            <w:pPr>
              <w:keepNext w:val="0"/>
              <w:keepLines w:val="0"/>
              <w:suppressLineNumbers w:val="0"/>
              <w:autoSpaceDE w:val="0"/>
              <w:autoSpaceDN w:val="0"/>
              <w:spacing w:before="0" w:beforeAutospacing="0" w:after="0" w:afterAutospacing="0"/>
              <w:ind w:left="0" w:leftChars="0" w:right="0" w:rightChars="0"/>
              <w:jc w:val="center"/>
              <w:rPr>
                <w:rFonts w:hint="eastAsia" w:ascii="宋体" w:hAnsi="Times New Roman" w:eastAsia="宋体" w:cs="Times New Roman"/>
                <w:b/>
                <w:kern w:val="2"/>
                <w:sz w:val="18"/>
                <w:szCs w:val="18"/>
                <w:lang w:val="en-US" w:eastAsia="zh-CN" w:bidi="ar-SA"/>
              </w:rPr>
            </w:pPr>
            <w:r>
              <w:rPr>
                <w:rFonts w:hint="eastAsia" w:ascii="宋体"/>
                <w:b/>
                <w:sz w:val="18"/>
                <w:szCs w:val="18"/>
              </w:rPr>
              <w:t>评分标准</w:t>
            </w:r>
          </w:p>
        </w:tc>
        <w:tc>
          <w:tcPr>
            <w:tcW w:w="706" w:type="dxa"/>
            <w:tcBorders>
              <w:bottom w:val="single" w:color="auto" w:sz="12" w:space="0"/>
            </w:tcBorders>
            <w:shd w:val="clear" w:color="auto" w:fill="auto"/>
            <w:vAlign w:val="center"/>
          </w:tcPr>
          <w:p w14:paraId="2BBFF399">
            <w:pPr>
              <w:keepNext w:val="0"/>
              <w:keepLines w:val="0"/>
              <w:suppressLineNumbers w:val="0"/>
              <w:autoSpaceDE w:val="0"/>
              <w:autoSpaceDN w:val="0"/>
              <w:spacing w:before="0" w:beforeAutospacing="0" w:after="0" w:afterAutospacing="0"/>
              <w:ind w:left="0" w:leftChars="0" w:right="0" w:rightChars="0"/>
              <w:rPr>
                <w:rFonts w:hint="default" w:ascii="宋体" w:hAnsi="Times New Roman" w:eastAsia="宋体" w:cs="Times New Roman"/>
                <w:b/>
                <w:kern w:val="2"/>
                <w:sz w:val="18"/>
                <w:szCs w:val="18"/>
                <w:lang w:val="en-US" w:eastAsia="zh-CN" w:bidi="ar-SA"/>
              </w:rPr>
            </w:pPr>
            <w:r>
              <w:rPr>
                <w:rFonts w:hint="default" w:ascii="宋体"/>
                <w:b/>
                <w:sz w:val="18"/>
                <w:szCs w:val="18"/>
              </w:rPr>
              <w:t>分值</w:t>
            </w:r>
            <w:r>
              <w:rPr>
                <w:rFonts w:hint="eastAsia" w:ascii="宋体"/>
                <w:b/>
                <w:sz w:val="18"/>
                <w:szCs w:val="18"/>
              </w:rPr>
              <w:t>（分）</w:t>
            </w:r>
          </w:p>
        </w:tc>
      </w:tr>
      <w:tr w14:paraId="6782AB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85" w:type="dxa"/>
            <w:tcBorders>
              <w:top w:val="single" w:color="auto" w:sz="12" w:space="0"/>
              <w:tl2br w:val="nil"/>
              <w:tr2bl w:val="nil"/>
            </w:tcBorders>
            <w:vAlign w:val="center"/>
          </w:tcPr>
          <w:p w14:paraId="38E6999E">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社会表现</w:t>
            </w:r>
          </w:p>
        </w:tc>
        <w:tc>
          <w:tcPr>
            <w:tcW w:w="1618" w:type="dxa"/>
            <w:tcBorders>
              <w:top w:val="single" w:color="auto" w:sz="12" w:space="0"/>
              <w:tl2br w:val="nil"/>
              <w:tr2bl w:val="nil"/>
            </w:tcBorders>
            <w:vAlign w:val="center"/>
          </w:tcPr>
          <w:p w14:paraId="6F3C644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rPr>
            </w:pPr>
            <w:r>
              <w:rPr>
                <w:rFonts w:hint="eastAsia" w:ascii="宋体" w:hAnsi="宋体" w:cs="宋体"/>
                <w:sz w:val="18"/>
                <w:szCs w:val="18"/>
              </w:rPr>
              <w:t>社会责任</w:t>
            </w:r>
          </w:p>
        </w:tc>
        <w:tc>
          <w:tcPr>
            <w:tcW w:w="2337" w:type="dxa"/>
            <w:tcBorders>
              <w:top w:val="single" w:color="auto" w:sz="12" w:space="0"/>
              <w:tl2br w:val="nil"/>
              <w:tr2bl w:val="nil"/>
            </w:tcBorders>
            <w:vAlign w:val="center"/>
          </w:tcPr>
          <w:p w14:paraId="7ADF0380">
            <w:pPr>
              <w:pStyle w:val="25"/>
              <w:keepNext w:val="0"/>
              <w:keepLines w:val="0"/>
              <w:widowControl/>
              <w:suppressLineNumbers w:val="0"/>
              <w:spacing w:before="0" w:beforeAutospacing="0" w:after="0" w:afterAutospacing="0"/>
              <w:ind w:left="0" w:right="0" w:firstLine="0" w:firstLineChars="0"/>
              <w:rPr>
                <w:rFonts w:hint="default" w:hAnsi="宋体" w:cs="宋体"/>
                <w:sz w:val="18"/>
                <w:szCs w:val="18"/>
              </w:rPr>
            </w:pPr>
            <w:r>
              <w:rPr>
                <w:rFonts w:hint="eastAsia" w:hAnsi="宋体" w:cs="宋体"/>
                <w:sz w:val="18"/>
                <w:szCs w:val="18"/>
              </w:rPr>
              <w:t>企事业单位社会信用记录的情况</w:t>
            </w:r>
          </w:p>
        </w:tc>
        <w:tc>
          <w:tcPr>
            <w:tcW w:w="3613" w:type="dxa"/>
            <w:tcBorders>
              <w:top w:val="single" w:color="auto" w:sz="12" w:space="0"/>
              <w:tl2br w:val="nil"/>
              <w:tr2bl w:val="nil"/>
            </w:tcBorders>
            <w:vAlign w:val="center"/>
          </w:tcPr>
          <w:p w14:paraId="5896494C">
            <w:pPr>
              <w:keepNext w:val="0"/>
              <w:keepLines w:val="0"/>
              <w:suppressLineNumbers w:val="0"/>
              <w:tabs>
                <w:tab w:val="center" w:pos="4201"/>
                <w:tab w:val="right" w:leader="dot" w:pos="9298"/>
              </w:tabs>
              <w:autoSpaceDE w:val="0"/>
              <w:autoSpaceDN w:val="0"/>
              <w:spacing w:before="0" w:beforeAutospacing="0" w:after="0" w:afterAutospacing="0"/>
              <w:ind w:left="0" w:right="0"/>
              <w:rPr>
                <w:rFonts w:hint="default" w:ascii="宋体" w:hAnsi="宋体" w:cs="宋体"/>
                <w:sz w:val="18"/>
                <w:szCs w:val="18"/>
              </w:rPr>
            </w:pPr>
            <w:r>
              <w:rPr>
                <w:rFonts w:hint="eastAsia" w:ascii="宋体" w:hAnsi="宋体" w:cs="宋体"/>
                <w:sz w:val="18"/>
                <w:szCs w:val="18"/>
              </w:rPr>
              <w:t>近三年内未被相关行政主管部门通报违法违规情况。（4分）</w:t>
            </w:r>
          </w:p>
        </w:tc>
        <w:tc>
          <w:tcPr>
            <w:tcW w:w="700" w:type="dxa"/>
            <w:tcBorders>
              <w:top w:val="single" w:color="auto" w:sz="12" w:space="0"/>
              <w:tl2br w:val="nil"/>
              <w:tr2bl w:val="nil"/>
            </w:tcBorders>
            <w:vAlign w:val="center"/>
          </w:tcPr>
          <w:p w14:paraId="1886D5EF">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lang w:bidi="ar"/>
              </w:rPr>
            </w:pPr>
            <w:r>
              <w:rPr>
                <w:rFonts w:hint="eastAsia" w:ascii="宋体" w:hAnsi="宋体" w:cs="宋体"/>
                <w:color w:val="000000"/>
                <w:kern w:val="0"/>
                <w:sz w:val="18"/>
                <w:szCs w:val="18"/>
                <w:lang w:bidi="ar"/>
              </w:rPr>
              <w:t>4</w:t>
            </w:r>
          </w:p>
        </w:tc>
        <w:tc>
          <w:tcPr>
            <w:tcW w:w="706" w:type="dxa"/>
            <w:tcBorders>
              <w:top w:val="single" w:color="auto" w:sz="12" w:space="0"/>
              <w:tl2br w:val="nil"/>
              <w:tr2bl w:val="nil"/>
            </w:tcBorders>
            <w:vAlign w:val="center"/>
          </w:tcPr>
          <w:p w14:paraId="07C9E5D4">
            <w:pPr>
              <w:keepNext w:val="0"/>
              <w:keepLines w:val="0"/>
              <w:suppressLineNumbers w:val="0"/>
              <w:autoSpaceDE w:val="0"/>
              <w:autoSpaceDN w:val="0"/>
              <w:spacing w:before="0" w:beforeAutospacing="0" w:after="0" w:afterAutospacing="0"/>
              <w:ind w:left="0" w:right="0"/>
              <w:jc w:val="center"/>
              <w:rPr>
                <w:rFonts w:hint="default" w:ascii="宋体"/>
                <w:sz w:val="18"/>
                <w:szCs w:val="18"/>
              </w:rPr>
            </w:pPr>
          </w:p>
        </w:tc>
      </w:tr>
      <w:tr w14:paraId="6DF061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51" w:hRule="atLeast"/>
        </w:trPr>
        <w:tc>
          <w:tcPr>
            <w:tcW w:w="8853" w:type="dxa"/>
            <w:gridSpan w:val="5"/>
            <w:tcBorders>
              <w:tl2br w:val="nil"/>
              <w:tr2bl w:val="nil"/>
            </w:tcBorders>
            <w:vAlign w:val="center"/>
          </w:tcPr>
          <w:p w14:paraId="1B035491">
            <w:pPr>
              <w:keepNext w:val="0"/>
              <w:keepLines w:val="0"/>
              <w:suppressLineNumbers w:val="0"/>
              <w:autoSpaceDE w:val="0"/>
              <w:autoSpaceDN w:val="0"/>
              <w:spacing w:before="0" w:beforeAutospacing="0" w:after="0" w:afterAutospacing="0"/>
              <w:ind w:left="0" w:right="0"/>
              <w:jc w:val="center"/>
              <w:rPr>
                <w:rFonts w:hint="default" w:ascii="宋体"/>
                <w:b/>
                <w:sz w:val="18"/>
                <w:szCs w:val="18"/>
              </w:rPr>
            </w:pPr>
            <w:r>
              <w:rPr>
                <w:rFonts w:hint="default" w:ascii="宋体"/>
                <w:b/>
                <w:sz w:val="18"/>
                <w:szCs w:val="18"/>
              </w:rPr>
              <w:t>总得分</w:t>
            </w:r>
          </w:p>
        </w:tc>
        <w:tc>
          <w:tcPr>
            <w:tcW w:w="706" w:type="dxa"/>
            <w:tcBorders>
              <w:tl2br w:val="nil"/>
              <w:tr2bl w:val="nil"/>
            </w:tcBorders>
            <w:vAlign w:val="center"/>
          </w:tcPr>
          <w:p w14:paraId="69D00F85">
            <w:pPr>
              <w:keepNext w:val="0"/>
              <w:keepLines w:val="0"/>
              <w:suppressLineNumbers w:val="0"/>
              <w:autoSpaceDE w:val="0"/>
              <w:autoSpaceDN w:val="0"/>
              <w:spacing w:before="0" w:beforeAutospacing="0" w:after="0" w:afterAutospacing="0" w:line="240" w:lineRule="atLeast"/>
              <w:ind w:left="0" w:right="0"/>
              <w:jc w:val="center"/>
              <w:rPr>
                <w:rFonts w:hint="default" w:ascii="宋体"/>
                <w:b/>
                <w:sz w:val="18"/>
                <w:szCs w:val="18"/>
              </w:rPr>
            </w:pPr>
          </w:p>
        </w:tc>
      </w:tr>
    </w:tbl>
    <w:p w14:paraId="4CBD23CF">
      <w:pPr>
        <w:pStyle w:val="25"/>
        <w:ind w:firstLine="0" w:firstLineChars="0"/>
        <w:rPr>
          <w:szCs w:val="24"/>
        </w:rPr>
        <w:sectPr>
          <w:headerReference r:id="rId10" w:type="first"/>
          <w:footerReference r:id="rId11" w:type="default"/>
          <w:footerReference r:id="rId12" w:type="even"/>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pPr>
    </w:p>
    <w:p w14:paraId="536B3DEC">
      <w:pPr>
        <w:pStyle w:val="74"/>
        <w:rPr>
          <w:rFonts w:ascii="Times New Roman"/>
        </w:rPr>
      </w:pPr>
      <w:bookmarkStart w:id="106" w:name="_Toc102992471"/>
      <w:bookmarkStart w:id="107" w:name="_Toc195038138"/>
      <w:r>
        <w:rPr>
          <w:rFonts w:ascii="Times New Roman"/>
        </w:rPr>
        <w:t>参 考 文 献</w:t>
      </w:r>
      <w:bookmarkEnd w:id="101"/>
      <w:bookmarkEnd w:id="106"/>
      <w:bookmarkEnd w:id="107"/>
    </w:p>
    <w:p w14:paraId="54335A0E">
      <w:pPr>
        <w:numPr>
          <w:ilvl w:val="0"/>
          <w:numId w:val="22"/>
        </w:numPr>
        <w:wordWrap w:val="0"/>
        <w:autoSpaceDE w:val="0"/>
        <w:autoSpaceDN w:val="0"/>
        <w:ind w:firstLine="420"/>
        <w:rPr>
          <w:rFonts w:ascii="宋体" w:hAnsi="宋体" w:cs="宋体"/>
        </w:rPr>
      </w:pPr>
      <w:r>
        <w:rPr>
          <w:rFonts w:hint="eastAsia" w:ascii="宋体" w:hAnsi="宋体" w:cs="宋体"/>
        </w:rPr>
        <w:t xml:space="preserve"> DB3305/T 62—2018  绿色融资企业评价规范</w:t>
      </w:r>
    </w:p>
    <w:p w14:paraId="5112A453">
      <w:pPr>
        <w:numPr>
          <w:ilvl w:val="0"/>
          <w:numId w:val="22"/>
        </w:numPr>
        <w:wordWrap w:val="0"/>
        <w:autoSpaceDE w:val="0"/>
        <w:autoSpaceDN w:val="0"/>
        <w:ind w:firstLine="420"/>
        <w:rPr>
          <w:rFonts w:ascii="宋体" w:hAnsi="宋体" w:cs="宋体"/>
        </w:rPr>
      </w:pPr>
      <w:r>
        <w:rPr>
          <w:rFonts w:hint="eastAsia" w:ascii="宋体" w:hAnsi="宋体" w:cs="宋体"/>
        </w:rPr>
        <w:t xml:space="preserve"> DB3308/T 69—2020  绿色企业评价规范</w:t>
      </w:r>
    </w:p>
    <w:p w14:paraId="5336EACE">
      <w:pPr>
        <w:numPr>
          <w:ilvl w:val="0"/>
          <w:numId w:val="22"/>
        </w:numPr>
        <w:wordWrap w:val="0"/>
        <w:autoSpaceDE w:val="0"/>
        <w:autoSpaceDN w:val="0"/>
        <w:ind w:firstLine="420"/>
        <w:rPr>
          <w:rFonts w:ascii="宋体" w:hAnsi="宋体" w:cs="宋体"/>
        </w:rPr>
      </w:pPr>
      <w:r>
        <w:rPr>
          <w:rFonts w:hint="eastAsia" w:ascii="宋体" w:hAnsi="宋体" w:cs="宋体"/>
        </w:rPr>
        <w:t xml:space="preserve"> DB4403/T 400—2023  金融机构绿色投融资环境效益信息披露指标要求</w:t>
      </w:r>
    </w:p>
    <w:p w14:paraId="7CDAB4D4">
      <w:pPr>
        <w:numPr>
          <w:ilvl w:val="0"/>
          <w:numId w:val="22"/>
        </w:numPr>
        <w:wordWrap w:val="0"/>
        <w:autoSpaceDE w:val="0"/>
        <w:autoSpaceDN w:val="0"/>
        <w:ind w:firstLine="420"/>
        <w:rPr>
          <w:rFonts w:ascii="宋体" w:hAnsi="宋体" w:cs="宋体"/>
        </w:rPr>
      </w:pPr>
      <w:r>
        <w:rPr>
          <w:rFonts w:hint="eastAsia" w:ascii="宋体" w:hAnsi="宋体" w:cs="宋体"/>
        </w:rPr>
        <w:t xml:space="preserve"> T/CGDF 00002—2018  绿色企业评选标准</w:t>
      </w:r>
    </w:p>
    <w:p w14:paraId="6D581A9B">
      <w:pPr>
        <w:numPr>
          <w:ilvl w:val="0"/>
          <w:numId w:val="22"/>
        </w:numPr>
        <w:wordWrap w:val="0"/>
        <w:autoSpaceDE w:val="0"/>
        <w:autoSpaceDN w:val="0"/>
        <w:ind w:firstLine="420"/>
        <w:rPr>
          <w:rFonts w:ascii="宋体" w:hAnsi="宋体" w:cs="宋体"/>
        </w:rPr>
      </w:pPr>
      <w:r>
        <w:rPr>
          <w:rFonts w:hint="eastAsia" w:ascii="宋体" w:hAnsi="宋体" w:cs="宋体"/>
        </w:rPr>
        <w:t xml:space="preserve"> T/TMAC 041.F-2022  科技服务机构星级评价规范</w:t>
      </w:r>
    </w:p>
    <w:p w14:paraId="6801943B">
      <w:pPr>
        <w:numPr>
          <w:ilvl w:val="0"/>
          <w:numId w:val="22"/>
        </w:numPr>
        <w:wordWrap w:val="0"/>
        <w:autoSpaceDE w:val="0"/>
        <w:autoSpaceDN w:val="0"/>
        <w:ind w:firstLine="420"/>
        <w:rPr>
          <w:rFonts w:ascii="宋体" w:hAnsi="宋体" w:cs="宋体"/>
        </w:rPr>
      </w:pPr>
      <w:r>
        <w:rPr>
          <w:rFonts w:hint="eastAsia" w:ascii="宋体" w:hAnsi="宋体" w:cs="宋体"/>
        </w:rPr>
        <w:t xml:space="preserve"> </w:t>
      </w:r>
      <w:r>
        <w:rPr>
          <w:rFonts w:ascii="宋体" w:hAnsi="宋体" w:cs="宋体"/>
        </w:rPr>
        <w:t>国家统计局.关于印发《研究与试验发展（R&amp;D）投入统计规范（试行）》的通知[EB/OL].</w:t>
      </w:r>
      <w:r>
        <w:rPr>
          <w:rFonts w:hint="eastAsia" w:ascii="宋体" w:hAnsi="宋体" w:cs="宋体"/>
        </w:rPr>
        <w:t>（2019-04-19）</w:t>
      </w:r>
      <w:r>
        <w:rPr>
          <w:rFonts w:ascii="宋体" w:hAnsi="宋体" w:cs="宋体"/>
        </w:rPr>
        <w:t>[20</w:t>
      </w:r>
      <w:r>
        <w:rPr>
          <w:rFonts w:hint="eastAsia" w:ascii="宋体" w:hAnsi="宋体" w:cs="宋体"/>
        </w:rPr>
        <w:t>23</w:t>
      </w:r>
      <w:r>
        <w:rPr>
          <w:rFonts w:ascii="宋体" w:hAnsi="宋体" w:cs="宋体"/>
        </w:rPr>
        <w:t>-0</w:t>
      </w:r>
      <w:r>
        <w:rPr>
          <w:rFonts w:hint="eastAsia" w:ascii="宋体" w:hAnsi="宋体" w:cs="宋体"/>
        </w:rPr>
        <w:t>1</w:t>
      </w:r>
      <w:r>
        <w:rPr>
          <w:rFonts w:ascii="宋体" w:hAnsi="宋体" w:cs="宋体"/>
        </w:rPr>
        <w:t>-</w:t>
      </w:r>
      <w:r>
        <w:rPr>
          <w:rFonts w:hint="eastAsia" w:ascii="宋体" w:hAnsi="宋体" w:cs="宋体"/>
        </w:rPr>
        <w:t>16</w:t>
      </w:r>
      <w:r>
        <w:rPr>
          <w:rFonts w:ascii="宋体" w:hAnsi="宋体" w:cs="宋体"/>
        </w:rPr>
        <w:t>].http://www.stats.gov.cn/tjgz/tzgb/201905/t20190507_1663326.html</w:t>
      </w:r>
    </w:p>
    <w:p w14:paraId="1FA0993E">
      <w:pPr>
        <w:numPr>
          <w:ilvl w:val="0"/>
          <w:numId w:val="22"/>
        </w:numPr>
        <w:wordWrap w:val="0"/>
        <w:autoSpaceDE w:val="0"/>
        <w:autoSpaceDN w:val="0"/>
        <w:ind w:firstLine="420"/>
        <w:rPr>
          <w:rFonts w:ascii="宋体" w:hAnsi="宋体" w:cs="宋体"/>
        </w:rPr>
      </w:pPr>
      <w:r>
        <w:rPr>
          <w:rFonts w:hint="eastAsia" w:ascii="宋体" w:hAnsi="宋体" w:cs="宋体"/>
        </w:rPr>
        <w:t xml:space="preserve"> 科技部 财政部 国家税务总局.关于修订印发《高新技术企业认定管理办法》的通知[EB/OL].（2016-02-04）[2023-01-16].https://www.most.gov.cn/xxgk/xinxifenlei/fdzdgknr/fgzc/gfxwj/gfxwj2016/201602/t20160205_123998.html</w:t>
      </w:r>
    </w:p>
    <w:p w14:paraId="6F239206">
      <w:pPr>
        <w:numPr>
          <w:ilvl w:val="0"/>
          <w:numId w:val="22"/>
        </w:numPr>
        <w:wordWrap w:val="0"/>
        <w:autoSpaceDE w:val="0"/>
        <w:autoSpaceDN w:val="0"/>
        <w:ind w:firstLine="420"/>
      </w:pPr>
      <w:r>
        <w:rPr>
          <w:rFonts w:hint="eastAsia" w:ascii="宋体" w:hAnsi="宋体" w:cs="宋体"/>
        </w:rPr>
        <w:t xml:space="preserve"> 工业和信息化部.关于印发《优质中小企业梯度培育管理暂行办法》的通知[EB/OL].（2022-06-01）[2023-01-16].https://ythxxfb.miit.gov.cn/ythzxfwpt/hlwmh/tzgg/sbfw/qyshzr/art/2022/art_7e837e1f401c43a2990d82cf36b624bb.html</w:t>
      </w:r>
    </w:p>
    <w:p w14:paraId="42A5DA5A">
      <w:pPr>
        <w:numPr>
          <w:ilvl w:val="0"/>
          <w:numId w:val="22"/>
        </w:numPr>
        <w:wordWrap w:val="0"/>
        <w:autoSpaceDE w:val="0"/>
        <w:autoSpaceDN w:val="0"/>
        <w:ind w:firstLine="420"/>
      </w:pPr>
      <w:r>
        <w:rPr>
          <w:rFonts w:hint="eastAsia" w:ascii="宋体" w:hAnsi="宋体" w:cs="宋体"/>
        </w:rPr>
        <w:t xml:space="preserve"> 国家统计局.关于印发《统计上大中小微型企业划分办法（2017）》的通知[EB/OL].（2017-12-28）[2023-01-16].</w:t>
      </w:r>
      <w:r>
        <w:rPr>
          <w:rFonts w:hint="eastAsia" w:ascii="宋体" w:hAnsi="宋体" w:cs="宋体"/>
          <w:spacing w:val="-6"/>
        </w:rPr>
        <w:t>http://www.stats.gov.cn/xxgk/tjbz/gjtjbz/202008/t20200811_1782335.html</w:t>
      </w:r>
    </w:p>
    <w:p w14:paraId="6FB6975E">
      <w:pPr>
        <w:numPr>
          <w:ilvl w:val="0"/>
          <w:numId w:val="22"/>
        </w:numPr>
        <w:wordWrap w:val="0"/>
        <w:autoSpaceDE w:val="0"/>
        <w:autoSpaceDN w:val="0"/>
        <w:ind w:firstLine="420"/>
        <w:rPr>
          <w:rFonts w:ascii="宋体" w:hAnsi="宋体" w:cs="宋体"/>
        </w:rPr>
      </w:pPr>
      <w:r>
        <w:rPr>
          <w:rFonts w:hint="eastAsia" w:cs="宋体"/>
        </w:rPr>
        <w:t xml:space="preserve"> 国家认证认可监督管理委员会.《认证机构管理办法》（</w:t>
      </w:r>
      <w:r>
        <w:rPr>
          <w:rFonts w:hint="eastAsia" w:ascii="宋体" w:hAnsi="宋体" w:cs="宋体"/>
        </w:rPr>
        <w:t>2020年修订版）[EB/OL].（2020-11-03）[2023-04-17].https://www.cnca.gov.cn/zwxx/bmgz/art/2020/art_51c1964b505545e79f84377d88a7c68c.html</w:t>
      </w:r>
    </w:p>
    <w:p w14:paraId="4AD9E7D6">
      <w:pPr>
        <w:pStyle w:val="25"/>
        <w:numPr>
          <w:ilvl w:val="0"/>
          <w:numId w:val="22"/>
        </w:numPr>
        <w:wordWrap w:val="0"/>
        <w:ind w:firstLineChars="0"/>
        <w:jc w:val="left"/>
        <w:rPr>
          <w:rFonts w:hAnsi="宋体" w:cs="宋体"/>
        </w:rPr>
      </w:pPr>
      <w:r>
        <w:rPr>
          <w:rFonts w:hint="eastAsia" w:hAnsi="宋体" w:cs="宋体"/>
        </w:rPr>
        <w:t xml:space="preserve"> 深圳市市场监督管理局.关于印发《深圳市市场监督管理局深圳标准领域专项资金资助奖励操作规程》的通知[EB/OL].（2021-11-22）[2023-01-16].http://amr.sz.gov.cn/xxgk/zcwj/scjgfg/bzh/bzhgf/content/post_9386928.html</w:t>
      </w:r>
    </w:p>
    <w:p w14:paraId="249FCBCB">
      <w:pPr>
        <w:pStyle w:val="25"/>
        <w:numPr>
          <w:ilvl w:val="0"/>
          <w:numId w:val="22"/>
        </w:numPr>
        <w:wordWrap w:val="0"/>
        <w:ind w:firstLineChars="0"/>
        <w:jc w:val="left"/>
      </w:pPr>
      <w:r>
        <w:rPr>
          <w:rFonts w:hint="eastAsia" w:hAnsi="宋体" w:cs="宋体"/>
        </w:rPr>
        <w:t xml:space="preserve"> 中国认证认可协会.关于发布《2021认证机构发展报告》的通知[EB/OL].（2022-10-21）[2023-10-25].http://www.ccaa.org.cn/rzjgfzbg/5215.html</w:t>
      </w:r>
    </w:p>
    <w:p w14:paraId="2159F66D">
      <w:pPr>
        <w:pStyle w:val="132"/>
        <w:framePr w:wrap="notBeside" w:hAnchor="page" w:x="4898" w:y="496"/>
        <w:rPr>
          <w:u w:val="thick"/>
        </w:rPr>
      </w:pPr>
      <w:r>
        <w:rPr>
          <w:u w:val="thick"/>
        </w:rPr>
        <w:t>______________________</w:t>
      </w:r>
    </w:p>
    <w:p w14:paraId="134F789C">
      <w:pPr>
        <w:pStyle w:val="25"/>
        <w:ind w:firstLine="0" w:firstLineChars="0"/>
        <w:jc w:val="center"/>
        <w:rPr>
          <w:rFonts w:ascii="Times New Roman"/>
        </w:rPr>
      </w:pPr>
    </w:p>
    <w:p w14:paraId="6AD2B74F">
      <w:pPr>
        <w:tabs>
          <w:tab w:val="left" w:pos="2712"/>
        </w:tabs>
      </w:pPr>
      <w:r>
        <w:rPr>
          <w:rFonts w:hint="eastAsia"/>
        </w:rPr>
        <w:tab/>
      </w:r>
    </w:p>
    <w:p w14:paraId="30CF4C35"/>
    <w:p w14:paraId="1BAB667F"/>
    <w:sectPr>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AB3FF">
    <w:pPr>
      <w:pStyle w:val="71"/>
    </w:pPr>
    <w: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7BEFF97">
                          <w:pPr>
                            <w:pStyle w:val="71"/>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77BEFF97">
                    <w:pPr>
                      <w:pStyle w:val="71"/>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DADDF5">
    <w:pPr>
      <w:pStyle w:val="46"/>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A629FD">
                          <w:pPr>
                            <w:pStyle w:val="46"/>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1CA629FD">
                    <w:pPr>
                      <w:pStyle w:val="46"/>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B2027E">
    <w:pPr>
      <w:pStyle w:val="71"/>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A78B5AE">
                          <w:pPr>
                            <w:pStyle w:val="71"/>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0A78B5AE">
                    <w:pPr>
                      <w:pStyle w:val="71"/>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DD58C2">
    <w:pPr>
      <w:pStyle w:val="46"/>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2A7579">
                          <w:pPr>
                            <w:pStyle w:val="46"/>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112A7579">
                    <w:pPr>
                      <w:pStyle w:val="46"/>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C8E221">
    <w:pPr>
      <w:pStyle w:val="71"/>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847F3C">
                          <w:pPr>
                            <w:pStyle w:val="71"/>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44847F3C">
                    <w:pPr>
                      <w:pStyle w:val="71"/>
                    </w:pPr>
                    <w:r>
                      <w:fldChar w:fldCharType="begin"/>
                    </w:r>
                    <w:r>
                      <w:instrText xml:space="preserve"> PAGE  \* MERGEFORMAT </w:instrText>
                    </w:r>
                    <w:r>
                      <w:fldChar w:fldCharType="separate"/>
                    </w:r>
                    <w:r>
                      <w:t>20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B6C9A0">
    <w:pPr>
      <w:pStyle w:val="72"/>
      <w:rPr>
        <w:rFonts w:hAnsi="黑体"/>
      </w:rPr>
    </w:pPr>
    <w:r>
      <w:rPr>
        <w:sz w:val="18"/>
      </w:rPr>
      <w:pict>
        <v:shape id="_x0000_s2060" o:spid="_x0000_s2060" o:spt="136" type="#_x0000_t136" style="position:absolute;left:0pt;height:72.45pt;width:514.8pt;mso-position-horizontal:center;mso-position-horizontal-relative:margin;mso-position-vertical:center;mso-position-vertical-relative:margin;rotation:-2949120f;z-index:-251651072;mso-width-relative:page;mso-height-relative:page;" fillcolor="#C0C0C0" filled="t" stroked="f" coordsize="21600,21600">
          <v:path/>
          <v:fill on="t" opacity="32768f" focussize="0,0"/>
          <v:stroke on="f"/>
          <v:imagedata o:title=""/>
          <o:lock v:ext="edit" aspectratio="t"/>
          <v:textpath on="t" fitshape="t" fitpath="t" trim="t" xscale="f" string="文件初稿，请勿外传 " style="font-family:微软雅黑;font-size:36pt;v-text-align:center;"/>
        </v:shape>
      </w:pict>
    </w:r>
    <w:r>
      <w:rPr>
        <w:rFonts w:hint="eastAsia" w:hAnsi="黑体"/>
      </w:rPr>
      <w:t>T/XXX 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1631A6">
    <w:pPr>
      <w:pStyle w:val="47"/>
    </w:pPr>
    <w:r>
      <w:rPr>
        <w:rFonts w:hint="eastAsia"/>
      </w:rPr>
      <w:t>T/SZS XXX—20XX</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FB55F5">
    <w:pPr>
      <w:pStyle w:val="72"/>
    </w:pPr>
    <w:r>
      <w:rPr>
        <w:rFonts w:hint="eastAsia"/>
      </w:rPr>
      <w:t xml:space="preserve">T/SZS XXX—20XX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9FED58">
    <w:pPr>
      <w:pStyle w:val="2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4FDFA">
    <w:pPr>
      <w:pStyle w:val="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1"/>
      <w:suff w:val="nothing"/>
      <w:lvlText w:val="注%1："/>
      <w:lvlJc w:val="left"/>
      <w:pPr>
        <w:ind w:left="2796" w:hanging="448"/>
      </w:pPr>
      <w:rPr>
        <w:rFonts w:hint="eastAsia" w:ascii="黑体" w:eastAsia="黑体"/>
        <w:b w:val="0"/>
        <w:i w:val="0"/>
        <w:sz w:val="18"/>
        <w:lang w:val="en-US"/>
      </w:rPr>
    </w:lvl>
    <w:lvl w:ilvl="1" w:tentative="0">
      <w:start w:val="1"/>
      <w:numFmt w:val="lowerLetter"/>
      <w:lvlText w:val="%2)"/>
      <w:lvlJc w:val="left"/>
      <w:pPr>
        <w:tabs>
          <w:tab w:val="left" w:pos="1985"/>
        </w:tabs>
        <w:ind w:left="2977" w:hanging="629"/>
      </w:pPr>
      <w:rPr>
        <w:rFonts w:hint="eastAsia"/>
      </w:rPr>
    </w:lvl>
    <w:lvl w:ilvl="2" w:tentative="0">
      <w:start w:val="1"/>
      <w:numFmt w:val="lowerRoman"/>
      <w:lvlText w:val="%3."/>
      <w:lvlJc w:val="right"/>
      <w:pPr>
        <w:tabs>
          <w:tab w:val="left" w:pos="1985"/>
        </w:tabs>
        <w:ind w:left="2977" w:hanging="629"/>
      </w:pPr>
      <w:rPr>
        <w:rFonts w:hint="eastAsia"/>
      </w:rPr>
    </w:lvl>
    <w:lvl w:ilvl="3" w:tentative="0">
      <w:start w:val="1"/>
      <w:numFmt w:val="decimal"/>
      <w:lvlText w:val="%4."/>
      <w:lvlJc w:val="left"/>
      <w:pPr>
        <w:tabs>
          <w:tab w:val="left" w:pos="1985"/>
        </w:tabs>
        <w:ind w:left="2977" w:hanging="629"/>
      </w:pPr>
      <w:rPr>
        <w:rFonts w:hint="eastAsia"/>
      </w:rPr>
    </w:lvl>
    <w:lvl w:ilvl="4" w:tentative="0">
      <w:start w:val="1"/>
      <w:numFmt w:val="lowerLetter"/>
      <w:lvlText w:val="%5)"/>
      <w:lvlJc w:val="left"/>
      <w:pPr>
        <w:tabs>
          <w:tab w:val="left" w:pos="1985"/>
        </w:tabs>
        <w:ind w:left="2977" w:hanging="629"/>
      </w:pPr>
      <w:rPr>
        <w:rFonts w:hint="eastAsia"/>
      </w:rPr>
    </w:lvl>
    <w:lvl w:ilvl="5" w:tentative="0">
      <w:start w:val="1"/>
      <w:numFmt w:val="lowerRoman"/>
      <w:lvlText w:val="%6."/>
      <w:lvlJc w:val="right"/>
      <w:pPr>
        <w:tabs>
          <w:tab w:val="left" w:pos="1985"/>
        </w:tabs>
        <w:ind w:left="2977" w:hanging="629"/>
      </w:pPr>
      <w:rPr>
        <w:rFonts w:hint="eastAsia"/>
      </w:rPr>
    </w:lvl>
    <w:lvl w:ilvl="6" w:tentative="0">
      <w:start w:val="1"/>
      <w:numFmt w:val="decimal"/>
      <w:lvlText w:val="%7."/>
      <w:lvlJc w:val="left"/>
      <w:pPr>
        <w:tabs>
          <w:tab w:val="left" w:pos="1985"/>
        </w:tabs>
        <w:ind w:left="2977" w:hanging="629"/>
      </w:pPr>
      <w:rPr>
        <w:rFonts w:hint="eastAsia"/>
      </w:rPr>
    </w:lvl>
    <w:lvl w:ilvl="7" w:tentative="0">
      <w:start w:val="1"/>
      <w:numFmt w:val="lowerLetter"/>
      <w:lvlText w:val="%8)"/>
      <w:lvlJc w:val="left"/>
      <w:pPr>
        <w:tabs>
          <w:tab w:val="left" w:pos="1985"/>
        </w:tabs>
        <w:ind w:left="2977" w:hanging="629"/>
      </w:pPr>
      <w:rPr>
        <w:rFonts w:hint="eastAsia"/>
      </w:rPr>
    </w:lvl>
    <w:lvl w:ilvl="8" w:tentative="0">
      <w:start w:val="1"/>
      <w:numFmt w:val="lowerRoman"/>
      <w:lvlText w:val="%9."/>
      <w:lvlJc w:val="right"/>
      <w:pPr>
        <w:tabs>
          <w:tab w:val="left" w:pos="1985"/>
        </w:tabs>
        <w:ind w:left="2977" w:hanging="629"/>
      </w:pPr>
      <w:rPr>
        <w:rFonts w:hint="eastAsia"/>
      </w:rPr>
    </w:lvl>
  </w:abstractNum>
  <w:abstractNum w:abstractNumId="1">
    <w:nsid w:val="07BF354A"/>
    <w:multiLevelType w:val="singleLevel"/>
    <w:tmpl w:val="07BF354A"/>
    <w:lvl w:ilvl="0" w:tentative="0">
      <w:start w:val="1"/>
      <w:numFmt w:val="decimal"/>
      <w:suff w:val="space"/>
      <w:lvlText w:val="[%1]"/>
      <w:lvlJc w:val="left"/>
      <w:rPr>
        <w:rFonts w:hint="default" w:ascii="宋体" w:hAnsi="宋体" w:eastAsia="宋体" w:cs="宋体"/>
      </w:rPr>
    </w:lvl>
  </w:abstractNum>
  <w:abstractNum w:abstractNumId="2">
    <w:nsid w:val="093C6778"/>
    <w:multiLevelType w:val="multilevel"/>
    <w:tmpl w:val="093C6778"/>
    <w:lvl w:ilvl="0" w:tentative="0">
      <w:start w:val="1"/>
      <w:numFmt w:val="decimal"/>
      <w:pStyle w:val="119"/>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5"/>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tentative="0">
      <w:start w:val="1"/>
      <w:numFmt w:val="decimal"/>
      <w:pStyle w:val="131"/>
      <w:suff w:val="nothing"/>
      <w:lvlText w:val="图%1　"/>
      <w:lvlJc w:val="left"/>
      <w:pPr>
        <w:ind w:left="0" w:firstLine="0"/>
      </w:pPr>
      <w:rPr>
        <w:rFonts w:hint="default" w:ascii="黑体" w:hAnsi="Times New Roman" w:eastAsia="黑体"/>
        <w:b w:val="0"/>
        <w:i w:val="0"/>
        <w:sz w:val="21"/>
        <w:highlight w:val="none"/>
        <w:lang w:val="en-US"/>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tentative="0">
      <w:start w:val="1"/>
      <w:numFmt w:val="lowerLetter"/>
      <w:pStyle w:val="124"/>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68"/>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4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5"/>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default" w:ascii="黑体" w:hAnsi="Times New Roman" w:eastAsia="黑体"/>
        <w:b w:val="0"/>
        <w:i w:val="0"/>
        <w:sz w:val="21"/>
        <w:highlight w:val="none"/>
      </w:rPr>
    </w:lvl>
    <w:lvl w:ilvl="4" w:tentative="0">
      <w:start w:val="1"/>
      <w:numFmt w:val="decimal"/>
      <w:pStyle w:val="58"/>
      <w:suff w:val="nothing"/>
      <w:lvlText w:val="%1.%2.%3.%4.%5　"/>
      <w:lvlJc w:val="left"/>
      <w:pPr>
        <w:ind w:left="0" w:firstLine="0"/>
      </w:pPr>
      <w:rPr>
        <w:rFonts w:hint="eastAsia" w:ascii="黑体" w:hAnsi="Times New Roman" w:eastAsia="黑体"/>
        <w:b w:val="0"/>
        <w:i w:val="0"/>
        <w:sz w:val="21"/>
      </w:rPr>
    </w:lvl>
    <w:lvl w:ilvl="5" w:tentative="0">
      <w:start w:val="1"/>
      <w:numFmt w:val="decimal"/>
      <w:pStyle w:val="5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2827D5B"/>
    <w:multiLevelType w:val="multilevel"/>
    <w:tmpl w:val="22827D5B"/>
    <w:lvl w:ilvl="0" w:tentative="0">
      <w:start w:val="1"/>
      <w:numFmt w:val="none"/>
      <w:pStyle w:val="6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9">
    <w:nsid w:val="2A8F7113"/>
    <w:multiLevelType w:val="multilevel"/>
    <w:tmpl w:val="2A8F7113"/>
    <w:lvl w:ilvl="0" w:tentative="0">
      <w:start w:val="1"/>
      <w:numFmt w:val="upperLetter"/>
      <w:pStyle w:val="101"/>
      <w:suff w:val="space"/>
      <w:lvlText w:val="%1"/>
      <w:lvlJc w:val="left"/>
      <w:pPr>
        <w:ind w:left="623" w:hanging="425"/>
      </w:pPr>
      <w:rPr>
        <w:rFonts w:hint="eastAsia"/>
      </w:rPr>
    </w:lvl>
    <w:lvl w:ilvl="1" w:tentative="0">
      <w:start w:val="1"/>
      <w:numFmt w:val="decimal"/>
      <w:pStyle w:val="10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51"/>
      <w:suff w:val="nothing"/>
      <w:lvlText w:val="%1——"/>
      <w:lvlJc w:val="left"/>
      <w:pPr>
        <w:ind w:left="833" w:hanging="408"/>
      </w:pPr>
      <w:rPr>
        <w:rFonts w:hint="eastAsia"/>
      </w:rPr>
    </w:lvl>
    <w:lvl w:ilvl="1" w:tentative="0">
      <w:start w:val="1"/>
      <w:numFmt w:val="bullet"/>
      <w:pStyle w:val="52"/>
      <w:lvlText w:val=""/>
      <w:lvlJc w:val="left"/>
      <w:pPr>
        <w:tabs>
          <w:tab w:val="left" w:pos="760"/>
        </w:tabs>
        <w:ind w:left="1264" w:hanging="413"/>
      </w:pPr>
      <w:rPr>
        <w:rFonts w:hint="default" w:ascii="Symbol" w:hAnsi="Symbol"/>
        <w:color w:val="auto"/>
      </w:rPr>
    </w:lvl>
    <w:lvl w:ilvl="2" w:tentative="0">
      <w:start w:val="1"/>
      <w:numFmt w:val="bullet"/>
      <w:pStyle w:val="6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2">
    <w:nsid w:val="44C50F90"/>
    <w:multiLevelType w:val="multilevel"/>
    <w:tmpl w:val="44C50F90"/>
    <w:lvl w:ilvl="0" w:tentative="0">
      <w:start w:val="1"/>
      <w:numFmt w:val="lowerLetter"/>
      <w:pStyle w:val="62"/>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7"/>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B733A5F"/>
    <w:multiLevelType w:val="multilevel"/>
    <w:tmpl w:val="4B733A5F"/>
    <w:lvl w:ilvl="0" w:tentative="0">
      <w:start w:val="1"/>
      <w:numFmt w:val="decimal"/>
      <w:pStyle w:val="65"/>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4">
    <w:nsid w:val="60B55DC2"/>
    <w:multiLevelType w:val="multilevel"/>
    <w:tmpl w:val="60B55DC2"/>
    <w:lvl w:ilvl="0" w:tentative="0">
      <w:start w:val="1"/>
      <w:numFmt w:val="upperLetter"/>
      <w:pStyle w:val="89"/>
      <w:lvlText w:val="%1"/>
      <w:lvlJc w:val="left"/>
      <w:pPr>
        <w:tabs>
          <w:tab w:val="left" w:pos="0"/>
        </w:tabs>
        <w:ind w:left="0" w:hanging="425"/>
      </w:pPr>
      <w:rPr>
        <w:rFonts w:hint="eastAsia"/>
      </w:rPr>
    </w:lvl>
    <w:lvl w:ilvl="1" w:tentative="0">
      <w:start w:val="1"/>
      <w:numFmt w:val="decimal"/>
      <w:pStyle w:val="9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2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8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5"/>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6"/>
      <w:suff w:val="nothing"/>
      <w:lvlText w:val="%1.%2.%3　"/>
      <w:lvlJc w:val="left"/>
      <w:pPr>
        <w:ind w:left="0" w:firstLine="0"/>
      </w:pPr>
      <w:rPr>
        <w:rFonts w:hint="eastAsia" w:ascii="黑体" w:hAnsi="Times New Roman" w:eastAsia="黑体"/>
        <w:b w:val="0"/>
        <w:i w:val="0"/>
        <w:sz w:val="21"/>
      </w:rPr>
    </w:lvl>
    <w:lvl w:ilvl="3" w:tentative="0">
      <w:start w:val="1"/>
      <w:numFmt w:val="decimal"/>
      <w:pStyle w:val="91"/>
      <w:suff w:val="nothing"/>
      <w:lvlText w:val="%1.%2.%3.%4　"/>
      <w:lvlJc w:val="left"/>
      <w:pPr>
        <w:ind w:left="0" w:firstLine="0"/>
      </w:pPr>
      <w:rPr>
        <w:rFonts w:hint="eastAsia" w:ascii="黑体" w:hAnsi="Times New Roman" w:eastAsia="黑体"/>
        <w:b w:val="0"/>
        <w:i w:val="0"/>
        <w:sz w:val="21"/>
      </w:rPr>
    </w:lvl>
    <w:lvl w:ilvl="4" w:tentative="0">
      <w:start w:val="1"/>
      <w:numFmt w:val="decimal"/>
      <w:pStyle w:val="96"/>
      <w:suff w:val="nothing"/>
      <w:lvlText w:val="%1.%2.%3.%4.%5　"/>
      <w:lvlJc w:val="left"/>
      <w:pPr>
        <w:ind w:left="0" w:firstLine="0"/>
      </w:pPr>
      <w:rPr>
        <w:rFonts w:hint="eastAsia" w:ascii="黑体" w:hAnsi="Times New Roman" w:eastAsia="黑体"/>
        <w:b w:val="0"/>
        <w:i w:val="0"/>
        <w:sz w:val="21"/>
      </w:rPr>
    </w:lvl>
    <w:lvl w:ilvl="5" w:tentative="0">
      <w:start w:val="1"/>
      <w:numFmt w:val="decimal"/>
      <w:pStyle w:val="99"/>
      <w:suff w:val="nothing"/>
      <w:lvlText w:val="%1.%2.%3.%4.%5.%6　"/>
      <w:lvlJc w:val="left"/>
      <w:pPr>
        <w:ind w:left="0" w:firstLine="0"/>
      </w:pPr>
      <w:rPr>
        <w:rFonts w:hint="eastAsia" w:ascii="黑体" w:hAnsi="Times New Roman" w:eastAsia="黑体"/>
        <w:b w:val="0"/>
        <w:i w:val="0"/>
        <w:sz w:val="21"/>
      </w:rPr>
    </w:lvl>
    <w:lvl w:ilvl="6" w:tentative="0">
      <w:start w:val="1"/>
      <w:numFmt w:val="decimal"/>
      <w:pStyle w:val="10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08"/>
      <w:lvlText w:val="%1)"/>
      <w:lvlJc w:val="left"/>
      <w:pPr>
        <w:tabs>
          <w:tab w:val="left" w:pos="839"/>
        </w:tabs>
        <w:ind w:left="839" w:hanging="419"/>
      </w:pPr>
      <w:rPr>
        <w:rFonts w:hint="eastAsia" w:ascii="宋体" w:eastAsia="宋体"/>
        <w:b w:val="0"/>
        <w:i w:val="0"/>
        <w:sz w:val="21"/>
      </w:rPr>
    </w:lvl>
    <w:lvl w:ilvl="1" w:tentative="0">
      <w:start w:val="1"/>
      <w:numFmt w:val="decimal"/>
      <w:pStyle w:val="9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6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1"/>
  </w:num>
  <w:num w:numId="2">
    <w:abstractNumId w:val="7"/>
  </w:num>
  <w:num w:numId="3">
    <w:abstractNumId w:val="10"/>
  </w:num>
  <w:num w:numId="4">
    <w:abstractNumId w:val="3"/>
  </w:num>
  <w:num w:numId="5">
    <w:abstractNumId w:val="12"/>
  </w:num>
  <w:num w:numId="6">
    <w:abstractNumId w:val="18"/>
  </w:num>
  <w:num w:numId="7">
    <w:abstractNumId w:val="0"/>
  </w:num>
  <w:num w:numId="8">
    <w:abstractNumId w:val="13"/>
  </w:num>
  <w:num w:numId="9">
    <w:abstractNumId w:val="8"/>
  </w:num>
  <w:num w:numId="10">
    <w:abstractNumId w:val="6"/>
  </w:num>
  <w:num w:numId="11">
    <w:abstractNumId w:val="16"/>
  </w:num>
  <w:num w:numId="12">
    <w:abstractNumId w:val="14"/>
  </w:num>
  <w:num w:numId="13">
    <w:abstractNumId w:val="17"/>
  </w:num>
  <w:num w:numId="14">
    <w:abstractNumId w:val="9"/>
  </w:num>
  <w:num w:numId="15">
    <w:abstractNumId w:val="2"/>
  </w:num>
  <w:num w:numId="16">
    <w:abstractNumId w:val="5"/>
  </w:num>
  <w:num w:numId="17">
    <w:abstractNumId w:val="15"/>
  </w:num>
  <w:num w:numId="18">
    <w:abstractNumId w:val="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llZjYwMDViZWFjNTU5ODk0MjI5YjdmZWQzNTlmZjEifQ=="/>
  </w:docVars>
  <w:rsids>
    <w:rsidRoot w:val="00172A27"/>
    <w:rsid w:val="00000244"/>
    <w:rsid w:val="0000185F"/>
    <w:rsid w:val="00001FD1"/>
    <w:rsid w:val="000038C2"/>
    <w:rsid w:val="000041F3"/>
    <w:rsid w:val="000045BC"/>
    <w:rsid w:val="000051F3"/>
    <w:rsid w:val="00005703"/>
    <w:rsid w:val="0000586F"/>
    <w:rsid w:val="00005AD0"/>
    <w:rsid w:val="00006167"/>
    <w:rsid w:val="00006EAE"/>
    <w:rsid w:val="00006F0D"/>
    <w:rsid w:val="00007DF1"/>
    <w:rsid w:val="000104DB"/>
    <w:rsid w:val="000106DF"/>
    <w:rsid w:val="000114DA"/>
    <w:rsid w:val="00011CD4"/>
    <w:rsid w:val="0001210E"/>
    <w:rsid w:val="00012456"/>
    <w:rsid w:val="000126A7"/>
    <w:rsid w:val="000131D5"/>
    <w:rsid w:val="00013276"/>
    <w:rsid w:val="00013D86"/>
    <w:rsid w:val="00013E02"/>
    <w:rsid w:val="000149CB"/>
    <w:rsid w:val="00014B4D"/>
    <w:rsid w:val="0001571E"/>
    <w:rsid w:val="0001613A"/>
    <w:rsid w:val="000167DA"/>
    <w:rsid w:val="00016A4C"/>
    <w:rsid w:val="00017B37"/>
    <w:rsid w:val="0002083A"/>
    <w:rsid w:val="00020F3E"/>
    <w:rsid w:val="0002143C"/>
    <w:rsid w:val="00021A74"/>
    <w:rsid w:val="000224ED"/>
    <w:rsid w:val="00022743"/>
    <w:rsid w:val="00022F68"/>
    <w:rsid w:val="00023F6C"/>
    <w:rsid w:val="00024544"/>
    <w:rsid w:val="00025A65"/>
    <w:rsid w:val="00026631"/>
    <w:rsid w:val="00026C31"/>
    <w:rsid w:val="00027280"/>
    <w:rsid w:val="00027CBD"/>
    <w:rsid w:val="00031831"/>
    <w:rsid w:val="000320A7"/>
    <w:rsid w:val="00032AA5"/>
    <w:rsid w:val="000340AB"/>
    <w:rsid w:val="00035749"/>
    <w:rsid w:val="00035925"/>
    <w:rsid w:val="00035B86"/>
    <w:rsid w:val="000376A3"/>
    <w:rsid w:val="00040D6B"/>
    <w:rsid w:val="000422D8"/>
    <w:rsid w:val="00042F5A"/>
    <w:rsid w:val="00045342"/>
    <w:rsid w:val="000458DF"/>
    <w:rsid w:val="0004676A"/>
    <w:rsid w:val="00050024"/>
    <w:rsid w:val="0005021D"/>
    <w:rsid w:val="00050AE2"/>
    <w:rsid w:val="00051467"/>
    <w:rsid w:val="00051B46"/>
    <w:rsid w:val="00051F94"/>
    <w:rsid w:val="00052836"/>
    <w:rsid w:val="00052AE2"/>
    <w:rsid w:val="00053E13"/>
    <w:rsid w:val="00054A65"/>
    <w:rsid w:val="00055F2F"/>
    <w:rsid w:val="00056B8C"/>
    <w:rsid w:val="00057E61"/>
    <w:rsid w:val="000607E6"/>
    <w:rsid w:val="00061583"/>
    <w:rsid w:val="000618CB"/>
    <w:rsid w:val="00063C2E"/>
    <w:rsid w:val="000647B0"/>
    <w:rsid w:val="00065A35"/>
    <w:rsid w:val="000670BC"/>
    <w:rsid w:val="000670DA"/>
    <w:rsid w:val="00067CDF"/>
    <w:rsid w:val="00070475"/>
    <w:rsid w:val="000707AC"/>
    <w:rsid w:val="00071985"/>
    <w:rsid w:val="0007227B"/>
    <w:rsid w:val="00072979"/>
    <w:rsid w:val="00074FBE"/>
    <w:rsid w:val="00077736"/>
    <w:rsid w:val="000779A3"/>
    <w:rsid w:val="00077B71"/>
    <w:rsid w:val="00077E8A"/>
    <w:rsid w:val="00077E94"/>
    <w:rsid w:val="00080502"/>
    <w:rsid w:val="00080DB6"/>
    <w:rsid w:val="00081D39"/>
    <w:rsid w:val="00081DF5"/>
    <w:rsid w:val="00081E44"/>
    <w:rsid w:val="0008317C"/>
    <w:rsid w:val="00083487"/>
    <w:rsid w:val="00083A09"/>
    <w:rsid w:val="00083CFD"/>
    <w:rsid w:val="0008439F"/>
    <w:rsid w:val="00084665"/>
    <w:rsid w:val="00084941"/>
    <w:rsid w:val="00085647"/>
    <w:rsid w:val="00085F75"/>
    <w:rsid w:val="00086B9C"/>
    <w:rsid w:val="00087369"/>
    <w:rsid w:val="0009005E"/>
    <w:rsid w:val="000903A1"/>
    <w:rsid w:val="000904A1"/>
    <w:rsid w:val="0009129E"/>
    <w:rsid w:val="000922B3"/>
    <w:rsid w:val="00092857"/>
    <w:rsid w:val="000930F1"/>
    <w:rsid w:val="00093D19"/>
    <w:rsid w:val="000941E8"/>
    <w:rsid w:val="00094440"/>
    <w:rsid w:val="00095EDC"/>
    <w:rsid w:val="00097A05"/>
    <w:rsid w:val="000A1CC1"/>
    <w:rsid w:val="000A20A9"/>
    <w:rsid w:val="000A20B1"/>
    <w:rsid w:val="000A28E1"/>
    <w:rsid w:val="000A37D0"/>
    <w:rsid w:val="000A3885"/>
    <w:rsid w:val="000A48B1"/>
    <w:rsid w:val="000A4CE2"/>
    <w:rsid w:val="000A6E08"/>
    <w:rsid w:val="000A74B2"/>
    <w:rsid w:val="000B0077"/>
    <w:rsid w:val="000B0D77"/>
    <w:rsid w:val="000B1515"/>
    <w:rsid w:val="000B28C1"/>
    <w:rsid w:val="000B3143"/>
    <w:rsid w:val="000B3D55"/>
    <w:rsid w:val="000B4064"/>
    <w:rsid w:val="000B44E8"/>
    <w:rsid w:val="000B4AE1"/>
    <w:rsid w:val="000B539E"/>
    <w:rsid w:val="000B5B75"/>
    <w:rsid w:val="000B6178"/>
    <w:rsid w:val="000B6E51"/>
    <w:rsid w:val="000B6F5C"/>
    <w:rsid w:val="000B70B8"/>
    <w:rsid w:val="000B7ABE"/>
    <w:rsid w:val="000B7BBD"/>
    <w:rsid w:val="000C0D65"/>
    <w:rsid w:val="000C155D"/>
    <w:rsid w:val="000C161F"/>
    <w:rsid w:val="000C28BF"/>
    <w:rsid w:val="000C5437"/>
    <w:rsid w:val="000C6616"/>
    <w:rsid w:val="000C6B05"/>
    <w:rsid w:val="000C6DA7"/>
    <w:rsid w:val="000C6DD6"/>
    <w:rsid w:val="000C73D4"/>
    <w:rsid w:val="000C74BE"/>
    <w:rsid w:val="000C77C7"/>
    <w:rsid w:val="000C7B36"/>
    <w:rsid w:val="000D03FC"/>
    <w:rsid w:val="000D11CC"/>
    <w:rsid w:val="000D1C3A"/>
    <w:rsid w:val="000D206D"/>
    <w:rsid w:val="000D2BBF"/>
    <w:rsid w:val="000D2CF3"/>
    <w:rsid w:val="000D3C99"/>
    <w:rsid w:val="000D3D4C"/>
    <w:rsid w:val="000D44A6"/>
    <w:rsid w:val="000D4C8D"/>
    <w:rsid w:val="000D4F51"/>
    <w:rsid w:val="000D5A7C"/>
    <w:rsid w:val="000D5FB4"/>
    <w:rsid w:val="000D718B"/>
    <w:rsid w:val="000D735E"/>
    <w:rsid w:val="000D7DE5"/>
    <w:rsid w:val="000E0C46"/>
    <w:rsid w:val="000E202F"/>
    <w:rsid w:val="000E23F9"/>
    <w:rsid w:val="000E2BE5"/>
    <w:rsid w:val="000E4C11"/>
    <w:rsid w:val="000E4E4D"/>
    <w:rsid w:val="000E663A"/>
    <w:rsid w:val="000E6D1D"/>
    <w:rsid w:val="000E6F28"/>
    <w:rsid w:val="000E7874"/>
    <w:rsid w:val="000F030C"/>
    <w:rsid w:val="000F129C"/>
    <w:rsid w:val="000F1F74"/>
    <w:rsid w:val="000F2829"/>
    <w:rsid w:val="000F3944"/>
    <w:rsid w:val="000F4737"/>
    <w:rsid w:val="000F541B"/>
    <w:rsid w:val="000F7942"/>
    <w:rsid w:val="000F7C27"/>
    <w:rsid w:val="000F7F4A"/>
    <w:rsid w:val="00100C2A"/>
    <w:rsid w:val="00100C31"/>
    <w:rsid w:val="00101A79"/>
    <w:rsid w:val="00102F17"/>
    <w:rsid w:val="0010331D"/>
    <w:rsid w:val="00104737"/>
    <w:rsid w:val="001056DE"/>
    <w:rsid w:val="0011022C"/>
    <w:rsid w:val="00110D99"/>
    <w:rsid w:val="00110F96"/>
    <w:rsid w:val="001124C0"/>
    <w:rsid w:val="001135E1"/>
    <w:rsid w:val="0011569C"/>
    <w:rsid w:val="001168C1"/>
    <w:rsid w:val="00116BCD"/>
    <w:rsid w:val="00117DA1"/>
    <w:rsid w:val="00120E09"/>
    <w:rsid w:val="00122345"/>
    <w:rsid w:val="00122CD8"/>
    <w:rsid w:val="001230AA"/>
    <w:rsid w:val="0012413B"/>
    <w:rsid w:val="001260DC"/>
    <w:rsid w:val="0012785A"/>
    <w:rsid w:val="001300B6"/>
    <w:rsid w:val="00130F14"/>
    <w:rsid w:val="00131096"/>
    <w:rsid w:val="0013175F"/>
    <w:rsid w:val="00131B0D"/>
    <w:rsid w:val="00131FE5"/>
    <w:rsid w:val="001349E0"/>
    <w:rsid w:val="00135CFC"/>
    <w:rsid w:val="00135EAB"/>
    <w:rsid w:val="0014024A"/>
    <w:rsid w:val="00140C38"/>
    <w:rsid w:val="0014163F"/>
    <w:rsid w:val="00141F35"/>
    <w:rsid w:val="00141FDB"/>
    <w:rsid w:val="00143D18"/>
    <w:rsid w:val="00145402"/>
    <w:rsid w:val="00145A77"/>
    <w:rsid w:val="00146EEB"/>
    <w:rsid w:val="0014710E"/>
    <w:rsid w:val="001472AA"/>
    <w:rsid w:val="00147DBF"/>
    <w:rsid w:val="00147FB0"/>
    <w:rsid w:val="0015047D"/>
    <w:rsid w:val="001512B4"/>
    <w:rsid w:val="00152253"/>
    <w:rsid w:val="00152358"/>
    <w:rsid w:val="001523E2"/>
    <w:rsid w:val="0015484A"/>
    <w:rsid w:val="00154F9E"/>
    <w:rsid w:val="00155026"/>
    <w:rsid w:val="00155F88"/>
    <w:rsid w:val="001565E5"/>
    <w:rsid w:val="00156EF6"/>
    <w:rsid w:val="0015737F"/>
    <w:rsid w:val="00157402"/>
    <w:rsid w:val="0015774D"/>
    <w:rsid w:val="00161363"/>
    <w:rsid w:val="001620A5"/>
    <w:rsid w:val="001628FF"/>
    <w:rsid w:val="00164E53"/>
    <w:rsid w:val="0016537B"/>
    <w:rsid w:val="0016682B"/>
    <w:rsid w:val="001668BE"/>
    <w:rsid w:val="0016699D"/>
    <w:rsid w:val="00166B00"/>
    <w:rsid w:val="00167B85"/>
    <w:rsid w:val="00171704"/>
    <w:rsid w:val="001727BA"/>
    <w:rsid w:val="00172901"/>
    <w:rsid w:val="00172A27"/>
    <w:rsid w:val="00172FE7"/>
    <w:rsid w:val="001741C1"/>
    <w:rsid w:val="00175159"/>
    <w:rsid w:val="00175F35"/>
    <w:rsid w:val="001761C8"/>
    <w:rsid w:val="00176208"/>
    <w:rsid w:val="001769C4"/>
    <w:rsid w:val="001800CC"/>
    <w:rsid w:val="001807F4"/>
    <w:rsid w:val="00180B8A"/>
    <w:rsid w:val="00180B9E"/>
    <w:rsid w:val="00181A9E"/>
    <w:rsid w:val="0018211B"/>
    <w:rsid w:val="00182DCC"/>
    <w:rsid w:val="00182FE1"/>
    <w:rsid w:val="001840D3"/>
    <w:rsid w:val="00185123"/>
    <w:rsid w:val="001852E8"/>
    <w:rsid w:val="00185E0F"/>
    <w:rsid w:val="00185E2E"/>
    <w:rsid w:val="00187027"/>
    <w:rsid w:val="0018755F"/>
    <w:rsid w:val="001877EF"/>
    <w:rsid w:val="00187805"/>
    <w:rsid w:val="001900F8"/>
    <w:rsid w:val="00190663"/>
    <w:rsid w:val="00191258"/>
    <w:rsid w:val="00192680"/>
    <w:rsid w:val="00193037"/>
    <w:rsid w:val="00193A2C"/>
    <w:rsid w:val="00195274"/>
    <w:rsid w:val="0019573C"/>
    <w:rsid w:val="001959F0"/>
    <w:rsid w:val="00195DAE"/>
    <w:rsid w:val="00196681"/>
    <w:rsid w:val="001A0353"/>
    <w:rsid w:val="001A0802"/>
    <w:rsid w:val="001A196E"/>
    <w:rsid w:val="001A1CB7"/>
    <w:rsid w:val="001A288E"/>
    <w:rsid w:val="001A3B49"/>
    <w:rsid w:val="001A403B"/>
    <w:rsid w:val="001A502C"/>
    <w:rsid w:val="001A5341"/>
    <w:rsid w:val="001B01A0"/>
    <w:rsid w:val="001B15AC"/>
    <w:rsid w:val="001B164E"/>
    <w:rsid w:val="001B21DE"/>
    <w:rsid w:val="001B249B"/>
    <w:rsid w:val="001B32CC"/>
    <w:rsid w:val="001B3961"/>
    <w:rsid w:val="001B4377"/>
    <w:rsid w:val="001B4DBB"/>
    <w:rsid w:val="001B5616"/>
    <w:rsid w:val="001B690F"/>
    <w:rsid w:val="001B6DC2"/>
    <w:rsid w:val="001B76E5"/>
    <w:rsid w:val="001B7C84"/>
    <w:rsid w:val="001C00DD"/>
    <w:rsid w:val="001C0157"/>
    <w:rsid w:val="001C01ED"/>
    <w:rsid w:val="001C0216"/>
    <w:rsid w:val="001C0501"/>
    <w:rsid w:val="001C12A1"/>
    <w:rsid w:val="001C149C"/>
    <w:rsid w:val="001C1C31"/>
    <w:rsid w:val="001C21AC"/>
    <w:rsid w:val="001C2D43"/>
    <w:rsid w:val="001C3012"/>
    <w:rsid w:val="001C30D7"/>
    <w:rsid w:val="001C40C8"/>
    <w:rsid w:val="001C45BE"/>
    <w:rsid w:val="001C47BA"/>
    <w:rsid w:val="001C59EA"/>
    <w:rsid w:val="001C62D5"/>
    <w:rsid w:val="001C66C7"/>
    <w:rsid w:val="001C6E1A"/>
    <w:rsid w:val="001C780A"/>
    <w:rsid w:val="001C78A4"/>
    <w:rsid w:val="001C7D29"/>
    <w:rsid w:val="001D0F16"/>
    <w:rsid w:val="001D0FDD"/>
    <w:rsid w:val="001D18FE"/>
    <w:rsid w:val="001D2EFE"/>
    <w:rsid w:val="001D3C00"/>
    <w:rsid w:val="001D406C"/>
    <w:rsid w:val="001D41EE"/>
    <w:rsid w:val="001D5888"/>
    <w:rsid w:val="001D5CCE"/>
    <w:rsid w:val="001D5E66"/>
    <w:rsid w:val="001D689F"/>
    <w:rsid w:val="001D7281"/>
    <w:rsid w:val="001E0380"/>
    <w:rsid w:val="001E0AFF"/>
    <w:rsid w:val="001E13B1"/>
    <w:rsid w:val="001E2D72"/>
    <w:rsid w:val="001E3F3E"/>
    <w:rsid w:val="001E4206"/>
    <w:rsid w:val="001E4240"/>
    <w:rsid w:val="001E4B41"/>
    <w:rsid w:val="001E5113"/>
    <w:rsid w:val="001E5DBB"/>
    <w:rsid w:val="001E74D5"/>
    <w:rsid w:val="001E79C6"/>
    <w:rsid w:val="001F2B94"/>
    <w:rsid w:val="001F3134"/>
    <w:rsid w:val="001F3725"/>
    <w:rsid w:val="001F3A19"/>
    <w:rsid w:val="001F3C56"/>
    <w:rsid w:val="001F4B3D"/>
    <w:rsid w:val="001F5CDA"/>
    <w:rsid w:val="001F63DC"/>
    <w:rsid w:val="001F69B9"/>
    <w:rsid w:val="001F6A6D"/>
    <w:rsid w:val="001F7249"/>
    <w:rsid w:val="001F7402"/>
    <w:rsid w:val="002009EB"/>
    <w:rsid w:val="002014A4"/>
    <w:rsid w:val="00201911"/>
    <w:rsid w:val="00202CCE"/>
    <w:rsid w:val="00202DF4"/>
    <w:rsid w:val="002030B4"/>
    <w:rsid w:val="00203251"/>
    <w:rsid w:val="0020416F"/>
    <w:rsid w:val="00204EFC"/>
    <w:rsid w:val="00205210"/>
    <w:rsid w:val="00205971"/>
    <w:rsid w:val="0020710B"/>
    <w:rsid w:val="00207232"/>
    <w:rsid w:val="0020728A"/>
    <w:rsid w:val="00210A08"/>
    <w:rsid w:val="00210CA2"/>
    <w:rsid w:val="00213122"/>
    <w:rsid w:val="00213EB0"/>
    <w:rsid w:val="00215E9C"/>
    <w:rsid w:val="002178E8"/>
    <w:rsid w:val="00217DEE"/>
    <w:rsid w:val="00222F26"/>
    <w:rsid w:val="002233B4"/>
    <w:rsid w:val="0022365F"/>
    <w:rsid w:val="002239DB"/>
    <w:rsid w:val="00223A6C"/>
    <w:rsid w:val="00224AED"/>
    <w:rsid w:val="002255EC"/>
    <w:rsid w:val="00230CF0"/>
    <w:rsid w:val="002322EC"/>
    <w:rsid w:val="0023399D"/>
    <w:rsid w:val="00234467"/>
    <w:rsid w:val="00234926"/>
    <w:rsid w:val="00234990"/>
    <w:rsid w:val="00234A6A"/>
    <w:rsid w:val="002358B5"/>
    <w:rsid w:val="0023648A"/>
    <w:rsid w:val="00236B08"/>
    <w:rsid w:val="00236B4E"/>
    <w:rsid w:val="00237CBE"/>
    <w:rsid w:val="00237D8D"/>
    <w:rsid w:val="0024016F"/>
    <w:rsid w:val="00240651"/>
    <w:rsid w:val="00241DA2"/>
    <w:rsid w:val="00243EAE"/>
    <w:rsid w:val="0024462D"/>
    <w:rsid w:val="00244A20"/>
    <w:rsid w:val="00244E7D"/>
    <w:rsid w:val="002458EC"/>
    <w:rsid w:val="00247FEE"/>
    <w:rsid w:val="00250299"/>
    <w:rsid w:val="00250D67"/>
    <w:rsid w:val="00250E7D"/>
    <w:rsid w:val="00251172"/>
    <w:rsid w:val="002514D5"/>
    <w:rsid w:val="002522EA"/>
    <w:rsid w:val="00252A05"/>
    <w:rsid w:val="00253649"/>
    <w:rsid w:val="0025368F"/>
    <w:rsid w:val="00253EFD"/>
    <w:rsid w:val="002549BA"/>
    <w:rsid w:val="00254ECF"/>
    <w:rsid w:val="00254FA3"/>
    <w:rsid w:val="00255403"/>
    <w:rsid w:val="00255902"/>
    <w:rsid w:val="002565D5"/>
    <w:rsid w:val="00257717"/>
    <w:rsid w:val="0026048D"/>
    <w:rsid w:val="00261442"/>
    <w:rsid w:val="002622C0"/>
    <w:rsid w:val="00263B45"/>
    <w:rsid w:val="00265106"/>
    <w:rsid w:val="002653EB"/>
    <w:rsid w:val="002654C3"/>
    <w:rsid w:val="00266D61"/>
    <w:rsid w:val="00267E18"/>
    <w:rsid w:val="002716EA"/>
    <w:rsid w:val="00273102"/>
    <w:rsid w:val="0027419B"/>
    <w:rsid w:val="00275E44"/>
    <w:rsid w:val="002763C1"/>
    <w:rsid w:val="0027661C"/>
    <w:rsid w:val="00276E78"/>
    <w:rsid w:val="002778AE"/>
    <w:rsid w:val="00280237"/>
    <w:rsid w:val="00280521"/>
    <w:rsid w:val="00280678"/>
    <w:rsid w:val="00280FDF"/>
    <w:rsid w:val="00281397"/>
    <w:rsid w:val="002824B5"/>
    <w:rsid w:val="0028269A"/>
    <w:rsid w:val="00282CD4"/>
    <w:rsid w:val="00282F39"/>
    <w:rsid w:val="00283590"/>
    <w:rsid w:val="00284F6B"/>
    <w:rsid w:val="0028594E"/>
    <w:rsid w:val="00286973"/>
    <w:rsid w:val="002905CA"/>
    <w:rsid w:val="002919A8"/>
    <w:rsid w:val="00291EB6"/>
    <w:rsid w:val="00294E70"/>
    <w:rsid w:val="00296397"/>
    <w:rsid w:val="002968C3"/>
    <w:rsid w:val="002A096A"/>
    <w:rsid w:val="002A13B8"/>
    <w:rsid w:val="002A1924"/>
    <w:rsid w:val="002A20F4"/>
    <w:rsid w:val="002A2B22"/>
    <w:rsid w:val="002A36AB"/>
    <w:rsid w:val="002A3EB6"/>
    <w:rsid w:val="002A704E"/>
    <w:rsid w:val="002A7420"/>
    <w:rsid w:val="002A7988"/>
    <w:rsid w:val="002B025E"/>
    <w:rsid w:val="002B081A"/>
    <w:rsid w:val="002B0F12"/>
    <w:rsid w:val="002B1308"/>
    <w:rsid w:val="002B3377"/>
    <w:rsid w:val="002B3B8E"/>
    <w:rsid w:val="002B3D07"/>
    <w:rsid w:val="002B3E8B"/>
    <w:rsid w:val="002B4554"/>
    <w:rsid w:val="002B5A00"/>
    <w:rsid w:val="002B5A46"/>
    <w:rsid w:val="002B6212"/>
    <w:rsid w:val="002B631C"/>
    <w:rsid w:val="002B6F3F"/>
    <w:rsid w:val="002B77FF"/>
    <w:rsid w:val="002B7E7E"/>
    <w:rsid w:val="002C2E75"/>
    <w:rsid w:val="002C2F60"/>
    <w:rsid w:val="002C35F0"/>
    <w:rsid w:val="002C4021"/>
    <w:rsid w:val="002C44D9"/>
    <w:rsid w:val="002C4712"/>
    <w:rsid w:val="002C5096"/>
    <w:rsid w:val="002C51C0"/>
    <w:rsid w:val="002C649D"/>
    <w:rsid w:val="002C72D8"/>
    <w:rsid w:val="002C7A16"/>
    <w:rsid w:val="002D0856"/>
    <w:rsid w:val="002D11FA"/>
    <w:rsid w:val="002D1663"/>
    <w:rsid w:val="002D22D6"/>
    <w:rsid w:val="002D286A"/>
    <w:rsid w:val="002D36FA"/>
    <w:rsid w:val="002D5A2C"/>
    <w:rsid w:val="002D6DAA"/>
    <w:rsid w:val="002D773E"/>
    <w:rsid w:val="002E00FC"/>
    <w:rsid w:val="002E01E8"/>
    <w:rsid w:val="002E0278"/>
    <w:rsid w:val="002E0DDF"/>
    <w:rsid w:val="002E1ED1"/>
    <w:rsid w:val="002E20ED"/>
    <w:rsid w:val="002E2906"/>
    <w:rsid w:val="002E2B89"/>
    <w:rsid w:val="002E363B"/>
    <w:rsid w:val="002E4B07"/>
    <w:rsid w:val="002E5635"/>
    <w:rsid w:val="002E596A"/>
    <w:rsid w:val="002E64C3"/>
    <w:rsid w:val="002E6A2C"/>
    <w:rsid w:val="002E6AE4"/>
    <w:rsid w:val="002E6FEE"/>
    <w:rsid w:val="002F03FD"/>
    <w:rsid w:val="002F1389"/>
    <w:rsid w:val="002F1470"/>
    <w:rsid w:val="002F1D8C"/>
    <w:rsid w:val="002F1F8E"/>
    <w:rsid w:val="002F21DA"/>
    <w:rsid w:val="002F29C4"/>
    <w:rsid w:val="002F2C0B"/>
    <w:rsid w:val="002F5261"/>
    <w:rsid w:val="002F6BC5"/>
    <w:rsid w:val="002F7DD9"/>
    <w:rsid w:val="00300F98"/>
    <w:rsid w:val="00301321"/>
    <w:rsid w:val="00301F39"/>
    <w:rsid w:val="003023FB"/>
    <w:rsid w:val="00302552"/>
    <w:rsid w:val="00303034"/>
    <w:rsid w:val="00303040"/>
    <w:rsid w:val="003030AA"/>
    <w:rsid w:val="0030333C"/>
    <w:rsid w:val="00303DAE"/>
    <w:rsid w:val="003060B3"/>
    <w:rsid w:val="0030768A"/>
    <w:rsid w:val="00307EAC"/>
    <w:rsid w:val="0031085C"/>
    <w:rsid w:val="0031123E"/>
    <w:rsid w:val="003135C3"/>
    <w:rsid w:val="003142C0"/>
    <w:rsid w:val="00314376"/>
    <w:rsid w:val="00316724"/>
    <w:rsid w:val="00316A14"/>
    <w:rsid w:val="00317051"/>
    <w:rsid w:val="0031752B"/>
    <w:rsid w:val="00320A01"/>
    <w:rsid w:val="00320C0A"/>
    <w:rsid w:val="0032162C"/>
    <w:rsid w:val="00322056"/>
    <w:rsid w:val="00322DFE"/>
    <w:rsid w:val="00323ED4"/>
    <w:rsid w:val="003244C9"/>
    <w:rsid w:val="0032488E"/>
    <w:rsid w:val="00325926"/>
    <w:rsid w:val="00327A8A"/>
    <w:rsid w:val="003309EF"/>
    <w:rsid w:val="00330B24"/>
    <w:rsid w:val="00330B80"/>
    <w:rsid w:val="003326F6"/>
    <w:rsid w:val="00332D1C"/>
    <w:rsid w:val="003347BA"/>
    <w:rsid w:val="003348F3"/>
    <w:rsid w:val="00335535"/>
    <w:rsid w:val="00335FF2"/>
    <w:rsid w:val="00336610"/>
    <w:rsid w:val="00340342"/>
    <w:rsid w:val="0034084B"/>
    <w:rsid w:val="00343F73"/>
    <w:rsid w:val="00343FAD"/>
    <w:rsid w:val="0034406D"/>
    <w:rsid w:val="00344515"/>
    <w:rsid w:val="00345060"/>
    <w:rsid w:val="00345BA6"/>
    <w:rsid w:val="00350987"/>
    <w:rsid w:val="00350BF9"/>
    <w:rsid w:val="00350FA1"/>
    <w:rsid w:val="00351566"/>
    <w:rsid w:val="00351B45"/>
    <w:rsid w:val="00352170"/>
    <w:rsid w:val="00352B9B"/>
    <w:rsid w:val="0035323B"/>
    <w:rsid w:val="00353277"/>
    <w:rsid w:val="00355041"/>
    <w:rsid w:val="003561EC"/>
    <w:rsid w:val="003564E0"/>
    <w:rsid w:val="003565AF"/>
    <w:rsid w:val="00356A74"/>
    <w:rsid w:val="0035759A"/>
    <w:rsid w:val="00357A64"/>
    <w:rsid w:val="003609D2"/>
    <w:rsid w:val="0036183A"/>
    <w:rsid w:val="0036378B"/>
    <w:rsid w:val="00363F22"/>
    <w:rsid w:val="003646FD"/>
    <w:rsid w:val="00365A64"/>
    <w:rsid w:val="00366A83"/>
    <w:rsid w:val="00367428"/>
    <w:rsid w:val="00367983"/>
    <w:rsid w:val="00367F9E"/>
    <w:rsid w:val="00370F0C"/>
    <w:rsid w:val="003729C1"/>
    <w:rsid w:val="00374C61"/>
    <w:rsid w:val="003751B6"/>
    <w:rsid w:val="00375564"/>
    <w:rsid w:val="00376088"/>
    <w:rsid w:val="00377B31"/>
    <w:rsid w:val="0038069F"/>
    <w:rsid w:val="00383191"/>
    <w:rsid w:val="003840DB"/>
    <w:rsid w:val="00384226"/>
    <w:rsid w:val="00386755"/>
    <w:rsid w:val="00386AD9"/>
    <w:rsid w:val="00386DED"/>
    <w:rsid w:val="0038703E"/>
    <w:rsid w:val="0038723C"/>
    <w:rsid w:val="00387749"/>
    <w:rsid w:val="00390C73"/>
    <w:rsid w:val="003912E7"/>
    <w:rsid w:val="00393236"/>
    <w:rsid w:val="00393947"/>
    <w:rsid w:val="00393BFB"/>
    <w:rsid w:val="0039438A"/>
    <w:rsid w:val="00395DBC"/>
    <w:rsid w:val="003961E2"/>
    <w:rsid w:val="0039641B"/>
    <w:rsid w:val="003964FB"/>
    <w:rsid w:val="003A0746"/>
    <w:rsid w:val="003A16CA"/>
    <w:rsid w:val="003A198E"/>
    <w:rsid w:val="003A2275"/>
    <w:rsid w:val="003A2F32"/>
    <w:rsid w:val="003A4B55"/>
    <w:rsid w:val="003A5095"/>
    <w:rsid w:val="003A54B1"/>
    <w:rsid w:val="003A561F"/>
    <w:rsid w:val="003A5E81"/>
    <w:rsid w:val="003A635F"/>
    <w:rsid w:val="003A6A4F"/>
    <w:rsid w:val="003A7088"/>
    <w:rsid w:val="003A72BF"/>
    <w:rsid w:val="003A7B13"/>
    <w:rsid w:val="003B00DF"/>
    <w:rsid w:val="003B1275"/>
    <w:rsid w:val="003B1778"/>
    <w:rsid w:val="003B1F5A"/>
    <w:rsid w:val="003B22C2"/>
    <w:rsid w:val="003B3AEC"/>
    <w:rsid w:val="003B5356"/>
    <w:rsid w:val="003B54CC"/>
    <w:rsid w:val="003B571C"/>
    <w:rsid w:val="003B6646"/>
    <w:rsid w:val="003B6A7B"/>
    <w:rsid w:val="003B7ACA"/>
    <w:rsid w:val="003C0669"/>
    <w:rsid w:val="003C1177"/>
    <w:rsid w:val="003C11CB"/>
    <w:rsid w:val="003C349B"/>
    <w:rsid w:val="003C4004"/>
    <w:rsid w:val="003C47D4"/>
    <w:rsid w:val="003C4DB7"/>
    <w:rsid w:val="003C4F3B"/>
    <w:rsid w:val="003C59EA"/>
    <w:rsid w:val="003C75F3"/>
    <w:rsid w:val="003C78A3"/>
    <w:rsid w:val="003D1281"/>
    <w:rsid w:val="003D19BC"/>
    <w:rsid w:val="003D2CF0"/>
    <w:rsid w:val="003D34D7"/>
    <w:rsid w:val="003D3916"/>
    <w:rsid w:val="003D41E5"/>
    <w:rsid w:val="003D599F"/>
    <w:rsid w:val="003D59C4"/>
    <w:rsid w:val="003D60AE"/>
    <w:rsid w:val="003D66B6"/>
    <w:rsid w:val="003D7ADA"/>
    <w:rsid w:val="003E0AB2"/>
    <w:rsid w:val="003E112B"/>
    <w:rsid w:val="003E153D"/>
    <w:rsid w:val="003E1867"/>
    <w:rsid w:val="003E37B0"/>
    <w:rsid w:val="003E55FE"/>
    <w:rsid w:val="003E5729"/>
    <w:rsid w:val="003F0D03"/>
    <w:rsid w:val="003F20E6"/>
    <w:rsid w:val="003F38EA"/>
    <w:rsid w:val="003F3D0D"/>
    <w:rsid w:val="003F4EE0"/>
    <w:rsid w:val="003F738A"/>
    <w:rsid w:val="003F7C80"/>
    <w:rsid w:val="004003F4"/>
    <w:rsid w:val="004004FF"/>
    <w:rsid w:val="004010CE"/>
    <w:rsid w:val="0040157B"/>
    <w:rsid w:val="00402153"/>
    <w:rsid w:val="00402FC1"/>
    <w:rsid w:val="0040354F"/>
    <w:rsid w:val="00407F93"/>
    <w:rsid w:val="00411CA3"/>
    <w:rsid w:val="004128D2"/>
    <w:rsid w:val="00413602"/>
    <w:rsid w:val="004138E2"/>
    <w:rsid w:val="004149B6"/>
    <w:rsid w:val="004153BB"/>
    <w:rsid w:val="00415FB8"/>
    <w:rsid w:val="00417665"/>
    <w:rsid w:val="004201F2"/>
    <w:rsid w:val="004205FC"/>
    <w:rsid w:val="00420CA6"/>
    <w:rsid w:val="0042197D"/>
    <w:rsid w:val="00421C03"/>
    <w:rsid w:val="00421D4D"/>
    <w:rsid w:val="00422CE9"/>
    <w:rsid w:val="00423AB1"/>
    <w:rsid w:val="004240FE"/>
    <w:rsid w:val="00424162"/>
    <w:rsid w:val="00424807"/>
    <w:rsid w:val="00425082"/>
    <w:rsid w:val="004261DC"/>
    <w:rsid w:val="004273E4"/>
    <w:rsid w:val="00430A76"/>
    <w:rsid w:val="004312C7"/>
    <w:rsid w:val="0043191F"/>
    <w:rsid w:val="00431B4C"/>
    <w:rsid w:val="00431DEB"/>
    <w:rsid w:val="00432682"/>
    <w:rsid w:val="00432F49"/>
    <w:rsid w:val="004334F5"/>
    <w:rsid w:val="00433D16"/>
    <w:rsid w:val="00434D9B"/>
    <w:rsid w:val="004350B9"/>
    <w:rsid w:val="004351DE"/>
    <w:rsid w:val="00436416"/>
    <w:rsid w:val="00437308"/>
    <w:rsid w:val="00437638"/>
    <w:rsid w:val="0043775D"/>
    <w:rsid w:val="00441F79"/>
    <w:rsid w:val="00442B5F"/>
    <w:rsid w:val="00443BA6"/>
    <w:rsid w:val="0044401B"/>
    <w:rsid w:val="00445752"/>
    <w:rsid w:val="00446B29"/>
    <w:rsid w:val="00447E53"/>
    <w:rsid w:val="0045275A"/>
    <w:rsid w:val="00453108"/>
    <w:rsid w:val="00453611"/>
    <w:rsid w:val="00453F9A"/>
    <w:rsid w:val="00455F28"/>
    <w:rsid w:val="004568A6"/>
    <w:rsid w:val="00456988"/>
    <w:rsid w:val="00457105"/>
    <w:rsid w:val="00460AD5"/>
    <w:rsid w:val="0046108D"/>
    <w:rsid w:val="00461E24"/>
    <w:rsid w:val="004635B1"/>
    <w:rsid w:val="00464219"/>
    <w:rsid w:val="00464A0F"/>
    <w:rsid w:val="004653D9"/>
    <w:rsid w:val="00466694"/>
    <w:rsid w:val="0046670D"/>
    <w:rsid w:val="00466AEB"/>
    <w:rsid w:val="0046772D"/>
    <w:rsid w:val="00470B76"/>
    <w:rsid w:val="00471CED"/>
    <w:rsid w:val="00471E91"/>
    <w:rsid w:val="00472308"/>
    <w:rsid w:val="00472762"/>
    <w:rsid w:val="00472822"/>
    <w:rsid w:val="00474675"/>
    <w:rsid w:val="0047470C"/>
    <w:rsid w:val="004778B7"/>
    <w:rsid w:val="00477A86"/>
    <w:rsid w:val="004808E8"/>
    <w:rsid w:val="004809E1"/>
    <w:rsid w:val="00484364"/>
    <w:rsid w:val="0048522F"/>
    <w:rsid w:val="004854BB"/>
    <w:rsid w:val="00485DCB"/>
    <w:rsid w:val="00487FF3"/>
    <w:rsid w:val="00490AA4"/>
    <w:rsid w:val="00490BD9"/>
    <w:rsid w:val="0049165A"/>
    <w:rsid w:val="00491D81"/>
    <w:rsid w:val="0049269D"/>
    <w:rsid w:val="00493692"/>
    <w:rsid w:val="00493699"/>
    <w:rsid w:val="00494CF2"/>
    <w:rsid w:val="00495290"/>
    <w:rsid w:val="00495889"/>
    <w:rsid w:val="0049662E"/>
    <w:rsid w:val="00497A1B"/>
    <w:rsid w:val="00497D41"/>
    <w:rsid w:val="00497EEE"/>
    <w:rsid w:val="004A09C2"/>
    <w:rsid w:val="004A0D7F"/>
    <w:rsid w:val="004A2F78"/>
    <w:rsid w:val="004A35F9"/>
    <w:rsid w:val="004A4C7A"/>
    <w:rsid w:val="004A5C72"/>
    <w:rsid w:val="004B0805"/>
    <w:rsid w:val="004B0B67"/>
    <w:rsid w:val="004B24C1"/>
    <w:rsid w:val="004B461B"/>
    <w:rsid w:val="004B5405"/>
    <w:rsid w:val="004B5A49"/>
    <w:rsid w:val="004B7345"/>
    <w:rsid w:val="004C19E9"/>
    <w:rsid w:val="004C228F"/>
    <w:rsid w:val="004C292F"/>
    <w:rsid w:val="004C2DD7"/>
    <w:rsid w:val="004C4141"/>
    <w:rsid w:val="004C5DD7"/>
    <w:rsid w:val="004C6670"/>
    <w:rsid w:val="004C6C7A"/>
    <w:rsid w:val="004C7BBA"/>
    <w:rsid w:val="004D0E75"/>
    <w:rsid w:val="004D3007"/>
    <w:rsid w:val="004D34CC"/>
    <w:rsid w:val="004D3C05"/>
    <w:rsid w:val="004D535A"/>
    <w:rsid w:val="004D539D"/>
    <w:rsid w:val="004D6238"/>
    <w:rsid w:val="004D74B9"/>
    <w:rsid w:val="004D7C2A"/>
    <w:rsid w:val="004D7EE6"/>
    <w:rsid w:val="004E0163"/>
    <w:rsid w:val="004E19F2"/>
    <w:rsid w:val="004E1CBB"/>
    <w:rsid w:val="004E1DC5"/>
    <w:rsid w:val="004E36E7"/>
    <w:rsid w:val="004E3ADA"/>
    <w:rsid w:val="004E3DA9"/>
    <w:rsid w:val="004E4168"/>
    <w:rsid w:val="004E5159"/>
    <w:rsid w:val="004E6B0F"/>
    <w:rsid w:val="004E7A8A"/>
    <w:rsid w:val="004F0CF7"/>
    <w:rsid w:val="004F10EF"/>
    <w:rsid w:val="004F161C"/>
    <w:rsid w:val="004F1D1E"/>
    <w:rsid w:val="004F6993"/>
    <w:rsid w:val="004F70F3"/>
    <w:rsid w:val="004F7B74"/>
    <w:rsid w:val="00500859"/>
    <w:rsid w:val="0050098B"/>
    <w:rsid w:val="0050189F"/>
    <w:rsid w:val="005019C6"/>
    <w:rsid w:val="00502F57"/>
    <w:rsid w:val="00502F63"/>
    <w:rsid w:val="005038AD"/>
    <w:rsid w:val="00503AA3"/>
    <w:rsid w:val="0050665B"/>
    <w:rsid w:val="00506C1D"/>
    <w:rsid w:val="00507B35"/>
    <w:rsid w:val="00510027"/>
    <w:rsid w:val="00510234"/>
    <w:rsid w:val="00510280"/>
    <w:rsid w:val="00510514"/>
    <w:rsid w:val="00511122"/>
    <w:rsid w:val="00512567"/>
    <w:rsid w:val="0051268B"/>
    <w:rsid w:val="00512B6F"/>
    <w:rsid w:val="00512EAA"/>
    <w:rsid w:val="00513D73"/>
    <w:rsid w:val="00513E18"/>
    <w:rsid w:val="00514A43"/>
    <w:rsid w:val="00514DE2"/>
    <w:rsid w:val="005174E5"/>
    <w:rsid w:val="00517B02"/>
    <w:rsid w:val="00521520"/>
    <w:rsid w:val="00521AAB"/>
    <w:rsid w:val="00522393"/>
    <w:rsid w:val="00522620"/>
    <w:rsid w:val="00523CE8"/>
    <w:rsid w:val="005241F5"/>
    <w:rsid w:val="00524E4E"/>
    <w:rsid w:val="00525420"/>
    <w:rsid w:val="00525656"/>
    <w:rsid w:val="0052585A"/>
    <w:rsid w:val="0052726A"/>
    <w:rsid w:val="005304F1"/>
    <w:rsid w:val="00530C06"/>
    <w:rsid w:val="00530EC3"/>
    <w:rsid w:val="005327BB"/>
    <w:rsid w:val="0053480B"/>
    <w:rsid w:val="00534C02"/>
    <w:rsid w:val="00536135"/>
    <w:rsid w:val="005404F3"/>
    <w:rsid w:val="0054080A"/>
    <w:rsid w:val="00540BBD"/>
    <w:rsid w:val="0054145C"/>
    <w:rsid w:val="0054264B"/>
    <w:rsid w:val="00542D62"/>
    <w:rsid w:val="00543786"/>
    <w:rsid w:val="00543B97"/>
    <w:rsid w:val="00545804"/>
    <w:rsid w:val="00545F3A"/>
    <w:rsid w:val="005467C0"/>
    <w:rsid w:val="005479EF"/>
    <w:rsid w:val="00550E0F"/>
    <w:rsid w:val="0055110E"/>
    <w:rsid w:val="00552B6F"/>
    <w:rsid w:val="005533D7"/>
    <w:rsid w:val="00553736"/>
    <w:rsid w:val="00554999"/>
    <w:rsid w:val="005552EB"/>
    <w:rsid w:val="00555E9F"/>
    <w:rsid w:val="005566A0"/>
    <w:rsid w:val="0055682B"/>
    <w:rsid w:val="0055717B"/>
    <w:rsid w:val="005576FA"/>
    <w:rsid w:val="00557D80"/>
    <w:rsid w:val="005606BD"/>
    <w:rsid w:val="00561287"/>
    <w:rsid w:val="005612AD"/>
    <w:rsid w:val="00561388"/>
    <w:rsid w:val="0056181C"/>
    <w:rsid w:val="00561C62"/>
    <w:rsid w:val="00562062"/>
    <w:rsid w:val="00562667"/>
    <w:rsid w:val="00563087"/>
    <w:rsid w:val="00563542"/>
    <w:rsid w:val="0056493D"/>
    <w:rsid w:val="005650F1"/>
    <w:rsid w:val="00565EE7"/>
    <w:rsid w:val="00566A6D"/>
    <w:rsid w:val="00567B69"/>
    <w:rsid w:val="00570065"/>
    <w:rsid w:val="005703DE"/>
    <w:rsid w:val="00571E5D"/>
    <w:rsid w:val="0057222F"/>
    <w:rsid w:val="00572278"/>
    <w:rsid w:val="00572FA7"/>
    <w:rsid w:val="00574897"/>
    <w:rsid w:val="00574D7B"/>
    <w:rsid w:val="005756C5"/>
    <w:rsid w:val="00576ED1"/>
    <w:rsid w:val="0057764B"/>
    <w:rsid w:val="0058097A"/>
    <w:rsid w:val="00581D20"/>
    <w:rsid w:val="00581F0C"/>
    <w:rsid w:val="00583D99"/>
    <w:rsid w:val="0058464E"/>
    <w:rsid w:val="0058514B"/>
    <w:rsid w:val="00585F71"/>
    <w:rsid w:val="005873F0"/>
    <w:rsid w:val="0058795C"/>
    <w:rsid w:val="005909AB"/>
    <w:rsid w:val="005915C3"/>
    <w:rsid w:val="00591824"/>
    <w:rsid w:val="00593B48"/>
    <w:rsid w:val="00594CA6"/>
    <w:rsid w:val="00594D43"/>
    <w:rsid w:val="00594EF1"/>
    <w:rsid w:val="00595504"/>
    <w:rsid w:val="005A01CB"/>
    <w:rsid w:val="005A0C16"/>
    <w:rsid w:val="005A2828"/>
    <w:rsid w:val="005A3CCF"/>
    <w:rsid w:val="005A4277"/>
    <w:rsid w:val="005A44CD"/>
    <w:rsid w:val="005A44F7"/>
    <w:rsid w:val="005A4770"/>
    <w:rsid w:val="005A4878"/>
    <w:rsid w:val="005A58FF"/>
    <w:rsid w:val="005A59DF"/>
    <w:rsid w:val="005A5EAF"/>
    <w:rsid w:val="005A5EC8"/>
    <w:rsid w:val="005A64C0"/>
    <w:rsid w:val="005A76E8"/>
    <w:rsid w:val="005A7FBE"/>
    <w:rsid w:val="005B1A08"/>
    <w:rsid w:val="005B28F0"/>
    <w:rsid w:val="005B342B"/>
    <w:rsid w:val="005B3A5A"/>
    <w:rsid w:val="005B3C11"/>
    <w:rsid w:val="005B5661"/>
    <w:rsid w:val="005B589F"/>
    <w:rsid w:val="005B6268"/>
    <w:rsid w:val="005B7800"/>
    <w:rsid w:val="005C0538"/>
    <w:rsid w:val="005C1206"/>
    <w:rsid w:val="005C1C28"/>
    <w:rsid w:val="005C3817"/>
    <w:rsid w:val="005C3BB5"/>
    <w:rsid w:val="005C49B9"/>
    <w:rsid w:val="005C58F4"/>
    <w:rsid w:val="005C6DB5"/>
    <w:rsid w:val="005C6E38"/>
    <w:rsid w:val="005C7A7A"/>
    <w:rsid w:val="005D0300"/>
    <w:rsid w:val="005D09D9"/>
    <w:rsid w:val="005D18C4"/>
    <w:rsid w:val="005D2D04"/>
    <w:rsid w:val="005D3EE3"/>
    <w:rsid w:val="005D4941"/>
    <w:rsid w:val="005D5081"/>
    <w:rsid w:val="005D568F"/>
    <w:rsid w:val="005D6A17"/>
    <w:rsid w:val="005E19E7"/>
    <w:rsid w:val="005E23BB"/>
    <w:rsid w:val="005E2EF0"/>
    <w:rsid w:val="005E3FE8"/>
    <w:rsid w:val="005E5121"/>
    <w:rsid w:val="005E64E7"/>
    <w:rsid w:val="005E7D94"/>
    <w:rsid w:val="005F09D3"/>
    <w:rsid w:val="005F0D35"/>
    <w:rsid w:val="005F53B5"/>
    <w:rsid w:val="005F69D1"/>
    <w:rsid w:val="005F76C3"/>
    <w:rsid w:val="00600F27"/>
    <w:rsid w:val="006019B4"/>
    <w:rsid w:val="00602BE7"/>
    <w:rsid w:val="00602E15"/>
    <w:rsid w:val="00602EEB"/>
    <w:rsid w:val="0060344E"/>
    <w:rsid w:val="00603EDF"/>
    <w:rsid w:val="00604C8C"/>
    <w:rsid w:val="00605E04"/>
    <w:rsid w:val="0060609D"/>
    <w:rsid w:val="0060686F"/>
    <w:rsid w:val="00606CCF"/>
    <w:rsid w:val="00607425"/>
    <w:rsid w:val="00610031"/>
    <w:rsid w:val="00610C4D"/>
    <w:rsid w:val="0061257D"/>
    <w:rsid w:val="00612BD5"/>
    <w:rsid w:val="00613755"/>
    <w:rsid w:val="00613C25"/>
    <w:rsid w:val="00616CBC"/>
    <w:rsid w:val="0061716C"/>
    <w:rsid w:val="00623752"/>
    <w:rsid w:val="006241B1"/>
    <w:rsid w:val="006243A1"/>
    <w:rsid w:val="00624852"/>
    <w:rsid w:val="00624B28"/>
    <w:rsid w:val="00624E34"/>
    <w:rsid w:val="00625DB1"/>
    <w:rsid w:val="00630C59"/>
    <w:rsid w:val="00631A78"/>
    <w:rsid w:val="00631D28"/>
    <w:rsid w:val="00631E5B"/>
    <w:rsid w:val="00632BDE"/>
    <w:rsid w:val="00632E56"/>
    <w:rsid w:val="00632E5A"/>
    <w:rsid w:val="006339F0"/>
    <w:rsid w:val="00633A50"/>
    <w:rsid w:val="00633E4C"/>
    <w:rsid w:val="00635CBA"/>
    <w:rsid w:val="0064080A"/>
    <w:rsid w:val="00640A00"/>
    <w:rsid w:val="006413F3"/>
    <w:rsid w:val="00642855"/>
    <w:rsid w:val="0064338B"/>
    <w:rsid w:val="0064355C"/>
    <w:rsid w:val="00643988"/>
    <w:rsid w:val="006457DB"/>
    <w:rsid w:val="00646448"/>
    <w:rsid w:val="00646542"/>
    <w:rsid w:val="00650497"/>
    <w:rsid w:val="006504F4"/>
    <w:rsid w:val="00650BA2"/>
    <w:rsid w:val="006511D8"/>
    <w:rsid w:val="0065201C"/>
    <w:rsid w:val="00654588"/>
    <w:rsid w:val="00654B98"/>
    <w:rsid w:val="00654BC9"/>
    <w:rsid w:val="00654DA7"/>
    <w:rsid w:val="006552FD"/>
    <w:rsid w:val="00655343"/>
    <w:rsid w:val="006557D1"/>
    <w:rsid w:val="006563BE"/>
    <w:rsid w:val="00656408"/>
    <w:rsid w:val="0066203E"/>
    <w:rsid w:val="006629FE"/>
    <w:rsid w:val="00663AF3"/>
    <w:rsid w:val="00664013"/>
    <w:rsid w:val="00665BE1"/>
    <w:rsid w:val="00665C37"/>
    <w:rsid w:val="006666EA"/>
    <w:rsid w:val="00666B6C"/>
    <w:rsid w:val="00667571"/>
    <w:rsid w:val="006678B0"/>
    <w:rsid w:val="00670662"/>
    <w:rsid w:val="00670A17"/>
    <w:rsid w:val="00670A8E"/>
    <w:rsid w:val="00671C11"/>
    <w:rsid w:val="0067215E"/>
    <w:rsid w:val="0067526D"/>
    <w:rsid w:val="00675D28"/>
    <w:rsid w:val="00675DB9"/>
    <w:rsid w:val="00677941"/>
    <w:rsid w:val="00677A2F"/>
    <w:rsid w:val="006808DE"/>
    <w:rsid w:val="00681E8A"/>
    <w:rsid w:val="006820F7"/>
    <w:rsid w:val="00682682"/>
    <w:rsid w:val="00682702"/>
    <w:rsid w:val="00682A64"/>
    <w:rsid w:val="00682CAE"/>
    <w:rsid w:val="00682EA2"/>
    <w:rsid w:val="0068535B"/>
    <w:rsid w:val="00685C05"/>
    <w:rsid w:val="00685E45"/>
    <w:rsid w:val="00686BC1"/>
    <w:rsid w:val="00690C9B"/>
    <w:rsid w:val="006921CF"/>
    <w:rsid w:val="00692368"/>
    <w:rsid w:val="006927EA"/>
    <w:rsid w:val="00692E90"/>
    <w:rsid w:val="0069307E"/>
    <w:rsid w:val="00693633"/>
    <w:rsid w:val="00695BB8"/>
    <w:rsid w:val="00696B3F"/>
    <w:rsid w:val="00697DE0"/>
    <w:rsid w:val="006A038C"/>
    <w:rsid w:val="006A1E94"/>
    <w:rsid w:val="006A2A8C"/>
    <w:rsid w:val="006A2C21"/>
    <w:rsid w:val="006A2EBC"/>
    <w:rsid w:val="006A33C2"/>
    <w:rsid w:val="006A34C8"/>
    <w:rsid w:val="006A5C71"/>
    <w:rsid w:val="006A5CD2"/>
    <w:rsid w:val="006A5EA0"/>
    <w:rsid w:val="006A783B"/>
    <w:rsid w:val="006A7A59"/>
    <w:rsid w:val="006A7B33"/>
    <w:rsid w:val="006A7F59"/>
    <w:rsid w:val="006B29B1"/>
    <w:rsid w:val="006B2E26"/>
    <w:rsid w:val="006B364B"/>
    <w:rsid w:val="006B3C35"/>
    <w:rsid w:val="006B4E13"/>
    <w:rsid w:val="006B522D"/>
    <w:rsid w:val="006B5557"/>
    <w:rsid w:val="006B5834"/>
    <w:rsid w:val="006B5A6D"/>
    <w:rsid w:val="006B657D"/>
    <w:rsid w:val="006B6869"/>
    <w:rsid w:val="006B75DD"/>
    <w:rsid w:val="006B7B8D"/>
    <w:rsid w:val="006C0570"/>
    <w:rsid w:val="006C0634"/>
    <w:rsid w:val="006C0FA1"/>
    <w:rsid w:val="006C3979"/>
    <w:rsid w:val="006C3D42"/>
    <w:rsid w:val="006C4608"/>
    <w:rsid w:val="006C5240"/>
    <w:rsid w:val="006C6669"/>
    <w:rsid w:val="006C67E0"/>
    <w:rsid w:val="006C6AEA"/>
    <w:rsid w:val="006C6E14"/>
    <w:rsid w:val="006C7ABA"/>
    <w:rsid w:val="006D0D60"/>
    <w:rsid w:val="006D1122"/>
    <w:rsid w:val="006D1525"/>
    <w:rsid w:val="006D2504"/>
    <w:rsid w:val="006D2D09"/>
    <w:rsid w:val="006D3147"/>
    <w:rsid w:val="006D329E"/>
    <w:rsid w:val="006D32F7"/>
    <w:rsid w:val="006D3996"/>
    <w:rsid w:val="006D3C00"/>
    <w:rsid w:val="006D4029"/>
    <w:rsid w:val="006D43B0"/>
    <w:rsid w:val="006D54CD"/>
    <w:rsid w:val="006D6CF4"/>
    <w:rsid w:val="006D6D53"/>
    <w:rsid w:val="006D71FC"/>
    <w:rsid w:val="006E0C0C"/>
    <w:rsid w:val="006E0CF7"/>
    <w:rsid w:val="006E17C6"/>
    <w:rsid w:val="006E180C"/>
    <w:rsid w:val="006E1D31"/>
    <w:rsid w:val="006E3675"/>
    <w:rsid w:val="006E38DE"/>
    <w:rsid w:val="006E4A7F"/>
    <w:rsid w:val="006E5397"/>
    <w:rsid w:val="006E6028"/>
    <w:rsid w:val="006E6172"/>
    <w:rsid w:val="006E618D"/>
    <w:rsid w:val="006E6EDC"/>
    <w:rsid w:val="006E74F6"/>
    <w:rsid w:val="006F127B"/>
    <w:rsid w:val="006F17C2"/>
    <w:rsid w:val="006F22DB"/>
    <w:rsid w:val="006F27B9"/>
    <w:rsid w:val="006F4A0F"/>
    <w:rsid w:val="006F535D"/>
    <w:rsid w:val="006F7554"/>
    <w:rsid w:val="006F7CA9"/>
    <w:rsid w:val="007005E5"/>
    <w:rsid w:val="00700713"/>
    <w:rsid w:val="00703C0F"/>
    <w:rsid w:val="00704001"/>
    <w:rsid w:val="0070465F"/>
    <w:rsid w:val="00704DF6"/>
    <w:rsid w:val="00704E08"/>
    <w:rsid w:val="00705EC2"/>
    <w:rsid w:val="0070651C"/>
    <w:rsid w:val="00711089"/>
    <w:rsid w:val="007113AD"/>
    <w:rsid w:val="0071167C"/>
    <w:rsid w:val="00711A8D"/>
    <w:rsid w:val="0071203C"/>
    <w:rsid w:val="007120BB"/>
    <w:rsid w:val="00712F13"/>
    <w:rsid w:val="007132A3"/>
    <w:rsid w:val="00713C88"/>
    <w:rsid w:val="007140DF"/>
    <w:rsid w:val="007147A0"/>
    <w:rsid w:val="00716421"/>
    <w:rsid w:val="00716683"/>
    <w:rsid w:val="007174B7"/>
    <w:rsid w:val="00717836"/>
    <w:rsid w:val="007215F4"/>
    <w:rsid w:val="00721602"/>
    <w:rsid w:val="007218C9"/>
    <w:rsid w:val="00721A43"/>
    <w:rsid w:val="00721E44"/>
    <w:rsid w:val="00722D03"/>
    <w:rsid w:val="00722FEF"/>
    <w:rsid w:val="007239D0"/>
    <w:rsid w:val="00724179"/>
    <w:rsid w:val="00724EFB"/>
    <w:rsid w:val="00725089"/>
    <w:rsid w:val="00727914"/>
    <w:rsid w:val="007326E6"/>
    <w:rsid w:val="007328D7"/>
    <w:rsid w:val="0073370F"/>
    <w:rsid w:val="007342E9"/>
    <w:rsid w:val="0073441F"/>
    <w:rsid w:val="007350A5"/>
    <w:rsid w:val="00735653"/>
    <w:rsid w:val="007356F1"/>
    <w:rsid w:val="00736716"/>
    <w:rsid w:val="00736744"/>
    <w:rsid w:val="00736DFC"/>
    <w:rsid w:val="0073700C"/>
    <w:rsid w:val="0074094A"/>
    <w:rsid w:val="007419C3"/>
    <w:rsid w:val="00742001"/>
    <w:rsid w:val="00742B10"/>
    <w:rsid w:val="00743887"/>
    <w:rsid w:val="007442B1"/>
    <w:rsid w:val="00744F22"/>
    <w:rsid w:val="007450CF"/>
    <w:rsid w:val="007464A0"/>
    <w:rsid w:val="007467A7"/>
    <w:rsid w:val="007469DD"/>
    <w:rsid w:val="00746DFC"/>
    <w:rsid w:val="0074741B"/>
    <w:rsid w:val="0074759E"/>
    <w:rsid w:val="007478EA"/>
    <w:rsid w:val="00747C54"/>
    <w:rsid w:val="0075119E"/>
    <w:rsid w:val="00751AA5"/>
    <w:rsid w:val="007523BE"/>
    <w:rsid w:val="007536E4"/>
    <w:rsid w:val="00753C47"/>
    <w:rsid w:val="0075415C"/>
    <w:rsid w:val="007548BE"/>
    <w:rsid w:val="00754C6C"/>
    <w:rsid w:val="00757635"/>
    <w:rsid w:val="00757DBF"/>
    <w:rsid w:val="0076043F"/>
    <w:rsid w:val="00760553"/>
    <w:rsid w:val="00762DCA"/>
    <w:rsid w:val="0076337C"/>
    <w:rsid w:val="00763502"/>
    <w:rsid w:val="00765E0B"/>
    <w:rsid w:val="007660C3"/>
    <w:rsid w:val="007665B7"/>
    <w:rsid w:val="00766776"/>
    <w:rsid w:val="0077051B"/>
    <w:rsid w:val="00771D1A"/>
    <w:rsid w:val="0077245E"/>
    <w:rsid w:val="00772927"/>
    <w:rsid w:val="007729BC"/>
    <w:rsid w:val="00772F03"/>
    <w:rsid w:val="007733BD"/>
    <w:rsid w:val="00773408"/>
    <w:rsid w:val="00773A5C"/>
    <w:rsid w:val="00774200"/>
    <w:rsid w:val="00777D49"/>
    <w:rsid w:val="00780071"/>
    <w:rsid w:val="0078086B"/>
    <w:rsid w:val="00780963"/>
    <w:rsid w:val="007814B7"/>
    <w:rsid w:val="00783100"/>
    <w:rsid w:val="00784A5D"/>
    <w:rsid w:val="00785649"/>
    <w:rsid w:val="00786AF4"/>
    <w:rsid w:val="00786D8A"/>
    <w:rsid w:val="007904E0"/>
    <w:rsid w:val="00790CEA"/>
    <w:rsid w:val="007913AB"/>
    <w:rsid w:val="007914F7"/>
    <w:rsid w:val="00791E0C"/>
    <w:rsid w:val="00792CAB"/>
    <w:rsid w:val="007931AC"/>
    <w:rsid w:val="0079330E"/>
    <w:rsid w:val="007935A2"/>
    <w:rsid w:val="00793C53"/>
    <w:rsid w:val="007946BA"/>
    <w:rsid w:val="0079524C"/>
    <w:rsid w:val="0079556A"/>
    <w:rsid w:val="0079577D"/>
    <w:rsid w:val="00795A63"/>
    <w:rsid w:val="0079680C"/>
    <w:rsid w:val="007A09A4"/>
    <w:rsid w:val="007A0DC4"/>
    <w:rsid w:val="007A0E21"/>
    <w:rsid w:val="007A1C03"/>
    <w:rsid w:val="007A2CA7"/>
    <w:rsid w:val="007A36FF"/>
    <w:rsid w:val="007A483E"/>
    <w:rsid w:val="007A5CC8"/>
    <w:rsid w:val="007A6CAA"/>
    <w:rsid w:val="007B1625"/>
    <w:rsid w:val="007B194A"/>
    <w:rsid w:val="007B1B55"/>
    <w:rsid w:val="007B1F56"/>
    <w:rsid w:val="007B351D"/>
    <w:rsid w:val="007B3681"/>
    <w:rsid w:val="007B5852"/>
    <w:rsid w:val="007B5FAD"/>
    <w:rsid w:val="007B697F"/>
    <w:rsid w:val="007B706E"/>
    <w:rsid w:val="007B71EB"/>
    <w:rsid w:val="007C1F0B"/>
    <w:rsid w:val="007C27A4"/>
    <w:rsid w:val="007C2AB4"/>
    <w:rsid w:val="007C2D39"/>
    <w:rsid w:val="007C402D"/>
    <w:rsid w:val="007C4CC3"/>
    <w:rsid w:val="007C59A6"/>
    <w:rsid w:val="007C6205"/>
    <w:rsid w:val="007C675D"/>
    <w:rsid w:val="007C686A"/>
    <w:rsid w:val="007C714E"/>
    <w:rsid w:val="007C728E"/>
    <w:rsid w:val="007D01AC"/>
    <w:rsid w:val="007D124B"/>
    <w:rsid w:val="007D1B5B"/>
    <w:rsid w:val="007D2332"/>
    <w:rsid w:val="007D240D"/>
    <w:rsid w:val="007D2C53"/>
    <w:rsid w:val="007D3924"/>
    <w:rsid w:val="007D3D60"/>
    <w:rsid w:val="007D4503"/>
    <w:rsid w:val="007D4BB8"/>
    <w:rsid w:val="007D5208"/>
    <w:rsid w:val="007D6E4F"/>
    <w:rsid w:val="007D718E"/>
    <w:rsid w:val="007D7A06"/>
    <w:rsid w:val="007D7B1A"/>
    <w:rsid w:val="007E03BD"/>
    <w:rsid w:val="007E0D0C"/>
    <w:rsid w:val="007E12EC"/>
    <w:rsid w:val="007E185B"/>
    <w:rsid w:val="007E1980"/>
    <w:rsid w:val="007E3219"/>
    <w:rsid w:val="007E4B76"/>
    <w:rsid w:val="007E5EA8"/>
    <w:rsid w:val="007F0538"/>
    <w:rsid w:val="007F09AB"/>
    <w:rsid w:val="007F0CF1"/>
    <w:rsid w:val="007F12A5"/>
    <w:rsid w:val="007F48EC"/>
    <w:rsid w:val="007F4CF1"/>
    <w:rsid w:val="007F5733"/>
    <w:rsid w:val="007F6960"/>
    <w:rsid w:val="007F7519"/>
    <w:rsid w:val="007F758D"/>
    <w:rsid w:val="007F7D52"/>
    <w:rsid w:val="0080003F"/>
    <w:rsid w:val="00800562"/>
    <w:rsid w:val="00800612"/>
    <w:rsid w:val="00800B3E"/>
    <w:rsid w:val="00803A39"/>
    <w:rsid w:val="00804499"/>
    <w:rsid w:val="008047CF"/>
    <w:rsid w:val="008058F3"/>
    <w:rsid w:val="0080654C"/>
    <w:rsid w:val="00806F8B"/>
    <w:rsid w:val="008071C6"/>
    <w:rsid w:val="00810370"/>
    <w:rsid w:val="0081078D"/>
    <w:rsid w:val="00810E87"/>
    <w:rsid w:val="00811548"/>
    <w:rsid w:val="00811922"/>
    <w:rsid w:val="008131F8"/>
    <w:rsid w:val="0081329C"/>
    <w:rsid w:val="00813B29"/>
    <w:rsid w:val="0081596B"/>
    <w:rsid w:val="008178C2"/>
    <w:rsid w:val="00817A00"/>
    <w:rsid w:val="00817AFF"/>
    <w:rsid w:val="00820CE8"/>
    <w:rsid w:val="008210FF"/>
    <w:rsid w:val="0082140A"/>
    <w:rsid w:val="008222CD"/>
    <w:rsid w:val="00822646"/>
    <w:rsid w:val="008236D5"/>
    <w:rsid w:val="00823F3F"/>
    <w:rsid w:val="00824476"/>
    <w:rsid w:val="0082651F"/>
    <w:rsid w:val="0082733E"/>
    <w:rsid w:val="00827CB6"/>
    <w:rsid w:val="00830716"/>
    <w:rsid w:val="00831A61"/>
    <w:rsid w:val="00833269"/>
    <w:rsid w:val="00834758"/>
    <w:rsid w:val="00834B43"/>
    <w:rsid w:val="00834E39"/>
    <w:rsid w:val="00835DB3"/>
    <w:rsid w:val="0083617B"/>
    <w:rsid w:val="008371BD"/>
    <w:rsid w:val="0083724E"/>
    <w:rsid w:val="00840385"/>
    <w:rsid w:val="008404FC"/>
    <w:rsid w:val="008410D1"/>
    <w:rsid w:val="0084210C"/>
    <w:rsid w:val="00842BEB"/>
    <w:rsid w:val="008434C5"/>
    <w:rsid w:val="008447C3"/>
    <w:rsid w:val="00844A28"/>
    <w:rsid w:val="00846EE0"/>
    <w:rsid w:val="008504A8"/>
    <w:rsid w:val="00850B78"/>
    <w:rsid w:val="00852118"/>
    <w:rsid w:val="0085282E"/>
    <w:rsid w:val="00852D68"/>
    <w:rsid w:val="008535B0"/>
    <w:rsid w:val="00855952"/>
    <w:rsid w:val="00855BF6"/>
    <w:rsid w:val="0085651C"/>
    <w:rsid w:val="00856A38"/>
    <w:rsid w:val="00856BDB"/>
    <w:rsid w:val="0085722E"/>
    <w:rsid w:val="0085758A"/>
    <w:rsid w:val="00860435"/>
    <w:rsid w:val="00863B90"/>
    <w:rsid w:val="00863CF5"/>
    <w:rsid w:val="00864D27"/>
    <w:rsid w:val="008656BB"/>
    <w:rsid w:val="00865754"/>
    <w:rsid w:val="008704C5"/>
    <w:rsid w:val="0087198C"/>
    <w:rsid w:val="008723C3"/>
    <w:rsid w:val="00872C1F"/>
    <w:rsid w:val="008730D3"/>
    <w:rsid w:val="00873B42"/>
    <w:rsid w:val="00873DA0"/>
    <w:rsid w:val="00875A06"/>
    <w:rsid w:val="0087623A"/>
    <w:rsid w:val="008770BE"/>
    <w:rsid w:val="00877203"/>
    <w:rsid w:val="008776D9"/>
    <w:rsid w:val="00880552"/>
    <w:rsid w:val="008813F7"/>
    <w:rsid w:val="0088315D"/>
    <w:rsid w:val="008856D8"/>
    <w:rsid w:val="008863D2"/>
    <w:rsid w:val="00892E82"/>
    <w:rsid w:val="008930CA"/>
    <w:rsid w:val="008933BD"/>
    <w:rsid w:val="00893DC3"/>
    <w:rsid w:val="00893FDC"/>
    <w:rsid w:val="0089519B"/>
    <w:rsid w:val="008956E7"/>
    <w:rsid w:val="00896112"/>
    <w:rsid w:val="00896C74"/>
    <w:rsid w:val="00897DE8"/>
    <w:rsid w:val="008A0AAD"/>
    <w:rsid w:val="008A0B78"/>
    <w:rsid w:val="008A2189"/>
    <w:rsid w:val="008A2321"/>
    <w:rsid w:val="008A260B"/>
    <w:rsid w:val="008A394F"/>
    <w:rsid w:val="008A6330"/>
    <w:rsid w:val="008A6B0D"/>
    <w:rsid w:val="008A78E6"/>
    <w:rsid w:val="008A7F52"/>
    <w:rsid w:val="008B10E7"/>
    <w:rsid w:val="008B1318"/>
    <w:rsid w:val="008B2245"/>
    <w:rsid w:val="008B24EF"/>
    <w:rsid w:val="008B2714"/>
    <w:rsid w:val="008B2791"/>
    <w:rsid w:val="008B2AD3"/>
    <w:rsid w:val="008B4CC1"/>
    <w:rsid w:val="008B54DC"/>
    <w:rsid w:val="008B5A3A"/>
    <w:rsid w:val="008B5F0B"/>
    <w:rsid w:val="008B74D7"/>
    <w:rsid w:val="008C0928"/>
    <w:rsid w:val="008C1147"/>
    <w:rsid w:val="008C12C8"/>
    <w:rsid w:val="008C1B58"/>
    <w:rsid w:val="008C1E79"/>
    <w:rsid w:val="008C2C1A"/>
    <w:rsid w:val="008C37FB"/>
    <w:rsid w:val="008C39AE"/>
    <w:rsid w:val="008C4970"/>
    <w:rsid w:val="008C4C43"/>
    <w:rsid w:val="008C5280"/>
    <w:rsid w:val="008C5354"/>
    <w:rsid w:val="008C590D"/>
    <w:rsid w:val="008C64DB"/>
    <w:rsid w:val="008C7D3E"/>
    <w:rsid w:val="008D122A"/>
    <w:rsid w:val="008D3054"/>
    <w:rsid w:val="008D4B2B"/>
    <w:rsid w:val="008D4C10"/>
    <w:rsid w:val="008D4C69"/>
    <w:rsid w:val="008D58AC"/>
    <w:rsid w:val="008D6CDE"/>
    <w:rsid w:val="008D7509"/>
    <w:rsid w:val="008E031B"/>
    <w:rsid w:val="008E2514"/>
    <w:rsid w:val="008E297C"/>
    <w:rsid w:val="008E60E5"/>
    <w:rsid w:val="008E6646"/>
    <w:rsid w:val="008E7029"/>
    <w:rsid w:val="008E72FC"/>
    <w:rsid w:val="008E7CD5"/>
    <w:rsid w:val="008E7EF6"/>
    <w:rsid w:val="008F03ED"/>
    <w:rsid w:val="008F0926"/>
    <w:rsid w:val="008F1335"/>
    <w:rsid w:val="008F18F1"/>
    <w:rsid w:val="008F1F98"/>
    <w:rsid w:val="008F1FDB"/>
    <w:rsid w:val="008F2928"/>
    <w:rsid w:val="008F32DA"/>
    <w:rsid w:val="008F50F9"/>
    <w:rsid w:val="008F58DA"/>
    <w:rsid w:val="008F5FD3"/>
    <w:rsid w:val="008F649B"/>
    <w:rsid w:val="008F6758"/>
    <w:rsid w:val="008F68EF"/>
    <w:rsid w:val="008F6FFF"/>
    <w:rsid w:val="008F75EF"/>
    <w:rsid w:val="008F77FF"/>
    <w:rsid w:val="00902962"/>
    <w:rsid w:val="009040DD"/>
    <w:rsid w:val="00904228"/>
    <w:rsid w:val="00904E50"/>
    <w:rsid w:val="00905B47"/>
    <w:rsid w:val="00906956"/>
    <w:rsid w:val="0091183A"/>
    <w:rsid w:val="00913168"/>
    <w:rsid w:val="0091331C"/>
    <w:rsid w:val="009147F3"/>
    <w:rsid w:val="00914CF5"/>
    <w:rsid w:val="00920BD2"/>
    <w:rsid w:val="009221CA"/>
    <w:rsid w:val="0092394A"/>
    <w:rsid w:val="00924FA8"/>
    <w:rsid w:val="00925BDE"/>
    <w:rsid w:val="00926F18"/>
    <w:rsid w:val="009274F0"/>
    <w:rsid w:val="009279DE"/>
    <w:rsid w:val="00930116"/>
    <w:rsid w:val="00930840"/>
    <w:rsid w:val="00931139"/>
    <w:rsid w:val="009311E3"/>
    <w:rsid w:val="00931E6C"/>
    <w:rsid w:val="00931FEA"/>
    <w:rsid w:val="0093313F"/>
    <w:rsid w:val="0093472B"/>
    <w:rsid w:val="009402C3"/>
    <w:rsid w:val="0094072A"/>
    <w:rsid w:val="0094077A"/>
    <w:rsid w:val="00941082"/>
    <w:rsid w:val="009416DA"/>
    <w:rsid w:val="00941A00"/>
    <w:rsid w:val="0094212C"/>
    <w:rsid w:val="00942462"/>
    <w:rsid w:val="0094264C"/>
    <w:rsid w:val="009446E9"/>
    <w:rsid w:val="00945C16"/>
    <w:rsid w:val="00946B45"/>
    <w:rsid w:val="00946E75"/>
    <w:rsid w:val="00952273"/>
    <w:rsid w:val="009522A5"/>
    <w:rsid w:val="0095287B"/>
    <w:rsid w:val="009528CE"/>
    <w:rsid w:val="00953018"/>
    <w:rsid w:val="00954689"/>
    <w:rsid w:val="00954B93"/>
    <w:rsid w:val="009556E9"/>
    <w:rsid w:val="009558EF"/>
    <w:rsid w:val="009559FB"/>
    <w:rsid w:val="00955DF7"/>
    <w:rsid w:val="00955F23"/>
    <w:rsid w:val="00956811"/>
    <w:rsid w:val="00956D21"/>
    <w:rsid w:val="009571AD"/>
    <w:rsid w:val="009579C3"/>
    <w:rsid w:val="00957DA5"/>
    <w:rsid w:val="00961110"/>
    <w:rsid w:val="009617C9"/>
    <w:rsid w:val="00961C93"/>
    <w:rsid w:val="00961E83"/>
    <w:rsid w:val="009624E9"/>
    <w:rsid w:val="00962878"/>
    <w:rsid w:val="009629D6"/>
    <w:rsid w:val="00962BC6"/>
    <w:rsid w:val="009642CC"/>
    <w:rsid w:val="00964866"/>
    <w:rsid w:val="00964B26"/>
    <w:rsid w:val="00965324"/>
    <w:rsid w:val="00965E39"/>
    <w:rsid w:val="00966042"/>
    <w:rsid w:val="0097091E"/>
    <w:rsid w:val="00971237"/>
    <w:rsid w:val="00971AF1"/>
    <w:rsid w:val="009722A6"/>
    <w:rsid w:val="00972C3F"/>
    <w:rsid w:val="0097457E"/>
    <w:rsid w:val="00974E7F"/>
    <w:rsid w:val="00975439"/>
    <w:rsid w:val="009758D2"/>
    <w:rsid w:val="009760D3"/>
    <w:rsid w:val="0097680C"/>
    <w:rsid w:val="00977132"/>
    <w:rsid w:val="009778B4"/>
    <w:rsid w:val="00977D45"/>
    <w:rsid w:val="00981A4B"/>
    <w:rsid w:val="00981E0B"/>
    <w:rsid w:val="00982501"/>
    <w:rsid w:val="009839CD"/>
    <w:rsid w:val="00983F99"/>
    <w:rsid w:val="009841E0"/>
    <w:rsid w:val="009856B5"/>
    <w:rsid w:val="00985D34"/>
    <w:rsid w:val="00986249"/>
    <w:rsid w:val="0098683A"/>
    <w:rsid w:val="0098702A"/>
    <w:rsid w:val="009873BD"/>
    <w:rsid w:val="00987736"/>
    <w:rsid w:val="009877D3"/>
    <w:rsid w:val="0099005B"/>
    <w:rsid w:val="009908E4"/>
    <w:rsid w:val="00990B96"/>
    <w:rsid w:val="00991169"/>
    <w:rsid w:val="009912CB"/>
    <w:rsid w:val="00991979"/>
    <w:rsid w:val="00991B83"/>
    <w:rsid w:val="0099366E"/>
    <w:rsid w:val="009945D1"/>
    <w:rsid w:val="0099489F"/>
    <w:rsid w:val="00994E8F"/>
    <w:rsid w:val="009951DC"/>
    <w:rsid w:val="009954C8"/>
    <w:rsid w:val="009959BB"/>
    <w:rsid w:val="00997040"/>
    <w:rsid w:val="00997158"/>
    <w:rsid w:val="009A0081"/>
    <w:rsid w:val="009A0E51"/>
    <w:rsid w:val="009A0EA3"/>
    <w:rsid w:val="009A1014"/>
    <w:rsid w:val="009A1658"/>
    <w:rsid w:val="009A170C"/>
    <w:rsid w:val="009A18BD"/>
    <w:rsid w:val="009A36BC"/>
    <w:rsid w:val="009A396F"/>
    <w:rsid w:val="009A3A7C"/>
    <w:rsid w:val="009A518C"/>
    <w:rsid w:val="009A68DE"/>
    <w:rsid w:val="009A78A0"/>
    <w:rsid w:val="009A7A54"/>
    <w:rsid w:val="009B20DF"/>
    <w:rsid w:val="009B2ADB"/>
    <w:rsid w:val="009B55D1"/>
    <w:rsid w:val="009B5CE9"/>
    <w:rsid w:val="009B603A"/>
    <w:rsid w:val="009B6BC5"/>
    <w:rsid w:val="009B75EB"/>
    <w:rsid w:val="009B7F12"/>
    <w:rsid w:val="009C0D6E"/>
    <w:rsid w:val="009C2D0E"/>
    <w:rsid w:val="009C3DAC"/>
    <w:rsid w:val="009C3F8A"/>
    <w:rsid w:val="009C42E0"/>
    <w:rsid w:val="009C4F5E"/>
    <w:rsid w:val="009C54A8"/>
    <w:rsid w:val="009C5FEE"/>
    <w:rsid w:val="009D1A00"/>
    <w:rsid w:val="009D30F6"/>
    <w:rsid w:val="009D3A47"/>
    <w:rsid w:val="009D3C53"/>
    <w:rsid w:val="009D43AA"/>
    <w:rsid w:val="009D4431"/>
    <w:rsid w:val="009D5362"/>
    <w:rsid w:val="009D5F6B"/>
    <w:rsid w:val="009D7240"/>
    <w:rsid w:val="009E1415"/>
    <w:rsid w:val="009E1DE7"/>
    <w:rsid w:val="009E37D3"/>
    <w:rsid w:val="009E3ECC"/>
    <w:rsid w:val="009E3F07"/>
    <w:rsid w:val="009E3F43"/>
    <w:rsid w:val="009E60C1"/>
    <w:rsid w:val="009E6116"/>
    <w:rsid w:val="009E7C63"/>
    <w:rsid w:val="009E7D3D"/>
    <w:rsid w:val="009F0597"/>
    <w:rsid w:val="009F2DD0"/>
    <w:rsid w:val="009F38C5"/>
    <w:rsid w:val="009F4FF8"/>
    <w:rsid w:val="009F58FB"/>
    <w:rsid w:val="009F6380"/>
    <w:rsid w:val="00A00C9F"/>
    <w:rsid w:val="00A01000"/>
    <w:rsid w:val="00A02E43"/>
    <w:rsid w:val="00A038E3"/>
    <w:rsid w:val="00A0583E"/>
    <w:rsid w:val="00A05FE7"/>
    <w:rsid w:val="00A065F9"/>
    <w:rsid w:val="00A07BB9"/>
    <w:rsid w:val="00A07F34"/>
    <w:rsid w:val="00A110A0"/>
    <w:rsid w:val="00A13EA9"/>
    <w:rsid w:val="00A1584C"/>
    <w:rsid w:val="00A17A15"/>
    <w:rsid w:val="00A17B27"/>
    <w:rsid w:val="00A2149C"/>
    <w:rsid w:val="00A22154"/>
    <w:rsid w:val="00A2352E"/>
    <w:rsid w:val="00A23935"/>
    <w:rsid w:val="00A25090"/>
    <w:rsid w:val="00A2537A"/>
    <w:rsid w:val="00A253B9"/>
    <w:rsid w:val="00A25C38"/>
    <w:rsid w:val="00A25D77"/>
    <w:rsid w:val="00A2688E"/>
    <w:rsid w:val="00A303F3"/>
    <w:rsid w:val="00A31A07"/>
    <w:rsid w:val="00A32DBA"/>
    <w:rsid w:val="00A332CF"/>
    <w:rsid w:val="00A33B72"/>
    <w:rsid w:val="00A34553"/>
    <w:rsid w:val="00A34802"/>
    <w:rsid w:val="00A34824"/>
    <w:rsid w:val="00A3528C"/>
    <w:rsid w:val="00A354D6"/>
    <w:rsid w:val="00A35F4B"/>
    <w:rsid w:val="00A362DC"/>
    <w:rsid w:val="00A36BBE"/>
    <w:rsid w:val="00A36CFE"/>
    <w:rsid w:val="00A37F2B"/>
    <w:rsid w:val="00A40734"/>
    <w:rsid w:val="00A40931"/>
    <w:rsid w:val="00A40B40"/>
    <w:rsid w:val="00A40D8D"/>
    <w:rsid w:val="00A4307A"/>
    <w:rsid w:val="00A47EBB"/>
    <w:rsid w:val="00A50092"/>
    <w:rsid w:val="00A51697"/>
    <w:rsid w:val="00A51CDD"/>
    <w:rsid w:val="00A52532"/>
    <w:rsid w:val="00A5278C"/>
    <w:rsid w:val="00A53C41"/>
    <w:rsid w:val="00A547C1"/>
    <w:rsid w:val="00A54F2B"/>
    <w:rsid w:val="00A555DD"/>
    <w:rsid w:val="00A55F32"/>
    <w:rsid w:val="00A56583"/>
    <w:rsid w:val="00A5721C"/>
    <w:rsid w:val="00A60B21"/>
    <w:rsid w:val="00A61798"/>
    <w:rsid w:val="00A61832"/>
    <w:rsid w:val="00A6190E"/>
    <w:rsid w:val="00A61D6A"/>
    <w:rsid w:val="00A61D72"/>
    <w:rsid w:val="00A624DA"/>
    <w:rsid w:val="00A6413D"/>
    <w:rsid w:val="00A64751"/>
    <w:rsid w:val="00A66A0A"/>
    <w:rsid w:val="00A672FA"/>
    <w:rsid w:val="00A6730D"/>
    <w:rsid w:val="00A7015D"/>
    <w:rsid w:val="00A71625"/>
    <w:rsid w:val="00A71B9B"/>
    <w:rsid w:val="00A72275"/>
    <w:rsid w:val="00A72663"/>
    <w:rsid w:val="00A72DD5"/>
    <w:rsid w:val="00A73C71"/>
    <w:rsid w:val="00A73F33"/>
    <w:rsid w:val="00A74B7B"/>
    <w:rsid w:val="00A751C7"/>
    <w:rsid w:val="00A77260"/>
    <w:rsid w:val="00A777E0"/>
    <w:rsid w:val="00A77BB1"/>
    <w:rsid w:val="00A80EF5"/>
    <w:rsid w:val="00A8263F"/>
    <w:rsid w:val="00A826AC"/>
    <w:rsid w:val="00A826FA"/>
    <w:rsid w:val="00A838DB"/>
    <w:rsid w:val="00A85068"/>
    <w:rsid w:val="00A85224"/>
    <w:rsid w:val="00A85806"/>
    <w:rsid w:val="00A859C5"/>
    <w:rsid w:val="00A86EF2"/>
    <w:rsid w:val="00A87565"/>
    <w:rsid w:val="00A87844"/>
    <w:rsid w:val="00A90883"/>
    <w:rsid w:val="00A91E8C"/>
    <w:rsid w:val="00A91FEE"/>
    <w:rsid w:val="00A9218B"/>
    <w:rsid w:val="00A9365B"/>
    <w:rsid w:val="00A93B81"/>
    <w:rsid w:val="00A94291"/>
    <w:rsid w:val="00A957B1"/>
    <w:rsid w:val="00A96162"/>
    <w:rsid w:val="00A96F9C"/>
    <w:rsid w:val="00A973E9"/>
    <w:rsid w:val="00A97470"/>
    <w:rsid w:val="00A978CB"/>
    <w:rsid w:val="00A97F7B"/>
    <w:rsid w:val="00AA038C"/>
    <w:rsid w:val="00AA041F"/>
    <w:rsid w:val="00AA11CF"/>
    <w:rsid w:val="00AA2092"/>
    <w:rsid w:val="00AA2EBF"/>
    <w:rsid w:val="00AA3CA9"/>
    <w:rsid w:val="00AA542A"/>
    <w:rsid w:val="00AA5E3C"/>
    <w:rsid w:val="00AA6575"/>
    <w:rsid w:val="00AA6852"/>
    <w:rsid w:val="00AA6FCA"/>
    <w:rsid w:val="00AA7A09"/>
    <w:rsid w:val="00AB14EF"/>
    <w:rsid w:val="00AB1C92"/>
    <w:rsid w:val="00AB2CFE"/>
    <w:rsid w:val="00AB3171"/>
    <w:rsid w:val="00AB3B50"/>
    <w:rsid w:val="00AB459A"/>
    <w:rsid w:val="00AB4ABE"/>
    <w:rsid w:val="00AB507F"/>
    <w:rsid w:val="00AB56FC"/>
    <w:rsid w:val="00AB7E55"/>
    <w:rsid w:val="00AC04FC"/>
    <w:rsid w:val="00AC05B1"/>
    <w:rsid w:val="00AC279D"/>
    <w:rsid w:val="00AC27AA"/>
    <w:rsid w:val="00AC336D"/>
    <w:rsid w:val="00AC345E"/>
    <w:rsid w:val="00AC3A4E"/>
    <w:rsid w:val="00AC5493"/>
    <w:rsid w:val="00AC63E1"/>
    <w:rsid w:val="00AD0FB1"/>
    <w:rsid w:val="00AD1DAB"/>
    <w:rsid w:val="00AD1E65"/>
    <w:rsid w:val="00AD356C"/>
    <w:rsid w:val="00AD35DB"/>
    <w:rsid w:val="00AD3B3A"/>
    <w:rsid w:val="00AD3F5A"/>
    <w:rsid w:val="00AD4B9D"/>
    <w:rsid w:val="00AD58F9"/>
    <w:rsid w:val="00AD5C0B"/>
    <w:rsid w:val="00AE1927"/>
    <w:rsid w:val="00AE2914"/>
    <w:rsid w:val="00AE2E1A"/>
    <w:rsid w:val="00AE46D4"/>
    <w:rsid w:val="00AE5EB4"/>
    <w:rsid w:val="00AE6D15"/>
    <w:rsid w:val="00AF03F5"/>
    <w:rsid w:val="00AF14F2"/>
    <w:rsid w:val="00AF3474"/>
    <w:rsid w:val="00AF3A3D"/>
    <w:rsid w:val="00AF6A4E"/>
    <w:rsid w:val="00AF7DAE"/>
    <w:rsid w:val="00B012A6"/>
    <w:rsid w:val="00B0173D"/>
    <w:rsid w:val="00B022B3"/>
    <w:rsid w:val="00B0281A"/>
    <w:rsid w:val="00B0336A"/>
    <w:rsid w:val="00B03CA8"/>
    <w:rsid w:val="00B04182"/>
    <w:rsid w:val="00B0475D"/>
    <w:rsid w:val="00B0501D"/>
    <w:rsid w:val="00B0548F"/>
    <w:rsid w:val="00B05542"/>
    <w:rsid w:val="00B057A7"/>
    <w:rsid w:val="00B062CB"/>
    <w:rsid w:val="00B07AE3"/>
    <w:rsid w:val="00B07C06"/>
    <w:rsid w:val="00B11430"/>
    <w:rsid w:val="00B11C3E"/>
    <w:rsid w:val="00B12AB3"/>
    <w:rsid w:val="00B12FE0"/>
    <w:rsid w:val="00B1300F"/>
    <w:rsid w:val="00B1346C"/>
    <w:rsid w:val="00B137BA"/>
    <w:rsid w:val="00B13A65"/>
    <w:rsid w:val="00B15481"/>
    <w:rsid w:val="00B16432"/>
    <w:rsid w:val="00B175E3"/>
    <w:rsid w:val="00B17AD6"/>
    <w:rsid w:val="00B20CCE"/>
    <w:rsid w:val="00B20E3B"/>
    <w:rsid w:val="00B20E6A"/>
    <w:rsid w:val="00B22194"/>
    <w:rsid w:val="00B22AB7"/>
    <w:rsid w:val="00B2335C"/>
    <w:rsid w:val="00B2361E"/>
    <w:rsid w:val="00B2386C"/>
    <w:rsid w:val="00B24BEC"/>
    <w:rsid w:val="00B26D62"/>
    <w:rsid w:val="00B2754E"/>
    <w:rsid w:val="00B27677"/>
    <w:rsid w:val="00B307DD"/>
    <w:rsid w:val="00B30EA4"/>
    <w:rsid w:val="00B3110F"/>
    <w:rsid w:val="00B3171D"/>
    <w:rsid w:val="00B3188A"/>
    <w:rsid w:val="00B31B36"/>
    <w:rsid w:val="00B31D28"/>
    <w:rsid w:val="00B32AEE"/>
    <w:rsid w:val="00B34D9E"/>
    <w:rsid w:val="00B34F91"/>
    <w:rsid w:val="00B35366"/>
    <w:rsid w:val="00B353EB"/>
    <w:rsid w:val="00B35585"/>
    <w:rsid w:val="00B37605"/>
    <w:rsid w:val="00B3761B"/>
    <w:rsid w:val="00B376F6"/>
    <w:rsid w:val="00B37705"/>
    <w:rsid w:val="00B400EA"/>
    <w:rsid w:val="00B417AE"/>
    <w:rsid w:val="00B41F96"/>
    <w:rsid w:val="00B426E7"/>
    <w:rsid w:val="00B439C4"/>
    <w:rsid w:val="00B43DE5"/>
    <w:rsid w:val="00B44EC5"/>
    <w:rsid w:val="00B44FE0"/>
    <w:rsid w:val="00B4535E"/>
    <w:rsid w:val="00B510C8"/>
    <w:rsid w:val="00B51235"/>
    <w:rsid w:val="00B51B5B"/>
    <w:rsid w:val="00B521A9"/>
    <w:rsid w:val="00B52A8C"/>
    <w:rsid w:val="00B54579"/>
    <w:rsid w:val="00B551B7"/>
    <w:rsid w:val="00B56A11"/>
    <w:rsid w:val="00B56A81"/>
    <w:rsid w:val="00B57D01"/>
    <w:rsid w:val="00B60FC2"/>
    <w:rsid w:val="00B613B5"/>
    <w:rsid w:val="00B61E48"/>
    <w:rsid w:val="00B621FF"/>
    <w:rsid w:val="00B636A8"/>
    <w:rsid w:val="00B64635"/>
    <w:rsid w:val="00B648ED"/>
    <w:rsid w:val="00B65BA8"/>
    <w:rsid w:val="00B665C6"/>
    <w:rsid w:val="00B67063"/>
    <w:rsid w:val="00B67155"/>
    <w:rsid w:val="00B67AC5"/>
    <w:rsid w:val="00B70482"/>
    <w:rsid w:val="00B70D37"/>
    <w:rsid w:val="00B70DF4"/>
    <w:rsid w:val="00B73017"/>
    <w:rsid w:val="00B7342F"/>
    <w:rsid w:val="00B73590"/>
    <w:rsid w:val="00B738EF"/>
    <w:rsid w:val="00B75E82"/>
    <w:rsid w:val="00B75EF9"/>
    <w:rsid w:val="00B7633E"/>
    <w:rsid w:val="00B769B8"/>
    <w:rsid w:val="00B76CCC"/>
    <w:rsid w:val="00B76F5F"/>
    <w:rsid w:val="00B772DA"/>
    <w:rsid w:val="00B80266"/>
    <w:rsid w:val="00B805AF"/>
    <w:rsid w:val="00B80DBD"/>
    <w:rsid w:val="00B81172"/>
    <w:rsid w:val="00B8118D"/>
    <w:rsid w:val="00B832EC"/>
    <w:rsid w:val="00B869EC"/>
    <w:rsid w:val="00B87D35"/>
    <w:rsid w:val="00B91BB5"/>
    <w:rsid w:val="00B9397A"/>
    <w:rsid w:val="00B93F3A"/>
    <w:rsid w:val="00B945D8"/>
    <w:rsid w:val="00B94AEB"/>
    <w:rsid w:val="00B94D84"/>
    <w:rsid w:val="00B95C08"/>
    <w:rsid w:val="00B95F92"/>
    <w:rsid w:val="00B9633D"/>
    <w:rsid w:val="00B96A53"/>
    <w:rsid w:val="00BA0B75"/>
    <w:rsid w:val="00BA0BA5"/>
    <w:rsid w:val="00BA1280"/>
    <w:rsid w:val="00BA278E"/>
    <w:rsid w:val="00BA2D46"/>
    <w:rsid w:val="00BA2EBE"/>
    <w:rsid w:val="00BA3717"/>
    <w:rsid w:val="00BA4C8D"/>
    <w:rsid w:val="00BA50F0"/>
    <w:rsid w:val="00BA5AAE"/>
    <w:rsid w:val="00BA6E1A"/>
    <w:rsid w:val="00BA79D6"/>
    <w:rsid w:val="00BA7F79"/>
    <w:rsid w:val="00BB0F28"/>
    <w:rsid w:val="00BB11EA"/>
    <w:rsid w:val="00BB323E"/>
    <w:rsid w:val="00BB4093"/>
    <w:rsid w:val="00BB446F"/>
    <w:rsid w:val="00BB453A"/>
    <w:rsid w:val="00BB458A"/>
    <w:rsid w:val="00BB4EAF"/>
    <w:rsid w:val="00BB54DF"/>
    <w:rsid w:val="00BB7D9F"/>
    <w:rsid w:val="00BC1229"/>
    <w:rsid w:val="00BC1480"/>
    <w:rsid w:val="00BC1D54"/>
    <w:rsid w:val="00BC2A83"/>
    <w:rsid w:val="00BC2E53"/>
    <w:rsid w:val="00BC3BCC"/>
    <w:rsid w:val="00BC6662"/>
    <w:rsid w:val="00BC6E38"/>
    <w:rsid w:val="00BC7E2F"/>
    <w:rsid w:val="00BD00D3"/>
    <w:rsid w:val="00BD1659"/>
    <w:rsid w:val="00BD2F78"/>
    <w:rsid w:val="00BD332A"/>
    <w:rsid w:val="00BD3AA9"/>
    <w:rsid w:val="00BD3F35"/>
    <w:rsid w:val="00BD4A18"/>
    <w:rsid w:val="00BD5B04"/>
    <w:rsid w:val="00BD672C"/>
    <w:rsid w:val="00BD6DB2"/>
    <w:rsid w:val="00BD7121"/>
    <w:rsid w:val="00BD7D47"/>
    <w:rsid w:val="00BD7D88"/>
    <w:rsid w:val="00BE0F24"/>
    <w:rsid w:val="00BE114E"/>
    <w:rsid w:val="00BE11CF"/>
    <w:rsid w:val="00BE1FED"/>
    <w:rsid w:val="00BE21AB"/>
    <w:rsid w:val="00BE3468"/>
    <w:rsid w:val="00BE427D"/>
    <w:rsid w:val="00BE4D5A"/>
    <w:rsid w:val="00BE55CB"/>
    <w:rsid w:val="00BE572E"/>
    <w:rsid w:val="00BE5EC3"/>
    <w:rsid w:val="00BE6003"/>
    <w:rsid w:val="00BE798A"/>
    <w:rsid w:val="00BE798E"/>
    <w:rsid w:val="00BE7D1E"/>
    <w:rsid w:val="00BF454B"/>
    <w:rsid w:val="00BF55BE"/>
    <w:rsid w:val="00BF617A"/>
    <w:rsid w:val="00BF6810"/>
    <w:rsid w:val="00BF69D1"/>
    <w:rsid w:val="00BF6E2A"/>
    <w:rsid w:val="00BF6FCE"/>
    <w:rsid w:val="00BF7B83"/>
    <w:rsid w:val="00C00266"/>
    <w:rsid w:val="00C00AC2"/>
    <w:rsid w:val="00C01CEF"/>
    <w:rsid w:val="00C02A26"/>
    <w:rsid w:val="00C02D57"/>
    <w:rsid w:val="00C0379D"/>
    <w:rsid w:val="00C03931"/>
    <w:rsid w:val="00C043B8"/>
    <w:rsid w:val="00C0445E"/>
    <w:rsid w:val="00C04687"/>
    <w:rsid w:val="00C04890"/>
    <w:rsid w:val="00C04AC2"/>
    <w:rsid w:val="00C05111"/>
    <w:rsid w:val="00C05565"/>
    <w:rsid w:val="00C05D54"/>
    <w:rsid w:val="00C05DF0"/>
    <w:rsid w:val="00C05FE3"/>
    <w:rsid w:val="00C06873"/>
    <w:rsid w:val="00C068E0"/>
    <w:rsid w:val="00C06C31"/>
    <w:rsid w:val="00C06CCC"/>
    <w:rsid w:val="00C06D54"/>
    <w:rsid w:val="00C06F8F"/>
    <w:rsid w:val="00C117C2"/>
    <w:rsid w:val="00C121C9"/>
    <w:rsid w:val="00C157EF"/>
    <w:rsid w:val="00C1663F"/>
    <w:rsid w:val="00C2136D"/>
    <w:rsid w:val="00C214EE"/>
    <w:rsid w:val="00C21A4B"/>
    <w:rsid w:val="00C21C53"/>
    <w:rsid w:val="00C2299D"/>
    <w:rsid w:val="00C22CDF"/>
    <w:rsid w:val="00C2314B"/>
    <w:rsid w:val="00C23387"/>
    <w:rsid w:val="00C23469"/>
    <w:rsid w:val="00C23580"/>
    <w:rsid w:val="00C2403C"/>
    <w:rsid w:val="00C241DB"/>
    <w:rsid w:val="00C24237"/>
    <w:rsid w:val="00C246E3"/>
    <w:rsid w:val="00C24971"/>
    <w:rsid w:val="00C2688E"/>
    <w:rsid w:val="00C26BE5"/>
    <w:rsid w:val="00C26E4D"/>
    <w:rsid w:val="00C271A7"/>
    <w:rsid w:val="00C277EE"/>
    <w:rsid w:val="00C27909"/>
    <w:rsid w:val="00C27B03"/>
    <w:rsid w:val="00C303C0"/>
    <w:rsid w:val="00C309F7"/>
    <w:rsid w:val="00C30B68"/>
    <w:rsid w:val="00C314E1"/>
    <w:rsid w:val="00C337FE"/>
    <w:rsid w:val="00C34397"/>
    <w:rsid w:val="00C3505E"/>
    <w:rsid w:val="00C35D40"/>
    <w:rsid w:val="00C35F9B"/>
    <w:rsid w:val="00C3680C"/>
    <w:rsid w:val="00C36A75"/>
    <w:rsid w:val="00C37491"/>
    <w:rsid w:val="00C3788B"/>
    <w:rsid w:val="00C37B37"/>
    <w:rsid w:val="00C4095D"/>
    <w:rsid w:val="00C40AD7"/>
    <w:rsid w:val="00C40AF9"/>
    <w:rsid w:val="00C40E75"/>
    <w:rsid w:val="00C4290B"/>
    <w:rsid w:val="00C42B91"/>
    <w:rsid w:val="00C43D16"/>
    <w:rsid w:val="00C446A5"/>
    <w:rsid w:val="00C46C4C"/>
    <w:rsid w:val="00C4713B"/>
    <w:rsid w:val="00C47890"/>
    <w:rsid w:val="00C51774"/>
    <w:rsid w:val="00C52B6B"/>
    <w:rsid w:val="00C577F5"/>
    <w:rsid w:val="00C5791E"/>
    <w:rsid w:val="00C601D2"/>
    <w:rsid w:val="00C6049D"/>
    <w:rsid w:val="00C60728"/>
    <w:rsid w:val="00C623DE"/>
    <w:rsid w:val="00C6282F"/>
    <w:rsid w:val="00C62B07"/>
    <w:rsid w:val="00C62FD9"/>
    <w:rsid w:val="00C633F0"/>
    <w:rsid w:val="00C6349B"/>
    <w:rsid w:val="00C63FD2"/>
    <w:rsid w:val="00C653FA"/>
    <w:rsid w:val="00C65BCC"/>
    <w:rsid w:val="00C66970"/>
    <w:rsid w:val="00C672CA"/>
    <w:rsid w:val="00C67A5A"/>
    <w:rsid w:val="00C71B49"/>
    <w:rsid w:val="00C7284C"/>
    <w:rsid w:val="00C73DBF"/>
    <w:rsid w:val="00C74BFF"/>
    <w:rsid w:val="00C74F8D"/>
    <w:rsid w:val="00C75853"/>
    <w:rsid w:val="00C767E8"/>
    <w:rsid w:val="00C814BD"/>
    <w:rsid w:val="00C815B7"/>
    <w:rsid w:val="00C81E24"/>
    <w:rsid w:val="00C8404C"/>
    <w:rsid w:val="00C844DD"/>
    <w:rsid w:val="00C85CBF"/>
    <w:rsid w:val="00C86223"/>
    <w:rsid w:val="00C86418"/>
    <w:rsid w:val="00C8691C"/>
    <w:rsid w:val="00C8696C"/>
    <w:rsid w:val="00C86EE6"/>
    <w:rsid w:val="00C87E05"/>
    <w:rsid w:val="00C90CC2"/>
    <w:rsid w:val="00C913C2"/>
    <w:rsid w:val="00C938AF"/>
    <w:rsid w:val="00C93F02"/>
    <w:rsid w:val="00C94192"/>
    <w:rsid w:val="00C9526B"/>
    <w:rsid w:val="00C969B3"/>
    <w:rsid w:val="00C96CBC"/>
    <w:rsid w:val="00C97240"/>
    <w:rsid w:val="00C979F2"/>
    <w:rsid w:val="00CA09BD"/>
    <w:rsid w:val="00CA0ACC"/>
    <w:rsid w:val="00CA0DA0"/>
    <w:rsid w:val="00CA0F89"/>
    <w:rsid w:val="00CA146E"/>
    <w:rsid w:val="00CA1525"/>
    <w:rsid w:val="00CA168A"/>
    <w:rsid w:val="00CA1DA2"/>
    <w:rsid w:val="00CA2BAE"/>
    <w:rsid w:val="00CA357E"/>
    <w:rsid w:val="00CA44F9"/>
    <w:rsid w:val="00CA4A69"/>
    <w:rsid w:val="00CA5448"/>
    <w:rsid w:val="00CA5F66"/>
    <w:rsid w:val="00CA7013"/>
    <w:rsid w:val="00CB1F33"/>
    <w:rsid w:val="00CB21F4"/>
    <w:rsid w:val="00CB36BF"/>
    <w:rsid w:val="00CB4653"/>
    <w:rsid w:val="00CB6971"/>
    <w:rsid w:val="00CB7967"/>
    <w:rsid w:val="00CC1528"/>
    <w:rsid w:val="00CC1E3B"/>
    <w:rsid w:val="00CC1FF2"/>
    <w:rsid w:val="00CC332A"/>
    <w:rsid w:val="00CC3E0C"/>
    <w:rsid w:val="00CC4080"/>
    <w:rsid w:val="00CC4326"/>
    <w:rsid w:val="00CC4888"/>
    <w:rsid w:val="00CC49C6"/>
    <w:rsid w:val="00CC4BA2"/>
    <w:rsid w:val="00CC58D3"/>
    <w:rsid w:val="00CC68B3"/>
    <w:rsid w:val="00CC6BA8"/>
    <w:rsid w:val="00CC784D"/>
    <w:rsid w:val="00CC7AA2"/>
    <w:rsid w:val="00CD024C"/>
    <w:rsid w:val="00CD09A7"/>
    <w:rsid w:val="00CD0C9C"/>
    <w:rsid w:val="00CD0E15"/>
    <w:rsid w:val="00CD1461"/>
    <w:rsid w:val="00CD2B11"/>
    <w:rsid w:val="00CD5B7F"/>
    <w:rsid w:val="00CD6F7C"/>
    <w:rsid w:val="00CE1304"/>
    <w:rsid w:val="00CE1BE6"/>
    <w:rsid w:val="00CE3BF5"/>
    <w:rsid w:val="00CE7238"/>
    <w:rsid w:val="00CE7C27"/>
    <w:rsid w:val="00CF0BC1"/>
    <w:rsid w:val="00CF111A"/>
    <w:rsid w:val="00CF130B"/>
    <w:rsid w:val="00CF29EE"/>
    <w:rsid w:val="00CF2B76"/>
    <w:rsid w:val="00CF332C"/>
    <w:rsid w:val="00CF3A55"/>
    <w:rsid w:val="00CF521C"/>
    <w:rsid w:val="00CF5F99"/>
    <w:rsid w:val="00CF62DF"/>
    <w:rsid w:val="00CF737D"/>
    <w:rsid w:val="00D00777"/>
    <w:rsid w:val="00D00E47"/>
    <w:rsid w:val="00D015E8"/>
    <w:rsid w:val="00D0337B"/>
    <w:rsid w:val="00D03B80"/>
    <w:rsid w:val="00D043DB"/>
    <w:rsid w:val="00D06C93"/>
    <w:rsid w:val="00D0729E"/>
    <w:rsid w:val="00D079B2"/>
    <w:rsid w:val="00D104C5"/>
    <w:rsid w:val="00D10AD3"/>
    <w:rsid w:val="00D114E9"/>
    <w:rsid w:val="00D1190D"/>
    <w:rsid w:val="00D12CB8"/>
    <w:rsid w:val="00D132D5"/>
    <w:rsid w:val="00D140DA"/>
    <w:rsid w:val="00D142C1"/>
    <w:rsid w:val="00D14BD6"/>
    <w:rsid w:val="00D14F79"/>
    <w:rsid w:val="00D157E1"/>
    <w:rsid w:val="00D15D34"/>
    <w:rsid w:val="00D15F68"/>
    <w:rsid w:val="00D166D5"/>
    <w:rsid w:val="00D16C29"/>
    <w:rsid w:val="00D20970"/>
    <w:rsid w:val="00D236A6"/>
    <w:rsid w:val="00D249EB"/>
    <w:rsid w:val="00D24D84"/>
    <w:rsid w:val="00D26B59"/>
    <w:rsid w:val="00D26C11"/>
    <w:rsid w:val="00D26C4A"/>
    <w:rsid w:val="00D27AAE"/>
    <w:rsid w:val="00D27AF0"/>
    <w:rsid w:val="00D27C36"/>
    <w:rsid w:val="00D316AA"/>
    <w:rsid w:val="00D31CA7"/>
    <w:rsid w:val="00D320A4"/>
    <w:rsid w:val="00D32716"/>
    <w:rsid w:val="00D3315F"/>
    <w:rsid w:val="00D33374"/>
    <w:rsid w:val="00D3339B"/>
    <w:rsid w:val="00D3461B"/>
    <w:rsid w:val="00D34C31"/>
    <w:rsid w:val="00D358A1"/>
    <w:rsid w:val="00D3623E"/>
    <w:rsid w:val="00D364FE"/>
    <w:rsid w:val="00D36B30"/>
    <w:rsid w:val="00D40086"/>
    <w:rsid w:val="00D41132"/>
    <w:rsid w:val="00D4140C"/>
    <w:rsid w:val="00D415B8"/>
    <w:rsid w:val="00D42233"/>
    <w:rsid w:val="00D4295D"/>
    <w:rsid w:val="00D429C6"/>
    <w:rsid w:val="00D42C1A"/>
    <w:rsid w:val="00D42F65"/>
    <w:rsid w:val="00D43A16"/>
    <w:rsid w:val="00D4486D"/>
    <w:rsid w:val="00D4523B"/>
    <w:rsid w:val="00D455D1"/>
    <w:rsid w:val="00D4596A"/>
    <w:rsid w:val="00D46459"/>
    <w:rsid w:val="00D46FDC"/>
    <w:rsid w:val="00D474F9"/>
    <w:rsid w:val="00D47748"/>
    <w:rsid w:val="00D47C45"/>
    <w:rsid w:val="00D506A3"/>
    <w:rsid w:val="00D50B5D"/>
    <w:rsid w:val="00D50E03"/>
    <w:rsid w:val="00D513F3"/>
    <w:rsid w:val="00D52E3B"/>
    <w:rsid w:val="00D53239"/>
    <w:rsid w:val="00D5402E"/>
    <w:rsid w:val="00D54433"/>
    <w:rsid w:val="00D548A8"/>
    <w:rsid w:val="00D54B0F"/>
    <w:rsid w:val="00D54CC3"/>
    <w:rsid w:val="00D559F1"/>
    <w:rsid w:val="00D55F2E"/>
    <w:rsid w:val="00D57396"/>
    <w:rsid w:val="00D6041A"/>
    <w:rsid w:val="00D606EF"/>
    <w:rsid w:val="00D60B12"/>
    <w:rsid w:val="00D60D94"/>
    <w:rsid w:val="00D61BB3"/>
    <w:rsid w:val="00D61D6A"/>
    <w:rsid w:val="00D6256C"/>
    <w:rsid w:val="00D62B4F"/>
    <w:rsid w:val="00D633EB"/>
    <w:rsid w:val="00D641A2"/>
    <w:rsid w:val="00D64799"/>
    <w:rsid w:val="00D65C53"/>
    <w:rsid w:val="00D65CCC"/>
    <w:rsid w:val="00D65E6C"/>
    <w:rsid w:val="00D67C51"/>
    <w:rsid w:val="00D67E06"/>
    <w:rsid w:val="00D71F32"/>
    <w:rsid w:val="00D73503"/>
    <w:rsid w:val="00D7438B"/>
    <w:rsid w:val="00D746DB"/>
    <w:rsid w:val="00D769BF"/>
    <w:rsid w:val="00D77459"/>
    <w:rsid w:val="00D77E0A"/>
    <w:rsid w:val="00D8298F"/>
    <w:rsid w:val="00D82FF7"/>
    <w:rsid w:val="00D83078"/>
    <w:rsid w:val="00D838E8"/>
    <w:rsid w:val="00D83ABC"/>
    <w:rsid w:val="00D84729"/>
    <w:rsid w:val="00D847FE"/>
    <w:rsid w:val="00D84B08"/>
    <w:rsid w:val="00D84EB3"/>
    <w:rsid w:val="00D918D5"/>
    <w:rsid w:val="00D937BB"/>
    <w:rsid w:val="00D95462"/>
    <w:rsid w:val="00D95A0B"/>
    <w:rsid w:val="00D95F42"/>
    <w:rsid w:val="00D964EA"/>
    <w:rsid w:val="00D966D0"/>
    <w:rsid w:val="00D966D6"/>
    <w:rsid w:val="00D976B3"/>
    <w:rsid w:val="00D97DF3"/>
    <w:rsid w:val="00DA0384"/>
    <w:rsid w:val="00DA05AC"/>
    <w:rsid w:val="00DA0C59"/>
    <w:rsid w:val="00DA12CA"/>
    <w:rsid w:val="00DA1C75"/>
    <w:rsid w:val="00DA1CE8"/>
    <w:rsid w:val="00DA2772"/>
    <w:rsid w:val="00DA33A9"/>
    <w:rsid w:val="00DA3991"/>
    <w:rsid w:val="00DA3CB5"/>
    <w:rsid w:val="00DA58D1"/>
    <w:rsid w:val="00DA662C"/>
    <w:rsid w:val="00DA7C3A"/>
    <w:rsid w:val="00DB0067"/>
    <w:rsid w:val="00DB0335"/>
    <w:rsid w:val="00DB0848"/>
    <w:rsid w:val="00DB0990"/>
    <w:rsid w:val="00DB0B25"/>
    <w:rsid w:val="00DB1632"/>
    <w:rsid w:val="00DB23C1"/>
    <w:rsid w:val="00DB4941"/>
    <w:rsid w:val="00DB5051"/>
    <w:rsid w:val="00DB60E4"/>
    <w:rsid w:val="00DB776D"/>
    <w:rsid w:val="00DB7782"/>
    <w:rsid w:val="00DB7E6C"/>
    <w:rsid w:val="00DC0D7F"/>
    <w:rsid w:val="00DC0D92"/>
    <w:rsid w:val="00DC0EF3"/>
    <w:rsid w:val="00DC10DE"/>
    <w:rsid w:val="00DC18CD"/>
    <w:rsid w:val="00DC1949"/>
    <w:rsid w:val="00DC1D0C"/>
    <w:rsid w:val="00DC27E1"/>
    <w:rsid w:val="00DC3F86"/>
    <w:rsid w:val="00DC6ADF"/>
    <w:rsid w:val="00DC76E9"/>
    <w:rsid w:val="00DD09D1"/>
    <w:rsid w:val="00DD0B43"/>
    <w:rsid w:val="00DD254D"/>
    <w:rsid w:val="00DD2707"/>
    <w:rsid w:val="00DD3F19"/>
    <w:rsid w:val="00DD4458"/>
    <w:rsid w:val="00DD50C5"/>
    <w:rsid w:val="00DD5A29"/>
    <w:rsid w:val="00DD5D9D"/>
    <w:rsid w:val="00DD62E8"/>
    <w:rsid w:val="00DE06E4"/>
    <w:rsid w:val="00DE14FA"/>
    <w:rsid w:val="00DE1E94"/>
    <w:rsid w:val="00DE1F7D"/>
    <w:rsid w:val="00DE265F"/>
    <w:rsid w:val="00DE35CB"/>
    <w:rsid w:val="00DE3686"/>
    <w:rsid w:val="00DE3DDF"/>
    <w:rsid w:val="00DE5284"/>
    <w:rsid w:val="00DE5DC0"/>
    <w:rsid w:val="00DE6585"/>
    <w:rsid w:val="00DE677A"/>
    <w:rsid w:val="00DE76CE"/>
    <w:rsid w:val="00DF21E9"/>
    <w:rsid w:val="00DF281A"/>
    <w:rsid w:val="00DF360C"/>
    <w:rsid w:val="00DF5532"/>
    <w:rsid w:val="00DF5E04"/>
    <w:rsid w:val="00DF7081"/>
    <w:rsid w:val="00E00F14"/>
    <w:rsid w:val="00E01639"/>
    <w:rsid w:val="00E03C38"/>
    <w:rsid w:val="00E04CDF"/>
    <w:rsid w:val="00E06386"/>
    <w:rsid w:val="00E07ABE"/>
    <w:rsid w:val="00E07C88"/>
    <w:rsid w:val="00E10F0A"/>
    <w:rsid w:val="00E11C2A"/>
    <w:rsid w:val="00E11CCF"/>
    <w:rsid w:val="00E11F71"/>
    <w:rsid w:val="00E13DCF"/>
    <w:rsid w:val="00E1506C"/>
    <w:rsid w:val="00E15F6E"/>
    <w:rsid w:val="00E16012"/>
    <w:rsid w:val="00E20BDF"/>
    <w:rsid w:val="00E20DA5"/>
    <w:rsid w:val="00E20FC5"/>
    <w:rsid w:val="00E22027"/>
    <w:rsid w:val="00E231E3"/>
    <w:rsid w:val="00E2471D"/>
    <w:rsid w:val="00E24CDA"/>
    <w:rsid w:val="00E24EB4"/>
    <w:rsid w:val="00E25B5E"/>
    <w:rsid w:val="00E25BBA"/>
    <w:rsid w:val="00E310C1"/>
    <w:rsid w:val="00E315EC"/>
    <w:rsid w:val="00E3195C"/>
    <w:rsid w:val="00E320ED"/>
    <w:rsid w:val="00E32DC0"/>
    <w:rsid w:val="00E32FB5"/>
    <w:rsid w:val="00E3379F"/>
    <w:rsid w:val="00E33AFB"/>
    <w:rsid w:val="00E34218"/>
    <w:rsid w:val="00E35719"/>
    <w:rsid w:val="00E3637D"/>
    <w:rsid w:val="00E37DA4"/>
    <w:rsid w:val="00E4036A"/>
    <w:rsid w:val="00E40431"/>
    <w:rsid w:val="00E40974"/>
    <w:rsid w:val="00E419BA"/>
    <w:rsid w:val="00E44337"/>
    <w:rsid w:val="00E447CF"/>
    <w:rsid w:val="00E46282"/>
    <w:rsid w:val="00E46772"/>
    <w:rsid w:val="00E46B57"/>
    <w:rsid w:val="00E46DD7"/>
    <w:rsid w:val="00E47DE0"/>
    <w:rsid w:val="00E47FE6"/>
    <w:rsid w:val="00E50864"/>
    <w:rsid w:val="00E5216E"/>
    <w:rsid w:val="00E526AA"/>
    <w:rsid w:val="00E52C15"/>
    <w:rsid w:val="00E54CAD"/>
    <w:rsid w:val="00E5537C"/>
    <w:rsid w:val="00E56B86"/>
    <w:rsid w:val="00E5706E"/>
    <w:rsid w:val="00E571F4"/>
    <w:rsid w:val="00E57BE4"/>
    <w:rsid w:val="00E57DC3"/>
    <w:rsid w:val="00E60C5A"/>
    <w:rsid w:val="00E62748"/>
    <w:rsid w:val="00E6284A"/>
    <w:rsid w:val="00E628FB"/>
    <w:rsid w:val="00E63156"/>
    <w:rsid w:val="00E64240"/>
    <w:rsid w:val="00E651FC"/>
    <w:rsid w:val="00E675FB"/>
    <w:rsid w:val="00E67A6B"/>
    <w:rsid w:val="00E70A77"/>
    <w:rsid w:val="00E70FD5"/>
    <w:rsid w:val="00E70FF7"/>
    <w:rsid w:val="00E72908"/>
    <w:rsid w:val="00E72C40"/>
    <w:rsid w:val="00E7421E"/>
    <w:rsid w:val="00E74C1A"/>
    <w:rsid w:val="00E77901"/>
    <w:rsid w:val="00E81C0D"/>
    <w:rsid w:val="00E81E60"/>
    <w:rsid w:val="00E82344"/>
    <w:rsid w:val="00E82DAE"/>
    <w:rsid w:val="00E832E2"/>
    <w:rsid w:val="00E83721"/>
    <w:rsid w:val="00E83BFB"/>
    <w:rsid w:val="00E8480C"/>
    <w:rsid w:val="00E84C82"/>
    <w:rsid w:val="00E84CB9"/>
    <w:rsid w:val="00E84D64"/>
    <w:rsid w:val="00E852B6"/>
    <w:rsid w:val="00E87353"/>
    <w:rsid w:val="00E87408"/>
    <w:rsid w:val="00E900F9"/>
    <w:rsid w:val="00E905C4"/>
    <w:rsid w:val="00E913FD"/>
    <w:rsid w:val="00E914C4"/>
    <w:rsid w:val="00E91A3A"/>
    <w:rsid w:val="00E9209B"/>
    <w:rsid w:val="00E92A76"/>
    <w:rsid w:val="00E92D68"/>
    <w:rsid w:val="00E92EF9"/>
    <w:rsid w:val="00E934F5"/>
    <w:rsid w:val="00E9409C"/>
    <w:rsid w:val="00E95DB5"/>
    <w:rsid w:val="00E96961"/>
    <w:rsid w:val="00EA0007"/>
    <w:rsid w:val="00EA0A2F"/>
    <w:rsid w:val="00EA14C5"/>
    <w:rsid w:val="00EA16BF"/>
    <w:rsid w:val="00EA19BD"/>
    <w:rsid w:val="00EA2D97"/>
    <w:rsid w:val="00EA4271"/>
    <w:rsid w:val="00EA50D7"/>
    <w:rsid w:val="00EA55E4"/>
    <w:rsid w:val="00EA6FC7"/>
    <w:rsid w:val="00EA72CF"/>
    <w:rsid w:val="00EA72EC"/>
    <w:rsid w:val="00EA74C0"/>
    <w:rsid w:val="00EA7D14"/>
    <w:rsid w:val="00EB044D"/>
    <w:rsid w:val="00EB11CB"/>
    <w:rsid w:val="00EB275A"/>
    <w:rsid w:val="00EB44C0"/>
    <w:rsid w:val="00EB596E"/>
    <w:rsid w:val="00EB7598"/>
    <w:rsid w:val="00EB786A"/>
    <w:rsid w:val="00EC04F8"/>
    <w:rsid w:val="00EC0791"/>
    <w:rsid w:val="00EC1578"/>
    <w:rsid w:val="00EC1C72"/>
    <w:rsid w:val="00EC2D19"/>
    <w:rsid w:val="00EC35B0"/>
    <w:rsid w:val="00EC3CC9"/>
    <w:rsid w:val="00EC431D"/>
    <w:rsid w:val="00EC53E3"/>
    <w:rsid w:val="00EC680A"/>
    <w:rsid w:val="00EC684D"/>
    <w:rsid w:val="00EC73F2"/>
    <w:rsid w:val="00EC7720"/>
    <w:rsid w:val="00EC7BB6"/>
    <w:rsid w:val="00ED058A"/>
    <w:rsid w:val="00ED0D16"/>
    <w:rsid w:val="00ED1347"/>
    <w:rsid w:val="00ED1B89"/>
    <w:rsid w:val="00ED2AF7"/>
    <w:rsid w:val="00ED3751"/>
    <w:rsid w:val="00ED4D9C"/>
    <w:rsid w:val="00ED4FEE"/>
    <w:rsid w:val="00ED6775"/>
    <w:rsid w:val="00ED6AF4"/>
    <w:rsid w:val="00ED7209"/>
    <w:rsid w:val="00ED7C54"/>
    <w:rsid w:val="00EE0292"/>
    <w:rsid w:val="00EE02E9"/>
    <w:rsid w:val="00EE1496"/>
    <w:rsid w:val="00EE2381"/>
    <w:rsid w:val="00EE2BED"/>
    <w:rsid w:val="00EE374B"/>
    <w:rsid w:val="00EE3857"/>
    <w:rsid w:val="00EE4E52"/>
    <w:rsid w:val="00EE5714"/>
    <w:rsid w:val="00EE5A38"/>
    <w:rsid w:val="00EE6145"/>
    <w:rsid w:val="00EF0B97"/>
    <w:rsid w:val="00EF0BE8"/>
    <w:rsid w:val="00EF1ACF"/>
    <w:rsid w:val="00EF2024"/>
    <w:rsid w:val="00EF23A6"/>
    <w:rsid w:val="00EF2CDE"/>
    <w:rsid w:val="00EF2E84"/>
    <w:rsid w:val="00EF3A96"/>
    <w:rsid w:val="00EF53C8"/>
    <w:rsid w:val="00EF55AA"/>
    <w:rsid w:val="00EF7EDA"/>
    <w:rsid w:val="00F01680"/>
    <w:rsid w:val="00F024B0"/>
    <w:rsid w:val="00F05BDB"/>
    <w:rsid w:val="00F07661"/>
    <w:rsid w:val="00F1119B"/>
    <w:rsid w:val="00F11BB5"/>
    <w:rsid w:val="00F13058"/>
    <w:rsid w:val="00F13767"/>
    <w:rsid w:val="00F13777"/>
    <w:rsid w:val="00F1417B"/>
    <w:rsid w:val="00F151EA"/>
    <w:rsid w:val="00F15234"/>
    <w:rsid w:val="00F1573B"/>
    <w:rsid w:val="00F1610E"/>
    <w:rsid w:val="00F1646A"/>
    <w:rsid w:val="00F16A4A"/>
    <w:rsid w:val="00F16C1F"/>
    <w:rsid w:val="00F16F14"/>
    <w:rsid w:val="00F20A14"/>
    <w:rsid w:val="00F225AF"/>
    <w:rsid w:val="00F23C30"/>
    <w:rsid w:val="00F2438D"/>
    <w:rsid w:val="00F26F78"/>
    <w:rsid w:val="00F2710F"/>
    <w:rsid w:val="00F303FC"/>
    <w:rsid w:val="00F306B8"/>
    <w:rsid w:val="00F30E50"/>
    <w:rsid w:val="00F31232"/>
    <w:rsid w:val="00F330C9"/>
    <w:rsid w:val="00F343E5"/>
    <w:rsid w:val="00F34B99"/>
    <w:rsid w:val="00F356F4"/>
    <w:rsid w:val="00F36E67"/>
    <w:rsid w:val="00F37AEC"/>
    <w:rsid w:val="00F37C3F"/>
    <w:rsid w:val="00F40274"/>
    <w:rsid w:val="00F42BF9"/>
    <w:rsid w:val="00F43E5C"/>
    <w:rsid w:val="00F44267"/>
    <w:rsid w:val="00F458F9"/>
    <w:rsid w:val="00F4651D"/>
    <w:rsid w:val="00F46570"/>
    <w:rsid w:val="00F47D94"/>
    <w:rsid w:val="00F520AB"/>
    <w:rsid w:val="00F52DAB"/>
    <w:rsid w:val="00F52E05"/>
    <w:rsid w:val="00F533EF"/>
    <w:rsid w:val="00F534FA"/>
    <w:rsid w:val="00F543F0"/>
    <w:rsid w:val="00F54F6C"/>
    <w:rsid w:val="00F55087"/>
    <w:rsid w:val="00F56B35"/>
    <w:rsid w:val="00F57311"/>
    <w:rsid w:val="00F57A6F"/>
    <w:rsid w:val="00F57D68"/>
    <w:rsid w:val="00F60875"/>
    <w:rsid w:val="00F60D1B"/>
    <w:rsid w:val="00F62D87"/>
    <w:rsid w:val="00F64569"/>
    <w:rsid w:val="00F649A1"/>
    <w:rsid w:val="00F66D76"/>
    <w:rsid w:val="00F67B30"/>
    <w:rsid w:val="00F67D39"/>
    <w:rsid w:val="00F70310"/>
    <w:rsid w:val="00F70582"/>
    <w:rsid w:val="00F70EBC"/>
    <w:rsid w:val="00F724E9"/>
    <w:rsid w:val="00F727C2"/>
    <w:rsid w:val="00F74087"/>
    <w:rsid w:val="00F756B8"/>
    <w:rsid w:val="00F76165"/>
    <w:rsid w:val="00F76222"/>
    <w:rsid w:val="00F76A75"/>
    <w:rsid w:val="00F771F6"/>
    <w:rsid w:val="00F80226"/>
    <w:rsid w:val="00F8151B"/>
    <w:rsid w:val="00F81D29"/>
    <w:rsid w:val="00F828A5"/>
    <w:rsid w:val="00F8383D"/>
    <w:rsid w:val="00F845C8"/>
    <w:rsid w:val="00F856D1"/>
    <w:rsid w:val="00F85ECF"/>
    <w:rsid w:val="00F863E5"/>
    <w:rsid w:val="00F86847"/>
    <w:rsid w:val="00F878B1"/>
    <w:rsid w:val="00F87989"/>
    <w:rsid w:val="00F90176"/>
    <w:rsid w:val="00F918AA"/>
    <w:rsid w:val="00F91A18"/>
    <w:rsid w:val="00F91B5D"/>
    <w:rsid w:val="00F91C4D"/>
    <w:rsid w:val="00F92270"/>
    <w:rsid w:val="00F92FD9"/>
    <w:rsid w:val="00F934FB"/>
    <w:rsid w:val="00F93FB6"/>
    <w:rsid w:val="00F94B75"/>
    <w:rsid w:val="00F95415"/>
    <w:rsid w:val="00F95417"/>
    <w:rsid w:val="00F95E26"/>
    <w:rsid w:val="00F961CB"/>
    <w:rsid w:val="00F963AB"/>
    <w:rsid w:val="00F96E65"/>
    <w:rsid w:val="00FA1EA5"/>
    <w:rsid w:val="00FA2E51"/>
    <w:rsid w:val="00FA31F7"/>
    <w:rsid w:val="00FA3B0B"/>
    <w:rsid w:val="00FA5BF0"/>
    <w:rsid w:val="00FA6568"/>
    <w:rsid w:val="00FA6684"/>
    <w:rsid w:val="00FA6D05"/>
    <w:rsid w:val="00FA72C8"/>
    <w:rsid w:val="00FA731E"/>
    <w:rsid w:val="00FB0B72"/>
    <w:rsid w:val="00FB0CC4"/>
    <w:rsid w:val="00FB20C6"/>
    <w:rsid w:val="00FB2342"/>
    <w:rsid w:val="00FB2B38"/>
    <w:rsid w:val="00FB2DA6"/>
    <w:rsid w:val="00FB2E7C"/>
    <w:rsid w:val="00FB3074"/>
    <w:rsid w:val="00FB5756"/>
    <w:rsid w:val="00FB581D"/>
    <w:rsid w:val="00FB5F8F"/>
    <w:rsid w:val="00FB6757"/>
    <w:rsid w:val="00FC17DB"/>
    <w:rsid w:val="00FC1C83"/>
    <w:rsid w:val="00FC2872"/>
    <w:rsid w:val="00FC2A14"/>
    <w:rsid w:val="00FC3064"/>
    <w:rsid w:val="00FC3AC0"/>
    <w:rsid w:val="00FC3D90"/>
    <w:rsid w:val="00FC42C7"/>
    <w:rsid w:val="00FC480C"/>
    <w:rsid w:val="00FC5106"/>
    <w:rsid w:val="00FC6175"/>
    <w:rsid w:val="00FC6358"/>
    <w:rsid w:val="00FC70D1"/>
    <w:rsid w:val="00FC758E"/>
    <w:rsid w:val="00FD01CF"/>
    <w:rsid w:val="00FD07C0"/>
    <w:rsid w:val="00FD0F5D"/>
    <w:rsid w:val="00FD142F"/>
    <w:rsid w:val="00FD165E"/>
    <w:rsid w:val="00FD320D"/>
    <w:rsid w:val="00FD375B"/>
    <w:rsid w:val="00FD393A"/>
    <w:rsid w:val="00FD3D5F"/>
    <w:rsid w:val="00FD42F0"/>
    <w:rsid w:val="00FD471A"/>
    <w:rsid w:val="00FD4B2C"/>
    <w:rsid w:val="00FD4C3E"/>
    <w:rsid w:val="00FD62C8"/>
    <w:rsid w:val="00FD6813"/>
    <w:rsid w:val="00FD6A36"/>
    <w:rsid w:val="00FD701C"/>
    <w:rsid w:val="00FE0D24"/>
    <w:rsid w:val="00FE186C"/>
    <w:rsid w:val="00FE234D"/>
    <w:rsid w:val="00FE2397"/>
    <w:rsid w:val="00FE23DE"/>
    <w:rsid w:val="00FE24E3"/>
    <w:rsid w:val="00FE2797"/>
    <w:rsid w:val="00FE3407"/>
    <w:rsid w:val="00FE44DD"/>
    <w:rsid w:val="00FE5C8A"/>
    <w:rsid w:val="00FE7CEC"/>
    <w:rsid w:val="00FF0460"/>
    <w:rsid w:val="00FF0B48"/>
    <w:rsid w:val="00FF0B73"/>
    <w:rsid w:val="00FF1456"/>
    <w:rsid w:val="00FF18E4"/>
    <w:rsid w:val="00FF37DB"/>
    <w:rsid w:val="00FF56A8"/>
    <w:rsid w:val="00FF6EB4"/>
    <w:rsid w:val="00FF7608"/>
    <w:rsid w:val="00FF7A7D"/>
    <w:rsid w:val="00FF7A7E"/>
    <w:rsid w:val="01520363"/>
    <w:rsid w:val="016E7636"/>
    <w:rsid w:val="0190472D"/>
    <w:rsid w:val="01B643EE"/>
    <w:rsid w:val="01B666C0"/>
    <w:rsid w:val="01E97AAB"/>
    <w:rsid w:val="024975C9"/>
    <w:rsid w:val="02595331"/>
    <w:rsid w:val="02AB1FCD"/>
    <w:rsid w:val="02CF5A2E"/>
    <w:rsid w:val="031B4284"/>
    <w:rsid w:val="033379C0"/>
    <w:rsid w:val="03E46318"/>
    <w:rsid w:val="044A7DD6"/>
    <w:rsid w:val="044E4D21"/>
    <w:rsid w:val="04BC0B20"/>
    <w:rsid w:val="04BF5B48"/>
    <w:rsid w:val="054D10EA"/>
    <w:rsid w:val="0598453C"/>
    <w:rsid w:val="059A2F03"/>
    <w:rsid w:val="05A351AD"/>
    <w:rsid w:val="05AD0072"/>
    <w:rsid w:val="05B31A1F"/>
    <w:rsid w:val="06232261"/>
    <w:rsid w:val="07094AAC"/>
    <w:rsid w:val="07CC0BA8"/>
    <w:rsid w:val="07CD50A1"/>
    <w:rsid w:val="07CD682D"/>
    <w:rsid w:val="08354A32"/>
    <w:rsid w:val="084B7A37"/>
    <w:rsid w:val="08DD09B2"/>
    <w:rsid w:val="090D074B"/>
    <w:rsid w:val="096F049A"/>
    <w:rsid w:val="097E14B2"/>
    <w:rsid w:val="09CC5832"/>
    <w:rsid w:val="09D75740"/>
    <w:rsid w:val="09F6562F"/>
    <w:rsid w:val="09FD5ADB"/>
    <w:rsid w:val="0A2658B6"/>
    <w:rsid w:val="0A516F86"/>
    <w:rsid w:val="0A6514D6"/>
    <w:rsid w:val="0A6F0117"/>
    <w:rsid w:val="0AA91979"/>
    <w:rsid w:val="0ABA6483"/>
    <w:rsid w:val="0ACE4040"/>
    <w:rsid w:val="0AF76B39"/>
    <w:rsid w:val="0B2A37F4"/>
    <w:rsid w:val="0B2E5D9F"/>
    <w:rsid w:val="0B3F7726"/>
    <w:rsid w:val="0B6F7CD2"/>
    <w:rsid w:val="0B9A2BAF"/>
    <w:rsid w:val="0BB9732C"/>
    <w:rsid w:val="0BEB37E6"/>
    <w:rsid w:val="0C2E79E2"/>
    <w:rsid w:val="0C4C719D"/>
    <w:rsid w:val="0C84125B"/>
    <w:rsid w:val="0CAE43B6"/>
    <w:rsid w:val="0CDC34AD"/>
    <w:rsid w:val="0CFF46AF"/>
    <w:rsid w:val="0D4A534A"/>
    <w:rsid w:val="0D731580"/>
    <w:rsid w:val="0D816BD3"/>
    <w:rsid w:val="0DB137C5"/>
    <w:rsid w:val="0DB77A48"/>
    <w:rsid w:val="0E1D37A2"/>
    <w:rsid w:val="0E204A31"/>
    <w:rsid w:val="0E4445E9"/>
    <w:rsid w:val="0EEC6FFD"/>
    <w:rsid w:val="0F0377C4"/>
    <w:rsid w:val="0F3C0933"/>
    <w:rsid w:val="0F772D93"/>
    <w:rsid w:val="0FA431D3"/>
    <w:rsid w:val="0FEC0E5A"/>
    <w:rsid w:val="0FF071B5"/>
    <w:rsid w:val="10084372"/>
    <w:rsid w:val="10345380"/>
    <w:rsid w:val="10453175"/>
    <w:rsid w:val="10571C9D"/>
    <w:rsid w:val="106663EC"/>
    <w:rsid w:val="10A25DC2"/>
    <w:rsid w:val="10B730C3"/>
    <w:rsid w:val="10ED08B7"/>
    <w:rsid w:val="11302747"/>
    <w:rsid w:val="11397A1A"/>
    <w:rsid w:val="114E1850"/>
    <w:rsid w:val="11567578"/>
    <w:rsid w:val="11AD095F"/>
    <w:rsid w:val="11BA40D6"/>
    <w:rsid w:val="11FF22A6"/>
    <w:rsid w:val="125D575C"/>
    <w:rsid w:val="12753ACC"/>
    <w:rsid w:val="12AA5DA4"/>
    <w:rsid w:val="131C5C88"/>
    <w:rsid w:val="133100F1"/>
    <w:rsid w:val="13412F41"/>
    <w:rsid w:val="13536972"/>
    <w:rsid w:val="135F199F"/>
    <w:rsid w:val="137D3482"/>
    <w:rsid w:val="14605247"/>
    <w:rsid w:val="14622FC1"/>
    <w:rsid w:val="14C64F73"/>
    <w:rsid w:val="14D45B39"/>
    <w:rsid w:val="14F47F34"/>
    <w:rsid w:val="1523043A"/>
    <w:rsid w:val="15697D7F"/>
    <w:rsid w:val="159F1212"/>
    <w:rsid w:val="15BA4A58"/>
    <w:rsid w:val="15BF0CE4"/>
    <w:rsid w:val="15F2777B"/>
    <w:rsid w:val="165A18B8"/>
    <w:rsid w:val="16793EEF"/>
    <w:rsid w:val="1715758D"/>
    <w:rsid w:val="17374989"/>
    <w:rsid w:val="17977695"/>
    <w:rsid w:val="17D64EF8"/>
    <w:rsid w:val="184075AC"/>
    <w:rsid w:val="184076F7"/>
    <w:rsid w:val="18954E2A"/>
    <w:rsid w:val="18A137C7"/>
    <w:rsid w:val="18D857E0"/>
    <w:rsid w:val="18DC2535"/>
    <w:rsid w:val="193463F1"/>
    <w:rsid w:val="19BF5263"/>
    <w:rsid w:val="19E73930"/>
    <w:rsid w:val="1A041A06"/>
    <w:rsid w:val="1A582CDF"/>
    <w:rsid w:val="1A6920CA"/>
    <w:rsid w:val="1A731C0D"/>
    <w:rsid w:val="1AC01EAF"/>
    <w:rsid w:val="1AC871AA"/>
    <w:rsid w:val="1AD00105"/>
    <w:rsid w:val="1AD07878"/>
    <w:rsid w:val="1AF77413"/>
    <w:rsid w:val="1B007F1A"/>
    <w:rsid w:val="1B177D78"/>
    <w:rsid w:val="1B234702"/>
    <w:rsid w:val="1B4F135B"/>
    <w:rsid w:val="1B8C02D7"/>
    <w:rsid w:val="1BF54CD5"/>
    <w:rsid w:val="1C19360F"/>
    <w:rsid w:val="1C2342B8"/>
    <w:rsid w:val="1C283432"/>
    <w:rsid w:val="1C2F4C4D"/>
    <w:rsid w:val="1C6E3C9B"/>
    <w:rsid w:val="1C6F7CCB"/>
    <w:rsid w:val="1CA9376E"/>
    <w:rsid w:val="1D5F0324"/>
    <w:rsid w:val="1D6D6258"/>
    <w:rsid w:val="1DB47B00"/>
    <w:rsid w:val="1DC15BB7"/>
    <w:rsid w:val="1DE928FA"/>
    <w:rsid w:val="1E95700C"/>
    <w:rsid w:val="1EBD6C01"/>
    <w:rsid w:val="1EF5636F"/>
    <w:rsid w:val="1F334A54"/>
    <w:rsid w:val="1F472262"/>
    <w:rsid w:val="1F5A46D7"/>
    <w:rsid w:val="1F7742B3"/>
    <w:rsid w:val="1FAC03E3"/>
    <w:rsid w:val="1FC32ECC"/>
    <w:rsid w:val="1FCB54A6"/>
    <w:rsid w:val="1FF14949"/>
    <w:rsid w:val="205B0707"/>
    <w:rsid w:val="20A11600"/>
    <w:rsid w:val="2112614E"/>
    <w:rsid w:val="211D601B"/>
    <w:rsid w:val="21B079AA"/>
    <w:rsid w:val="21C94D14"/>
    <w:rsid w:val="21EA7340"/>
    <w:rsid w:val="220C05CD"/>
    <w:rsid w:val="22250EB4"/>
    <w:rsid w:val="22360EA4"/>
    <w:rsid w:val="2255726F"/>
    <w:rsid w:val="225A1705"/>
    <w:rsid w:val="225B68F3"/>
    <w:rsid w:val="230E6996"/>
    <w:rsid w:val="235A3EC9"/>
    <w:rsid w:val="2361404C"/>
    <w:rsid w:val="239113D8"/>
    <w:rsid w:val="23B047DA"/>
    <w:rsid w:val="24045C49"/>
    <w:rsid w:val="240473A9"/>
    <w:rsid w:val="24217795"/>
    <w:rsid w:val="248C424B"/>
    <w:rsid w:val="24BA637B"/>
    <w:rsid w:val="24C34749"/>
    <w:rsid w:val="24DA75E2"/>
    <w:rsid w:val="24EE47A2"/>
    <w:rsid w:val="251C53CB"/>
    <w:rsid w:val="25D26F4E"/>
    <w:rsid w:val="25F526F1"/>
    <w:rsid w:val="25FD3C2D"/>
    <w:rsid w:val="26530D33"/>
    <w:rsid w:val="265E7181"/>
    <w:rsid w:val="26AB17F3"/>
    <w:rsid w:val="26CA3C25"/>
    <w:rsid w:val="26DD698E"/>
    <w:rsid w:val="27047687"/>
    <w:rsid w:val="272C23FA"/>
    <w:rsid w:val="275A183A"/>
    <w:rsid w:val="277B62E2"/>
    <w:rsid w:val="289023BD"/>
    <w:rsid w:val="28A21302"/>
    <w:rsid w:val="29340E3D"/>
    <w:rsid w:val="2937602D"/>
    <w:rsid w:val="295976A1"/>
    <w:rsid w:val="2A753876"/>
    <w:rsid w:val="2AD5250D"/>
    <w:rsid w:val="2B1B5191"/>
    <w:rsid w:val="2B6674EF"/>
    <w:rsid w:val="2B6B4C7E"/>
    <w:rsid w:val="2BA42B0F"/>
    <w:rsid w:val="2C0C2D46"/>
    <w:rsid w:val="2C104747"/>
    <w:rsid w:val="2C1A5641"/>
    <w:rsid w:val="2CD87AC9"/>
    <w:rsid w:val="2CDE182E"/>
    <w:rsid w:val="2CFE2DB3"/>
    <w:rsid w:val="2D5012D2"/>
    <w:rsid w:val="2D5239AB"/>
    <w:rsid w:val="2D7352E2"/>
    <w:rsid w:val="2D80215E"/>
    <w:rsid w:val="2D8E1801"/>
    <w:rsid w:val="2DA41267"/>
    <w:rsid w:val="2E431935"/>
    <w:rsid w:val="2E830C41"/>
    <w:rsid w:val="2EA4214D"/>
    <w:rsid w:val="2EBC77DC"/>
    <w:rsid w:val="2ED7364E"/>
    <w:rsid w:val="2F4E26B1"/>
    <w:rsid w:val="2FEB6B5D"/>
    <w:rsid w:val="30044FAD"/>
    <w:rsid w:val="300942A1"/>
    <w:rsid w:val="30840777"/>
    <w:rsid w:val="313B622E"/>
    <w:rsid w:val="317C5755"/>
    <w:rsid w:val="31A66FC6"/>
    <w:rsid w:val="32340DB8"/>
    <w:rsid w:val="324361A3"/>
    <w:rsid w:val="326A6587"/>
    <w:rsid w:val="327A33B7"/>
    <w:rsid w:val="32E6542D"/>
    <w:rsid w:val="32F07FE6"/>
    <w:rsid w:val="33261FCC"/>
    <w:rsid w:val="33465323"/>
    <w:rsid w:val="33491A3C"/>
    <w:rsid w:val="335809B6"/>
    <w:rsid w:val="33973506"/>
    <w:rsid w:val="33AA6DCC"/>
    <w:rsid w:val="33CB5A6A"/>
    <w:rsid w:val="33F20F2A"/>
    <w:rsid w:val="348322B5"/>
    <w:rsid w:val="348F0527"/>
    <w:rsid w:val="349A195C"/>
    <w:rsid w:val="349D3EB2"/>
    <w:rsid w:val="34B40E55"/>
    <w:rsid w:val="34C84D93"/>
    <w:rsid w:val="35143F5C"/>
    <w:rsid w:val="35245CA5"/>
    <w:rsid w:val="35445C5F"/>
    <w:rsid w:val="35C61A65"/>
    <w:rsid w:val="35E66C42"/>
    <w:rsid w:val="360A56C0"/>
    <w:rsid w:val="362E4622"/>
    <w:rsid w:val="364C08FF"/>
    <w:rsid w:val="36A20CDA"/>
    <w:rsid w:val="36BB7FAC"/>
    <w:rsid w:val="37285E75"/>
    <w:rsid w:val="372A2284"/>
    <w:rsid w:val="372D1AA0"/>
    <w:rsid w:val="37305FF2"/>
    <w:rsid w:val="376C4B50"/>
    <w:rsid w:val="379245B6"/>
    <w:rsid w:val="37A147F9"/>
    <w:rsid w:val="37DD2BDC"/>
    <w:rsid w:val="37F93C55"/>
    <w:rsid w:val="38124B6C"/>
    <w:rsid w:val="38136CDD"/>
    <w:rsid w:val="388262C8"/>
    <w:rsid w:val="389C17D6"/>
    <w:rsid w:val="38B507AF"/>
    <w:rsid w:val="392668E9"/>
    <w:rsid w:val="396E1A8A"/>
    <w:rsid w:val="39B71BF1"/>
    <w:rsid w:val="3A2A5B99"/>
    <w:rsid w:val="3A5475C9"/>
    <w:rsid w:val="3A6E6C6A"/>
    <w:rsid w:val="3A8E7CF0"/>
    <w:rsid w:val="3AEA44E5"/>
    <w:rsid w:val="3AEC222F"/>
    <w:rsid w:val="3BBB1B47"/>
    <w:rsid w:val="3BED22BE"/>
    <w:rsid w:val="3BF31572"/>
    <w:rsid w:val="3C2228BC"/>
    <w:rsid w:val="3C2C430C"/>
    <w:rsid w:val="3C3A346E"/>
    <w:rsid w:val="3C5F339E"/>
    <w:rsid w:val="3C6D51CF"/>
    <w:rsid w:val="3C940DD1"/>
    <w:rsid w:val="3C9C2A21"/>
    <w:rsid w:val="3C9D7BC1"/>
    <w:rsid w:val="3CB971A8"/>
    <w:rsid w:val="3CEA09F1"/>
    <w:rsid w:val="3D39592F"/>
    <w:rsid w:val="3D5C18C8"/>
    <w:rsid w:val="3D5D7C63"/>
    <w:rsid w:val="3D7071F9"/>
    <w:rsid w:val="3D75621E"/>
    <w:rsid w:val="3D8726E3"/>
    <w:rsid w:val="3DBE7CA0"/>
    <w:rsid w:val="3DDB6F2B"/>
    <w:rsid w:val="3DEA424C"/>
    <w:rsid w:val="3DFD0F74"/>
    <w:rsid w:val="3E0335D3"/>
    <w:rsid w:val="3E2320EF"/>
    <w:rsid w:val="3E542E5E"/>
    <w:rsid w:val="3EC35E60"/>
    <w:rsid w:val="3EC66A11"/>
    <w:rsid w:val="3F1E4982"/>
    <w:rsid w:val="3F2B6AA7"/>
    <w:rsid w:val="3F7E0F6C"/>
    <w:rsid w:val="3F891A0D"/>
    <w:rsid w:val="3FE74022"/>
    <w:rsid w:val="3FF879C5"/>
    <w:rsid w:val="404C2E51"/>
    <w:rsid w:val="4081341A"/>
    <w:rsid w:val="40BD0183"/>
    <w:rsid w:val="40BD5297"/>
    <w:rsid w:val="40F77B80"/>
    <w:rsid w:val="411B22D3"/>
    <w:rsid w:val="41402675"/>
    <w:rsid w:val="416D399E"/>
    <w:rsid w:val="417D74DE"/>
    <w:rsid w:val="41EF14D0"/>
    <w:rsid w:val="42472441"/>
    <w:rsid w:val="43032287"/>
    <w:rsid w:val="437E2DA2"/>
    <w:rsid w:val="438A4566"/>
    <w:rsid w:val="43B92A96"/>
    <w:rsid w:val="43E139A4"/>
    <w:rsid w:val="43E954D4"/>
    <w:rsid w:val="43EB6F80"/>
    <w:rsid w:val="43EF3C3A"/>
    <w:rsid w:val="440A0005"/>
    <w:rsid w:val="44812823"/>
    <w:rsid w:val="4481793B"/>
    <w:rsid w:val="44B738AE"/>
    <w:rsid w:val="44C933E3"/>
    <w:rsid w:val="45051259"/>
    <w:rsid w:val="450D1720"/>
    <w:rsid w:val="45276063"/>
    <w:rsid w:val="454C32E5"/>
    <w:rsid w:val="45AF1CD2"/>
    <w:rsid w:val="45C94763"/>
    <w:rsid w:val="45CC2BAB"/>
    <w:rsid w:val="45E1701A"/>
    <w:rsid w:val="45E87A97"/>
    <w:rsid w:val="46002CCA"/>
    <w:rsid w:val="46181616"/>
    <w:rsid w:val="46252AD3"/>
    <w:rsid w:val="465D0B70"/>
    <w:rsid w:val="4667140B"/>
    <w:rsid w:val="466B1248"/>
    <w:rsid w:val="46EE732F"/>
    <w:rsid w:val="46F07F12"/>
    <w:rsid w:val="46FC67E9"/>
    <w:rsid w:val="46FF32EA"/>
    <w:rsid w:val="476350EE"/>
    <w:rsid w:val="47705CE5"/>
    <w:rsid w:val="478447E3"/>
    <w:rsid w:val="47A36A64"/>
    <w:rsid w:val="47AF2F63"/>
    <w:rsid w:val="48040A39"/>
    <w:rsid w:val="48677399"/>
    <w:rsid w:val="48C00E40"/>
    <w:rsid w:val="48DD3AFF"/>
    <w:rsid w:val="48E2538B"/>
    <w:rsid w:val="48EF58E3"/>
    <w:rsid w:val="493A40EC"/>
    <w:rsid w:val="49474C41"/>
    <w:rsid w:val="49900836"/>
    <w:rsid w:val="49DE7D7D"/>
    <w:rsid w:val="49F64E79"/>
    <w:rsid w:val="4A1754B0"/>
    <w:rsid w:val="4A3A04B5"/>
    <w:rsid w:val="4A4E69FE"/>
    <w:rsid w:val="4A6D392A"/>
    <w:rsid w:val="4A6D4A0F"/>
    <w:rsid w:val="4A7E52E5"/>
    <w:rsid w:val="4AB51373"/>
    <w:rsid w:val="4ADB4956"/>
    <w:rsid w:val="4AFB4BD2"/>
    <w:rsid w:val="4B0378FD"/>
    <w:rsid w:val="4B51743C"/>
    <w:rsid w:val="4B5C0D0B"/>
    <w:rsid w:val="4BED4447"/>
    <w:rsid w:val="4BF6116E"/>
    <w:rsid w:val="4C2B1812"/>
    <w:rsid w:val="4C96649F"/>
    <w:rsid w:val="4CA615C2"/>
    <w:rsid w:val="4CB930E5"/>
    <w:rsid w:val="4CE61EA6"/>
    <w:rsid w:val="4D5F7344"/>
    <w:rsid w:val="4DBB19C3"/>
    <w:rsid w:val="4DBE3EFF"/>
    <w:rsid w:val="4DDD30E0"/>
    <w:rsid w:val="4E0871A0"/>
    <w:rsid w:val="4E10402F"/>
    <w:rsid w:val="4E5F0D89"/>
    <w:rsid w:val="4EC87325"/>
    <w:rsid w:val="4ECE5844"/>
    <w:rsid w:val="4F1C5579"/>
    <w:rsid w:val="4FB31F60"/>
    <w:rsid w:val="508526B5"/>
    <w:rsid w:val="50935B3C"/>
    <w:rsid w:val="50F55FFE"/>
    <w:rsid w:val="512F5294"/>
    <w:rsid w:val="514E4E9E"/>
    <w:rsid w:val="523A3584"/>
    <w:rsid w:val="528D13CE"/>
    <w:rsid w:val="52D86B01"/>
    <w:rsid w:val="53135DC6"/>
    <w:rsid w:val="53235413"/>
    <w:rsid w:val="533911DE"/>
    <w:rsid w:val="53497A60"/>
    <w:rsid w:val="537D2167"/>
    <w:rsid w:val="53EF6689"/>
    <w:rsid w:val="53F245D9"/>
    <w:rsid w:val="53FD686E"/>
    <w:rsid w:val="5478101D"/>
    <w:rsid w:val="55575C86"/>
    <w:rsid w:val="555A1BA0"/>
    <w:rsid w:val="556026DF"/>
    <w:rsid w:val="55860B1F"/>
    <w:rsid w:val="559C0ECE"/>
    <w:rsid w:val="55DB478F"/>
    <w:rsid w:val="561B7187"/>
    <w:rsid w:val="562E2338"/>
    <w:rsid w:val="564C2E64"/>
    <w:rsid w:val="56540AD7"/>
    <w:rsid w:val="56544A99"/>
    <w:rsid w:val="567664F1"/>
    <w:rsid w:val="56A12098"/>
    <w:rsid w:val="56BC7FA7"/>
    <w:rsid w:val="57367883"/>
    <w:rsid w:val="576759DC"/>
    <w:rsid w:val="579A50DA"/>
    <w:rsid w:val="579F6A0D"/>
    <w:rsid w:val="57B37C72"/>
    <w:rsid w:val="57BF409E"/>
    <w:rsid w:val="57D8374B"/>
    <w:rsid w:val="57F23E54"/>
    <w:rsid w:val="582E57DE"/>
    <w:rsid w:val="584F14E5"/>
    <w:rsid w:val="587A085B"/>
    <w:rsid w:val="58841F49"/>
    <w:rsid w:val="58D00680"/>
    <w:rsid w:val="59B82373"/>
    <w:rsid w:val="59B951AF"/>
    <w:rsid w:val="59D56FCB"/>
    <w:rsid w:val="5A1E5BC9"/>
    <w:rsid w:val="5A82356B"/>
    <w:rsid w:val="5AD8442B"/>
    <w:rsid w:val="5AEB3517"/>
    <w:rsid w:val="5AF40970"/>
    <w:rsid w:val="5B107B27"/>
    <w:rsid w:val="5B291234"/>
    <w:rsid w:val="5B3D3749"/>
    <w:rsid w:val="5C2361FF"/>
    <w:rsid w:val="5C6E03E4"/>
    <w:rsid w:val="5C773136"/>
    <w:rsid w:val="5C7F0CFE"/>
    <w:rsid w:val="5D215911"/>
    <w:rsid w:val="5D4E56CE"/>
    <w:rsid w:val="5D752E38"/>
    <w:rsid w:val="5D856AB7"/>
    <w:rsid w:val="5D881E34"/>
    <w:rsid w:val="5DA8443B"/>
    <w:rsid w:val="5DF3666D"/>
    <w:rsid w:val="5E0E1F3A"/>
    <w:rsid w:val="5E167440"/>
    <w:rsid w:val="5E2A2EEB"/>
    <w:rsid w:val="5E457C97"/>
    <w:rsid w:val="5E550ABC"/>
    <w:rsid w:val="5E6B76CD"/>
    <w:rsid w:val="5E8C24F0"/>
    <w:rsid w:val="5EB939CC"/>
    <w:rsid w:val="5F050F69"/>
    <w:rsid w:val="5F50072F"/>
    <w:rsid w:val="5F797C86"/>
    <w:rsid w:val="5F7F1523"/>
    <w:rsid w:val="5FBA395B"/>
    <w:rsid w:val="5FE21A65"/>
    <w:rsid w:val="60584FB2"/>
    <w:rsid w:val="60593779"/>
    <w:rsid w:val="60CF02E1"/>
    <w:rsid w:val="612E6C01"/>
    <w:rsid w:val="617D305C"/>
    <w:rsid w:val="61FF32B4"/>
    <w:rsid w:val="623125AD"/>
    <w:rsid w:val="62582BD7"/>
    <w:rsid w:val="627A0579"/>
    <w:rsid w:val="62812248"/>
    <w:rsid w:val="62C4493B"/>
    <w:rsid w:val="630C6786"/>
    <w:rsid w:val="631C2492"/>
    <w:rsid w:val="638031CA"/>
    <w:rsid w:val="63A73362"/>
    <w:rsid w:val="63B81EE2"/>
    <w:rsid w:val="63FA4F34"/>
    <w:rsid w:val="640B7DAC"/>
    <w:rsid w:val="64337E72"/>
    <w:rsid w:val="645F0005"/>
    <w:rsid w:val="64925B4D"/>
    <w:rsid w:val="64A82A4B"/>
    <w:rsid w:val="64DF6345"/>
    <w:rsid w:val="64F02C8A"/>
    <w:rsid w:val="65501B81"/>
    <w:rsid w:val="65515534"/>
    <w:rsid w:val="65576140"/>
    <w:rsid w:val="6569254B"/>
    <w:rsid w:val="656E1B1E"/>
    <w:rsid w:val="65926CEF"/>
    <w:rsid w:val="65EF6E2D"/>
    <w:rsid w:val="660D2ED6"/>
    <w:rsid w:val="662B7800"/>
    <w:rsid w:val="666D20C5"/>
    <w:rsid w:val="67065E2D"/>
    <w:rsid w:val="671B5305"/>
    <w:rsid w:val="674D72CB"/>
    <w:rsid w:val="674F75E5"/>
    <w:rsid w:val="67CC0D62"/>
    <w:rsid w:val="67ED5EA9"/>
    <w:rsid w:val="67FD1FC9"/>
    <w:rsid w:val="684F09F9"/>
    <w:rsid w:val="68645058"/>
    <w:rsid w:val="68937632"/>
    <w:rsid w:val="68AB1361"/>
    <w:rsid w:val="68C42C20"/>
    <w:rsid w:val="68FC7232"/>
    <w:rsid w:val="69280ABE"/>
    <w:rsid w:val="694F2539"/>
    <w:rsid w:val="69836B16"/>
    <w:rsid w:val="69B045E4"/>
    <w:rsid w:val="69BF2E9B"/>
    <w:rsid w:val="69C9448A"/>
    <w:rsid w:val="6A1E618D"/>
    <w:rsid w:val="6A6830C7"/>
    <w:rsid w:val="6AF3431D"/>
    <w:rsid w:val="6AF53588"/>
    <w:rsid w:val="6B6271EC"/>
    <w:rsid w:val="6B6E12B9"/>
    <w:rsid w:val="6BB169FA"/>
    <w:rsid w:val="6BC0308D"/>
    <w:rsid w:val="6BC169DB"/>
    <w:rsid w:val="6BC855A7"/>
    <w:rsid w:val="6BD82A15"/>
    <w:rsid w:val="6C3C4515"/>
    <w:rsid w:val="6C507E9E"/>
    <w:rsid w:val="6C566C4B"/>
    <w:rsid w:val="6CBD219B"/>
    <w:rsid w:val="6CDE6539"/>
    <w:rsid w:val="6CE949FC"/>
    <w:rsid w:val="6D1250B4"/>
    <w:rsid w:val="6D303138"/>
    <w:rsid w:val="6D4578FD"/>
    <w:rsid w:val="6D5B5009"/>
    <w:rsid w:val="6D87328B"/>
    <w:rsid w:val="6DB82D84"/>
    <w:rsid w:val="6DC07BE1"/>
    <w:rsid w:val="6E39792A"/>
    <w:rsid w:val="6E437D5D"/>
    <w:rsid w:val="6E4C770B"/>
    <w:rsid w:val="6E546E4E"/>
    <w:rsid w:val="6E671015"/>
    <w:rsid w:val="6EB573D5"/>
    <w:rsid w:val="6ED70242"/>
    <w:rsid w:val="6EDA324E"/>
    <w:rsid w:val="6EDC1FE0"/>
    <w:rsid w:val="6EE04D24"/>
    <w:rsid w:val="6EFE1F56"/>
    <w:rsid w:val="6F0F5F11"/>
    <w:rsid w:val="6F5A4CB2"/>
    <w:rsid w:val="6FA452E1"/>
    <w:rsid w:val="6FAA7DC7"/>
    <w:rsid w:val="6FCB390B"/>
    <w:rsid w:val="6FEC3F24"/>
    <w:rsid w:val="6FFF53CD"/>
    <w:rsid w:val="70383B5E"/>
    <w:rsid w:val="7046345D"/>
    <w:rsid w:val="707E5464"/>
    <w:rsid w:val="70B12FA8"/>
    <w:rsid w:val="70D666AB"/>
    <w:rsid w:val="70DB5C50"/>
    <w:rsid w:val="70E22E6B"/>
    <w:rsid w:val="70E44DFB"/>
    <w:rsid w:val="711714D8"/>
    <w:rsid w:val="71283A40"/>
    <w:rsid w:val="715E1B3B"/>
    <w:rsid w:val="71BB412E"/>
    <w:rsid w:val="71D50C08"/>
    <w:rsid w:val="72200306"/>
    <w:rsid w:val="72802DD1"/>
    <w:rsid w:val="728B2D64"/>
    <w:rsid w:val="72CA40A3"/>
    <w:rsid w:val="72FA1D9E"/>
    <w:rsid w:val="735515FA"/>
    <w:rsid w:val="73AA64F6"/>
    <w:rsid w:val="73AB01D2"/>
    <w:rsid w:val="742548C6"/>
    <w:rsid w:val="742F4960"/>
    <w:rsid w:val="74395B62"/>
    <w:rsid w:val="745268BC"/>
    <w:rsid w:val="74783238"/>
    <w:rsid w:val="747D391D"/>
    <w:rsid w:val="74A52E74"/>
    <w:rsid w:val="74AF1348"/>
    <w:rsid w:val="74B60001"/>
    <w:rsid w:val="752B04F1"/>
    <w:rsid w:val="753B1786"/>
    <w:rsid w:val="753D6714"/>
    <w:rsid w:val="755846A3"/>
    <w:rsid w:val="75F31DC5"/>
    <w:rsid w:val="76443835"/>
    <w:rsid w:val="76452218"/>
    <w:rsid w:val="76CC6460"/>
    <w:rsid w:val="76E40F21"/>
    <w:rsid w:val="77171CF2"/>
    <w:rsid w:val="772213A5"/>
    <w:rsid w:val="774E340D"/>
    <w:rsid w:val="776808B4"/>
    <w:rsid w:val="77765C5D"/>
    <w:rsid w:val="7784595D"/>
    <w:rsid w:val="77DC4C07"/>
    <w:rsid w:val="77F621A1"/>
    <w:rsid w:val="77FF49FF"/>
    <w:rsid w:val="781661DD"/>
    <w:rsid w:val="781F488D"/>
    <w:rsid w:val="784B2F23"/>
    <w:rsid w:val="7868020F"/>
    <w:rsid w:val="786E659A"/>
    <w:rsid w:val="7901334D"/>
    <w:rsid w:val="794A0303"/>
    <w:rsid w:val="79827F50"/>
    <w:rsid w:val="79AB4DB8"/>
    <w:rsid w:val="7A225BCB"/>
    <w:rsid w:val="7A3D682E"/>
    <w:rsid w:val="7A5C630C"/>
    <w:rsid w:val="7A860403"/>
    <w:rsid w:val="7B1C523E"/>
    <w:rsid w:val="7B5B37C9"/>
    <w:rsid w:val="7B6C1373"/>
    <w:rsid w:val="7B7B21F5"/>
    <w:rsid w:val="7BC26EBD"/>
    <w:rsid w:val="7BC609BA"/>
    <w:rsid w:val="7BEE1A48"/>
    <w:rsid w:val="7C607E09"/>
    <w:rsid w:val="7CC866AC"/>
    <w:rsid w:val="7D4772F1"/>
    <w:rsid w:val="7D5835A2"/>
    <w:rsid w:val="7D913864"/>
    <w:rsid w:val="7DC21FBB"/>
    <w:rsid w:val="7DCF0DD1"/>
    <w:rsid w:val="7E391887"/>
    <w:rsid w:val="7E776D60"/>
    <w:rsid w:val="7E814130"/>
    <w:rsid w:val="7EE92EC5"/>
    <w:rsid w:val="7EED5B43"/>
    <w:rsid w:val="7F412B63"/>
    <w:rsid w:val="7F552997"/>
    <w:rsid w:val="7FDB70AA"/>
    <w:rsid w:val="7FDF16F2"/>
    <w:rsid w:val="7FEA340F"/>
    <w:rsid w:val="7FFD5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5"/>
    <w:qFormat/>
    <w:uiPriority w:val="0"/>
    <w:pPr>
      <w:keepNext/>
      <w:keepLines/>
      <w:spacing w:before="340" w:after="330" w:line="578" w:lineRule="auto"/>
      <w:outlineLvl w:val="0"/>
    </w:pPr>
    <w:rPr>
      <w:b/>
      <w:bCs/>
      <w:kern w:val="44"/>
      <w:sz w:val="44"/>
      <w:szCs w:val="44"/>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b/>
      <w:bCs/>
      <w:kern w:val="0"/>
      <w:sz w:val="27"/>
      <w:szCs w:val="27"/>
    </w:rPr>
  </w:style>
  <w:style w:type="character" w:default="1" w:styleId="37">
    <w:name w:val="Default Paragraph Font"/>
    <w:semiHidden/>
    <w:unhideWhenUsed/>
    <w:qFormat/>
    <w:uiPriority w:val="1"/>
  </w:style>
  <w:style w:type="table" w:default="1" w:styleId="35">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4">
    <w:name w:val="toc 7"/>
    <w:basedOn w:val="1"/>
    <w:next w:val="1"/>
    <w:semiHidden/>
    <w:qFormat/>
    <w:uiPriority w:val="0"/>
    <w:pPr>
      <w:tabs>
        <w:tab w:val="right" w:leader="dot" w:pos="9241"/>
      </w:tabs>
      <w:ind w:firstLine="505"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annotation text"/>
    <w:basedOn w:val="1"/>
    <w:link w:val="149"/>
    <w:qFormat/>
    <w:uiPriority w:val="0"/>
    <w:pPr>
      <w:jc w:val="left"/>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Body Text"/>
    <w:basedOn w:val="1"/>
    <w:link w:val="140"/>
    <w:qFormat/>
    <w:uiPriority w:val="0"/>
    <w:pPr>
      <w:autoSpaceDE w:val="0"/>
      <w:autoSpaceDN w:val="0"/>
      <w:jc w:val="left"/>
    </w:pPr>
    <w:rPr>
      <w:rFonts w:ascii="宋体" w:hAnsi="宋体" w:cs="宋体"/>
      <w:kern w:val="0"/>
      <w:szCs w:val="21"/>
      <w:lang w:val="zh-CN" w:bidi="zh-CN"/>
    </w:rPr>
  </w:style>
  <w:style w:type="paragraph" w:styleId="12">
    <w:name w:val="index 4"/>
    <w:basedOn w:val="1"/>
    <w:next w:val="1"/>
    <w:qFormat/>
    <w:uiPriority w:val="0"/>
    <w:pPr>
      <w:ind w:left="840" w:hanging="210"/>
      <w:jc w:val="left"/>
    </w:pPr>
    <w:rPr>
      <w:rFonts w:ascii="Calibri" w:hAnsi="Calibri"/>
      <w:sz w:val="20"/>
      <w:szCs w:val="20"/>
    </w:rPr>
  </w:style>
  <w:style w:type="paragraph" w:styleId="13">
    <w:name w:val="toc 5"/>
    <w:basedOn w:val="1"/>
    <w:next w:val="1"/>
    <w:semiHidden/>
    <w:qFormat/>
    <w:uiPriority w:val="0"/>
    <w:pPr>
      <w:tabs>
        <w:tab w:val="right" w:leader="dot" w:pos="9241"/>
      </w:tabs>
      <w:ind w:firstLine="300" w:firstLineChars="300"/>
      <w:jc w:val="left"/>
    </w:pPr>
    <w:rPr>
      <w:rFonts w:ascii="宋体"/>
      <w:szCs w:val="21"/>
    </w:rPr>
  </w:style>
  <w:style w:type="paragraph" w:styleId="14">
    <w:name w:val="toc 3"/>
    <w:basedOn w:val="1"/>
    <w:next w:val="1"/>
    <w:qFormat/>
    <w:uiPriority w:val="39"/>
    <w:pPr>
      <w:tabs>
        <w:tab w:val="right" w:leader="dot" w:pos="9241"/>
      </w:tabs>
      <w:ind w:firstLine="102" w:firstLineChars="100"/>
      <w:jc w:val="left"/>
    </w:pPr>
    <w:rPr>
      <w:rFonts w:ascii="宋体"/>
      <w:szCs w:val="21"/>
    </w:rPr>
  </w:style>
  <w:style w:type="paragraph" w:styleId="15">
    <w:name w:val="toc 8"/>
    <w:basedOn w:val="1"/>
    <w:next w:val="1"/>
    <w:semiHidden/>
    <w:qFormat/>
    <w:uiPriority w:val="0"/>
    <w:pPr>
      <w:tabs>
        <w:tab w:val="right" w:leader="dot" w:pos="9241"/>
      </w:tabs>
      <w:ind w:firstLine="607" w:firstLineChars="600"/>
      <w:jc w:val="left"/>
    </w:pPr>
    <w:rPr>
      <w:rFonts w:ascii="宋体"/>
      <w:szCs w:val="21"/>
    </w:rPr>
  </w:style>
  <w:style w:type="paragraph" w:styleId="16">
    <w:name w:val="index 3"/>
    <w:basedOn w:val="1"/>
    <w:next w:val="1"/>
    <w:qFormat/>
    <w:uiPriority w:val="0"/>
    <w:pPr>
      <w:ind w:left="630" w:hanging="210"/>
      <w:jc w:val="left"/>
    </w:pPr>
    <w:rPr>
      <w:rFonts w:ascii="Calibri" w:hAnsi="Calibri"/>
      <w:sz w:val="20"/>
      <w:szCs w:val="20"/>
    </w:rPr>
  </w:style>
  <w:style w:type="paragraph" w:styleId="17">
    <w:name w:val="endnote text"/>
    <w:basedOn w:val="1"/>
    <w:semiHidden/>
    <w:qFormat/>
    <w:uiPriority w:val="0"/>
    <w:pPr>
      <w:snapToGrid w:val="0"/>
      <w:jc w:val="left"/>
    </w:pPr>
  </w:style>
  <w:style w:type="paragraph" w:styleId="18">
    <w:name w:val="Balloon Text"/>
    <w:basedOn w:val="1"/>
    <w:link w:val="147"/>
    <w:qFormat/>
    <w:uiPriority w:val="0"/>
    <w:rPr>
      <w:sz w:val="18"/>
      <w:szCs w:val="18"/>
    </w:rPr>
  </w:style>
  <w:style w:type="paragraph" w:styleId="19">
    <w:name w:val="footer"/>
    <w:basedOn w:val="1"/>
    <w:qFormat/>
    <w:uiPriority w:val="0"/>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22">
    <w:name w:val="toc 4"/>
    <w:basedOn w:val="1"/>
    <w:next w:val="1"/>
    <w:semiHidden/>
    <w:qFormat/>
    <w:uiPriority w:val="0"/>
    <w:pPr>
      <w:tabs>
        <w:tab w:val="right" w:leader="dot" w:pos="9241"/>
      </w:tabs>
      <w:ind w:firstLine="198" w:firstLineChars="200"/>
      <w:jc w:val="left"/>
    </w:pPr>
    <w:rPr>
      <w:rFonts w:ascii="宋体"/>
      <w:szCs w:val="21"/>
    </w:rPr>
  </w:style>
  <w:style w:type="paragraph" w:styleId="23">
    <w:name w:val="index heading"/>
    <w:basedOn w:val="1"/>
    <w:next w:val="24"/>
    <w:qFormat/>
    <w:uiPriority w:val="0"/>
    <w:pPr>
      <w:spacing w:before="120" w:after="12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4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semiHidden/>
    <w:qFormat/>
    <w:uiPriority w:val="0"/>
    <w:pPr>
      <w:tabs>
        <w:tab w:val="right" w:leader="dot" w:pos="9241"/>
      </w:tabs>
      <w:ind w:firstLine="403"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qFormat/>
    <w:uiPriority w:val="39"/>
    <w:pPr>
      <w:tabs>
        <w:tab w:val="right" w:leader="dot" w:pos="9241"/>
      </w:tabs>
    </w:pPr>
    <w:rPr>
      <w:rFonts w:ascii="宋体"/>
      <w:szCs w:val="21"/>
    </w:rPr>
  </w:style>
  <w:style w:type="paragraph" w:styleId="31">
    <w:name w:val="toc 9"/>
    <w:basedOn w:val="1"/>
    <w:next w:val="1"/>
    <w:semiHidden/>
    <w:qFormat/>
    <w:uiPriority w:val="0"/>
    <w:pPr>
      <w:ind w:left="1470"/>
      <w:jc w:val="left"/>
    </w:pPr>
    <w:rPr>
      <w:sz w:val="20"/>
      <w:szCs w:val="20"/>
    </w:rPr>
  </w:style>
  <w:style w:type="paragraph" w:styleId="3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annotation subject"/>
    <w:basedOn w:val="9"/>
    <w:next w:val="9"/>
    <w:link w:val="150"/>
    <w:qFormat/>
    <w:uiPriority w:val="0"/>
    <w:rPr>
      <w:b/>
      <w:bCs/>
    </w:rPr>
  </w:style>
  <w:style w:type="table" w:styleId="36">
    <w:name w:val="Table Grid"/>
    <w:basedOn w:val="35"/>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8">
    <w:name w:val="endnote reference"/>
    <w:semiHidden/>
    <w:qFormat/>
    <w:uiPriority w:val="0"/>
    <w:rPr>
      <w:vertAlign w:val="superscript"/>
    </w:rPr>
  </w:style>
  <w:style w:type="character" w:styleId="39">
    <w:name w:val="page number"/>
    <w:qFormat/>
    <w:uiPriority w:val="0"/>
    <w:rPr>
      <w:rFonts w:ascii="Times New Roman" w:hAnsi="Times New Roman" w:eastAsia="宋体"/>
      <w:sz w:val="18"/>
    </w:rPr>
  </w:style>
  <w:style w:type="character" w:styleId="40">
    <w:name w:val="FollowedHyperlink"/>
    <w:qFormat/>
    <w:uiPriority w:val="0"/>
    <w:rPr>
      <w:color w:val="800080"/>
      <w:u w:val="single"/>
    </w:rPr>
  </w:style>
  <w:style w:type="character" w:styleId="41">
    <w:name w:val="Hyperlink"/>
    <w:basedOn w:val="37"/>
    <w:qFormat/>
    <w:uiPriority w:val="99"/>
    <w:rPr>
      <w:color w:val="0000FF"/>
      <w:spacing w:val="0"/>
      <w:w w:val="100"/>
      <w:szCs w:val="21"/>
      <w:u w:val="single"/>
    </w:rPr>
  </w:style>
  <w:style w:type="character" w:styleId="42">
    <w:name w:val="annotation reference"/>
    <w:basedOn w:val="37"/>
    <w:qFormat/>
    <w:uiPriority w:val="0"/>
    <w:rPr>
      <w:sz w:val="21"/>
      <w:szCs w:val="21"/>
    </w:rPr>
  </w:style>
  <w:style w:type="character" w:styleId="43">
    <w:name w:val="footnote reference"/>
    <w:semiHidden/>
    <w:qFormat/>
    <w:uiPriority w:val="0"/>
    <w:rPr>
      <w:vertAlign w:val="superscript"/>
    </w:rPr>
  </w:style>
  <w:style w:type="character" w:customStyle="1" w:styleId="44">
    <w:name w:val="段 Char"/>
    <w:link w:val="25"/>
    <w:qFormat/>
    <w:uiPriority w:val="0"/>
    <w:rPr>
      <w:rFonts w:ascii="宋体"/>
      <w:sz w:val="21"/>
      <w:lang w:val="en-US" w:eastAsia="zh-CN" w:bidi="ar-SA"/>
    </w:rPr>
  </w:style>
  <w:style w:type="paragraph" w:customStyle="1" w:styleId="45">
    <w:name w:val="一级条标题"/>
    <w:next w:val="25"/>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6">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8">
    <w:name w:val="章标题"/>
    <w:next w:val="25"/>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9">
    <w:name w:val="二级条标题"/>
    <w:basedOn w:val="45"/>
    <w:next w:val="25"/>
    <w:qFormat/>
    <w:uiPriority w:val="0"/>
    <w:pPr>
      <w:numPr>
        <w:ilvl w:val="2"/>
      </w:numPr>
      <w:spacing w:before="50" w:after="50"/>
      <w:outlineLvl w:val="3"/>
    </w:pPr>
  </w:style>
  <w:style w:type="paragraph" w:customStyle="1" w:styleId="5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1">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2">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3">
    <w:name w:val="目次、标准名称标题"/>
    <w:basedOn w:val="1"/>
    <w:next w:val="2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4">
    <w:name w:val="三级条标题"/>
    <w:basedOn w:val="49"/>
    <w:next w:val="25"/>
    <w:qFormat/>
    <w:uiPriority w:val="0"/>
    <w:pPr>
      <w:numPr>
        <w:ilvl w:val="0"/>
        <w:numId w:val="0"/>
      </w:numPr>
      <w:outlineLvl w:val="4"/>
    </w:pPr>
  </w:style>
  <w:style w:type="paragraph" w:customStyle="1" w:styleId="55">
    <w:name w:val="示例"/>
    <w:next w:val="56"/>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7">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8">
    <w:name w:val="四级条标题"/>
    <w:basedOn w:val="54"/>
    <w:next w:val="25"/>
    <w:qFormat/>
    <w:uiPriority w:val="0"/>
    <w:pPr>
      <w:numPr>
        <w:ilvl w:val="4"/>
        <w:numId w:val="2"/>
      </w:numPr>
      <w:outlineLvl w:val="5"/>
    </w:pPr>
  </w:style>
  <w:style w:type="paragraph" w:customStyle="1" w:styleId="59">
    <w:name w:val="五级条标题"/>
    <w:basedOn w:val="58"/>
    <w:next w:val="25"/>
    <w:qFormat/>
    <w:uiPriority w:val="0"/>
    <w:pPr>
      <w:numPr>
        <w:ilvl w:val="5"/>
      </w:numPr>
      <w:outlineLvl w:val="6"/>
    </w:pPr>
  </w:style>
  <w:style w:type="paragraph" w:customStyle="1" w:styleId="60">
    <w:name w:val="注："/>
    <w:next w:val="25"/>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1">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2">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3">
    <w:name w:val="列项◆（三级）"/>
    <w:basedOn w:val="1"/>
    <w:qFormat/>
    <w:uiPriority w:val="0"/>
    <w:pPr>
      <w:numPr>
        <w:ilvl w:val="2"/>
        <w:numId w:val="3"/>
      </w:numPr>
    </w:pPr>
    <w:rPr>
      <w:rFonts w:ascii="宋体"/>
      <w:szCs w:val="21"/>
    </w:rPr>
  </w:style>
  <w:style w:type="paragraph" w:customStyle="1" w:styleId="64">
    <w:name w:val="编号列项（三级）"/>
    <w:qFormat/>
    <w:uiPriority w:val="0"/>
    <w:rPr>
      <w:rFonts w:ascii="宋体" w:hAnsi="Times New Roman" w:eastAsia="宋体" w:cs="Times New Roman"/>
      <w:sz w:val="21"/>
      <w:lang w:val="en-US" w:eastAsia="zh-CN" w:bidi="ar-SA"/>
    </w:rPr>
  </w:style>
  <w:style w:type="paragraph" w:customStyle="1" w:styleId="65">
    <w:name w:val="示例×："/>
    <w:basedOn w:val="48"/>
    <w:qFormat/>
    <w:uiPriority w:val="0"/>
    <w:pPr>
      <w:numPr>
        <w:numId w:val="8"/>
      </w:numPr>
      <w:spacing w:before="0" w:beforeLines="0" w:after="0" w:afterLines="0"/>
      <w:outlineLvl w:val="9"/>
    </w:pPr>
    <w:rPr>
      <w:rFonts w:ascii="宋体" w:eastAsia="宋体"/>
      <w:sz w:val="18"/>
      <w:szCs w:val="18"/>
    </w:rPr>
  </w:style>
  <w:style w:type="paragraph" w:customStyle="1" w:styleId="66">
    <w:name w:val="二级无"/>
    <w:basedOn w:val="49"/>
    <w:qFormat/>
    <w:uiPriority w:val="0"/>
    <w:pPr>
      <w:spacing w:before="0" w:beforeLines="0" w:after="0" w:afterLines="0"/>
    </w:pPr>
    <w:rPr>
      <w:rFonts w:ascii="宋体" w:eastAsia="宋体"/>
    </w:rPr>
  </w:style>
  <w:style w:type="paragraph" w:customStyle="1" w:styleId="67">
    <w:name w:val="注：（正文）"/>
    <w:basedOn w:val="60"/>
    <w:next w:val="25"/>
    <w:qFormat/>
    <w:uiPriority w:val="0"/>
    <w:pPr>
      <w:numPr>
        <w:ilvl w:val="0"/>
        <w:numId w:val="9"/>
      </w:numPr>
    </w:pPr>
  </w:style>
  <w:style w:type="paragraph" w:customStyle="1" w:styleId="68">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69">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0">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1">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2">
    <w:name w:val="标准书眉_偶数页"/>
    <w:basedOn w:val="47"/>
    <w:next w:val="1"/>
    <w:link w:val="154"/>
    <w:qFormat/>
    <w:uiPriority w:val="0"/>
    <w:pPr>
      <w:jc w:val="left"/>
    </w:pPr>
  </w:style>
  <w:style w:type="paragraph" w:customStyle="1" w:styleId="73">
    <w:name w:val="标准书眉一"/>
    <w:qFormat/>
    <w:uiPriority w:val="0"/>
    <w:pPr>
      <w:jc w:val="both"/>
    </w:pPr>
    <w:rPr>
      <w:rFonts w:ascii="Times New Roman" w:hAnsi="Times New Roman" w:eastAsia="宋体" w:cs="Times New Roman"/>
      <w:lang w:val="en-US" w:eastAsia="zh-CN" w:bidi="ar-SA"/>
    </w:rPr>
  </w:style>
  <w:style w:type="paragraph" w:customStyle="1" w:styleId="74">
    <w:name w:val="参考文献"/>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5">
    <w:name w:val="参考文献、索引标题"/>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6">
    <w:name w:val="发布"/>
    <w:qFormat/>
    <w:uiPriority w:val="0"/>
    <w:rPr>
      <w:rFonts w:ascii="黑体" w:eastAsia="黑体"/>
      <w:spacing w:val="85"/>
      <w:w w:val="100"/>
      <w:position w:val="3"/>
      <w:sz w:val="28"/>
      <w:szCs w:val="28"/>
    </w:rPr>
  </w:style>
  <w:style w:type="paragraph" w:customStyle="1" w:styleId="77">
    <w:name w:val="发布部门"/>
    <w:next w:val="25"/>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8">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2">
    <w:name w:val="封面标准英文名称"/>
    <w:basedOn w:val="81"/>
    <w:qFormat/>
    <w:uiPriority w:val="0"/>
    <w:pPr>
      <w:framePr w:wrap="around"/>
      <w:spacing w:before="370" w:line="400" w:lineRule="exact"/>
    </w:pPr>
    <w:rPr>
      <w:rFonts w:ascii="Times New Roman"/>
      <w:sz w:val="28"/>
      <w:szCs w:val="28"/>
    </w:rPr>
  </w:style>
  <w:style w:type="paragraph" w:customStyle="1" w:styleId="83">
    <w:name w:val="封面一致性程度标识"/>
    <w:basedOn w:val="82"/>
    <w:qFormat/>
    <w:uiPriority w:val="0"/>
    <w:pPr>
      <w:framePr w:wrap="around"/>
      <w:spacing w:before="440"/>
    </w:pPr>
    <w:rPr>
      <w:rFonts w:ascii="宋体" w:eastAsia="宋体"/>
    </w:rPr>
  </w:style>
  <w:style w:type="paragraph" w:customStyle="1" w:styleId="84">
    <w:name w:val="封面标准文稿类别"/>
    <w:basedOn w:val="83"/>
    <w:qFormat/>
    <w:uiPriority w:val="0"/>
    <w:pPr>
      <w:framePr w:wrap="around"/>
      <w:spacing w:after="160" w:line="240" w:lineRule="auto"/>
    </w:pPr>
    <w:rPr>
      <w:sz w:val="24"/>
    </w:rPr>
  </w:style>
  <w:style w:type="paragraph" w:customStyle="1" w:styleId="85">
    <w:name w:val="封面标准文稿编辑信息"/>
    <w:basedOn w:val="84"/>
    <w:qFormat/>
    <w:uiPriority w:val="0"/>
    <w:pPr>
      <w:framePr w:wrap="around"/>
      <w:spacing w:before="180" w:line="180" w:lineRule="exact"/>
    </w:pPr>
    <w:rPr>
      <w:sz w:val="21"/>
    </w:rPr>
  </w:style>
  <w:style w:type="paragraph" w:customStyle="1" w:styleId="86">
    <w:name w:val="封面正文"/>
    <w:qFormat/>
    <w:uiPriority w:val="0"/>
    <w:pPr>
      <w:jc w:val="both"/>
    </w:pPr>
    <w:rPr>
      <w:rFonts w:ascii="Times New Roman" w:hAnsi="Times New Roman" w:eastAsia="宋体" w:cs="Times New Roman"/>
      <w:lang w:val="en-US" w:eastAsia="zh-CN" w:bidi="ar-SA"/>
    </w:rPr>
  </w:style>
  <w:style w:type="paragraph" w:customStyle="1" w:styleId="87">
    <w:name w:val="附录标识"/>
    <w:basedOn w:val="1"/>
    <w:next w:val="25"/>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8">
    <w:name w:val="附录标题"/>
    <w:basedOn w:val="25"/>
    <w:next w:val="25"/>
    <w:qFormat/>
    <w:uiPriority w:val="0"/>
    <w:pPr>
      <w:ind w:firstLine="0" w:firstLineChars="0"/>
      <w:jc w:val="center"/>
    </w:pPr>
    <w:rPr>
      <w:rFonts w:ascii="黑体" w:eastAsia="黑体"/>
    </w:rPr>
  </w:style>
  <w:style w:type="paragraph" w:customStyle="1" w:styleId="89">
    <w:name w:val="附录表标号"/>
    <w:basedOn w:val="1"/>
    <w:next w:val="25"/>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90">
    <w:name w:val="附录表标题"/>
    <w:basedOn w:val="1"/>
    <w:next w:val="25"/>
    <w:qFormat/>
    <w:uiPriority w:val="0"/>
    <w:pPr>
      <w:numPr>
        <w:ilvl w:val="1"/>
        <w:numId w:val="12"/>
      </w:numPr>
      <w:tabs>
        <w:tab w:val="left" w:pos="0"/>
        <w:tab w:val="left" w:pos="180"/>
      </w:tabs>
      <w:spacing w:before="50" w:beforeLines="50" w:after="50" w:afterLines="50"/>
      <w:jc w:val="center"/>
    </w:pPr>
    <w:rPr>
      <w:rFonts w:ascii="黑体" w:eastAsia="黑体"/>
      <w:szCs w:val="21"/>
    </w:rPr>
  </w:style>
  <w:style w:type="paragraph" w:customStyle="1" w:styleId="91">
    <w:name w:val="附录二级条标题"/>
    <w:basedOn w:val="1"/>
    <w:next w:val="25"/>
    <w:qFormat/>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2">
    <w:name w:val="附录二级无"/>
    <w:basedOn w:val="91"/>
    <w:qFormat/>
    <w:uiPriority w:val="0"/>
    <w:pPr>
      <w:tabs>
        <w:tab w:val="clear" w:pos="360"/>
      </w:tabs>
      <w:spacing w:before="0" w:beforeLines="0" w:after="0" w:afterLines="0"/>
    </w:pPr>
    <w:rPr>
      <w:rFonts w:ascii="宋体" w:eastAsia="宋体"/>
      <w:szCs w:val="21"/>
    </w:rPr>
  </w:style>
  <w:style w:type="paragraph" w:customStyle="1" w:styleId="93">
    <w:name w:val="附录公式"/>
    <w:basedOn w:val="25"/>
    <w:next w:val="25"/>
    <w:link w:val="94"/>
    <w:qFormat/>
    <w:uiPriority w:val="0"/>
  </w:style>
  <w:style w:type="character" w:customStyle="1" w:styleId="94">
    <w:name w:val="附录公式 Char"/>
    <w:basedOn w:val="44"/>
    <w:link w:val="93"/>
    <w:qFormat/>
    <w:uiPriority w:val="0"/>
    <w:rPr>
      <w:rFonts w:ascii="宋体"/>
      <w:sz w:val="21"/>
      <w:lang w:val="en-US" w:eastAsia="zh-CN" w:bidi="ar-SA"/>
    </w:rPr>
  </w:style>
  <w:style w:type="paragraph" w:customStyle="1" w:styleId="95">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96">
    <w:name w:val="附录三级条标题"/>
    <w:basedOn w:val="91"/>
    <w:next w:val="25"/>
    <w:qFormat/>
    <w:uiPriority w:val="0"/>
    <w:pPr>
      <w:numPr>
        <w:ilvl w:val="4"/>
      </w:numPr>
      <w:outlineLvl w:val="4"/>
    </w:pPr>
  </w:style>
  <w:style w:type="paragraph" w:customStyle="1" w:styleId="97">
    <w:name w:val="附录三级无"/>
    <w:basedOn w:val="96"/>
    <w:qFormat/>
    <w:uiPriority w:val="0"/>
    <w:pPr>
      <w:tabs>
        <w:tab w:val="clear" w:pos="360"/>
      </w:tabs>
      <w:spacing w:before="0" w:beforeLines="0" w:after="0" w:afterLines="0"/>
    </w:pPr>
    <w:rPr>
      <w:rFonts w:ascii="宋体" w:eastAsia="宋体"/>
      <w:szCs w:val="21"/>
    </w:rPr>
  </w:style>
  <w:style w:type="paragraph" w:customStyle="1" w:styleId="98">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9">
    <w:name w:val="附录四级条标题"/>
    <w:basedOn w:val="96"/>
    <w:next w:val="25"/>
    <w:qFormat/>
    <w:uiPriority w:val="0"/>
    <w:pPr>
      <w:numPr>
        <w:ilvl w:val="5"/>
      </w:numPr>
      <w:outlineLvl w:val="5"/>
    </w:pPr>
  </w:style>
  <w:style w:type="paragraph" w:customStyle="1" w:styleId="100">
    <w:name w:val="附录四级无"/>
    <w:basedOn w:val="99"/>
    <w:qFormat/>
    <w:uiPriority w:val="0"/>
    <w:pPr>
      <w:tabs>
        <w:tab w:val="clear" w:pos="360"/>
      </w:tabs>
      <w:spacing w:before="0" w:beforeLines="0" w:after="0" w:afterLines="0"/>
    </w:pPr>
    <w:rPr>
      <w:rFonts w:ascii="宋体" w:eastAsia="宋体"/>
      <w:szCs w:val="21"/>
    </w:rPr>
  </w:style>
  <w:style w:type="paragraph" w:customStyle="1" w:styleId="101">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2">
    <w:name w:val="附录图标题"/>
    <w:basedOn w:val="1"/>
    <w:next w:val="25"/>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03">
    <w:name w:val="附录五级条标题"/>
    <w:basedOn w:val="99"/>
    <w:next w:val="25"/>
    <w:qFormat/>
    <w:uiPriority w:val="0"/>
    <w:pPr>
      <w:numPr>
        <w:ilvl w:val="6"/>
      </w:numPr>
      <w:outlineLvl w:val="6"/>
    </w:pPr>
  </w:style>
  <w:style w:type="paragraph" w:customStyle="1" w:styleId="104">
    <w:name w:val="附录五级无"/>
    <w:basedOn w:val="103"/>
    <w:qFormat/>
    <w:uiPriority w:val="0"/>
    <w:pPr>
      <w:tabs>
        <w:tab w:val="clear" w:pos="360"/>
      </w:tabs>
      <w:spacing w:before="0" w:beforeLines="0" w:after="0" w:afterLines="0"/>
    </w:pPr>
    <w:rPr>
      <w:rFonts w:ascii="宋体" w:eastAsia="宋体"/>
      <w:szCs w:val="21"/>
    </w:rPr>
  </w:style>
  <w:style w:type="paragraph" w:customStyle="1" w:styleId="105">
    <w:name w:val="附录章标题"/>
    <w:next w:val="25"/>
    <w:qFormat/>
    <w:uiPriority w:val="0"/>
    <w:pPr>
      <w:numPr>
        <w:ilvl w:val="1"/>
        <w:numId w:val="1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6">
    <w:name w:val="附录一级条标题"/>
    <w:basedOn w:val="105"/>
    <w:next w:val="25"/>
    <w:qFormat/>
    <w:uiPriority w:val="0"/>
    <w:pPr>
      <w:numPr>
        <w:ilvl w:val="2"/>
      </w:numPr>
      <w:autoSpaceDN w:val="0"/>
      <w:spacing w:before="50" w:beforeLines="50" w:after="50" w:afterLines="50"/>
      <w:outlineLvl w:val="2"/>
    </w:pPr>
  </w:style>
  <w:style w:type="paragraph" w:customStyle="1" w:styleId="107">
    <w:name w:val="附录一级无"/>
    <w:basedOn w:val="106"/>
    <w:qFormat/>
    <w:uiPriority w:val="0"/>
    <w:pPr>
      <w:tabs>
        <w:tab w:val="clear" w:pos="360"/>
      </w:tabs>
      <w:spacing w:before="0" w:beforeLines="0" w:after="0" w:afterLines="0"/>
    </w:pPr>
    <w:rPr>
      <w:rFonts w:ascii="宋体" w:eastAsia="宋体"/>
      <w:szCs w:val="21"/>
    </w:rPr>
  </w:style>
  <w:style w:type="paragraph" w:customStyle="1" w:styleId="108">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9">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0">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2">
    <w:name w:val="其他标准标志"/>
    <w:basedOn w:val="69"/>
    <w:qFormat/>
    <w:uiPriority w:val="0"/>
    <w:pPr>
      <w:framePr w:w="6101" w:wrap="around" w:vAnchor="page" w:hAnchor="page" w:x="4673" w:y="942"/>
    </w:pPr>
    <w:rPr>
      <w:w w:val="130"/>
    </w:rPr>
  </w:style>
  <w:style w:type="paragraph" w:customStyle="1" w:styleId="11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4">
    <w:name w:val="其他发布部门"/>
    <w:basedOn w:val="77"/>
    <w:qFormat/>
    <w:uiPriority w:val="0"/>
    <w:pPr>
      <w:framePr w:wrap="around" w:y="15310"/>
      <w:spacing w:line="0" w:lineRule="atLeast"/>
    </w:pPr>
    <w:rPr>
      <w:rFonts w:ascii="黑体" w:eastAsia="黑体"/>
      <w:b w:val="0"/>
    </w:rPr>
  </w:style>
  <w:style w:type="paragraph" w:customStyle="1" w:styleId="115">
    <w:name w:val="前言、引言标题"/>
    <w:next w:val="2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6">
    <w:name w:val="三级无"/>
    <w:basedOn w:val="54"/>
    <w:qFormat/>
    <w:uiPriority w:val="0"/>
    <w:pPr>
      <w:spacing w:before="0" w:beforeLines="0" w:after="0" w:afterLines="0"/>
    </w:pPr>
    <w:rPr>
      <w:rFonts w:ascii="宋体" w:eastAsia="宋体"/>
    </w:rPr>
  </w:style>
  <w:style w:type="paragraph" w:customStyle="1" w:styleId="117">
    <w:name w:val="实施日期"/>
    <w:basedOn w:val="78"/>
    <w:qFormat/>
    <w:uiPriority w:val="0"/>
    <w:pPr>
      <w:framePr w:wrap="around" w:vAnchor="page" w:hAnchor="text"/>
      <w:jc w:val="right"/>
    </w:pPr>
  </w:style>
  <w:style w:type="paragraph" w:customStyle="1" w:styleId="118">
    <w:name w:val="示例后文字"/>
    <w:basedOn w:val="25"/>
    <w:next w:val="25"/>
    <w:qFormat/>
    <w:uiPriority w:val="0"/>
    <w:pPr>
      <w:ind w:firstLine="360"/>
    </w:pPr>
    <w:rPr>
      <w:sz w:val="18"/>
    </w:rPr>
  </w:style>
  <w:style w:type="paragraph" w:customStyle="1" w:styleId="119">
    <w:name w:val="首示例"/>
    <w:next w:val="25"/>
    <w:link w:val="120"/>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20">
    <w:name w:val="首示例 Char"/>
    <w:link w:val="119"/>
    <w:qFormat/>
    <w:uiPriority w:val="0"/>
    <w:rPr>
      <w:rFonts w:ascii="宋体" w:hAnsi="宋体"/>
      <w:kern w:val="2"/>
      <w:sz w:val="18"/>
      <w:szCs w:val="18"/>
    </w:rPr>
  </w:style>
  <w:style w:type="paragraph" w:customStyle="1" w:styleId="121">
    <w:name w:val="四级无"/>
    <w:basedOn w:val="58"/>
    <w:qFormat/>
    <w:uiPriority w:val="0"/>
    <w:pPr>
      <w:spacing w:before="0" w:beforeLines="0" w:after="0" w:afterLines="0"/>
    </w:pPr>
    <w:rPr>
      <w:rFonts w:ascii="宋体" w:eastAsia="宋体"/>
    </w:rPr>
  </w:style>
  <w:style w:type="paragraph" w:customStyle="1" w:styleId="122">
    <w:name w:val="条文脚注"/>
    <w:basedOn w:val="26"/>
    <w:link w:val="155"/>
    <w:qFormat/>
    <w:uiPriority w:val="0"/>
    <w:pPr>
      <w:numPr>
        <w:numId w:val="0"/>
      </w:numPr>
      <w:jc w:val="both"/>
    </w:pPr>
  </w:style>
  <w:style w:type="paragraph" w:customStyle="1" w:styleId="123">
    <w:name w:val="图标脚注说明"/>
    <w:basedOn w:val="25"/>
    <w:qFormat/>
    <w:uiPriority w:val="0"/>
    <w:pPr>
      <w:ind w:left="840" w:hanging="420" w:firstLineChars="0"/>
    </w:pPr>
    <w:rPr>
      <w:sz w:val="18"/>
      <w:szCs w:val="18"/>
    </w:rPr>
  </w:style>
  <w:style w:type="paragraph" w:customStyle="1" w:styleId="124">
    <w:name w:val="图表脚注说明"/>
    <w:basedOn w:val="1"/>
    <w:qFormat/>
    <w:uiPriority w:val="0"/>
    <w:pPr>
      <w:numPr>
        <w:ilvl w:val="0"/>
        <w:numId w:val="16"/>
      </w:numPr>
    </w:pPr>
    <w:rPr>
      <w:rFonts w:ascii="宋体"/>
      <w:sz w:val="18"/>
      <w:szCs w:val="18"/>
    </w:rPr>
  </w:style>
  <w:style w:type="paragraph" w:customStyle="1" w:styleId="125">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7">
    <w:name w:val="五级无"/>
    <w:basedOn w:val="59"/>
    <w:qFormat/>
    <w:uiPriority w:val="0"/>
    <w:pPr>
      <w:spacing w:before="0" w:beforeLines="0" w:after="0" w:afterLines="0"/>
    </w:pPr>
    <w:rPr>
      <w:rFonts w:ascii="宋体" w:eastAsia="宋体"/>
    </w:rPr>
  </w:style>
  <w:style w:type="paragraph" w:customStyle="1" w:styleId="128">
    <w:name w:val="一级无"/>
    <w:basedOn w:val="45"/>
    <w:qFormat/>
    <w:uiPriority w:val="0"/>
    <w:pPr>
      <w:spacing w:before="0" w:beforeLines="0" w:after="0" w:afterLines="0"/>
    </w:pPr>
    <w:rPr>
      <w:rFonts w:ascii="宋体" w:eastAsia="宋体"/>
    </w:rPr>
  </w:style>
  <w:style w:type="paragraph" w:customStyle="1" w:styleId="129">
    <w:name w:val="正文表标题"/>
    <w:next w:val="25"/>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0">
    <w:name w:val="正文公式编号制表符"/>
    <w:basedOn w:val="25"/>
    <w:next w:val="25"/>
    <w:qFormat/>
    <w:uiPriority w:val="0"/>
    <w:pPr>
      <w:ind w:firstLine="0" w:firstLineChars="0"/>
    </w:pPr>
  </w:style>
  <w:style w:type="paragraph" w:customStyle="1" w:styleId="131">
    <w:name w:val="正文图标题"/>
    <w:next w:val="25"/>
    <w:qFormat/>
    <w:uiPriority w:val="0"/>
    <w:pPr>
      <w:numPr>
        <w:ilvl w:val="0"/>
        <w:numId w:val="18"/>
      </w:numPr>
      <w:spacing w:before="156" w:beforeLines="50" w:after="156" w:afterLines="50"/>
      <w:jc w:val="center"/>
    </w:pPr>
    <w:rPr>
      <w:rFonts w:ascii="黑体" w:hAnsi="Times New Roman" w:eastAsia="黑体" w:cs="Times New Roman"/>
      <w:sz w:val="21"/>
      <w:lang w:val="en-US" w:eastAsia="zh-CN" w:bidi="ar-SA"/>
    </w:rPr>
  </w:style>
  <w:style w:type="paragraph" w:customStyle="1" w:styleId="132">
    <w:name w:val="终结线"/>
    <w:basedOn w:val="1"/>
    <w:qFormat/>
    <w:uiPriority w:val="0"/>
    <w:pPr>
      <w:framePr w:hSpace="181" w:vSpace="181" w:wrap="around" w:vAnchor="text" w:hAnchor="margin" w:xAlign="center" w:y="285"/>
    </w:pPr>
  </w:style>
  <w:style w:type="paragraph" w:customStyle="1" w:styleId="133">
    <w:name w:val="其他发布日期"/>
    <w:basedOn w:val="78"/>
    <w:qFormat/>
    <w:uiPriority w:val="0"/>
    <w:pPr>
      <w:framePr w:wrap="around" w:vAnchor="page" w:hAnchor="text" w:x="1419"/>
    </w:pPr>
  </w:style>
  <w:style w:type="paragraph" w:customStyle="1" w:styleId="134">
    <w:name w:val="其他实施日期"/>
    <w:basedOn w:val="117"/>
    <w:qFormat/>
    <w:uiPriority w:val="0"/>
    <w:pPr>
      <w:framePr w:wrap="around"/>
    </w:pPr>
  </w:style>
  <w:style w:type="paragraph" w:customStyle="1" w:styleId="135">
    <w:name w:val="封面标准名称2"/>
    <w:basedOn w:val="81"/>
    <w:qFormat/>
    <w:uiPriority w:val="0"/>
    <w:pPr>
      <w:framePr w:wrap="around" w:y="4469"/>
      <w:spacing w:before="630" w:beforeLines="630"/>
    </w:pPr>
  </w:style>
  <w:style w:type="paragraph" w:customStyle="1" w:styleId="136">
    <w:name w:val="封面标准英文名称2"/>
    <w:basedOn w:val="82"/>
    <w:qFormat/>
    <w:uiPriority w:val="0"/>
    <w:pPr>
      <w:framePr w:wrap="around" w:y="4469"/>
    </w:pPr>
  </w:style>
  <w:style w:type="paragraph" w:customStyle="1" w:styleId="137">
    <w:name w:val="封面一致性程度标识2"/>
    <w:basedOn w:val="83"/>
    <w:qFormat/>
    <w:uiPriority w:val="0"/>
    <w:pPr>
      <w:framePr w:wrap="around" w:y="4469"/>
    </w:pPr>
  </w:style>
  <w:style w:type="paragraph" w:customStyle="1" w:styleId="138">
    <w:name w:val="封面标准文稿类别2"/>
    <w:basedOn w:val="84"/>
    <w:qFormat/>
    <w:uiPriority w:val="0"/>
    <w:pPr>
      <w:framePr w:wrap="around" w:y="4469"/>
    </w:pPr>
  </w:style>
  <w:style w:type="paragraph" w:customStyle="1" w:styleId="139">
    <w:name w:val="封面标准文稿编辑信息2"/>
    <w:basedOn w:val="85"/>
    <w:qFormat/>
    <w:uiPriority w:val="0"/>
    <w:pPr>
      <w:framePr w:wrap="around" w:y="4469"/>
    </w:pPr>
  </w:style>
  <w:style w:type="character" w:customStyle="1" w:styleId="140">
    <w:name w:val="正文文本 字符"/>
    <w:link w:val="11"/>
    <w:qFormat/>
    <w:uiPriority w:val="0"/>
    <w:rPr>
      <w:rFonts w:ascii="宋体" w:hAnsi="宋体" w:cs="宋体"/>
      <w:sz w:val="21"/>
      <w:szCs w:val="21"/>
      <w:lang w:val="zh-CN" w:bidi="zh-CN"/>
    </w:rPr>
  </w:style>
  <w:style w:type="paragraph" w:customStyle="1" w:styleId="141">
    <w:name w:val="Table Paragraph"/>
    <w:basedOn w:val="1"/>
    <w:qFormat/>
    <w:uiPriority w:val="1"/>
    <w:pPr>
      <w:autoSpaceDE w:val="0"/>
      <w:autoSpaceDN w:val="0"/>
      <w:jc w:val="left"/>
    </w:pPr>
    <w:rPr>
      <w:rFonts w:ascii="宋体" w:hAnsi="宋体" w:cs="宋体"/>
      <w:kern w:val="0"/>
      <w:sz w:val="22"/>
      <w:szCs w:val="22"/>
      <w:lang w:val="zh-CN" w:bidi="zh-CN"/>
    </w:rPr>
  </w:style>
  <w:style w:type="table" w:customStyle="1" w:styleId="142">
    <w:name w:val="Table Normal"/>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43">
    <w:name w:val="Default"/>
    <w:qFormat/>
    <w:uiPriority w:val="0"/>
    <w:pPr>
      <w:widowControl w:val="0"/>
      <w:autoSpaceDE w:val="0"/>
      <w:autoSpaceDN w:val="0"/>
      <w:adjustRightInd w:val="0"/>
    </w:pPr>
    <w:rPr>
      <w:rFonts w:ascii="宋体" w:hAnsi="Times New Roman" w:eastAsia="宋体" w:cs="宋体"/>
      <w:lang w:val="en-US" w:eastAsia="zh-CN" w:bidi="ar-SA"/>
    </w:rPr>
  </w:style>
  <w:style w:type="paragraph" w:styleId="144">
    <w:name w:val="List Paragraph"/>
    <w:basedOn w:val="1"/>
    <w:qFormat/>
    <w:uiPriority w:val="34"/>
    <w:pPr>
      <w:ind w:firstLine="420" w:firstLineChars="200"/>
    </w:pPr>
  </w:style>
  <w:style w:type="character" w:customStyle="1" w:styleId="145">
    <w:name w:val="标题 1 字符"/>
    <w:link w:val="3"/>
    <w:qFormat/>
    <w:uiPriority w:val="0"/>
    <w:rPr>
      <w:b/>
      <w:bCs/>
      <w:kern w:val="44"/>
      <w:sz w:val="44"/>
      <w:szCs w:val="44"/>
    </w:rPr>
  </w:style>
  <w:style w:type="paragraph" w:customStyle="1" w:styleId="146">
    <w:name w:val="TOC 标题1"/>
    <w:basedOn w:val="3"/>
    <w:next w:val="1"/>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147">
    <w:name w:val="批注框文本 字符"/>
    <w:link w:val="18"/>
    <w:qFormat/>
    <w:uiPriority w:val="0"/>
    <w:rPr>
      <w:kern w:val="2"/>
      <w:sz w:val="18"/>
      <w:szCs w:val="18"/>
    </w:rPr>
  </w:style>
  <w:style w:type="character" w:styleId="148">
    <w:name w:val="Placeholder Text"/>
    <w:semiHidden/>
    <w:qFormat/>
    <w:uiPriority w:val="99"/>
    <w:rPr>
      <w:color w:val="808080"/>
    </w:rPr>
  </w:style>
  <w:style w:type="character" w:customStyle="1" w:styleId="149">
    <w:name w:val="批注文字 字符"/>
    <w:basedOn w:val="37"/>
    <w:link w:val="9"/>
    <w:qFormat/>
    <w:uiPriority w:val="0"/>
    <w:rPr>
      <w:kern w:val="2"/>
      <w:sz w:val="21"/>
      <w:szCs w:val="24"/>
    </w:rPr>
  </w:style>
  <w:style w:type="character" w:customStyle="1" w:styleId="150">
    <w:name w:val="批注主题 字符"/>
    <w:basedOn w:val="149"/>
    <w:link w:val="34"/>
    <w:qFormat/>
    <w:uiPriority w:val="0"/>
    <w:rPr>
      <w:b/>
      <w:bCs/>
      <w:kern w:val="2"/>
      <w:sz w:val="21"/>
      <w:szCs w:val="24"/>
    </w:rPr>
  </w:style>
  <w:style w:type="paragraph" w:customStyle="1" w:styleId="151">
    <w:name w:val="列出段落2"/>
    <w:basedOn w:val="1"/>
    <w:qFormat/>
    <w:uiPriority w:val="99"/>
    <w:pPr>
      <w:ind w:firstLine="420" w:firstLineChars="200"/>
    </w:pPr>
    <w:rPr>
      <w:rFonts w:ascii="Calibri" w:hAnsi="Calibri" w:cs="黑体"/>
      <w:szCs w:val="22"/>
    </w:rPr>
  </w:style>
  <w:style w:type="paragraph" w:customStyle="1" w:styleId="152">
    <w:name w:val="WPSOffice手动目录 1"/>
    <w:qFormat/>
    <w:uiPriority w:val="0"/>
    <w:rPr>
      <w:rFonts w:ascii="Times New Roman" w:hAnsi="Times New Roman" w:eastAsia="宋体" w:cs="Times New Roman"/>
      <w:lang w:val="en-US" w:eastAsia="zh-CN" w:bidi="ar-SA"/>
    </w:rPr>
  </w:style>
  <w:style w:type="paragraph" w:customStyle="1" w:styleId="153">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54">
    <w:name w:val="标准书眉_偶数页 Char"/>
    <w:link w:val="72"/>
    <w:qFormat/>
    <w:uiPriority w:val="0"/>
  </w:style>
  <w:style w:type="character" w:customStyle="1" w:styleId="155">
    <w:name w:val="条文脚注 Char"/>
    <w:link w:val="122"/>
    <w:qFormat/>
    <w:uiPriority w:val="0"/>
  </w:style>
  <w:style w:type="paragraph" w:customStyle="1" w:styleId="156">
    <w:name w:val="标准标志TB"/>
    <w:basedOn w:val="1"/>
    <w:qFormat/>
    <w:uiPriority w:val="0"/>
    <w:pPr>
      <w:widowControl/>
      <w:shd w:val="solid" w:color="FFFFFF" w:fill="FFFFFF"/>
      <w:spacing w:line="0" w:lineRule="atLeast"/>
      <w:jc w:val="right"/>
    </w:pPr>
    <w:rPr>
      <w:rFonts w:eastAsia="Arial Unicode MS"/>
      <w:b/>
      <w:w w:val="130"/>
      <w:sz w:val="96"/>
      <w:szCs w:val="20"/>
    </w:rPr>
  </w:style>
  <w:style w:type="paragraph" w:customStyle="1" w:styleId="157">
    <w:name w:val="TOC 标题2"/>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158">
    <w:name w:val="Revision"/>
    <w:hidden/>
    <w:semiHidden/>
    <w:qFormat/>
    <w:uiPriority w:val="99"/>
    <w:rPr>
      <w:rFonts w:ascii="Times New Roman" w:hAnsi="Times New Roman" w:eastAsia="宋体" w:cs="Times New Roman"/>
      <w:kern w:val="2"/>
      <w:sz w:val="21"/>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60"/>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25DB86-671D-462F-91A4-29FB33CFA67E}">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24</Pages>
  <Words>5279</Words>
  <Characters>5716</Characters>
  <Lines>116</Lines>
  <Paragraphs>32</Paragraphs>
  <TotalTime>34</TotalTime>
  <ScaleCrop>false</ScaleCrop>
  <LinksUpToDate>false</LinksUpToDate>
  <CharactersWithSpaces>5868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2022-11-02T03:34:00Z</dcterms:created>
  <dc:creator>CNIS</dc:creator>
  <cp:lastModifiedBy>冷亚玲</cp:lastModifiedBy>
  <cp:lastPrinted>2025-03-19T07:04:00Z</cp:lastPrinted>
  <dcterms:modified xsi:type="dcterms:W3CDTF">2025-06-04T08:48:22Z</dcterms:modified>
  <dc:title>标准名称</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A36F28F5623944D1B383F69516B3DC16_13</vt:lpwstr>
  </property>
  <property fmtid="{D5CDD505-2E9C-101B-9397-08002B2CF9AE}" pid="4" name="KSOTemplateDocerSaveRecord">
    <vt:lpwstr>eyJoZGlkIjoiMjYzZWRiMTZmMWE3YzFlYjRlNjUxYjMyYmI3NGM2NDciLCJ1c2VySWQiOiI1MDg0NTg2MzgifQ==</vt:lpwstr>
  </property>
</Properties>
</file>