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4E8D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6AF863AA">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6145409">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sz w:val="21"/>
                <w:szCs w:val="21"/>
              </w:rPr>
              <w:fldChar w:fldCharType="begin">
                <w:ffData>
                  <w:name w:val="ICS"/>
                  <w:enabled/>
                  <w:calcOnExit w:val="0"/>
                  <w:textInput>
                    <w:default w:val="030.16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030.160</w:t>
            </w:r>
            <w:r>
              <w:rPr>
                <w:rFonts w:hint="eastAsia" w:ascii="黑体" w:hAnsi="黑体" w:eastAsia="黑体"/>
                <w:sz w:val="21"/>
                <w:szCs w:val="21"/>
              </w:rPr>
              <w:fldChar w:fldCharType="end"/>
            </w:r>
            <w:bookmarkEnd w:id="0"/>
          </w:p>
        </w:tc>
      </w:tr>
      <w:tr w14:paraId="1A847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2A81219">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EFF154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14CB1C08">
                  <w:pPr>
                    <w:pStyle w:val="51"/>
                    <w:framePr w:wrap="notBeside" w:vAnchor="page" w:hAnchor="page" w:x="1372" w:y="568"/>
                    <w:ind w:left="420" w:right="624"/>
                    <w:rPr>
                      <w:rFonts w:hint="eastAsia" w:ascii="宋体" w:hAnsi="宋体"/>
                      <w:sz w:val="28"/>
                      <w:szCs w:val="28"/>
                    </w:rPr>
                  </w:pPr>
                </w:p>
              </w:tc>
            </w:tr>
          </w:tbl>
          <w:p w14:paraId="2AE1263B">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sz w:val="21"/>
                <w:szCs w:val="21"/>
              </w:rPr>
              <w:fldChar w:fldCharType="begin">
                <w:ffData>
                  <w:name w:val="CSDN"/>
                  <w:enabled/>
                  <w:calcOnExit w:val="0"/>
                  <w:textInput>
                    <w:default w:val="A 0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A 00</w:t>
            </w:r>
            <w:r>
              <w:rPr>
                <w:rFonts w:hint="eastAsia" w:ascii="黑体" w:hAnsi="黑体" w:eastAsia="黑体"/>
                <w:sz w:val="21"/>
                <w:szCs w:val="21"/>
              </w:rPr>
              <w:fldChar w:fldCharType="end"/>
            </w:r>
            <w:bookmarkEnd w:id="1"/>
          </w:p>
        </w:tc>
      </w:tr>
    </w:tbl>
    <w:p w14:paraId="66EB5F6C">
      <w:pPr>
        <w:pStyle w:val="52"/>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6EB88E18">
      <w:pPr>
        <w:pStyle w:val="197"/>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Pr>
          <w:rFonts w:hint="eastAsia"/>
        </w:rPr>
        <w:t>SZS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39302315">
      <w:pPr>
        <w:pStyle w:val="198"/>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06BEB9E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DEF2551">
      <w:pPr>
        <w:pStyle w:val="52"/>
        <w:framePr w:w="9639" w:h="6976" w:hRule="exact" w:hSpace="0" w:vSpace="0" w:wrap="around" w:hAnchor="page" w:y="6408"/>
        <w:jc w:val="center"/>
        <w:rPr>
          <w:rFonts w:hint="eastAsia" w:ascii="黑体" w:hAnsi="黑体" w:eastAsia="黑体"/>
          <w:b w:val="0"/>
          <w:bCs w:val="0"/>
          <w:w w:val="100"/>
        </w:rPr>
      </w:pPr>
    </w:p>
    <w:p w14:paraId="3A777010">
      <w:pPr>
        <w:pStyle w:val="199"/>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商事调解服务规范 信用卡纠纷类案件</w:t>
      </w:r>
      <w:r>
        <w:fldChar w:fldCharType="end"/>
      </w:r>
      <w:bookmarkEnd w:id="7"/>
    </w:p>
    <w:p w14:paraId="1312F546">
      <w:pPr>
        <w:framePr w:w="9639" w:h="6974" w:hRule="exact" w:wrap="around" w:vAnchor="page" w:hAnchor="page" w:x="1419" w:y="6408" w:anchorLock="1"/>
        <w:ind w:left="-1418"/>
      </w:pPr>
    </w:p>
    <w:p w14:paraId="595841A4">
      <w:pPr>
        <w:pStyle w:val="127"/>
        <w:framePr w:w="9639" w:h="6974" w:hRule="exact" w:wrap="around" w:vAnchor="page" w:hAnchor="page" w:x="1419" w:y="6408" w:anchorLock="1"/>
        <w:textAlignment w:val="bottom"/>
        <w:rPr>
          <w:rFonts w:eastAsia="黑体"/>
          <w:szCs w:val="28"/>
        </w:rPr>
      </w:pPr>
      <w:bookmarkStart w:id="8" w:name="ESTD_NAME"/>
      <w:r>
        <w:rPr>
          <w:rFonts w:ascii="Times New Roman" w:hAnsi="Times New Roman" w:eastAsia="黑体" w:cs="Times New Roman"/>
          <w:sz w:val="28"/>
          <w:szCs w:val="28"/>
          <w:lang w:val="en-US" w:eastAsia="zh-CN" w:bidi="ar-SA"/>
        </w:rPr>
        <w:fldChar w:fldCharType="begin">
          <w:ffData>
            <w:name w:val="ESTD_NAME"/>
            <w:enabled/>
            <w:calcOnExit w:val="0"/>
            <w:textInput>
              <w:default w:val="Specification for commercial mediation service—Credit card dispute cases"/>
            </w:textInput>
          </w:ffData>
        </w:fldChar>
      </w:r>
      <w:r>
        <w:rPr>
          <w:rFonts w:ascii="Times New Roman" w:hAnsi="Times New Roman" w:eastAsia="黑体" w:cs="Times New Roman"/>
          <w:sz w:val="28"/>
          <w:szCs w:val="28"/>
          <w:lang w:val="en-US" w:eastAsia="zh-CN" w:bidi="ar-SA"/>
        </w:rPr>
        <w:instrText xml:space="preserve">FORMTEXT</w:instrText>
      </w:r>
      <w:r>
        <w:rPr>
          <w:rFonts w:ascii="Times New Roman" w:hAnsi="Times New Roman" w:eastAsia="黑体" w:cs="Times New Roman"/>
          <w:sz w:val="28"/>
          <w:szCs w:val="28"/>
          <w:lang w:val="en-US" w:eastAsia="zh-CN" w:bidi="ar-SA"/>
        </w:rPr>
        <w:fldChar w:fldCharType="separate"/>
      </w:r>
      <w:r>
        <w:rPr>
          <w:rFonts w:ascii="Times New Roman" w:hAnsi="Times New Roman" w:eastAsia="黑体" w:cs="Times New Roman"/>
          <w:sz w:val="28"/>
          <w:szCs w:val="28"/>
          <w:lang w:val="en-US" w:eastAsia="zh-CN" w:bidi="ar-SA"/>
        </w:rPr>
        <w:t>Specification for commercial mediation service—Credit card dispute cases</w:t>
      </w:r>
      <w:r>
        <w:rPr>
          <w:rFonts w:ascii="Times New Roman" w:hAnsi="Times New Roman" w:eastAsia="黑体" w:cs="Times New Roman"/>
          <w:sz w:val="28"/>
          <w:szCs w:val="28"/>
          <w:lang w:val="en-US" w:eastAsia="zh-CN" w:bidi="ar-SA"/>
        </w:rPr>
        <w:fldChar w:fldCharType="end"/>
      </w:r>
      <w:bookmarkEnd w:id="8"/>
    </w:p>
    <w:p w14:paraId="29DB07CC">
      <w:pPr>
        <w:framePr w:w="9639" w:h="6974" w:hRule="exact" w:wrap="around" w:vAnchor="page" w:hAnchor="page" w:x="1419" w:y="6408" w:anchorLock="1"/>
        <w:spacing w:line="760" w:lineRule="exact"/>
        <w:ind w:left="-1418"/>
      </w:pPr>
    </w:p>
    <w:p w14:paraId="52C6E112">
      <w:pPr>
        <w:pStyle w:val="127"/>
        <w:framePr w:w="9639" w:h="6974" w:hRule="exact" w:wrap="around" w:vAnchor="page" w:hAnchor="page" w:x="1419" w:y="6408" w:anchorLock="1"/>
        <w:textAlignment w:val="bottom"/>
        <w:rPr>
          <w:rFonts w:eastAsia="黑体"/>
          <w:szCs w:val="28"/>
        </w:rPr>
      </w:pPr>
    </w:p>
    <w:p w14:paraId="32B53FB7">
      <w:pPr>
        <w:pStyle w:val="127"/>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6E5A1097">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103B6B24">
      <w:pPr>
        <w:pStyle w:val="127"/>
        <w:framePr w:w="9639" w:h="6974" w:hRule="exact" w:wrap="around" w:vAnchor="page" w:hAnchor="page" w:x="1419" w:y="6408" w:anchorLock="1"/>
        <w:spacing w:before="720" w:beforeLines="300" w:after="72" w:afterLines="30" w:line="240" w:lineRule="auto"/>
        <w:textAlignment w:val="bottom"/>
        <w:rPr>
          <w:b/>
          <w:sz w:val="21"/>
          <w:szCs w:val="28"/>
        </w:rPr>
      </w:pPr>
      <w:bookmarkStart w:id="11"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FORMDROPDOWN</w:instrText>
      </w:r>
      <w:r>
        <w:rPr>
          <w:b/>
          <w:sz w:val="21"/>
          <w:szCs w:val="28"/>
        </w:rPr>
        <w:fldChar w:fldCharType="separate"/>
      </w:r>
      <w:r>
        <w:rPr>
          <w:b/>
          <w:sz w:val="21"/>
          <w:szCs w:val="28"/>
        </w:rPr>
        <w:fldChar w:fldCharType="end"/>
      </w:r>
      <w:bookmarkEnd w:id="11"/>
    </w:p>
    <w:p w14:paraId="528A0856">
      <w:pPr>
        <w:pStyle w:val="19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146EB74B">
      <w:pPr>
        <w:pStyle w:val="19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67A68DF">
      <w:pPr>
        <w:pStyle w:val="153"/>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深圳市深圳标准促进会</w:t>
      </w:r>
      <w:r>
        <w:rPr>
          <w:rFonts w:hAnsi="黑体"/>
          <w:w w:val="100"/>
          <w:sz w:val="28"/>
        </w:rPr>
        <w:fldChar w:fldCharType="end"/>
      </w:r>
      <w:bookmarkEnd w:id="18"/>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51162ECB">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9204EA3">
      <w:pPr>
        <w:pStyle w:val="93"/>
        <w:spacing w:after="360"/>
        <w:rPr>
          <w:rFonts w:hint="eastAsia"/>
        </w:rPr>
      </w:pPr>
      <w:bookmarkStart w:id="19" w:name="BookMark1"/>
      <w:bookmarkStart w:id="20" w:name="_Toc195600140"/>
      <w:bookmarkStart w:id="21" w:name="_Toc196212527"/>
      <w:bookmarkStart w:id="22" w:name="_Toc196208114"/>
      <w:bookmarkStart w:id="23" w:name="_Toc195624256"/>
      <w:bookmarkStart w:id="24" w:name="_Toc196208182"/>
      <w:r>
        <w:rPr>
          <w:rFonts w:hint="eastAsia"/>
          <w:spacing w:val="320"/>
        </w:rPr>
        <w:t>目</w:t>
      </w:r>
      <w:r>
        <w:rPr>
          <w:rFonts w:hint="eastAsia"/>
        </w:rPr>
        <w:t>次</w:t>
      </w:r>
    </w:p>
    <w:p w14:paraId="424DAAA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"_Toc198629845"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_Toc198629845 \h</w:instrText>
      </w:r>
      <w:r>
        <w:rPr>
          <w:rFonts w:hint="eastAsia"/>
        </w:rPr>
        <w:instrText xml:space="preserve"> </w:instrText>
      </w:r>
      <w:r>
        <w:fldChar w:fldCharType="separate"/>
      </w:r>
      <w:r>
        <w:t>III</w:t>
      </w:r>
      <w:r>
        <w:rPr>
          <w:rFonts w:hint="eastAsia"/>
        </w:rPr>
        <w:fldChar w:fldCharType="end"/>
      </w:r>
      <w:r>
        <w:rPr>
          <w:rFonts w:hint="eastAsia"/>
        </w:rPr>
        <w:fldChar w:fldCharType="end"/>
      </w:r>
    </w:p>
    <w:p w14:paraId="389818F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"_Toc198629846" </w:instrText>
      </w:r>
      <w:r>
        <w:fldChar w:fldCharType="separate"/>
      </w:r>
      <w:r>
        <w:rPr>
          <w:rStyle w:val="33"/>
          <w:rFonts w:hint="eastAsia"/>
        </w:rPr>
        <w:t>引言</w:t>
      </w:r>
      <w:r>
        <w:rPr>
          <w:rFonts w:hint="eastAsia"/>
        </w:rPr>
        <w:tab/>
      </w:r>
      <w:r>
        <w:rPr>
          <w:rFonts w:hint="eastAsia"/>
        </w:rPr>
        <w:fldChar w:fldCharType="begin"/>
      </w:r>
      <w:r>
        <w:rPr>
          <w:rFonts w:hint="eastAsia"/>
        </w:rPr>
        <w:instrText xml:space="preserve"> </w:instrText>
      </w:r>
      <w:r>
        <w:instrText xml:space="preserve">PAGEREF _Toc198629846 \h</w:instrText>
      </w:r>
      <w:r>
        <w:rPr>
          <w:rFonts w:hint="eastAsia"/>
        </w:rPr>
        <w:instrText xml:space="preserve"> </w:instrText>
      </w:r>
      <w:r>
        <w:fldChar w:fldCharType="separate"/>
      </w:r>
      <w:r>
        <w:t>IV</w:t>
      </w:r>
      <w:r>
        <w:rPr>
          <w:rFonts w:hint="eastAsia"/>
        </w:rPr>
        <w:fldChar w:fldCharType="end"/>
      </w:r>
      <w:r>
        <w:rPr>
          <w:rFonts w:hint="eastAsia"/>
        </w:rPr>
        <w:fldChar w:fldCharType="end"/>
      </w:r>
    </w:p>
    <w:p w14:paraId="3E01945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"_Toc198629847"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_Toc198629847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DA4AFA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"_Toc198629848"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_Toc198629848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1F4C3D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"_Toc198629849"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_Toc198629849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60AAF5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"_Toc198629850" </w:instrText>
      </w:r>
      <w:r>
        <w:fldChar w:fldCharType="separate"/>
      </w:r>
      <w:r>
        <w:rPr>
          <w:rStyle w:val="33"/>
          <w:rFonts w:hint="eastAsia"/>
        </w:rPr>
        <w:t>4</w:t>
      </w:r>
      <w:r>
        <w:rPr>
          <w:rStyle w:val="33"/>
        </w:rPr>
        <w:t xml:space="preserve"> </w:t>
      </w:r>
      <w:r>
        <w:rPr>
          <w:rStyle w:val="33"/>
          <w:rFonts w:hint="eastAsia"/>
        </w:rPr>
        <w:t xml:space="preserve"> 服务原则</w:t>
      </w:r>
      <w:r>
        <w:rPr>
          <w:rFonts w:hint="eastAsia"/>
        </w:rPr>
        <w:tab/>
      </w:r>
      <w:r>
        <w:rPr>
          <w:rFonts w:hint="eastAsia"/>
        </w:rPr>
        <w:fldChar w:fldCharType="begin"/>
      </w:r>
      <w:r>
        <w:rPr>
          <w:rFonts w:hint="eastAsia"/>
        </w:rPr>
        <w:instrText xml:space="preserve"> </w:instrText>
      </w:r>
      <w:r>
        <w:instrText xml:space="preserve">PAGEREF _Toc198629850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2F6072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"_Toc198629851" </w:instrText>
      </w:r>
      <w:r>
        <w:fldChar w:fldCharType="separate"/>
      </w:r>
      <w:r>
        <w:rPr>
          <w:rStyle w:val="33"/>
          <w:rFonts w:hint="eastAsia"/>
          <w14:scene3d>
            <w14:lightRig w14:rig="threePt" w14:dir="t">
              <w14:rot w14:lat="0" w14:lon="0" w14:rev="0"/>
            </w14:lightRig>
          </w14:scene3d>
        </w:rPr>
        <w:t>4.1</w:t>
      </w:r>
      <w:r>
        <w:rPr>
          <w:rStyle w:val="33"/>
          <w14:scene3d>
            <w14:lightRig w14:rig="threePt" w14:dir="t">
              <w14:rot w14:lat="0" w14:lon="0" w14:rev="0"/>
            </w14:lightRig>
          </w14:scene3d>
        </w:rPr>
        <w:t xml:space="preserve"> </w:t>
      </w:r>
      <w:r>
        <w:rPr>
          <w:rStyle w:val="33"/>
          <w:rFonts w:hint="eastAsia"/>
        </w:rPr>
        <w:t xml:space="preserve"> 自愿原则</w:t>
      </w:r>
      <w:r>
        <w:rPr>
          <w:rFonts w:hint="eastAsia"/>
        </w:rPr>
        <w:tab/>
      </w:r>
      <w:r>
        <w:rPr>
          <w:rFonts w:hint="eastAsia"/>
        </w:rPr>
        <w:fldChar w:fldCharType="begin"/>
      </w:r>
      <w:r>
        <w:rPr>
          <w:rFonts w:hint="eastAsia"/>
        </w:rPr>
        <w:instrText xml:space="preserve"> </w:instrText>
      </w:r>
      <w:r>
        <w:instrText xml:space="preserve">PAGEREF _Toc198629851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37C6B8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"_Toc198629852" </w:instrText>
      </w:r>
      <w:r>
        <w:fldChar w:fldCharType="separate"/>
      </w:r>
      <w:r>
        <w:rPr>
          <w:rStyle w:val="33"/>
          <w:rFonts w:hint="eastAsia"/>
          <w14:scene3d>
            <w14:lightRig w14:rig="threePt" w14:dir="t">
              <w14:rot w14:lat="0" w14:lon="0" w14:rev="0"/>
            </w14:lightRig>
          </w14:scene3d>
        </w:rPr>
        <w:t>4.2</w:t>
      </w:r>
      <w:r>
        <w:rPr>
          <w:rStyle w:val="33"/>
          <w14:scene3d>
            <w14:lightRig w14:rig="threePt" w14:dir="t">
              <w14:rot w14:lat="0" w14:lon="0" w14:rev="0"/>
            </w14:lightRig>
          </w14:scene3d>
        </w:rPr>
        <w:t xml:space="preserve"> </w:t>
      </w:r>
      <w:r>
        <w:rPr>
          <w:rStyle w:val="33"/>
          <w:rFonts w:hint="eastAsia"/>
        </w:rPr>
        <w:t xml:space="preserve"> 合法合规原则</w:t>
      </w:r>
      <w:r>
        <w:rPr>
          <w:rFonts w:hint="eastAsia"/>
        </w:rPr>
        <w:tab/>
      </w:r>
      <w:r>
        <w:rPr>
          <w:rFonts w:hint="eastAsia"/>
        </w:rPr>
        <w:fldChar w:fldCharType="begin"/>
      </w:r>
      <w:r>
        <w:rPr>
          <w:rFonts w:hint="eastAsia"/>
        </w:rPr>
        <w:instrText xml:space="preserve"> </w:instrText>
      </w:r>
      <w:r>
        <w:instrText xml:space="preserve">PAGEREF _Toc198629852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73530F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"_Toc198629853" </w:instrText>
      </w:r>
      <w:r>
        <w:fldChar w:fldCharType="separate"/>
      </w:r>
      <w:r>
        <w:rPr>
          <w:rStyle w:val="33"/>
          <w:rFonts w:hint="eastAsia"/>
          <w14:scene3d>
            <w14:lightRig w14:rig="threePt" w14:dir="t">
              <w14:rot w14:lat="0" w14:lon="0" w14:rev="0"/>
            </w14:lightRig>
          </w14:scene3d>
        </w:rPr>
        <w:t>4.3</w:t>
      </w:r>
      <w:r>
        <w:rPr>
          <w:rStyle w:val="33"/>
          <w14:scene3d>
            <w14:lightRig w14:rig="threePt" w14:dir="t">
              <w14:rot w14:lat="0" w14:lon="0" w14:rev="0"/>
            </w14:lightRig>
          </w14:scene3d>
        </w:rPr>
        <w:t xml:space="preserve"> </w:t>
      </w:r>
      <w:r>
        <w:rPr>
          <w:rStyle w:val="33"/>
          <w:rFonts w:hint="eastAsia"/>
        </w:rPr>
        <w:t xml:space="preserve"> 公平公正原则</w:t>
      </w:r>
      <w:r>
        <w:rPr>
          <w:rFonts w:hint="eastAsia"/>
        </w:rPr>
        <w:tab/>
      </w:r>
      <w:r>
        <w:rPr>
          <w:rFonts w:hint="eastAsia"/>
        </w:rPr>
        <w:fldChar w:fldCharType="begin"/>
      </w:r>
      <w:r>
        <w:rPr>
          <w:rFonts w:hint="eastAsia"/>
        </w:rPr>
        <w:instrText xml:space="preserve"> </w:instrText>
      </w:r>
      <w:r>
        <w:instrText xml:space="preserve">PAGEREF _Toc198629853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2EA5672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"_Toc198629854" </w:instrText>
      </w:r>
      <w:r>
        <w:fldChar w:fldCharType="separate"/>
      </w:r>
      <w:r>
        <w:rPr>
          <w:rStyle w:val="33"/>
          <w:rFonts w:hint="eastAsia"/>
          <w14:scene3d>
            <w14:lightRig w14:rig="threePt" w14:dir="t">
              <w14:rot w14:lat="0" w14:lon="0" w14:rev="0"/>
            </w14:lightRig>
          </w14:scene3d>
        </w:rPr>
        <w:t>4.4</w:t>
      </w:r>
      <w:r>
        <w:rPr>
          <w:rStyle w:val="33"/>
          <w14:scene3d>
            <w14:lightRig w14:rig="threePt" w14:dir="t">
              <w14:rot w14:lat="0" w14:lon="0" w14:rev="0"/>
            </w14:lightRig>
          </w14:scene3d>
        </w:rPr>
        <w:t xml:space="preserve"> </w:t>
      </w:r>
      <w:r>
        <w:rPr>
          <w:rStyle w:val="33"/>
          <w:rFonts w:hint="eastAsia"/>
        </w:rPr>
        <w:t xml:space="preserve"> 保密原则</w:t>
      </w:r>
      <w:r>
        <w:rPr>
          <w:rFonts w:hint="eastAsia"/>
        </w:rPr>
        <w:tab/>
      </w:r>
      <w:r>
        <w:rPr>
          <w:rFonts w:hint="eastAsia"/>
        </w:rPr>
        <w:fldChar w:fldCharType="begin"/>
      </w:r>
      <w:r>
        <w:rPr>
          <w:rFonts w:hint="eastAsia"/>
        </w:rPr>
        <w:instrText xml:space="preserve"> </w:instrText>
      </w:r>
      <w:r>
        <w:instrText xml:space="preserve">PAGEREF _Toc198629854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A7305B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"_Toc198629855" </w:instrText>
      </w:r>
      <w:r>
        <w:fldChar w:fldCharType="separate"/>
      </w:r>
      <w:r>
        <w:rPr>
          <w:rStyle w:val="33"/>
          <w:rFonts w:hint="eastAsia"/>
          <w14:scene3d>
            <w14:lightRig w14:rig="threePt" w14:dir="t">
              <w14:rot w14:lat="0" w14:lon="0" w14:rev="0"/>
            </w14:lightRig>
          </w14:scene3d>
        </w:rPr>
        <w:t>4.5</w:t>
      </w:r>
      <w:r>
        <w:rPr>
          <w:rStyle w:val="33"/>
          <w14:scene3d>
            <w14:lightRig w14:rig="threePt" w14:dir="t">
              <w14:rot w14:lat="0" w14:lon="0" w14:rev="0"/>
            </w14:lightRig>
          </w14:scene3d>
        </w:rPr>
        <w:t xml:space="preserve"> </w:t>
      </w:r>
      <w:r>
        <w:rPr>
          <w:rStyle w:val="33"/>
          <w:rFonts w:hint="eastAsia"/>
        </w:rPr>
        <w:t xml:space="preserve"> 效率优先原则</w:t>
      </w:r>
      <w:r>
        <w:rPr>
          <w:rFonts w:hint="eastAsia"/>
        </w:rPr>
        <w:tab/>
      </w:r>
      <w:r>
        <w:rPr>
          <w:rFonts w:hint="eastAsia"/>
        </w:rPr>
        <w:fldChar w:fldCharType="begin"/>
      </w:r>
      <w:r>
        <w:rPr>
          <w:rFonts w:hint="eastAsia"/>
        </w:rPr>
        <w:instrText xml:space="preserve"> </w:instrText>
      </w:r>
      <w:r>
        <w:instrText xml:space="preserve">PAGEREF _Toc198629855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9AEAF9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"_Toc198629856" </w:instrText>
      </w:r>
      <w:r>
        <w:fldChar w:fldCharType="separate"/>
      </w:r>
      <w:r>
        <w:rPr>
          <w:rStyle w:val="33"/>
          <w:rFonts w:hint="eastAsia"/>
          <w14:scene3d>
            <w14:lightRig w14:rig="threePt" w14:dir="t">
              <w14:rot w14:lat="0" w14:lon="0" w14:rev="0"/>
            </w14:lightRig>
          </w14:scene3d>
        </w:rPr>
        <w:t>4.6</w:t>
      </w:r>
      <w:r>
        <w:rPr>
          <w:rStyle w:val="33"/>
          <w14:scene3d>
            <w14:lightRig w14:rig="threePt" w14:dir="t">
              <w14:rot w14:lat="0" w14:lon="0" w14:rev="0"/>
            </w14:lightRig>
          </w14:scene3d>
        </w:rPr>
        <w:t xml:space="preserve"> </w:t>
      </w:r>
      <w:r>
        <w:rPr>
          <w:rStyle w:val="33"/>
          <w:rFonts w:hint="eastAsia"/>
        </w:rPr>
        <w:t xml:space="preserve"> 债务纾困优先原则</w:t>
      </w:r>
      <w:r>
        <w:rPr>
          <w:rFonts w:hint="eastAsia"/>
        </w:rPr>
        <w:tab/>
      </w:r>
      <w:r>
        <w:rPr>
          <w:rFonts w:hint="eastAsia"/>
        </w:rPr>
        <w:fldChar w:fldCharType="begin"/>
      </w:r>
      <w:r>
        <w:rPr>
          <w:rFonts w:hint="eastAsia"/>
        </w:rPr>
        <w:instrText xml:space="preserve"> </w:instrText>
      </w:r>
      <w:r>
        <w:instrText xml:space="preserve">PAGEREF _Toc198629856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D94297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"_Toc198629857" </w:instrText>
      </w:r>
      <w:r>
        <w:fldChar w:fldCharType="separate"/>
      </w:r>
      <w:r>
        <w:rPr>
          <w:rStyle w:val="33"/>
          <w:rFonts w:hint="eastAsia"/>
          <w14:scene3d>
            <w14:lightRig w14:rig="threePt" w14:dir="t">
              <w14:rot w14:lat="0" w14:lon="0" w14:rev="0"/>
            </w14:lightRig>
          </w14:scene3d>
        </w:rPr>
        <w:t>4.7</w:t>
      </w:r>
      <w:r>
        <w:rPr>
          <w:rStyle w:val="33"/>
          <w14:scene3d>
            <w14:lightRig w14:rig="threePt" w14:dir="t">
              <w14:rot w14:lat="0" w14:lon="0" w14:rev="0"/>
            </w14:lightRig>
          </w14:scene3d>
        </w:rPr>
        <w:t xml:space="preserve"> </w:t>
      </w:r>
      <w:r>
        <w:rPr>
          <w:rStyle w:val="33"/>
          <w:rFonts w:hint="eastAsia"/>
        </w:rPr>
        <w:t xml:space="preserve"> 数据可追溯原则</w:t>
      </w:r>
      <w:r>
        <w:rPr>
          <w:rFonts w:hint="eastAsia"/>
        </w:rPr>
        <w:tab/>
      </w:r>
      <w:r>
        <w:rPr>
          <w:rFonts w:hint="eastAsia"/>
        </w:rPr>
        <w:fldChar w:fldCharType="begin"/>
      </w:r>
      <w:r>
        <w:rPr>
          <w:rFonts w:hint="eastAsia"/>
        </w:rPr>
        <w:instrText xml:space="preserve"> </w:instrText>
      </w:r>
      <w:r>
        <w:instrText xml:space="preserve">PAGEREF _Toc198629857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806ED9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"_Toc198629858" </w:instrText>
      </w:r>
      <w:r>
        <w:fldChar w:fldCharType="separate"/>
      </w:r>
      <w:r>
        <w:rPr>
          <w:rStyle w:val="33"/>
          <w:rFonts w:hint="eastAsia"/>
        </w:rPr>
        <w:t>5</w:t>
      </w:r>
      <w:r>
        <w:rPr>
          <w:rStyle w:val="33"/>
        </w:rPr>
        <w:t xml:space="preserve"> </w:t>
      </w:r>
      <w:r>
        <w:rPr>
          <w:rStyle w:val="33"/>
          <w:rFonts w:hint="eastAsia"/>
        </w:rPr>
        <w:t xml:space="preserve"> 服务提供方的要求</w:t>
      </w:r>
      <w:r>
        <w:rPr>
          <w:rFonts w:hint="eastAsia"/>
        </w:rPr>
        <w:tab/>
      </w:r>
      <w:r>
        <w:rPr>
          <w:rFonts w:hint="eastAsia"/>
        </w:rPr>
        <w:fldChar w:fldCharType="begin"/>
      </w:r>
      <w:r>
        <w:rPr>
          <w:rFonts w:hint="eastAsia"/>
        </w:rPr>
        <w:instrText xml:space="preserve"> </w:instrText>
      </w:r>
      <w:r>
        <w:instrText xml:space="preserve">PAGEREF _Toc198629858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CD5279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"_Toc198629859" </w:instrText>
      </w:r>
      <w:r>
        <w:fldChar w:fldCharType="separate"/>
      </w:r>
      <w:r>
        <w:rPr>
          <w:rStyle w:val="33"/>
          <w:rFonts w:hint="eastAsia"/>
          <w14:scene3d>
            <w14:lightRig w14:rig="threePt" w14:dir="t">
              <w14:rot w14:lat="0" w14:lon="0" w14:rev="0"/>
            </w14:lightRig>
          </w14:scene3d>
        </w:rPr>
        <w:t>5.1</w:t>
      </w:r>
      <w:r>
        <w:rPr>
          <w:rStyle w:val="33"/>
          <w14:scene3d>
            <w14:lightRig w14:rig="threePt" w14:dir="t">
              <w14:rot w14:lat="0" w14:lon="0" w14:rev="0"/>
            </w14:lightRig>
          </w14:scene3d>
        </w:rPr>
        <w:t xml:space="preserve"> </w:t>
      </w:r>
      <w:r>
        <w:rPr>
          <w:rStyle w:val="33"/>
          <w:rFonts w:hint="eastAsia"/>
        </w:rPr>
        <w:t xml:space="preserve"> 机构要求</w:t>
      </w:r>
      <w:r>
        <w:rPr>
          <w:rFonts w:hint="eastAsia"/>
        </w:rPr>
        <w:tab/>
      </w:r>
      <w:r>
        <w:rPr>
          <w:rFonts w:hint="eastAsia"/>
        </w:rPr>
        <w:fldChar w:fldCharType="begin"/>
      </w:r>
      <w:r>
        <w:rPr>
          <w:rFonts w:hint="eastAsia"/>
        </w:rPr>
        <w:instrText xml:space="preserve"> </w:instrText>
      </w:r>
      <w:r>
        <w:instrText xml:space="preserve">PAGEREF _Toc198629859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85BFFF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"_Toc198629860" </w:instrText>
      </w:r>
      <w:r>
        <w:fldChar w:fldCharType="separate"/>
      </w:r>
      <w:r>
        <w:rPr>
          <w:rStyle w:val="33"/>
          <w:rFonts w:hint="eastAsia"/>
          <w14:scene3d>
            <w14:lightRig w14:rig="threePt" w14:dir="t">
              <w14:rot w14:lat="0" w14:lon="0" w14:rev="0"/>
            </w14:lightRig>
          </w14:scene3d>
        </w:rPr>
        <w:t>5.2</w:t>
      </w:r>
      <w:r>
        <w:rPr>
          <w:rStyle w:val="33"/>
          <w14:scene3d>
            <w14:lightRig w14:rig="threePt" w14:dir="t">
              <w14:rot w14:lat="0" w14:lon="0" w14:rev="0"/>
            </w14:lightRig>
          </w14:scene3d>
        </w:rPr>
        <w:t xml:space="preserve"> </w:t>
      </w:r>
      <w:r>
        <w:rPr>
          <w:rStyle w:val="33"/>
          <w:rFonts w:hint="eastAsia"/>
        </w:rPr>
        <w:t xml:space="preserve"> 商事调解员要求</w:t>
      </w:r>
      <w:r>
        <w:rPr>
          <w:rFonts w:hint="eastAsia"/>
        </w:rPr>
        <w:tab/>
      </w:r>
      <w:r>
        <w:rPr>
          <w:rFonts w:hint="eastAsia"/>
        </w:rPr>
        <w:fldChar w:fldCharType="begin"/>
      </w:r>
      <w:r>
        <w:rPr>
          <w:rFonts w:hint="eastAsia"/>
        </w:rPr>
        <w:instrText xml:space="preserve"> </w:instrText>
      </w:r>
      <w:r>
        <w:instrText xml:space="preserve">PAGEREF _Toc198629860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C770D6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"_Toc198629861" </w:instrText>
      </w:r>
      <w:r>
        <w:fldChar w:fldCharType="separate"/>
      </w:r>
      <w:r>
        <w:rPr>
          <w:rStyle w:val="33"/>
          <w:rFonts w:hint="eastAsia"/>
        </w:rPr>
        <w:t>6</w:t>
      </w:r>
      <w:r>
        <w:rPr>
          <w:rStyle w:val="33"/>
        </w:rPr>
        <w:t xml:space="preserve"> </w:t>
      </w:r>
      <w:r>
        <w:rPr>
          <w:rStyle w:val="33"/>
          <w:rFonts w:hint="eastAsia"/>
        </w:rPr>
        <w:t xml:space="preserve"> 服务内容</w:t>
      </w:r>
      <w:r>
        <w:rPr>
          <w:rFonts w:hint="eastAsia"/>
        </w:rPr>
        <w:tab/>
      </w:r>
      <w:r>
        <w:rPr>
          <w:rFonts w:hint="eastAsia"/>
        </w:rPr>
        <w:fldChar w:fldCharType="begin"/>
      </w:r>
      <w:r>
        <w:rPr>
          <w:rFonts w:hint="eastAsia"/>
        </w:rPr>
        <w:instrText xml:space="preserve"> </w:instrText>
      </w:r>
      <w:r>
        <w:instrText xml:space="preserve">PAGEREF _Toc198629861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E4A197C">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"_Toc198629862" </w:instrText>
      </w:r>
      <w:r>
        <w:fldChar w:fldCharType="separate"/>
      </w:r>
      <w:r>
        <w:rPr>
          <w:rStyle w:val="33"/>
          <w:rFonts w:hint="eastAsia"/>
          <w14:scene3d>
            <w14:lightRig w14:rig="threePt" w14:dir="t">
              <w14:rot w14:lat="0" w14:lon="0" w14:rev="0"/>
            </w14:lightRig>
          </w14:scene3d>
        </w:rPr>
        <w:t>6.1</w:t>
      </w:r>
      <w:r>
        <w:rPr>
          <w:rStyle w:val="33"/>
          <w14:scene3d>
            <w14:lightRig w14:rig="threePt" w14:dir="t">
              <w14:rot w14:lat="0" w14:lon="0" w14:rev="0"/>
            </w14:lightRig>
          </w14:scene3d>
        </w:rPr>
        <w:t xml:space="preserve"> </w:t>
      </w:r>
      <w:r>
        <w:rPr>
          <w:rStyle w:val="33"/>
          <w:rFonts w:hint="eastAsia"/>
        </w:rPr>
        <w:t xml:space="preserve"> 案件信息初步审核</w:t>
      </w:r>
      <w:r>
        <w:rPr>
          <w:rFonts w:hint="eastAsia"/>
        </w:rPr>
        <w:tab/>
      </w:r>
      <w:r>
        <w:rPr>
          <w:rFonts w:hint="eastAsia"/>
        </w:rPr>
        <w:fldChar w:fldCharType="begin"/>
      </w:r>
      <w:r>
        <w:rPr>
          <w:rFonts w:hint="eastAsia"/>
        </w:rPr>
        <w:instrText xml:space="preserve"> </w:instrText>
      </w:r>
      <w:r>
        <w:instrText xml:space="preserve">PAGEREF _Toc198629862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BC087A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"_Toc198629863" </w:instrText>
      </w:r>
      <w:r>
        <w:fldChar w:fldCharType="separate"/>
      </w:r>
      <w:r>
        <w:rPr>
          <w:rStyle w:val="33"/>
          <w:rFonts w:hint="eastAsia"/>
          <w14:scene3d>
            <w14:lightRig w14:rig="threePt" w14:dir="t">
              <w14:rot w14:lat="0" w14:lon="0" w14:rev="0"/>
            </w14:lightRig>
          </w14:scene3d>
        </w:rPr>
        <w:t>6.2</w:t>
      </w:r>
      <w:r>
        <w:rPr>
          <w:rStyle w:val="33"/>
          <w14:scene3d>
            <w14:lightRig w14:rig="threePt" w14:dir="t">
              <w14:rot w14:lat="0" w14:lon="0" w14:rev="0"/>
            </w14:lightRig>
          </w14:scene3d>
        </w:rPr>
        <w:t xml:space="preserve"> </w:t>
      </w:r>
      <w:r>
        <w:rPr>
          <w:rStyle w:val="33"/>
          <w:rFonts w:hint="eastAsia"/>
        </w:rPr>
        <w:t xml:space="preserve"> 调查评估</w:t>
      </w:r>
      <w:r>
        <w:rPr>
          <w:rFonts w:hint="eastAsia"/>
        </w:rPr>
        <w:tab/>
      </w:r>
      <w:r>
        <w:rPr>
          <w:rFonts w:hint="eastAsia"/>
        </w:rPr>
        <w:fldChar w:fldCharType="begin"/>
      </w:r>
      <w:r>
        <w:rPr>
          <w:rFonts w:hint="eastAsia"/>
        </w:rPr>
        <w:instrText xml:space="preserve"> </w:instrText>
      </w:r>
      <w:r>
        <w:instrText xml:space="preserve">PAGEREF _Toc198629863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542026A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"_Toc198629864" </w:instrText>
      </w:r>
      <w:r>
        <w:fldChar w:fldCharType="separate"/>
      </w:r>
      <w:r>
        <w:rPr>
          <w:rStyle w:val="33"/>
          <w:rFonts w:hint="eastAsia"/>
          <w14:scene3d>
            <w14:lightRig w14:rig="threePt" w14:dir="t">
              <w14:rot w14:lat="0" w14:lon="0" w14:rev="0"/>
            </w14:lightRig>
          </w14:scene3d>
        </w:rPr>
        <w:t>6.3</w:t>
      </w:r>
      <w:r>
        <w:rPr>
          <w:rStyle w:val="33"/>
          <w14:scene3d>
            <w14:lightRig w14:rig="threePt" w14:dir="t">
              <w14:rot w14:lat="0" w14:lon="0" w14:rev="0"/>
            </w14:lightRig>
          </w14:scene3d>
        </w:rPr>
        <w:t xml:space="preserve"> </w:t>
      </w:r>
      <w:r>
        <w:rPr>
          <w:rStyle w:val="33"/>
          <w:rFonts w:hint="eastAsia"/>
        </w:rPr>
        <w:t xml:space="preserve"> 调解实施</w:t>
      </w:r>
      <w:r>
        <w:rPr>
          <w:rFonts w:hint="eastAsia"/>
        </w:rPr>
        <w:tab/>
      </w:r>
      <w:r>
        <w:rPr>
          <w:rFonts w:hint="eastAsia"/>
        </w:rPr>
        <w:fldChar w:fldCharType="begin"/>
      </w:r>
      <w:r>
        <w:rPr>
          <w:rFonts w:hint="eastAsia"/>
        </w:rPr>
        <w:instrText xml:space="preserve"> </w:instrText>
      </w:r>
      <w:r>
        <w:instrText xml:space="preserve">PAGEREF _Toc198629864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70785FA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"_Toc198629865" </w:instrText>
      </w:r>
      <w:r>
        <w:fldChar w:fldCharType="separate"/>
      </w:r>
      <w:r>
        <w:rPr>
          <w:rStyle w:val="33"/>
          <w:rFonts w:hint="eastAsia"/>
          <w14:scene3d>
            <w14:lightRig w14:rig="threePt" w14:dir="t">
              <w14:rot w14:lat="0" w14:lon="0" w14:rev="0"/>
            </w14:lightRig>
          </w14:scene3d>
        </w:rPr>
        <w:t>6.4</w:t>
      </w:r>
      <w:r>
        <w:rPr>
          <w:rStyle w:val="33"/>
          <w14:scene3d>
            <w14:lightRig w14:rig="threePt" w14:dir="t">
              <w14:rot w14:lat="0" w14:lon="0" w14:rev="0"/>
            </w14:lightRig>
          </w14:scene3d>
        </w:rPr>
        <w:t xml:space="preserve"> </w:t>
      </w:r>
      <w:r>
        <w:rPr>
          <w:rStyle w:val="33"/>
          <w:rFonts w:hint="eastAsia"/>
        </w:rPr>
        <w:t xml:space="preserve"> 协议执行</w:t>
      </w:r>
      <w:r>
        <w:rPr>
          <w:rFonts w:hint="eastAsia"/>
        </w:rPr>
        <w:tab/>
      </w:r>
      <w:r>
        <w:rPr>
          <w:rFonts w:hint="eastAsia"/>
        </w:rPr>
        <w:fldChar w:fldCharType="begin"/>
      </w:r>
      <w:r>
        <w:rPr>
          <w:rFonts w:hint="eastAsia"/>
        </w:rPr>
        <w:instrText xml:space="preserve"> </w:instrText>
      </w:r>
      <w:r>
        <w:instrText xml:space="preserve">PAGEREF _Toc198629865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54F9D12C">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"_Toc198629866" </w:instrText>
      </w:r>
      <w:r>
        <w:fldChar w:fldCharType="separate"/>
      </w:r>
      <w:r>
        <w:rPr>
          <w:rStyle w:val="33"/>
          <w:rFonts w:hint="eastAsia"/>
          <w14:scene3d>
            <w14:lightRig w14:rig="threePt" w14:dir="t">
              <w14:rot w14:lat="0" w14:lon="0" w14:rev="0"/>
            </w14:lightRig>
          </w14:scene3d>
        </w:rPr>
        <w:t>6.5</w:t>
      </w:r>
      <w:r>
        <w:rPr>
          <w:rStyle w:val="33"/>
          <w14:scene3d>
            <w14:lightRig w14:rig="threePt" w14:dir="t">
              <w14:rot w14:lat="0" w14:lon="0" w14:rev="0"/>
            </w14:lightRig>
          </w14:scene3d>
        </w:rPr>
        <w:t xml:space="preserve"> </w:t>
      </w:r>
      <w:r>
        <w:rPr>
          <w:rStyle w:val="33"/>
          <w:rFonts w:hint="eastAsia"/>
        </w:rPr>
        <w:t xml:space="preserve"> 履约追踪</w:t>
      </w:r>
      <w:r>
        <w:rPr>
          <w:rFonts w:hint="eastAsia"/>
        </w:rPr>
        <w:tab/>
      </w:r>
      <w:r>
        <w:rPr>
          <w:rFonts w:hint="eastAsia"/>
        </w:rPr>
        <w:fldChar w:fldCharType="begin"/>
      </w:r>
      <w:r>
        <w:rPr>
          <w:rFonts w:hint="eastAsia"/>
        </w:rPr>
        <w:instrText xml:space="preserve"> </w:instrText>
      </w:r>
      <w:r>
        <w:instrText xml:space="preserve">PAGEREF _Toc198629866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EDA60A0">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"_Toc198629867" </w:instrText>
      </w:r>
      <w:r>
        <w:fldChar w:fldCharType="separate"/>
      </w:r>
      <w:r>
        <w:rPr>
          <w:rStyle w:val="33"/>
          <w:rFonts w:hint="eastAsia"/>
          <w14:scene3d>
            <w14:lightRig w14:rig="threePt" w14:dir="t">
              <w14:rot w14:lat="0" w14:lon="0" w14:rev="0"/>
            </w14:lightRig>
          </w14:scene3d>
        </w:rPr>
        <w:t>6.6</w:t>
      </w:r>
      <w:r>
        <w:rPr>
          <w:rStyle w:val="33"/>
          <w14:scene3d>
            <w14:lightRig w14:rig="threePt" w14:dir="t">
              <w14:rot w14:lat="0" w14:lon="0" w14:rev="0"/>
            </w14:lightRig>
          </w14:scene3d>
        </w:rPr>
        <w:t xml:space="preserve"> </w:t>
      </w:r>
      <w:r>
        <w:rPr>
          <w:rStyle w:val="33"/>
          <w:rFonts w:hint="eastAsia"/>
        </w:rPr>
        <w:t xml:space="preserve"> 失联修复服务</w:t>
      </w:r>
      <w:r>
        <w:rPr>
          <w:rFonts w:hint="eastAsia"/>
        </w:rPr>
        <w:tab/>
      </w:r>
      <w:r>
        <w:rPr>
          <w:rFonts w:hint="eastAsia"/>
        </w:rPr>
        <w:fldChar w:fldCharType="begin"/>
      </w:r>
      <w:r>
        <w:rPr>
          <w:rFonts w:hint="eastAsia"/>
        </w:rPr>
        <w:instrText xml:space="preserve"> </w:instrText>
      </w:r>
      <w:r>
        <w:instrText xml:space="preserve">PAGEREF _Toc198629867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6AB9933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"_Toc198629868" </w:instrText>
      </w:r>
      <w:r>
        <w:fldChar w:fldCharType="separate"/>
      </w:r>
      <w:r>
        <w:rPr>
          <w:rStyle w:val="33"/>
          <w:rFonts w:hint="eastAsia"/>
          <w14:scene3d>
            <w14:lightRig w14:rig="threePt" w14:dir="t">
              <w14:rot w14:lat="0" w14:lon="0" w14:rev="0"/>
            </w14:lightRig>
          </w14:scene3d>
        </w:rPr>
        <w:t>6.7</w:t>
      </w:r>
      <w:r>
        <w:rPr>
          <w:rStyle w:val="33"/>
          <w14:scene3d>
            <w14:lightRig w14:rig="threePt" w14:dir="t">
              <w14:rot w14:lat="0" w14:lon="0" w14:rev="0"/>
            </w14:lightRig>
          </w14:scene3d>
        </w:rPr>
        <w:t xml:space="preserve"> </w:t>
      </w:r>
      <w:r>
        <w:rPr>
          <w:rStyle w:val="33"/>
          <w:rFonts w:hint="eastAsia"/>
        </w:rPr>
        <w:t xml:space="preserve"> 心理疏导服务</w:t>
      </w:r>
      <w:r>
        <w:rPr>
          <w:rFonts w:hint="eastAsia"/>
        </w:rPr>
        <w:tab/>
      </w:r>
      <w:r>
        <w:rPr>
          <w:rFonts w:hint="eastAsia"/>
        </w:rPr>
        <w:fldChar w:fldCharType="begin"/>
      </w:r>
      <w:r>
        <w:rPr>
          <w:rFonts w:hint="eastAsia"/>
        </w:rPr>
        <w:instrText xml:space="preserve"> </w:instrText>
      </w:r>
      <w:r>
        <w:instrText xml:space="preserve">PAGEREF _Toc198629868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6C51B4E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"_Toc198629869" </w:instrText>
      </w:r>
      <w:r>
        <w:fldChar w:fldCharType="separate"/>
      </w:r>
      <w:r>
        <w:rPr>
          <w:rStyle w:val="33"/>
          <w:rFonts w:hint="eastAsia"/>
        </w:rPr>
        <w:t>7</w:t>
      </w:r>
      <w:r>
        <w:rPr>
          <w:rStyle w:val="33"/>
        </w:rPr>
        <w:t xml:space="preserve"> </w:t>
      </w:r>
      <w:r>
        <w:rPr>
          <w:rStyle w:val="33"/>
          <w:rFonts w:hint="eastAsia"/>
        </w:rPr>
        <w:t xml:space="preserve"> 服务流程及要求</w:t>
      </w:r>
      <w:r>
        <w:rPr>
          <w:rFonts w:hint="eastAsia"/>
        </w:rPr>
        <w:tab/>
      </w:r>
      <w:r>
        <w:rPr>
          <w:rFonts w:hint="eastAsia"/>
        </w:rPr>
        <w:fldChar w:fldCharType="begin"/>
      </w:r>
      <w:r>
        <w:rPr>
          <w:rFonts w:hint="eastAsia"/>
        </w:rPr>
        <w:instrText xml:space="preserve"> </w:instrText>
      </w:r>
      <w:r>
        <w:instrText xml:space="preserve">PAGEREF _Toc198629869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596729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"_Toc198629870" </w:instrText>
      </w:r>
      <w:r>
        <w:fldChar w:fldCharType="separate"/>
      </w:r>
      <w:r>
        <w:rPr>
          <w:rStyle w:val="33"/>
          <w:rFonts w:hint="eastAsia"/>
          <w14:scene3d>
            <w14:lightRig w14:rig="threePt" w14:dir="t">
              <w14:rot w14:lat="0" w14:lon="0" w14:rev="0"/>
            </w14:lightRig>
          </w14:scene3d>
        </w:rPr>
        <w:t>7.1</w:t>
      </w:r>
      <w:r>
        <w:rPr>
          <w:rStyle w:val="33"/>
          <w14:scene3d>
            <w14:lightRig w14:rig="threePt" w14:dir="t">
              <w14:rot w14:lat="0" w14:lon="0" w14:rev="0"/>
            </w14:lightRig>
          </w14:scene3d>
        </w:rPr>
        <w:t xml:space="preserve"> </w:t>
      </w:r>
      <w:r>
        <w:rPr>
          <w:rStyle w:val="33"/>
          <w:rFonts w:hint="eastAsia"/>
        </w:rPr>
        <w:t xml:space="preserve"> 案件受理</w:t>
      </w:r>
      <w:r>
        <w:rPr>
          <w:rFonts w:hint="eastAsia"/>
        </w:rPr>
        <w:tab/>
      </w:r>
      <w:r>
        <w:rPr>
          <w:rFonts w:hint="eastAsia"/>
        </w:rPr>
        <w:fldChar w:fldCharType="begin"/>
      </w:r>
      <w:r>
        <w:rPr>
          <w:rFonts w:hint="eastAsia"/>
        </w:rPr>
        <w:instrText xml:space="preserve"> </w:instrText>
      </w:r>
      <w:r>
        <w:instrText xml:space="preserve">PAGEREF _Toc198629870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7B6CED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"_Toc198629871" </w:instrText>
      </w:r>
      <w:r>
        <w:fldChar w:fldCharType="separate"/>
      </w:r>
      <w:r>
        <w:rPr>
          <w:rStyle w:val="33"/>
          <w:rFonts w:hint="eastAsia"/>
          <w14:scene3d>
            <w14:lightRig w14:rig="threePt" w14:dir="t">
              <w14:rot w14:lat="0" w14:lon="0" w14:rev="0"/>
            </w14:lightRig>
          </w14:scene3d>
        </w:rPr>
        <w:t>7.2</w:t>
      </w:r>
      <w:r>
        <w:rPr>
          <w:rStyle w:val="33"/>
          <w14:scene3d>
            <w14:lightRig w14:rig="threePt" w14:dir="t">
              <w14:rot w14:lat="0" w14:lon="0" w14:rev="0"/>
            </w14:lightRig>
          </w14:scene3d>
        </w:rPr>
        <w:t xml:space="preserve"> </w:t>
      </w:r>
      <w:r>
        <w:rPr>
          <w:rStyle w:val="33"/>
          <w:rFonts w:hint="eastAsia"/>
        </w:rPr>
        <w:t xml:space="preserve"> 预调解评估</w:t>
      </w:r>
      <w:r>
        <w:rPr>
          <w:rFonts w:hint="eastAsia"/>
        </w:rPr>
        <w:tab/>
      </w:r>
      <w:r>
        <w:rPr>
          <w:rFonts w:hint="eastAsia"/>
        </w:rPr>
        <w:fldChar w:fldCharType="begin"/>
      </w:r>
      <w:r>
        <w:rPr>
          <w:rFonts w:hint="eastAsia"/>
        </w:rPr>
        <w:instrText xml:space="preserve"> </w:instrText>
      </w:r>
      <w:r>
        <w:instrText xml:space="preserve">PAGEREF _Toc198629871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B28F81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"_Toc198629872" </w:instrText>
      </w:r>
      <w:r>
        <w:fldChar w:fldCharType="separate"/>
      </w:r>
      <w:r>
        <w:rPr>
          <w:rStyle w:val="33"/>
          <w:rFonts w:hint="eastAsia"/>
          <w14:scene3d>
            <w14:lightRig w14:rig="threePt" w14:dir="t">
              <w14:rot w14:lat="0" w14:lon="0" w14:rev="0"/>
            </w14:lightRig>
          </w14:scene3d>
        </w:rPr>
        <w:t>7.3</w:t>
      </w:r>
      <w:r>
        <w:rPr>
          <w:rStyle w:val="33"/>
          <w14:scene3d>
            <w14:lightRig w14:rig="threePt" w14:dir="t">
              <w14:rot w14:lat="0" w14:lon="0" w14:rev="0"/>
            </w14:lightRig>
          </w14:scene3d>
        </w:rPr>
        <w:t xml:space="preserve"> </w:t>
      </w:r>
      <w:r>
        <w:rPr>
          <w:rStyle w:val="33"/>
          <w:rFonts w:hint="eastAsia"/>
        </w:rPr>
        <w:t xml:space="preserve"> 纠纷调解</w:t>
      </w:r>
      <w:r>
        <w:rPr>
          <w:rFonts w:hint="eastAsia"/>
        </w:rPr>
        <w:tab/>
      </w:r>
      <w:r>
        <w:rPr>
          <w:rFonts w:hint="eastAsia"/>
        </w:rPr>
        <w:fldChar w:fldCharType="begin"/>
      </w:r>
      <w:r>
        <w:rPr>
          <w:rFonts w:hint="eastAsia"/>
        </w:rPr>
        <w:instrText xml:space="preserve"> </w:instrText>
      </w:r>
      <w:r>
        <w:instrText xml:space="preserve">PAGEREF _Toc198629872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7DC2BE8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"_Toc198629873" </w:instrText>
      </w:r>
      <w:r>
        <w:fldChar w:fldCharType="separate"/>
      </w:r>
      <w:r>
        <w:rPr>
          <w:rStyle w:val="33"/>
          <w:rFonts w:hint="eastAsia"/>
          <w14:scene3d>
            <w14:lightRig w14:rig="threePt" w14:dir="t">
              <w14:rot w14:lat="0" w14:lon="0" w14:rev="0"/>
            </w14:lightRig>
          </w14:scene3d>
        </w:rPr>
        <w:t>7.4</w:t>
      </w:r>
      <w:r>
        <w:rPr>
          <w:rStyle w:val="33"/>
          <w14:scene3d>
            <w14:lightRig w14:rig="threePt" w14:dir="t">
              <w14:rot w14:lat="0" w14:lon="0" w14:rev="0"/>
            </w14:lightRig>
          </w14:scene3d>
        </w:rPr>
        <w:t xml:space="preserve"> </w:t>
      </w:r>
      <w:r>
        <w:rPr>
          <w:rStyle w:val="33"/>
          <w:rFonts w:hint="eastAsia"/>
        </w:rPr>
        <w:t xml:space="preserve"> 司法确认或者公证程序</w:t>
      </w:r>
      <w:r>
        <w:rPr>
          <w:rFonts w:hint="eastAsia"/>
        </w:rPr>
        <w:tab/>
      </w:r>
      <w:r>
        <w:rPr>
          <w:rFonts w:hint="eastAsia"/>
        </w:rPr>
        <w:fldChar w:fldCharType="begin"/>
      </w:r>
      <w:r>
        <w:rPr>
          <w:rFonts w:hint="eastAsia"/>
        </w:rPr>
        <w:instrText xml:space="preserve"> </w:instrText>
      </w:r>
      <w:r>
        <w:instrText xml:space="preserve">PAGEREF _Toc198629873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331547D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"_Toc198629874" </w:instrText>
      </w:r>
      <w:r>
        <w:fldChar w:fldCharType="separate"/>
      </w:r>
      <w:r>
        <w:rPr>
          <w:rStyle w:val="33"/>
          <w:rFonts w:hint="eastAsia"/>
          <w14:scene3d>
            <w14:lightRig w14:rig="threePt" w14:dir="t">
              <w14:rot w14:lat="0" w14:lon="0" w14:rev="0"/>
            </w14:lightRig>
          </w14:scene3d>
        </w:rPr>
        <w:t>7.5</w:t>
      </w:r>
      <w:r>
        <w:rPr>
          <w:rStyle w:val="33"/>
          <w14:scene3d>
            <w14:lightRig w14:rig="threePt" w14:dir="t">
              <w14:rot w14:lat="0" w14:lon="0" w14:rev="0"/>
            </w14:lightRig>
          </w14:scene3d>
        </w:rPr>
        <w:t xml:space="preserve"> </w:t>
      </w:r>
      <w:r>
        <w:rPr>
          <w:rStyle w:val="33"/>
          <w:rFonts w:hint="eastAsia"/>
        </w:rPr>
        <w:t xml:space="preserve"> 卷宗归档</w:t>
      </w:r>
      <w:r>
        <w:rPr>
          <w:rFonts w:hint="eastAsia"/>
        </w:rPr>
        <w:tab/>
      </w:r>
      <w:r>
        <w:rPr>
          <w:rFonts w:hint="eastAsia"/>
        </w:rPr>
        <w:fldChar w:fldCharType="begin"/>
      </w:r>
      <w:r>
        <w:rPr>
          <w:rFonts w:hint="eastAsia"/>
        </w:rPr>
        <w:instrText xml:space="preserve"> </w:instrText>
      </w:r>
      <w:r>
        <w:instrText xml:space="preserve">PAGEREF _Toc198629874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272FA4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"_Toc198629875" </w:instrText>
      </w:r>
      <w:r>
        <w:fldChar w:fldCharType="separate"/>
      </w:r>
      <w:r>
        <w:rPr>
          <w:rStyle w:val="33"/>
          <w:rFonts w:hint="eastAsia"/>
          <w14:scene3d>
            <w14:lightRig w14:rig="threePt" w14:dir="t">
              <w14:rot w14:lat="0" w14:lon="0" w14:rev="0"/>
            </w14:lightRig>
          </w14:scene3d>
        </w:rPr>
        <w:t>7.6</w:t>
      </w:r>
      <w:r>
        <w:rPr>
          <w:rStyle w:val="33"/>
          <w14:scene3d>
            <w14:lightRig w14:rig="threePt" w14:dir="t">
              <w14:rot w14:lat="0" w14:lon="0" w14:rev="0"/>
            </w14:lightRig>
          </w14:scene3d>
        </w:rPr>
        <w:t xml:space="preserve"> </w:t>
      </w:r>
      <w:r>
        <w:rPr>
          <w:rStyle w:val="33"/>
          <w:rFonts w:hint="eastAsia"/>
        </w:rPr>
        <w:t xml:space="preserve"> 协议履行追踪</w:t>
      </w:r>
      <w:r>
        <w:rPr>
          <w:rFonts w:hint="eastAsia"/>
        </w:rPr>
        <w:tab/>
      </w:r>
      <w:r>
        <w:rPr>
          <w:rFonts w:hint="eastAsia"/>
        </w:rPr>
        <w:fldChar w:fldCharType="begin"/>
      </w:r>
      <w:r>
        <w:rPr>
          <w:rFonts w:hint="eastAsia"/>
        </w:rPr>
        <w:instrText xml:space="preserve"> </w:instrText>
      </w:r>
      <w:r>
        <w:instrText xml:space="preserve">PAGEREF _Toc198629875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1FF8151E">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"_Toc198629876" </w:instrText>
      </w:r>
      <w:r>
        <w:fldChar w:fldCharType="separate"/>
      </w:r>
      <w:r>
        <w:rPr>
          <w:rStyle w:val="33"/>
          <w:rFonts w:hint="eastAsia"/>
        </w:rPr>
        <w:t>8</w:t>
      </w:r>
      <w:r>
        <w:rPr>
          <w:rStyle w:val="33"/>
        </w:rPr>
        <w:t xml:space="preserve"> </w:t>
      </w:r>
      <w:r>
        <w:rPr>
          <w:rStyle w:val="33"/>
          <w:rFonts w:hint="eastAsia"/>
        </w:rPr>
        <w:t xml:space="preserve"> 特殊要求</w:t>
      </w:r>
      <w:r>
        <w:rPr>
          <w:rFonts w:hint="eastAsia"/>
        </w:rPr>
        <w:tab/>
      </w:r>
      <w:r>
        <w:rPr>
          <w:rFonts w:hint="eastAsia"/>
        </w:rPr>
        <w:fldChar w:fldCharType="begin"/>
      </w:r>
      <w:r>
        <w:rPr>
          <w:rFonts w:hint="eastAsia"/>
        </w:rPr>
        <w:instrText xml:space="preserve"> </w:instrText>
      </w:r>
      <w:r>
        <w:instrText xml:space="preserve">PAGEREF _Toc198629876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0B4ED08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"_Toc198629877" </w:instrText>
      </w:r>
      <w:r>
        <w:fldChar w:fldCharType="separate"/>
      </w:r>
      <w:r>
        <w:rPr>
          <w:rStyle w:val="33"/>
          <w:rFonts w:hint="eastAsia"/>
          <w14:scene3d>
            <w14:lightRig w14:rig="threePt" w14:dir="t">
              <w14:rot w14:lat="0" w14:lon="0" w14:rev="0"/>
            </w14:lightRig>
          </w14:scene3d>
        </w:rPr>
        <w:t>8.1</w:t>
      </w:r>
      <w:r>
        <w:rPr>
          <w:rStyle w:val="33"/>
          <w14:scene3d>
            <w14:lightRig w14:rig="threePt" w14:dir="t">
              <w14:rot w14:lat="0" w14:lon="0" w14:rev="0"/>
            </w14:lightRig>
          </w14:scene3d>
        </w:rPr>
        <w:t xml:space="preserve"> </w:t>
      </w:r>
      <w:r>
        <w:rPr>
          <w:rStyle w:val="33"/>
          <w:rFonts w:hint="eastAsia"/>
        </w:rPr>
        <w:t xml:space="preserve"> 数字化技术及数据安全管理</w:t>
      </w:r>
      <w:r>
        <w:rPr>
          <w:rFonts w:hint="eastAsia"/>
        </w:rPr>
        <w:tab/>
      </w:r>
      <w:r>
        <w:rPr>
          <w:rFonts w:hint="eastAsia"/>
        </w:rPr>
        <w:fldChar w:fldCharType="begin"/>
      </w:r>
      <w:r>
        <w:rPr>
          <w:rFonts w:hint="eastAsia"/>
        </w:rPr>
        <w:instrText xml:space="preserve"> </w:instrText>
      </w:r>
      <w:r>
        <w:instrText xml:space="preserve">PAGEREF _Toc198629877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69A2A07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"_Toc198629878" </w:instrText>
      </w:r>
      <w:r>
        <w:fldChar w:fldCharType="separate"/>
      </w:r>
      <w:r>
        <w:rPr>
          <w:rStyle w:val="33"/>
          <w:rFonts w:hint="eastAsia"/>
          <w14:scene3d>
            <w14:lightRig w14:rig="threePt" w14:dir="t">
              <w14:rot w14:lat="0" w14:lon="0" w14:rev="0"/>
            </w14:lightRig>
          </w14:scene3d>
        </w:rPr>
        <w:t>8.2</w:t>
      </w:r>
      <w:r>
        <w:rPr>
          <w:rStyle w:val="33"/>
          <w14:scene3d>
            <w14:lightRig w14:rig="threePt" w14:dir="t">
              <w14:rot w14:lat="0" w14:lon="0" w14:rev="0"/>
            </w14:lightRig>
          </w14:scene3d>
        </w:rPr>
        <w:t xml:space="preserve"> </w:t>
      </w:r>
      <w:r>
        <w:rPr>
          <w:rStyle w:val="33"/>
          <w:rFonts w:hint="eastAsia"/>
        </w:rPr>
        <w:t xml:space="preserve"> 电子证据管理</w:t>
      </w:r>
      <w:r>
        <w:rPr>
          <w:rFonts w:hint="eastAsia"/>
        </w:rPr>
        <w:tab/>
      </w:r>
      <w:r>
        <w:rPr>
          <w:rFonts w:hint="eastAsia"/>
        </w:rPr>
        <w:fldChar w:fldCharType="begin"/>
      </w:r>
      <w:r>
        <w:rPr>
          <w:rFonts w:hint="eastAsia"/>
        </w:rPr>
        <w:instrText xml:space="preserve"> </w:instrText>
      </w:r>
      <w:r>
        <w:instrText xml:space="preserve">PAGEREF _Toc198629878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1EF2AB6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"_Toc198629879" </w:instrText>
      </w:r>
      <w:r>
        <w:fldChar w:fldCharType="separate"/>
      </w:r>
      <w:r>
        <w:rPr>
          <w:rStyle w:val="33"/>
          <w:rFonts w:hint="eastAsia"/>
          <w14:scene3d>
            <w14:lightRig w14:rig="threePt" w14:dir="t">
              <w14:rot w14:lat="0" w14:lon="0" w14:rev="0"/>
            </w14:lightRig>
          </w14:scene3d>
        </w:rPr>
        <w:t>8.3</w:t>
      </w:r>
      <w:r>
        <w:rPr>
          <w:rStyle w:val="33"/>
          <w14:scene3d>
            <w14:lightRig w14:rig="threePt" w14:dir="t">
              <w14:rot w14:lat="0" w14:lon="0" w14:rev="0"/>
            </w14:lightRig>
          </w14:scene3d>
        </w:rPr>
        <w:t xml:space="preserve"> </w:t>
      </w:r>
      <w:r>
        <w:rPr>
          <w:rStyle w:val="33"/>
          <w:rFonts w:hint="eastAsia"/>
        </w:rPr>
        <w:t xml:space="preserve"> 反欺诈特殊要求</w:t>
      </w:r>
      <w:r>
        <w:rPr>
          <w:rFonts w:hint="eastAsia"/>
        </w:rPr>
        <w:tab/>
      </w:r>
      <w:r>
        <w:rPr>
          <w:rFonts w:hint="eastAsia"/>
        </w:rPr>
        <w:fldChar w:fldCharType="begin"/>
      </w:r>
      <w:r>
        <w:rPr>
          <w:rFonts w:hint="eastAsia"/>
        </w:rPr>
        <w:instrText xml:space="preserve"> </w:instrText>
      </w:r>
      <w:r>
        <w:instrText xml:space="preserve">PAGEREF _Toc198629879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EA674C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"_Toc198629880" </w:instrText>
      </w:r>
      <w:r>
        <w:fldChar w:fldCharType="separate"/>
      </w:r>
      <w:r>
        <w:rPr>
          <w:rStyle w:val="33"/>
          <w:rFonts w:hint="eastAsia"/>
          <w14:scene3d>
            <w14:lightRig w14:rig="threePt" w14:dir="t">
              <w14:rot w14:lat="0" w14:lon="0" w14:rev="0"/>
            </w14:lightRig>
          </w14:scene3d>
        </w:rPr>
        <w:t>8.4</w:t>
      </w:r>
      <w:r>
        <w:rPr>
          <w:rStyle w:val="33"/>
          <w14:scene3d>
            <w14:lightRig w14:rig="threePt" w14:dir="t">
              <w14:rot w14:lat="0" w14:lon="0" w14:rev="0"/>
            </w14:lightRig>
          </w14:scene3d>
        </w:rPr>
        <w:t xml:space="preserve"> </w:t>
      </w:r>
      <w:r>
        <w:rPr>
          <w:rStyle w:val="33"/>
          <w:rFonts w:hint="eastAsia"/>
        </w:rPr>
        <w:t xml:space="preserve"> 应急管理</w:t>
      </w:r>
      <w:r>
        <w:rPr>
          <w:rFonts w:hint="eastAsia"/>
        </w:rPr>
        <w:tab/>
      </w:r>
      <w:r>
        <w:rPr>
          <w:rFonts w:hint="eastAsia"/>
        </w:rPr>
        <w:fldChar w:fldCharType="begin"/>
      </w:r>
      <w:r>
        <w:rPr>
          <w:rFonts w:hint="eastAsia"/>
        </w:rPr>
        <w:instrText xml:space="preserve"> </w:instrText>
      </w:r>
      <w:r>
        <w:instrText xml:space="preserve">PAGEREF _Toc198629880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32DA880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"_Toc198629881" </w:instrText>
      </w:r>
      <w:r>
        <w:fldChar w:fldCharType="separate"/>
      </w:r>
      <w:r>
        <w:rPr>
          <w:rStyle w:val="33"/>
          <w:rFonts w:hint="eastAsia"/>
        </w:rPr>
        <w:t>附录A（资料性）</w:t>
      </w:r>
      <w:r>
        <w:rPr>
          <w:rStyle w:val="33"/>
        </w:rPr>
        <w:t xml:space="preserve"> </w:t>
      </w:r>
      <w:r>
        <w:rPr>
          <w:rStyle w:val="33"/>
          <w:rFonts w:hint="eastAsia"/>
        </w:rPr>
        <w:t xml:space="preserve"> 信用评估指标体系（示例）</w:t>
      </w:r>
      <w:r>
        <w:rPr>
          <w:rFonts w:hint="eastAsia"/>
        </w:rPr>
        <w:tab/>
      </w:r>
      <w:r>
        <w:rPr>
          <w:rFonts w:hint="eastAsia"/>
        </w:rPr>
        <w:fldChar w:fldCharType="begin"/>
      </w:r>
      <w:r>
        <w:rPr>
          <w:rFonts w:hint="eastAsia"/>
        </w:rPr>
        <w:instrText xml:space="preserve"> </w:instrText>
      </w:r>
      <w:r>
        <w:instrText xml:space="preserve">PAGEREF _Toc198629881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04A2367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"_Toc198629882" </w:instrText>
      </w:r>
      <w:r>
        <w:fldChar w:fldCharType="separate"/>
      </w:r>
      <w:r>
        <w:rPr>
          <w:rStyle w:val="33"/>
          <w:rFonts w:hint="eastAsia"/>
        </w:rPr>
        <w:t>附录B（资料性）</w:t>
      </w:r>
      <w:r>
        <w:rPr>
          <w:rStyle w:val="33"/>
        </w:rPr>
        <w:t xml:space="preserve"> </w:t>
      </w:r>
      <w:r>
        <w:rPr>
          <w:rStyle w:val="33"/>
          <w:rFonts w:hint="eastAsia"/>
        </w:rPr>
        <w:t xml:space="preserve"> 商事调解风险提示书</w:t>
      </w:r>
      <w:r>
        <w:rPr>
          <w:rFonts w:hint="eastAsia"/>
        </w:rPr>
        <w:tab/>
      </w:r>
      <w:r>
        <w:rPr>
          <w:rFonts w:hint="eastAsia"/>
        </w:rPr>
        <w:fldChar w:fldCharType="begin"/>
      </w:r>
      <w:r>
        <w:rPr>
          <w:rFonts w:hint="eastAsia"/>
        </w:rPr>
        <w:instrText xml:space="preserve"> </w:instrText>
      </w:r>
      <w:r>
        <w:instrText xml:space="preserve">PAGEREF _Toc198629882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5E0F26C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"_Toc198629883" </w:instrText>
      </w:r>
      <w:r>
        <w:fldChar w:fldCharType="separate"/>
      </w:r>
      <w:r>
        <w:rPr>
          <w:rStyle w:val="33"/>
          <w:rFonts w:hint="eastAsia"/>
        </w:rPr>
        <w:t>附录C（资料性）</w:t>
      </w:r>
      <w:r>
        <w:rPr>
          <w:rStyle w:val="33"/>
        </w:rPr>
        <w:t xml:space="preserve"> </w:t>
      </w:r>
      <w:r>
        <w:rPr>
          <w:rStyle w:val="33"/>
          <w:rFonts w:hint="eastAsia"/>
        </w:rPr>
        <w:t xml:space="preserve"> 信用卡纠纷案件调解申请书</w:t>
      </w:r>
      <w:r>
        <w:rPr>
          <w:rFonts w:hint="eastAsia"/>
        </w:rPr>
        <w:tab/>
      </w:r>
      <w:r>
        <w:rPr>
          <w:rFonts w:hint="eastAsia"/>
        </w:rPr>
        <w:fldChar w:fldCharType="begin"/>
      </w:r>
      <w:r>
        <w:rPr>
          <w:rFonts w:hint="eastAsia"/>
        </w:rPr>
        <w:instrText xml:space="preserve"> </w:instrText>
      </w:r>
      <w:r>
        <w:instrText xml:space="preserve">PAGEREF _Toc198629883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064E793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"_Toc198629884" </w:instrText>
      </w:r>
      <w:r>
        <w:fldChar w:fldCharType="separate"/>
      </w:r>
      <w:r>
        <w:rPr>
          <w:rStyle w:val="33"/>
          <w:rFonts w:hint="eastAsia"/>
        </w:rPr>
        <w:t>附录D（资料性）</w:t>
      </w:r>
      <w:r>
        <w:rPr>
          <w:rStyle w:val="33"/>
        </w:rPr>
        <w:t xml:space="preserve"> </w:t>
      </w:r>
      <w:r>
        <w:rPr>
          <w:rStyle w:val="33"/>
          <w:rFonts w:hint="eastAsia"/>
        </w:rPr>
        <w:t xml:space="preserve"> 信用卡纠纷案件调解协议书</w:t>
      </w:r>
      <w:r>
        <w:rPr>
          <w:rFonts w:hint="eastAsia"/>
        </w:rPr>
        <w:tab/>
      </w:r>
      <w:r>
        <w:rPr>
          <w:rFonts w:hint="eastAsia"/>
        </w:rPr>
        <w:fldChar w:fldCharType="begin"/>
      </w:r>
      <w:r>
        <w:rPr>
          <w:rFonts w:hint="eastAsia"/>
        </w:rPr>
        <w:instrText xml:space="preserve"> </w:instrText>
      </w:r>
      <w:r>
        <w:instrText xml:space="preserve">PAGEREF _Toc198629884 \h</w:instrText>
      </w:r>
      <w:r>
        <w:rPr>
          <w:rFonts w:hint="eastAsia"/>
        </w:rPr>
        <w:instrText xml:space="preserve"> </w:instrText>
      </w:r>
      <w:r>
        <w:fldChar w:fldCharType="separate"/>
      </w:r>
      <w:r>
        <w:t>10</w:t>
      </w:r>
      <w:r>
        <w:rPr>
          <w:rFonts w:hint="eastAsia"/>
        </w:rPr>
        <w:fldChar w:fldCharType="end"/>
      </w:r>
      <w:r>
        <w:rPr>
          <w:rFonts w:hint="eastAsia"/>
        </w:rPr>
        <w:fldChar w:fldCharType="end"/>
      </w:r>
    </w:p>
    <w:p w14:paraId="0B8C977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"_Toc198629885" </w:instrText>
      </w:r>
      <w:r>
        <w:fldChar w:fldCharType="separate"/>
      </w:r>
      <w:r>
        <w:rPr>
          <w:rStyle w:val="33"/>
          <w:rFonts w:hint="eastAsia"/>
        </w:rPr>
        <w:t>附录E（资料性）</w:t>
      </w:r>
      <w:r>
        <w:rPr>
          <w:rStyle w:val="33"/>
        </w:rPr>
        <w:t xml:space="preserve"> </w:t>
      </w:r>
      <w:r>
        <w:rPr>
          <w:rStyle w:val="33"/>
          <w:rFonts w:hint="eastAsia"/>
        </w:rPr>
        <w:t xml:space="preserve"> 电子证据固化报告（模板）</w:t>
      </w:r>
      <w:r>
        <w:rPr>
          <w:rFonts w:hint="eastAsia"/>
        </w:rPr>
        <w:tab/>
      </w:r>
      <w:r>
        <w:rPr>
          <w:rFonts w:hint="eastAsia"/>
        </w:rPr>
        <w:fldChar w:fldCharType="begin"/>
      </w:r>
      <w:r>
        <w:rPr>
          <w:rFonts w:hint="eastAsia"/>
        </w:rPr>
        <w:instrText xml:space="preserve"> </w:instrText>
      </w:r>
      <w:r>
        <w:instrText xml:space="preserve">PAGEREF _Toc198629885 \h</w:instrText>
      </w:r>
      <w:r>
        <w:rPr>
          <w:rFonts w:hint="eastAsia"/>
        </w:rPr>
        <w:instrText xml:space="preserve"> </w:instrText>
      </w:r>
      <w:r>
        <w:fldChar w:fldCharType="separate"/>
      </w:r>
      <w:r>
        <w:t>11</w:t>
      </w:r>
      <w:r>
        <w:rPr>
          <w:rFonts w:hint="eastAsia"/>
        </w:rPr>
        <w:fldChar w:fldCharType="end"/>
      </w:r>
      <w:r>
        <w:rPr>
          <w:rFonts w:hint="eastAsia"/>
        </w:rPr>
        <w:fldChar w:fldCharType="end"/>
      </w:r>
    </w:p>
    <w:p w14:paraId="08D205C0">
      <w:pPr>
        <w:pStyle w:val="93"/>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9"/>
    <w:p w14:paraId="47370D54">
      <w:pPr>
        <w:pStyle w:val="91"/>
        <w:spacing w:after="360"/>
      </w:pPr>
      <w:bookmarkStart w:id="25" w:name="_Toc198629845"/>
      <w:bookmarkStart w:id="26" w:name="BookMark2"/>
      <w:r>
        <w:rPr>
          <w:spacing w:val="320"/>
        </w:rPr>
        <w:t>前</w:t>
      </w:r>
      <w:r>
        <w:t>言</w:t>
      </w:r>
      <w:bookmarkEnd w:id="20"/>
      <w:bookmarkEnd w:id="21"/>
      <w:bookmarkEnd w:id="22"/>
      <w:bookmarkEnd w:id="23"/>
      <w:bookmarkEnd w:id="24"/>
      <w:bookmarkEnd w:id="25"/>
    </w:p>
    <w:p w14:paraId="26071BDF">
      <w:pPr>
        <w:pStyle w:val="58"/>
        <w:ind w:firstLine="420"/>
      </w:pPr>
      <w:r>
        <w:rPr>
          <w:rFonts w:hint="eastAsia"/>
        </w:rPr>
        <w:t>本文件按照GB/T 1.1—2020《标准化工作导则  第1部分：标准化文件的结构和起草规则》的规定起草。</w:t>
      </w:r>
    </w:p>
    <w:p w14:paraId="79C4F102">
      <w:pPr>
        <w:pStyle w:val="58"/>
        <w:ind w:firstLine="420"/>
      </w:pPr>
      <w:r>
        <w:rPr>
          <w:rFonts w:hint="eastAsia"/>
        </w:rPr>
        <w:t>本文件由深圳市光明区司法局提出。</w:t>
      </w:r>
    </w:p>
    <w:p w14:paraId="135EC002">
      <w:pPr>
        <w:pStyle w:val="58"/>
        <w:ind w:firstLine="420"/>
      </w:pPr>
      <w:r>
        <w:rPr>
          <w:rFonts w:hint="eastAsia"/>
        </w:rPr>
        <w:t>本文件由深圳市深圳标准促进会归口。</w:t>
      </w:r>
    </w:p>
    <w:p w14:paraId="34F8BDF5">
      <w:pPr>
        <w:pStyle w:val="58"/>
        <w:ind w:firstLine="420"/>
      </w:pPr>
      <w:r>
        <w:rPr>
          <w:rFonts w:hint="eastAsia"/>
        </w:rPr>
        <w:t>本文件起草单位：深圳市司法局、深圳市光明区司法局、深圳市标准技术研究院、深圳市商事调解协会、深圳市知识产权保护中心、深圳市版权协会。</w:t>
      </w:r>
    </w:p>
    <w:p w14:paraId="459C2071">
      <w:pPr>
        <w:pStyle w:val="58"/>
        <w:ind w:firstLine="420"/>
      </w:pPr>
      <w:r>
        <w:rPr>
          <w:rFonts w:hint="eastAsia"/>
        </w:rPr>
        <w:t>本文件主要起草人：</w:t>
      </w:r>
    </w:p>
    <w:p w14:paraId="119570FC">
      <w:pPr>
        <w:pStyle w:val="58"/>
        <w:ind w:firstLine="420"/>
      </w:pPr>
    </w:p>
    <w:p w14:paraId="2D1C3689">
      <w:pPr>
        <w:pStyle w:val="58"/>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linePitch="312" w:charSpace="0"/>
        </w:sectPr>
      </w:pPr>
    </w:p>
    <w:bookmarkEnd w:id="26"/>
    <w:p w14:paraId="2E64E815">
      <w:pPr>
        <w:pStyle w:val="91"/>
        <w:spacing w:after="360"/>
      </w:pPr>
      <w:bookmarkStart w:id="27" w:name="_Toc196208115"/>
      <w:bookmarkStart w:id="28" w:name="_Toc198629846"/>
      <w:bookmarkStart w:id="29" w:name="_Toc195624257"/>
      <w:bookmarkStart w:id="30" w:name="_Toc196208183"/>
      <w:bookmarkStart w:id="31" w:name="_Toc196212528"/>
      <w:bookmarkStart w:id="32" w:name="BookMark3"/>
      <w:r>
        <w:rPr>
          <w:rFonts w:hint="eastAsia"/>
          <w:spacing w:val="320"/>
        </w:rPr>
        <w:t>引</w:t>
      </w:r>
      <w:r>
        <w:rPr>
          <w:rFonts w:hint="eastAsia"/>
        </w:rPr>
        <w:t>言</w:t>
      </w:r>
      <w:bookmarkEnd w:id="27"/>
      <w:bookmarkEnd w:id="28"/>
      <w:bookmarkEnd w:id="29"/>
      <w:bookmarkEnd w:id="30"/>
      <w:bookmarkEnd w:id="31"/>
    </w:p>
    <w:p w14:paraId="70283DF3">
      <w:pPr>
        <w:pStyle w:val="58"/>
        <w:ind w:firstLine="420"/>
      </w:pPr>
      <w:r>
        <w:t>为规范信用卡纠纷调解服务，提升金融纠纷化解效率，依据《</w:t>
      </w:r>
      <w:r>
        <w:rPr>
          <w:rFonts w:hint="eastAsia"/>
        </w:rPr>
        <w:t>中华人民共和国人民调解法</w:t>
      </w:r>
      <w:r>
        <w:t>》《深圳经济特区矛盾纠纷多元化解条例》《商业银行信用卡业务监督管理办法》《中国人民银行关于信用卡业务有关事项的通知》等法律法规，结合深圳市金融纠纷调解实践，制定本</w:t>
      </w:r>
      <w:r>
        <w:rPr>
          <w:rFonts w:hint="eastAsia"/>
        </w:rPr>
        <w:t>文件</w:t>
      </w:r>
      <w:r>
        <w:t>。</w:t>
      </w:r>
    </w:p>
    <w:p w14:paraId="52DD88B0">
      <w:pPr>
        <w:pStyle w:val="58"/>
        <w:ind w:firstLine="420"/>
      </w:pPr>
      <w:r>
        <w:t>本</w:t>
      </w:r>
      <w:r>
        <w:rPr>
          <w:rFonts w:hint="eastAsia"/>
        </w:rPr>
        <w:t>文件</w:t>
      </w:r>
      <w:r>
        <w:t>通过细化流程节点、量化服务标准、强化技术支撑，构建信用卡纠纷调解的</w:t>
      </w:r>
      <w:r>
        <w:rPr>
          <w:rFonts w:hint="eastAsia"/>
        </w:rPr>
        <w:t>“深圳标准”</w:t>
      </w:r>
      <w:r>
        <w:t>，助力打造国际一流法治化营商环境。</w:t>
      </w:r>
    </w:p>
    <w:p w14:paraId="17D1BA0E">
      <w:pPr>
        <w:pStyle w:val="58"/>
        <w:ind w:firstLine="420"/>
      </w:pPr>
    </w:p>
    <w:p w14:paraId="63DB7710">
      <w:pPr>
        <w:pStyle w:val="58"/>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pgNumType w:fmt="upperRoman"/>
          <w:cols w:space="425" w:num="1"/>
          <w:formProt w:val="0"/>
          <w:docGrid w:linePitch="312" w:charSpace="0"/>
        </w:sectPr>
      </w:pPr>
    </w:p>
    <w:bookmarkEnd w:id="32"/>
    <w:p w14:paraId="757381B1">
      <w:pPr>
        <w:spacing w:line="20" w:lineRule="exact"/>
        <w:jc w:val="center"/>
        <w:rPr>
          <w:rFonts w:hint="eastAsia" w:ascii="黑体" w:hAnsi="黑体" w:eastAsia="黑体"/>
          <w:sz w:val="32"/>
          <w:szCs w:val="32"/>
        </w:rPr>
      </w:pPr>
      <w:bookmarkStart w:id="33" w:name="BookMark4"/>
    </w:p>
    <w:p w14:paraId="6B435E2E">
      <w:pPr>
        <w:spacing w:line="20" w:lineRule="exact"/>
        <w:jc w:val="center"/>
        <w:rPr>
          <w:rFonts w:hint="eastAsia" w:ascii="黑体" w:hAnsi="黑体" w:eastAsia="黑体"/>
          <w:sz w:val="32"/>
          <w:szCs w:val="32"/>
        </w:rPr>
      </w:pPr>
    </w:p>
    <w:sdt>
      <w:sdtPr>
        <w:tag w:val="NEW_STAND_NAME"/>
        <w:id w:val="595910757"/>
        <w:lock w:val="sdtLocked"/>
        <w:placeholder>
          <w:docPart w:val="DCCC2ED54BCF4F3F93586919129B3876"/>
        </w:placeholder>
      </w:sdtPr>
      <w:sdtContent>
        <w:p w14:paraId="128106B8">
          <w:pPr>
            <w:pStyle w:val="179"/>
            <w:spacing w:before="2" w:beforeLines="1" w:after="528" w:afterLines="220"/>
            <w:rPr>
              <w:rFonts w:hint="eastAsia"/>
            </w:rPr>
          </w:pPr>
          <w:bookmarkStart w:id="34" w:name="NEW_STAND_NAME"/>
          <w:r>
            <w:rPr>
              <w:rFonts w:hint="eastAsia"/>
            </w:rPr>
            <w:t>商事调解服务规范 信用卡纠纷类案件</w:t>
          </w:r>
        </w:p>
      </w:sdtContent>
    </w:sdt>
    <w:bookmarkEnd w:id="34"/>
    <w:p w14:paraId="7AEB8BFE">
      <w:pPr>
        <w:pStyle w:val="106"/>
        <w:spacing w:before="240" w:after="240"/>
      </w:pPr>
      <w:bookmarkStart w:id="35" w:name="_Toc24884218"/>
      <w:bookmarkStart w:id="36" w:name="_Toc24884211"/>
      <w:bookmarkStart w:id="37" w:name="_Toc26986771"/>
      <w:bookmarkStart w:id="38" w:name="_Toc196212529"/>
      <w:bookmarkStart w:id="39" w:name="_Toc196208116"/>
      <w:bookmarkStart w:id="40" w:name="_Toc17233325"/>
      <w:bookmarkStart w:id="41" w:name="_Toc198629847"/>
      <w:bookmarkStart w:id="42" w:name="_Toc26986530"/>
      <w:bookmarkStart w:id="43" w:name="_Toc17233333"/>
      <w:bookmarkStart w:id="44" w:name="_Toc26718930"/>
      <w:bookmarkStart w:id="45" w:name="_Toc195600141"/>
      <w:bookmarkStart w:id="46" w:name="_Toc26648465"/>
      <w:bookmarkStart w:id="47" w:name="_Toc196208184"/>
      <w:bookmarkStart w:id="48" w:name="_Toc195624258"/>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39669698">
      <w:pPr>
        <w:pStyle w:val="58"/>
        <w:ind w:firstLine="420"/>
      </w:pPr>
      <w:bookmarkStart w:id="49" w:name="_Toc26648466"/>
      <w:bookmarkStart w:id="50" w:name="_Toc24884219"/>
      <w:bookmarkStart w:id="51" w:name="_Toc17233326"/>
      <w:bookmarkStart w:id="52" w:name="_Toc17233334"/>
      <w:bookmarkStart w:id="53" w:name="_Toc24884212"/>
      <w:r>
        <w:rPr>
          <w:rFonts w:hint="eastAsia"/>
        </w:rPr>
        <w:t>本文件规定了</w:t>
      </w:r>
      <w:r>
        <w:t>信用卡纠纷</w:t>
      </w:r>
      <w:r>
        <w:rPr>
          <w:rFonts w:hint="eastAsia"/>
        </w:rPr>
        <w:t>类案件商事调解服务的服务原则、服务要求、服务内容、服务流程及要求、服务提供者的资质要求以及特殊要求等内容。</w:t>
      </w:r>
    </w:p>
    <w:p w14:paraId="2FAC20DB">
      <w:pPr>
        <w:pStyle w:val="58"/>
        <w:ind w:firstLine="420"/>
      </w:pPr>
      <w:r>
        <w:rPr>
          <w:rFonts w:hint="eastAsia"/>
        </w:rPr>
        <w:t>本文件适用于由商业银行向其客户提供具有消费信用、转账结算、存取现金等功能的</w:t>
      </w:r>
      <w:r>
        <w:t>信用卡</w:t>
      </w:r>
      <w:r>
        <w:rPr>
          <w:rFonts w:hint="eastAsia"/>
        </w:rPr>
        <w:t>，因发行、使用、还款、盗刷、欺诈</w:t>
      </w:r>
      <w:r>
        <w:t>等</w:t>
      </w:r>
      <w:r>
        <w:rPr>
          <w:rFonts w:hint="eastAsia"/>
        </w:rPr>
        <w:t>原因导致的</w:t>
      </w:r>
      <w:r>
        <w:t>纠纷，</w:t>
      </w:r>
      <w:r>
        <w:rPr>
          <w:rFonts w:hint="eastAsia"/>
        </w:rPr>
        <w:t>由商事调解组织就</w:t>
      </w:r>
      <w:r>
        <w:t>个人用户与银行、第三方支付机构之间</w:t>
      </w:r>
      <w:r>
        <w:rPr>
          <w:rFonts w:hint="eastAsia"/>
        </w:rPr>
        <w:t>开展调解的活动。</w:t>
      </w:r>
    </w:p>
    <w:p w14:paraId="79755104">
      <w:pPr>
        <w:pStyle w:val="106"/>
        <w:spacing w:before="240" w:after="240"/>
      </w:pPr>
      <w:bookmarkStart w:id="54" w:name="_Toc196212530"/>
      <w:bookmarkStart w:id="55" w:name="_Toc26718931"/>
      <w:bookmarkStart w:id="56" w:name="_Toc195624259"/>
      <w:bookmarkStart w:id="57" w:name="_Toc198629848"/>
      <w:bookmarkStart w:id="58" w:name="_Toc196208185"/>
      <w:bookmarkStart w:id="59" w:name="_Toc26986772"/>
      <w:bookmarkStart w:id="60" w:name="_Toc195600142"/>
      <w:bookmarkStart w:id="61" w:name="_Toc196208117"/>
      <w:bookmarkStart w:id="62" w:name="_Toc26986531"/>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p>
    <w:sdt>
      <w:sdtPr>
        <w:rPr>
          <w:rFonts w:hint="eastAsia"/>
        </w:rPr>
        <w:id w:val="715848253"/>
        <w:placeholder>
          <w:docPart w:val="B20294F911764EFAB3C8804CF6DEFC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4B1F007">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95213D5">
      <w:pPr>
        <w:pStyle w:val="58"/>
        <w:ind w:firstLine="420"/>
      </w:pPr>
      <w:r>
        <w:rPr>
          <w:rFonts w:hint="eastAsia"/>
        </w:rPr>
        <w:t>GB/T 22239  信息安全技术  网络安全等级保护基本要求</w:t>
      </w:r>
    </w:p>
    <w:p w14:paraId="3CCFC3AC">
      <w:pPr>
        <w:pStyle w:val="58"/>
        <w:ind w:firstLine="420"/>
      </w:pPr>
      <w:r>
        <w:rPr>
          <w:rFonts w:hint="eastAsia"/>
        </w:rPr>
        <w:t>T/SZS 4088—2024  商事调解工作规范</w:t>
      </w:r>
    </w:p>
    <w:p w14:paraId="0992698A">
      <w:pPr>
        <w:pStyle w:val="106"/>
        <w:spacing w:before="240" w:after="240"/>
      </w:pPr>
      <w:bookmarkStart w:id="63" w:name="_Toc196208118"/>
      <w:bookmarkStart w:id="64" w:name="_Toc195600143"/>
      <w:bookmarkStart w:id="65" w:name="_Toc196212531"/>
      <w:bookmarkStart w:id="66" w:name="_Toc195624260"/>
      <w:bookmarkStart w:id="67" w:name="_Toc198629849"/>
      <w:bookmarkStart w:id="68" w:name="_Toc196208186"/>
      <w:r>
        <w:rPr>
          <w:rFonts w:hint="eastAsia"/>
          <w:szCs w:val="21"/>
        </w:rPr>
        <w:t>术语和定义</w:t>
      </w:r>
      <w:bookmarkEnd w:id="63"/>
      <w:bookmarkEnd w:id="64"/>
      <w:bookmarkEnd w:id="65"/>
      <w:bookmarkEnd w:id="66"/>
      <w:bookmarkEnd w:id="67"/>
      <w:bookmarkEnd w:id="68"/>
    </w:p>
    <w:sdt>
      <w:sdtPr>
        <w:rPr>
          <w:rFonts w:hint="eastAsia"/>
        </w:rPr>
        <w:id w:val="-1"/>
        <w:placeholder>
          <w:docPart w:val="52FC9F3D548344079631B15655A311F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50E7949F">
          <w:pPr>
            <w:pStyle w:val="58"/>
            <w:ind w:firstLine="420"/>
          </w:pPr>
          <w:bookmarkStart w:id="69" w:name="_Toc26986532"/>
          <w:bookmarkEnd w:id="69"/>
          <w:r>
            <w:rPr>
              <w:rFonts w:hint="eastAsia"/>
            </w:rPr>
            <w:t>T/SZS</w:t>
          </w:r>
          <w:r>
            <w:t xml:space="preserve"> 4088—2024</w:t>
          </w:r>
          <w:r>
            <w:rPr>
              <w:rFonts w:hint="eastAsia"/>
            </w:rPr>
            <w:t>界定的以及下列术语和定义适用于本文件。</w:t>
          </w:r>
        </w:p>
      </w:sdtContent>
    </w:sdt>
    <w:p w14:paraId="5F3D6828">
      <w:pPr>
        <w:pStyle w:val="225"/>
        <w:ind w:left="420" w:hanging="420" w:hangingChars="200"/>
        <w:rPr>
          <w:rFonts w:hint="eastAsia" w:ascii="黑体" w:hAnsi="黑体" w:eastAsia="黑体"/>
        </w:rPr>
      </w:pPr>
      <w:r>
        <w:rPr>
          <w:rFonts w:ascii="黑体" w:hAnsi="黑体" w:eastAsia="黑体"/>
        </w:rPr>
        <w:br w:type="textWrapping"/>
      </w:r>
      <w:r>
        <w:rPr>
          <w:rFonts w:ascii="黑体" w:hAnsi="黑体" w:eastAsia="黑体"/>
        </w:rPr>
        <w:t>信用卡纠纷类案件</w:t>
      </w:r>
    </w:p>
    <w:p w14:paraId="51D1C2E9">
      <w:pPr>
        <w:pStyle w:val="58"/>
        <w:ind w:firstLine="420"/>
      </w:pPr>
      <w:r>
        <w:t>持卡人与发卡银行、第三方支付机构或其他相关主体之间，因信用卡申领、使用、还款、费用计算、安全保障等环节产生的权利义务争议，需要通过调解、诉讼或者仲裁的</w:t>
      </w:r>
      <w:r>
        <w:rPr>
          <w:rFonts w:hint="eastAsia"/>
        </w:rPr>
        <w:t>方式</w:t>
      </w:r>
      <w:r>
        <w:t>解决的民事纠纷。</w:t>
      </w:r>
    </w:p>
    <w:p w14:paraId="772F5290">
      <w:pPr>
        <w:pStyle w:val="181"/>
      </w:pPr>
      <w:r>
        <w:t>实务中主要存在透支还款争议、费用争议、盗刷与欺诈争议、合同条款争议、征信影响争议等信用卡纠纷，该类型的纠纷法律关系复杂、有多重主体参与，合同属性特殊，争议焦点集中，且当事人地位不平等，在处理过程当中持卡人可能因为催收压力产生抵触情绪，且案件数量庞大，纠纷处理不当可能引发群体性事件，银行不良率上升可能影响信贷市场健康运行，社会影响广泛。</w:t>
      </w:r>
    </w:p>
    <w:p w14:paraId="6D7F4A0F">
      <w:pPr>
        <w:pStyle w:val="225"/>
        <w:ind w:left="420" w:hanging="420" w:hangingChars="200"/>
        <w:rPr>
          <w:rFonts w:hint="eastAsia" w:ascii="黑体" w:hAnsi="黑体" w:eastAsia="黑体"/>
        </w:rPr>
      </w:pPr>
      <w:r>
        <w:rPr>
          <w:rFonts w:ascii="黑体" w:hAnsi="黑体" w:eastAsia="黑体"/>
        </w:rPr>
        <w:br w:type="textWrapping"/>
      </w:r>
      <w:r>
        <w:rPr>
          <w:rFonts w:ascii="黑体" w:hAnsi="黑体" w:eastAsia="黑体"/>
        </w:rPr>
        <w:t>预调解评估</w:t>
      </w:r>
    </w:p>
    <w:p w14:paraId="47490315">
      <w:pPr>
        <w:pStyle w:val="58"/>
        <w:ind w:firstLine="420"/>
      </w:pPr>
      <w:r>
        <w:rPr>
          <w:rFonts w:hint="eastAsia"/>
        </w:rPr>
        <w:t>通过筛选可调解案件、预判争议焦点，评估调解可行性的活动过程。</w:t>
      </w:r>
    </w:p>
    <w:p w14:paraId="57080A2E">
      <w:pPr>
        <w:pStyle w:val="182"/>
      </w:pPr>
      <w:r>
        <w:rPr>
          <w:rFonts w:hint="eastAsia"/>
        </w:rPr>
        <w:t>筛选可调解案件，识别符合调解条件的纠纷，排除恶意逃废债、刑事犯罪（如信用卡诈骗）等非调解范畴案件。</w:t>
      </w:r>
    </w:p>
    <w:p w14:paraId="6A7B6079">
      <w:pPr>
        <w:pStyle w:val="182"/>
      </w:pPr>
      <w:r>
        <w:rPr>
          <w:rFonts w:hint="eastAsia"/>
        </w:rPr>
        <w:t>预判争议焦点，明确纠纷类型（利息争议、盗刷责任等），确定核心法律问题与证据需求。</w:t>
      </w:r>
    </w:p>
    <w:p w14:paraId="1A30F307">
      <w:pPr>
        <w:pStyle w:val="182"/>
      </w:pPr>
      <w:r>
        <w:rPr>
          <w:rFonts w:hint="eastAsia"/>
        </w:rPr>
        <w:t>评估调解可行性，分析双方调解意愿、利益平衡空间及执行风险，制定针对性调解策略。</w:t>
      </w:r>
    </w:p>
    <w:p w14:paraId="62E80AB0">
      <w:pPr>
        <w:pStyle w:val="106"/>
        <w:spacing w:before="240" w:after="240"/>
      </w:pPr>
      <w:bookmarkStart w:id="70" w:name="_Toc195600144"/>
      <w:bookmarkStart w:id="71" w:name="_Toc195624261"/>
      <w:bookmarkStart w:id="72" w:name="_Toc196208187"/>
      <w:bookmarkStart w:id="73" w:name="_Toc196212532"/>
      <w:bookmarkStart w:id="74" w:name="_Toc198629850"/>
      <w:bookmarkStart w:id="75" w:name="_Toc196208119"/>
      <w:r>
        <w:rPr>
          <w:rFonts w:hint="eastAsia"/>
        </w:rPr>
        <w:t>服务原则</w:t>
      </w:r>
      <w:bookmarkEnd w:id="70"/>
      <w:bookmarkEnd w:id="71"/>
      <w:bookmarkEnd w:id="72"/>
      <w:bookmarkEnd w:id="73"/>
      <w:bookmarkEnd w:id="74"/>
      <w:bookmarkEnd w:id="75"/>
    </w:p>
    <w:p w14:paraId="7AEEF626">
      <w:pPr>
        <w:pStyle w:val="107"/>
        <w:spacing w:before="120" w:after="120"/>
      </w:pPr>
      <w:bookmarkStart w:id="76" w:name="_Toc195624262"/>
      <w:bookmarkStart w:id="77" w:name="_Toc196212533"/>
      <w:bookmarkStart w:id="78" w:name="_Toc198629851"/>
      <w:bookmarkStart w:id="79" w:name="_Toc196208188"/>
      <w:bookmarkStart w:id="80" w:name="_Toc196208120"/>
      <w:r>
        <w:rPr>
          <w:rFonts w:hint="eastAsia"/>
        </w:rPr>
        <w:t>自愿原则</w:t>
      </w:r>
      <w:bookmarkEnd w:id="76"/>
      <w:bookmarkEnd w:id="77"/>
      <w:bookmarkEnd w:id="78"/>
      <w:bookmarkEnd w:id="79"/>
      <w:bookmarkEnd w:id="80"/>
    </w:p>
    <w:p w14:paraId="3C660571">
      <w:pPr>
        <w:pStyle w:val="58"/>
        <w:ind w:firstLine="420"/>
      </w:pPr>
      <w:r>
        <w:rPr>
          <w:rFonts w:hint="eastAsia"/>
        </w:rPr>
        <w:t>商事调解当事人自主决定是否接受调解及调解方案。</w:t>
      </w:r>
    </w:p>
    <w:p w14:paraId="30EBA0C9">
      <w:pPr>
        <w:pStyle w:val="107"/>
        <w:spacing w:before="120" w:after="120"/>
      </w:pPr>
      <w:bookmarkStart w:id="81" w:name="_Toc195624263"/>
      <w:bookmarkStart w:id="82" w:name="_Toc196212534"/>
      <w:bookmarkStart w:id="83" w:name="_Toc198629852"/>
      <w:bookmarkStart w:id="84" w:name="_Toc196208189"/>
      <w:bookmarkStart w:id="85" w:name="_Toc196208121"/>
      <w:r>
        <w:rPr>
          <w:rFonts w:hint="eastAsia"/>
        </w:rPr>
        <w:t>合法合规原则</w:t>
      </w:r>
      <w:bookmarkEnd w:id="81"/>
      <w:bookmarkEnd w:id="82"/>
      <w:bookmarkEnd w:id="83"/>
      <w:bookmarkEnd w:id="84"/>
      <w:bookmarkEnd w:id="85"/>
    </w:p>
    <w:p w14:paraId="5A84059A">
      <w:pPr>
        <w:pStyle w:val="58"/>
        <w:ind w:firstLine="420"/>
      </w:pPr>
      <w:r>
        <w:rPr>
          <w:rFonts w:hint="eastAsia"/>
        </w:rPr>
        <w:t>调解程序及结果不得违反法律法规强制性规定。</w:t>
      </w:r>
    </w:p>
    <w:p w14:paraId="15D7C2D5">
      <w:pPr>
        <w:pStyle w:val="107"/>
        <w:spacing w:before="120" w:after="120"/>
      </w:pPr>
      <w:bookmarkStart w:id="86" w:name="_Toc196212535"/>
      <w:bookmarkStart w:id="87" w:name="_Toc196208122"/>
      <w:bookmarkStart w:id="88" w:name="_Toc195624264"/>
      <w:bookmarkStart w:id="89" w:name="_Toc196208190"/>
      <w:bookmarkStart w:id="90" w:name="_Toc198629853"/>
      <w:r>
        <w:rPr>
          <w:rFonts w:hint="eastAsia"/>
        </w:rPr>
        <w:t>公平公正原则</w:t>
      </w:r>
      <w:bookmarkEnd w:id="86"/>
      <w:bookmarkEnd w:id="87"/>
      <w:bookmarkEnd w:id="88"/>
      <w:bookmarkEnd w:id="89"/>
      <w:bookmarkEnd w:id="90"/>
    </w:p>
    <w:p w14:paraId="115A2FB6">
      <w:pPr>
        <w:pStyle w:val="58"/>
        <w:ind w:firstLine="420"/>
      </w:pPr>
      <w:r>
        <w:rPr>
          <w:rFonts w:hint="eastAsia"/>
        </w:rPr>
        <w:t>平等保护借贷双方合法权益。</w:t>
      </w:r>
    </w:p>
    <w:p w14:paraId="4BE513C9">
      <w:pPr>
        <w:pStyle w:val="107"/>
        <w:spacing w:before="120" w:after="120"/>
      </w:pPr>
      <w:bookmarkStart w:id="91" w:name="_Toc198629854"/>
      <w:bookmarkStart w:id="92" w:name="_Toc196212536"/>
      <w:bookmarkStart w:id="93" w:name="_Toc196208123"/>
      <w:bookmarkStart w:id="94" w:name="_Toc196208191"/>
      <w:bookmarkStart w:id="95" w:name="_Toc195624265"/>
      <w:r>
        <w:rPr>
          <w:rFonts w:hint="eastAsia"/>
        </w:rPr>
        <w:t>保密原则</w:t>
      </w:r>
      <w:bookmarkEnd w:id="91"/>
      <w:bookmarkEnd w:id="92"/>
      <w:bookmarkEnd w:id="93"/>
      <w:bookmarkEnd w:id="94"/>
      <w:bookmarkEnd w:id="95"/>
    </w:p>
    <w:p w14:paraId="2E34E87A">
      <w:pPr>
        <w:pStyle w:val="58"/>
        <w:ind w:firstLine="420"/>
      </w:pPr>
      <w:r>
        <w:rPr>
          <w:rFonts w:hint="eastAsia"/>
        </w:rPr>
        <w:t>未经商事调解当事人同意，不得泄露调解过程及结果信息。</w:t>
      </w:r>
    </w:p>
    <w:p w14:paraId="3EC75DB9">
      <w:pPr>
        <w:pStyle w:val="107"/>
        <w:spacing w:before="120" w:after="120"/>
      </w:pPr>
      <w:bookmarkStart w:id="96" w:name="_Toc196208192"/>
      <w:bookmarkStart w:id="97" w:name="_Toc196212537"/>
      <w:bookmarkStart w:id="98" w:name="_Toc196208124"/>
      <w:bookmarkStart w:id="99" w:name="_Toc198629855"/>
      <w:bookmarkStart w:id="100" w:name="_Toc195624266"/>
      <w:r>
        <w:rPr>
          <w:rFonts w:hint="eastAsia"/>
        </w:rPr>
        <w:t>效率优先原则</w:t>
      </w:r>
      <w:bookmarkEnd w:id="96"/>
      <w:bookmarkEnd w:id="97"/>
      <w:bookmarkEnd w:id="98"/>
      <w:bookmarkEnd w:id="99"/>
      <w:bookmarkEnd w:id="100"/>
    </w:p>
    <w:p w14:paraId="01634E0A">
      <w:pPr>
        <w:pStyle w:val="58"/>
        <w:ind w:firstLine="420"/>
      </w:pPr>
      <w:r>
        <w:rPr>
          <w:rFonts w:hint="eastAsia"/>
        </w:rPr>
        <w:t>一般案件应在受理之日起</w:t>
      </w:r>
      <w:r>
        <w:t>30</w:t>
      </w:r>
      <w:r>
        <w:rPr>
          <w:rFonts w:hint="eastAsia"/>
        </w:rPr>
        <w:t>日内完成调解。</w:t>
      </w:r>
    </w:p>
    <w:p w14:paraId="59B58237">
      <w:pPr>
        <w:pStyle w:val="107"/>
        <w:spacing w:before="120" w:after="120"/>
      </w:pPr>
      <w:bookmarkStart w:id="101" w:name="_Toc196212538"/>
      <w:bookmarkStart w:id="102" w:name="_Toc196208193"/>
      <w:bookmarkStart w:id="103" w:name="_Toc196208125"/>
      <w:bookmarkStart w:id="104" w:name="_Toc195624267"/>
      <w:bookmarkStart w:id="105" w:name="_Toc198629856"/>
      <w:r>
        <w:rPr>
          <w:rFonts w:hint="eastAsia"/>
        </w:rPr>
        <w:t>债务纾困优先原则</w:t>
      </w:r>
      <w:bookmarkEnd w:id="101"/>
      <w:bookmarkEnd w:id="102"/>
      <w:bookmarkEnd w:id="103"/>
      <w:bookmarkEnd w:id="104"/>
      <w:bookmarkEnd w:id="105"/>
    </w:p>
    <w:p w14:paraId="235154BF">
      <w:pPr>
        <w:pStyle w:val="58"/>
        <w:ind w:firstLine="420"/>
      </w:pPr>
      <w:r>
        <w:rPr>
          <w:rFonts w:hint="eastAsia"/>
        </w:rPr>
        <w:t>优先促成分期还款、利息减免等可行性方案，避免债务人失联。</w:t>
      </w:r>
    </w:p>
    <w:p w14:paraId="022CDD63">
      <w:pPr>
        <w:pStyle w:val="107"/>
        <w:spacing w:before="120" w:after="120"/>
      </w:pPr>
      <w:bookmarkStart w:id="106" w:name="_Toc196208126"/>
      <w:bookmarkStart w:id="107" w:name="_Toc195624268"/>
      <w:bookmarkStart w:id="108" w:name="_Toc196208194"/>
      <w:bookmarkStart w:id="109" w:name="_Toc198629857"/>
      <w:bookmarkStart w:id="110" w:name="_Toc196212539"/>
      <w:r>
        <w:rPr>
          <w:rFonts w:hint="eastAsia"/>
        </w:rPr>
        <w:t>数据可追溯原则</w:t>
      </w:r>
      <w:bookmarkEnd w:id="106"/>
      <w:bookmarkEnd w:id="107"/>
      <w:bookmarkEnd w:id="108"/>
      <w:bookmarkEnd w:id="109"/>
      <w:bookmarkEnd w:id="110"/>
    </w:p>
    <w:p w14:paraId="0E35C2B6">
      <w:pPr>
        <w:pStyle w:val="58"/>
        <w:ind w:firstLine="420"/>
      </w:pPr>
      <w:r>
        <w:rPr>
          <w:rFonts w:hint="eastAsia"/>
        </w:rPr>
        <w:t>全程记录电子签约、还款提醒等关键节点数据。</w:t>
      </w:r>
    </w:p>
    <w:p w14:paraId="3F7B65E2">
      <w:pPr>
        <w:pStyle w:val="106"/>
        <w:spacing w:before="240" w:after="240"/>
      </w:pPr>
      <w:bookmarkStart w:id="111" w:name="_Toc198629858"/>
      <w:bookmarkStart w:id="112" w:name="_Toc196208127"/>
      <w:bookmarkStart w:id="113" w:name="_Toc196208195"/>
      <w:bookmarkStart w:id="114" w:name="_Toc196212540"/>
      <w:bookmarkStart w:id="115" w:name="_Toc195624269"/>
      <w:bookmarkStart w:id="116" w:name="_Toc195600145"/>
      <w:r>
        <w:rPr>
          <w:rFonts w:hint="eastAsia"/>
        </w:rPr>
        <w:t>服务提供方的要求</w:t>
      </w:r>
      <w:bookmarkEnd w:id="111"/>
      <w:bookmarkEnd w:id="112"/>
      <w:bookmarkEnd w:id="113"/>
      <w:bookmarkEnd w:id="114"/>
      <w:bookmarkEnd w:id="115"/>
      <w:bookmarkEnd w:id="116"/>
    </w:p>
    <w:p w14:paraId="7C006E8F">
      <w:pPr>
        <w:pStyle w:val="107"/>
        <w:spacing w:before="120" w:after="120"/>
      </w:pPr>
      <w:bookmarkStart w:id="117" w:name="_Toc198629859"/>
      <w:bookmarkStart w:id="118" w:name="_Toc195600146"/>
      <w:bookmarkStart w:id="119" w:name="_Toc196212541"/>
      <w:bookmarkStart w:id="120" w:name="_Toc196208128"/>
      <w:bookmarkStart w:id="121" w:name="_Toc196208196"/>
      <w:bookmarkStart w:id="122" w:name="_Toc195624270"/>
      <w:r>
        <w:rPr>
          <w:rFonts w:hint="eastAsia"/>
        </w:rPr>
        <w:t>机构要求</w:t>
      </w:r>
      <w:bookmarkEnd w:id="117"/>
      <w:bookmarkEnd w:id="118"/>
      <w:bookmarkEnd w:id="119"/>
      <w:bookmarkEnd w:id="120"/>
      <w:bookmarkEnd w:id="121"/>
      <w:bookmarkEnd w:id="122"/>
    </w:p>
    <w:p w14:paraId="379E4D86">
      <w:pPr>
        <w:pStyle w:val="167"/>
      </w:pPr>
      <w:r>
        <w:rPr>
          <w:rFonts w:hint="eastAsia"/>
        </w:rPr>
        <w:t>由司法行政部门作为业务主管单位，依法在民政部门登记成立，业务范围包含商事调解服务。</w:t>
      </w:r>
    </w:p>
    <w:p w14:paraId="4F10E4F8">
      <w:pPr>
        <w:pStyle w:val="167"/>
      </w:pPr>
      <w:r>
        <w:rPr>
          <w:rFonts w:hint="eastAsia"/>
        </w:rPr>
        <w:t>独立调解室面积≥50㎡，具备360度录音录像设备。</w:t>
      </w:r>
    </w:p>
    <w:p w14:paraId="562CEF62">
      <w:pPr>
        <w:pStyle w:val="167"/>
      </w:pPr>
      <w:r>
        <w:rPr>
          <w:rFonts w:hint="eastAsia"/>
        </w:rPr>
        <w:t>需配备至少5名专职调解员和2名专职商事调解秘书。</w:t>
      </w:r>
    </w:p>
    <w:p w14:paraId="14E87505">
      <w:pPr>
        <w:pStyle w:val="167"/>
      </w:pPr>
      <w:r>
        <w:rPr>
          <w:rFonts w:hint="eastAsia"/>
        </w:rPr>
        <w:t>建立案件管理系统，实现全流程电子化记录。</w:t>
      </w:r>
    </w:p>
    <w:p w14:paraId="34DE024E">
      <w:pPr>
        <w:pStyle w:val="167"/>
      </w:pPr>
      <w:r>
        <w:rPr>
          <w:rFonts w:hint="eastAsia"/>
        </w:rPr>
        <w:t>设立风险防控机制，防范虚假调解或恶意逃废债行为。</w:t>
      </w:r>
    </w:p>
    <w:p w14:paraId="440B3ABC">
      <w:pPr>
        <w:pStyle w:val="167"/>
      </w:pPr>
      <w:r>
        <w:rPr>
          <w:rFonts w:hint="eastAsia"/>
        </w:rPr>
        <w:t>建立“智能纠纷受理预审系统”，自动核验电子合同签署有效性。</w:t>
      </w:r>
    </w:p>
    <w:p w14:paraId="7DD91450">
      <w:pPr>
        <w:pStyle w:val="181"/>
      </w:pPr>
      <w:r>
        <w:rPr>
          <w:rFonts w:hint="eastAsia"/>
        </w:rPr>
        <w:t>电子合同签署应符合《中华人民共和国电子签名法》第十三条的要求。</w:t>
      </w:r>
    </w:p>
    <w:p w14:paraId="0BED2EFC">
      <w:pPr>
        <w:pStyle w:val="167"/>
      </w:pPr>
      <w:r>
        <w:rPr>
          <w:rFonts w:hint="eastAsia"/>
        </w:rPr>
        <w:t>开发“债务重组计算工具”，自动生成个性化还款方案（含利息减免梯度表）。</w:t>
      </w:r>
    </w:p>
    <w:p w14:paraId="25303F02">
      <w:pPr>
        <w:pStyle w:val="167"/>
      </w:pPr>
      <w:r>
        <w:rPr>
          <w:rFonts w:hint="eastAsia"/>
        </w:rPr>
        <w:t>线上调解系统应符合GB/T 22239第三级安全要求。</w:t>
      </w:r>
    </w:p>
    <w:p w14:paraId="46EDF1D0">
      <w:pPr>
        <w:pStyle w:val="167"/>
      </w:pPr>
      <w:r>
        <w:rPr>
          <w:rFonts w:hint="eastAsia"/>
        </w:rPr>
        <w:t>调解录音录像等调解记录保存不少于5年。</w:t>
      </w:r>
    </w:p>
    <w:p w14:paraId="31629A58">
      <w:pPr>
        <w:pStyle w:val="167"/>
      </w:pPr>
      <w:r>
        <w:rPr>
          <w:rFonts w:hint="eastAsia"/>
        </w:rPr>
        <w:t>参照附录A对商事调解当事人进行信用评估，以调解成功率、商事调解当事人满意度、文书合格率等数据作为商事调解员的评价标准，定期公示考核结果。</w:t>
      </w:r>
    </w:p>
    <w:p w14:paraId="2EC7FD62">
      <w:pPr>
        <w:pStyle w:val="167"/>
      </w:pPr>
      <w:r>
        <w:rPr>
          <w:rFonts w:hint="eastAsia"/>
        </w:rPr>
        <w:t>宜根据商事调解员专业背景（如法律、金融、心理学等）及案件调解成功率，对商事调解员的特点及擅长领域（如高负债案件、反催收应对等）进行标注和分类，实现案件与商事调解员精准匹配，提高调解效率。</w:t>
      </w:r>
    </w:p>
    <w:p w14:paraId="49506328">
      <w:pPr>
        <w:pStyle w:val="107"/>
        <w:spacing w:before="120" w:after="120"/>
      </w:pPr>
      <w:bookmarkStart w:id="123" w:name="_Toc195624271"/>
      <w:bookmarkStart w:id="124" w:name="_Toc196208129"/>
      <w:bookmarkStart w:id="125" w:name="_Toc195600147"/>
      <w:bookmarkStart w:id="126" w:name="_Toc196208197"/>
      <w:bookmarkStart w:id="127" w:name="_Toc198629860"/>
      <w:bookmarkStart w:id="128" w:name="_Toc196212542"/>
      <w:r>
        <w:rPr>
          <w:rFonts w:hint="eastAsia"/>
        </w:rPr>
        <w:t>商事调解员要求</w:t>
      </w:r>
      <w:bookmarkEnd w:id="123"/>
      <w:bookmarkEnd w:id="124"/>
      <w:bookmarkEnd w:id="125"/>
      <w:bookmarkEnd w:id="126"/>
      <w:bookmarkEnd w:id="127"/>
      <w:bookmarkEnd w:id="128"/>
    </w:p>
    <w:p w14:paraId="2BF8C51B">
      <w:pPr>
        <w:pStyle w:val="167"/>
      </w:pPr>
      <w:r>
        <w:rPr>
          <w:rFonts w:hint="eastAsia"/>
        </w:rPr>
        <w:t>应具备法律、金融等相关行业的基础知识，对信用卡纠纷有一定的了解。</w:t>
      </w:r>
    </w:p>
    <w:p w14:paraId="01AE72E8">
      <w:pPr>
        <w:pStyle w:val="167"/>
      </w:pPr>
      <w:r>
        <w:rPr>
          <w:rFonts w:hint="eastAsia"/>
        </w:rPr>
        <w:t>应提供无犯罪记录证明、个人征信报告及从业经历声明。</w:t>
      </w:r>
    </w:p>
    <w:p w14:paraId="1C7AD672">
      <w:pPr>
        <w:pStyle w:val="167"/>
      </w:pPr>
      <w:r>
        <w:rPr>
          <w:rFonts w:hint="eastAsia"/>
        </w:rPr>
        <w:t>使用标准化调解话术模板，禁止诱导性表述。</w:t>
      </w:r>
    </w:p>
    <w:p w14:paraId="2F8194AE">
      <w:pPr>
        <w:pStyle w:val="167"/>
      </w:pPr>
      <w:r>
        <w:rPr>
          <w:rFonts w:hint="eastAsia"/>
        </w:rPr>
        <w:t>掌握LPR利率政策及债务重组计算模型。</w:t>
      </w:r>
    </w:p>
    <w:p w14:paraId="1931A9B6">
      <w:pPr>
        <w:pStyle w:val="167"/>
      </w:pPr>
      <w:r>
        <w:rPr>
          <w:rFonts w:hint="eastAsia"/>
        </w:rPr>
        <w:t>每年接受不少于40小时的继续教育培训。</w:t>
      </w:r>
    </w:p>
    <w:p w14:paraId="21485E12">
      <w:pPr>
        <w:pStyle w:val="167"/>
      </w:pPr>
      <w:r>
        <w:rPr>
          <w:rFonts w:hint="eastAsia"/>
        </w:rPr>
        <w:t>与案件存在利益冲突时应当主动回避。</w:t>
      </w:r>
    </w:p>
    <w:p w14:paraId="704D9FCB">
      <w:pPr>
        <w:pStyle w:val="167"/>
      </w:pPr>
      <w:r>
        <w:rPr>
          <w:rFonts w:hint="eastAsia"/>
        </w:rPr>
        <w:t>调解前应向当事人书面告知权利义务（如自愿原则、保密范围），并提供《调解风险提示书》（见附录B），确保当事人充分知悉调解后果及法律救济途径。</w:t>
      </w:r>
    </w:p>
    <w:p w14:paraId="6CF824FB">
      <w:pPr>
        <w:pStyle w:val="106"/>
        <w:spacing w:before="240" w:after="240"/>
      </w:pPr>
      <w:bookmarkStart w:id="129" w:name="_Toc195600148"/>
      <w:bookmarkStart w:id="130" w:name="_Toc196208198"/>
      <w:bookmarkStart w:id="131" w:name="_Toc198629861"/>
      <w:bookmarkStart w:id="132" w:name="_Toc196208130"/>
      <w:bookmarkStart w:id="133" w:name="_Toc195624272"/>
      <w:bookmarkStart w:id="134" w:name="_Toc196212543"/>
      <w:r>
        <w:rPr>
          <w:rFonts w:hint="eastAsia"/>
        </w:rPr>
        <w:t>服务内容</w:t>
      </w:r>
      <w:bookmarkEnd w:id="129"/>
      <w:bookmarkEnd w:id="130"/>
      <w:bookmarkEnd w:id="131"/>
      <w:bookmarkEnd w:id="132"/>
      <w:bookmarkEnd w:id="133"/>
      <w:bookmarkEnd w:id="134"/>
    </w:p>
    <w:p w14:paraId="06AFA34E">
      <w:pPr>
        <w:pStyle w:val="107"/>
        <w:spacing w:before="120" w:after="120"/>
      </w:pPr>
      <w:bookmarkStart w:id="135" w:name="_Toc196212544"/>
      <w:bookmarkStart w:id="136" w:name="_Toc196208131"/>
      <w:bookmarkStart w:id="137" w:name="_Toc198629862"/>
      <w:bookmarkStart w:id="138" w:name="_Toc196208199"/>
      <w:bookmarkStart w:id="139" w:name="_Toc195624273"/>
      <w:r>
        <w:rPr>
          <w:rFonts w:hint="eastAsia"/>
        </w:rPr>
        <w:t>案件信息初步审核</w:t>
      </w:r>
      <w:bookmarkEnd w:id="135"/>
      <w:bookmarkEnd w:id="136"/>
      <w:bookmarkEnd w:id="137"/>
      <w:bookmarkEnd w:id="138"/>
      <w:bookmarkEnd w:id="139"/>
    </w:p>
    <w:p w14:paraId="1B188D07">
      <w:pPr>
        <w:pStyle w:val="58"/>
        <w:ind w:firstLine="420"/>
      </w:pPr>
      <w:r>
        <w:t>信用卡纠纷</w:t>
      </w:r>
      <w:r>
        <w:rPr>
          <w:rFonts w:hint="eastAsia"/>
        </w:rPr>
        <w:t>类案件应审核信用卡领用合约等相关合同的有效性、债务真实性及管辖权依据。</w:t>
      </w:r>
    </w:p>
    <w:p w14:paraId="17E70708">
      <w:pPr>
        <w:pStyle w:val="107"/>
        <w:spacing w:before="120" w:after="120"/>
      </w:pPr>
      <w:bookmarkStart w:id="140" w:name="_Toc196208132"/>
      <w:bookmarkStart w:id="141" w:name="_Toc196208200"/>
      <w:bookmarkStart w:id="142" w:name="_Toc195624274"/>
      <w:bookmarkStart w:id="143" w:name="_Toc196212545"/>
      <w:bookmarkStart w:id="144" w:name="_Toc198629863"/>
      <w:r>
        <w:rPr>
          <w:rFonts w:hint="eastAsia"/>
        </w:rPr>
        <w:t>调查评估</w:t>
      </w:r>
      <w:bookmarkEnd w:id="140"/>
      <w:bookmarkEnd w:id="141"/>
      <w:bookmarkEnd w:id="142"/>
      <w:bookmarkEnd w:id="143"/>
      <w:bookmarkEnd w:id="144"/>
    </w:p>
    <w:p w14:paraId="15058E4F">
      <w:pPr>
        <w:pStyle w:val="58"/>
        <w:ind w:firstLine="420"/>
      </w:pPr>
      <w:r>
        <w:rPr>
          <w:rFonts w:hint="eastAsia"/>
        </w:rPr>
        <w:t>进行预调解评估，</w:t>
      </w:r>
      <w:r>
        <w:t>对合同条款的合规性审查、对交易行为的审查以及</w:t>
      </w:r>
      <w:r>
        <w:rPr>
          <w:rFonts w:hint="eastAsia"/>
        </w:rPr>
        <w:t>核实借款人还款能力及违约原因。</w:t>
      </w:r>
    </w:p>
    <w:p w14:paraId="11311C5B">
      <w:pPr>
        <w:pStyle w:val="107"/>
        <w:spacing w:before="120" w:after="120"/>
      </w:pPr>
      <w:bookmarkStart w:id="145" w:name="_Toc196208201"/>
      <w:bookmarkStart w:id="146" w:name="_Toc198629864"/>
      <w:bookmarkStart w:id="147" w:name="_Toc196212546"/>
      <w:bookmarkStart w:id="148" w:name="_Toc195624275"/>
      <w:bookmarkStart w:id="149" w:name="_Toc196208133"/>
      <w:r>
        <w:rPr>
          <w:rFonts w:hint="eastAsia"/>
        </w:rPr>
        <w:t>调解实施</w:t>
      </w:r>
      <w:bookmarkEnd w:id="145"/>
      <w:bookmarkEnd w:id="146"/>
      <w:bookmarkEnd w:id="147"/>
      <w:bookmarkEnd w:id="148"/>
      <w:bookmarkEnd w:id="149"/>
    </w:p>
    <w:p w14:paraId="2419969E">
      <w:pPr>
        <w:pStyle w:val="58"/>
        <w:ind w:firstLine="420"/>
      </w:pPr>
      <w:r>
        <w:rPr>
          <w:rFonts w:hint="eastAsia"/>
        </w:rPr>
        <w:t>组织现场或线上会议，提出分期还款、利息减免等解决方案。</w:t>
      </w:r>
    </w:p>
    <w:p w14:paraId="04B3F0C9">
      <w:pPr>
        <w:pStyle w:val="107"/>
        <w:spacing w:before="120" w:after="120"/>
      </w:pPr>
      <w:bookmarkStart w:id="150" w:name="_Toc198629865"/>
      <w:bookmarkStart w:id="151" w:name="_Toc196208202"/>
      <w:bookmarkStart w:id="152" w:name="_Toc196208134"/>
      <w:bookmarkStart w:id="153" w:name="_Toc196212547"/>
      <w:bookmarkStart w:id="154" w:name="_Toc195624276"/>
      <w:r>
        <w:rPr>
          <w:rFonts w:hint="eastAsia"/>
        </w:rPr>
        <w:t>协议执行</w:t>
      </w:r>
      <w:bookmarkEnd w:id="150"/>
      <w:bookmarkEnd w:id="151"/>
      <w:bookmarkEnd w:id="152"/>
      <w:bookmarkEnd w:id="153"/>
      <w:bookmarkEnd w:id="154"/>
    </w:p>
    <w:p w14:paraId="06290A24">
      <w:pPr>
        <w:pStyle w:val="58"/>
        <w:ind w:firstLine="420"/>
      </w:pPr>
      <w:r>
        <w:rPr>
          <w:rFonts w:hint="eastAsia"/>
        </w:rPr>
        <w:t>出具具有民事合同效力的调解协议书，协助商事调解当事人申请司法确认</w:t>
      </w:r>
      <w:r>
        <w:t>；或者对调解协议进行赋强公证，赋予调解书强制执行力。</w:t>
      </w:r>
    </w:p>
    <w:p w14:paraId="6F76C69D">
      <w:pPr>
        <w:pStyle w:val="107"/>
        <w:spacing w:before="120" w:after="120"/>
      </w:pPr>
      <w:bookmarkStart w:id="155" w:name="_Toc196208203"/>
      <w:bookmarkStart w:id="156" w:name="_Toc198629866"/>
      <w:bookmarkStart w:id="157" w:name="_Toc195624277"/>
      <w:bookmarkStart w:id="158" w:name="_Toc196208135"/>
      <w:bookmarkStart w:id="159" w:name="_Toc196212548"/>
      <w:r>
        <w:rPr>
          <w:rFonts w:hint="eastAsia"/>
        </w:rPr>
        <w:t>履约追踪</w:t>
      </w:r>
      <w:bookmarkEnd w:id="155"/>
      <w:bookmarkEnd w:id="156"/>
      <w:bookmarkEnd w:id="157"/>
      <w:bookmarkEnd w:id="158"/>
      <w:bookmarkEnd w:id="159"/>
    </w:p>
    <w:p w14:paraId="3AAE7670">
      <w:pPr>
        <w:pStyle w:val="58"/>
        <w:ind w:firstLine="420"/>
      </w:pPr>
      <w:r>
        <w:rPr>
          <w:rFonts w:hint="eastAsia"/>
        </w:rPr>
        <w:t>对未履行协议的商事调解当事人进行提醒并报告相关机构。</w:t>
      </w:r>
    </w:p>
    <w:p w14:paraId="520274D6">
      <w:pPr>
        <w:pStyle w:val="107"/>
        <w:spacing w:before="120" w:after="120"/>
      </w:pPr>
      <w:bookmarkStart w:id="160" w:name="_Toc195624278"/>
      <w:bookmarkStart w:id="161" w:name="_Toc198629867"/>
      <w:bookmarkStart w:id="162" w:name="_Toc196208204"/>
      <w:bookmarkStart w:id="163" w:name="_Toc196208136"/>
      <w:bookmarkStart w:id="164" w:name="_Toc196212549"/>
      <w:r>
        <w:rPr>
          <w:rFonts w:hint="eastAsia"/>
        </w:rPr>
        <w:t>失联修复服务</w:t>
      </w:r>
      <w:bookmarkEnd w:id="160"/>
      <w:bookmarkEnd w:id="161"/>
      <w:bookmarkEnd w:id="162"/>
      <w:bookmarkEnd w:id="163"/>
      <w:bookmarkEnd w:id="164"/>
    </w:p>
    <w:p w14:paraId="434920E4">
      <w:pPr>
        <w:pStyle w:val="58"/>
        <w:ind w:firstLine="420"/>
      </w:pPr>
      <w:r>
        <w:rPr>
          <w:rFonts w:hint="eastAsia"/>
        </w:rPr>
        <w:t xml:space="preserve">经商事调解当事人授权后，可通过运营商或政务数据平台验证联系地址。  </w:t>
      </w:r>
    </w:p>
    <w:p w14:paraId="677F9AED">
      <w:pPr>
        <w:pStyle w:val="107"/>
        <w:spacing w:before="120" w:after="120"/>
      </w:pPr>
      <w:bookmarkStart w:id="165" w:name="_Toc196212550"/>
      <w:bookmarkStart w:id="166" w:name="_Toc198629868"/>
      <w:bookmarkStart w:id="167" w:name="_Toc195624279"/>
      <w:bookmarkStart w:id="168" w:name="_Toc196208137"/>
      <w:bookmarkStart w:id="169" w:name="_Toc196208205"/>
      <w:r>
        <w:rPr>
          <w:rFonts w:hint="eastAsia"/>
        </w:rPr>
        <w:t>心理疏导服务</w:t>
      </w:r>
      <w:bookmarkEnd w:id="165"/>
      <w:bookmarkEnd w:id="166"/>
      <w:bookmarkEnd w:id="167"/>
      <w:bookmarkEnd w:id="168"/>
      <w:bookmarkEnd w:id="169"/>
    </w:p>
    <w:p w14:paraId="2567569B">
      <w:pPr>
        <w:pStyle w:val="58"/>
        <w:ind w:firstLine="420"/>
      </w:pPr>
      <w:r>
        <w:rPr>
          <w:rFonts w:hint="eastAsia"/>
        </w:rPr>
        <w:t>对存在债务焦虑的商事调解当事人提供专业心理咨询（需签订保密协议）。</w:t>
      </w:r>
    </w:p>
    <w:p w14:paraId="0872505A">
      <w:pPr>
        <w:pStyle w:val="106"/>
        <w:spacing w:before="240" w:after="240"/>
      </w:pPr>
      <w:bookmarkStart w:id="170" w:name="_Toc196212551"/>
      <w:bookmarkStart w:id="171" w:name="_Toc195600149"/>
      <w:bookmarkStart w:id="172" w:name="_Toc196208206"/>
      <w:bookmarkStart w:id="173" w:name="_Toc195624280"/>
      <w:bookmarkStart w:id="174" w:name="_Toc198629869"/>
      <w:bookmarkStart w:id="175" w:name="_Toc196208138"/>
      <w:r>
        <w:t>服务流程及要求</w:t>
      </w:r>
      <w:bookmarkEnd w:id="170"/>
      <w:bookmarkEnd w:id="171"/>
      <w:bookmarkEnd w:id="172"/>
      <w:bookmarkEnd w:id="173"/>
      <w:bookmarkEnd w:id="174"/>
      <w:bookmarkEnd w:id="175"/>
    </w:p>
    <w:p w14:paraId="24815095">
      <w:pPr>
        <w:pStyle w:val="107"/>
        <w:spacing w:before="120" w:after="120"/>
      </w:pPr>
      <w:bookmarkStart w:id="176" w:name="_Toc196208207"/>
      <w:bookmarkStart w:id="177" w:name="_Toc195624281"/>
      <w:bookmarkStart w:id="178" w:name="_Toc196208139"/>
      <w:bookmarkStart w:id="179" w:name="_Toc196212552"/>
      <w:bookmarkStart w:id="180" w:name="_Toc198629870"/>
      <w:r>
        <w:rPr>
          <w:rFonts w:hint="eastAsia"/>
        </w:rPr>
        <w:t>案件受理</w:t>
      </w:r>
      <w:bookmarkEnd w:id="176"/>
      <w:bookmarkEnd w:id="177"/>
      <w:bookmarkEnd w:id="178"/>
      <w:bookmarkEnd w:id="179"/>
      <w:bookmarkEnd w:id="180"/>
    </w:p>
    <w:p w14:paraId="0FFD2D56">
      <w:pPr>
        <w:pStyle w:val="58"/>
        <w:ind w:firstLine="420"/>
      </w:pPr>
      <w:r>
        <w:rPr>
          <w:rFonts w:hint="eastAsia"/>
        </w:rPr>
        <w:t>银行工作人员或相关代理人可参照附录C填写信用卡纠纷案件调解申请书，</w:t>
      </w:r>
      <w:r>
        <w:t>将</w:t>
      </w:r>
      <w:r>
        <w:rPr>
          <w:rFonts w:hint="eastAsia"/>
        </w:rPr>
        <w:t>案件材料 (包括息费附表等附件)提交至商事调解组织</w:t>
      </w:r>
      <w:r>
        <w:t>。</w:t>
      </w:r>
      <w:r>
        <w:rPr>
          <w:rFonts w:hint="eastAsia"/>
        </w:rPr>
        <w:t>商事调解组织在5个工作日内进行审核，确定受理的情况下，将收到的所有案件</w:t>
      </w:r>
      <w:r>
        <w:t>按照案件类型</w:t>
      </w:r>
      <w:r>
        <w:rPr>
          <w:rFonts w:hint="eastAsia"/>
        </w:rPr>
        <w:t>（简易案件和普通案件）</w:t>
      </w:r>
      <w:r>
        <w:t>分配给</w:t>
      </w:r>
      <w:r>
        <w:rPr>
          <w:rFonts w:hint="eastAsia"/>
        </w:rPr>
        <w:t>商事</w:t>
      </w:r>
      <w:r>
        <w:t>调解员</w:t>
      </w:r>
      <w:r>
        <w:rPr>
          <w:rFonts w:hint="eastAsia"/>
        </w:rPr>
        <w:t>，由商事调解员开展调解工作。</w:t>
      </w:r>
    </w:p>
    <w:p w14:paraId="7EC10179">
      <w:pPr>
        <w:pStyle w:val="182"/>
        <w:numPr>
          <w:ilvl w:val="0"/>
          <w:numId w:val="32"/>
        </w:numPr>
      </w:pPr>
      <w:r>
        <w:rPr>
          <w:rFonts w:hint="eastAsia"/>
        </w:rPr>
        <w:t>案件类型是指根据适用审理程序划分的类型。</w:t>
      </w:r>
    </w:p>
    <w:p w14:paraId="4D6278DD">
      <w:pPr>
        <w:pStyle w:val="107"/>
        <w:spacing w:before="120" w:after="120"/>
      </w:pPr>
      <w:bookmarkStart w:id="181" w:name="_Toc196208208"/>
      <w:bookmarkStart w:id="182" w:name="_Toc195624282"/>
      <w:bookmarkStart w:id="183" w:name="_Toc196208140"/>
      <w:bookmarkStart w:id="184" w:name="_Toc198629871"/>
      <w:bookmarkStart w:id="185" w:name="_Toc196212553"/>
      <w:r>
        <w:rPr>
          <w:rFonts w:hint="eastAsia"/>
        </w:rPr>
        <w:t>预调解评估</w:t>
      </w:r>
      <w:bookmarkEnd w:id="181"/>
      <w:bookmarkEnd w:id="182"/>
      <w:bookmarkEnd w:id="183"/>
      <w:bookmarkEnd w:id="184"/>
      <w:bookmarkEnd w:id="185"/>
    </w:p>
    <w:p w14:paraId="55C3A481">
      <w:pPr>
        <w:pStyle w:val="67"/>
        <w:spacing w:before="120" w:after="120"/>
      </w:pPr>
      <w:r>
        <w:rPr>
          <w:rFonts w:hint="eastAsia"/>
        </w:rPr>
        <w:t>评估内容</w:t>
      </w:r>
    </w:p>
    <w:p w14:paraId="4D8ACA1F">
      <w:pPr>
        <w:pStyle w:val="58"/>
        <w:ind w:firstLine="420"/>
      </w:pPr>
      <w:r>
        <w:rPr>
          <w:rFonts w:hint="eastAsia"/>
        </w:rPr>
        <w:t>商事调解员开展的预调解评估内容包括但不限于：</w:t>
      </w:r>
    </w:p>
    <w:p w14:paraId="6078D842">
      <w:pPr>
        <w:pStyle w:val="176"/>
      </w:pPr>
      <w:r>
        <w:rPr>
          <w:rFonts w:hint="eastAsia"/>
        </w:rPr>
        <w:t>银行是否已启动诉讼程序（如有则降低调解优先性）；根据《关于严格依法规范民事案件立案与调解工作的意见》，描述是否有问题；</w:t>
      </w:r>
    </w:p>
    <w:p w14:paraId="170D4361">
      <w:pPr>
        <w:pStyle w:val="176"/>
      </w:pPr>
      <w:r>
        <w:rPr>
          <w:rFonts w:hint="eastAsia"/>
        </w:rPr>
        <w:t>银行内部风控政策（如是否开放分期减免权限）；</w:t>
      </w:r>
    </w:p>
    <w:p w14:paraId="72DEAD30">
      <w:pPr>
        <w:pStyle w:val="176"/>
      </w:pPr>
      <w:r>
        <w:rPr>
          <w:rFonts w:hint="eastAsia"/>
        </w:rPr>
        <w:t>商事调解当事人经济偿付能力（需提供收入证明、负债清单）；</w:t>
      </w:r>
    </w:p>
    <w:p w14:paraId="63A6F92E">
      <w:pPr>
        <w:pStyle w:val="176"/>
      </w:pPr>
      <w:r>
        <w:rPr>
          <w:rFonts w:hint="eastAsia"/>
        </w:rPr>
        <w:t>商事调解当事人是否存在恶意拖延还款（如多次承诺还款未履行）的情形；</w:t>
      </w:r>
    </w:p>
    <w:p w14:paraId="17B24589">
      <w:pPr>
        <w:pStyle w:val="176"/>
      </w:pPr>
      <w:r>
        <w:rPr>
          <w:rFonts w:hint="eastAsia"/>
        </w:rPr>
        <w:t xml:space="preserve">执行风险预判，调解协议履行保障：对还款能力较弱者，建议引入担保人或签订《分期还款承诺书》并进行公证；对银行端，要求其书面承诺在履行期间暂停催收及征信上报。  </w:t>
      </w:r>
    </w:p>
    <w:p w14:paraId="2D225ADC">
      <w:pPr>
        <w:pStyle w:val="67"/>
        <w:spacing w:before="120" w:after="120"/>
      </w:pPr>
      <w:r>
        <w:t>评估维度</w:t>
      </w:r>
    </w:p>
    <w:p w14:paraId="1A046558">
      <w:pPr>
        <w:pStyle w:val="96"/>
        <w:spacing w:before="120" w:after="120"/>
      </w:pPr>
      <w:r>
        <w:rPr>
          <w:rFonts w:hint="eastAsia"/>
        </w:rPr>
        <w:t>基础信息验证</w:t>
      </w:r>
    </w:p>
    <w:p w14:paraId="35B09605">
      <w:pPr>
        <w:pStyle w:val="58"/>
        <w:ind w:firstLine="420"/>
      </w:pPr>
      <w:r>
        <w:rPr>
          <w:rFonts w:hint="eastAsia"/>
        </w:rPr>
        <w:t>核查商事调解当事人身份真实性（误差率≤0.1%）。</w:t>
      </w:r>
    </w:p>
    <w:p w14:paraId="5278085F">
      <w:pPr>
        <w:pStyle w:val="96"/>
        <w:spacing w:before="120" w:after="120"/>
      </w:pPr>
      <w:r>
        <w:rPr>
          <w:rFonts w:hint="eastAsia"/>
        </w:rPr>
        <w:t>财务状况分析</w:t>
      </w:r>
    </w:p>
    <w:p w14:paraId="61E5F415">
      <w:pPr>
        <w:pStyle w:val="58"/>
        <w:ind w:firstLine="420"/>
      </w:pPr>
      <w:r>
        <w:rPr>
          <w:rFonts w:hint="eastAsia"/>
        </w:rPr>
        <w:t>评估商事调解当事人近12个月工资流水连续性（中断≥3个月标记为高风险）。</w:t>
      </w:r>
    </w:p>
    <w:p w14:paraId="4DD1C616">
      <w:pPr>
        <w:pStyle w:val="58"/>
        <w:ind w:firstLine="420"/>
      </w:pPr>
      <w:r>
        <w:rPr>
          <w:rFonts w:hint="eastAsia"/>
        </w:rPr>
        <w:t>评估商事调解当事人资产负债比，信用卡使用率＞70%或网贷平台数≥3家视为负债过高。</w:t>
      </w:r>
    </w:p>
    <w:p w14:paraId="03A90885">
      <w:pPr>
        <w:pStyle w:val="96"/>
        <w:spacing w:before="120" w:after="120"/>
      </w:pPr>
      <w:r>
        <w:rPr>
          <w:rFonts w:hint="eastAsia"/>
        </w:rPr>
        <w:t>违约归因分类</w:t>
      </w:r>
    </w:p>
    <w:p w14:paraId="06B89795">
      <w:pPr>
        <w:pStyle w:val="58"/>
        <w:ind w:firstLine="420"/>
      </w:pPr>
      <w:r>
        <w:rPr>
          <w:rFonts w:hint="eastAsia"/>
        </w:rPr>
        <w:t>商事调解员可根据表1对商事调解当事人的违约情况进行归因分类。</w:t>
      </w:r>
    </w:p>
    <w:p w14:paraId="729BEA9F">
      <w:pPr>
        <w:pStyle w:val="114"/>
        <w:spacing w:before="120" w:after="120"/>
      </w:pPr>
      <w:r>
        <w:rPr>
          <w:rFonts w:hint="eastAsia"/>
        </w:rPr>
        <w:t>违约归因分类表</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22"/>
        <w:gridCol w:w="4107"/>
        <w:gridCol w:w="3115"/>
      </w:tblGrid>
      <w:tr w14:paraId="46251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122" w:type="dxa"/>
            <w:tcBorders>
              <w:top w:val="single" w:color="auto" w:sz="8" w:space="0"/>
              <w:bottom w:val="single" w:color="auto" w:sz="8" w:space="0"/>
            </w:tcBorders>
            <w:shd w:val="clear" w:color="auto" w:fill="auto"/>
            <w:vAlign w:val="center"/>
          </w:tcPr>
          <w:p w14:paraId="6284B824">
            <w:pPr>
              <w:pStyle w:val="169"/>
              <w:numPr>
                <w:ilvl w:val="0"/>
                <w:numId w:val="0"/>
              </w:numPr>
              <w:jc w:val="center"/>
              <w:rPr>
                <w:rFonts w:hint="eastAsia"/>
                <w:b/>
                <w:sz w:val="18"/>
              </w:rPr>
            </w:pPr>
            <w:r>
              <w:rPr>
                <w:rFonts w:hint="eastAsia"/>
                <w:b/>
                <w:sz w:val="18"/>
              </w:rPr>
              <w:t>类型</w:t>
            </w:r>
          </w:p>
        </w:tc>
        <w:tc>
          <w:tcPr>
            <w:tcW w:w="4107" w:type="dxa"/>
            <w:tcBorders>
              <w:top w:val="single" w:color="auto" w:sz="8" w:space="0"/>
              <w:bottom w:val="single" w:color="auto" w:sz="8" w:space="0"/>
            </w:tcBorders>
            <w:shd w:val="clear" w:color="auto" w:fill="auto"/>
            <w:vAlign w:val="center"/>
          </w:tcPr>
          <w:p w14:paraId="189929F4">
            <w:pPr>
              <w:pStyle w:val="169"/>
              <w:numPr>
                <w:ilvl w:val="0"/>
                <w:numId w:val="0"/>
              </w:numPr>
              <w:jc w:val="center"/>
              <w:rPr>
                <w:rFonts w:hint="eastAsia"/>
                <w:b/>
                <w:sz w:val="18"/>
              </w:rPr>
            </w:pPr>
            <w:r>
              <w:rPr>
                <w:rFonts w:hint="eastAsia"/>
                <w:b/>
                <w:sz w:val="18"/>
              </w:rPr>
              <w:t>判定标准</w:t>
            </w:r>
          </w:p>
        </w:tc>
        <w:tc>
          <w:tcPr>
            <w:tcW w:w="3115" w:type="dxa"/>
            <w:tcBorders>
              <w:top w:val="single" w:color="auto" w:sz="8" w:space="0"/>
              <w:bottom w:val="single" w:color="auto" w:sz="8" w:space="0"/>
            </w:tcBorders>
            <w:shd w:val="clear" w:color="auto" w:fill="auto"/>
            <w:vAlign w:val="center"/>
          </w:tcPr>
          <w:p w14:paraId="46EB2632">
            <w:pPr>
              <w:pStyle w:val="169"/>
              <w:numPr>
                <w:ilvl w:val="0"/>
                <w:numId w:val="0"/>
              </w:numPr>
              <w:jc w:val="center"/>
              <w:rPr>
                <w:rFonts w:hint="eastAsia"/>
                <w:b/>
                <w:sz w:val="18"/>
              </w:rPr>
            </w:pPr>
            <w:r>
              <w:rPr>
                <w:rFonts w:hint="eastAsia"/>
                <w:b/>
                <w:sz w:val="18"/>
              </w:rPr>
              <w:t>处置优先级</w:t>
            </w:r>
          </w:p>
        </w:tc>
      </w:tr>
      <w:tr w14:paraId="4012DC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122" w:type="dxa"/>
            <w:tcBorders>
              <w:top w:val="single" w:color="auto" w:sz="8" w:space="0"/>
            </w:tcBorders>
            <w:shd w:val="clear" w:color="auto" w:fill="auto"/>
            <w:vAlign w:val="center"/>
          </w:tcPr>
          <w:p w14:paraId="187AD9B2">
            <w:pPr>
              <w:pStyle w:val="169"/>
              <w:numPr>
                <w:ilvl w:val="0"/>
                <w:numId w:val="0"/>
              </w:numPr>
              <w:jc w:val="center"/>
              <w:rPr>
                <w:rFonts w:hint="eastAsia"/>
                <w:sz w:val="18"/>
              </w:rPr>
            </w:pPr>
            <w:r>
              <w:rPr>
                <w:rFonts w:hint="eastAsia"/>
                <w:sz w:val="18"/>
              </w:rPr>
              <w:t>暂时性困难</w:t>
            </w:r>
          </w:p>
        </w:tc>
        <w:tc>
          <w:tcPr>
            <w:tcW w:w="4107" w:type="dxa"/>
            <w:tcBorders>
              <w:top w:val="single" w:color="auto" w:sz="8" w:space="0"/>
            </w:tcBorders>
            <w:shd w:val="clear" w:color="auto" w:fill="auto"/>
            <w:vAlign w:val="center"/>
          </w:tcPr>
          <w:p w14:paraId="3BFE4147">
            <w:pPr>
              <w:pStyle w:val="169"/>
              <w:numPr>
                <w:ilvl w:val="0"/>
                <w:numId w:val="0"/>
              </w:numPr>
              <w:jc w:val="center"/>
              <w:rPr>
                <w:rFonts w:hint="eastAsia"/>
                <w:sz w:val="18"/>
              </w:rPr>
            </w:pPr>
            <w:r>
              <w:rPr>
                <w:rFonts w:hint="eastAsia"/>
                <w:sz w:val="18"/>
              </w:rPr>
              <w:t>医疗支出＞月收入5</w:t>
            </w:r>
            <w:r>
              <w:rPr>
                <w:sz w:val="18"/>
              </w:rPr>
              <w:t>0%</w:t>
            </w:r>
          </w:p>
        </w:tc>
        <w:tc>
          <w:tcPr>
            <w:tcW w:w="3115" w:type="dxa"/>
            <w:tcBorders>
              <w:top w:val="single" w:color="auto" w:sz="8" w:space="0"/>
            </w:tcBorders>
            <w:shd w:val="clear" w:color="auto" w:fill="auto"/>
            <w:vAlign w:val="center"/>
          </w:tcPr>
          <w:p w14:paraId="241B22CD">
            <w:pPr>
              <w:pStyle w:val="169"/>
              <w:numPr>
                <w:ilvl w:val="0"/>
                <w:numId w:val="0"/>
              </w:numPr>
              <w:jc w:val="center"/>
              <w:rPr>
                <w:rFonts w:hint="eastAsia"/>
                <w:sz w:val="18"/>
              </w:rPr>
            </w:pPr>
            <w:r>
              <w:rPr>
                <w:rFonts w:hint="eastAsia"/>
                <w:sz w:val="18"/>
              </w:rPr>
              <w:t>优先调解</w:t>
            </w:r>
          </w:p>
        </w:tc>
      </w:tr>
      <w:tr w14:paraId="41A911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122" w:type="dxa"/>
            <w:shd w:val="clear" w:color="auto" w:fill="auto"/>
            <w:vAlign w:val="center"/>
          </w:tcPr>
          <w:p w14:paraId="2E9F2627">
            <w:pPr>
              <w:pStyle w:val="169"/>
              <w:numPr>
                <w:ilvl w:val="0"/>
                <w:numId w:val="0"/>
              </w:numPr>
              <w:jc w:val="center"/>
              <w:rPr>
                <w:rFonts w:hint="eastAsia"/>
                <w:sz w:val="18"/>
              </w:rPr>
            </w:pPr>
            <w:r>
              <w:rPr>
                <w:rFonts w:hint="eastAsia"/>
                <w:sz w:val="18"/>
              </w:rPr>
              <w:t>恶意拖欠</w:t>
            </w:r>
          </w:p>
        </w:tc>
        <w:tc>
          <w:tcPr>
            <w:tcW w:w="4107" w:type="dxa"/>
            <w:shd w:val="clear" w:color="auto" w:fill="auto"/>
            <w:vAlign w:val="center"/>
          </w:tcPr>
          <w:p w14:paraId="2A8776DE">
            <w:pPr>
              <w:pStyle w:val="169"/>
              <w:numPr>
                <w:ilvl w:val="0"/>
                <w:numId w:val="0"/>
              </w:numPr>
              <w:jc w:val="center"/>
              <w:rPr>
                <w:rFonts w:hint="eastAsia"/>
                <w:sz w:val="18"/>
              </w:rPr>
            </w:pPr>
            <w:r>
              <w:rPr>
                <w:rFonts w:hint="eastAsia"/>
                <w:sz w:val="18"/>
              </w:rPr>
              <w:t>失联超3</w:t>
            </w:r>
            <w:r>
              <w:rPr>
                <w:sz w:val="18"/>
              </w:rPr>
              <w:t>0天或有赌博记录</w:t>
            </w:r>
          </w:p>
        </w:tc>
        <w:tc>
          <w:tcPr>
            <w:tcW w:w="3115" w:type="dxa"/>
            <w:shd w:val="clear" w:color="auto" w:fill="auto"/>
            <w:vAlign w:val="center"/>
          </w:tcPr>
          <w:p w14:paraId="29E7EE2E">
            <w:pPr>
              <w:pStyle w:val="169"/>
              <w:numPr>
                <w:ilvl w:val="0"/>
                <w:numId w:val="0"/>
              </w:numPr>
              <w:jc w:val="center"/>
              <w:rPr>
                <w:rFonts w:hint="eastAsia"/>
                <w:sz w:val="18"/>
              </w:rPr>
            </w:pPr>
            <w:r>
              <w:rPr>
                <w:sz w:val="18"/>
              </w:rPr>
              <w:t>移送司法程序</w:t>
            </w:r>
          </w:p>
        </w:tc>
      </w:tr>
      <w:tr w14:paraId="5C3695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122" w:type="dxa"/>
            <w:shd w:val="clear" w:color="auto" w:fill="auto"/>
            <w:vAlign w:val="center"/>
          </w:tcPr>
          <w:p w14:paraId="0E1C12E8">
            <w:pPr>
              <w:pStyle w:val="169"/>
              <w:numPr>
                <w:ilvl w:val="0"/>
                <w:numId w:val="0"/>
              </w:numPr>
              <w:jc w:val="center"/>
              <w:rPr>
                <w:rFonts w:hint="eastAsia"/>
                <w:sz w:val="18"/>
              </w:rPr>
            </w:pPr>
            <w:r>
              <w:rPr>
                <w:rFonts w:hint="eastAsia"/>
                <w:sz w:val="18"/>
              </w:rPr>
              <w:t>系统性风险</w:t>
            </w:r>
          </w:p>
        </w:tc>
        <w:tc>
          <w:tcPr>
            <w:tcW w:w="4107" w:type="dxa"/>
            <w:shd w:val="clear" w:color="auto" w:fill="auto"/>
            <w:vAlign w:val="center"/>
          </w:tcPr>
          <w:p w14:paraId="660DFB50">
            <w:pPr>
              <w:pStyle w:val="169"/>
              <w:numPr>
                <w:ilvl w:val="0"/>
                <w:numId w:val="0"/>
              </w:numPr>
              <w:jc w:val="center"/>
              <w:rPr>
                <w:rFonts w:hint="eastAsia"/>
                <w:sz w:val="18"/>
              </w:rPr>
            </w:pPr>
            <w:r>
              <w:rPr>
                <w:rFonts w:hint="eastAsia"/>
                <w:sz w:val="18"/>
              </w:rPr>
              <w:t>其他社会性、政策性影响行业从业者</w:t>
            </w:r>
          </w:p>
        </w:tc>
        <w:tc>
          <w:tcPr>
            <w:tcW w:w="3115" w:type="dxa"/>
            <w:shd w:val="clear" w:color="auto" w:fill="auto"/>
            <w:vAlign w:val="center"/>
          </w:tcPr>
          <w:p w14:paraId="416F0C45">
            <w:pPr>
              <w:pStyle w:val="169"/>
              <w:numPr>
                <w:ilvl w:val="0"/>
                <w:numId w:val="0"/>
              </w:numPr>
              <w:jc w:val="center"/>
              <w:rPr>
                <w:rFonts w:hint="eastAsia"/>
                <w:sz w:val="18"/>
              </w:rPr>
            </w:pPr>
            <w:r>
              <w:rPr>
                <w:rFonts w:hint="eastAsia"/>
                <w:sz w:val="18"/>
              </w:rPr>
              <w:t>制定专项纾困方案</w:t>
            </w:r>
          </w:p>
        </w:tc>
      </w:tr>
    </w:tbl>
    <w:p w14:paraId="3515E2F4">
      <w:pPr>
        <w:pStyle w:val="96"/>
        <w:spacing w:before="120" w:after="120"/>
      </w:pPr>
      <w:r>
        <w:rPr>
          <w:rFonts w:hint="eastAsia"/>
        </w:rPr>
        <w:t>评估工具及方法</w:t>
      </w:r>
    </w:p>
    <w:p w14:paraId="23B07259">
      <w:pPr>
        <w:pStyle w:val="169"/>
        <w:rPr>
          <w:rFonts w:hint="eastAsia"/>
        </w:rPr>
      </w:pPr>
      <w:r>
        <w:rPr>
          <w:rFonts w:hint="eastAsia"/>
        </w:rPr>
        <w:t>使用AI模型分析还款能力（数据维度≥10项）。</w:t>
      </w:r>
    </w:p>
    <w:p w14:paraId="431F93A7">
      <w:pPr>
        <w:pStyle w:val="169"/>
        <w:rPr>
          <w:rFonts w:hint="eastAsia"/>
        </w:rPr>
      </w:pPr>
      <w:r>
        <w:rPr>
          <w:rFonts w:hint="eastAsia"/>
        </w:rPr>
        <w:t>风险评级：A类（优先调解）/B类（建议诉讼）/C类（涉嫌欺诈）。</w:t>
      </w:r>
    </w:p>
    <w:p w14:paraId="2D7046E9">
      <w:pPr>
        <w:pStyle w:val="169"/>
        <w:rPr>
          <w:rFonts w:hint="eastAsia"/>
        </w:rPr>
      </w:pPr>
      <w:r>
        <w:t>生成《债务重组可行性报告》（包含至少</w:t>
      </w:r>
      <w:r>
        <w:rPr>
          <w:rFonts w:hint="eastAsia"/>
        </w:rPr>
        <w:t>3种还款方案测算</w:t>
      </w:r>
      <w:r>
        <w:t>）。</w:t>
      </w:r>
    </w:p>
    <w:p w14:paraId="475D18EF">
      <w:pPr>
        <w:pStyle w:val="67"/>
        <w:spacing w:before="120" w:after="120"/>
      </w:pPr>
      <w:r>
        <w:rPr>
          <w:rFonts w:hint="eastAsia"/>
        </w:rPr>
        <w:t>线上调解特别规定</w:t>
      </w:r>
    </w:p>
    <w:p w14:paraId="59925CD1">
      <w:pPr>
        <w:pStyle w:val="166"/>
      </w:pPr>
      <w:r>
        <w:rPr>
          <w:rFonts w:hint="eastAsia"/>
        </w:rPr>
        <w:t>可采用“异步调解”模式（48小时内响应）。</w:t>
      </w:r>
    </w:p>
    <w:p w14:paraId="5EFFAF84">
      <w:pPr>
        <w:pStyle w:val="181"/>
      </w:pPr>
      <w:r>
        <w:rPr>
          <w:rFonts w:hint="eastAsia"/>
        </w:rPr>
        <w:t>“异步调解”指商事调解当事人与商事调解员通过数字化平台进行非实时沟通的调解方式，允许双方在约定时间内通过留言、文档传递、音视频片段提交等方式完成调解流程。“异步调解”依托智能系统自动提醒和流转案件，商事调解当事人无需实时在线，可随时提交诉求或补充材料，所有交互记录均被加密存证。“异步调解”通常适用于处理小额、分散、高频的线上信贷纠纷。“异步调解”不适用于6</w:t>
      </w:r>
      <w:r>
        <w:t>0岁以上老年人或残障人士。</w:t>
      </w:r>
    </w:p>
    <w:p w14:paraId="11FD42E2">
      <w:pPr>
        <w:pStyle w:val="166"/>
      </w:pPr>
      <w:r>
        <w:rPr>
          <w:rFonts w:hint="eastAsia"/>
        </w:rPr>
        <w:t>宜研发或使用“智能还款方案生成器”，通过输入当事人收入、负债数据后自动输出三种还款可行性方案（含利息减免梯度），缩短协商周期。</w:t>
      </w:r>
    </w:p>
    <w:p w14:paraId="3BFB891B">
      <w:pPr>
        <w:pStyle w:val="166"/>
      </w:pPr>
      <w:r>
        <w:rPr>
          <w:rFonts w:hint="eastAsia"/>
        </w:rPr>
        <w:t>关键环节应进行人脸识别验证。</w:t>
      </w:r>
    </w:p>
    <w:p w14:paraId="3BC7A2B5">
      <w:pPr>
        <w:pStyle w:val="107"/>
        <w:spacing w:before="120" w:after="120"/>
      </w:pPr>
      <w:bookmarkStart w:id="186" w:name="_Toc196208209"/>
      <w:bookmarkStart w:id="187" w:name="_Toc196208141"/>
      <w:bookmarkStart w:id="188" w:name="_Toc196212554"/>
      <w:bookmarkStart w:id="189" w:name="_Toc198629872"/>
      <w:bookmarkStart w:id="190" w:name="_Toc195624283"/>
      <w:r>
        <w:rPr>
          <w:rFonts w:hint="eastAsia"/>
        </w:rPr>
        <w:t>纠纷调解</w:t>
      </w:r>
      <w:bookmarkEnd w:id="186"/>
      <w:bookmarkEnd w:id="187"/>
      <w:bookmarkEnd w:id="188"/>
      <w:bookmarkEnd w:id="189"/>
      <w:bookmarkEnd w:id="190"/>
    </w:p>
    <w:p w14:paraId="74B9C1AF">
      <w:pPr>
        <w:pStyle w:val="167"/>
      </w:pPr>
      <w:r>
        <w:rPr>
          <w:rFonts w:hint="eastAsia"/>
        </w:rPr>
        <w:t>普通案件，商事调解员应在30天内进行跟进调解。对于屡次质疑调解效力、恶意不配合调解、存在反催收嫌疑、明显违约失信或经多次调解不成但确有履行能力的纠纷，重点标记后反馈给银行。（根据《关于严格依法规范民事案件立案与调解工作的意见》对简易程序、普通程序调解时间的要求，描述是否有问题）。</w:t>
      </w:r>
    </w:p>
    <w:p w14:paraId="15483ECD">
      <w:pPr>
        <w:pStyle w:val="167"/>
      </w:pPr>
      <w:r>
        <w:rPr>
          <w:rFonts w:hint="eastAsia"/>
        </w:rPr>
        <w:t>商事调解员应全面梳理案件情况，精准把握当事人诉求及还款能力，并结合案件实际进行合理引导，平衡双方利益，在必要时约双方商事调解当事人展开线下调解。商事调解员需综合分析商事调解当事人的收入来源、负债情况及还款能力，必要时向银行核实息费减免政策，争取优化还款方案，缩短还款周期。在确保双方平等自愿的前提下，促成商事调解当事人达成一致，并签署调解协议，信用卡纠纷案件调解协议书见附录D。</w:t>
      </w:r>
    </w:p>
    <w:p w14:paraId="0F9E0B6D">
      <w:pPr>
        <w:pStyle w:val="167"/>
      </w:pPr>
      <w:r>
        <w:rPr>
          <w:rFonts w:hint="eastAsia"/>
        </w:rPr>
        <w:t>商事调解员在双方达成调解协议后，应全面审查协议内容，确保协议的内容符合法律法规的强制性规定，并且保障双方商事调解当事人在平等自愿的情形下签署协议。商事调解员对协议权利义务的对等性进行专业判断，并就协议条款可能产生的法律后果作出风险提示。</w:t>
      </w:r>
    </w:p>
    <w:p w14:paraId="3D291CFB">
      <w:pPr>
        <w:pStyle w:val="107"/>
        <w:spacing w:before="120" w:after="120"/>
      </w:pPr>
      <w:bookmarkStart w:id="191" w:name="_Toc195624284"/>
      <w:bookmarkStart w:id="192" w:name="_Toc196212555"/>
      <w:bookmarkStart w:id="193" w:name="_Toc198629873"/>
      <w:bookmarkStart w:id="194" w:name="_Toc196208210"/>
      <w:bookmarkStart w:id="195" w:name="_Toc196208142"/>
      <w:r>
        <w:t>司法确认或者</w:t>
      </w:r>
      <w:r>
        <w:rPr>
          <w:rFonts w:hint="eastAsia"/>
        </w:rPr>
        <w:t>公证程序</w:t>
      </w:r>
      <w:bookmarkEnd w:id="191"/>
      <w:bookmarkEnd w:id="192"/>
      <w:bookmarkEnd w:id="193"/>
      <w:bookmarkEnd w:id="194"/>
      <w:bookmarkEnd w:id="195"/>
    </w:p>
    <w:p w14:paraId="6D498E7D">
      <w:pPr>
        <w:pStyle w:val="167"/>
      </w:pPr>
      <w:r>
        <w:rPr>
          <w:rFonts w:hint="eastAsia"/>
        </w:rPr>
        <w:t>调解协议达成后，可通过两种途径赋予协议强制执行力</w:t>
      </w:r>
      <w:r>
        <w:t>，一种是司法确认程序，另一种是公证赋强</w:t>
      </w:r>
      <w:r>
        <w:rPr>
          <w:rFonts w:hint="eastAsia"/>
        </w:rPr>
        <w:t>程序。</w:t>
      </w:r>
      <w:r>
        <w:t>两种程序均</w:t>
      </w:r>
      <w:r>
        <w:rPr>
          <w:rFonts w:hint="eastAsia"/>
        </w:rPr>
        <w:t>是使调解协议获得法律强制保障。</w:t>
      </w:r>
      <w:r>
        <w:t>均通过法律赋予调解书强制效力，</w:t>
      </w:r>
      <w:r>
        <w:rPr>
          <w:rFonts w:hint="eastAsia"/>
        </w:rPr>
        <w:t>商事调解</w:t>
      </w:r>
      <w:r>
        <w:t>当事人不按照协议履行付款义务，银行可向法院申请强制执行。</w:t>
      </w:r>
    </w:p>
    <w:p w14:paraId="39EC524A">
      <w:pPr>
        <w:pStyle w:val="167"/>
      </w:pPr>
      <w:r>
        <w:t>司法确认</w:t>
      </w:r>
      <w:r>
        <w:rPr>
          <w:rFonts w:hint="eastAsia"/>
        </w:rPr>
        <w:t>程序包括以下内容</w:t>
      </w:r>
      <w:r>
        <w:t>：</w:t>
      </w:r>
    </w:p>
    <w:p w14:paraId="3A1DA48B">
      <w:pPr>
        <w:pStyle w:val="176"/>
        <w:numPr>
          <w:ilvl w:val="0"/>
          <w:numId w:val="33"/>
        </w:numPr>
      </w:pPr>
      <w:r>
        <w:t>材料准备：调解协议原件、司法确认申请书、身份证明</w:t>
      </w:r>
      <w:r>
        <w:rPr>
          <w:rFonts w:hint="eastAsia"/>
        </w:rPr>
        <w:t>、授权材料、相关证据材料；</w:t>
      </w:r>
    </w:p>
    <w:p w14:paraId="1E3E4329">
      <w:pPr>
        <w:pStyle w:val="176"/>
        <w:numPr>
          <w:ilvl w:val="0"/>
          <w:numId w:val="33"/>
        </w:numPr>
      </w:pPr>
      <w:r>
        <w:t>提交法院：向</w:t>
      </w:r>
      <w:r>
        <w:rPr>
          <w:rFonts w:hint="eastAsia"/>
        </w:rPr>
        <w:t>有管辖的</w:t>
      </w:r>
      <w:r>
        <w:t>基层人民法院申请</w:t>
      </w:r>
      <w:r>
        <w:rPr>
          <w:rFonts w:hint="eastAsia"/>
        </w:rPr>
        <w:t>；</w:t>
      </w:r>
    </w:p>
    <w:p w14:paraId="55A34D7E">
      <w:pPr>
        <w:pStyle w:val="176"/>
        <w:numPr>
          <w:ilvl w:val="0"/>
          <w:numId w:val="33"/>
        </w:numPr>
      </w:pPr>
      <w:r>
        <w:t>法院审理与审查</w:t>
      </w:r>
      <w:r>
        <w:rPr>
          <w:rFonts w:hint="eastAsia"/>
        </w:rPr>
        <w:t>；</w:t>
      </w:r>
    </w:p>
    <w:p w14:paraId="74E0AD31">
      <w:pPr>
        <w:pStyle w:val="176"/>
        <w:numPr>
          <w:ilvl w:val="0"/>
          <w:numId w:val="33"/>
        </w:numPr>
      </w:pPr>
      <w:r>
        <w:t>裁定结果：确认裁定或者驳回申请。</w:t>
      </w:r>
    </w:p>
    <w:p w14:paraId="6A612982">
      <w:pPr>
        <w:pStyle w:val="167"/>
      </w:pPr>
      <w:r>
        <w:rPr>
          <w:rFonts w:hint="eastAsia"/>
        </w:rPr>
        <w:t>公证程序包括以下内容：</w:t>
      </w:r>
    </w:p>
    <w:p w14:paraId="2C82520B">
      <w:pPr>
        <w:pStyle w:val="176"/>
        <w:numPr>
          <w:ilvl w:val="0"/>
          <w:numId w:val="34"/>
        </w:numPr>
      </w:pPr>
      <w:r>
        <w:rPr>
          <w:rFonts w:hint="eastAsia"/>
        </w:rPr>
        <w:t>准备材料：身份证明、和解协议原件、相关文件、委托书（如委托他人代办）；</w:t>
      </w:r>
    </w:p>
    <w:p w14:paraId="1E924677">
      <w:pPr>
        <w:pStyle w:val="176"/>
        <w:numPr>
          <w:ilvl w:val="0"/>
          <w:numId w:val="33"/>
        </w:numPr>
      </w:pPr>
      <w:r>
        <w:rPr>
          <w:rFonts w:hint="eastAsia"/>
        </w:rPr>
        <w:t>向公证处申请；</w:t>
      </w:r>
    </w:p>
    <w:p w14:paraId="6CA60E3B">
      <w:pPr>
        <w:pStyle w:val="176"/>
        <w:numPr>
          <w:ilvl w:val="0"/>
          <w:numId w:val="33"/>
        </w:numPr>
      </w:pPr>
      <w:r>
        <w:rPr>
          <w:rFonts w:hint="eastAsia"/>
        </w:rPr>
        <w:t xml:space="preserve">公证员审核； </w:t>
      </w:r>
    </w:p>
    <w:p w14:paraId="397CE6D1">
      <w:pPr>
        <w:pStyle w:val="176"/>
        <w:numPr>
          <w:ilvl w:val="0"/>
          <w:numId w:val="33"/>
        </w:numPr>
      </w:pPr>
      <w:r>
        <w:rPr>
          <w:rFonts w:hint="eastAsia"/>
        </w:rPr>
        <w:t>签署公证笔录；</w:t>
      </w:r>
    </w:p>
    <w:p w14:paraId="07AFC3A9">
      <w:pPr>
        <w:pStyle w:val="176"/>
        <w:numPr>
          <w:ilvl w:val="0"/>
          <w:numId w:val="33"/>
        </w:numPr>
      </w:pPr>
      <w:r>
        <w:rPr>
          <w:rFonts w:hint="eastAsia"/>
        </w:rPr>
        <w:t>出具公证书。</w:t>
      </w:r>
    </w:p>
    <w:p w14:paraId="7CF1D4CD">
      <w:pPr>
        <w:pStyle w:val="107"/>
        <w:spacing w:before="120" w:after="120"/>
      </w:pPr>
      <w:bookmarkStart w:id="196" w:name="_Toc196208143"/>
      <w:bookmarkStart w:id="197" w:name="_Toc196208211"/>
      <w:bookmarkStart w:id="198" w:name="_Toc195624285"/>
      <w:bookmarkStart w:id="199" w:name="_Toc196212556"/>
      <w:bookmarkStart w:id="200" w:name="_Toc198629874"/>
      <w:r>
        <w:rPr>
          <w:rFonts w:hint="eastAsia"/>
        </w:rPr>
        <w:t>卷宗归档</w:t>
      </w:r>
      <w:bookmarkEnd w:id="196"/>
      <w:bookmarkEnd w:id="197"/>
      <w:bookmarkEnd w:id="198"/>
      <w:bookmarkEnd w:id="199"/>
      <w:bookmarkEnd w:id="200"/>
    </w:p>
    <w:p w14:paraId="647DB555">
      <w:pPr>
        <w:pStyle w:val="58"/>
        <w:ind w:firstLine="420"/>
      </w:pPr>
      <w:r>
        <w:rPr>
          <w:rFonts w:hint="eastAsia"/>
        </w:rPr>
        <w:t>商事调解员应按照T/SZS 4088—2024要求及时将卷宗归档。</w:t>
      </w:r>
    </w:p>
    <w:p w14:paraId="45A25745">
      <w:pPr>
        <w:pStyle w:val="107"/>
        <w:spacing w:before="120" w:after="120"/>
      </w:pPr>
      <w:bookmarkStart w:id="201" w:name="_Toc196208144"/>
      <w:bookmarkStart w:id="202" w:name="_Toc195624286"/>
      <w:bookmarkStart w:id="203" w:name="_Toc198629875"/>
      <w:bookmarkStart w:id="204" w:name="_Toc196212557"/>
      <w:bookmarkStart w:id="205" w:name="_Toc196208212"/>
      <w:bookmarkStart w:id="206" w:name="_Toc195600152"/>
      <w:r>
        <w:rPr>
          <w:rFonts w:hint="eastAsia"/>
        </w:rPr>
        <w:t>协议履行追踪</w:t>
      </w:r>
      <w:bookmarkEnd w:id="201"/>
      <w:bookmarkEnd w:id="202"/>
      <w:bookmarkEnd w:id="203"/>
      <w:bookmarkEnd w:id="204"/>
      <w:bookmarkEnd w:id="205"/>
    </w:p>
    <w:p w14:paraId="7FFAC04A">
      <w:pPr>
        <w:pStyle w:val="167"/>
      </w:pPr>
      <w:r>
        <w:rPr>
          <w:rFonts w:hint="eastAsia"/>
        </w:rPr>
        <w:t>自动触发还款提醒（短信/APP推送）。</w:t>
      </w:r>
    </w:p>
    <w:p w14:paraId="51AFC8FF">
      <w:pPr>
        <w:pStyle w:val="167"/>
      </w:pPr>
      <w:r>
        <w:rPr>
          <w:rFonts w:hint="eastAsia"/>
        </w:rPr>
        <w:t>逾期超15日自动移送司法确认程序。</w:t>
      </w:r>
    </w:p>
    <w:bookmarkEnd w:id="206"/>
    <w:p w14:paraId="5FBED10D">
      <w:pPr>
        <w:pStyle w:val="106"/>
        <w:spacing w:before="240" w:after="240"/>
      </w:pPr>
      <w:bookmarkStart w:id="207" w:name="_Toc196208213"/>
      <w:bookmarkEnd w:id="207"/>
      <w:bookmarkStart w:id="208" w:name="_Toc196208215"/>
      <w:bookmarkEnd w:id="208"/>
      <w:bookmarkStart w:id="209" w:name="_Toc196208214"/>
      <w:bookmarkEnd w:id="209"/>
      <w:bookmarkStart w:id="210" w:name="_Toc196208216"/>
      <w:bookmarkEnd w:id="210"/>
      <w:bookmarkStart w:id="211" w:name="_Toc196208218"/>
      <w:bookmarkEnd w:id="211"/>
      <w:bookmarkStart w:id="212" w:name="_Toc196208219"/>
      <w:bookmarkEnd w:id="212"/>
      <w:bookmarkStart w:id="213" w:name="_Toc196208221"/>
      <w:bookmarkEnd w:id="213"/>
      <w:bookmarkStart w:id="214" w:name="_Toc196208220"/>
      <w:bookmarkEnd w:id="214"/>
      <w:bookmarkStart w:id="215" w:name="_Toc196208217"/>
      <w:bookmarkEnd w:id="215"/>
      <w:bookmarkStart w:id="216" w:name="_Toc196208222"/>
      <w:bookmarkStart w:id="217" w:name="_Toc196212561"/>
      <w:bookmarkStart w:id="218" w:name="_Toc196208148"/>
      <w:bookmarkStart w:id="219" w:name="_Toc195624290"/>
      <w:bookmarkStart w:id="220" w:name="_Toc198629876"/>
      <w:bookmarkStart w:id="221" w:name="_Toc195600155"/>
      <w:r>
        <w:rPr>
          <w:rFonts w:hint="eastAsia"/>
        </w:rPr>
        <w:t>特殊要求</w:t>
      </w:r>
      <w:bookmarkEnd w:id="216"/>
      <w:bookmarkEnd w:id="217"/>
      <w:bookmarkEnd w:id="218"/>
      <w:bookmarkEnd w:id="219"/>
      <w:bookmarkEnd w:id="220"/>
      <w:bookmarkEnd w:id="221"/>
    </w:p>
    <w:p w14:paraId="3666C793">
      <w:pPr>
        <w:pStyle w:val="107"/>
        <w:spacing w:before="120" w:after="120"/>
      </w:pPr>
      <w:bookmarkStart w:id="222" w:name="_Toc195624291"/>
      <w:bookmarkStart w:id="223" w:name="_Toc196208149"/>
      <w:bookmarkStart w:id="224" w:name="_Toc196212562"/>
      <w:bookmarkStart w:id="225" w:name="_Toc198629877"/>
      <w:bookmarkStart w:id="226" w:name="_Toc196208223"/>
      <w:bookmarkStart w:id="227" w:name="_Toc195600156"/>
      <w:r>
        <w:rPr>
          <w:rFonts w:hint="eastAsia"/>
        </w:rPr>
        <w:t>数字化技术及数据安全管理</w:t>
      </w:r>
      <w:bookmarkEnd w:id="222"/>
      <w:bookmarkEnd w:id="223"/>
      <w:bookmarkEnd w:id="224"/>
      <w:bookmarkEnd w:id="225"/>
      <w:bookmarkEnd w:id="226"/>
      <w:bookmarkEnd w:id="227"/>
    </w:p>
    <w:p w14:paraId="200322CD">
      <w:pPr>
        <w:pStyle w:val="67"/>
        <w:spacing w:before="120" w:after="120"/>
      </w:pPr>
      <w:r>
        <w:rPr>
          <w:rFonts w:hint="eastAsia"/>
        </w:rPr>
        <w:t>数字化支持</w:t>
      </w:r>
    </w:p>
    <w:p w14:paraId="335AE87E">
      <w:pPr>
        <w:pStyle w:val="58"/>
        <w:ind w:firstLine="420"/>
      </w:pPr>
      <w:r>
        <w:rPr>
          <w:rFonts w:hint="eastAsia"/>
        </w:rPr>
        <w:t>推广使用区块链存证、</w:t>
      </w:r>
      <w:r>
        <w:t>AI</w:t>
      </w:r>
      <w:r>
        <w:rPr>
          <w:rFonts w:hint="eastAsia"/>
        </w:rPr>
        <w:t>辅助调解等技术。</w:t>
      </w:r>
    </w:p>
    <w:p w14:paraId="4195F155">
      <w:pPr>
        <w:pStyle w:val="67"/>
        <w:spacing w:before="120" w:after="120"/>
      </w:pPr>
      <w:r>
        <w:rPr>
          <w:rFonts w:hint="eastAsia"/>
        </w:rPr>
        <w:t>数据安全</w:t>
      </w:r>
    </w:p>
    <w:p w14:paraId="30580F44">
      <w:pPr>
        <w:pStyle w:val="58"/>
        <w:ind w:firstLine="420"/>
      </w:pPr>
      <w:r>
        <w:rPr>
          <w:rFonts w:hint="eastAsia"/>
        </w:rPr>
        <w:t>依照国家个人信息保护相关法律法规对借款人敏感信息进行加密处理，定期进行网络安全渗透测试。</w:t>
      </w:r>
    </w:p>
    <w:p w14:paraId="3D4E5ED2">
      <w:pPr>
        <w:pStyle w:val="107"/>
        <w:spacing w:before="120" w:after="120"/>
      </w:pPr>
      <w:bookmarkStart w:id="228" w:name="_Toc196208224"/>
      <w:bookmarkStart w:id="229" w:name="_Toc196212563"/>
      <w:bookmarkStart w:id="230" w:name="_Toc195600157"/>
      <w:bookmarkStart w:id="231" w:name="_Toc196208150"/>
      <w:bookmarkStart w:id="232" w:name="_Toc198629878"/>
      <w:bookmarkStart w:id="233" w:name="_Toc195624292"/>
      <w:r>
        <w:rPr>
          <w:rFonts w:hint="eastAsia"/>
        </w:rPr>
        <w:t>电子证据管理</w:t>
      </w:r>
      <w:bookmarkEnd w:id="228"/>
      <w:bookmarkEnd w:id="229"/>
      <w:bookmarkEnd w:id="230"/>
      <w:bookmarkEnd w:id="231"/>
      <w:bookmarkEnd w:id="232"/>
      <w:bookmarkEnd w:id="233"/>
    </w:p>
    <w:p w14:paraId="02988432">
      <w:pPr>
        <w:pStyle w:val="167"/>
      </w:pPr>
      <w:r>
        <w:rPr>
          <w:rFonts w:hint="eastAsia"/>
        </w:rPr>
        <w:t>电子合同哈希值、电子证据（如语音记录、调解视频）应同步存证至司法区块链平台，并生成唯一存证编码。电子证据固化报告模板见附录E。</w:t>
      </w:r>
    </w:p>
    <w:p w14:paraId="301426D7">
      <w:pPr>
        <w:pStyle w:val="182"/>
        <w:numPr>
          <w:ilvl w:val="0"/>
          <w:numId w:val="35"/>
        </w:numPr>
      </w:pPr>
      <w:r>
        <w:rPr>
          <w:rFonts w:hint="eastAsia"/>
        </w:rPr>
        <w:t>存证编码包含合同签署时间（精确至毫秒）、地理位置信息（GPS坐标）、设备指纹等。</w:t>
      </w:r>
    </w:p>
    <w:p w14:paraId="1022D430">
      <w:pPr>
        <w:pStyle w:val="182"/>
      </w:pPr>
      <w:r>
        <w:t>对电子签名、语音记录、视频调解</w:t>
      </w:r>
      <w:r>
        <w:rPr>
          <w:rFonts w:hint="eastAsia"/>
        </w:rPr>
        <w:t>等</w:t>
      </w:r>
      <w:r>
        <w:t>电子数据进行审查，</w:t>
      </w:r>
      <w:r>
        <w:rPr>
          <w:rFonts w:hint="eastAsia"/>
        </w:rPr>
        <w:t>审查</w:t>
      </w:r>
      <w:r>
        <w:t>标准包括PKI证书的有效性验证、声纹比对相似度≥90%、参与人面部识别通过率</w:t>
      </w:r>
      <w:r>
        <w:rPr>
          <w:rFonts w:hint="eastAsia"/>
        </w:rPr>
        <w:t>1</w:t>
      </w:r>
      <w:r>
        <w:t>00%。</w:t>
      </w:r>
    </w:p>
    <w:p w14:paraId="2332E3E5">
      <w:pPr>
        <w:pStyle w:val="167"/>
      </w:pPr>
      <w:r>
        <w:rPr>
          <w:rFonts w:hint="eastAsia"/>
        </w:rPr>
        <w:t>语音记录需提供文字转录稿及声纹比对报告。</w:t>
      </w:r>
    </w:p>
    <w:p w14:paraId="725D9357">
      <w:pPr>
        <w:pStyle w:val="181"/>
      </w:pPr>
      <w:r>
        <w:rPr>
          <w:rFonts w:hint="eastAsia"/>
        </w:rPr>
        <w:t>推荐使用OCR识别技术对纸质证据材料进行数字化转换，转换准确率应≥95%。</w:t>
      </w:r>
    </w:p>
    <w:p w14:paraId="0AEA77EE">
      <w:pPr>
        <w:pStyle w:val="107"/>
        <w:spacing w:before="120" w:after="120"/>
      </w:pPr>
      <w:bookmarkStart w:id="234" w:name="_Toc195600158"/>
      <w:bookmarkStart w:id="235" w:name="_Toc196212564"/>
      <w:bookmarkStart w:id="236" w:name="_Toc195624293"/>
      <w:bookmarkStart w:id="237" w:name="_Toc196208151"/>
      <w:bookmarkStart w:id="238" w:name="_Toc196208225"/>
      <w:bookmarkStart w:id="239" w:name="_Toc198629879"/>
      <w:r>
        <w:rPr>
          <w:rFonts w:hint="eastAsia"/>
        </w:rPr>
        <w:t>反欺诈特殊要求</w:t>
      </w:r>
      <w:bookmarkEnd w:id="234"/>
      <w:bookmarkEnd w:id="235"/>
      <w:bookmarkEnd w:id="236"/>
      <w:bookmarkEnd w:id="237"/>
      <w:bookmarkEnd w:id="238"/>
      <w:bookmarkEnd w:id="239"/>
    </w:p>
    <w:p w14:paraId="60079ABC">
      <w:pPr>
        <w:pStyle w:val="167"/>
      </w:pPr>
      <w:r>
        <w:rPr>
          <w:rFonts w:hint="eastAsia"/>
        </w:rPr>
        <w:t>商事调解组织应建立黑名单共享机制。</w:t>
      </w:r>
    </w:p>
    <w:p w14:paraId="1EC7FDC2">
      <w:pPr>
        <w:pStyle w:val="167"/>
      </w:pPr>
      <w:r>
        <w:rPr>
          <w:rFonts w:hint="eastAsia"/>
        </w:rPr>
        <w:t>发现虚假诉讼线索应立即向公安机关移送。</w:t>
      </w:r>
    </w:p>
    <w:p w14:paraId="795EBEAF">
      <w:pPr>
        <w:pStyle w:val="107"/>
        <w:spacing w:before="120" w:after="120"/>
      </w:pPr>
      <w:bookmarkStart w:id="240" w:name="_Toc198629880"/>
      <w:bookmarkStart w:id="241" w:name="_Toc196208226"/>
      <w:bookmarkStart w:id="242" w:name="_Toc196212565"/>
      <w:bookmarkStart w:id="243" w:name="_Toc195624294"/>
      <w:bookmarkStart w:id="244" w:name="_Toc195600159"/>
      <w:bookmarkStart w:id="245" w:name="_Toc196208152"/>
      <w:r>
        <w:rPr>
          <w:rFonts w:hint="eastAsia"/>
        </w:rPr>
        <w:t>应急管理</w:t>
      </w:r>
      <w:bookmarkEnd w:id="240"/>
      <w:bookmarkEnd w:id="241"/>
      <w:bookmarkEnd w:id="242"/>
      <w:bookmarkEnd w:id="243"/>
      <w:bookmarkEnd w:id="244"/>
      <w:bookmarkEnd w:id="245"/>
    </w:p>
    <w:p w14:paraId="42C63D27">
      <w:pPr>
        <w:pStyle w:val="167"/>
      </w:pPr>
      <w:r>
        <w:rPr>
          <w:rFonts w:hint="eastAsia"/>
        </w:rPr>
        <w:t>商事调解组织应针对突发舆情或群体性事件制定应急预案。</w:t>
      </w:r>
    </w:p>
    <w:p w14:paraId="4A24EB7E">
      <w:pPr>
        <w:pStyle w:val="167"/>
      </w:pPr>
      <w:r>
        <w:rPr>
          <w:rFonts w:hint="eastAsia"/>
        </w:rPr>
        <w:t>重大舆情事件2小时内启动熔断机制。</w:t>
      </w:r>
    </w:p>
    <w:p w14:paraId="056B10F3">
      <w:pPr>
        <w:pStyle w:val="167"/>
      </w:pPr>
      <w:r>
        <w:rPr>
          <w:rFonts w:hint="eastAsia"/>
        </w:rPr>
        <w:t>数据泄露事件应在24小时内完成司法报备。</w:t>
      </w:r>
    </w:p>
    <w:p w14:paraId="7775FB63">
      <w:pPr>
        <w:pStyle w:val="58"/>
        <w:ind w:firstLine="420"/>
        <w:sectPr>
          <w:headerReference r:id="rId23" w:type="default"/>
          <w:footerReference r:id="rId25" w:type="default"/>
          <w:headerReference r:id="rId24" w:type="even"/>
          <w:footerReference r:id="rId26" w:type="even"/>
          <w:pgSz w:w="11906" w:h="16838"/>
          <w:pgMar w:top="2410" w:right="1134" w:bottom="1134" w:left="1134" w:header="1418" w:footer="1134" w:gutter="284"/>
          <w:pgNumType w:start="1"/>
          <w:cols w:space="425" w:num="1"/>
          <w:formProt w:val="0"/>
          <w:docGrid w:linePitch="312" w:charSpace="0"/>
        </w:sectPr>
      </w:pPr>
    </w:p>
    <w:bookmarkEnd w:id="33"/>
    <w:p w14:paraId="0439FF40">
      <w:pPr>
        <w:pStyle w:val="200"/>
        <w:rPr>
          <w:rFonts w:hint="eastAsia"/>
          <w:vanish w:val="0"/>
        </w:rPr>
      </w:pPr>
      <w:bookmarkStart w:id="246" w:name="BookMark5"/>
    </w:p>
    <w:p w14:paraId="4001FE83">
      <w:pPr>
        <w:pStyle w:val="201"/>
        <w:rPr>
          <w:vanish w:val="0"/>
        </w:rPr>
      </w:pPr>
    </w:p>
    <w:p w14:paraId="278DAD46">
      <w:pPr>
        <w:pStyle w:val="78"/>
        <w:spacing w:before="60" w:after="120"/>
      </w:pPr>
      <w:r>
        <w:br w:type="textWrapping"/>
      </w:r>
      <w:bookmarkStart w:id="247" w:name="_Toc195624295"/>
      <w:bookmarkStart w:id="248" w:name="_Toc195600160"/>
      <w:bookmarkStart w:id="249" w:name="_Toc198629881"/>
      <w:bookmarkStart w:id="250" w:name="_Toc196208227"/>
      <w:bookmarkStart w:id="251" w:name="_Toc196212566"/>
      <w:bookmarkStart w:id="252" w:name="_Toc196208153"/>
      <w:r>
        <w:rPr>
          <w:rFonts w:hint="eastAsia"/>
        </w:rPr>
        <w:t>（资料性）</w:t>
      </w:r>
      <w:r>
        <w:br w:type="textWrapping"/>
      </w:r>
      <w:bookmarkEnd w:id="247"/>
      <w:bookmarkEnd w:id="248"/>
      <w:r>
        <w:rPr>
          <w:rFonts w:hint="eastAsia"/>
        </w:rPr>
        <w:t>信用评估指标体系（示例）</w:t>
      </w:r>
      <w:bookmarkEnd w:id="249"/>
      <w:bookmarkEnd w:id="250"/>
      <w:bookmarkEnd w:id="251"/>
      <w:bookmarkEnd w:id="252"/>
    </w:p>
    <w:p w14:paraId="013D2D6D">
      <w:pPr>
        <w:pStyle w:val="58"/>
        <w:ind w:firstLine="420"/>
      </w:pPr>
      <w:r>
        <w:rPr>
          <w:rFonts w:hint="eastAsia"/>
        </w:rPr>
        <w:t>信用评估指标体系示例见表A.1。</w:t>
      </w:r>
    </w:p>
    <w:p w14:paraId="23045DA8">
      <w:pPr>
        <w:pStyle w:val="79"/>
        <w:spacing w:before="120" w:after="120"/>
      </w:pPr>
      <w:r>
        <w:rPr>
          <w:rFonts w:hint="eastAsia"/>
        </w:rPr>
        <w:t>信用评估指标体系</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840"/>
        <w:gridCol w:w="2841"/>
        <w:gridCol w:w="2841"/>
      </w:tblGrid>
      <w:tr w14:paraId="266650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tcBorders>
              <w:top w:val="single" w:color="auto" w:sz="8" w:space="0"/>
              <w:bottom w:val="single" w:color="auto" w:sz="8" w:space="0"/>
            </w:tcBorders>
            <w:shd w:val="clear" w:color="auto" w:fill="auto"/>
            <w:vAlign w:val="center"/>
          </w:tcPr>
          <w:p w14:paraId="7989AC34">
            <w:pPr>
              <w:spacing w:line="240" w:lineRule="auto"/>
              <w:jc w:val="center"/>
              <w:rPr>
                <w:b/>
                <w:sz w:val="18"/>
              </w:rPr>
            </w:pPr>
            <w:r>
              <w:rPr>
                <w:rFonts w:hint="eastAsia" w:ascii="宋体" w:hAnsi="宋体"/>
                <w:b/>
                <w:sz w:val="18"/>
              </w:rPr>
              <w:t>指标类别</w:t>
            </w:r>
          </w:p>
        </w:tc>
        <w:tc>
          <w:tcPr>
            <w:tcW w:w="2841" w:type="dxa"/>
            <w:tcBorders>
              <w:top w:val="single" w:color="auto" w:sz="8" w:space="0"/>
              <w:bottom w:val="single" w:color="auto" w:sz="8" w:space="0"/>
            </w:tcBorders>
            <w:shd w:val="clear" w:color="auto" w:fill="auto"/>
            <w:vAlign w:val="center"/>
          </w:tcPr>
          <w:p w14:paraId="31A038BF">
            <w:pPr>
              <w:spacing w:line="240" w:lineRule="auto"/>
              <w:jc w:val="center"/>
              <w:rPr>
                <w:b/>
                <w:sz w:val="18"/>
              </w:rPr>
            </w:pPr>
            <w:r>
              <w:rPr>
                <w:rFonts w:hint="eastAsia" w:ascii="宋体" w:hAnsi="宋体"/>
                <w:b/>
                <w:sz w:val="18"/>
              </w:rPr>
              <w:t>具体指标</w:t>
            </w:r>
          </w:p>
        </w:tc>
        <w:tc>
          <w:tcPr>
            <w:tcW w:w="2841" w:type="dxa"/>
            <w:tcBorders>
              <w:top w:val="single" w:color="auto" w:sz="8" w:space="0"/>
              <w:bottom w:val="single" w:color="auto" w:sz="8" w:space="0"/>
            </w:tcBorders>
            <w:shd w:val="clear" w:color="auto" w:fill="auto"/>
            <w:vAlign w:val="center"/>
          </w:tcPr>
          <w:p w14:paraId="6AADBE31">
            <w:pPr>
              <w:spacing w:line="240" w:lineRule="auto"/>
              <w:jc w:val="center"/>
              <w:rPr>
                <w:b/>
                <w:sz w:val="18"/>
              </w:rPr>
            </w:pPr>
            <w:r>
              <w:rPr>
                <w:rFonts w:hint="eastAsia" w:ascii="宋体" w:hAnsi="宋体"/>
                <w:b/>
                <w:sz w:val="18"/>
              </w:rPr>
              <w:t>权重</w:t>
            </w:r>
          </w:p>
        </w:tc>
      </w:tr>
      <w:tr w14:paraId="5FE2DD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tcBorders>
              <w:top w:val="single" w:color="auto" w:sz="8" w:space="0"/>
            </w:tcBorders>
            <w:shd w:val="clear" w:color="auto" w:fill="auto"/>
            <w:vAlign w:val="center"/>
          </w:tcPr>
          <w:p w14:paraId="3E2E952F">
            <w:pPr>
              <w:spacing w:line="240" w:lineRule="auto"/>
              <w:jc w:val="center"/>
              <w:rPr>
                <w:sz w:val="18"/>
              </w:rPr>
            </w:pPr>
            <w:r>
              <w:rPr>
                <w:rFonts w:hint="eastAsia" w:ascii="宋体" w:hAnsi="宋体"/>
                <w:sz w:val="18"/>
              </w:rPr>
              <w:t>收入能力</w:t>
            </w:r>
          </w:p>
        </w:tc>
        <w:tc>
          <w:tcPr>
            <w:tcW w:w="2841" w:type="dxa"/>
            <w:tcBorders>
              <w:top w:val="single" w:color="auto" w:sz="8" w:space="0"/>
            </w:tcBorders>
            <w:shd w:val="clear" w:color="auto" w:fill="auto"/>
            <w:vAlign w:val="center"/>
          </w:tcPr>
          <w:p w14:paraId="1C1E0E3C">
            <w:pPr>
              <w:spacing w:line="240" w:lineRule="auto"/>
              <w:jc w:val="center"/>
              <w:rPr>
                <w:sz w:val="18"/>
              </w:rPr>
            </w:pPr>
            <w:r>
              <w:rPr>
                <w:rFonts w:hint="eastAsia" w:ascii="宋体" w:hAnsi="宋体"/>
                <w:sz w:val="18"/>
              </w:rPr>
              <w:t>近</w:t>
            </w:r>
            <w:r>
              <w:rPr>
                <w:rFonts w:hint="eastAsia" w:cs="Calibri"/>
                <w:sz w:val="18"/>
              </w:rPr>
              <w:t>6</w:t>
            </w:r>
            <w:r>
              <w:rPr>
                <w:rFonts w:hint="eastAsia" w:ascii="宋体" w:hAnsi="宋体"/>
                <w:sz w:val="18"/>
              </w:rPr>
              <w:t>个月平均工资</w:t>
            </w:r>
          </w:p>
        </w:tc>
        <w:tc>
          <w:tcPr>
            <w:tcW w:w="2841" w:type="dxa"/>
            <w:tcBorders>
              <w:top w:val="single" w:color="auto" w:sz="8" w:space="0"/>
            </w:tcBorders>
            <w:shd w:val="clear" w:color="auto" w:fill="auto"/>
            <w:vAlign w:val="center"/>
          </w:tcPr>
          <w:p w14:paraId="4814C553">
            <w:pPr>
              <w:spacing w:line="240" w:lineRule="auto"/>
              <w:jc w:val="center"/>
              <w:rPr>
                <w:sz w:val="18"/>
              </w:rPr>
            </w:pPr>
            <w:r>
              <w:rPr>
                <w:rFonts w:hint="eastAsia" w:cs="Calibri"/>
                <w:sz w:val="18"/>
              </w:rPr>
              <w:t>25%</w:t>
            </w:r>
          </w:p>
        </w:tc>
      </w:tr>
      <w:tr w14:paraId="38210D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shd w:val="clear" w:color="auto" w:fill="auto"/>
            <w:vAlign w:val="center"/>
          </w:tcPr>
          <w:p w14:paraId="1D56EFAE">
            <w:pPr>
              <w:spacing w:line="240" w:lineRule="auto"/>
              <w:jc w:val="center"/>
              <w:rPr>
                <w:sz w:val="18"/>
              </w:rPr>
            </w:pPr>
            <w:r>
              <w:rPr>
                <w:rFonts w:hint="eastAsia" w:ascii="宋体" w:hAnsi="宋体"/>
                <w:sz w:val="18"/>
              </w:rPr>
              <w:t>负债情况</w:t>
            </w:r>
          </w:p>
        </w:tc>
        <w:tc>
          <w:tcPr>
            <w:tcW w:w="2841" w:type="dxa"/>
            <w:shd w:val="clear" w:color="auto" w:fill="auto"/>
            <w:vAlign w:val="center"/>
          </w:tcPr>
          <w:p w14:paraId="2B35AAB2">
            <w:pPr>
              <w:spacing w:line="240" w:lineRule="auto"/>
              <w:jc w:val="center"/>
              <w:rPr>
                <w:sz w:val="18"/>
              </w:rPr>
            </w:pPr>
            <w:r>
              <w:rPr>
                <w:rFonts w:hint="eastAsia" w:ascii="宋体" w:hAnsi="宋体"/>
                <w:sz w:val="18"/>
              </w:rPr>
              <w:t>征信报告查询次数</w:t>
            </w:r>
          </w:p>
        </w:tc>
        <w:tc>
          <w:tcPr>
            <w:tcW w:w="2841" w:type="dxa"/>
            <w:shd w:val="clear" w:color="auto" w:fill="auto"/>
            <w:vAlign w:val="center"/>
          </w:tcPr>
          <w:p w14:paraId="44E24941">
            <w:pPr>
              <w:spacing w:line="240" w:lineRule="auto"/>
              <w:jc w:val="center"/>
              <w:rPr>
                <w:sz w:val="18"/>
              </w:rPr>
            </w:pPr>
            <w:r>
              <w:rPr>
                <w:rFonts w:hint="eastAsia" w:cs="Calibri"/>
                <w:sz w:val="18"/>
              </w:rPr>
              <w:t>20%</w:t>
            </w:r>
          </w:p>
        </w:tc>
      </w:tr>
      <w:tr w14:paraId="2CC46D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shd w:val="clear" w:color="auto" w:fill="auto"/>
            <w:vAlign w:val="center"/>
          </w:tcPr>
          <w:p w14:paraId="6705DA10">
            <w:pPr>
              <w:spacing w:line="240" w:lineRule="auto"/>
              <w:jc w:val="center"/>
              <w:rPr>
                <w:sz w:val="18"/>
              </w:rPr>
            </w:pPr>
            <w:r>
              <w:rPr>
                <w:rFonts w:hint="eastAsia" w:ascii="宋体" w:hAnsi="宋体"/>
                <w:sz w:val="18"/>
              </w:rPr>
              <w:t>特殊情形</w:t>
            </w:r>
          </w:p>
        </w:tc>
        <w:tc>
          <w:tcPr>
            <w:tcW w:w="2841" w:type="dxa"/>
            <w:shd w:val="clear" w:color="auto" w:fill="auto"/>
            <w:vAlign w:val="center"/>
          </w:tcPr>
          <w:p w14:paraId="668B9025">
            <w:pPr>
              <w:spacing w:line="240" w:lineRule="auto"/>
              <w:jc w:val="center"/>
              <w:rPr>
                <w:sz w:val="18"/>
              </w:rPr>
            </w:pPr>
            <w:r>
              <w:rPr>
                <w:rFonts w:hint="eastAsia" w:ascii="宋体" w:hAnsi="宋体"/>
                <w:sz w:val="18"/>
              </w:rPr>
              <w:t>医疗支出占比</w:t>
            </w:r>
          </w:p>
        </w:tc>
        <w:tc>
          <w:tcPr>
            <w:tcW w:w="2841" w:type="dxa"/>
            <w:shd w:val="clear" w:color="auto" w:fill="auto"/>
            <w:vAlign w:val="center"/>
          </w:tcPr>
          <w:p w14:paraId="1325D0B5">
            <w:pPr>
              <w:spacing w:line="240" w:lineRule="auto"/>
              <w:jc w:val="center"/>
              <w:rPr>
                <w:sz w:val="18"/>
              </w:rPr>
            </w:pPr>
            <w:r>
              <w:rPr>
                <w:rFonts w:hint="eastAsia" w:cs="Calibri"/>
                <w:sz w:val="18"/>
              </w:rPr>
              <w:t>15%</w:t>
            </w:r>
          </w:p>
        </w:tc>
      </w:tr>
      <w:tr w14:paraId="498950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shd w:val="clear" w:color="auto" w:fill="auto"/>
            <w:vAlign w:val="center"/>
          </w:tcPr>
          <w:p w14:paraId="06A96E64">
            <w:pPr>
              <w:spacing w:line="240" w:lineRule="auto"/>
              <w:jc w:val="center"/>
              <w:rPr>
                <w:sz w:val="18"/>
              </w:rPr>
            </w:pPr>
            <w:r>
              <w:rPr>
                <w:rFonts w:hint="eastAsia" w:ascii="宋体" w:hAnsi="宋体"/>
                <w:sz w:val="18"/>
              </w:rPr>
              <w:t>履约历史</w:t>
            </w:r>
          </w:p>
        </w:tc>
        <w:tc>
          <w:tcPr>
            <w:tcW w:w="2841" w:type="dxa"/>
            <w:shd w:val="clear" w:color="auto" w:fill="auto"/>
            <w:vAlign w:val="center"/>
          </w:tcPr>
          <w:p w14:paraId="2CFCB038">
            <w:pPr>
              <w:spacing w:line="240" w:lineRule="auto"/>
              <w:jc w:val="center"/>
              <w:rPr>
                <w:sz w:val="18"/>
              </w:rPr>
            </w:pPr>
            <w:r>
              <w:rPr>
                <w:rFonts w:hint="eastAsia" w:ascii="宋体" w:hAnsi="宋体"/>
                <w:sz w:val="18"/>
              </w:rPr>
              <w:t>既往贷款逾期次数</w:t>
            </w:r>
          </w:p>
        </w:tc>
        <w:tc>
          <w:tcPr>
            <w:tcW w:w="2841" w:type="dxa"/>
            <w:shd w:val="clear" w:color="auto" w:fill="auto"/>
            <w:vAlign w:val="center"/>
          </w:tcPr>
          <w:p w14:paraId="75012F87">
            <w:pPr>
              <w:spacing w:line="240" w:lineRule="auto"/>
              <w:jc w:val="center"/>
              <w:rPr>
                <w:sz w:val="18"/>
              </w:rPr>
            </w:pPr>
            <w:r>
              <w:rPr>
                <w:rFonts w:hint="eastAsia" w:cs="Calibri"/>
                <w:sz w:val="18"/>
              </w:rPr>
              <w:t>30%</w:t>
            </w:r>
          </w:p>
        </w:tc>
      </w:tr>
      <w:tr w14:paraId="7780EE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840" w:type="dxa"/>
            <w:shd w:val="clear" w:color="auto" w:fill="auto"/>
            <w:vAlign w:val="center"/>
          </w:tcPr>
          <w:p w14:paraId="33DEF4CF">
            <w:pPr>
              <w:spacing w:line="240" w:lineRule="auto"/>
              <w:jc w:val="center"/>
              <w:rPr>
                <w:sz w:val="18"/>
              </w:rPr>
            </w:pPr>
            <w:r>
              <w:rPr>
                <w:rFonts w:hint="eastAsia" w:ascii="宋体" w:hAnsi="宋体"/>
                <w:sz w:val="18"/>
              </w:rPr>
              <w:t>其他</w:t>
            </w:r>
          </w:p>
        </w:tc>
        <w:tc>
          <w:tcPr>
            <w:tcW w:w="2841" w:type="dxa"/>
            <w:shd w:val="clear" w:color="auto" w:fill="auto"/>
            <w:vAlign w:val="center"/>
          </w:tcPr>
          <w:p w14:paraId="0B627E2C">
            <w:pPr>
              <w:spacing w:line="240" w:lineRule="auto"/>
              <w:jc w:val="center"/>
              <w:rPr>
                <w:sz w:val="18"/>
              </w:rPr>
            </w:pPr>
            <w:r>
              <w:rPr>
                <w:rFonts w:hint="eastAsia" w:ascii="宋体" w:hAnsi="宋体"/>
                <w:sz w:val="18"/>
              </w:rPr>
              <w:t>家庭负担系数</w:t>
            </w:r>
          </w:p>
        </w:tc>
        <w:tc>
          <w:tcPr>
            <w:tcW w:w="2841" w:type="dxa"/>
            <w:shd w:val="clear" w:color="auto" w:fill="auto"/>
            <w:vAlign w:val="center"/>
          </w:tcPr>
          <w:p w14:paraId="5C8F10B6">
            <w:pPr>
              <w:spacing w:line="240" w:lineRule="auto"/>
              <w:jc w:val="center"/>
              <w:rPr>
                <w:sz w:val="18"/>
              </w:rPr>
            </w:pPr>
            <w:r>
              <w:rPr>
                <w:rFonts w:hint="eastAsia" w:cs="Calibri"/>
                <w:sz w:val="18"/>
              </w:rPr>
              <w:t>10%</w:t>
            </w:r>
          </w:p>
        </w:tc>
      </w:tr>
    </w:tbl>
    <w:p w14:paraId="28573D9E">
      <w:pPr>
        <w:pStyle w:val="58"/>
        <w:ind w:firstLine="420"/>
      </w:pPr>
    </w:p>
    <w:p w14:paraId="35E3A0F4">
      <w:pPr>
        <w:pStyle w:val="58"/>
        <w:spacing w:line="360" w:lineRule="auto"/>
        <w:ind w:firstLine="420"/>
      </w:pPr>
      <w:r>
        <w:t xml:space="preserve"> </w:t>
      </w:r>
    </w:p>
    <w:p w14:paraId="78A28036">
      <w:pPr>
        <w:pStyle w:val="58"/>
        <w:spacing w:line="360" w:lineRule="auto"/>
        <w:ind w:firstLine="420"/>
        <w:jc w:val="right"/>
        <w:sectPr>
          <w:headerReference r:id="rId27" w:type="default"/>
          <w:footerReference r:id="rId29" w:type="default"/>
          <w:headerReference r:id="rId28" w:type="even"/>
          <w:footerReference r:id="rId30" w:type="even"/>
          <w:pgSz w:w="11906" w:h="16838"/>
          <w:pgMar w:top="2410" w:right="1134" w:bottom="1134" w:left="1134" w:header="1418" w:footer="1134" w:gutter="284"/>
          <w:cols w:space="425" w:num="1"/>
          <w:formProt w:val="0"/>
          <w:docGrid w:linePitch="312" w:charSpace="0"/>
        </w:sectPr>
      </w:pPr>
      <w:r>
        <w:t xml:space="preserve">  </w:t>
      </w:r>
    </w:p>
    <w:p w14:paraId="0D1D9414">
      <w:pPr>
        <w:pStyle w:val="200"/>
        <w:rPr>
          <w:rFonts w:hint="eastAsia"/>
          <w:vanish w:val="0"/>
        </w:rPr>
      </w:pPr>
    </w:p>
    <w:p w14:paraId="42C66B81">
      <w:pPr>
        <w:pStyle w:val="201"/>
        <w:rPr>
          <w:vanish w:val="0"/>
        </w:rPr>
      </w:pPr>
    </w:p>
    <w:p w14:paraId="5116FC18">
      <w:pPr>
        <w:pStyle w:val="78"/>
        <w:spacing w:before="60" w:after="120"/>
      </w:pPr>
      <w:r>
        <w:br w:type="textWrapping"/>
      </w:r>
      <w:bookmarkStart w:id="253" w:name="_Toc196212567"/>
      <w:bookmarkStart w:id="254" w:name="_Toc198629882"/>
      <w:r>
        <w:rPr>
          <w:rFonts w:hint="eastAsia"/>
        </w:rPr>
        <w:t>（资料性）</w:t>
      </w:r>
      <w:r>
        <w:br w:type="textWrapping"/>
      </w:r>
      <w:r>
        <w:rPr>
          <w:rFonts w:hint="eastAsia"/>
        </w:rPr>
        <w:t>商事调解风险提示书</w:t>
      </w:r>
      <w:bookmarkEnd w:id="253"/>
      <w:bookmarkEnd w:id="254"/>
    </w:p>
    <w:p w14:paraId="79D20273">
      <w:pPr>
        <w:pStyle w:val="58"/>
        <w:ind w:firstLine="562"/>
        <w:jc w:val="center"/>
        <w:rPr>
          <w:b/>
          <w:sz w:val="28"/>
        </w:rPr>
      </w:pPr>
      <w:r>
        <w:rPr>
          <w:rFonts w:hint="eastAsia"/>
          <w:b/>
          <w:sz w:val="28"/>
        </w:rPr>
        <w:t>调解风险提示书</w:t>
      </w:r>
    </w:p>
    <w:p w14:paraId="08B4FEE6">
      <w:pPr>
        <w:pStyle w:val="58"/>
        <w:ind w:firstLine="420"/>
      </w:pPr>
    </w:p>
    <w:p w14:paraId="22A3809E">
      <w:pPr>
        <w:pStyle w:val="58"/>
        <w:ind w:firstLine="420"/>
      </w:pPr>
      <w:r>
        <w:rPr>
          <w:rFonts w:hint="eastAsia"/>
        </w:rPr>
        <w:t>编号：******** [调解机构代码]-[年份]-[序号]</w:t>
      </w:r>
    </w:p>
    <w:p w14:paraId="7589F6AD">
      <w:pPr>
        <w:pStyle w:val="58"/>
        <w:ind w:firstLine="420"/>
      </w:pPr>
      <w:r>
        <w:rPr>
          <w:rFonts w:hint="eastAsia"/>
        </w:rPr>
        <w:t>日期：</w:t>
      </w:r>
      <w:r>
        <w:t xml:space="preserve">      </w:t>
      </w:r>
      <w:r>
        <w:rPr>
          <w:rFonts w:hint="eastAsia"/>
        </w:rPr>
        <w:t>年</w:t>
      </w:r>
      <w:r>
        <w:t xml:space="preserve">     </w:t>
      </w:r>
      <w:r>
        <w:rPr>
          <w:rFonts w:hint="eastAsia"/>
        </w:rPr>
        <w:t>月</w:t>
      </w:r>
      <w:r>
        <w:t xml:space="preserve">     </w:t>
      </w:r>
      <w:r>
        <w:rPr>
          <w:rFonts w:hint="eastAsia"/>
        </w:rPr>
        <w:t xml:space="preserve">日 </w:t>
      </w:r>
    </w:p>
    <w:p w14:paraId="48C93D6A">
      <w:pPr>
        <w:pStyle w:val="58"/>
        <w:ind w:firstLine="420"/>
      </w:pPr>
    </w:p>
    <w:p w14:paraId="6B45DB01">
      <w:pPr>
        <w:pStyle w:val="58"/>
        <w:ind w:firstLine="420"/>
      </w:pPr>
      <w:r>
        <w:rPr>
          <w:rFonts w:hint="eastAsia"/>
        </w:rPr>
        <w:t xml:space="preserve">尊敬的当事人：  </w:t>
      </w:r>
    </w:p>
    <w:p w14:paraId="71EFAAD9">
      <w:pPr>
        <w:pStyle w:val="58"/>
        <w:ind w:firstLine="420"/>
      </w:pPr>
      <w:r>
        <w:rPr>
          <w:rFonts w:hint="eastAsia"/>
        </w:rPr>
        <w:t>为保障您充分知悉参与商事调解的法律意义及潜在风险，依据商事调解相关法律法规及司法解释，现就商事调解程序相关事项特别提示如下，请仔细阅读并签署确认。</w:t>
      </w:r>
    </w:p>
    <w:p w14:paraId="127A3FD8">
      <w:pPr>
        <w:pStyle w:val="58"/>
        <w:ind w:firstLine="420"/>
      </w:pPr>
    </w:p>
    <w:p w14:paraId="76F0026E">
      <w:pPr>
        <w:pStyle w:val="58"/>
        <w:ind w:firstLine="420"/>
      </w:pPr>
      <w:r>
        <w:rPr>
          <w:rFonts w:hint="eastAsia"/>
        </w:rPr>
        <w:t>一、调解性质与效力风险</w:t>
      </w:r>
    </w:p>
    <w:p w14:paraId="709A224E">
      <w:pPr>
        <w:pStyle w:val="58"/>
        <w:ind w:firstLine="420"/>
      </w:pPr>
      <w:r>
        <w:rPr>
          <w:rFonts w:hint="eastAsia"/>
        </w:rPr>
        <w:t>1. 非强制性</w:t>
      </w:r>
    </w:p>
    <w:p w14:paraId="6422FD59">
      <w:pPr>
        <w:pStyle w:val="58"/>
        <w:ind w:firstLine="420"/>
      </w:pPr>
      <w:r>
        <w:rPr>
          <w:rFonts w:hint="eastAsia"/>
        </w:rPr>
        <w:t xml:space="preserve">   调解以当事人自愿为原则，任何一方拒绝继续调解或拒绝签署协议，调解程序立即终止。</w:t>
      </w:r>
    </w:p>
    <w:p w14:paraId="2D5E38A4">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风险提示：调解失败将转入诉讼</w:t>
      </w:r>
      <w:r>
        <w:t>/</w:t>
      </w:r>
      <w:r>
        <w:rPr>
          <w:rFonts w:hint="eastAsia"/>
        </w:rPr>
        <w:t>仲裁程序，可能延长争议解决周期。</w:t>
      </w:r>
    </w:p>
    <w:p w14:paraId="12AFC858">
      <w:pPr>
        <w:pStyle w:val="58"/>
        <w:ind w:firstLine="420"/>
      </w:pPr>
      <w:r>
        <w:rPr>
          <w:rFonts w:hint="eastAsia"/>
        </w:rPr>
        <w:t xml:space="preserve">2. 协议可执行性限制**  </w:t>
      </w:r>
    </w:p>
    <w:p w14:paraId="7CA5867F">
      <w:pPr>
        <w:pStyle w:val="58"/>
        <w:ind w:firstLine="420"/>
      </w:pPr>
      <w:r>
        <w:rPr>
          <w:rFonts w:hint="eastAsia"/>
        </w:rPr>
        <w:t xml:space="preserve">   调解协议经司法确认后具有强制执行力，但未经司法确认的协议仅具合同效力。</w:t>
      </w:r>
    </w:p>
    <w:p w14:paraId="7525AE9E">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风险提示：对方拒不履行协议时，需另行通过诉讼主张权利。</w:t>
      </w:r>
    </w:p>
    <w:p w14:paraId="41A8E699">
      <w:pPr>
        <w:pStyle w:val="58"/>
        <w:ind w:firstLine="420"/>
      </w:pPr>
    </w:p>
    <w:p w14:paraId="07A35786">
      <w:pPr>
        <w:pStyle w:val="58"/>
        <w:ind w:firstLine="420"/>
      </w:pPr>
      <w:r>
        <w:rPr>
          <w:rFonts w:hint="eastAsia"/>
        </w:rPr>
        <w:t>二、实体权利处分风险</w:t>
      </w:r>
    </w:p>
    <w:p w14:paraId="20615E4A">
      <w:pPr>
        <w:pStyle w:val="58"/>
        <w:ind w:firstLine="420"/>
      </w:pPr>
      <w:r>
        <w:rPr>
          <w:rFonts w:hint="eastAsia"/>
        </w:rPr>
        <w:t>1. 利益减让不可逆性</w:t>
      </w:r>
    </w:p>
    <w:p w14:paraId="526AEF9C">
      <w:pPr>
        <w:pStyle w:val="58"/>
        <w:ind w:firstLine="420"/>
      </w:pPr>
      <w:r>
        <w:rPr>
          <w:rFonts w:hint="eastAsia"/>
        </w:rPr>
        <w:t xml:space="preserve">   调解方案一经签署即对权利义务做出最终处分，不得以“显失公平”或“重大误解”为由直接申请撤销。</w:t>
      </w:r>
    </w:p>
    <w:p w14:paraId="6B770C62">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风险提示：建议提前咨询财务</w:t>
      </w:r>
      <w:r>
        <w:t>/</w:t>
      </w:r>
      <w:r>
        <w:rPr>
          <w:rFonts w:hint="eastAsia"/>
        </w:rPr>
        <w:t>法律顾问评估方案可行性。</w:t>
      </w:r>
    </w:p>
    <w:p w14:paraId="51230E33">
      <w:pPr>
        <w:pStyle w:val="58"/>
        <w:ind w:firstLine="420"/>
      </w:pPr>
      <w:r>
        <w:rPr>
          <w:rFonts w:hint="eastAsia"/>
        </w:rPr>
        <w:t>2. 证据灭失风险</w:t>
      </w:r>
    </w:p>
    <w:p w14:paraId="48E4AB72">
      <w:pPr>
        <w:pStyle w:val="58"/>
        <w:ind w:firstLine="420"/>
      </w:pPr>
      <w:r>
        <w:rPr>
          <w:rFonts w:hint="eastAsia"/>
        </w:rPr>
        <w:t xml:space="preserve">   调解阶段陈述的事实不作为诉讼中的不利证据（《最高人民法院关于民事诉讼证据的若干规定》第六十七条），但主动承认的于己不利事实可能被采信。</w:t>
      </w:r>
    </w:p>
    <w:p w14:paraId="079203FE">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风险提示：谨慎披露商业秘密或未掌握的核心证据。</w:t>
      </w:r>
    </w:p>
    <w:p w14:paraId="07AFD702">
      <w:pPr>
        <w:pStyle w:val="58"/>
        <w:ind w:firstLine="420"/>
      </w:pPr>
    </w:p>
    <w:p w14:paraId="7FD80FE2">
      <w:pPr>
        <w:pStyle w:val="58"/>
        <w:ind w:firstLine="420"/>
      </w:pPr>
      <w:r>
        <w:rPr>
          <w:rFonts w:hint="eastAsia"/>
        </w:rPr>
        <w:t>三、程序性风险</w:t>
      </w:r>
    </w:p>
    <w:p w14:paraId="1EE65F18">
      <w:pPr>
        <w:pStyle w:val="58"/>
        <w:ind w:firstLine="420"/>
      </w:pPr>
      <w:r>
        <w:rPr>
          <w:rFonts w:hint="eastAsia"/>
        </w:rPr>
        <w:t>1. 保密义务约束</w:t>
      </w:r>
    </w:p>
    <w:p w14:paraId="06DAD74A">
      <w:pPr>
        <w:pStyle w:val="58"/>
        <w:ind w:firstLine="420"/>
      </w:pPr>
      <w:r>
        <w:rPr>
          <w:rFonts w:hint="eastAsia"/>
        </w:rPr>
        <w:t xml:space="preserve">   调解参与人应对调解过程及内容承担永久保密义务，泄密方需承担侵权责任。</w:t>
      </w:r>
    </w:p>
    <w:p w14:paraId="1481F4DF">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风险提示：特别禁止向媒体或第三方披露调解细节。</w:t>
      </w:r>
    </w:p>
    <w:p w14:paraId="589BD152">
      <w:pPr>
        <w:pStyle w:val="58"/>
        <w:ind w:firstLine="420"/>
      </w:pPr>
      <w:r>
        <w:rPr>
          <w:rFonts w:hint="eastAsia"/>
        </w:rPr>
        <w:t>2. 时效中断后果</w:t>
      </w:r>
    </w:p>
    <w:p w14:paraId="6CBA2D79">
      <w:pPr>
        <w:pStyle w:val="58"/>
        <w:ind w:firstLine="420"/>
      </w:pPr>
      <w:r>
        <w:rPr>
          <w:rFonts w:hint="eastAsia"/>
        </w:rPr>
        <w:t xml:space="preserve">   调解期间诉讼时效中断，重新计算期限为调解终结后</w:t>
      </w:r>
      <w:r>
        <w:t>3</w:t>
      </w:r>
      <w:r>
        <w:rPr>
          <w:rFonts w:hint="eastAsia"/>
        </w:rPr>
        <w:t>个月。</w:t>
      </w:r>
    </w:p>
    <w:p w14:paraId="3D6F705F">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风险提示：长期调解可能导致权利行使超时效。</w:t>
      </w:r>
    </w:p>
    <w:p w14:paraId="7736B843">
      <w:pPr>
        <w:pStyle w:val="58"/>
        <w:ind w:firstLine="420"/>
      </w:pPr>
    </w:p>
    <w:p w14:paraId="0947D4AF">
      <w:pPr>
        <w:pStyle w:val="58"/>
        <w:ind w:firstLine="420"/>
      </w:pPr>
      <w:r>
        <w:rPr>
          <w:rFonts w:hint="eastAsia"/>
        </w:rPr>
        <w:t>四、特殊情形告知</w:t>
      </w:r>
    </w:p>
    <w:p w14:paraId="23B6F83F">
      <w:pPr>
        <w:pStyle w:val="58"/>
        <w:ind w:firstLine="420"/>
      </w:pPr>
      <w:r>
        <w:rPr>
          <w:rFonts w:hint="eastAsia"/>
        </w:rPr>
        <w:t>1. 多方调解风险</w:t>
      </w:r>
    </w:p>
    <w:p w14:paraId="3D5E44FB">
      <w:pPr>
        <w:pStyle w:val="58"/>
        <w:ind w:firstLine="420"/>
      </w:pPr>
      <w:r>
        <w:rPr>
          <w:rFonts w:hint="eastAsia"/>
        </w:rPr>
        <w:t xml:space="preserve">   涉及多方利益主体时，部分当事人达成协议不影响其他方权利主张。</w:t>
      </w:r>
    </w:p>
    <w:p w14:paraId="64891E95">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风险提示：建议要求全体利害关系人参与调解。</w:t>
      </w:r>
    </w:p>
    <w:p w14:paraId="7B672C51">
      <w:pPr>
        <w:pStyle w:val="58"/>
        <w:ind w:firstLine="420"/>
      </w:pPr>
      <w:r>
        <w:rPr>
          <w:rFonts w:hint="eastAsia"/>
        </w:rPr>
        <w:t>2. 涉外因素风险</w:t>
      </w:r>
    </w:p>
    <w:p w14:paraId="401C18BC">
      <w:pPr>
        <w:pStyle w:val="58"/>
        <w:ind w:firstLine="420"/>
      </w:pPr>
      <w:r>
        <w:rPr>
          <w:rFonts w:hint="eastAsia"/>
        </w:rPr>
        <w:t xml:space="preserve">   涉外调解协议需经公证认证方可在境外执行，司法确认程序不适用外国法院判决。</w:t>
      </w:r>
    </w:p>
    <w:p w14:paraId="10EDC123">
      <w:pPr>
        <w:pStyle w:val="58"/>
        <w:ind w:firstLine="420"/>
      </w:pPr>
      <w:r>
        <w:t xml:space="preserve">   </w:t>
      </w:r>
      <w:r>
        <w:rPr>
          <w:rFonts w:ascii="Segoe UI Symbol" w:hAnsi="Segoe UI Symbol" w:cs="Segoe UI Symbol"/>
        </w:rPr>
        <w:t>⚠</w:t>
      </w:r>
      <w:r>
        <w:rPr>
          <w:rFonts w:ascii="Calibri" w:hAnsi="Calibri" w:cs="Calibri"/>
        </w:rPr>
        <w:t>️</w:t>
      </w:r>
      <w:r>
        <w:t xml:space="preserve"> </w:t>
      </w:r>
      <w:r>
        <w:rPr>
          <w:rFonts w:hint="eastAsia"/>
        </w:rPr>
        <w:t>风险提示：涉及跨境执行的应提前办理合规审查。</w:t>
      </w:r>
    </w:p>
    <w:p w14:paraId="0C171138">
      <w:pPr>
        <w:pStyle w:val="58"/>
        <w:ind w:firstLine="420"/>
      </w:pPr>
    </w:p>
    <w:p w14:paraId="6BFC38FA">
      <w:pPr>
        <w:pStyle w:val="58"/>
        <w:ind w:firstLine="420"/>
      </w:pPr>
      <w:r>
        <w:rPr>
          <w:rFonts w:hint="eastAsia"/>
        </w:rPr>
        <w:t>五、法律救济途径</w:t>
      </w:r>
    </w:p>
    <w:p w14:paraId="4622D265">
      <w:pPr>
        <w:pStyle w:val="58"/>
        <w:ind w:firstLine="420"/>
      </w:pPr>
      <w:r>
        <w:rPr>
          <w:rFonts w:hint="eastAsia"/>
        </w:rPr>
        <w:t xml:space="preserve">若不同意调解方案或发现权利受损，您可通过以下途径救济：  </w:t>
      </w:r>
    </w:p>
    <w:p w14:paraId="40EE4508">
      <w:pPr>
        <w:pStyle w:val="58"/>
        <w:ind w:firstLine="420"/>
      </w:pPr>
      <w:r>
        <w:rPr>
          <w:rFonts w:hint="eastAsia"/>
        </w:rPr>
        <w:t>1. 在调解终止后</w:t>
      </w:r>
      <w:r>
        <w:t>30</w:t>
      </w:r>
      <w:r>
        <w:rPr>
          <w:rFonts w:hint="eastAsia"/>
        </w:rPr>
        <w:t>日内就原争议提起诉讼。</w:t>
      </w:r>
    </w:p>
    <w:p w14:paraId="0FDB23AB">
      <w:pPr>
        <w:pStyle w:val="58"/>
        <w:ind w:firstLine="420"/>
      </w:pPr>
      <w:r>
        <w:rPr>
          <w:rFonts w:hint="eastAsia"/>
        </w:rPr>
        <w:t>2. 对已签署调解协议申请司法确认（需在签署后</w:t>
      </w:r>
      <w:r>
        <w:t>30</w:t>
      </w:r>
      <w:r>
        <w:rPr>
          <w:rFonts w:hint="eastAsia"/>
        </w:rPr>
        <w:t>日内）。</w:t>
      </w:r>
    </w:p>
    <w:p w14:paraId="64F40FD7">
      <w:pPr>
        <w:pStyle w:val="58"/>
        <w:ind w:firstLine="420"/>
      </w:pPr>
      <w:r>
        <w:rPr>
          <w:rFonts w:hint="eastAsia"/>
        </w:rPr>
        <w:t>3. 调解员存在违规行为时可向调解机构监管部门</w:t>
      </w:r>
      <w:bookmarkStart w:id="273" w:name="_GoBack"/>
      <w:bookmarkEnd w:id="273"/>
      <w:r>
        <w:rPr>
          <w:rFonts w:hint="eastAsia"/>
        </w:rPr>
        <w:t>投诉。</w:t>
      </w:r>
    </w:p>
    <w:p w14:paraId="02109835">
      <w:pPr>
        <w:pStyle w:val="58"/>
        <w:ind w:firstLine="420"/>
      </w:pPr>
    </w:p>
    <w:p w14:paraId="51ABC859">
      <w:pPr>
        <w:pStyle w:val="58"/>
        <w:ind w:firstLine="420"/>
      </w:pPr>
      <w:r>
        <w:rPr>
          <w:rFonts w:hint="eastAsia"/>
        </w:rPr>
        <w:t>六、当事人声明</w:t>
      </w:r>
    </w:p>
    <w:p w14:paraId="4631E6C9">
      <w:pPr>
        <w:pStyle w:val="58"/>
        <w:ind w:firstLine="420"/>
      </w:pPr>
      <w:r>
        <w:rPr>
          <w:rFonts w:hint="eastAsia"/>
        </w:rPr>
        <w:t xml:space="preserve">本人已充分知悉上述风险，并自愿参与商事调解程序。签署本提示书即视为对调解规则及法律后果的完全理解与接受。  </w:t>
      </w:r>
    </w:p>
    <w:p w14:paraId="036F7F72">
      <w:pPr>
        <w:pStyle w:val="58"/>
        <w:ind w:firstLine="420"/>
      </w:pPr>
    </w:p>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65"/>
        <w:gridCol w:w="3679"/>
      </w:tblGrid>
      <w:tr w14:paraId="3987B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5665" w:type="dxa"/>
            <w:vAlign w:val="center"/>
          </w:tcPr>
          <w:p w14:paraId="6778E465">
            <w:pPr>
              <w:pStyle w:val="58"/>
              <w:ind w:firstLine="0" w:firstLineChars="0"/>
            </w:pPr>
            <w:r>
              <w:t>当事人信息</w:t>
            </w:r>
          </w:p>
        </w:tc>
        <w:tc>
          <w:tcPr>
            <w:tcW w:w="3679" w:type="dxa"/>
            <w:vAlign w:val="center"/>
          </w:tcPr>
          <w:p w14:paraId="23DEE86F">
            <w:pPr>
              <w:pStyle w:val="58"/>
              <w:ind w:firstLine="0" w:firstLineChars="0"/>
            </w:pPr>
            <w:r>
              <w:t>签署确认</w:t>
            </w:r>
          </w:p>
        </w:tc>
      </w:tr>
      <w:tr w14:paraId="668F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5665" w:type="dxa"/>
            <w:vAlign w:val="center"/>
          </w:tcPr>
          <w:p w14:paraId="26F0A2C7">
            <w:pPr>
              <w:pStyle w:val="58"/>
              <w:ind w:firstLine="0" w:firstLineChars="0"/>
            </w:pPr>
            <w:r>
              <w:t>姓名</w:t>
            </w:r>
            <w:r>
              <w:rPr>
                <w:rFonts w:hint="eastAsia"/>
              </w:rPr>
              <w:t>/名称：</w:t>
            </w:r>
          </w:p>
        </w:tc>
        <w:tc>
          <w:tcPr>
            <w:tcW w:w="3679" w:type="dxa"/>
            <w:vAlign w:val="center"/>
          </w:tcPr>
          <w:p w14:paraId="78A17EF0">
            <w:pPr>
              <w:pStyle w:val="58"/>
              <w:ind w:firstLine="0" w:firstLineChars="0"/>
            </w:pPr>
            <w:r>
              <w:t>签名</w:t>
            </w:r>
            <w:r>
              <w:rPr>
                <w:rFonts w:hint="eastAsia"/>
              </w:rPr>
              <w:t>/签证：</w:t>
            </w:r>
          </w:p>
        </w:tc>
      </w:tr>
      <w:tr w14:paraId="7EA68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5665" w:type="dxa"/>
            <w:vAlign w:val="center"/>
          </w:tcPr>
          <w:p w14:paraId="2FA44237">
            <w:pPr>
              <w:pStyle w:val="58"/>
              <w:ind w:firstLine="0" w:firstLineChars="0"/>
            </w:pPr>
            <w:r>
              <w:t>身份证号</w:t>
            </w:r>
            <w:r>
              <w:rPr>
                <w:rFonts w:hint="eastAsia"/>
              </w:rPr>
              <w:t>/统一社会信用代码：</w:t>
            </w:r>
          </w:p>
        </w:tc>
        <w:tc>
          <w:tcPr>
            <w:tcW w:w="3679" w:type="dxa"/>
            <w:vAlign w:val="center"/>
          </w:tcPr>
          <w:p w14:paraId="4B8D168A">
            <w:pPr>
              <w:pStyle w:val="58"/>
              <w:ind w:firstLine="0" w:firstLineChars="0"/>
            </w:pPr>
            <w:r>
              <w:rPr>
                <w:rFonts w:hint="eastAsia"/>
              </w:rPr>
              <w:t>联系方式</w:t>
            </w:r>
            <w:r>
              <w:t>：</w:t>
            </w:r>
          </w:p>
        </w:tc>
      </w:tr>
      <w:tr w14:paraId="05805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5665" w:type="dxa"/>
            <w:vAlign w:val="center"/>
          </w:tcPr>
          <w:p w14:paraId="56C1A3DE">
            <w:pPr>
              <w:pStyle w:val="58"/>
              <w:ind w:firstLine="0" w:firstLineChars="0"/>
            </w:pPr>
            <w:r>
              <w:rPr>
                <w:rFonts w:hint="eastAsia"/>
              </w:rPr>
              <w:t>签署</w:t>
            </w:r>
            <w:r>
              <w:t>日期（当事人）：</w:t>
            </w:r>
          </w:p>
        </w:tc>
        <w:tc>
          <w:tcPr>
            <w:tcW w:w="3679" w:type="dxa"/>
            <w:vAlign w:val="center"/>
          </w:tcPr>
          <w:p w14:paraId="5DB86179">
            <w:pPr>
              <w:pStyle w:val="58"/>
              <w:ind w:firstLine="0" w:firstLineChars="0"/>
            </w:pPr>
          </w:p>
        </w:tc>
      </w:tr>
      <w:tr w14:paraId="18DDF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5665" w:type="dxa"/>
            <w:vAlign w:val="center"/>
          </w:tcPr>
          <w:p w14:paraId="27F22387">
            <w:pPr>
              <w:pStyle w:val="58"/>
              <w:ind w:firstLine="0" w:firstLineChars="0"/>
            </w:pPr>
            <w:r>
              <w:t>商事调解组织名称：</w:t>
            </w:r>
          </w:p>
        </w:tc>
        <w:tc>
          <w:tcPr>
            <w:tcW w:w="3679" w:type="dxa"/>
            <w:vAlign w:val="center"/>
          </w:tcPr>
          <w:p w14:paraId="0F49AF7D">
            <w:pPr>
              <w:pStyle w:val="58"/>
              <w:ind w:firstLine="0" w:firstLineChars="0"/>
            </w:pPr>
            <w:r>
              <w:rPr>
                <w:rFonts w:hint="eastAsia"/>
              </w:rPr>
              <w:t>联系方式：</w:t>
            </w:r>
          </w:p>
        </w:tc>
      </w:tr>
      <w:tr w14:paraId="19BCD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5665" w:type="dxa"/>
            <w:vAlign w:val="center"/>
          </w:tcPr>
          <w:p w14:paraId="17AAB6C3">
            <w:pPr>
              <w:pStyle w:val="58"/>
              <w:ind w:firstLine="0" w:firstLineChars="0"/>
            </w:pPr>
            <w:r>
              <w:t>商事调解员：</w:t>
            </w:r>
          </w:p>
        </w:tc>
        <w:tc>
          <w:tcPr>
            <w:tcW w:w="3679" w:type="dxa"/>
            <w:vAlign w:val="center"/>
          </w:tcPr>
          <w:p w14:paraId="0B320A2B">
            <w:pPr>
              <w:pStyle w:val="58"/>
              <w:ind w:firstLine="0" w:firstLineChars="0"/>
            </w:pPr>
            <w:r>
              <w:rPr>
                <w:rFonts w:hint="eastAsia"/>
              </w:rPr>
              <w:t>联系方式：</w:t>
            </w:r>
          </w:p>
        </w:tc>
      </w:tr>
      <w:tr w14:paraId="63B3A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5665" w:type="dxa"/>
            <w:vAlign w:val="center"/>
          </w:tcPr>
          <w:p w14:paraId="7C9E9FB0">
            <w:pPr>
              <w:pStyle w:val="58"/>
              <w:ind w:firstLine="0" w:firstLineChars="0"/>
            </w:pPr>
            <w:r>
              <w:rPr>
                <w:rFonts w:hint="eastAsia"/>
              </w:rPr>
              <w:t>签署</w:t>
            </w:r>
            <w:r>
              <w:t>日期（</w:t>
            </w:r>
            <w:r>
              <w:rPr>
                <w:rFonts w:hint="eastAsia"/>
              </w:rPr>
              <w:t>商事</w:t>
            </w:r>
            <w:r>
              <w:t>调解员）：</w:t>
            </w:r>
          </w:p>
        </w:tc>
        <w:tc>
          <w:tcPr>
            <w:tcW w:w="3679" w:type="dxa"/>
            <w:vAlign w:val="center"/>
          </w:tcPr>
          <w:p w14:paraId="6C6116C6">
            <w:pPr>
              <w:pStyle w:val="58"/>
              <w:ind w:firstLine="0" w:firstLineChars="0"/>
            </w:pPr>
          </w:p>
        </w:tc>
      </w:tr>
    </w:tbl>
    <w:p w14:paraId="7D8A37FE">
      <w:pPr>
        <w:pStyle w:val="58"/>
        <w:ind w:firstLine="0" w:firstLineChars="0"/>
      </w:pPr>
    </w:p>
    <w:p w14:paraId="3A930D80">
      <w:pPr>
        <w:pStyle w:val="58"/>
        <w:ind w:firstLine="420"/>
      </w:pPr>
      <w:r>
        <w:rPr>
          <w:rFonts w:hint="eastAsia"/>
        </w:rPr>
        <w:t>附注</w:t>
      </w:r>
    </w:p>
    <w:p w14:paraId="3679B5A7">
      <w:pPr>
        <w:pStyle w:val="58"/>
        <w:ind w:firstLine="420"/>
      </w:pPr>
      <w:r>
        <w:rPr>
          <w:rFonts w:hint="eastAsia"/>
        </w:rPr>
        <w:t>1. 本提示书应与《调解须知》《权利义务告知书》同步送达。</w:t>
      </w:r>
    </w:p>
    <w:p w14:paraId="763A8C73">
      <w:pPr>
        <w:pStyle w:val="58"/>
        <w:ind w:firstLine="420"/>
      </w:pPr>
      <w:r>
        <w:rPr>
          <w:rFonts w:hint="eastAsia"/>
        </w:rPr>
        <w:t>2. 涉及上市公司、金融机构等特殊主体的，需特别提示信息披露合规义务。</w:t>
      </w:r>
    </w:p>
    <w:p w14:paraId="3F2B0E3D">
      <w:pPr>
        <w:pStyle w:val="58"/>
        <w:ind w:firstLine="420"/>
      </w:pPr>
      <w:r>
        <w:rPr>
          <w:rFonts w:hint="eastAsia"/>
        </w:rPr>
        <w:t>3. 对格式条款有异议的，可要求商事调解员逐条解释。</w:t>
      </w:r>
    </w:p>
    <w:p w14:paraId="71CE1ABD">
      <w:pPr>
        <w:pStyle w:val="58"/>
        <w:ind w:firstLine="0" w:firstLineChars="0"/>
      </w:pPr>
    </w:p>
    <w:p w14:paraId="0AE4CA09">
      <w:pPr>
        <w:pStyle w:val="58"/>
        <w:spacing w:line="360" w:lineRule="auto"/>
        <w:ind w:firstLine="420"/>
        <w:jc w:val="right"/>
      </w:pPr>
    </w:p>
    <w:p w14:paraId="06277B0A">
      <w:pPr>
        <w:pStyle w:val="58"/>
        <w:ind w:firstLine="0" w:firstLineChars="0"/>
        <w:sectPr>
          <w:headerReference r:id="rId31" w:type="default"/>
          <w:footerReference r:id="rId33" w:type="default"/>
          <w:headerReference r:id="rId32" w:type="even"/>
          <w:footerReference r:id="rId34" w:type="even"/>
          <w:pgSz w:w="11906" w:h="16838"/>
          <w:pgMar w:top="2410" w:right="1134" w:bottom="1134" w:left="1134" w:header="1418" w:footer="1134" w:gutter="284"/>
          <w:cols w:space="425" w:num="1"/>
          <w:formProt w:val="0"/>
          <w:docGrid w:linePitch="312" w:charSpace="0"/>
        </w:sectPr>
      </w:pPr>
    </w:p>
    <w:p w14:paraId="33A7D1DA">
      <w:pPr>
        <w:pStyle w:val="200"/>
        <w:rPr>
          <w:rFonts w:hint="eastAsia"/>
          <w:vanish w:val="0"/>
        </w:rPr>
      </w:pPr>
    </w:p>
    <w:p w14:paraId="482A59E8">
      <w:pPr>
        <w:pStyle w:val="201"/>
        <w:rPr>
          <w:vanish w:val="0"/>
        </w:rPr>
      </w:pPr>
    </w:p>
    <w:p w14:paraId="1BC7FE96">
      <w:pPr>
        <w:pStyle w:val="78"/>
        <w:spacing w:before="60" w:after="120"/>
      </w:pPr>
      <w:r>
        <w:br w:type="textWrapping"/>
      </w:r>
      <w:bookmarkStart w:id="255" w:name="_Toc195600161"/>
      <w:bookmarkStart w:id="256" w:name="_Toc195624296"/>
      <w:bookmarkStart w:id="257" w:name="_Toc196212568"/>
      <w:bookmarkStart w:id="258" w:name="_Toc198629883"/>
      <w:bookmarkStart w:id="259" w:name="_Toc196208228"/>
      <w:bookmarkStart w:id="260" w:name="_Toc196208154"/>
      <w:r>
        <w:rPr>
          <w:rFonts w:hint="eastAsia"/>
        </w:rPr>
        <w:t>（资料性）</w:t>
      </w:r>
      <w:r>
        <w:br w:type="textWrapping"/>
      </w:r>
      <w:bookmarkEnd w:id="255"/>
      <w:bookmarkEnd w:id="256"/>
      <w:r>
        <w:t>信用卡纠纷</w:t>
      </w:r>
      <w:r>
        <w:rPr>
          <w:rFonts w:hint="eastAsia"/>
        </w:rPr>
        <w:t>案件调解申请书</w:t>
      </w:r>
      <w:bookmarkEnd w:id="257"/>
      <w:bookmarkEnd w:id="258"/>
      <w:bookmarkEnd w:id="259"/>
      <w:bookmarkEnd w:id="260"/>
    </w:p>
    <w:p w14:paraId="627E8A25">
      <w:pPr>
        <w:pStyle w:val="58"/>
        <w:ind w:firstLine="562"/>
        <w:jc w:val="center"/>
        <w:rPr>
          <w:b/>
          <w:kern w:val="2"/>
          <w:sz w:val="28"/>
          <w:szCs w:val="21"/>
        </w:rPr>
      </w:pPr>
      <w:r>
        <w:rPr>
          <w:b/>
          <w:sz w:val="28"/>
        </w:rPr>
        <w:t>信用卡纠纷案件调解申请书</w:t>
      </w:r>
    </w:p>
    <w:p w14:paraId="2B869C7D">
      <w:pPr>
        <w:pStyle w:val="58"/>
        <w:ind w:firstLine="420"/>
      </w:pPr>
      <w:r>
        <w:t xml:space="preserve"> </w:t>
      </w:r>
    </w:p>
    <w:p w14:paraId="662E223A">
      <w:pPr>
        <w:pStyle w:val="58"/>
        <w:ind w:firstLine="420"/>
      </w:pPr>
    </w:p>
    <w:p w14:paraId="12E3FB77">
      <w:pPr>
        <w:pStyle w:val="58"/>
        <w:spacing w:line="360" w:lineRule="auto"/>
        <w:ind w:firstLine="0" w:firstLineChars="0"/>
        <w:rPr>
          <w:b/>
        </w:rPr>
      </w:pPr>
      <w:r>
        <w:rPr>
          <w:b/>
        </w:rPr>
        <w:t>一、</w:t>
      </w:r>
      <w:r>
        <w:rPr>
          <w:rFonts w:hint="eastAsia"/>
          <w:b/>
        </w:rPr>
        <w:t>商事调解当事人</w:t>
      </w:r>
    </w:p>
    <w:p w14:paraId="4F32C964">
      <w:pPr>
        <w:pStyle w:val="58"/>
        <w:spacing w:line="360" w:lineRule="auto"/>
        <w:ind w:firstLine="0" w:firstLineChars="0"/>
      </w:pPr>
      <w:r>
        <w:t>姓</w:t>
      </w:r>
      <w:r>
        <w:rPr>
          <w:rFonts w:hint="eastAsia"/>
        </w:rPr>
        <w:t xml:space="preserve">    </w:t>
      </w:r>
      <w:r>
        <w:t xml:space="preserve">名：_________ </w:t>
      </w:r>
    </w:p>
    <w:p w14:paraId="6A64CDE7">
      <w:pPr>
        <w:pStyle w:val="58"/>
        <w:spacing w:line="360" w:lineRule="auto"/>
        <w:ind w:firstLine="0" w:firstLineChars="0"/>
        <w:rPr>
          <w:rFonts w:cs="Calibri"/>
        </w:rPr>
      </w:pPr>
      <w:r>
        <w:t>身份证号：</w:t>
      </w:r>
      <w:r>
        <w:rPr>
          <w:rFonts w:cs="Calibri"/>
        </w:rPr>
        <w:t xml:space="preserve">_________ </w:t>
      </w:r>
    </w:p>
    <w:p w14:paraId="383C092F">
      <w:pPr>
        <w:pStyle w:val="58"/>
        <w:spacing w:line="360" w:lineRule="auto"/>
        <w:ind w:firstLine="0" w:firstLineChars="0"/>
      </w:pPr>
      <w:r>
        <w:rPr>
          <w:rFonts w:hint="eastAsia"/>
          <w:spacing w:val="34"/>
        </w:rPr>
        <w:t>联系方式</w:t>
      </w:r>
      <w:r>
        <w:t>：</w:t>
      </w:r>
      <w:r>
        <w:rPr>
          <w:rFonts w:cs="Calibri"/>
        </w:rPr>
        <w:t xml:space="preserve">_________  </w:t>
      </w:r>
    </w:p>
    <w:p w14:paraId="723929FC">
      <w:pPr>
        <w:pStyle w:val="58"/>
        <w:spacing w:line="360" w:lineRule="auto"/>
        <w:ind w:firstLine="0" w:firstLineChars="0"/>
      </w:pPr>
      <w:r>
        <w:t xml:space="preserve">涉事金融机构：_________ </w:t>
      </w:r>
    </w:p>
    <w:p w14:paraId="160CA78E">
      <w:pPr>
        <w:pStyle w:val="58"/>
        <w:spacing w:line="360" w:lineRule="auto"/>
        <w:ind w:firstLine="0" w:firstLineChars="0"/>
      </w:pPr>
      <w:r>
        <w:t>合同编号：</w:t>
      </w:r>
      <w:r>
        <w:rPr>
          <w:rFonts w:cs="Calibri"/>
        </w:rPr>
        <w:t xml:space="preserve">_________  </w:t>
      </w:r>
    </w:p>
    <w:p w14:paraId="7E84A190">
      <w:pPr>
        <w:pStyle w:val="58"/>
        <w:spacing w:line="360" w:lineRule="auto"/>
        <w:ind w:firstLine="0" w:firstLineChars="0"/>
      </w:pPr>
      <w:r>
        <w:t xml:space="preserve"> </w:t>
      </w:r>
    </w:p>
    <w:p w14:paraId="41370D3F">
      <w:pPr>
        <w:pStyle w:val="58"/>
        <w:spacing w:line="360" w:lineRule="auto"/>
        <w:ind w:firstLine="0" w:firstLineChars="0"/>
        <w:rPr>
          <w:b/>
        </w:rPr>
      </w:pPr>
      <w:r>
        <w:rPr>
          <w:b/>
        </w:rPr>
        <w:t>二、纠纷事实（需包含）</w:t>
      </w:r>
    </w:p>
    <w:p w14:paraId="7803EE25">
      <w:pPr>
        <w:pStyle w:val="58"/>
        <w:spacing w:line="360" w:lineRule="auto"/>
        <w:ind w:firstLine="0" w:firstLineChars="0"/>
      </w:pPr>
      <w:r>
        <w:rPr>
          <w:rFonts w:cs="Calibri"/>
        </w:rPr>
        <w:t xml:space="preserve">□ </w:t>
      </w:r>
      <w:r>
        <w:t>逾期起始日期：</w:t>
      </w:r>
      <w:r>
        <w:rPr>
          <w:rFonts w:cs="Calibri"/>
        </w:rPr>
        <w:t>____</w:t>
      </w:r>
      <w:r>
        <w:t>年</w:t>
      </w:r>
      <w:r>
        <w:rPr>
          <w:rFonts w:cs="Calibri"/>
        </w:rPr>
        <w:t>__</w:t>
      </w:r>
      <w:r>
        <w:t>月</w:t>
      </w:r>
      <w:r>
        <w:rPr>
          <w:rFonts w:cs="Calibri"/>
        </w:rPr>
        <w:t>__</w:t>
      </w:r>
      <w:r>
        <w:t xml:space="preserve">日 </w:t>
      </w:r>
    </w:p>
    <w:p w14:paraId="49D3ED7D">
      <w:pPr>
        <w:pStyle w:val="58"/>
        <w:spacing w:line="360" w:lineRule="auto"/>
        <w:ind w:firstLine="0" w:firstLineChars="0"/>
      </w:pPr>
      <w:r>
        <w:rPr>
          <w:rFonts w:cs="Calibri"/>
        </w:rPr>
        <w:t xml:space="preserve">□ </w:t>
      </w:r>
      <w:r>
        <w:t>当前逾期金额：</w:t>
      </w:r>
      <w:r>
        <w:rPr>
          <w:rFonts w:cs="Calibri"/>
        </w:rPr>
        <w:t>____</w:t>
      </w:r>
      <w:r>
        <w:t xml:space="preserve">元  </w:t>
      </w:r>
    </w:p>
    <w:p w14:paraId="624AAB8D">
      <w:pPr>
        <w:pStyle w:val="58"/>
        <w:spacing w:line="360" w:lineRule="auto"/>
        <w:ind w:firstLine="0" w:firstLineChars="0"/>
      </w:pPr>
      <w:r>
        <w:rPr>
          <w:rFonts w:cs="Calibri"/>
        </w:rPr>
        <w:t xml:space="preserve">□ </w:t>
      </w:r>
      <w:r>
        <w:t>争议焦点：</w:t>
      </w:r>
      <w:r>
        <w:rPr>
          <w:rFonts w:cs="Calibri"/>
        </w:rPr>
        <w:t>□</w:t>
      </w:r>
      <w:r>
        <w:t xml:space="preserve">利率过高 </w:t>
      </w:r>
      <w:r>
        <w:rPr>
          <w:rFonts w:cs="Calibri"/>
        </w:rPr>
        <w:t>□</w:t>
      </w:r>
      <w:r>
        <w:t xml:space="preserve">费用不透明 </w:t>
      </w:r>
      <w:r>
        <w:rPr>
          <w:rFonts w:cs="Calibri"/>
        </w:rPr>
        <w:t>□</w:t>
      </w:r>
      <w:r>
        <w:t xml:space="preserve">还款能力突变 </w:t>
      </w:r>
      <w:r>
        <w:rPr>
          <w:rFonts w:cs="Calibri"/>
        </w:rPr>
        <w:t>□</w:t>
      </w:r>
      <w:r>
        <w:t>其他</w:t>
      </w:r>
      <w:r>
        <w:rPr>
          <w:rFonts w:cs="Calibri"/>
        </w:rPr>
        <w:t xml:space="preserve">_______  </w:t>
      </w:r>
    </w:p>
    <w:p w14:paraId="65A42393">
      <w:pPr>
        <w:pStyle w:val="58"/>
        <w:spacing w:line="360" w:lineRule="auto"/>
        <w:ind w:firstLine="0" w:firstLineChars="0"/>
      </w:pPr>
      <w:r>
        <w:t xml:space="preserve"> </w:t>
      </w:r>
    </w:p>
    <w:p w14:paraId="64F5B90F">
      <w:pPr>
        <w:pStyle w:val="58"/>
        <w:spacing w:line="360" w:lineRule="auto"/>
        <w:ind w:firstLine="0" w:firstLineChars="0"/>
        <w:rPr>
          <w:b/>
        </w:rPr>
      </w:pPr>
      <w:r>
        <w:rPr>
          <w:b/>
        </w:rPr>
        <w:t>三、诉求事项</w:t>
      </w:r>
    </w:p>
    <w:p w14:paraId="41C95B8D">
      <w:pPr>
        <w:pStyle w:val="58"/>
        <w:spacing w:line="360" w:lineRule="auto"/>
        <w:ind w:firstLine="0" w:firstLineChars="0"/>
      </w:pPr>
      <w:r>
        <w:rPr>
          <w:rFonts w:cs="Calibri"/>
        </w:rPr>
        <w:t xml:space="preserve">□ </w:t>
      </w:r>
      <w:r>
        <w:t xml:space="preserve">本金分期 </w:t>
      </w:r>
      <w:r>
        <w:rPr>
          <w:rFonts w:cs="Calibri"/>
        </w:rPr>
        <w:t>□</w:t>
      </w:r>
      <w:r>
        <w:t xml:space="preserve">利息减免 </w:t>
      </w:r>
      <w:r>
        <w:rPr>
          <w:rFonts w:cs="Calibri"/>
        </w:rPr>
        <w:t>□</w:t>
      </w:r>
      <w:r>
        <w:t xml:space="preserve">罚息豁免 </w:t>
      </w:r>
      <w:r>
        <w:rPr>
          <w:rFonts w:cs="Calibri"/>
        </w:rPr>
        <w:t>□</w:t>
      </w:r>
      <w:r>
        <w:t xml:space="preserve">期限延长 </w:t>
      </w:r>
      <w:r>
        <w:rPr>
          <w:rFonts w:cs="Calibri"/>
        </w:rPr>
        <w:t>□</w:t>
      </w:r>
      <w:r>
        <w:t>其他</w:t>
      </w:r>
      <w:r>
        <w:rPr>
          <w:rFonts w:cs="Calibri"/>
        </w:rPr>
        <w:t xml:space="preserve">_______  </w:t>
      </w:r>
    </w:p>
    <w:p w14:paraId="64CA07A9">
      <w:pPr>
        <w:pStyle w:val="58"/>
        <w:spacing w:line="360" w:lineRule="auto"/>
        <w:ind w:firstLine="0" w:firstLineChars="0"/>
      </w:pPr>
      <w:r>
        <w:t xml:space="preserve"> </w:t>
      </w:r>
    </w:p>
    <w:p w14:paraId="3594DDA0">
      <w:pPr>
        <w:pStyle w:val="58"/>
        <w:spacing w:line="360" w:lineRule="auto"/>
        <w:ind w:firstLine="0" w:firstLineChars="0"/>
        <w:rPr>
          <w:b/>
        </w:rPr>
      </w:pPr>
      <w:r>
        <w:rPr>
          <w:rFonts w:hint="eastAsia"/>
          <w:b/>
        </w:rPr>
        <w:t>四</w:t>
      </w:r>
      <w:r>
        <w:rPr>
          <w:b/>
        </w:rPr>
        <w:t>、附件材料</w:t>
      </w:r>
    </w:p>
    <w:p w14:paraId="2B0706F0">
      <w:pPr>
        <w:pStyle w:val="58"/>
        <w:spacing w:line="360" w:lineRule="auto"/>
        <w:ind w:firstLine="0" w:firstLineChars="0"/>
      </w:pPr>
      <w:r>
        <w:rPr>
          <w:rFonts w:cs="Calibri"/>
        </w:rPr>
        <w:t xml:space="preserve">□ </w:t>
      </w:r>
      <w:r>
        <w:t xml:space="preserve">身份证明 </w:t>
      </w:r>
      <w:r>
        <w:rPr>
          <w:rFonts w:cs="Calibri"/>
        </w:rPr>
        <w:t>□</w:t>
      </w:r>
      <w:r>
        <w:t xml:space="preserve">收入证明 </w:t>
      </w:r>
      <w:r>
        <w:rPr>
          <w:rFonts w:cs="Calibri"/>
        </w:rPr>
        <w:t>□</w:t>
      </w:r>
      <w:r>
        <w:t xml:space="preserve">医疗诊断书（如有） </w:t>
      </w:r>
      <w:r>
        <w:rPr>
          <w:rFonts w:cs="Calibri"/>
        </w:rPr>
        <w:t>□</w:t>
      </w:r>
      <w:r>
        <w:t>其他</w:t>
      </w:r>
      <w:r>
        <w:rPr>
          <w:rFonts w:cs="Calibri"/>
        </w:rPr>
        <w:t xml:space="preserve">_______  </w:t>
      </w:r>
    </w:p>
    <w:p w14:paraId="47A1E76D">
      <w:pPr>
        <w:pStyle w:val="58"/>
        <w:ind w:firstLine="420"/>
      </w:pPr>
    </w:p>
    <w:p w14:paraId="293809F4">
      <w:pPr>
        <w:pStyle w:val="58"/>
        <w:ind w:firstLine="420"/>
      </w:pPr>
    </w:p>
    <w:p w14:paraId="65E2A8CF">
      <w:pPr>
        <w:pStyle w:val="58"/>
        <w:ind w:firstLine="420"/>
      </w:pPr>
    </w:p>
    <w:p w14:paraId="4372FEDE">
      <w:pPr>
        <w:pStyle w:val="58"/>
        <w:ind w:firstLine="0" w:firstLineChars="0"/>
        <w:sectPr>
          <w:headerReference r:id="rId35" w:type="default"/>
          <w:footerReference r:id="rId37" w:type="default"/>
          <w:headerReference r:id="rId36" w:type="even"/>
          <w:footerReference r:id="rId38" w:type="even"/>
          <w:pgSz w:w="11906" w:h="16838"/>
          <w:pgMar w:top="2410" w:right="1134" w:bottom="1134" w:left="1134" w:header="1418" w:footer="1134" w:gutter="284"/>
          <w:cols w:space="425" w:num="1"/>
          <w:formProt w:val="0"/>
          <w:docGrid w:linePitch="312" w:charSpace="0"/>
        </w:sectPr>
      </w:pPr>
    </w:p>
    <w:p w14:paraId="2DA8532E">
      <w:pPr>
        <w:pStyle w:val="200"/>
        <w:rPr>
          <w:rFonts w:hint="eastAsia"/>
          <w:vanish w:val="0"/>
        </w:rPr>
      </w:pPr>
    </w:p>
    <w:p w14:paraId="2D8BDEF5">
      <w:pPr>
        <w:pStyle w:val="201"/>
        <w:rPr>
          <w:vanish w:val="0"/>
        </w:rPr>
      </w:pPr>
    </w:p>
    <w:p w14:paraId="69F52F46">
      <w:pPr>
        <w:pStyle w:val="78"/>
        <w:spacing w:before="60" w:after="120"/>
      </w:pPr>
      <w:r>
        <w:br w:type="textWrapping"/>
      </w:r>
      <w:bookmarkStart w:id="261" w:name="_Toc195600162"/>
      <w:bookmarkStart w:id="262" w:name="_Toc195624297"/>
      <w:bookmarkStart w:id="263" w:name="_Toc196208155"/>
      <w:bookmarkStart w:id="264" w:name="_Toc196212569"/>
      <w:bookmarkStart w:id="265" w:name="_Toc198629884"/>
      <w:bookmarkStart w:id="266" w:name="_Toc196208229"/>
      <w:r>
        <w:rPr>
          <w:rFonts w:hint="eastAsia"/>
        </w:rPr>
        <w:t>（资料性）</w:t>
      </w:r>
      <w:r>
        <w:br w:type="textWrapping"/>
      </w:r>
      <w:bookmarkEnd w:id="261"/>
      <w:bookmarkEnd w:id="262"/>
      <w:r>
        <w:t>信用卡纠纷</w:t>
      </w:r>
      <w:r>
        <w:rPr>
          <w:rFonts w:hint="eastAsia"/>
        </w:rPr>
        <w:t>案件调解协议书</w:t>
      </w:r>
      <w:bookmarkEnd w:id="263"/>
      <w:bookmarkEnd w:id="264"/>
      <w:bookmarkEnd w:id="265"/>
      <w:bookmarkEnd w:id="266"/>
    </w:p>
    <w:p w14:paraId="7E237B33">
      <w:pPr>
        <w:pStyle w:val="58"/>
        <w:ind w:firstLine="562"/>
        <w:jc w:val="center"/>
        <w:rPr>
          <w:b/>
          <w:sz w:val="28"/>
        </w:rPr>
      </w:pPr>
      <w:r>
        <w:rPr>
          <w:b/>
          <w:sz w:val="28"/>
        </w:rPr>
        <w:t>信用卡纠纷案件调解协议书</w:t>
      </w:r>
    </w:p>
    <w:p w14:paraId="323A4D83">
      <w:pPr>
        <w:jc w:val="right"/>
      </w:pPr>
      <w:r>
        <w:t xml:space="preserve"> </w:t>
      </w:r>
      <w:r>
        <w:rPr>
          <w:rFonts w:hint="eastAsia"/>
        </w:rPr>
        <w:t>深</w:t>
      </w:r>
      <w:r>
        <w:rPr>
          <w:rFonts w:hint="eastAsia"/>
          <w:u w:val="single"/>
        </w:rPr>
        <w:t xml:space="preserve">   </w:t>
      </w:r>
      <w:r>
        <w:rPr>
          <w:rFonts w:hint="eastAsia"/>
        </w:rPr>
        <w:t>商事</w:t>
      </w:r>
      <w:r>
        <w:rPr>
          <w:rFonts w:hint="eastAsia"/>
          <w:u w:val="single"/>
        </w:rPr>
        <w:t>（ ）</w:t>
      </w:r>
      <w:r>
        <w:rPr>
          <w:rFonts w:hint="eastAsia"/>
        </w:rPr>
        <w:t>调</w:t>
      </w:r>
      <w:r>
        <w:rPr>
          <w:rFonts w:hint="eastAsia"/>
          <w:u w:val="single"/>
        </w:rPr>
        <w:t xml:space="preserve">   </w:t>
      </w:r>
      <w:r>
        <w:rPr>
          <w:rFonts w:hint="eastAsia"/>
        </w:rPr>
        <w:t>号</w:t>
      </w:r>
    </w:p>
    <w:p w14:paraId="01BC6958"/>
    <w:p w14:paraId="342204C6">
      <w:r>
        <w:rPr>
          <w:rFonts w:ascii="宋体" w:hAnsi="宋体"/>
        </w:rPr>
        <w:t>编号：</w:t>
      </w:r>
      <w:r>
        <w:t xml:space="preserve">_________                           </w:t>
      </w:r>
      <w:r>
        <w:rPr>
          <w:rFonts w:ascii="宋体" w:hAnsi="宋体"/>
        </w:rPr>
        <w:t>调解日期：</w:t>
      </w:r>
      <w:r>
        <w:rPr>
          <w:rFonts w:cs="Calibri"/>
        </w:rPr>
        <w:t>____</w:t>
      </w:r>
      <w:r>
        <w:rPr>
          <w:rFonts w:ascii="宋体" w:hAnsi="宋体"/>
        </w:rPr>
        <w:t>年</w:t>
      </w:r>
      <w:r>
        <w:rPr>
          <w:rFonts w:cs="Calibri"/>
        </w:rPr>
        <w:t>__</w:t>
      </w:r>
      <w:r>
        <w:rPr>
          <w:rFonts w:ascii="宋体" w:hAnsi="宋体"/>
        </w:rPr>
        <w:t>月</w:t>
      </w:r>
      <w:r>
        <w:rPr>
          <w:rFonts w:cs="Calibri"/>
        </w:rPr>
        <w:t>__</w:t>
      </w:r>
      <w:r>
        <w:rPr>
          <w:rFonts w:ascii="宋体" w:hAnsi="宋体"/>
        </w:rPr>
        <w:t xml:space="preserve">日  </w:t>
      </w:r>
    </w:p>
    <w:p w14:paraId="181DF56E">
      <w:r>
        <w:t xml:space="preserve"> </w:t>
      </w:r>
    </w:p>
    <w:p w14:paraId="505D2ABE">
      <w:r>
        <w:rPr>
          <w:rFonts w:hint="eastAsia" w:ascii="宋体" w:hAnsi="宋体"/>
        </w:rPr>
        <w:t>商事调解</w:t>
      </w:r>
      <w:r>
        <w:rPr>
          <w:rFonts w:ascii="宋体" w:hAnsi="宋体"/>
        </w:rPr>
        <w:t xml:space="preserve">当事人：  </w:t>
      </w:r>
    </w:p>
    <w:p w14:paraId="213D9431">
      <w:r>
        <w:rPr>
          <w:rFonts w:ascii="宋体" w:hAnsi="宋体"/>
        </w:rPr>
        <w:t>甲方（出借方）：</w:t>
      </w:r>
      <w:r>
        <w:t xml:space="preserve">________________________  </w:t>
      </w:r>
    </w:p>
    <w:p w14:paraId="526AD51F">
      <w:r>
        <w:rPr>
          <w:rFonts w:ascii="宋体" w:hAnsi="宋体"/>
        </w:rPr>
        <w:t>乙方（借款方）：</w:t>
      </w:r>
      <w:r>
        <w:t xml:space="preserve">________________________  </w:t>
      </w:r>
    </w:p>
    <w:p w14:paraId="677EDE60">
      <w:r>
        <w:t xml:space="preserve"> </w:t>
      </w:r>
    </w:p>
    <w:p w14:paraId="0925FA18">
      <w:r>
        <w:rPr>
          <w:rFonts w:ascii="宋体" w:hAnsi="宋体"/>
        </w:rPr>
        <w:t xml:space="preserve">协议条款：  </w:t>
      </w:r>
    </w:p>
    <w:p w14:paraId="10F82FCE">
      <w:r>
        <w:t xml:space="preserve">1. </w:t>
      </w:r>
      <w:r>
        <w:rPr>
          <w:rFonts w:ascii="宋体" w:hAnsi="宋体"/>
        </w:rPr>
        <w:t>债务确认：截至</w:t>
      </w:r>
      <w:r>
        <w:rPr>
          <w:rFonts w:cs="Calibri"/>
        </w:rPr>
        <w:t>____</w:t>
      </w:r>
      <w:r>
        <w:rPr>
          <w:rFonts w:ascii="宋体" w:hAnsi="宋体"/>
        </w:rPr>
        <w:t>年</w:t>
      </w:r>
      <w:r>
        <w:rPr>
          <w:rFonts w:cs="Calibri"/>
        </w:rPr>
        <w:t>__</w:t>
      </w:r>
      <w:r>
        <w:rPr>
          <w:rFonts w:ascii="宋体" w:hAnsi="宋体"/>
        </w:rPr>
        <w:t>月</w:t>
      </w:r>
      <w:r>
        <w:rPr>
          <w:rFonts w:cs="Calibri"/>
        </w:rPr>
        <w:t>__</w:t>
      </w:r>
      <w:r>
        <w:rPr>
          <w:rFonts w:ascii="宋体" w:hAnsi="宋体"/>
        </w:rPr>
        <w:t>日，乙方尚欠本金</w:t>
      </w:r>
      <w:r>
        <w:rPr>
          <w:rFonts w:cs="Calibri"/>
        </w:rPr>
        <w:t>____</w:t>
      </w:r>
      <w:r>
        <w:rPr>
          <w:rFonts w:ascii="宋体" w:hAnsi="宋体"/>
        </w:rPr>
        <w:t>元、利息</w:t>
      </w:r>
      <w:r>
        <w:rPr>
          <w:rFonts w:cs="Calibri"/>
        </w:rPr>
        <w:t>____</w:t>
      </w:r>
      <w:r>
        <w:rPr>
          <w:rFonts w:ascii="宋体" w:hAnsi="宋体"/>
        </w:rPr>
        <w:t xml:space="preserve">元。  </w:t>
      </w:r>
    </w:p>
    <w:p w14:paraId="1C4EB772">
      <w:r>
        <w:t xml:space="preserve">2. </w:t>
      </w:r>
      <w:r>
        <w:rPr>
          <w:rFonts w:ascii="宋体" w:hAnsi="宋体"/>
        </w:rPr>
        <w:t xml:space="preserve">履行方案：  </w:t>
      </w:r>
    </w:p>
    <w:p w14:paraId="12E06071">
      <w:r>
        <w:t xml:space="preserve">   - </w:t>
      </w:r>
      <w:r>
        <w:rPr>
          <w:rFonts w:ascii="宋体" w:hAnsi="宋体"/>
        </w:rPr>
        <w:t>分</w:t>
      </w:r>
      <w:r>
        <w:rPr>
          <w:rFonts w:cs="Calibri"/>
        </w:rPr>
        <w:t>____</w:t>
      </w:r>
      <w:r>
        <w:rPr>
          <w:rFonts w:ascii="宋体" w:hAnsi="宋体"/>
        </w:rPr>
        <w:t>期偿还，每期金额</w:t>
      </w:r>
      <w:r>
        <w:rPr>
          <w:rFonts w:cs="Calibri"/>
        </w:rPr>
        <w:t>____</w:t>
      </w:r>
      <w:r>
        <w:rPr>
          <w:rFonts w:ascii="宋体" w:hAnsi="宋体"/>
        </w:rPr>
        <w:t>元（自</w:t>
      </w:r>
      <w:r>
        <w:rPr>
          <w:rFonts w:cs="Calibri"/>
        </w:rPr>
        <w:t>____</w:t>
      </w:r>
      <w:r>
        <w:rPr>
          <w:rFonts w:ascii="宋体" w:hAnsi="宋体"/>
        </w:rPr>
        <w:t>年</w:t>
      </w:r>
      <w:r>
        <w:rPr>
          <w:rFonts w:cs="Calibri"/>
        </w:rPr>
        <w:t>__</w:t>
      </w:r>
      <w:r>
        <w:rPr>
          <w:rFonts w:ascii="宋体" w:hAnsi="宋体"/>
        </w:rPr>
        <w:t>月起至</w:t>
      </w:r>
      <w:r>
        <w:rPr>
          <w:rFonts w:cs="Calibri"/>
        </w:rPr>
        <w:t>____</w:t>
      </w:r>
      <w:r>
        <w:rPr>
          <w:rFonts w:ascii="宋体" w:hAnsi="宋体"/>
        </w:rPr>
        <w:t>年</w:t>
      </w:r>
      <w:r>
        <w:rPr>
          <w:rFonts w:cs="Calibri"/>
        </w:rPr>
        <w:t>__</w:t>
      </w:r>
      <w:r>
        <w:rPr>
          <w:rFonts w:ascii="宋体" w:hAnsi="宋体"/>
        </w:rPr>
        <w:t xml:space="preserve">月止）  </w:t>
      </w:r>
    </w:p>
    <w:p w14:paraId="44E0823A">
      <w:r>
        <w:t xml:space="preserve">   - </w:t>
      </w:r>
      <w:r>
        <w:rPr>
          <w:rFonts w:ascii="宋体" w:hAnsi="宋体"/>
        </w:rPr>
        <w:t>利息减免幅度：原利率</w:t>
      </w:r>
      <w:r>
        <w:rPr>
          <w:rFonts w:cs="Calibri"/>
        </w:rPr>
        <w:t>__%</w:t>
      </w:r>
      <w:r>
        <w:rPr>
          <w:rFonts w:ascii="宋体" w:hAnsi="宋体"/>
        </w:rPr>
        <w:t>调整为</w:t>
      </w:r>
      <w:r>
        <w:rPr>
          <w:rFonts w:cs="Calibri"/>
        </w:rPr>
        <w:t xml:space="preserve">__%  </w:t>
      </w:r>
    </w:p>
    <w:p w14:paraId="73F0C73B">
      <w:r>
        <w:t xml:space="preserve">3. </w:t>
      </w:r>
      <w:r>
        <w:rPr>
          <w:rFonts w:ascii="宋体" w:hAnsi="宋体"/>
        </w:rPr>
        <w:t xml:space="preserve">特别约定：  </w:t>
      </w:r>
    </w:p>
    <w:p w14:paraId="77180C4E">
      <w:r>
        <w:t xml:space="preserve">   </w:t>
      </w:r>
      <w:r>
        <w:rPr>
          <w:rFonts w:cs="Calibri"/>
        </w:rPr>
        <w:t xml:space="preserve">□ </w:t>
      </w:r>
      <w:r>
        <w:rPr>
          <w:rFonts w:ascii="宋体" w:hAnsi="宋体"/>
        </w:rPr>
        <w:t>逾期超过</w:t>
      </w:r>
      <w:r>
        <w:rPr>
          <w:rFonts w:cs="Calibri"/>
        </w:rPr>
        <w:t>15</w:t>
      </w:r>
      <w:r>
        <w:rPr>
          <w:rFonts w:ascii="宋体" w:hAnsi="宋体"/>
        </w:rPr>
        <w:t xml:space="preserve">日则恢复原合同条款执行  </w:t>
      </w:r>
    </w:p>
    <w:p w14:paraId="709CFF80">
      <w:r>
        <w:t xml:space="preserve">   </w:t>
      </w:r>
      <w:r>
        <w:rPr>
          <w:rFonts w:cs="Calibri"/>
        </w:rPr>
        <w:t xml:space="preserve">□ </w:t>
      </w:r>
      <w:r>
        <w:rPr>
          <w:rFonts w:ascii="宋体" w:hAnsi="宋体"/>
        </w:rPr>
        <w:t xml:space="preserve">司法确认后可申请强制执行  </w:t>
      </w:r>
    </w:p>
    <w:p w14:paraId="5202B262">
      <w:r>
        <w:t xml:space="preserve">4. </w:t>
      </w:r>
      <w:r>
        <w:rPr>
          <w:rFonts w:ascii="宋体" w:hAnsi="宋体"/>
        </w:rPr>
        <w:t>争议解决：向</w:t>
      </w:r>
      <w:r>
        <w:rPr>
          <w:rFonts w:cs="Calibri"/>
        </w:rPr>
        <w:t>_________</w:t>
      </w:r>
      <w:r>
        <w:rPr>
          <w:rFonts w:ascii="宋体" w:hAnsi="宋体"/>
        </w:rPr>
        <w:t xml:space="preserve">法院申请司法确认  </w:t>
      </w:r>
    </w:p>
    <w:p w14:paraId="4C822E32">
      <w:r>
        <w:t xml:space="preserve"> </w:t>
      </w:r>
    </w:p>
    <w:p w14:paraId="393310C7">
      <w:r>
        <w:rPr>
          <w:rFonts w:ascii="宋体" w:hAnsi="宋体"/>
        </w:rPr>
        <w:t>甲方（盖章）：</w:t>
      </w:r>
      <w:r>
        <w:t xml:space="preserve">_________                 </w:t>
      </w:r>
      <w:r>
        <w:rPr>
          <w:rFonts w:ascii="宋体" w:hAnsi="宋体"/>
        </w:rPr>
        <w:t>乙方（签字）：</w:t>
      </w:r>
      <w:r>
        <w:rPr>
          <w:rFonts w:cs="Calibri"/>
        </w:rPr>
        <w:t xml:space="preserve">_________  </w:t>
      </w:r>
    </w:p>
    <w:p w14:paraId="7717693F">
      <w:r>
        <w:rPr>
          <w:rFonts w:hint="eastAsia" w:ascii="宋体" w:hAnsi="宋体"/>
        </w:rPr>
        <w:t>商事</w:t>
      </w:r>
      <w:r>
        <w:rPr>
          <w:rFonts w:ascii="宋体" w:hAnsi="宋体"/>
        </w:rPr>
        <w:t>调解员</w:t>
      </w:r>
      <w:r>
        <w:rPr>
          <w:rFonts w:hint="eastAsia" w:ascii="宋体" w:hAnsi="宋体"/>
        </w:rPr>
        <w:t>（签字）</w:t>
      </w:r>
      <w:r>
        <w:rPr>
          <w:rFonts w:ascii="宋体" w:hAnsi="宋体"/>
        </w:rPr>
        <w:t>：</w:t>
      </w:r>
      <w:r>
        <w:t xml:space="preserve">_________                      </w:t>
      </w:r>
      <w:r>
        <w:rPr>
          <w:rFonts w:hint="eastAsia"/>
        </w:rPr>
        <w:t>商事</w:t>
      </w:r>
      <w:r>
        <w:rPr>
          <w:rFonts w:ascii="宋体" w:hAnsi="宋体"/>
        </w:rPr>
        <w:t>调解组织（盖章）：</w:t>
      </w:r>
      <w:r>
        <w:rPr>
          <w:rFonts w:cs="Calibri"/>
        </w:rPr>
        <w:t xml:space="preserve">_________  </w:t>
      </w:r>
    </w:p>
    <w:p w14:paraId="582D969D"/>
    <w:p w14:paraId="67F7E145">
      <w:pPr>
        <w:pStyle w:val="181"/>
      </w:pPr>
      <w:r>
        <w:t>协议书应载明</w:t>
      </w:r>
      <w:r>
        <w:rPr>
          <w:rFonts w:hint="eastAsia"/>
        </w:rPr>
        <w:t>“</w:t>
      </w:r>
      <w:r>
        <w:t>本协议不影响</w:t>
      </w:r>
      <w:r>
        <w:rPr>
          <w:rFonts w:hint="eastAsia"/>
        </w:rPr>
        <w:t>商事调解</w:t>
      </w:r>
      <w:r>
        <w:t>当事人追究金融诈骗刑事责任的权利</w:t>
      </w:r>
      <w:r>
        <w:rPr>
          <w:rFonts w:hint="eastAsia"/>
        </w:rPr>
        <w:t>”</w:t>
      </w:r>
      <w:r>
        <w:t>。</w:t>
      </w:r>
    </w:p>
    <w:p w14:paraId="2B8A04E9">
      <w:pPr>
        <w:pStyle w:val="58"/>
        <w:ind w:firstLine="420"/>
      </w:pPr>
    </w:p>
    <w:p w14:paraId="68EB273F">
      <w:pPr>
        <w:pStyle w:val="58"/>
        <w:ind w:firstLine="420"/>
      </w:pPr>
    </w:p>
    <w:p w14:paraId="204D9C77">
      <w:pPr>
        <w:pStyle w:val="58"/>
        <w:ind w:firstLine="420"/>
      </w:pPr>
    </w:p>
    <w:p w14:paraId="5C784F61">
      <w:pPr>
        <w:pStyle w:val="58"/>
        <w:ind w:firstLine="420"/>
      </w:pPr>
    </w:p>
    <w:p w14:paraId="0E8A2764">
      <w:pPr>
        <w:pStyle w:val="58"/>
        <w:ind w:firstLine="420"/>
      </w:pPr>
    </w:p>
    <w:p w14:paraId="6515D110">
      <w:pPr>
        <w:pStyle w:val="58"/>
        <w:ind w:firstLine="0" w:firstLineChars="0"/>
        <w:sectPr>
          <w:headerReference r:id="rId39" w:type="default"/>
          <w:footerReference r:id="rId41" w:type="default"/>
          <w:headerReference r:id="rId40" w:type="even"/>
          <w:footerReference r:id="rId42" w:type="even"/>
          <w:pgSz w:w="11906" w:h="16838"/>
          <w:pgMar w:top="2410" w:right="1134" w:bottom="1134" w:left="1134" w:header="1418" w:footer="1134" w:gutter="284"/>
          <w:cols w:space="425" w:num="1"/>
          <w:formProt w:val="0"/>
          <w:docGrid w:linePitch="312" w:charSpace="0"/>
        </w:sectPr>
      </w:pPr>
    </w:p>
    <w:p w14:paraId="11023353">
      <w:pPr>
        <w:pStyle w:val="200"/>
        <w:rPr>
          <w:rFonts w:hint="eastAsia"/>
          <w:vanish w:val="0"/>
        </w:rPr>
      </w:pPr>
    </w:p>
    <w:p w14:paraId="1C77A8D5">
      <w:pPr>
        <w:pStyle w:val="201"/>
        <w:rPr>
          <w:vanish w:val="0"/>
        </w:rPr>
      </w:pPr>
    </w:p>
    <w:p w14:paraId="3594B744">
      <w:pPr>
        <w:pStyle w:val="78"/>
        <w:spacing w:before="60" w:after="120"/>
      </w:pPr>
      <w:r>
        <w:br w:type="textWrapping"/>
      </w:r>
      <w:bookmarkStart w:id="267" w:name="_Toc196212570"/>
      <w:bookmarkStart w:id="268" w:name="_Toc198629885"/>
      <w:bookmarkStart w:id="269" w:name="_Toc196208230"/>
      <w:bookmarkStart w:id="270" w:name="_Toc195624298"/>
      <w:bookmarkStart w:id="271" w:name="_Toc196208156"/>
      <w:bookmarkStart w:id="272" w:name="_Toc195600163"/>
      <w:r>
        <w:rPr>
          <w:rFonts w:hint="eastAsia"/>
        </w:rPr>
        <w:t>（资料性）</w:t>
      </w:r>
      <w:r>
        <w:br w:type="textWrapping"/>
      </w:r>
      <w:r>
        <w:rPr>
          <w:rFonts w:hint="eastAsia"/>
        </w:rPr>
        <w:t>电子证据固化报告（模板）</w:t>
      </w:r>
      <w:bookmarkEnd w:id="267"/>
      <w:bookmarkEnd w:id="268"/>
      <w:bookmarkEnd w:id="269"/>
      <w:bookmarkEnd w:id="270"/>
      <w:bookmarkEnd w:id="271"/>
      <w:bookmarkEnd w:id="272"/>
    </w:p>
    <w:p w14:paraId="254774E9">
      <w:pPr>
        <w:pStyle w:val="58"/>
        <w:ind w:firstLine="420"/>
      </w:pPr>
    </w:p>
    <w:p w14:paraId="415CD3E1">
      <w:pPr>
        <w:pStyle w:val="58"/>
        <w:ind w:firstLine="562"/>
        <w:jc w:val="center"/>
        <w:rPr>
          <w:b/>
          <w:sz w:val="28"/>
        </w:rPr>
      </w:pPr>
      <w:r>
        <w:rPr>
          <w:rFonts w:hint="eastAsia"/>
          <w:b/>
          <w:sz w:val="28"/>
        </w:rPr>
        <w:t>区块链存证报告</w:t>
      </w:r>
    </w:p>
    <w:p w14:paraId="21393249">
      <w:pPr>
        <w:pStyle w:val="58"/>
        <w:ind w:firstLine="420"/>
      </w:pPr>
    </w:p>
    <w:p w14:paraId="2A4AE24D">
      <w:pPr>
        <w:pStyle w:val="58"/>
        <w:ind w:firstLine="420"/>
      </w:pPr>
    </w:p>
    <w:p w14:paraId="15D87E44">
      <w:pPr>
        <w:pStyle w:val="58"/>
        <w:spacing w:line="360" w:lineRule="auto"/>
        <w:ind w:firstLine="420"/>
      </w:pPr>
      <w:r>
        <w:rPr>
          <w:rFonts w:hint="eastAsia"/>
        </w:rPr>
        <w:t>存证主体：_____________</w:t>
      </w:r>
    </w:p>
    <w:p w14:paraId="2D70A576">
      <w:pPr>
        <w:pStyle w:val="58"/>
        <w:spacing w:line="360" w:lineRule="auto"/>
        <w:ind w:firstLine="420"/>
      </w:pPr>
      <w:r>
        <w:rPr>
          <w:rFonts w:hint="eastAsia"/>
        </w:rPr>
        <w:t>存证时间：______年____月____日 ____时____分</w:t>
      </w:r>
    </w:p>
    <w:p w14:paraId="55886088">
      <w:pPr>
        <w:pStyle w:val="58"/>
        <w:spacing w:line="360" w:lineRule="auto"/>
        <w:ind w:firstLine="420"/>
      </w:pPr>
      <w:r>
        <w:rPr>
          <w:rFonts w:hint="eastAsia"/>
        </w:rPr>
        <w:t>哈希算法：SHA-256</w:t>
      </w:r>
    </w:p>
    <w:p w14:paraId="6BEC11E0">
      <w:pPr>
        <w:pStyle w:val="58"/>
        <w:spacing w:line="360" w:lineRule="auto"/>
        <w:ind w:firstLine="420"/>
      </w:pPr>
      <w:r>
        <w:rPr>
          <w:rFonts w:hint="eastAsia"/>
        </w:rPr>
        <w:t>区块链平台：_________（司法链接口验证码：_________）</w:t>
      </w:r>
    </w:p>
    <w:p w14:paraId="5A76C1B9">
      <w:pPr>
        <w:pStyle w:val="58"/>
        <w:spacing w:line="360" w:lineRule="auto"/>
        <w:ind w:firstLine="420"/>
      </w:pPr>
      <w:r>
        <w:rPr>
          <w:rFonts w:hint="eastAsia"/>
        </w:rPr>
        <w:t>数据摘要：</w:t>
      </w:r>
    </w:p>
    <w:p w14:paraId="18F2C015">
      <w:pPr>
        <w:pStyle w:val="58"/>
        <w:spacing w:line="360" w:lineRule="auto"/>
        <w:ind w:firstLine="420"/>
      </w:pPr>
      <w:r>
        <w:rPr>
          <w:rFonts w:hint="eastAsia"/>
        </w:rPr>
        <w:t>- 合同签署IP地址：_____________________________</w:t>
      </w:r>
    </w:p>
    <w:p w14:paraId="33BFB25B">
      <w:pPr>
        <w:pStyle w:val="58"/>
        <w:spacing w:line="360" w:lineRule="auto"/>
        <w:ind w:firstLine="420"/>
      </w:pPr>
      <w:r>
        <w:rPr>
          <w:rFonts w:hint="eastAsia"/>
        </w:rPr>
        <w:t>- 设备类型：___________________________________</w:t>
      </w:r>
    </w:p>
    <w:p w14:paraId="5C2A26E5">
      <w:pPr>
        <w:pStyle w:val="58"/>
        <w:spacing w:line="360" w:lineRule="auto"/>
        <w:ind w:firstLine="420"/>
      </w:pPr>
      <w:r>
        <w:rPr>
          <w:rFonts w:hint="eastAsia"/>
        </w:rPr>
        <w:t>- 网络环境：___________________________________</w:t>
      </w:r>
    </w:p>
    <w:p w14:paraId="5823173A">
      <w:pPr>
        <w:pStyle w:val="58"/>
        <w:spacing w:line="360" w:lineRule="auto"/>
        <w:ind w:firstLine="420"/>
      </w:pPr>
    </w:p>
    <w:p w14:paraId="553EE575">
      <w:pPr>
        <w:pStyle w:val="58"/>
        <w:ind w:firstLine="420"/>
      </w:pPr>
    </w:p>
    <w:bookmarkEnd w:id="246"/>
    <w:p w14:paraId="68F5AE17">
      <w:pPr>
        <w:pStyle w:val="58"/>
        <w:ind w:firstLine="0" w:firstLineChars="0"/>
      </w:pPr>
    </w:p>
    <w:sectPr>
      <w:headerReference r:id="rId43" w:type="default"/>
      <w:footerReference r:id="rId45" w:type="default"/>
      <w:headerReference r:id="rId44" w:type="even"/>
      <w:footerReference r:id="rId46"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9269A">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D223E">
    <w:pPr>
      <w:pStyle w:val="54"/>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CA409">
    <w:pPr>
      <w:pStyle w:val="53"/>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B7509">
    <w:pPr>
      <w:pStyle w:val="54"/>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3D43D">
    <w:pPr>
      <w:pStyle w:val="53"/>
    </w:pPr>
    <w:r>
      <w:fldChar w:fldCharType="begin"/>
    </w:r>
    <w:r>
      <w:instrText xml:space="preserve"> PAGE   \* MERGEFORMAT \* MERGEFORMAT </w:instrText>
    </w:r>
    <w:r>
      <w:fldChar w:fldCharType="separate"/>
    </w:r>
    <w:r>
      <w:t>6</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B479D">
    <w:pPr>
      <w:pStyle w:val="54"/>
    </w:pPr>
    <w:r>
      <w:fldChar w:fldCharType="begin"/>
    </w:r>
    <w:r>
      <w:instrText xml:space="preserve">PAGE   \* MERGEFORMAT</w:instrText>
    </w:r>
    <w:r>
      <w:fldChar w:fldCharType="separate"/>
    </w:r>
    <w:r>
      <w:rPr>
        <w:lang w:val="zh-CN"/>
      </w:rPr>
      <w:t>9</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D6A5A">
    <w:pPr>
      <w:pStyle w:val="53"/>
    </w:pPr>
    <w:r>
      <w:fldChar w:fldCharType="begin"/>
    </w:r>
    <w:r>
      <w:instrText xml:space="preserve"> PAGE   \* MERGEFORMAT \* MERGEFORMAT </w:instrText>
    </w:r>
    <w:r>
      <w:fldChar w:fldCharType="separate"/>
    </w:r>
    <w:r>
      <w:t>8</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E1BB4">
    <w:pPr>
      <w:pStyle w:val="54"/>
    </w:pPr>
    <w:r>
      <w:fldChar w:fldCharType="begin"/>
    </w:r>
    <w:r>
      <w:instrText xml:space="preserve">PAGE   \* MERGEFORMAT</w:instrText>
    </w:r>
    <w:r>
      <w:fldChar w:fldCharType="separate"/>
    </w:r>
    <w:r>
      <w:rPr>
        <w:lang w:val="zh-CN"/>
      </w:rPr>
      <w:t>11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48DCD">
    <w:pPr>
      <w:pStyle w:val="53"/>
    </w:pPr>
    <w:r>
      <w:fldChar w:fldCharType="begin"/>
    </w:r>
    <w:r>
      <w:instrText xml:space="preserve"> PAGE   \* MERGEFORMAT \* MERGEFORMAT </w:instrText>
    </w:r>
    <w:r>
      <w:fldChar w:fldCharType="separate"/>
    </w:r>
    <w:r>
      <w:t>9</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ED765">
    <w:pPr>
      <w:pStyle w:val="54"/>
    </w:pPr>
    <w:r>
      <w:fldChar w:fldCharType="begin"/>
    </w:r>
    <w:r>
      <w:instrText xml:space="preserve">PAGE   \* MERGEFORMAT</w:instrText>
    </w:r>
    <w:r>
      <w:fldChar w:fldCharType="separate"/>
    </w:r>
    <w:r>
      <w:rPr>
        <w:lang w:val="zh-CN"/>
      </w:rPr>
      <w:t>13</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19747">
    <w:pPr>
      <w:pStyle w:val="53"/>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046B9">
    <w:pPr>
      <w:pStyle w:val="18"/>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2A8DD">
    <w:pPr>
      <w:pStyle w:val="54"/>
    </w:pPr>
    <w:r>
      <w:fldChar w:fldCharType="begin"/>
    </w:r>
    <w:r>
      <w:instrText xml:space="preserve">PAGE   \* MERGEFORMAT</w:instrText>
    </w:r>
    <w:r>
      <w:fldChar w:fldCharType="separate"/>
    </w:r>
    <w:r>
      <w:rPr>
        <w:lang w:val="zh-CN"/>
      </w:rPr>
      <w:t>11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590AB">
    <w:pPr>
      <w:pStyle w:val="53"/>
    </w:pPr>
    <w:r>
      <w:fldChar w:fldCharType="begin"/>
    </w:r>
    <w:r>
      <w:instrText xml:space="preserve"> PAGE   \* MERGEFORMAT \* MERGEFORMAT </w:instrText>
    </w:r>
    <w:r>
      <w:fldChar w:fldCharType="separate"/>
    </w:r>
    <w:r>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50854">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EB06C">
    <w:pPr>
      <w:pStyle w:val="54"/>
    </w:pPr>
    <w:r>
      <w:fldChar w:fldCharType="begin"/>
    </w:r>
    <w:r>
      <w:instrText xml:space="preserve">PAGE   \* MERGEFORMAT</w:instrText>
    </w:r>
    <w:r>
      <w:fldChar w:fldCharType="separate"/>
    </w:r>
    <w:r>
      <w:rPr>
        <w:lang w:val="zh-CN"/>
      </w:rPr>
      <w:t>III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A3709">
    <w:pPr>
      <w:pStyle w:val="53"/>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15A75">
    <w:pPr>
      <w:pStyle w:val="54"/>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5CF4">
    <w:pPr>
      <w:pStyle w:val="53"/>
    </w:pPr>
    <w:r>
      <w:fldChar w:fldCharType="begin"/>
    </w:r>
    <w:r>
      <w:instrText xml:space="preserve"> PAGE   \* MERGEFORMAT \* MERGEFORMAT </w:instrText>
    </w:r>
    <w:r>
      <w:fldChar w:fldCharType="separate"/>
    </w:r>
    <w: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C67BA">
    <w:pPr>
      <w:pStyle w:val="54"/>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D8C27">
    <w:pPr>
      <w:pStyle w:val="53"/>
    </w:pPr>
    <w:r>
      <w:fldChar w:fldCharType="begin"/>
    </w:r>
    <w:r>
      <w:instrText xml:space="preserve"> PAGE   \* MERGEFORMAT \* MERGEFORMAT </w:instrText>
    </w:r>
    <w:r>
      <w:fldChar w:fldCharType="separate"/>
    </w:r>
    <w:r>
      <w:t>IV</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0D922">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881B0">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C4583">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2A5F6">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D00BB">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5CC5B">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3C564">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3E4BB">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84DB0">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2B42D">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5DE44">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CFD1E">
    <w:pPr>
      <w:pStyle w:val="1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AC253">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0D7A5">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A20E0">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0AF11">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EA561">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2DA20">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94192">
    <w:pPr>
      <w:pStyle w:val="64"/>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EEA69">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1CC95">
    <w:pPr>
      <w:pStyle w:val="64"/>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T/SZS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74"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708"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DB1"/>
    <w:rsid w:val="0000040A"/>
    <w:rsid w:val="00000A94"/>
    <w:rsid w:val="00001972"/>
    <w:rsid w:val="00001D9A"/>
    <w:rsid w:val="00007B3A"/>
    <w:rsid w:val="000107E0"/>
    <w:rsid w:val="000114AD"/>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46C"/>
    <w:rsid w:val="00067F1E"/>
    <w:rsid w:val="00071CC0"/>
    <w:rsid w:val="00071CFC"/>
    <w:rsid w:val="00073C8C"/>
    <w:rsid w:val="00077B64"/>
    <w:rsid w:val="00080A1C"/>
    <w:rsid w:val="00082317"/>
    <w:rsid w:val="00082CE4"/>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1DB1"/>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BE"/>
    <w:rsid w:val="001C7FEA"/>
    <w:rsid w:val="001D0499"/>
    <w:rsid w:val="001D0BBE"/>
    <w:rsid w:val="001D0ED4"/>
    <w:rsid w:val="001D212F"/>
    <w:rsid w:val="001D27D6"/>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7607"/>
    <w:rsid w:val="002204BB"/>
    <w:rsid w:val="00221B79"/>
    <w:rsid w:val="00221C6B"/>
    <w:rsid w:val="002253A1"/>
    <w:rsid w:val="00225CF8"/>
    <w:rsid w:val="0022794E"/>
    <w:rsid w:val="00233D64"/>
    <w:rsid w:val="0023482A"/>
    <w:rsid w:val="002359CB"/>
    <w:rsid w:val="00242A8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6C5"/>
    <w:rsid w:val="00281BB8"/>
    <w:rsid w:val="00281E9E"/>
    <w:rsid w:val="00282405"/>
    <w:rsid w:val="00285170"/>
    <w:rsid w:val="00285361"/>
    <w:rsid w:val="00292D60"/>
    <w:rsid w:val="00293B30"/>
    <w:rsid w:val="002942D0"/>
    <w:rsid w:val="00294D34"/>
    <w:rsid w:val="00294E3B"/>
    <w:rsid w:val="00296193"/>
    <w:rsid w:val="00296C66"/>
    <w:rsid w:val="00296CCF"/>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B84"/>
    <w:rsid w:val="002E039D"/>
    <w:rsid w:val="002E4D5A"/>
    <w:rsid w:val="002E62AC"/>
    <w:rsid w:val="002E6326"/>
    <w:rsid w:val="002F30E0"/>
    <w:rsid w:val="002F35E4"/>
    <w:rsid w:val="002F3730"/>
    <w:rsid w:val="002F38E1"/>
    <w:rsid w:val="002F40B2"/>
    <w:rsid w:val="002F7AF6"/>
    <w:rsid w:val="003006B9"/>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5E0E"/>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457"/>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08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4E8"/>
    <w:rsid w:val="005479DA"/>
    <w:rsid w:val="00547BCC"/>
    <w:rsid w:val="0055013B"/>
    <w:rsid w:val="00551F6F"/>
    <w:rsid w:val="005534C1"/>
    <w:rsid w:val="00555044"/>
    <w:rsid w:val="00561475"/>
    <w:rsid w:val="00562308"/>
    <w:rsid w:val="0056487B"/>
    <w:rsid w:val="00564FB9"/>
    <w:rsid w:val="00573D9E"/>
    <w:rsid w:val="005801E3"/>
    <w:rsid w:val="00581802"/>
    <w:rsid w:val="005836A8"/>
    <w:rsid w:val="0058409C"/>
    <w:rsid w:val="00584262"/>
    <w:rsid w:val="00586037"/>
    <w:rsid w:val="00586630"/>
    <w:rsid w:val="00587A7E"/>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3CD"/>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0B8C"/>
    <w:rsid w:val="00641A1F"/>
    <w:rsid w:val="00645904"/>
    <w:rsid w:val="00651ACB"/>
    <w:rsid w:val="00651C47"/>
    <w:rsid w:val="00652AB2"/>
    <w:rsid w:val="00653FED"/>
    <w:rsid w:val="00654EB2"/>
    <w:rsid w:val="00654EC0"/>
    <w:rsid w:val="0065525B"/>
    <w:rsid w:val="00655D4F"/>
    <w:rsid w:val="00656D29"/>
    <w:rsid w:val="00663FE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6A52"/>
    <w:rsid w:val="006F03A8"/>
    <w:rsid w:val="006F2ACA"/>
    <w:rsid w:val="006F2ADC"/>
    <w:rsid w:val="006F2BFE"/>
    <w:rsid w:val="006F31E9"/>
    <w:rsid w:val="006F6284"/>
    <w:rsid w:val="007002C5"/>
    <w:rsid w:val="00702B83"/>
    <w:rsid w:val="00704387"/>
    <w:rsid w:val="00707669"/>
    <w:rsid w:val="00711CBA"/>
    <w:rsid w:val="00711FB5"/>
    <w:rsid w:val="00712A01"/>
    <w:rsid w:val="00713DA9"/>
    <w:rsid w:val="00714F58"/>
    <w:rsid w:val="00722FBF"/>
    <w:rsid w:val="00722FC2"/>
    <w:rsid w:val="00724E1B"/>
    <w:rsid w:val="00725949"/>
    <w:rsid w:val="00727FA2"/>
    <w:rsid w:val="007322D9"/>
    <w:rsid w:val="00732BC0"/>
    <w:rsid w:val="007348E6"/>
    <w:rsid w:val="0073720F"/>
    <w:rsid w:val="00737796"/>
    <w:rsid w:val="0074165C"/>
    <w:rsid w:val="00742C35"/>
    <w:rsid w:val="007432CA"/>
    <w:rsid w:val="007439EB"/>
    <w:rsid w:val="00743CB4"/>
    <w:rsid w:val="00743F0A"/>
    <w:rsid w:val="007444E8"/>
    <w:rsid w:val="0074548E"/>
    <w:rsid w:val="00745773"/>
    <w:rsid w:val="00746800"/>
    <w:rsid w:val="0074683A"/>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0F0B"/>
    <w:rsid w:val="007B5A3D"/>
    <w:rsid w:val="007B5B95"/>
    <w:rsid w:val="007B6032"/>
    <w:rsid w:val="007B68EA"/>
    <w:rsid w:val="007B7453"/>
    <w:rsid w:val="007C2D89"/>
    <w:rsid w:val="007C4593"/>
    <w:rsid w:val="007C5309"/>
    <w:rsid w:val="007C6069"/>
    <w:rsid w:val="007D06C4"/>
    <w:rsid w:val="007D123C"/>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DEA"/>
    <w:rsid w:val="00815419"/>
    <w:rsid w:val="008163C8"/>
    <w:rsid w:val="008164A1"/>
    <w:rsid w:val="00817325"/>
    <w:rsid w:val="008209E6"/>
    <w:rsid w:val="00821B1B"/>
    <w:rsid w:val="00823303"/>
    <w:rsid w:val="008233B2"/>
    <w:rsid w:val="00823A9F"/>
    <w:rsid w:val="00823C85"/>
    <w:rsid w:val="00824C6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E36"/>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3F8"/>
    <w:rsid w:val="008E6A84"/>
    <w:rsid w:val="008F0CDC"/>
    <w:rsid w:val="008F17A3"/>
    <w:rsid w:val="008F1ED3"/>
    <w:rsid w:val="008F4C29"/>
    <w:rsid w:val="008F70BD"/>
    <w:rsid w:val="008F788F"/>
    <w:rsid w:val="008F7EA2"/>
    <w:rsid w:val="00902722"/>
    <w:rsid w:val="009027BC"/>
    <w:rsid w:val="009062E6"/>
    <w:rsid w:val="0091039B"/>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577"/>
    <w:rsid w:val="009746DB"/>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7AE2"/>
    <w:rsid w:val="009D112C"/>
    <w:rsid w:val="009D1385"/>
    <w:rsid w:val="009D47FA"/>
    <w:rsid w:val="009D4C5B"/>
    <w:rsid w:val="009D50D2"/>
    <w:rsid w:val="009D6BCA"/>
    <w:rsid w:val="009E0F62"/>
    <w:rsid w:val="009E4A58"/>
    <w:rsid w:val="009E5A2D"/>
    <w:rsid w:val="009E5AB2"/>
    <w:rsid w:val="009E6219"/>
    <w:rsid w:val="009F03B3"/>
    <w:rsid w:val="009F58D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330"/>
    <w:rsid w:val="00A57142"/>
    <w:rsid w:val="00A648CD"/>
    <w:rsid w:val="00A6537A"/>
    <w:rsid w:val="00A67866"/>
    <w:rsid w:val="00A706FC"/>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49CC"/>
    <w:rsid w:val="00B05F9E"/>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F1B"/>
    <w:rsid w:val="00C71372"/>
    <w:rsid w:val="00C72410"/>
    <w:rsid w:val="00C7287F"/>
    <w:rsid w:val="00C80CB8"/>
    <w:rsid w:val="00C819F8"/>
    <w:rsid w:val="00C8248C"/>
    <w:rsid w:val="00C84E33"/>
    <w:rsid w:val="00C86D6F"/>
    <w:rsid w:val="00C905FC"/>
    <w:rsid w:val="00C92D03"/>
    <w:rsid w:val="00C9319C"/>
    <w:rsid w:val="00C9345E"/>
    <w:rsid w:val="00C9435D"/>
    <w:rsid w:val="00C94DF2"/>
    <w:rsid w:val="00C96741"/>
    <w:rsid w:val="00CA2D1B"/>
    <w:rsid w:val="00CA375D"/>
    <w:rsid w:val="00CA662A"/>
    <w:rsid w:val="00CA7AFD"/>
    <w:rsid w:val="00CA7C3C"/>
    <w:rsid w:val="00CA7D3E"/>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724"/>
    <w:rsid w:val="00CD2808"/>
    <w:rsid w:val="00CD28BF"/>
    <w:rsid w:val="00CD4092"/>
    <w:rsid w:val="00CD4A20"/>
    <w:rsid w:val="00CD50A1"/>
    <w:rsid w:val="00CD519E"/>
    <w:rsid w:val="00CD6F52"/>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0F9"/>
    <w:rsid w:val="00D1067E"/>
    <w:rsid w:val="00D10F50"/>
    <w:rsid w:val="00D11272"/>
    <w:rsid w:val="00D126F5"/>
    <w:rsid w:val="00D1489E"/>
    <w:rsid w:val="00D159D0"/>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6B02"/>
    <w:rsid w:val="00D675FB"/>
    <w:rsid w:val="00D71F25"/>
    <w:rsid w:val="00D72A9C"/>
    <w:rsid w:val="00D7587F"/>
    <w:rsid w:val="00D77031"/>
    <w:rsid w:val="00D80845"/>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7B4"/>
    <w:rsid w:val="00DD00FF"/>
    <w:rsid w:val="00DD0619"/>
    <w:rsid w:val="00DD07FB"/>
    <w:rsid w:val="00DD25C6"/>
    <w:rsid w:val="00DD4FE5"/>
    <w:rsid w:val="00DD54B0"/>
    <w:rsid w:val="00DD57EE"/>
    <w:rsid w:val="00DD6BCC"/>
    <w:rsid w:val="00DE0A4B"/>
    <w:rsid w:val="00DE2410"/>
    <w:rsid w:val="00DE2939"/>
    <w:rsid w:val="00DE55AF"/>
    <w:rsid w:val="00DE6E81"/>
    <w:rsid w:val="00DE703F"/>
    <w:rsid w:val="00DE7595"/>
    <w:rsid w:val="00DE7622"/>
    <w:rsid w:val="00DF1961"/>
    <w:rsid w:val="00DF44DE"/>
    <w:rsid w:val="00E01138"/>
    <w:rsid w:val="00E02DFB"/>
    <w:rsid w:val="00E030F9"/>
    <w:rsid w:val="00E0311A"/>
    <w:rsid w:val="00E03138"/>
    <w:rsid w:val="00E06404"/>
    <w:rsid w:val="00E06B7D"/>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604"/>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5C2E"/>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11B"/>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F979E1"/>
    <w:rsid w:val="09483A97"/>
    <w:rsid w:val="127B4CDD"/>
    <w:rsid w:val="187E6606"/>
    <w:rsid w:val="24874022"/>
    <w:rsid w:val="25032F33"/>
    <w:rsid w:val="252E644C"/>
    <w:rsid w:val="2B4C546B"/>
    <w:rsid w:val="382E4400"/>
    <w:rsid w:val="40965C5F"/>
    <w:rsid w:val="41674397"/>
    <w:rsid w:val="49115E6C"/>
    <w:rsid w:val="5D320D59"/>
    <w:rsid w:val="674E58B4"/>
    <w:rsid w:val="6BFC4974"/>
    <w:rsid w:val="6FE11CB5"/>
    <w:rsid w:val="6FFF3874"/>
    <w:rsid w:val="72F7755E"/>
    <w:rsid w:val="772027E6"/>
    <w:rsid w:val="7F610E90"/>
    <w:rsid w:val="CEFDDA80"/>
    <w:rsid w:val="FFFCC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cs="Times New Roman"/>
      <w:szCs w:val="21"/>
    </w:rPr>
  </w:style>
  <w:style w:type="character" w:customStyle="1" w:styleId="45">
    <w:name w:val="页眉 字符"/>
    <w:link w:val="19"/>
    <w:qFormat/>
    <w:uiPriority w:val="99"/>
    <w:rPr>
      <w:rFonts w:ascii="Times New Roman" w:hAnsi="Times New Roman" w:eastAsia="宋体" w:cs="Times New Roman"/>
      <w:sz w:val="18"/>
      <w:szCs w:val="18"/>
    </w:rPr>
  </w:style>
  <w:style w:type="character" w:customStyle="1" w:styleId="46">
    <w:name w:val="页脚 字符"/>
    <w:link w:val="18"/>
    <w:qFormat/>
    <w:uiPriority w:val="99"/>
    <w:rPr>
      <w:rFonts w:ascii="宋体" w:hAnsi="Times New Roman" w:eastAsia="宋体" w:cs="Times New Roman"/>
      <w:sz w:val="18"/>
      <w:szCs w:val="18"/>
    </w:rPr>
  </w:style>
  <w:style w:type="character" w:customStyle="1" w:styleId="47">
    <w:name w:val="批注框文本 字符"/>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ind w:left="0"/>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修订1"/>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2" Type="http://schemas.openxmlformats.org/officeDocument/2006/relationships/glossaryDocument" Target="glossary/document.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header" Target="header1.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theme" Target="theme/theme1.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header" Target="header20.xml"/><Relationship Id="rId42" Type="http://schemas.openxmlformats.org/officeDocument/2006/relationships/footer" Target="footer19.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CCC2ED54BCF4F3F93586919129B3876"/>
        <w:style w:val=""/>
        <w:category>
          <w:name w:val="常规"/>
          <w:gallery w:val="placeholder"/>
        </w:category>
        <w:types>
          <w:type w:val="bbPlcHdr"/>
        </w:types>
        <w:behaviors>
          <w:behavior w:val="content"/>
        </w:behaviors>
        <w:description w:val=""/>
        <w:guid w:val="{D3535722-22AA-4DF8-8856-66F323A6DD9F}"/>
      </w:docPartPr>
      <w:docPartBody>
        <w:p w14:paraId="5B8E70B1">
          <w:pPr>
            <w:pStyle w:val="5"/>
            <w:rPr>
              <w:rFonts w:hint="eastAsia"/>
            </w:rPr>
          </w:pPr>
          <w:r>
            <w:rPr>
              <w:rStyle w:val="4"/>
              <w:rFonts w:hint="eastAsia"/>
            </w:rPr>
            <w:t>单击或点击此处输入文字。</w:t>
          </w:r>
        </w:p>
      </w:docPartBody>
    </w:docPart>
    <w:docPart>
      <w:docPartPr>
        <w:name w:val="B20294F911764EFAB3C8804CF6DEFCF2"/>
        <w:style w:val=""/>
        <w:category>
          <w:name w:val="常规"/>
          <w:gallery w:val="placeholder"/>
        </w:category>
        <w:types>
          <w:type w:val="bbPlcHdr"/>
        </w:types>
        <w:behaviors>
          <w:behavior w:val="content"/>
        </w:behaviors>
        <w:description w:val=""/>
        <w:guid w:val="{74F82199-3D42-468C-BBB9-204DDDA29058}"/>
      </w:docPartPr>
      <w:docPartBody>
        <w:p w14:paraId="45C000EB">
          <w:pPr>
            <w:pStyle w:val="6"/>
            <w:rPr>
              <w:rFonts w:hint="eastAsia"/>
            </w:rPr>
          </w:pPr>
          <w:r>
            <w:rPr>
              <w:rStyle w:val="4"/>
              <w:rFonts w:hint="eastAsia"/>
            </w:rPr>
            <w:t>选择一项。</w:t>
          </w:r>
        </w:p>
      </w:docPartBody>
    </w:docPart>
    <w:docPart>
      <w:docPartPr>
        <w:name w:val="52FC9F3D548344079631B15655A311FC"/>
        <w:style w:val=""/>
        <w:category>
          <w:name w:val="常规"/>
          <w:gallery w:val="placeholder"/>
        </w:category>
        <w:types>
          <w:type w:val="bbPlcHdr"/>
        </w:types>
        <w:behaviors>
          <w:behavior w:val="content"/>
        </w:behaviors>
        <w:description w:val=""/>
        <w:guid w:val="{86A3AF0D-C434-416C-B53A-982419217EE1}"/>
      </w:docPartPr>
      <w:docPartBody>
        <w:p w14:paraId="4F5C9FA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78"/>
    <w:rsid w:val="000363CB"/>
    <w:rsid w:val="00064511"/>
    <w:rsid w:val="003E7028"/>
    <w:rsid w:val="0051565B"/>
    <w:rsid w:val="00530FC7"/>
    <w:rsid w:val="0055188B"/>
    <w:rsid w:val="00606CA8"/>
    <w:rsid w:val="00636967"/>
    <w:rsid w:val="00727178"/>
    <w:rsid w:val="00800DF5"/>
    <w:rsid w:val="008868F3"/>
    <w:rsid w:val="008E63F8"/>
    <w:rsid w:val="00B60B8A"/>
    <w:rsid w:val="00B80965"/>
    <w:rsid w:val="00BA54AD"/>
    <w:rsid w:val="00C65F1B"/>
    <w:rsid w:val="00D100F9"/>
    <w:rsid w:val="00D128C7"/>
    <w:rsid w:val="00D159D0"/>
    <w:rsid w:val="00E35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CCC2ED54BCF4F3F93586919129B38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20294F911764EFAB3C8804CF6DEFC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2FC9F3D548344079631B15655A311F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4C693F-979E-4910-8A65-3570292FB733}">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17</Pages>
  <Words>6666</Words>
  <Characters>7307</Characters>
  <Lines>369</Lines>
  <Paragraphs>506</Paragraphs>
  <TotalTime>138</TotalTime>
  <ScaleCrop>false</ScaleCrop>
  <LinksUpToDate>false</LinksUpToDate>
  <CharactersWithSpaces>7739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2025-04-04T17:36:00Z</dcterms:created>
  <dc:creator>童生华</dc:creator>
  <dc:description>&lt;config cover="true" show_menu="true" version="1.0.0" doctype="SDKXY"&gt;_x000d_
&lt;/config&gt;</dc:description>
  <cp:lastModifiedBy>刘冬</cp:lastModifiedBy>
  <cp:lastPrinted>2021-02-04T00:22:00Z</cp:lastPrinted>
  <dcterms:modified xsi:type="dcterms:W3CDTF">2025-05-26T07:29:12Z</dcterms:modified>
  <dc:title>团体标准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eyJoZGlkIjoiOWMzMTdkZjJlNThkNTUxNDVhOTUxNTNkNDE4MTdjYTEiLCJ1c2VySWQiOiIyMDk2NTE4NzcifQ==</vt:lpwstr>
  </property>
  <property fmtid="{D5CDD505-2E9C-101B-9397-08002B2CF9AE}" pid="16" name="KSOProductBuildVer">
    <vt:lpwstr>2052-12.1.0.21171</vt:lpwstr>
  </property>
  <property fmtid="{D5CDD505-2E9C-101B-9397-08002B2CF9AE}" pid="17" name="ICV">
    <vt:lpwstr>C8266E08BAAD479E8125CDBB27D0276F_13</vt:lpwstr>
  </property>
</Properties>
</file>