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67473">
      <w:pPr>
        <w:spacing w:line="360" w:lineRule="auto"/>
        <w:jc w:val="center"/>
        <w:rPr>
          <w:rFonts w:hint="eastAsia" w:ascii="宋体" w:hAnsi="宋体" w:cs="宋体"/>
          <w:b/>
          <w:bCs/>
          <w:sz w:val="32"/>
          <w:szCs w:val="32"/>
        </w:rPr>
      </w:pPr>
      <w:r>
        <w:rPr>
          <w:rFonts w:hint="eastAsia" w:ascii="宋体" w:hAnsi="宋体" w:cs="宋体"/>
          <w:b/>
          <w:bCs/>
          <w:sz w:val="32"/>
          <w:szCs w:val="32"/>
        </w:rPr>
        <w:t>《监测病毒载体稳定携带治疗基因的分析质控技术标准》</w:t>
      </w:r>
    </w:p>
    <w:p w14:paraId="1329F3A7">
      <w:pPr>
        <w:spacing w:line="360" w:lineRule="auto"/>
        <w:jc w:val="center"/>
        <w:rPr>
          <w:rFonts w:hint="eastAsia" w:ascii="宋体" w:hAnsi="宋体" w:cs="宋体"/>
          <w:b/>
          <w:bCs/>
          <w:sz w:val="32"/>
          <w:szCs w:val="32"/>
        </w:rPr>
      </w:pPr>
      <w:r>
        <w:rPr>
          <w:rFonts w:hint="eastAsia" w:ascii="宋体" w:hAnsi="宋体" w:cs="宋体"/>
          <w:b/>
          <w:bCs/>
          <w:sz w:val="32"/>
          <w:szCs w:val="32"/>
        </w:rPr>
        <w:t>编制说明</w:t>
      </w:r>
    </w:p>
    <w:p w14:paraId="4B7502DE">
      <w:pPr>
        <w:spacing w:line="360" w:lineRule="auto"/>
        <w:rPr>
          <w:rFonts w:hint="eastAsia" w:ascii="宋体" w:hAnsi="宋体" w:cs="宋体"/>
          <w:b/>
          <w:bCs/>
          <w:sz w:val="24"/>
          <w:szCs w:val="24"/>
        </w:rPr>
      </w:pPr>
      <w:r>
        <w:rPr>
          <w:rFonts w:hint="eastAsia" w:ascii="宋体" w:hAnsi="宋体" w:cs="宋体"/>
          <w:b/>
          <w:bCs/>
          <w:sz w:val="24"/>
          <w:szCs w:val="24"/>
        </w:rPr>
        <w:t>一、工作简况</w:t>
      </w:r>
    </w:p>
    <w:p w14:paraId="62FBE2A3">
      <w:pPr>
        <w:numPr>
          <w:ilvl w:val="0"/>
          <w:numId w:val="4"/>
        </w:numPr>
        <w:spacing w:line="360" w:lineRule="auto"/>
        <w:rPr>
          <w:rFonts w:hint="eastAsia" w:ascii="宋体" w:hAnsi="宋体" w:cs="宋体"/>
          <w:sz w:val="24"/>
          <w:szCs w:val="24"/>
        </w:rPr>
      </w:pPr>
      <w:r>
        <w:rPr>
          <w:rFonts w:hint="eastAsia" w:ascii="宋体" w:hAnsi="宋体" w:cs="宋体"/>
          <w:b/>
          <w:bCs/>
          <w:sz w:val="24"/>
          <w:szCs w:val="24"/>
        </w:rPr>
        <w:t>背景</w:t>
      </w:r>
    </w:p>
    <w:p w14:paraId="74328398">
      <w:pPr>
        <w:pStyle w:val="35"/>
        <w:spacing w:line="360" w:lineRule="auto"/>
        <w:ind w:firstLine="480" w:firstLineChars="200"/>
        <w:rPr>
          <w:rFonts w:hint="eastAsia" w:ascii="宋体" w:hAnsi="宋体"/>
          <w:color w:val="auto"/>
          <w:kern w:val="2"/>
          <w:sz w:val="24"/>
          <w:szCs w:val="24"/>
        </w:rPr>
      </w:pPr>
      <w:r>
        <w:rPr>
          <w:rFonts w:hint="eastAsia" w:ascii="宋体" w:hAnsi="宋体"/>
          <w:color w:val="auto"/>
          <w:kern w:val="2"/>
          <w:sz w:val="24"/>
          <w:szCs w:val="24"/>
        </w:rPr>
        <w:t xml:space="preserve"> 随着基因治疗技术的快速发展，病毒载体作为基因递送的关键工具，在治疗遗传性疾病、癌症和某些感染性疾病方面展现出巨大潜力。然而，病毒载体的稳定性直接决定了基因治疗的安全性和有效性。在病毒载体产品的生产和临床应用中，目标治疗基因的丢失、突变或不稳定表达可能导致治疗失败甚至引发安全问题。因此，针对病毒载体稳定携带治疗基因的分析与质控技术进行规范化管理，对于基因治疗技术的进一步应用和推广至关重要。</w:t>
      </w:r>
    </w:p>
    <w:p w14:paraId="50EF4C23">
      <w:pPr>
        <w:pStyle w:val="35"/>
        <w:spacing w:line="360" w:lineRule="auto"/>
        <w:ind w:firstLine="600" w:firstLineChars="250"/>
        <w:rPr>
          <w:rFonts w:hint="eastAsia" w:ascii="宋体" w:hAnsi="宋体"/>
          <w:color w:val="auto"/>
          <w:kern w:val="2"/>
          <w:sz w:val="24"/>
          <w:szCs w:val="24"/>
        </w:rPr>
      </w:pPr>
      <w:r>
        <w:rPr>
          <w:rFonts w:ascii="宋体" w:hAnsi="宋体"/>
          <w:color w:val="auto"/>
          <w:kern w:val="2"/>
          <w:sz w:val="24"/>
          <w:szCs w:val="24"/>
        </w:rPr>
        <w:t>为规范基因治疗中病毒载体稳定性分析及质控技术，提供统一的技术要求与操作规范，制定针对病毒载体稳定性和治疗基因携带完整性分析的技术标准显得尤为重要。</w:t>
      </w:r>
      <w:r>
        <w:rPr>
          <w:rFonts w:hint="eastAsia" w:ascii="宋体" w:hAnsi="宋体"/>
          <w:color w:val="auto"/>
          <w:kern w:val="2"/>
          <w:sz w:val="24"/>
          <w:szCs w:val="24"/>
        </w:rPr>
        <w:t>近年来，国家政策和相关法规逐步对基因治疗产品的质量提出了更高的要求。例如，《“十四五”生物经济发展规划》中提出加强基因治疗产品的质量控制体系建设；《基因与细胞治疗产品研发技术指导原则（试行）》强调，基因治疗产品质量安全的核心在于其递送系统的稳定性及功能可靠性。然而，目前国内针对病毒载体稳定性检测的技术方法缺乏统一的行业标准，实验室间存在较大操作差异，这为产业化推广带来了技术障碍。因此，制定统一的监测病毒载体稳定携带治疗基因的分析质控技术规范，是规范基因治疗行业的重要一环。</w:t>
      </w:r>
    </w:p>
    <w:p w14:paraId="0748C68A">
      <w:pPr>
        <w:pStyle w:val="35"/>
        <w:spacing w:line="360" w:lineRule="auto"/>
        <w:ind w:firstLine="480" w:firstLineChars="200"/>
        <w:rPr>
          <w:rFonts w:ascii="宋体" w:hAnsi="宋体"/>
          <w:color w:val="auto"/>
          <w:kern w:val="2"/>
          <w:sz w:val="24"/>
          <w:szCs w:val="24"/>
        </w:rPr>
      </w:pPr>
      <w:r>
        <w:rPr>
          <w:rFonts w:ascii="宋体" w:hAnsi="宋体"/>
          <w:color w:val="auto"/>
          <w:kern w:val="2"/>
          <w:sz w:val="24"/>
          <w:szCs w:val="24"/>
        </w:rPr>
        <w:t>本文件的制定旨在填补病毒载体质控标准的空白，为研究机构、生产企业和监管部门提供科学、可行的技术指导，提升基因治疗产品的质量和安全性，推动基因治疗技术的规范化和产业化发展。</w:t>
      </w:r>
    </w:p>
    <w:p w14:paraId="0DF55E39">
      <w:pPr>
        <w:numPr>
          <w:ilvl w:val="0"/>
          <w:numId w:val="4"/>
        </w:numPr>
        <w:spacing w:line="360" w:lineRule="auto"/>
        <w:rPr>
          <w:rFonts w:hint="eastAsia" w:ascii="宋体" w:hAnsi="宋体" w:cs="宋体"/>
          <w:b/>
          <w:bCs/>
          <w:sz w:val="24"/>
          <w:szCs w:val="24"/>
        </w:rPr>
      </w:pPr>
      <w:r>
        <w:rPr>
          <w:rFonts w:hint="eastAsia" w:ascii="宋体" w:hAnsi="宋体" w:cs="宋体"/>
          <w:b/>
          <w:bCs/>
          <w:sz w:val="24"/>
          <w:szCs w:val="24"/>
        </w:rPr>
        <w:t>工作过程</w:t>
      </w:r>
    </w:p>
    <w:p w14:paraId="192C6C21">
      <w:pPr>
        <w:numPr>
          <w:ilvl w:val="0"/>
          <w:numId w:val="1"/>
        </w:numPr>
        <w:spacing w:line="360" w:lineRule="auto"/>
        <w:rPr>
          <w:rFonts w:ascii="宋体" w:hAnsi="宋体" w:cs="宋体"/>
          <w:sz w:val="24"/>
          <w:szCs w:val="24"/>
        </w:rPr>
      </w:pPr>
      <w:r>
        <w:rPr>
          <w:rFonts w:hint="eastAsia" w:ascii="宋体" w:hAnsi="宋体" w:cs="宋体"/>
          <w:sz w:val="24"/>
          <w:szCs w:val="24"/>
        </w:rPr>
        <w:t>前期准备</w:t>
      </w:r>
    </w:p>
    <w:p w14:paraId="583CE309">
      <w:pPr>
        <w:widowControl/>
        <w:spacing w:line="360" w:lineRule="auto"/>
        <w:ind w:firstLine="600" w:firstLineChars="250"/>
        <w:jc w:val="left"/>
        <w:rPr>
          <w:rFonts w:ascii="宋体" w:hAnsi="宋体" w:cs="宋体"/>
          <w:color w:val="0E0E0E"/>
          <w:kern w:val="0"/>
          <w:sz w:val="24"/>
          <w:szCs w:val="24"/>
        </w:rPr>
      </w:pPr>
      <w:r>
        <w:rPr>
          <w:rFonts w:ascii="宋体" w:hAnsi="宋体" w:cs="宋体"/>
          <w:color w:val="0E0E0E"/>
          <w:kern w:val="0"/>
          <w:sz w:val="24"/>
          <w:szCs w:val="24"/>
        </w:rPr>
        <w:t>由</w:t>
      </w:r>
      <w:r>
        <w:rPr>
          <w:rFonts w:hint="eastAsia" w:ascii="宋体" w:hAnsi="宋体" w:cs="宋体"/>
          <w:color w:val="0E0E0E"/>
          <w:kern w:val="0"/>
          <w:sz w:val="24"/>
          <w:szCs w:val="24"/>
        </w:rPr>
        <w:t>中国科学院深圳先进技术研究院、深圳理工大学、深圳市药品检验研究院、中国科学院精密测量科学与技术创新研究院、华中科技大学、布林凯斯(深圳)生物技术有限公司多个单位</w:t>
      </w:r>
      <w:r>
        <w:rPr>
          <w:rFonts w:ascii="宋体" w:hAnsi="宋体" w:cs="宋体"/>
          <w:color w:val="0E0E0E"/>
          <w:kern w:val="0"/>
          <w:sz w:val="24"/>
          <w:szCs w:val="24"/>
        </w:rPr>
        <w:t>成立编制工作组，对病毒载体质控体系的现状进行全面调研，分析了现行技术和管理中存在的不足。</w:t>
      </w:r>
      <w:r>
        <w:rPr>
          <w:rFonts w:hint="eastAsia" w:ascii="宋体" w:hAnsi="宋体" w:cs="宋体"/>
          <w:color w:val="0E0E0E"/>
          <w:kern w:val="0"/>
          <w:sz w:val="24"/>
          <w:szCs w:val="24"/>
        </w:rPr>
        <w:t>明</w:t>
      </w:r>
      <w:r>
        <w:rPr>
          <w:rFonts w:ascii="宋体" w:hAnsi="宋体" w:cs="宋体"/>
          <w:color w:val="0E0E0E"/>
          <w:kern w:val="0"/>
          <w:sz w:val="24"/>
          <w:szCs w:val="24"/>
        </w:rPr>
        <w:t>确病毒载体稳定性检测的关键问题，包括如何评估目标治疗基因的完整性、如何确保病毒载体稳定携带治疗基因等。</w:t>
      </w:r>
    </w:p>
    <w:p w14:paraId="32DEC130">
      <w:pPr>
        <w:widowControl/>
        <w:spacing w:line="360" w:lineRule="auto"/>
        <w:jc w:val="left"/>
        <w:rPr>
          <w:rFonts w:ascii="宋体" w:hAnsi="宋体" w:cs="宋体"/>
          <w:color w:val="0E0E0E"/>
          <w:kern w:val="0"/>
          <w:sz w:val="24"/>
          <w:szCs w:val="24"/>
        </w:rPr>
      </w:pPr>
      <w:r>
        <w:rPr>
          <w:rFonts w:hint="eastAsia" w:ascii="宋体" w:hAnsi="宋体" w:cs="宋体"/>
          <w:color w:val="0E0E0E"/>
          <w:kern w:val="0"/>
          <w:sz w:val="24"/>
          <w:szCs w:val="24"/>
        </w:rPr>
        <w:t>（2）调研和起草阶段</w:t>
      </w:r>
    </w:p>
    <w:p w14:paraId="26A61E03">
      <w:pPr>
        <w:widowControl/>
        <w:spacing w:line="360" w:lineRule="auto"/>
        <w:ind w:firstLine="480"/>
        <w:jc w:val="left"/>
        <w:rPr>
          <w:rFonts w:ascii="宋体" w:hAnsi="宋体" w:cs="宋体"/>
          <w:color w:val="0E0E0E"/>
          <w:kern w:val="0"/>
          <w:sz w:val="24"/>
          <w:szCs w:val="24"/>
        </w:rPr>
      </w:pPr>
      <w:r>
        <w:rPr>
          <w:rFonts w:ascii="宋体" w:hAnsi="宋体" w:cs="宋体"/>
          <w:color w:val="0E0E0E"/>
          <w:kern w:val="0"/>
          <w:sz w:val="24"/>
          <w:szCs w:val="24"/>
        </w:rPr>
        <w:t>2023</w:t>
      </w:r>
      <w:r>
        <w:rPr>
          <w:rFonts w:hint="eastAsia" w:ascii="宋体" w:hAnsi="宋体" w:cs="宋体"/>
          <w:color w:val="0E0E0E"/>
          <w:kern w:val="0"/>
          <w:sz w:val="24"/>
          <w:szCs w:val="24"/>
        </w:rPr>
        <w:t>年1月-</w:t>
      </w:r>
      <w:r>
        <w:rPr>
          <w:rFonts w:ascii="宋体" w:hAnsi="宋体" w:cs="宋体"/>
          <w:color w:val="0E0E0E"/>
          <w:kern w:val="0"/>
          <w:sz w:val="24"/>
          <w:szCs w:val="24"/>
        </w:rPr>
        <w:t>6</w:t>
      </w:r>
      <w:r>
        <w:rPr>
          <w:rFonts w:hint="eastAsia" w:ascii="宋体" w:hAnsi="宋体" w:cs="宋体"/>
          <w:color w:val="0E0E0E"/>
          <w:kern w:val="0"/>
          <w:sz w:val="24"/>
          <w:szCs w:val="24"/>
        </w:rPr>
        <w:t>月，通过广泛收集国际前沿文献和法规，综合国内实际需求，对病毒载体的质控技术进行分析研究。形成监测框架，明确监测的关键技术流程，如基因表达评估、病毒稳定性监测、数据记录等环节。召开工作组内部会议，根据项目组成员意见修改标准草案，形成了标准初稿。</w:t>
      </w:r>
    </w:p>
    <w:p w14:paraId="4DDA2F2F">
      <w:pPr>
        <w:widowControl/>
        <w:spacing w:line="360" w:lineRule="auto"/>
        <w:jc w:val="left"/>
        <w:rPr>
          <w:rFonts w:ascii="宋体" w:hAnsi="宋体" w:cs="宋体"/>
          <w:color w:val="0E0E0E"/>
          <w:kern w:val="0"/>
          <w:sz w:val="24"/>
          <w:szCs w:val="24"/>
        </w:rPr>
      </w:pPr>
      <w:r>
        <w:rPr>
          <w:rFonts w:hint="eastAsia" w:ascii="宋体" w:hAnsi="宋体" w:cs="宋体"/>
          <w:color w:val="0E0E0E"/>
          <w:kern w:val="0"/>
          <w:sz w:val="24"/>
          <w:szCs w:val="24"/>
        </w:rPr>
        <w:t>（</w:t>
      </w:r>
      <w:r>
        <w:rPr>
          <w:rFonts w:ascii="宋体" w:hAnsi="宋体" w:cs="宋体"/>
          <w:color w:val="0E0E0E"/>
          <w:kern w:val="0"/>
          <w:sz w:val="24"/>
          <w:szCs w:val="24"/>
        </w:rPr>
        <w:t>3</w:t>
      </w:r>
      <w:r>
        <w:rPr>
          <w:rFonts w:hint="eastAsia" w:ascii="宋体" w:hAnsi="宋体" w:cs="宋体"/>
          <w:color w:val="0E0E0E"/>
          <w:kern w:val="0"/>
          <w:sz w:val="24"/>
          <w:szCs w:val="24"/>
        </w:rPr>
        <w:t>）征求意见阶段</w:t>
      </w:r>
    </w:p>
    <w:p w14:paraId="4650EC99">
      <w:pPr>
        <w:widowControl/>
        <w:spacing w:line="360" w:lineRule="auto"/>
        <w:jc w:val="left"/>
        <w:rPr>
          <w:rFonts w:hint="eastAsia" w:ascii="宋体" w:hAnsi="宋体" w:cs="宋体"/>
          <w:color w:val="0E0E0E"/>
          <w:kern w:val="0"/>
          <w:sz w:val="24"/>
          <w:szCs w:val="24"/>
        </w:rPr>
      </w:pPr>
      <w:r>
        <w:rPr>
          <w:rFonts w:hint="eastAsia" w:ascii="宋体" w:hAnsi="宋体" w:cs="宋体"/>
          <w:color w:val="0E0E0E"/>
          <w:kern w:val="0"/>
          <w:sz w:val="24"/>
          <w:szCs w:val="24"/>
        </w:rPr>
        <w:t xml:space="preserve"> </w:t>
      </w:r>
      <w:r>
        <w:rPr>
          <w:rFonts w:ascii="宋体" w:hAnsi="宋体" w:cs="宋体"/>
          <w:color w:val="0E0E0E"/>
          <w:kern w:val="0"/>
          <w:sz w:val="24"/>
          <w:szCs w:val="24"/>
        </w:rPr>
        <w:t xml:space="preserve">   2023</w:t>
      </w:r>
      <w:r>
        <w:rPr>
          <w:rFonts w:hint="eastAsia" w:ascii="宋体" w:hAnsi="宋体" w:cs="宋体"/>
          <w:color w:val="0E0E0E"/>
          <w:kern w:val="0"/>
          <w:sz w:val="24"/>
          <w:szCs w:val="24"/>
        </w:rPr>
        <w:t>年7月-</w:t>
      </w:r>
      <w:r>
        <w:rPr>
          <w:rFonts w:ascii="宋体" w:hAnsi="宋体" w:cs="宋体"/>
          <w:color w:val="0E0E0E"/>
          <w:kern w:val="0"/>
          <w:sz w:val="24"/>
          <w:szCs w:val="24"/>
        </w:rPr>
        <w:t>9</w:t>
      </w:r>
      <w:r>
        <w:rPr>
          <w:rFonts w:hint="eastAsia" w:ascii="宋体" w:hAnsi="宋体" w:cs="宋体"/>
          <w:color w:val="0E0E0E"/>
          <w:kern w:val="0"/>
          <w:sz w:val="24"/>
          <w:szCs w:val="24"/>
        </w:rPr>
        <w:t>月，通过组织专家讨论会，邀请来自学术界和工业界的权威专家对监测的标准流程和技术细节进行评审，依据专家意见对标准草案进行细化和修订，进一步完善标准内容。</w:t>
      </w:r>
    </w:p>
    <w:p w14:paraId="29919136">
      <w:pPr>
        <w:spacing w:line="360" w:lineRule="auto"/>
        <w:rPr>
          <w:rFonts w:ascii="宋体" w:hAnsi="宋体" w:cs="宋体"/>
          <w:b/>
          <w:bCs/>
          <w:sz w:val="24"/>
          <w:szCs w:val="24"/>
        </w:rPr>
      </w:pPr>
      <w:r>
        <w:rPr>
          <w:rFonts w:hint="eastAsia" w:ascii="宋体" w:hAnsi="宋体" w:cs="宋体"/>
          <w:b/>
          <w:bCs/>
          <w:sz w:val="24"/>
          <w:szCs w:val="24"/>
        </w:rPr>
        <w:t>二、编制原则和确定标准主要内容的依据</w:t>
      </w:r>
    </w:p>
    <w:p w14:paraId="507C801C">
      <w:pPr>
        <w:spacing w:line="360" w:lineRule="auto"/>
        <w:ind w:firstLine="360" w:firstLineChars="150"/>
        <w:rPr>
          <w:rFonts w:ascii="宋体" w:hAnsi="宋体" w:cs="宋体"/>
          <w:sz w:val="24"/>
          <w:szCs w:val="24"/>
        </w:rPr>
      </w:pPr>
      <w:r>
        <w:rPr>
          <w:rFonts w:hint="eastAsia" w:ascii="宋体" w:hAnsi="宋体" w:cs="宋体"/>
          <w:sz w:val="24"/>
          <w:szCs w:val="24"/>
        </w:rPr>
        <w:t>本标准的编制以科学发展观为指导，遵循“科学性、先进性，可行性、规范性”的原则。标准制定前，参考了包括《基因治疗产品质量控制技术指南》在内的多种相关标准，结合国内实验室的实际能力，参考行业现状及技术进展，确保标准的实施具有较高的落地性。并且基于科学严谨的技术基础，确保标准的检测方法、操作流程具有充分的理论依据和技术可行性。</w:t>
      </w:r>
    </w:p>
    <w:p w14:paraId="534B948D">
      <w:pPr>
        <w:spacing w:line="360" w:lineRule="auto"/>
        <w:rPr>
          <w:rFonts w:hint="eastAsia" w:ascii="宋体" w:hAnsi="宋体" w:cs="宋体"/>
          <w:b/>
          <w:bCs/>
          <w:sz w:val="24"/>
          <w:szCs w:val="24"/>
        </w:rPr>
      </w:pPr>
      <w:r>
        <w:rPr>
          <w:rFonts w:hint="eastAsia" w:ascii="宋体" w:hAnsi="宋体" w:cs="宋体"/>
          <w:b/>
          <w:bCs/>
          <w:sz w:val="24"/>
          <w:szCs w:val="24"/>
        </w:rPr>
        <w:t>三、标准主要内容</w:t>
      </w:r>
    </w:p>
    <w:p w14:paraId="158ED205">
      <w:pPr>
        <w:spacing w:line="360" w:lineRule="auto"/>
        <w:ind w:firstLine="480" w:firstLineChars="200"/>
        <w:rPr>
          <w:rFonts w:ascii="宋体" w:hAnsi="宋体" w:cs="宋体"/>
          <w:sz w:val="24"/>
          <w:szCs w:val="24"/>
        </w:rPr>
      </w:pPr>
      <w:r>
        <w:rPr>
          <w:rFonts w:hint="eastAsia" w:ascii="宋体" w:hAnsi="宋体" w:cs="宋体"/>
          <w:sz w:val="24"/>
          <w:szCs w:val="24"/>
        </w:rPr>
        <w:t>《监测病毒载体稳定携带治疗基因的分析质控技术标准</w:t>
      </w:r>
      <w:bookmarkStart w:id="0" w:name="_GoBack"/>
      <w:bookmarkEnd w:id="0"/>
      <w:r>
        <w:rPr>
          <w:rFonts w:hint="eastAsia" w:ascii="宋体" w:hAnsi="宋体" w:cs="宋体"/>
          <w:sz w:val="24"/>
          <w:szCs w:val="24"/>
        </w:rPr>
        <w:t>》包括范围、术语、总体原则，监测方法、质控流程、数据分析与判定、安全保障、项目管理、参考文献1</w:t>
      </w:r>
      <w:r>
        <w:rPr>
          <w:rFonts w:ascii="宋体" w:hAnsi="宋体" w:cs="宋体"/>
          <w:sz w:val="24"/>
          <w:szCs w:val="24"/>
        </w:rPr>
        <w:t>0</w:t>
      </w:r>
      <w:r>
        <w:rPr>
          <w:rFonts w:hint="eastAsia" w:ascii="宋体" w:hAnsi="宋体" w:cs="宋体"/>
          <w:sz w:val="24"/>
          <w:szCs w:val="24"/>
        </w:rPr>
        <w:t>个部分。</w:t>
      </w:r>
    </w:p>
    <w:p w14:paraId="231BD9C4">
      <w:pPr>
        <w:numPr>
          <w:ilvl w:val="0"/>
          <w:numId w:val="5"/>
        </w:numPr>
        <w:spacing w:line="360" w:lineRule="auto"/>
        <w:ind w:firstLine="480" w:firstLineChars="200"/>
        <w:rPr>
          <w:rFonts w:hint="eastAsia" w:ascii="宋体" w:hAnsi="宋体" w:cs="宋体"/>
          <w:sz w:val="24"/>
          <w:szCs w:val="24"/>
        </w:rPr>
      </w:pPr>
      <w:r>
        <w:rPr>
          <w:rFonts w:hint="eastAsia" w:ascii="宋体" w:hAnsi="宋体" w:cs="宋体"/>
          <w:sz w:val="24"/>
          <w:szCs w:val="24"/>
        </w:rPr>
        <w:t>范围</w:t>
      </w:r>
    </w:p>
    <w:p w14:paraId="7E7E06C5">
      <w:pPr>
        <w:pStyle w:val="39"/>
        <w:spacing w:line="360" w:lineRule="auto"/>
        <w:ind w:firstLine="480"/>
        <w:rPr>
          <w:sz w:val="24"/>
          <w:szCs w:val="24"/>
        </w:rPr>
      </w:pPr>
      <w:r>
        <w:rPr>
          <w:rFonts w:hint="eastAsia"/>
          <w:sz w:val="24"/>
          <w:szCs w:val="24"/>
        </w:rPr>
        <w:t>本文件规定了使用监测辛德毕斯病毒载体稳定携带治疗基因的分析方法的原理、试剂和材料、仪器和设备、样品、实验步骤、结果分析。本文件适用于监测辛德毕斯病毒载体携带治疗基因稳定性的测定。</w:t>
      </w:r>
    </w:p>
    <w:p w14:paraId="43D6BA36">
      <w:pPr>
        <w:spacing w:line="360" w:lineRule="auto"/>
        <w:ind w:firstLine="480" w:firstLineChars="200"/>
        <w:rPr>
          <w:rFonts w:hint="eastAsia" w:ascii="宋体" w:hAnsi="宋体" w:cs="宋体"/>
          <w:sz w:val="24"/>
          <w:szCs w:val="24"/>
        </w:rPr>
      </w:pPr>
      <w:r>
        <w:rPr>
          <w:rFonts w:hint="eastAsia" w:ascii="宋体" w:hAnsi="宋体" w:cs="宋体"/>
          <w:sz w:val="24"/>
          <w:szCs w:val="24"/>
        </w:rPr>
        <w:t>（二）规范性引用文件</w:t>
      </w:r>
    </w:p>
    <w:p w14:paraId="1FB29332">
      <w:pPr>
        <w:pStyle w:val="39"/>
        <w:spacing w:line="360" w:lineRule="auto"/>
        <w:ind w:firstLine="480"/>
        <w:rPr>
          <w:rFonts w:hint="eastAsia"/>
          <w:sz w:val="24"/>
          <w:szCs w:val="24"/>
        </w:rPr>
      </w:pPr>
      <w:r>
        <w:rPr>
          <w:rFonts w:hint="eastAsia"/>
          <w:sz w:val="24"/>
          <w:szCs w:val="24"/>
        </w:rPr>
        <w:t>本文件没有规范性引用文件。</w:t>
      </w:r>
    </w:p>
    <w:p w14:paraId="20C59605">
      <w:pPr>
        <w:spacing w:line="360" w:lineRule="auto"/>
        <w:ind w:firstLine="480" w:firstLineChars="200"/>
        <w:rPr>
          <w:rFonts w:ascii="宋体" w:hAnsi="宋体" w:cs="宋体"/>
          <w:sz w:val="24"/>
          <w:szCs w:val="24"/>
        </w:rPr>
      </w:pPr>
      <w:r>
        <w:rPr>
          <w:rFonts w:hint="eastAsia" w:ascii="宋体" w:hAnsi="宋体" w:cs="宋体"/>
          <w:sz w:val="24"/>
          <w:szCs w:val="24"/>
        </w:rPr>
        <w:t>（三）术语和定义</w:t>
      </w:r>
    </w:p>
    <w:p w14:paraId="571901C6">
      <w:pPr>
        <w:pStyle w:val="42"/>
        <w:numPr>
          <w:ilvl w:val="0"/>
          <w:numId w:val="0"/>
        </w:numPr>
        <w:spacing w:before="0" w:beforeLines="0" w:after="0" w:afterLines="0"/>
        <w:ind w:firstLine="480" w:firstLineChars="200"/>
        <w:rPr>
          <w:rFonts w:hAnsi="宋体"/>
        </w:rPr>
      </w:pPr>
      <w:r>
        <w:rPr>
          <w:rFonts w:hint="eastAsia" w:ascii="宋体" w:hAnsi="宋体" w:eastAsia="宋体" w:cs="宋体"/>
          <w:sz w:val="24"/>
          <w:szCs w:val="24"/>
        </w:rPr>
        <w:t>本章主要包括了</w:t>
      </w:r>
      <w:r>
        <w:rPr>
          <w:rFonts w:hint="eastAsia" w:ascii="宋体" w:hAnsi="宋体" w:eastAsia="宋体" w:cs="宋体"/>
          <w:kern w:val="2"/>
          <w:sz w:val="24"/>
          <w:szCs w:val="24"/>
        </w:rPr>
        <w:t>：</w:t>
      </w:r>
      <w:r>
        <w:rPr>
          <w:rFonts w:ascii="宋体" w:hAnsi="宋体" w:eastAsia="宋体" w:cs="宋体"/>
          <w:kern w:val="2"/>
          <w:sz w:val="24"/>
          <w:szCs w:val="24"/>
        </w:rPr>
        <w:t>辛德毕斯病毒</w:t>
      </w:r>
      <w:r>
        <w:rPr>
          <w:rFonts w:hint="eastAsia" w:ascii="宋体" w:hAnsi="宋体" w:eastAsia="宋体" w:cs="宋体"/>
          <w:kern w:val="2"/>
          <w:sz w:val="24"/>
          <w:szCs w:val="24"/>
        </w:rPr>
        <w:t xml:space="preserve"> </w:t>
      </w:r>
      <w:r>
        <w:rPr>
          <w:rFonts w:ascii="宋体" w:hAnsi="宋体" w:eastAsia="宋体" w:cs="宋体"/>
          <w:kern w:val="2"/>
          <w:sz w:val="24"/>
          <w:szCs w:val="24"/>
        </w:rPr>
        <w:t xml:space="preserve"> </w:t>
      </w:r>
      <w:r>
        <w:rPr>
          <w:rFonts w:hint="eastAsia" w:ascii="宋体" w:hAnsi="宋体" w:eastAsia="宋体" w:cs="宋体"/>
          <w:kern w:val="2"/>
          <w:sz w:val="24"/>
          <w:szCs w:val="24"/>
        </w:rPr>
        <w:t>s</w:t>
      </w:r>
      <w:r>
        <w:rPr>
          <w:rFonts w:ascii="宋体" w:hAnsi="宋体" w:eastAsia="宋体" w:cs="宋体"/>
          <w:kern w:val="2"/>
          <w:sz w:val="24"/>
          <w:szCs w:val="24"/>
        </w:rPr>
        <w:t>indbis virus</w:t>
      </w:r>
      <w:r>
        <w:rPr>
          <w:rFonts w:hint="eastAsia" w:ascii="宋体" w:hAnsi="宋体" w:eastAsia="宋体" w:cs="宋体"/>
          <w:kern w:val="2"/>
          <w:sz w:val="24"/>
          <w:szCs w:val="24"/>
        </w:rPr>
        <w:t>;</w:t>
      </w:r>
      <w:r>
        <w:rPr>
          <w:rFonts w:ascii="宋体" w:hAnsi="宋体" w:eastAsia="宋体" w:cs="宋体"/>
          <w:kern w:val="2"/>
          <w:sz w:val="24"/>
          <w:szCs w:val="24"/>
        </w:rPr>
        <w:t xml:space="preserve"> </w:t>
      </w:r>
      <w:r>
        <w:rPr>
          <w:rFonts w:hint="eastAsia" w:ascii="宋体" w:hAnsi="宋体" w:eastAsia="宋体" w:cs="宋体"/>
          <w:kern w:val="2"/>
          <w:sz w:val="24"/>
          <w:szCs w:val="24"/>
        </w:rPr>
        <w:t>SIN</w:t>
      </w:r>
      <w:r>
        <w:rPr>
          <w:rFonts w:ascii="宋体" w:hAnsi="宋体" w:eastAsia="宋体" w:cs="宋体"/>
          <w:kern w:val="2"/>
          <w:sz w:val="24"/>
          <w:szCs w:val="24"/>
        </w:rPr>
        <w:t>V</w:t>
      </w:r>
      <w:r>
        <w:rPr>
          <w:rFonts w:hint="eastAsia" w:ascii="宋体" w:hAnsi="宋体" w:cs="宋体"/>
          <w:sz w:val="24"/>
          <w:szCs w:val="24"/>
        </w:rPr>
        <w:t>。</w:t>
      </w:r>
    </w:p>
    <w:p w14:paraId="7565FF77">
      <w:pPr>
        <w:spacing w:line="360" w:lineRule="auto"/>
        <w:ind w:firstLine="480" w:firstLineChars="200"/>
        <w:rPr>
          <w:rFonts w:ascii="宋体" w:hAnsi="宋体" w:cs="宋体"/>
          <w:sz w:val="24"/>
          <w:szCs w:val="24"/>
        </w:rPr>
      </w:pPr>
    </w:p>
    <w:p w14:paraId="65065FB4">
      <w:pPr>
        <w:spacing w:line="360" w:lineRule="auto"/>
        <w:ind w:firstLine="480" w:firstLineChars="200"/>
        <w:rPr>
          <w:rFonts w:hint="eastAsia" w:ascii="宋体" w:hAnsi="宋体" w:cs="宋体"/>
          <w:sz w:val="24"/>
          <w:szCs w:val="24"/>
        </w:rPr>
      </w:pPr>
      <w:r>
        <w:rPr>
          <w:rFonts w:hint="eastAsia" w:ascii="宋体" w:hAnsi="宋体" w:cs="宋体"/>
          <w:sz w:val="24"/>
          <w:szCs w:val="24"/>
        </w:rPr>
        <w:t>（四）总体原则</w:t>
      </w:r>
    </w:p>
    <w:p w14:paraId="5674248E">
      <w:pPr>
        <w:spacing w:line="360" w:lineRule="auto"/>
        <w:ind w:firstLine="480" w:firstLineChars="200"/>
        <w:rPr>
          <w:rFonts w:hint="eastAsia" w:ascii="宋体" w:hAnsi="宋体" w:cs="宋体"/>
          <w:sz w:val="24"/>
          <w:szCs w:val="24"/>
        </w:rPr>
      </w:pPr>
      <w:r>
        <w:rPr>
          <w:rFonts w:hint="eastAsia" w:ascii="宋体" w:hAnsi="宋体" w:cs="宋体"/>
          <w:sz w:val="24"/>
          <w:szCs w:val="24"/>
        </w:rPr>
        <w:t>确保检测灵敏性、特异性和稳定性，构建统一的质控体系。</w:t>
      </w:r>
    </w:p>
    <w:p w14:paraId="4DE26EFA">
      <w:pPr>
        <w:spacing w:line="360" w:lineRule="auto"/>
        <w:ind w:firstLine="480" w:firstLineChars="200"/>
        <w:rPr>
          <w:rFonts w:ascii="宋体" w:hAnsi="宋体" w:cs="宋体"/>
          <w:sz w:val="24"/>
          <w:szCs w:val="24"/>
        </w:rPr>
      </w:pPr>
      <w:r>
        <w:rPr>
          <w:rFonts w:hint="eastAsia" w:ascii="宋体" w:hAnsi="宋体" w:cs="宋体"/>
          <w:sz w:val="24"/>
          <w:szCs w:val="24"/>
        </w:rPr>
        <w:t>（五）监测方法</w:t>
      </w:r>
    </w:p>
    <w:p w14:paraId="0FD4EF39">
      <w:pPr>
        <w:pStyle w:val="39"/>
        <w:spacing w:line="360" w:lineRule="auto"/>
        <w:rPr>
          <w:sz w:val="24"/>
          <w:szCs w:val="24"/>
        </w:rPr>
      </w:pPr>
      <w:r>
        <w:rPr>
          <w:rFonts w:hint="eastAsia" w:hAnsi="宋体" w:cs="宋体"/>
          <w:sz w:val="24"/>
          <w:szCs w:val="24"/>
        </w:rPr>
        <w:t xml:space="preserve"> </w:t>
      </w:r>
      <w:r>
        <w:rPr>
          <w:rFonts w:hint="eastAsia"/>
          <w:sz w:val="24"/>
          <w:szCs w:val="24"/>
        </w:rPr>
        <w:t>按照以下步骤进行试验：</w:t>
      </w:r>
    </w:p>
    <w:p w14:paraId="76EA12D4">
      <w:pPr>
        <w:pStyle w:val="43"/>
        <w:spacing w:line="360" w:lineRule="auto"/>
        <w:rPr>
          <w:rFonts w:hint="eastAsia" w:hAnsi="宋体" w:cs="宋体"/>
          <w:sz w:val="24"/>
          <w:szCs w:val="24"/>
        </w:rPr>
      </w:pPr>
      <w:r>
        <w:rPr>
          <w:rFonts w:hint="eastAsia" w:hAnsi="宋体" w:cs="宋体"/>
          <w:sz w:val="24"/>
          <w:szCs w:val="24"/>
        </w:rPr>
        <w:t>提前一天在6孔板中以每孔8×10</w:t>
      </w:r>
      <w:r>
        <w:rPr>
          <w:rFonts w:hint="eastAsia" w:hAnsi="宋体" w:cs="宋体"/>
          <w:sz w:val="24"/>
          <w:szCs w:val="24"/>
          <w:vertAlign w:val="superscript"/>
        </w:rPr>
        <w:t>5</w:t>
      </w:r>
      <w:r>
        <w:rPr>
          <w:rFonts w:hint="eastAsia" w:hAnsi="宋体" w:cs="宋体"/>
          <w:sz w:val="24"/>
          <w:szCs w:val="24"/>
        </w:rPr>
        <w:t>的密度接种BHK-21细胞；</w:t>
      </w:r>
    </w:p>
    <w:p w14:paraId="0CE146E8">
      <w:pPr>
        <w:pStyle w:val="43"/>
        <w:spacing w:line="360" w:lineRule="auto"/>
        <w:rPr>
          <w:rFonts w:hint="eastAsia" w:hAnsi="宋体" w:cs="宋体"/>
          <w:sz w:val="24"/>
          <w:szCs w:val="24"/>
        </w:rPr>
      </w:pPr>
      <w:r>
        <w:rPr>
          <w:rFonts w:hint="eastAsia" w:hAnsi="宋体" w:cs="宋体"/>
          <w:sz w:val="24"/>
          <w:szCs w:val="24"/>
        </w:rPr>
        <w:t>将SINV-WT-EGFP和SINV-G285S-EGFP的P0代病毒以0.1MOI分别感染新鲜的BHK-21细胞；</w:t>
      </w:r>
    </w:p>
    <w:p w14:paraId="3969D75F">
      <w:pPr>
        <w:pStyle w:val="43"/>
        <w:spacing w:line="360" w:lineRule="auto"/>
        <w:rPr>
          <w:rFonts w:hint="eastAsia" w:hAnsi="宋体" w:cs="宋体"/>
          <w:sz w:val="24"/>
          <w:szCs w:val="24"/>
        </w:rPr>
      </w:pPr>
      <w:r>
        <w:rPr>
          <w:rFonts w:hint="eastAsia" w:hAnsi="宋体" w:cs="宋体"/>
          <w:sz w:val="24"/>
          <w:szCs w:val="24"/>
        </w:rPr>
        <w:t xml:space="preserve">感染后48小时收集病毒上清，收集的病毒上清为P1代病毒。将病毒上清进行离心（5000 xg，5 min），过滤(0.22 </w:t>
      </w:r>
      <w:r>
        <w:rPr>
          <w:rFonts w:hint="eastAsia" w:hAnsi="宋体" w:cs="宋体"/>
          <w:sz w:val="24"/>
          <w:szCs w:val="24"/>
        </w:rPr>
        <w:sym w:font="Symbol" w:char="F06D"/>
      </w:r>
      <w:r>
        <w:rPr>
          <w:rFonts w:hint="eastAsia" w:hAnsi="宋体" w:cs="宋体"/>
          <w:sz w:val="24"/>
          <w:szCs w:val="24"/>
        </w:rPr>
        <w:t>m滤膜)后，分装冻存在-80 ℃冰箱中，避免反复冻融；</w:t>
      </w:r>
    </w:p>
    <w:p w14:paraId="2C782DFB">
      <w:pPr>
        <w:pStyle w:val="43"/>
        <w:spacing w:line="360" w:lineRule="auto"/>
        <w:rPr>
          <w:rFonts w:hint="eastAsia" w:hAnsi="宋体" w:cs="宋体"/>
          <w:sz w:val="24"/>
          <w:szCs w:val="24"/>
        </w:rPr>
      </w:pPr>
      <w:r>
        <w:rPr>
          <w:rFonts w:hint="eastAsia" w:hAnsi="宋体" w:cs="宋体"/>
          <w:sz w:val="24"/>
          <w:szCs w:val="24"/>
        </w:rPr>
        <w:t>重复步骤a）；</w:t>
      </w:r>
    </w:p>
    <w:p w14:paraId="1988C131">
      <w:pPr>
        <w:pStyle w:val="43"/>
        <w:spacing w:line="360" w:lineRule="auto"/>
        <w:rPr>
          <w:rFonts w:hint="eastAsia" w:hAnsi="宋体" w:cs="宋体"/>
          <w:sz w:val="24"/>
          <w:szCs w:val="24"/>
        </w:rPr>
      </w:pPr>
      <w:r>
        <w:rPr>
          <w:rFonts w:hint="eastAsia" w:hAnsi="宋体" w:cs="宋体"/>
          <w:sz w:val="24"/>
          <w:szCs w:val="24"/>
        </w:rPr>
        <w:t>将SINV-WT-EGFP和SINV-G285S-EGFP的P1代病毒以0.1MOI分别感染新鲜的BHK-21细胞；</w:t>
      </w:r>
    </w:p>
    <w:p w14:paraId="2E682176">
      <w:pPr>
        <w:pStyle w:val="43"/>
        <w:spacing w:line="360" w:lineRule="auto"/>
        <w:rPr>
          <w:rFonts w:hint="eastAsia" w:hAnsi="宋体" w:cs="宋体"/>
          <w:sz w:val="24"/>
          <w:szCs w:val="24"/>
        </w:rPr>
      </w:pPr>
      <w:r>
        <w:rPr>
          <w:rFonts w:hint="eastAsia" w:hAnsi="宋体" w:cs="宋体"/>
          <w:sz w:val="24"/>
          <w:szCs w:val="24"/>
        </w:rPr>
        <w:t xml:space="preserve">感染后48小时收集病毒上清，收集的病毒上清为P2代病毒。将病毒上清离心（5000 xg，5 min），过滤(0.22 </w:t>
      </w:r>
      <w:r>
        <w:rPr>
          <w:rFonts w:hint="eastAsia" w:hAnsi="宋体" w:cs="宋体"/>
          <w:sz w:val="24"/>
          <w:szCs w:val="24"/>
        </w:rPr>
        <w:sym w:font="Symbol" w:char="F06D"/>
      </w:r>
      <w:r>
        <w:rPr>
          <w:rFonts w:hint="eastAsia" w:hAnsi="宋体" w:cs="宋体"/>
          <w:sz w:val="24"/>
          <w:szCs w:val="24"/>
        </w:rPr>
        <w:t>m滤膜)后，分装冻存在-80 ℃冰箱中，避免反复冻融；</w:t>
      </w:r>
    </w:p>
    <w:p w14:paraId="6BD8693B">
      <w:pPr>
        <w:pStyle w:val="43"/>
        <w:spacing w:line="360" w:lineRule="auto"/>
        <w:rPr>
          <w:rFonts w:hint="eastAsia" w:hAnsi="宋体" w:cs="宋体"/>
          <w:sz w:val="24"/>
          <w:szCs w:val="24"/>
        </w:rPr>
      </w:pPr>
      <w:r>
        <w:rPr>
          <w:rFonts w:hint="eastAsia" w:hAnsi="宋体" w:cs="宋体"/>
          <w:sz w:val="24"/>
          <w:szCs w:val="24"/>
        </w:rPr>
        <w:t>按照步骤e）和</w:t>
      </w:r>
      <w:r>
        <w:rPr>
          <w:rFonts w:hAnsi="宋体" w:cs="宋体"/>
          <w:sz w:val="24"/>
          <w:szCs w:val="24"/>
        </w:rPr>
        <w:t>f</w:t>
      </w:r>
      <w:r>
        <w:rPr>
          <w:rFonts w:hint="eastAsia" w:hAnsi="宋体" w:cs="宋体"/>
          <w:sz w:val="24"/>
          <w:szCs w:val="24"/>
        </w:rPr>
        <w:t>）的方法，将SINV-WT-EGFP和SINV-G285S-EGFP进行连续传代，收集每一代的病毒上清；</w:t>
      </w:r>
    </w:p>
    <w:p w14:paraId="6849F391">
      <w:pPr>
        <w:pStyle w:val="43"/>
        <w:spacing w:line="360" w:lineRule="auto"/>
        <w:rPr>
          <w:rFonts w:hint="eastAsia" w:hAnsi="宋体" w:cs="宋体"/>
          <w:sz w:val="24"/>
          <w:szCs w:val="24"/>
        </w:rPr>
      </w:pPr>
      <w:r>
        <w:rPr>
          <w:rFonts w:hint="eastAsia" w:hAnsi="宋体" w:cs="宋体"/>
          <w:sz w:val="24"/>
          <w:szCs w:val="24"/>
        </w:rPr>
        <w:t>将收集的病毒上清取140 uL，使用病毒RNA提取试剂盒（QIAamp Viral RNA Mini Kit）进行每代病毒RNA的提取，并用Nanodrop 2000C进行RNA浓度的测定；</w:t>
      </w:r>
    </w:p>
    <w:p w14:paraId="7811FAAF">
      <w:pPr>
        <w:pStyle w:val="43"/>
        <w:spacing w:line="360" w:lineRule="auto"/>
        <w:rPr>
          <w:rFonts w:hint="eastAsia" w:hAnsi="宋体" w:cs="宋体"/>
          <w:sz w:val="24"/>
          <w:szCs w:val="24"/>
        </w:rPr>
      </w:pPr>
      <w:r>
        <w:rPr>
          <w:rFonts w:hint="eastAsia" w:hAnsi="宋体" w:cs="宋体"/>
          <w:sz w:val="24"/>
          <w:szCs w:val="24"/>
        </w:rPr>
        <w:t>在RNase-free的200 uLPCR管中按照表1配制混合液。</w:t>
      </w:r>
    </w:p>
    <w:p w14:paraId="64CAF2D3">
      <w:pPr>
        <w:pStyle w:val="45"/>
        <w:numPr>
          <w:ilvl w:val="0"/>
          <w:numId w:val="6"/>
        </w:numPr>
        <w:rPr>
          <w:rFonts w:ascii="宋体" w:hAnsi="宋体" w:eastAsia="宋体"/>
          <w:sz w:val="24"/>
          <w:szCs w:val="24"/>
        </w:rPr>
      </w:pPr>
      <w:r>
        <w:rPr>
          <w:rFonts w:hint="eastAsia" w:ascii="宋体" w:hAnsi="宋体" w:eastAsia="宋体"/>
          <w:sz w:val="24"/>
          <w:szCs w:val="24"/>
        </w:rPr>
        <w:t>混合液配置比例表</w:t>
      </w:r>
    </w:p>
    <w:tbl>
      <w:tblPr>
        <w:tblStyle w:val="1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5030"/>
        <w:gridCol w:w="2251"/>
      </w:tblGrid>
      <w:tr w14:paraId="0796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top w:val="single" w:color="auto" w:sz="12" w:space="0"/>
              <w:left w:val="single" w:color="auto" w:sz="12" w:space="0"/>
              <w:bottom w:val="single" w:color="auto" w:sz="12" w:space="0"/>
              <w:tl2br w:val="nil"/>
              <w:tr2bl w:val="nil"/>
            </w:tcBorders>
          </w:tcPr>
          <w:p w14:paraId="58D26E2E">
            <w:pPr>
              <w:pStyle w:val="30"/>
              <w:tabs>
                <w:tab w:val="left" w:pos="312"/>
              </w:tabs>
              <w:jc w:val="center"/>
              <w:rPr>
                <w:rFonts w:ascii="宋体" w:hAnsi="宋体" w:cs="宋体"/>
                <w:kern w:val="0"/>
                <w:sz w:val="24"/>
                <w:szCs w:val="24"/>
              </w:rPr>
            </w:pPr>
            <w:r>
              <w:rPr>
                <w:rFonts w:hint="eastAsia" w:ascii="宋体" w:hAnsi="宋体" w:cs="宋体"/>
                <w:kern w:val="0"/>
                <w:sz w:val="24"/>
                <w:szCs w:val="24"/>
              </w:rPr>
              <w:t>序号</w:t>
            </w:r>
          </w:p>
        </w:tc>
        <w:tc>
          <w:tcPr>
            <w:tcW w:w="2957" w:type="pct"/>
            <w:tcBorders>
              <w:top w:val="single" w:color="auto" w:sz="12" w:space="0"/>
              <w:bottom w:val="single" w:color="auto" w:sz="12" w:space="0"/>
              <w:tl2br w:val="nil"/>
              <w:tr2bl w:val="nil"/>
            </w:tcBorders>
          </w:tcPr>
          <w:p w14:paraId="1BD9B946">
            <w:pPr>
              <w:pStyle w:val="30"/>
              <w:tabs>
                <w:tab w:val="left" w:pos="312"/>
              </w:tabs>
              <w:jc w:val="center"/>
              <w:rPr>
                <w:rFonts w:ascii="宋体" w:hAnsi="宋体" w:cs="宋体"/>
                <w:kern w:val="0"/>
                <w:sz w:val="24"/>
                <w:szCs w:val="24"/>
              </w:rPr>
            </w:pPr>
            <w:r>
              <w:rPr>
                <w:rFonts w:hint="eastAsia" w:ascii="宋体" w:hAnsi="宋体" w:cs="宋体"/>
                <w:kern w:val="0"/>
                <w:sz w:val="24"/>
                <w:szCs w:val="24"/>
              </w:rPr>
              <w:t>内容物</w:t>
            </w:r>
          </w:p>
        </w:tc>
        <w:tc>
          <w:tcPr>
            <w:tcW w:w="1322" w:type="pct"/>
            <w:tcBorders>
              <w:top w:val="single" w:color="auto" w:sz="12" w:space="0"/>
              <w:bottom w:val="single" w:color="auto" w:sz="12" w:space="0"/>
              <w:right w:val="single" w:color="auto" w:sz="12" w:space="0"/>
              <w:tl2br w:val="nil"/>
              <w:tr2bl w:val="nil"/>
            </w:tcBorders>
          </w:tcPr>
          <w:p w14:paraId="0AA56EC0">
            <w:pPr>
              <w:pStyle w:val="30"/>
              <w:tabs>
                <w:tab w:val="left" w:pos="312"/>
              </w:tabs>
              <w:jc w:val="center"/>
              <w:rPr>
                <w:rFonts w:ascii="宋体" w:hAnsi="宋体" w:cs="宋体"/>
                <w:kern w:val="0"/>
                <w:sz w:val="24"/>
                <w:szCs w:val="24"/>
              </w:rPr>
            </w:pPr>
            <w:r>
              <w:rPr>
                <w:rFonts w:hint="eastAsia" w:ascii="宋体" w:hAnsi="宋体" w:cs="宋体"/>
                <w:kern w:val="0"/>
                <w:sz w:val="24"/>
                <w:szCs w:val="24"/>
              </w:rPr>
              <w:t>剂量</w:t>
            </w:r>
          </w:p>
        </w:tc>
      </w:tr>
      <w:tr w14:paraId="3A24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top w:val="single" w:color="auto" w:sz="12" w:space="0"/>
              <w:left w:val="single" w:color="auto" w:sz="12" w:space="0"/>
              <w:tl2br w:val="nil"/>
              <w:tr2bl w:val="nil"/>
            </w:tcBorders>
          </w:tcPr>
          <w:p w14:paraId="327AA721">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1</w:t>
            </w:r>
          </w:p>
        </w:tc>
        <w:tc>
          <w:tcPr>
            <w:tcW w:w="2957" w:type="pct"/>
            <w:tcBorders>
              <w:top w:val="single" w:color="auto" w:sz="12" w:space="0"/>
              <w:tl2br w:val="nil"/>
              <w:tr2bl w:val="nil"/>
            </w:tcBorders>
          </w:tcPr>
          <w:p w14:paraId="266A710F">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RNase-free ddH2O</w:t>
            </w:r>
          </w:p>
        </w:tc>
        <w:tc>
          <w:tcPr>
            <w:tcW w:w="1322" w:type="pct"/>
            <w:tcBorders>
              <w:top w:val="single" w:color="auto" w:sz="12" w:space="0"/>
              <w:right w:val="single" w:color="auto" w:sz="12" w:space="0"/>
              <w:tl2br w:val="nil"/>
              <w:tr2bl w:val="nil"/>
            </w:tcBorders>
          </w:tcPr>
          <w:p w14:paraId="5C801EA5">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 xml:space="preserve">50 </w:t>
            </w:r>
            <w:r>
              <w:rPr>
                <w:rFonts w:hint="eastAsia" w:ascii="宋体" w:hAnsi="宋体" w:cs="宋体"/>
                <w:kern w:val="0"/>
                <w:sz w:val="24"/>
                <w:szCs w:val="24"/>
              </w:rPr>
              <w:sym w:font="Symbol" w:char="F06D"/>
            </w:r>
            <w:r>
              <w:rPr>
                <w:rFonts w:hint="eastAsia" w:ascii="宋体" w:hAnsi="宋体" w:cs="宋体"/>
                <w:kern w:val="0"/>
                <w:sz w:val="24"/>
                <w:szCs w:val="24"/>
              </w:rPr>
              <w:t>L</w:t>
            </w:r>
          </w:p>
        </w:tc>
      </w:tr>
      <w:tr w14:paraId="13AB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left w:val="single" w:color="auto" w:sz="12" w:space="0"/>
              <w:tl2br w:val="nil"/>
              <w:tr2bl w:val="nil"/>
            </w:tcBorders>
          </w:tcPr>
          <w:p w14:paraId="25DF0E21">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2</w:t>
            </w:r>
          </w:p>
        </w:tc>
        <w:tc>
          <w:tcPr>
            <w:tcW w:w="2957" w:type="pct"/>
            <w:tcBorders>
              <w:tl2br w:val="nil"/>
              <w:tr2bl w:val="nil"/>
            </w:tcBorders>
          </w:tcPr>
          <w:p w14:paraId="792DD65C">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2 × One Step Mix (Dye Plus)</w:t>
            </w:r>
          </w:p>
        </w:tc>
        <w:tc>
          <w:tcPr>
            <w:tcW w:w="1322" w:type="pct"/>
            <w:tcBorders>
              <w:right w:val="single" w:color="auto" w:sz="12" w:space="0"/>
              <w:tl2br w:val="nil"/>
              <w:tr2bl w:val="nil"/>
            </w:tcBorders>
          </w:tcPr>
          <w:p w14:paraId="6E858779">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 xml:space="preserve">25 </w:t>
            </w:r>
            <w:r>
              <w:rPr>
                <w:rFonts w:hint="eastAsia" w:ascii="宋体" w:hAnsi="宋体" w:cs="宋体"/>
                <w:kern w:val="0"/>
                <w:sz w:val="24"/>
                <w:szCs w:val="24"/>
              </w:rPr>
              <w:sym w:font="Symbol" w:char="F06D"/>
            </w:r>
            <w:r>
              <w:rPr>
                <w:rFonts w:hint="eastAsia" w:ascii="宋体" w:hAnsi="宋体" w:cs="宋体"/>
                <w:kern w:val="0"/>
                <w:sz w:val="24"/>
                <w:szCs w:val="24"/>
              </w:rPr>
              <w:t>L</w:t>
            </w:r>
          </w:p>
        </w:tc>
      </w:tr>
      <w:tr w14:paraId="0674A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left w:val="single" w:color="auto" w:sz="12" w:space="0"/>
              <w:tl2br w:val="nil"/>
              <w:tr2bl w:val="nil"/>
            </w:tcBorders>
          </w:tcPr>
          <w:p w14:paraId="25A335AA">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3</w:t>
            </w:r>
          </w:p>
        </w:tc>
        <w:tc>
          <w:tcPr>
            <w:tcW w:w="2957" w:type="pct"/>
            <w:tcBorders>
              <w:tl2br w:val="nil"/>
              <w:tr2bl w:val="nil"/>
            </w:tcBorders>
          </w:tcPr>
          <w:p w14:paraId="014E8B16">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One Step Enzyme Mix</w:t>
            </w:r>
          </w:p>
        </w:tc>
        <w:tc>
          <w:tcPr>
            <w:tcW w:w="1322" w:type="pct"/>
            <w:tcBorders>
              <w:right w:val="single" w:color="auto" w:sz="12" w:space="0"/>
              <w:tl2br w:val="nil"/>
              <w:tr2bl w:val="nil"/>
            </w:tcBorders>
          </w:tcPr>
          <w:p w14:paraId="3D3A73AE">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 xml:space="preserve">2.5 </w:t>
            </w:r>
            <w:r>
              <w:rPr>
                <w:rFonts w:hint="eastAsia" w:ascii="宋体" w:hAnsi="宋体" w:cs="宋体"/>
                <w:kern w:val="0"/>
                <w:sz w:val="24"/>
                <w:szCs w:val="24"/>
              </w:rPr>
              <w:sym w:font="Symbol" w:char="F06D"/>
            </w:r>
            <w:r>
              <w:rPr>
                <w:rFonts w:hint="eastAsia" w:ascii="宋体" w:hAnsi="宋体" w:cs="宋体"/>
                <w:kern w:val="0"/>
                <w:sz w:val="24"/>
                <w:szCs w:val="24"/>
              </w:rPr>
              <w:t>L</w:t>
            </w:r>
          </w:p>
        </w:tc>
      </w:tr>
      <w:tr w14:paraId="2E09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left w:val="single" w:color="auto" w:sz="12" w:space="0"/>
              <w:tl2br w:val="nil"/>
              <w:tr2bl w:val="nil"/>
            </w:tcBorders>
          </w:tcPr>
          <w:p w14:paraId="440CEC4D">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4</w:t>
            </w:r>
          </w:p>
        </w:tc>
        <w:tc>
          <w:tcPr>
            <w:tcW w:w="2957" w:type="pct"/>
            <w:tcBorders>
              <w:tl2br w:val="nil"/>
              <w:tr2bl w:val="nil"/>
            </w:tcBorders>
          </w:tcPr>
          <w:p w14:paraId="3ED222F6">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Gene Specific Primer Forward (10 µM)</w:t>
            </w:r>
          </w:p>
        </w:tc>
        <w:tc>
          <w:tcPr>
            <w:tcW w:w="1322" w:type="pct"/>
            <w:tcBorders>
              <w:right w:val="single" w:color="auto" w:sz="12" w:space="0"/>
              <w:tl2br w:val="nil"/>
              <w:tr2bl w:val="nil"/>
            </w:tcBorders>
          </w:tcPr>
          <w:p w14:paraId="1E93FACE">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 xml:space="preserve">2 </w:t>
            </w:r>
            <w:r>
              <w:rPr>
                <w:rFonts w:hint="eastAsia" w:ascii="宋体" w:hAnsi="宋体" w:cs="宋体"/>
                <w:kern w:val="0"/>
                <w:sz w:val="24"/>
                <w:szCs w:val="24"/>
              </w:rPr>
              <w:sym w:font="Symbol" w:char="F06D"/>
            </w:r>
            <w:r>
              <w:rPr>
                <w:rFonts w:hint="eastAsia" w:ascii="宋体" w:hAnsi="宋体" w:cs="宋体"/>
                <w:kern w:val="0"/>
                <w:sz w:val="24"/>
                <w:szCs w:val="24"/>
              </w:rPr>
              <w:t>L</w:t>
            </w:r>
          </w:p>
        </w:tc>
      </w:tr>
      <w:tr w14:paraId="00A8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left w:val="single" w:color="auto" w:sz="12" w:space="0"/>
              <w:tl2br w:val="nil"/>
              <w:tr2bl w:val="nil"/>
            </w:tcBorders>
          </w:tcPr>
          <w:p w14:paraId="3C17832E">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5</w:t>
            </w:r>
          </w:p>
        </w:tc>
        <w:tc>
          <w:tcPr>
            <w:tcW w:w="2957" w:type="pct"/>
            <w:tcBorders>
              <w:tl2br w:val="nil"/>
              <w:tr2bl w:val="nil"/>
            </w:tcBorders>
          </w:tcPr>
          <w:p w14:paraId="6D104D01">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Gene Specific Primer Reverse (10 µM)</w:t>
            </w:r>
          </w:p>
        </w:tc>
        <w:tc>
          <w:tcPr>
            <w:tcW w:w="1322" w:type="pct"/>
            <w:tcBorders>
              <w:right w:val="single" w:color="auto" w:sz="12" w:space="0"/>
              <w:tl2br w:val="nil"/>
              <w:tr2bl w:val="nil"/>
            </w:tcBorders>
          </w:tcPr>
          <w:p w14:paraId="256722A4">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 xml:space="preserve">2 </w:t>
            </w:r>
            <w:r>
              <w:rPr>
                <w:rFonts w:hint="eastAsia" w:ascii="宋体" w:hAnsi="宋体" w:cs="宋体"/>
                <w:kern w:val="0"/>
                <w:sz w:val="24"/>
                <w:szCs w:val="24"/>
              </w:rPr>
              <w:sym w:font="Symbol" w:char="F06D"/>
            </w:r>
            <w:r>
              <w:rPr>
                <w:rFonts w:hint="eastAsia" w:ascii="宋体" w:hAnsi="宋体" w:cs="宋体"/>
                <w:kern w:val="0"/>
                <w:sz w:val="24"/>
                <w:szCs w:val="24"/>
              </w:rPr>
              <w:t>L</w:t>
            </w:r>
          </w:p>
        </w:tc>
      </w:tr>
      <w:tr w14:paraId="18A92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pct"/>
            <w:tcBorders>
              <w:left w:val="single" w:color="auto" w:sz="12" w:space="0"/>
              <w:bottom w:val="single" w:color="auto" w:sz="12" w:space="0"/>
              <w:tl2br w:val="nil"/>
              <w:tr2bl w:val="nil"/>
            </w:tcBorders>
          </w:tcPr>
          <w:p w14:paraId="6190583D">
            <w:pPr>
              <w:pStyle w:val="30"/>
              <w:tabs>
                <w:tab w:val="left" w:pos="312"/>
              </w:tabs>
              <w:jc w:val="center"/>
              <w:rPr>
                <w:rFonts w:ascii="宋体" w:hAnsi="宋体" w:cs="宋体"/>
                <w:kern w:val="0"/>
                <w:sz w:val="24"/>
                <w:szCs w:val="24"/>
              </w:rPr>
            </w:pPr>
            <w:r>
              <w:rPr>
                <w:rFonts w:hint="eastAsia" w:ascii="宋体" w:hAnsi="宋体" w:cs="宋体"/>
                <w:kern w:val="0"/>
                <w:sz w:val="24"/>
                <w:szCs w:val="24"/>
              </w:rPr>
              <w:t>6</w:t>
            </w:r>
          </w:p>
        </w:tc>
        <w:tc>
          <w:tcPr>
            <w:tcW w:w="2957" w:type="pct"/>
            <w:tcBorders>
              <w:bottom w:val="single" w:color="auto" w:sz="12" w:space="0"/>
              <w:tl2br w:val="nil"/>
              <w:tr2bl w:val="nil"/>
            </w:tcBorders>
          </w:tcPr>
          <w:p w14:paraId="7995F9BE">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模板RNA</w:t>
            </w:r>
          </w:p>
        </w:tc>
        <w:tc>
          <w:tcPr>
            <w:tcW w:w="1322" w:type="pct"/>
            <w:tcBorders>
              <w:bottom w:val="single" w:color="auto" w:sz="12" w:space="0"/>
              <w:right w:val="single" w:color="auto" w:sz="12" w:space="0"/>
              <w:tl2br w:val="nil"/>
              <w:tr2bl w:val="nil"/>
            </w:tcBorders>
          </w:tcPr>
          <w:p w14:paraId="099AF4AC">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 xml:space="preserve">1 pg-1 </w:t>
            </w:r>
            <w:r>
              <w:rPr>
                <w:rFonts w:hint="eastAsia" w:ascii="宋体" w:hAnsi="宋体" w:cs="宋体"/>
                <w:kern w:val="0"/>
                <w:sz w:val="24"/>
                <w:szCs w:val="24"/>
              </w:rPr>
              <w:sym w:font="Symbol" w:char="F06D"/>
            </w:r>
            <w:r>
              <w:rPr>
                <w:rFonts w:hint="eastAsia" w:ascii="宋体" w:hAnsi="宋体" w:cs="宋体"/>
                <w:kern w:val="0"/>
                <w:sz w:val="24"/>
                <w:szCs w:val="24"/>
              </w:rPr>
              <w:t>g</w:t>
            </w:r>
          </w:p>
        </w:tc>
      </w:tr>
      <w:tr w14:paraId="2C08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12" w:space="0"/>
              <w:left w:val="single" w:color="auto" w:sz="12" w:space="0"/>
              <w:bottom w:val="single" w:color="auto" w:sz="12" w:space="0"/>
              <w:right w:val="single" w:color="auto" w:sz="12" w:space="0"/>
              <w:tl2br w:val="nil"/>
              <w:tr2bl w:val="nil"/>
            </w:tcBorders>
          </w:tcPr>
          <w:p w14:paraId="2D4ADCE2">
            <w:pPr>
              <w:pStyle w:val="44"/>
              <w:rPr>
                <w:rFonts w:hint="eastAsia" w:hAnsi="宋体" w:cs="宋体"/>
                <w:sz w:val="24"/>
                <w:szCs w:val="24"/>
              </w:rPr>
            </w:pPr>
            <w:r>
              <w:rPr>
                <w:rFonts w:hint="eastAsia" w:hAnsi="宋体" w:cs="宋体"/>
                <w:sz w:val="24"/>
                <w:szCs w:val="24"/>
              </w:rPr>
              <w:t>可根据实验需要，调整反应体积，各组分用量只需等比例做相应调整即可。</w:t>
            </w:r>
          </w:p>
        </w:tc>
      </w:tr>
    </w:tbl>
    <w:p w14:paraId="5F3ECBFC">
      <w:pPr>
        <w:pStyle w:val="43"/>
        <w:rPr>
          <w:rFonts w:hint="eastAsia" w:hAnsi="宋体" w:cs="宋体"/>
          <w:sz w:val="24"/>
          <w:szCs w:val="24"/>
        </w:rPr>
      </w:pPr>
      <w:r>
        <w:rPr>
          <w:rFonts w:hint="eastAsia" w:hAnsi="宋体" w:cs="宋体"/>
          <w:sz w:val="24"/>
          <w:szCs w:val="24"/>
        </w:rPr>
        <w:t>进行One Step RT-PCR反应，目的片段&lt;5 kb，具体要求见表2；</w:t>
      </w:r>
    </w:p>
    <w:p w14:paraId="07246A07">
      <w:pPr>
        <w:pStyle w:val="45"/>
        <w:numPr>
          <w:ilvl w:val="0"/>
          <w:numId w:val="6"/>
        </w:numPr>
        <w:rPr>
          <w:rFonts w:ascii="宋体" w:hAnsi="宋体" w:eastAsia="宋体"/>
          <w:sz w:val="24"/>
          <w:szCs w:val="24"/>
        </w:rPr>
      </w:pPr>
      <w:r>
        <w:rPr>
          <w:rFonts w:hint="eastAsia" w:ascii="宋体" w:hAnsi="宋体" w:eastAsia="宋体"/>
          <w:sz w:val="24"/>
          <w:szCs w:val="24"/>
        </w:rPr>
        <w:t>PCR条件设置表</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3114"/>
        <w:gridCol w:w="2041"/>
        <w:gridCol w:w="2052"/>
      </w:tblGrid>
      <w:tr w14:paraId="14DBC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387" w:type="dxa"/>
            <w:tcBorders>
              <w:bottom w:val="single" w:color="auto" w:sz="12" w:space="0"/>
            </w:tcBorders>
          </w:tcPr>
          <w:p w14:paraId="1B043C1A">
            <w:pPr>
              <w:pStyle w:val="39"/>
              <w:ind w:firstLine="0" w:firstLineChars="0"/>
              <w:jc w:val="center"/>
              <w:rPr>
                <w:rFonts w:hint="eastAsia" w:hAnsi="宋体" w:cs="宋体"/>
                <w:sz w:val="24"/>
                <w:szCs w:val="24"/>
              </w:rPr>
            </w:pPr>
            <w:r>
              <w:rPr>
                <w:rFonts w:hint="eastAsia" w:hAnsi="宋体" w:cs="宋体"/>
                <w:sz w:val="24"/>
                <w:szCs w:val="24"/>
              </w:rPr>
              <w:t>序号</w:t>
            </w:r>
          </w:p>
        </w:tc>
        <w:tc>
          <w:tcPr>
            <w:tcW w:w="3520" w:type="dxa"/>
            <w:tcBorders>
              <w:bottom w:val="single" w:color="auto" w:sz="12" w:space="0"/>
            </w:tcBorders>
          </w:tcPr>
          <w:p w14:paraId="0C8275B5">
            <w:pPr>
              <w:pStyle w:val="39"/>
              <w:ind w:firstLine="0" w:firstLineChars="0"/>
              <w:jc w:val="center"/>
              <w:rPr>
                <w:rFonts w:hint="eastAsia" w:hAnsi="宋体" w:cs="宋体"/>
                <w:sz w:val="24"/>
                <w:szCs w:val="24"/>
              </w:rPr>
            </w:pPr>
            <w:r>
              <w:rPr>
                <w:rFonts w:hint="eastAsia" w:hAnsi="宋体" w:cs="宋体"/>
                <w:sz w:val="24"/>
                <w:szCs w:val="24"/>
              </w:rPr>
              <w:t>温度</w:t>
            </w:r>
          </w:p>
        </w:tc>
        <w:tc>
          <w:tcPr>
            <w:tcW w:w="2269" w:type="dxa"/>
            <w:tcBorders>
              <w:bottom w:val="single" w:color="auto" w:sz="12" w:space="0"/>
            </w:tcBorders>
          </w:tcPr>
          <w:p w14:paraId="03EA6671">
            <w:pPr>
              <w:pStyle w:val="39"/>
              <w:ind w:firstLine="0" w:firstLineChars="0"/>
              <w:jc w:val="center"/>
              <w:rPr>
                <w:rFonts w:hint="eastAsia" w:hAnsi="宋体" w:cs="宋体"/>
                <w:sz w:val="24"/>
                <w:szCs w:val="24"/>
              </w:rPr>
            </w:pPr>
            <w:r>
              <w:rPr>
                <w:rFonts w:hint="eastAsia" w:hAnsi="宋体" w:cs="宋体"/>
                <w:sz w:val="24"/>
                <w:szCs w:val="24"/>
              </w:rPr>
              <w:t>时间</w:t>
            </w:r>
          </w:p>
        </w:tc>
        <w:tc>
          <w:tcPr>
            <w:tcW w:w="2392" w:type="dxa"/>
            <w:tcBorders>
              <w:bottom w:val="single" w:color="auto" w:sz="12" w:space="0"/>
            </w:tcBorders>
            <w:vAlign w:val="center"/>
          </w:tcPr>
          <w:p w14:paraId="5268ADAE">
            <w:pPr>
              <w:pStyle w:val="39"/>
              <w:jc w:val="center"/>
              <w:rPr>
                <w:rFonts w:hint="eastAsia" w:hAnsi="宋体" w:cs="宋体"/>
                <w:sz w:val="24"/>
                <w:szCs w:val="24"/>
              </w:rPr>
            </w:pPr>
            <w:r>
              <w:rPr>
                <w:rFonts w:hint="eastAsia" w:hAnsi="宋体" w:cs="宋体"/>
                <w:sz w:val="24"/>
                <w:szCs w:val="24"/>
              </w:rPr>
              <w:t>循环数</w:t>
            </w:r>
          </w:p>
        </w:tc>
      </w:tr>
      <w:tr w14:paraId="4C886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tcBorders>
              <w:top w:val="single" w:color="auto" w:sz="12" w:space="0"/>
            </w:tcBorders>
          </w:tcPr>
          <w:p w14:paraId="4DA01A06">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1</w:t>
            </w:r>
          </w:p>
        </w:tc>
        <w:tc>
          <w:tcPr>
            <w:tcW w:w="3520" w:type="dxa"/>
            <w:tcBorders>
              <w:top w:val="single" w:color="auto" w:sz="12" w:space="0"/>
            </w:tcBorders>
          </w:tcPr>
          <w:p w14:paraId="12133E89">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50℃</w:t>
            </w:r>
          </w:p>
        </w:tc>
        <w:tc>
          <w:tcPr>
            <w:tcW w:w="2269" w:type="dxa"/>
            <w:tcBorders>
              <w:top w:val="single" w:color="auto" w:sz="12" w:space="0"/>
            </w:tcBorders>
          </w:tcPr>
          <w:p w14:paraId="0752C5E5">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30 min</w:t>
            </w:r>
          </w:p>
        </w:tc>
        <w:tc>
          <w:tcPr>
            <w:tcW w:w="2392" w:type="dxa"/>
            <w:tcBorders>
              <w:top w:val="single" w:color="auto" w:sz="12" w:space="0"/>
            </w:tcBorders>
            <w:vAlign w:val="center"/>
          </w:tcPr>
          <w:p w14:paraId="0D7E978B">
            <w:pPr>
              <w:pStyle w:val="39"/>
              <w:jc w:val="center"/>
              <w:rPr>
                <w:rFonts w:hint="eastAsia" w:hAnsi="宋体" w:cs="宋体"/>
                <w:sz w:val="24"/>
                <w:szCs w:val="24"/>
              </w:rPr>
            </w:pPr>
            <w:r>
              <w:rPr>
                <w:rFonts w:hint="eastAsia" w:hAnsi="宋体" w:cs="宋体"/>
                <w:sz w:val="24"/>
                <w:szCs w:val="24"/>
              </w:rPr>
              <w:t>/</w:t>
            </w:r>
          </w:p>
        </w:tc>
      </w:tr>
      <w:tr w14:paraId="61A859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tcPr>
          <w:p w14:paraId="292CA667">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2</w:t>
            </w:r>
          </w:p>
        </w:tc>
        <w:tc>
          <w:tcPr>
            <w:tcW w:w="3520" w:type="dxa"/>
          </w:tcPr>
          <w:p w14:paraId="30F89503">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94℃</w:t>
            </w:r>
          </w:p>
        </w:tc>
        <w:tc>
          <w:tcPr>
            <w:tcW w:w="2269" w:type="dxa"/>
          </w:tcPr>
          <w:p w14:paraId="4B795487">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3 min</w:t>
            </w:r>
          </w:p>
        </w:tc>
        <w:tc>
          <w:tcPr>
            <w:tcW w:w="2392" w:type="dxa"/>
            <w:vAlign w:val="center"/>
          </w:tcPr>
          <w:p w14:paraId="08ACA0FA">
            <w:pPr>
              <w:pStyle w:val="39"/>
              <w:jc w:val="center"/>
              <w:rPr>
                <w:rFonts w:hint="eastAsia" w:hAnsi="宋体" w:cs="宋体"/>
                <w:sz w:val="24"/>
                <w:szCs w:val="24"/>
              </w:rPr>
            </w:pPr>
            <w:r>
              <w:rPr>
                <w:rFonts w:hint="eastAsia" w:hAnsi="宋体" w:cs="宋体"/>
                <w:sz w:val="24"/>
                <w:szCs w:val="24"/>
              </w:rPr>
              <w:t>/</w:t>
            </w:r>
          </w:p>
        </w:tc>
      </w:tr>
      <w:tr w14:paraId="3310A7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tcPr>
          <w:p w14:paraId="128A1C84">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3</w:t>
            </w:r>
          </w:p>
        </w:tc>
        <w:tc>
          <w:tcPr>
            <w:tcW w:w="3520" w:type="dxa"/>
          </w:tcPr>
          <w:p w14:paraId="57749DE9">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94℃</w:t>
            </w:r>
          </w:p>
        </w:tc>
        <w:tc>
          <w:tcPr>
            <w:tcW w:w="2269" w:type="dxa"/>
          </w:tcPr>
          <w:p w14:paraId="2FDAE90F">
            <w:pPr>
              <w:pStyle w:val="39"/>
              <w:ind w:firstLine="0" w:firstLineChars="0"/>
              <w:jc w:val="center"/>
              <w:rPr>
                <w:rFonts w:hint="eastAsia" w:hAnsi="宋体" w:cs="宋体"/>
                <w:sz w:val="24"/>
                <w:szCs w:val="24"/>
              </w:rPr>
            </w:pPr>
            <w:r>
              <w:rPr>
                <w:rFonts w:hint="eastAsia" w:hAnsi="宋体" w:cs="宋体"/>
                <w:sz w:val="24"/>
                <w:szCs w:val="24"/>
              </w:rPr>
              <w:t>30 sec</w:t>
            </w:r>
          </w:p>
        </w:tc>
        <w:tc>
          <w:tcPr>
            <w:tcW w:w="2392" w:type="dxa"/>
            <w:vAlign w:val="center"/>
          </w:tcPr>
          <w:p w14:paraId="7C2BB020">
            <w:pPr>
              <w:pStyle w:val="39"/>
              <w:jc w:val="center"/>
              <w:rPr>
                <w:rFonts w:hint="eastAsia" w:hAnsi="宋体" w:cs="宋体"/>
                <w:sz w:val="24"/>
                <w:szCs w:val="24"/>
              </w:rPr>
            </w:pPr>
            <w:r>
              <w:rPr>
                <w:rFonts w:hint="eastAsia" w:hAnsi="宋体" w:cs="宋体"/>
                <w:sz w:val="24"/>
                <w:szCs w:val="24"/>
              </w:rPr>
              <w:t>/</w:t>
            </w:r>
          </w:p>
        </w:tc>
      </w:tr>
      <w:tr w14:paraId="5375B7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tcPr>
          <w:p w14:paraId="20E369B8">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4</w:t>
            </w:r>
          </w:p>
        </w:tc>
        <w:tc>
          <w:tcPr>
            <w:tcW w:w="3520" w:type="dxa"/>
          </w:tcPr>
          <w:p w14:paraId="4F5B6C98">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55</w:t>
            </w:r>
            <w:r>
              <w:rPr>
                <w:rFonts w:hint="eastAsia" w:ascii="宋体" w:hAnsi="宋体" w:cs="宋体"/>
                <w:kern w:val="0"/>
                <w:sz w:val="24"/>
                <w:szCs w:val="24"/>
              </w:rPr>
              <w:sym w:font="Symbol" w:char="F07E"/>
            </w:r>
            <w:r>
              <w:rPr>
                <w:rFonts w:hint="eastAsia" w:ascii="宋体" w:hAnsi="宋体" w:cs="宋体"/>
                <w:kern w:val="0"/>
                <w:sz w:val="24"/>
                <w:szCs w:val="24"/>
              </w:rPr>
              <w:t>72℃</w:t>
            </w:r>
          </w:p>
        </w:tc>
        <w:tc>
          <w:tcPr>
            <w:tcW w:w="2269" w:type="dxa"/>
          </w:tcPr>
          <w:p w14:paraId="0161D844">
            <w:pPr>
              <w:pStyle w:val="39"/>
              <w:ind w:firstLine="0" w:firstLineChars="0"/>
              <w:jc w:val="center"/>
              <w:rPr>
                <w:rFonts w:hint="eastAsia" w:hAnsi="宋体" w:cs="宋体"/>
                <w:sz w:val="24"/>
                <w:szCs w:val="24"/>
              </w:rPr>
            </w:pPr>
            <w:r>
              <w:rPr>
                <w:rFonts w:hint="eastAsia" w:hAnsi="宋体" w:cs="宋体"/>
                <w:sz w:val="24"/>
                <w:szCs w:val="24"/>
              </w:rPr>
              <w:t>30 sec</w:t>
            </w:r>
          </w:p>
        </w:tc>
        <w:tc>
          <w:tcPr>
            <w:tcW w:w="2392" w:type="dxa"/>
            <w:vAlign w:val="center"/>
          </w:tcPr>
          <w:p w14:paraId="21B26266">
            <w:pPr>
              <w:pStyle w:val="39"/>
              <w:jc w:val="center"/>
              <w:rPr>
                <w:rFonts w:hint="eastAsia" w:hAnsi="宋体" w:cs="宋体"/>
                <w:sz w:val="24"/>
                <w:szCs w:val="24"/>
              </w:rPr>
            </w:pPr>
            <w:r>
              <w:rPr>
                <w:rFonts w:hint="eastAsia" w:hAnsi="宋体" w:cs="宋体"/>
                <w:sz w:val="24"/>
                <w:szCs w:val="24"/>
              </w:rPr>
              <w:t>/</w:t>
            </w:r>
          </w:p>
        </w:tc>
      </w:tr>
      <w:tr w14:paraId="5919B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tcPr>
          <w:p w14:paraId="6613436A">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5</w:t>
            </w:r>
          </w:p>
        </w:tc>
        <w:tc>
          <w:tcPr>
            <w:tcW w:w="3520" w:type="dxa"/>
          </w:tcPr>
          <w:p w14:paraId="0C0E3571">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72℃</w:t>
            </w:r>
          </w:p>
        </w:tc>
        <w:tc>
          <w:tcPr>
            <w:tcW w:w="2269" w:type="dxa"/>
          </w:tcPr>
          <w:p w14:paraId="1824F42A">
            <w:pPr>
              <w:pStyle w:val="39"/>
              <w:ind w:firstLine="0" w:firstLineChars="0"/>
              <w:jc w:val="center"/>
              <w:rPr>
                <w:rFonts w:hint="eastAsia" w:hAnsi="宋体" w:cs="宋体"/>
                <w:sz w:val="24"/>
                <w:szCs w:val="24"/>
              </w:rPr>
            </w:pPr>
            <w:r>
              <w:rPr>
                <w:rFonts w:hint="eastAsia" w:hAnsi="宋体" w:cs="宋体"/>
                <w:sz w:val="24"/>
                <w:szCs w:val="24"/>
              </w:rPr>
              <w:t>0.5</w:t>
            </w:r>
            <w:r>
              <w:rPr>
                <w:rFonts w:hint="eastAsia" w:hAnsi="宋体" w:cs="宋体"/>
                <w:sz w:val="24"/>
                <w:szCs w:val="24"/>
              </w:rPr>
              <w:sym w:font="Symbol" w:char="F07E"/>
            </w:r>
            <w:r>
              <w:rPr>
                <w:rFonts w:hint="eastAsia" w:hAnsi="宋体" w:cs="宋体"/>
                <w:sz w:val="24"/>
                <w:szCs w:val="24"/>
              </w:rPr>
              <w:t>1 min/kb</w:t>
            </w:r>
          </w:p>
        </w:tc>
        <w:tc>
          <w:tcPr>
            <w:tcW w:w="2392" w:type="dxa"/>
            <w:vMerge w:val="restart"/>
            <w:vAlign w:val="center"/>
          </w:tcPr>
          <w:p w14:paraId="5CB7A701">
            <w:pPr>
              <w:pStyle w:val="39"/>
              <w:jc w:val="center"/>
              <w:rPr>
                <w:rFonts w:hint="eastAsia" w:hAnsi="宋体" w:cs="宋体"/>
                <w:sz w:val="24"/>
                <w:szCs w:val="24"/>
              </w:rPr>
            </w:pPr>
          </w:p>
          <w:p w14:paraId="0C8EB09A">
            <w:pPr>
              <w:pStyle w:val="39"/>
              <w:ind w:firstLine="0" w:firstLineChars="0"/>
              <w:jc w:val="center"/>
              <w:rPr>
                <w:rFonts w:hint="eastAsia" w:hAnsi="宋体" w:cs="宋体"/>
                <w:sz w:val="24"/>
                <w:szCs w:val="24"/>
              </w:rPr>
            </w:pPr>
            <w:r>
              <w:rPr>
                <w:rFonts w:hint="eastAsia" w:hAnsi="宋体" w:cs="宋体"/>
                <w:sz w:val="24"/>
                <w:szCs w:val="24"/>
              </w:rPr>
              <w:t>30</w:t>
            </w:r>
            <w:r>
              <w:rPr>
                <w:rFonts w:hint="eastAsia" w:hAnsi="宋体" w:cs="宋体"/>
                <w:sz w:val="24"/>
                <w:szCs w:val="24"/>
              </w:rPr>
              <w:sym w:font="Symbol" w:char="F07E"/>
            </w:r>
            <w:r>
              <w:rPr>
                <w:rFonts w:hint="eastAsia" w:hAnsi="宋体" w:cs="宋体"/>
                <w:sz w:val="24"/>
                <w:szCs w:val="24"/>
              </w:rPr>
              <w:t>35 cycles</w:t>
            </w:r>
          </w:p>
        </w:tc>
      </w:tr>
      <w:tr w14:paraId="50B60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387" w:type="dxa"/>
          </w:tcPr>
          <w:p w14:paraId="49D824D4">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6</w:t>
            </w:r>
          </w:p>
        </w:tc>
        <w:tc>
          <w:tcPr>
            <w:tcW w:w="3520" w:type="dxa"/>
          </w:tcPr>
          <w:p w14:paraId="0409C238">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72℃</w:t>
            </w:r>
          </w:p>
        </w:tc>
        <w:tc>
          <w:tcPr>
            <w:tcW w:w="2269" w:type="dxa"/>
          </w:tcPr>
          <w:p w14:paraId="056C92B9">
            <w:pPr>
              <w:pStyle w:val="39"/>
              <w:ind w:firstLine="0" w:firstLineChars="0"/>
              <w:jc w:val="center"/>
              <w:rPr>
                <w:rFonts w:hint="eastAsia" w:hAnsi="宋体" w:cs="宋体"/>
                <w:sz w:val="24"/>
                <w:szCs w:val="24"/>
              </w:rPr>
            </w:pPr>
            <w:r>
              <w:rPr>
                <w:rFonts w:hint="eastAsia" w:hAnsi="宋体" w:cs="宋体"/>
                <w:sz w:val="24"/>
                <w:szCs w:val="24"/>
              </w:rPr>
              <w:t>7 min</w:t>
            </w:r>
          </w:p>
        </w:tc>
        <w:tc>
          <w:tcPr>
            <w:tcW w:w="2392" w:type="dxa"/>
            <w:vMerge w:val="continue"/>
          </w:tcPr>
          <w:p w14:paraId="31457569">
            <w:pPr>
              <w:pStyle w:val="39"/>
              <w:ind w:firstLine="360"/>
              <w:rPr>
                <w:rFonts w:hint="eastAsia" w:hAnsi="宋体" w:cs="宋体"/>
                <w:sz w:val="24"/>
                <w:szCs w:val="24"/>
              </w:rPr>
            </w:pPr>
          </w:p>
        </w:tc>
      </w:tr>
      <w:tr w14:paraId="4ADA76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7" w:type="dxa"/>
          </w:tcPr>
          <w:p w14:paraId="72E1E722">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7</w:t>
            </w:r>
          </w:p>
        </w:tc>
        <w:tc>
          <w:tcPr>
            <w:tcW w:w="3520" w:type="dxa"/>
          </w:tcPr>
          <w:p w14:paraId="5F6CF192">
            <w:pPr>
              <w:pStyle w:val="30"/>
              <w:tabs>
                <w:tab w:val="left" w:pos="312"/>
              </w:tabs>
              <w:jc w:val="center"/>
              <w:rPr>
                <w:rFonts w:hint="eastAsia" w:ascii="宋体" w:hAnsi="宋体" w:cs="宋体"/>
                <w:kern w:val="0"/>
                <w:sz w:val="24"/>
                <w:szCs w:val="24"/>
              </w:rPr>
            </w:pPr>
            <w:r>
              <w:rPr>
                <w:rFonts w:hint="eastAsia" w:ascii="宋体" w:hAnsi="宋体" w:cs="宋体"/>
                <w:kern w:val="0"/>
                <w:sz w:val="24"/>
                <w:szCs w:val="24"/>
              </w:rPr>
              <w:t>4℃</w:t>
            </w:r>
          </w:p>
        </w:tc>
        <w:tc>
          <w:tcPr>
            <w:tcW w:w="2269" w:type="dxa"/>
          </w:tcPr>
          <w:p w14:paraId="717C4F5E">
            <w:pPr>
              <w:pStyle w:val="39"/>
              <w:ind w:firstLine="0" w:firstLineChars="0"/>
              <w:jc w:val="center"/>
              <w:rPr>
                <w:rFonts w:hint="eastAsia" w:hAnsi="宋体" w:cs="宋体"/>
                <w:sz w:val="24"/>
                <w:szCs w:val="24"/>
              </w:rPr>
            </w:pPr>
            <w:r>
              <w:rPr>
                <w:rFonts w:hint="eastAsia" w:hAnsi="宋体" w:cs="宋体"/>
                <w:sz w:val="24"/>
                <w:szCs w:val="24"/>
              </w:rPr>
              <w:t>Hold</w:t>
            </w:r>
          </w:p>
        </w:tc>
        <w:tc>
          <w:tcPr>
            <w:tcW w:w="2392" w:type="dxa"/>
            <w:vMerge w:val="continue"/>
          </w:tcPr>
          <w:p w14:paraId="48FDC77A">
            <w:pPr>
              <w:pStyle w:val="39"/>
              <w:ind w:firstLine="360"/>
              <w:rPr>
                <w:rFonts w:hint="eastAsia" w:hAnsi="宋体" w:cs="宋体"/>
                <w:sz w:val="24"/>
                <w:szCs w:val="24"/>
              </w:rPr>
            </w:pPr>
          </w:p>
        </w:tc>
      </w:tr>
    </w:tbl>
    <w:p w14:paraId="5A0C0C64">
      <w:pPr>
        <w:pStyle w:val="43"/>
        <w:rPr>
          <w:rFonts w:hint="eastAsia" w:hAnsi="宋体" w:cs="宋体"/>
          <w:sz w:val="24"/>
          <w:szCs w:val="24"/>
        </w:rPr>
      </w:pPr>
      <w:r>
        <w:rPr>
          <w:rFonts w:hint="eastAsia" w:hAnsi="宋体" w:cs="宋体"/>
          <w:sz w:val="24"/>
          <w:szCs w:val="24"/>
        </w:rPr>
        <w:t>将PCR产物用琼脂糖凝胶电泳检测并成像。</w:t>
      </w:r>
    </w:p>
    <w:p w14:paraId="620B9003">
      <w:pPr>
        <w:spacing w:line="360" w:lineRule="auto"/>
        <w:ind w:firstLine="480" w:firstLineChars="200"/>
        <w:rPr>
          <w:rFonts w:ascii="宋体" w:hAnsi="宋体" w:cs="宋体"/>
          <w:sz w:val="24"/>
          <w:szCs w:val="24"/>
        </w:rPr>
      </w:pPr>
      <w:r>
        <w:rPr>
          <w:rFonts w:hint="eastAsia" w:ascii="宋体" w:hAnsi="宋体" w:cs="宋体"/>
          <w:sz w:val="24"/>
          <w:szCs w:val="24"/>
        </w:rPr>
        <w:t>（六）质控流程</w:t>
      </w:r>
    </w:p>
    <w:p w14:paraId="0C7AA92F">
      <w:pPr>
        <w:spacing w:line="360" w:lineRule="auto"/>
        <w:rPr>
          <w:rFonts w:hint="eastAsia" w:ascii="宋体" w:hAnsi="宋体" w:cs="宋体"/>
          <w:sz w:val="24"/>
          <w:szCs w:val="24"/>
        </w:rPr>
      </w:pP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明确检测步骤、样本处理流程、标准品和对照品的选择等内容，同时包括样本采集、实验室操作规范、数据记录格式、异常数据的处理等。</w:t>
      </w:r>
    </w:p>
    <w:p w14:paraId="5D749F56">
      <w:pPr>
        <w:spacing w:line="360" w:lineRule="auto"/>
        <w:ind w:firstLine="480" w:firstLineChars="200"/>
        <w:rPr>
          <w:rFonts w:ascii="宋体" w:hAnsi="宋体" w:cs="宋体"/>
          <w:sz w:val="24"/>
          <w:szCs w:val="24"/>
        </w:rPr>
      </w:pPr>
      <w:r>
        <w:rPr>
          <w:rFonts w:hint="eastAsia" w:ascii="宋体" w:hAnsi="宋体" w:cs="宋体"/>
          <w:sz w:val="24"/>
          <w:szCs w:val="24"/>
        </w:rPr>
        <w:t>（七）数据分析与判定</w:t>
      </w:r>
    </w:p>
    <w:p w14:paraId="1CD270FD">
      <w:pPr>
        <w:spacing w:line="360" w:lineRule="auto"/>
        <w:ind w:firstLine="600" w:firstLineChars="250"/>
        <w:rPr>
          <w:rFonts w:hint="eastAsia" w:ascii="宋体" w:hAnsi="宋体" w:cs="宋体"/>
          <w:sz w:val="24"/>
          <w:szCs w:val="24"/>
        </w:rPr>
      </w:pPr>
      <w:r>
        <w:rPr>
          <w:rFonts w:hint="eastAsia" w:ascii="宋体" w:hAnsi="宋体" w:cs="宋体"/>
          <w:sz w:val="24"/>
          <w:szCs w:val="24"/>
        </w:rPr>
        <w:t>扩增的PCR产物仅有大小为963 bp的条带时，表明外源基因EGFP在该SINV载体中稳定插入；当扩增的PCR产物存在多条不同大小的条带时，表明外源基因EGFP在该SINV载体中存在不稳定的现象。</w:t>
      </w:r>
    </w:p>
    <w:p w14:paraId="5E119A74">
      <w:pPr>
        <w:spacing w:line="360" w:lineRule="auto"/>
        <w:ind w:firstLine="480" w:firstLineChars="200"/>
        <w:rPr>
          <w:rFonts w:ascii="宋体" w:hAnsi="宋体" w:cs="宋体"/>
          <w:sz w:val="24"/>
          <w:szCs w:val="24"/>
        </w:rPr>
      </w:pPr>
      <w:r>
        <w:rPr>
          <w:rFonts w:hint="eastAsia" w:ascii="宋体" w:hAnsi="宋体" w:cs="宋体"/>
          <w:sz w:val="24"/>
          <w:szCs w:val="24"/>
        </w:rPr>
        <w:t>（八）安全保障</w:t>
      </w:r>
    </w:p>
    <w:p w14:paraId="0FD01388">
      <w:pPr>
        <w:spacing w:line="360" w:lineRule="auto"/>
        <w:ind w:firstLine="600" w:firstLineChars="250"/>
        <w:rPr>
          <w:rFonts w:hint="eastAsia" w:ascii="宋体" w:hAnsi="宋体" w:cs="宋体"/>
          <w:sz w:val="24"/>
          <w:szCs w:val="24"/>
        </w:rPr>
      </w:pPr>
      <w:r>
        <w:rPr>
          <w:rFonts w:hint="eastAsia" w:ascii="宋体" w:hAnsi="宋体" w:cs="宋体"/>
          <w:sz w:val="24"/>
          <w:szCs w:val="24"/>
        </w:rPr>
        <w:t>测定不同的病毒应该按照病毒的危害等级在相应等级的生物实验室进行。进行监测前应该进行人员培训、保证实验室安全。监测实验室需做好污染样本的处理，避免出现生物安全问题。</w:t>
      </w:r>
    </w:p>
    <w:p w14:paraId="369E37E0">
      <w:pPr>
        <w:spacing w:line="360" w:lineRule="auto"/>
        <w:ind w:firstLine="480" w:firstLineChars="200"/>
        <w:rPr>
          <w:rFonts w:ascii="宋体" w:hAnsi="宋体" w:cs="宋体"/>
          <w:sz w:val="24"/>
          <w:szCs w:val="24"/>
        </w:rPr>
      </w:pPr>
      <w:r>
        <w:rPr>
          <w:rFonts w:hint="eastAsia" w:ascii="宋体" w:hAnsi="宋体" w:cs="宋体"/>
          <w:sz w:val="24"/>
          <w:szCs w:val="24"/>
        </w:rPr>
        <w:t>（九）项目管理</w:t>
      </w:r>
    </w:p>
    <w:p w14:paraId="78D15DCD">
      <w:pPr>
        <w:spacing w:line="360" w:lineRule="auto"/>
        <w:rPr>
          <w:rFonts w:hint="eastAsia" w:ascii="宋体" w:hAnsi="宋体" w:cs="宋体"/>
          <w:sz w:val="24"/>
          <w:szCs w:val="24"/>
        </w:rPr>
      </w:pP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规定监测病毒载体稳定携带治疗基因的分析质控技术规范管理要求，包括管理范围、管理流程、管理制度、系统管理、管理持续改进等方面的内容。确保监测病毒载体稳定携带治疗基因的分析质控技术规范能够顺利实施。</w:t>
      </w:r>
    </w:p>
    <w:p w14:paraId="16F7037E">
      <w:pPr>
        <w:spacing w:line="360" w:lineRule="auto"/>
        <w:rPr>
          <w:rFonts w:hint="eastAsia" w:ascii="宋体" w:hAnsi="宋体" w:cs="宋体"/>
          <w:b/>
          <w:bCs/>
          <w:sz w:val="24"/>
          <w:szCs w:val="24"/>
        </w:rPr>
      </w:pPr>
      <w:r>
        <w:rPr>
          <w:rFonts w:hint="eastAsia" w:ascii="宋体" w:hAnsi="宋体" w:cs="宋体"/>
          <w:b/>
          <w:bCs/>
          <w:sz w:val="24"/>
          <w:szCs w:val="24"/>
        </w:rPr>
        <w:t>四、与有关的现行法律、法规和强制性国家标准的关系</w:t>
      </w:r>
    </w:p>
    <w:p w14:paraId="1D4DBEE9">
      <w:pPr>
        <w:spacing w:line="360" w:lineRule="auto"/>
        <w:ind w:firstLine="480" w:firstLineChars="200"/>
        <w:rPr>
          <w:rFonts w:hint="eastAsia" w:ascii="宋体" w:hAnsi="宋体" w:cs="宋体"/>
          <w:sz w:val="24"/>
          <w:szCs w:val="24"/>
        </w:rPr>
      </w:pPr>
      <w:r>
        <w:rPr>
          <w:rFonts w:hint="eastAsia" w:ascii="宋体" w:hAnsi="宋体" w:cs="宋体"/>
          <w:sz w:val="24"/>
          <w:szCs w:val="24"/>
        </w:rPr>
        <w:t>与现行法律、法规、政策及相关标准无冲突。</w:t>
      </w:r>
    </w:p>
    <w:p w14:paraId="4AA1A4B8">
      <w:pPr>
        <w:spacing w:line="360" w:lineRule="auto"/>
        <w:rPr>
          <w:rFonts w:ascii="宋体" w:hAnsi="宋体" w:cs="宋体"/>
          <w:b/>
          <w:bCs/>
          <w:sz w:val="24"/>
          <w:szCs w:val="24"/>
        </w:rPr>
      </w:pPr>
      <w:r>
        <w:rPr>
          <w:rFonts w:hint="eastAsia" w:ascii="宋体" w:hAnsi="宋体" w:cs="宋体"/>
          <w:b/>
          <w:bCs/>
          <w:sz w:val="24"/>
          <w:szCs w:val="24"/>
        </w:rPr>
        <w:t>五、标准先进性</w:t>
      </w:r>
    </w:p>
    <w:p w14:paraId="1EEF7358">
      <w:pPr>
        <w:spacing w:line="360" w:lineRule="auto"/>
        <w:rPr>
          <w:rFonts w:hint="eastAsia" w:ascii="宋体" w:hAnsi="宋体" w:cs="宋体"/>
          <w:sz w:val="24"/>
          <w:szCs w:val="24"/>
        </w:rPr>
      </w:pPr>
      <w:r>
        <w:rPr>
          <w:rFonts w:hint="eastAsia" w:ascii="宋体" w:hAnsi="宋体" w:cs="宋体"/>
          <w:b/>
          <w:bCs/>
          <w:sz w:val="24"/>
          <w:szCs w:val="24"/>
        </w:rPr>
        <w:t xml:space="preserve"> </w:t>
      </w:r>
      <w:r>
        <w:rPr>
          <w:rFonts w:ascii="宋体" w:hAnsi="宋体" w:cs="宋体"/>
          <w:sz w:val="24"/>
          <w:szCs w:val="24"/>
        </w:rPr>
        <w:t xml:space="preserve">  </w:t>
      </w:r>
      <w:r>
        <w:rPr>
          <w:rFonts w:hint="eastAsia" w:ascii="宋体" w:hAnsi="宋体" w:cs="宋体"/>
          <w:sz w:val="24"/>
          <w:szCs w:val="24"/>
        </w:rPr>
        <w:t>通过提供监测病毒载体稳定携带治疗基因的分析质控技术的操作流程和技术规范，统一行业质控要求。此外本监测技术对标国际领先企业的技术流程，并结合国内实际需求进行优化，最终用于推动基因治疗技术的安全性和产业化发展。</w:t>
      </w:r>
    </w:p>
    <w:p w14:paraId="453D9B57">
      <w:pPr>
        <w:spacing w:line="360" w:lineRule="auto"/>
        <w:rPr>
          <w:rFonts w:hint="eastAsia" w:ascii="宋体" w:hAnsi="宋体" w:cs="宋体"/>
          <w:b/>
          <w:bCs/>
          <w:sz w:val="24"/>
          <w:szCs w:val="24"/>
        </w:rPr>
      </w:pPr>
      <w:r>
        <w:rPr>
          <w:rFonts w:hint="eastAsia" w:ascii="宋体" w:hAnsi="宋体" w:cs="宋体"/>
          <w:b/>
          <w:bCs/>
          <w:sz w:val="24"/>
          <w:szCs w:val="24"/>
        </w:rPr>
        <w:t>六、重大分歧意见的处理经过和依据</w:t>
      </w:r>
    </w:p>
    <w:p w14:paraId="677D29D3">
      <w:pPr>
        <w:spacing w:line="360" w:lineRule="auto"/>
        <w:ind w:firstLine="480" w:firstLineChars="200"/>
        <w:rPr>
          <w:rFonts w:hint="eastAsia" w:ascii="宋体" w:hAnsi="宋体" w:cs="宋体"/>
          <w:sz w:val="24"/>
          <w:szCs w:val="24"/>
        </w:rPr>
      </w:pPr>
      <w:r>
        <w:rPr>
          <w:rFonts w:hint="eastAsia" w:ascii="宋体" w:hAnsi="宋体" w:cs="宋体"/>
          <w:sz w:val="24"/>
          <w:szCs w:val="24"/>
        </w:rPr>
        <w:t>暂无</w:t>
      </w:r>
    </w:p>
    <w:p w14:paraId="47BA7FF5">
      <w:pPr>
        <w:spacing w:line="360" w:lineRule="auto"/>
        <w:rPr>
          <w:rFonts w:hint="eastAsia" w:ascii="宋体" w:hAnsi="宋体" w:cs="宋体"/>
          <w:b/>
          <w:bCs/>
          <w:sz w:val="24"/>
          <w:szCs w:val="24"/>
        </w:rPr>
      </w:pPr>
      <w:r>
        <w:rPr>
          <w:rFonts w:hint="eastAsia" w:ascii="宋体" w:hAnsi="宋体" w:cs="宋体"/>
          <w:b/>
          <w:bCs/>
          <w:sz w:val="24"/>
          <w:szCs w:val="24"/>
        </w:rPr>
        <w:t>七、标准性质的建议说明</w:t>
      </w:r>
    </w:p>
    <w:p w14:paraId="58CBC0F4">
      <w:pPr>
        <w:spacing w:line="360" w:lineRule="auto"/>
        <w:ind w:firstLine="480" w:firstLineChars="200"/>
        <w:rPr>
          <w:rFonts w:hint="eastAsia" w:ascii="宋体" w:hAnsi="宋体" w:cs="宋体"/>
          <w:sz w:val="24"/>
          <w:szCs w:val="24"/>
        </w:rPr>
      </w:pPr>
      <w:r>
        <w:rPr>
          <w:rFonts w:hint="eastAsia" w:ascii="宋体" w:hAnsi="宋体" w:cs="宋体"/>
          <w:sz w:val="24"/>
          <w:szCs w:val="24"/>
        </w:rPr>
        <w:t>本文件拟作为深圳市深圳标准促进会团体标准发布。</w:t>
      </w:r>
    </w:p>
    <w:p w14:paraId="1BB64083">
      <w:pPr>
        <w:spacing w:line="360" w:lineRule="auto"/>
        <w:rPr>
          <w:rFonts w:hint="eastAsia" w:ascii="宋体" w:hAnsi="宋体" w:cs="宋体"/>
          <w:b/>
          <w:bCs/>
          <w:sz w:val="24"/>
          <w:szCs w:val="24"/>
        </w:rPr>
      </w:pPr>
      <w:r>
        <w:rPr>
          <w:rFonts w:hint="eastAsia" w:ascii="宋体" w:hAnsi="宋体" w:cs="宋体"/>
          <w:b/>
          <w:bCs/>
          <w:sz w:val="24"/>
          <w:szCs w:val="24"/>
        </w:rPr>
        <w:t>八、贯彻标准的要求和措施建议</w:t>
      </w:r>
    </w:p>
    <w:p w14:paraId="52DB524D">
      <w:pPr>
        <w:spacing w:line="360" w:lineRule="auto"/>
        <w:ind w:firstLine="484" w:firstLineChars="202"/>
        <w:rPr>
          <w:rFonts w:hint="eastAsia" w:ascii="宋体" w:hAnsi="宋体" w:cs="宋体"/>
          <w:sz w:val="24"/>
          <w:szCs w:val="24"/>
        </w:rPr>
      </w:pPr>
      <w:r>
        <w:rPr>
          <w:rFonts w:hint="eastAsia" w:ascii="宋体" w:hAnsi="宋体" w:cs="宋体"/>
          <w:sz w:val="24"/>
          <w:szCs w:val="24"/>
        </w:rPr>
        <w:t>本文件发布实施后，深圳市深圳标准促进会秘书处将向相关企业及时通报标准发布信息，并积极协调、宣传标准内容，鼓励相关企业积极采用本文件。</w:t>
      </w:r>
    </w:p>
    <w:p w14:paraId="42F1439E">
      <w:pPr>
        <w:spacing w:line="360" w:lineRule="auto"/>
        <w:ind w:firstLine="420"/>
        <w:rPr>
          <w:rFonts w:hint="eastAsia" w:ascii="宋体" w:hAnsi="宋体" w:cs="宋体"/>
          <w:sz w:val="24"/>
          <w:szCs w:val="24"/>
        </w:rPr>
      </w:pPr>
      <w:r>
        <w:rPr>
          <w:rFonts w:hint="eastAsia" w:ascii="宋体" w:hAnsi="宋体" w:cs="宋体"/>
          <w:sz w:val="24"/>
          <w:szCs w:val="24"/>
        </w:rPr>
        <w:t>本文件宣贯的目的在于使相关人员能更好地学习、理解本文件，推进本文件的贯彻和实施。</w:t>
      </w:r>
    </w:p>
    <w:p w14:paraId="3CBBD09A">
      <w:pPr>
        <w:spacing w:line="360" w:lineRule="auto"/>
        <w:rPr>
          <w:rFonts w:hint="eastAsia" w:ascii="宋体" w:hAnsi="宋体" w:cs="宋体"/>
          <w:b/>
          <w:bCs/>
          <w:sz w:val="24"/>
          <w:szCs w:val="24"/>
        </w:rPr>
      </w:pPr>
      <w:r>
        <w:rPr>
          <w:rFonts w:hint="eastAsia" w:ascii="宋体" w:hAnsi="宋体" w:cs="宋体"/>
          <w:b/>
          <w:bCs/>
          <w:sz w:val="24"/>
          <w:szCs w:val="24"/>
        </w:rPr>
        <w:t>九、废止现行有关标准的建议</w:t>
      </w:r>
    </w:p>
    <w:p w14:paraId="0C3E735F">
      <w:pPr>
        <w:spacing w:line="360" w:lineRule="auto"/>
        <w:ind w:firstLine="480" w:firstLineChars="200"/>
        <w:rPr>
          <w:rFonts w:hint="eastAsia" w:ascii="宋体" w:hAnsi="宋体" w:cs="宋体"/>
          <w:sz w:val="24"/>
          <w:szCs w:val="24"/>
        </w:rPr>
      </w:pPr>
      <w:r>
        <w:rPr>
          <w:rFonts w:hint="eastAsia" w:ascii="宋体" w:hAnsi="宋体" w:cs="宋体"/>
          <w:sz w:val="24"/>
          <w:szCs w:val="24"/>
        </w:rPr>
        <w:t>本文件为首次发布，无现行标准的废止建议。</w:t>
      </w:r>
    </w:p>
    <w:p w14:paraId="52DCCBAB">
      <w:pPr>
        <w:spacing w:line="360" w:lineRule="auto"/>
        <w:rPr>
          <w:rFonts w:hint="eastAsia" w:ascii="宋体" w:hAnsi="宋体" w:cs="宋体"/>
          <w:b/>
          <w:bCs/>
          <w:sz w:val="24"/>
          <w:szCs w:val="24"/>
        </w:rPr>
      </w:pPr>
      <w:r>
        <w:rPr>
          <w:rFonts w:hint="eastAsia" w:ascii="宋体" w:hAnsi="宋体" w:cs="宋体"/>
          <w:b/>
          <w:bCs/>
          <w:sz w:val="24"/>
          <w:szCs w:val="24"/>
        </w:rPr>
        <w:t>十、其他应予说明的事项</w:t>
      </w:r>
    </w:p>
    <w:p w14:paraId="37E6ABB1">
      <w:pPr>
        <w:spacing w:line="360" w:lineRule="auto"/>
        <w:ind w:firstLine="480" w:firstLineChars="200"/>
        <w:rPr>
          <w:rFonts w:hint="eastAsia" w:ascii="宋体" w:hAnsi="宋体" w:cs="宋体"/>
          <w:sz w:val="24"/>
          <w:szCs w:val="24"/>
        </w:rPr>
      </w:pPr>
    </w:p>
    <w:p w14:paraId="27557DDE">
      <w:pPr>
        <w:spacing w:line="360" w:lineRule="auto"/>
        <w:rPr>
          <w:rFonts w:hint="eastAsia" w:ascii="宋体" w:hAnsi="宋体" w:cs="宋体"/>
          <w:sz w:val="24"/>
          <w:szCs w:val="24"/>
        </w:rPr>
      </w:pPr>
    </w:p>
    <w:p w14:paraId="15CA7BF4">
      <w:pPr>
        <w:spacing w:line="360" w:lineRule="auto"/>
        <w:rPr>
          <w:rFonts w:ascii=".AppleSystemUIFont" w:hAnsi=".AppleSystemUIFont" w:cs="宋体"/>
          <w:color w:val="0E0E0E"/>
          <w:kern w:val="0"/>
          <w:szCs w:val="21"/>
        </w:rPr>
      </w:pPr>
      <w:r>
        <w:rPr>
          <w:rFonts w:hint="eastAsia"/>
        </w:rPr>
        <w:tab/>
      </w:r>
    </w:p>
    <w:p w14:paraId="1401EC00">
      <w:pPr>
        <w:spacing w:line="360" w:lineRule="auto"/>
        <w:rPr>
          <w:rFonts w:hint="eastAsia"/>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ppleSystemUIFont">
    <w:altName w:val="Cambria"/>
    <w:panose1 w:val="020B0604020202020204"/>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9178B"/>
    <w:multiLevelType w:val="singleLevel"/>
    <w:tmpl w:val="9A59178B"/>
    <w:lvl w:ilvl="0" w:tentative="0">
      <w:start w:val="1"/>
      <w:numFmt w:val="chineseCounting"/>
      <w:suff w:val="nothing"/>
      <w:lvlText w:val="（%1）"/>
      <w:lvlJc w:val="left"/>
      <w:rPr>
        <w:rFonts w:hint="eastAsia"/>
      </w:rPr>
    </w:lvl>
  </w:abstractNum>
  <w:abstractNum w:abstractNumId="1">
    <w:nsid w:val="F7BB5A30"/>
    <w:multiLevelType w:val="singleLevel"/>
    <w:tmpl w:val="F7BB5A30"/>
    <w:lvl w:ilvl="0" w:tentative="0">
      <w:start w:val="1"/>
      <w:numFmt w:val="decimal"/>
      <w:suff w:val="space"/>
      <w:lvlText w:val="%1."/>
      <w:lvlJc w:val="left"/>
    </w:lvl>
  </w:abstractNum>
  <w:abstractNum w:abstractNumId="2">
    <w:nsid w:val="44C50F90"/>
    <w:multiLevelType w:val="multilevel"/>
    <w:tmpl w:val="44C50F90"/>
    <w:lvl w:ilvl="0" w:tentative="0">
      <w:start w:val="1"/>
      <w:numFmt w:val="lowerLetter"/>
      <w:pStyle w:val="43"/>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69A6EE55"/>
    <w:multiLevelType w:val="singleLevel"/>
    <w:tmpl w:val="69A6EE55"/>
    <w:lvl w:ilvl="0" w:tentative="0">
      <w:start w:val="1"/>
      <w:numFmt w:val="decimal"/>
      <w:suff w:val="nothing"/>
      <w:lvlText w:val="（%1）"/>
      <w:lvlJc w:val="left"/>
    </w:lvl>
  </w:abstractNum>
  <w:abstractNum w:abstractNumId="5">
    <w:nsid w:val="6DBF04F4"/>
    <w:multiLevelType w:val="multilevel"/>
    <w:tmpl w:val="6DBF04F4"/>
    <w:lvl w:ilvl="0" w:tentative="0">
      <w:start w:val="1"/>
      <w:numFmt w:val="none"/>
      <w:pStyle w:val="4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F7"/>
    <w:rsid w:val="000E4DBF"/>
    <w:rsid w:val="000F49F9"/>
    <w:rsid w:val="0015113D"/>
    <w:rsid w:val="001C7FC9"/>
    <w:rsid w:val="001E10E6"/>
    <w:rsid w:val="002609C6"/>
    <w:rsid w:val="00270F78"/>
    <w:rsid w:val="002F6298"/>
    <w:rsid w:val="00315080"/>
    <w:rsid w:val="003300F7"/>
    <w:rsid w:val="00374151"/>
    <w:rsid w:val="0039188D"/>
    <w:rsid w:val="00434FCD"/>
    <w:rsid w:val="004C5631"/>
    <w:rsid w:val="005102E2"/>
    <w:rsid w:val="00561BBF"/>
    <w:rsid w:val="005B7F91"/>
    <w:rsid w:val="006A630A"/>
    <w:rsid w:val="006F0CD6"/>
    <w:rsid w:val="0079590F"/>
    <w:rsid w:val="009117B6"/>
    <w:rsid w:val="009F3229"/>
    <w:rsid w:val="00A5240B"/>
    <w:rsid w:val="00A90A7C"/>
    <w:rsid w:val="00B22F12"/>
    <w:rsid w:val="00BD4418"/>
    <w:rsid w:val="00D30F3B"/>
    <w:rsid w:val="00F07812"/>
    <w:rsid w:val="00F17904"/>
    <w:rsid w:val="00FC0C2D"/>
    <w:rsid w:val="2F78095B"/>
    <w:rsid w:val="4E426E37"/>
    <w:rsid w:val="53FB2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1"/>
    <w:qFormat/>
    <w:uiPriority w:val="0"/>
    <w:pPr>
      <w:jc w:val="left"/>
    </w:pPr>
    <w:rPr>
      <w:szCs w:val="24"/>
    </w:rPr>
  </w:style>
  <w:style w:type="paragraph" w:styleId="12">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5">
    <w:name w:val="Table Grid"/>
    <w:basedOn w:val="14"/>
    <w:qFormat/>
    <w:uiPriority w:val="0"/>
    <w:rPr>
      <w:rFonts w:ascii="宋体" w:hAnsi="Times New Roman" w:eastAsia="宋体" w:cs="Times New Roman"/>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uiPriority w:val="9"/>
    <w:rPr>
      <w:rFonts w:cstheme="majorBidi"/>
      <w:color w:val="104862" w:themeColor="accent1" w:themeShade="BF"/>
      <w:sz w:val="28"/>
      <w:szCs w:val="28"/>
    </w:rPr>
  </w:style>
  <w:style w:type="character" w:customStyle="1" w:styleId="21">
    <w:name w:val="标题 5 字符"/>
    <w:basedOn w:val="16"/>
    <w:link w:val="6"/>
    <w:semiHidden/>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3"/>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2"/>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paragraph" w:customStyle="1" w:styleId="35">
    <w:name w:val="p1"/>
    <w:basedOn w:val="1"/>
    <w:uiPriority w:val="0"/>
    <w:pPr>
      <w:widowControl/>
      <w:jc w:val="left"/>
    </w:pPr>
    <w:rPr>
      <w:rFonts w:ascii=".AppleSystemUIFont" w:hAnsi=".AppleSystemUIFont" w:cs="宋体"/>
      <w:color w:val="0E0E0E"/>
      <w:kern w:val="0"/>
      <w:szCs w:val="21"/>
    </w:rPr>
  </w:style>
  <w:style w:type="paragraph" w:customStyle="1" w:styleId="36">
    <w:name w:val="p2"/>
    <w:basedOn w:val="1"/>
    <w:uiPriority w:val="0"/>
    <w:pPr>
      <w:widowControl/>
      <w:jc w:val="left"/>
    </w:pPr>
    <w:rPr>
      <w:rFonts w:ascii=".AppleSystemUIFont" w:hAnsi=".AppleSystemUIFont" w:cs="宋体"/>
      <w:color w:val="0E0E0E"/>
      <w:kern w:val="0"/>
      <w:szCs w:val="21"/>
    </w:rPr>
  </w:style>
  <w:style w:type="paragraph" w:customStyle="1" w:styleId="37">
    <w:name w:val="p3"/>
    <w:basedOn w:val="1"/>
    <w:uiPriority w:val="0"/>
    <w:pPr>
      <w:widowControl/>
      <w:spacing w:before="180"/>
      <w:ind w:left="315" w:hanging="315"/>
      <w:jc w:val="left"/>
    </w:pPr>
    <w:rPr>
      <w:rFonts w:ascii=".AppleSystemUIFont" w:hAnsi=".AppleSystemUIFont" w:cs="宋体"/>
      <w:color w:val="0E0E0E"/>
      <w:kern w:val="0"/>
      <w:szCs w:val="21"/>
    </w:rPr>
  </w:style>
  <w:style w:type="character" w:customStyle="1" w:styleId="38">
    <w:name w:val="apple-tab-span"/>
    <w:basedOn w:val="16"/>
    <w:uiPriority w:val="0"/>
  </w:style>
  <w:style w:type="paragraph" w:customStyle="1" w:styleId="39">
    <w:name w:val="段"/>
    <w:link w:val="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40">
    <w:name w:val="段 Char"/>
    <w:link w:val="39"/>
    <w:uiPriority w:val="0"/>
    <w:rPr>
      <w:rFonts w:ascii="宋体" w:hAnsi="Times New Roman" w:eastAsia="宋体" w:cs="Times New Roman"/>
      <w:kern w:val="0"/>
      <w:szCs w:val="20"/>
    </w:rPr>
  </w:style>
  <w:style w:type="character" w:customStyle="1" w:styleId="41">
    <w:name w:val="批注文字 字符"/>
    <w:basedOn w:val="16"/>
    <w:link w:val="11"/>
    <w:qFormat/>
    <w:uiPriority w:val="0"/>
    <w:rPr>
      <w:rFonts w:ascii="Times New Roman" w:hAnsi="Times New Roman" w:eastAsia="宋体" w:cs="Times New Roman"/>
    </w:rPr>
  </w:style>
  <w:style w:type="paragraph" w:customStyle="1" w:styleId="42">
    <w:name w:val="一级条标题"/>
    <w:next w:val="39"/>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43">
    <w:name w:val="字母编号列项（一级）"/>
    <w:uiPriority w:val="0"/>
    <w:pPr>
      <w:numPr>
        <w:ilvl w:val="0"/>
        <w:numId w:val="2"/>
      </w:numPr>
      <w:jc w:val="both"/>
    </w:pPr>
    <w:rPr>
      <w:rFonts w:ascii="宋体" w:hAnsi="Times New Roman" w:eastAsia="宋体" w:cs="Times New Roman"/>
      <w:kern w:val="0"/>
      <w:sz w:val="21"/>
      <w:szCs w:val="20"/>
      <w:lang w:val="en-US" w:eastAsia="zh-CN" w:bidi="ar-SA"/>
    </w:rPr>
  </w:style>
  <w:style w:type="paragraph" w:customStyle="1" w:styleId="44">
    <w:name w:val="注：（正文）"/>
    <w:basedOn w:val="1"/>
    <w:next w:val="39"/>
    <w:qFormat/>
    <w:uiPriority w:val="0"/>
    <w:pPr>
      <w:numPr>
        <w:ilvl w:val="0"/>
        <w:numId w:val="3"/>
      </w:numPr>
      <w:autoSpaceDE w:val="0"/>
      <w:autoSpaceDN w:val="0"/>
    </w:pPr>
    <w:rPr>
      <w:rFonts w:ascii="宋体"/>
      <w:kern w:val="0"/>
      <w:sz w:val="18"/>
      <w:szCs w:val="18"/>
    </w:rPr>
  </w:style>
  <w:style w:type="paragraph" w:customStyle="1" w:styleId="45">
    <w:name w:val="正文表标题"/>
    <w:next w:val="39"/>
    <w:qFormat/>
    <w:uiPriority w:val="0"/>
    <w:pPr>
      <w:tabs>
        <w:tab w:val="left" w:pos="360"/>
      </w:tabs>
      <w:spacing w:before="156" w:beforeLines="50" w:after="156" w:afterLines="50"/>
      <w:jc w:val="center"/>
    </w:pPr>
    <w:rPr>
      <w:rFonts w:ascii="黑体" w:hAnsi="Times New Roman" w:eastAsia="黑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2718</Words>
  <Characters>3108</Characters>
  <Lines>23</Lines>
  <Paragraphs>6</Paragraphs>
  <TotalTime>64</TotalTime>
  <ScaleCrop>false</ScaleCrop>
  <LinksUpToDate>false</LinksUpToDate>
  <CharactersWithSpaces>3185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2024-12-15T14:43:00Z</dcterms:created>
  <dc:creator>kangyixin1629@gmail.com</dc:creator>
  <cp:lastModifiedBy>华东</cp:lastModifiedBy>
  <dcterms:modified xsi:type="dcterms:W3CDTF">2024-12-16T04:03:04Z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CC277C1A9C8C43F5A69E985F8DCD282C_12</vt:lpwstr>
  </property>
</Properties>
</file>