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81980">
      <w:pPr>
        <w:pStyle w:val="123"/>
        <w:framePr w:wrap="around"/>
      </w:pPr>
      <w:r>
        <w:rPr>
          <w:rFonts w:hAnsi="黑体"/>
        </w:rPr>
        <w:t xml:space="preserve">ICS </w:t>
      </w:r>
      <w:r>
        <w:fldChar w:fldCharType="begin">
          <w:ffData>
            <w:name w:val="ICS"/>
            <w:enabled/>
            <w:calcOnExit w:val="0"/>
            <w:helpText w:type="text" w:val="请输入正确的ICS号："/>
            <w:textInput>
              <w:default w:val="XX.XXX.XX"/>
            </w:textInput>
          </w:ffData>
        </w:fldChar>
      </w:r>
      <w:bookmarkStart w:id="0" w:name="ICS"/>
      <w:r>
        <w:instrText xml:space="preserve"> FORMTEXT </w:instrText>
      </w:r>
      <w:r>
        <w:fldChar w:fldCharType="separate"/>
      </w:r>
      <w:r>
        <w:t>XX.XXX.XX</w:t>
      </w:r>
      <w:r>
        <w:fldChar w:fldCharType="end"/>
      </w:r>
      <w:bookmarkEnd w:id="0"/>
    </w:p>
    <w:p w14:paraId="31072A14">
      <w:pPr>
        <w:pStyle w:val="123"/>
        <w:framePr w:wrap="around"/>
      </w:pPr>
      <w:r>
        <w:fldChar w:fldCharType="begin">
          <w:ffData>
            <w:name w:val="WXFLH"/>
            <w:enabled/>
            <w:calcOnExit w:val="0"/>
            <w:helpText w:type="text" w:val="请输入中国标准文献分类号："/>
            <w:textInput>
              <w:default w:val="CCS X XX"/>
            </w:textInput>
          </w:ffData>
        </w:fldChar>
      </w:r>
      <w:bookmarkStart w:id="1" w:name="WXFLH"/>
      <w:r>
        <w:instrText xml:space="preserve"> FORMTEXT </w:instrText>
      </w:r>
      <w:r>
        <w:fldChar w:fldCharType="separate"/>
      </w:r>
      <w:r>
        <w:t>CCS X XX</w:t>
      </w:r>
      <w:r>
        <w:fldChar w:fldCharType="end"/>
      </w:r>
      <w:bookmarkEnd w:id="1"/>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66BF2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7AE60E4A">
            <w:pPr>
              <w:pStyle w:val="123"/>
              <w:framePr w:wrap="around"/>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21"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JBq9Hw4CAAAh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iuL+zVAAAABwEAAA8AAAAAAAAAAQAgAAAA&#10;IgAAAGRycy9kb3ducmV2LnhtbFBLAQIUABQAAAAIAIdO4kAkGr0fDgIAACEEAAAOAAAAAAAAAAEA&#10;IAAAACQBAABkcnMvZTJvRG9jLnhtbFBLBQYAAAAABgAGAFkBAACk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4D9F08D8">
      <w:pPr>
        <w:pStyle w:val="110"/>
        <w:framePr w:wrap="around" w:x="1397" w:y="2136"/>
        <w:rPr>
          <w:rFonts w:ascii="Times New Roman" w:hAnsi="Times New Roman"/>
        </w:rPr>
      </w:pPr>
      <w:r>
        <w:rPr>
          <w:rFonts w:hint="eastAsia" w:ascii="Times New Roman" w:hAnsi="Times New Roman"/>
          <w:sz w:val="72"/>
          <w:szCs w:val="96"/>
        </w:rPr>
        <w:t>团体标准</w:t>
      </w:r>
    </w:p>
    <w:p w14:paraId="69232853">
      <w:pPr>
        <w:pStyle w:val="47"/>
        <w:framePr w:wrap="around"/>
        <w:rPr>
          <w:rFonts w:hAnsi="黑体"/>
        </w:rPr>
      </w:pPr>
      <w:r>
        <w:rPr>
          <w:rFonts w:hAnsi="黑体"/>
        </w:rPr>
        <w:fldChar w:fldCharType="begin">
          <w:ffData>
            <w:name w:val="StdNo0"/>
            <w:enabled/>
            <w:calcOnExit w:val="0"/>
            <w:textInput>
              <w:default w:val="T"/>
            </w:textInput>
          </w:ffData>
        </w:fldChar>
      </w:r>
      <w:bookmarkStart w:id="3" w:name="StdNo0"/>
      <w:r>
        <w:rPr>
          <w:rFonts w:hAnsi="黑体"/>
        </w:rPr>
        <w:instrText xml:space="preserve"> FORMTEXT </w:instrText>
      </w:r>
      <w:r>
        <w:rPr>
          <w:rFonts w:hAnsi="黑体"/>
        </w:rPr>
        <w:fldChar w:fldCharType="separate"/>
      </w:r>
      <w:r>
        <w:rPr>
          <w:rFonts w:hAnsi="黑体"/>
        </w:rPr>
        <w:t>T</w:t>
      </w:r>
      <w:r>
        <w:rPr>
          <w:rFonts w:hAnsi="黑体"/>
        </w:rPr>
        <w:fldChar w:fldCharType="end"/>
      </w:r>
      <w:bookmarkEnd w:id="3"/>
      <w:r>
        <w:rPr>
          <w:rFonts w:hAnsi="黑体"/>
        </w:rPr>
        <w:t>/</w:t>
      </w:r>
      <w:r>
        <w:rPr>
          <w:rFonts w:hint="eastAsia" w:hAnsi="黑体"/>
        </w:rPr>
        <w:t>SZS</w:t>
      </w:r>
      <w:r>
        <w:rPr>
          <w:rFonts w:hAnsi="黑体"/>
        </w:rPr>
        <w:t xml:space="preserve"> </w:t>
      </w:r>
      <w:r>
        <w:rPr>
          <w:rFonts w:hAnsi="黑体"/>
        </w:rPr>
        <w:fldChar w:fldCharType="begin">
          <w:ffData>
            <w:name w:val="StdNo1"/>
            <w:enabled/>
            <w:calcOnExit w:val="0"/>
            <w:textInput>
              <w:default w:val="XXXXX"/>
            </w:textInput>
          </w:ffData>
        </w:fldChar>
      </w:r>
      <w:bookmarkStart w:id="4" w:name="StdNo1"/>
      <w:r>
        <w:rPr>
          <w:rFonts w:hAnsi="黑体"/>
        </w:rPr>
        <w:instrText xml:space="preserve"> FORMTEXT </w:instrText>
      </w:r>
      <w:r>
        <w:rPr>
          <w:rFonts w:hAnsi="黑体"/>
        </w:rPr>
        <w:fldChar w:fldCharType="separate"/>
      </w:r>
      <w:r>
        <w:rPr>
          <w:rFonts w:hAnsi="黑体"/>
        </w:rPr>
        <w:t>XXXXX</w:t>
      </w:r>
      <w:r>
        <w:rPr>
          <w:rFonts w:hAnsi="黑体"/>
        </w:rPr>
        <w:fldChar w:fldCharType="end"/>
      </w:r>
      <w:bookmarkEnd w:id="4"/>
      <w:r>
        <w:rPr>
          <w:rFonts w:hAnsi="黑体"/>
        </w:rPr>
        <w:t>—</w:t>
      </w:r>
      <w:r>
        <w:rPr>
          <w:rFonts w:hAnsi="黑体"/>
        </w:rPr>
        <w:fldChar w:fldCharType="begin">
          <w:ffData>
            <w:name w:val="StdNo2"/>
            <w:enabled/>
            <w:calcOnExit w:val="0"/>
            <w:textInput>
              <w:default w:val="XXXX"/>
              <w:maxLength w:val="4"/>
            </w:textInput>
          </w:ffData>
        </w:fldChar>
      </w:r>
      <w:bookmarkStart w:id="5" w:name="StdNo2"/>
      <w:r>
        <w:rPr>
          <w:rFonts w:hAnsi="黑体"/>
        </w:rPr>
        <w:instrText xml:space="preserve"> FORMTEXT </w:instrText>
      </w:r>
      <w:r>
        <w:rPr>
          <w:rFonts w:hAnsi="黑体"/>
        </w:rPr>
        <w:fldChar w:fldCharType="separate"/>
      </w:r>
      <w:r>
        <w:rPr>
          <w:rFonts w:hAnsi="黑体"/>
        </w:rPr>
        <w:t>XXXX</w:t>
      </w:r>
      <w:r>
        <w:rPr>
          <w:rFonts w:hAnsi="黑体"/>
        </w:rPr>
        <w:fldChar w:fldCharType="end"/>
      </w:r>
      <w:bookmarkEnd w:id="5"/>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0EA28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04CEDA8A">
            <w:pPr>
              <w:pStyle w:val="76"/>
              <w:framePr w:wrap="around"/>
            </w:pPr>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20"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EvYguYJAgAAIQ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textInput/>
                </w:ffData>
              </w:fldChar>
            </w:r>
            <w:bookmarkStart w:id="6" w:name="DT"/>
            <w:r>
              <w:instrText xml:space="preserve"> FORMTEXT </w:instrText>
            </w:r>
            <w:r>
              <w:fldChar w:fldCharType="separate"/>
            </w:r>
            <w:r>
              <w:t>     </w:t>
            </w:r>
            <w:r>
              <w:fldChar w:fldCharType="end"/>
            </w:r>
            <w:bookmarkEnd w:id="6"/>
          </w:p>
        </w:tc>
      </w:tr>
    </w:tbl>
    <w:p w14:paraId="0B1D1AD8">
      <w:pPr>
        <w:pStyle w:val="47"/>
        <w:framePr w:wrap="around"/>
        <w:rPr>
          <w:rFonts w:hAnsi="黑体"/>
        </w:rPr>
      </w:pPr>
    </w:p>
    <w:p w14:paraId="769B7CAC">
      <w:pPr>
        <w:pStyle w:val="47"/>
        <w:framePr w:wrap="around"/>
        <w:rPr>
          <w:rFonts w:hAnsi="黑体"/>
        </w:rPr>
      </w:pPr>
    </w:p>
    <w:p w14:paraId="460AD921">
      <w:pPr>
        <w:pStyle w:val="78"/>
        <w:framePr w:wrap="around" w:x="1496" w:y="6361"/>
      </w:pPr>
      <w:r>
        <w:t>靶向型溶瘤疱疹病毒制备及质量控制评价技术要求</w:t>
      </w:r>
    </w:p>
    <w:p w14:paraId="2938B090">
      <w:pPr>
        <w:pStyle w:val="79"/>
        <w:framePr w:wrap="around" w:x="1496" w:y="6361"/>
        <w:rPr>
          <w:rFonts w:ascii="黑体" w:hAnsi="黑体"/>
        </w:rPr>
      </w:pPr>
      <w:r>
        <w:rPr>
          <w:rFonts w:hint="eastAsia" w:ascii="黑体" w:hAnsi="黑体"/>
        </w:rPr>
        <w:t>Technical requirements for preparation and quality control evaluation of oncolytic herpes simplex virus</w:t>
      </w:r>
    </w:p>
    <w:p w14:paraId="7EDA5B87">
      <w:pPr>
        <w:pStyle w:val="79"/>
        <w:framePr w:wrap="around" w:x="1496" w:y="6361"/>
        <w:jc w:val="both"/>
        <w:rPr>
          <w:rFonts w:ascii="黑体" w:hAnsi="黑体"/>
        </w:rPr>
      </w:pPr>
    </w:p>
    <w:p w14:paraId="19F6345E">
      <w:pPr>
        <w:pStyle w:val="80"/>
        <w:framePr w:wrap="around" w:x="1496" w:y="6361"/>
      </w:pP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64B87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543CA66">
            <w:pPr>
              <w:pStyle w:val="81"/>
              <w:framePr w:wrap="around" w:x="1496" w:y="6361"/>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1905" r="2540" b="1270"/>
                      <wp:wrapNone/>
                      <wp:docPr id="19"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&#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SAqFOwkCAAAhBAAADgAAAAAAAAABACAAAAAk&#10;AQAAZHJzL2Uyb0RvYy54bWxQSwUGAAAAAAYABgBZAQAAnwUAAAAA&#10;">
                      <v:fill on="t" focussize="0,0"/>
                      <v:stroke on="f"/>
                      <v:imagedata o:title=""/>
                      <o:lock v:ext="edit" aspectratio="f"/>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3810" t="0" r="2540" b="1270"/>
                      <wp:wrapNone/>
                      <wp:docPr id="18"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KsS7aMJAgAAIQQAAA4AAAAAAAAAAQAgAAAA&#10;JQEAAGRycy9lMm9Eb2MueG1sUEsFBgAAAAAGAAYAWQEAAKAFAAAAAA==&#10;">
                      <v:fill on="t" focussize="0,0"/>
                      <v:stroke on="f"/>
                      <v:imagedata o:title=""/>
                      <o:lock v:ext="edit" aspectratio="f"/>
                    </v:rect>
                  </w:pict>
                </mc:Fallback>
              </mc:AlternateContent>
            </w:r>
          </w:p>
        </w:tc>
      </w:tr>
      <w:tr w14:paraId="2D7CE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325D584">
            <w:pPr>
              <w:pStyle w:val="82"/>
              <w:framePr w:wrap="around" w:x="1496" w:y="6361"/>
            </w:pPr>
            <w:r>
              <w:fldChar w:fldCharType="begin">
                <w:ffData>
                  <w:name w:val="WCRQ"/>
                  <w:enabled/>
                  <w:calcOnExit w:val="0"/>
                  <w:textInput/>
                </w:ffData>
              </w:fldChar>
            </w:r>
            <w:bookmarkStart w:id="7" w:name="WCRQ"/>
            <w:r>
              <w:instrText xml:space="preserve"> FORMTEXT </w:instrText>
            </w:r>
            <w:r>
              <w:fldChar w:fldCharType="separate"/>
            </w:r>
            <w:r>
              <w:t>     </w:t>
            </w:r>
            <w:r>
              <w:fldChar w:fldCharType="end"/>
            </w:r>
            <w:bookmarkEnd w:id="7"/>
          </w:p>
        </w:tc>
      </w:tr>
    </w:tbl>
    <w:p w14:paraId="2CB37C05">
      <w:pPr>
        <w:pStyle w:val="130"/>
        <w:framePr w:wrap="around" w:vAnchor="page" w:hAnchor="page" w:x="1046" w:y="14073"/>
      </w:pPr>
      <w:r>
        <w:rPr>
          <w:rFonts w:ascii="黑体"/>
        </w:rPr>
        <w:fldChar w:fldCharType="begin">
          <w:ffData>
            <w:name w:val="FY"/>
            <w:enabled/>
            <w:calcOnExit w:val="0"/>
            <w:textInput>
              <w:default w:val="XXXX"/>
              <w:maxLength w:val="4"/>
            </w:textInput>
          </w:ffData>
        </w:fldChar>
      </w:r>
      <w:bookmarkStart w:id="8" w:name="F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bookmarkStart w:id="9"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17" name="直线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h2s81gAAAAsBAAAPAAAAAAAAAAEA&#10;IAAAACIAAABkcnMvZG93bnJldi54bWxQSwECFAAUAAAACACHTuJArq9Ed9gBAACjAwAADgAAAAAA&#10;AAABACAAAAAlAQAAZHJzL2Uyb0RvYy54bWxQSwUGAAAAAAYABgBZAQAAbwUAAAAA&#10;">
                <v:fill on="f" focussize="0,0"/>
                <v:stroke color="#000000" joinstyle="round"/>
                <v:imagedata o:title=""/>
                <o:lock v:ext="edit" aspectratio="f"/>
                <w10:anchorlock/>
              </v:line>
            </w:pict>
          </mc:Fallback>
        </mc:AlternateContent>
      </w:r>
    </w:p>
    <w:p w14:paraId="7CA98E33">
      <w:pPr>
        <w:pStyle w:val="131"/>
        <w:framePr w:wrap="around" w:vAnchor="page" w:hAnchor="page" w:x="6739"/>
      </w:pPr>
      <w:r>
        <w:rPr>
          <w:rFonts w:ascii="黑体"/>
        </w:rPr>
        <w:fldChar w:fldCharType="begin">
          <w:ffData>
            <w:name w:val="SY"/>
            <w:enabled/>
            <w:calcOnExit w:val="0"/>
            <w:textInput>
              <w:default w:val="XXXX"/>
              <w:maxLength w:val="4"/>
            </w:textInput>
          </w:ffData>
        </w:fldChar>
      </w:r>
      <w:bookmarkStart w:id="10" w:name="S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rPr>
          <w:rFonts w:ascii="黑体"/>
        </w:rPr>
        <w:t>-</w:t>
      </w:r>
      <w:r>
        <w:rPr>
          <w:rFonts w:ascii="黑体"/>
        </w:rPr>
        <w:fldChar w:fldCharType="begin">
          <w:ffData>
            <w:name w:val="SM"/>
            <w:enabled/>
            <w:calcOnExit w:val="0"/>
            <w:textInput>
              <w:default w:val="XX"/>
              <w:maxLength w:val="2"/>
            </w:textInput>
          </w:ffData>
        </w:fldChar>
      </w:r>
      <w:bookmarkStart w:id="11"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ascii="黑体"/>
        </w:rPr>
        <w:t>-</w:t>
      </w:r>
      <w:r>
        <w:rPr>
          <w:rFonts w:ascii="黑体"/>
        </w:rPr>
        <w:fldChar w:fldCharType="begin">
          <w:ffData>
            <w:name w:val="SD"/>
            <w:enabled/>
            <w:calcOnExit w:val="0"/>
            <w:textInput>
              <w:default w:val="XX"/>
              <w:maxLength w:val="2"/>
            </w:textInput>
          </w:ffData>
        </w:fldChar>
      </w:r>
      <w:bookmarkStart w:id="12"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14:paraId="0FC1382F">
      <w:pPr>
        <w:pStyle w:val="111"/>
        <w:framePr w:wrap="around"/>
      </w:pPr>
      <w:r>
        <w:rPr>
          <w:rFonts w:hint="eastAsia"/>
        </w:rPr>
        <w:t>深圳市深圳标准促进会</w:t>
      </w:r>
      <w:r>
        <w:rPr>
          <w:rFonts w:hAnsi="黑体"/>
        </w:rPr>
        <w:t>   </w:t>
      </w:r>
      <w:r>
        <w:rPr>
          <w:rStyle w:val="73"/>
          <w:rFonts w:hint="eastAsia"/>
        </w:rPr>
        <w:t>发布</w:t>
      </w:r>
    </w:p>
    <w:p w14:paraId="0ED897BE">
      <w:pPr>
        <w:pStyle w:val="21"/>
        <w:sectPr>
          <w:headerReference r:id="rId3" w:type="even"/>
          <w:pgSz w:w="11906" w:h="16838"/>
          <w:pgMar w:top="567" w:right="850" w:bottom="1134" w:left="1418" w:header="0" w:footer="0" w:gutter="0"/>
          <w:pgNumType w:start="1"/>
          <w:cols w:space="720" w:num="1"/>
          <w:docGrid w:type="lines" w:linePitch="312" w:charSpace="0"/>
        </w:sectPr>
      </w:pPr>
      <w: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6" name="直线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JB4l/XAAAACQEAAA8AAAAAAAAAAQAg&#10;AAAAIgAAAGRycy9kb3ducmV2LnhtbFBLAQIUABQAAAAIAIdO4kBhGaLV1gEAAKMDAAAOAAAAAAAA&#10;AAEAIAAAACYBAABkcnMvZTJvRG9jLnhtbFBLBQYAAAAABgAGAFkBAABuBQAAAAA=&#10;">
                <v:fill on="f" focussize="0,0"/>
                <v:stroke color="#000000" joinstyle="round"/>
                <v:imagedata o:title=""/>
                <o:lock v:ext="edit" aspectratio="f"/>
              </v:line>
            </w:pict>
          </mc:Fallback>
        </mc:AlternateContent>
      </w:r>
    </w:p>
    <w:p w14:paraId="3015884A">
      <w:pPr>
        <w:pStyle w:val="50"/>
      </w:pPr>
      <w:r>
        <w:rPr>
          <w:rFonts w:hint="eastAsia"/>
        </w:rPr>
        <w:t>目</w:t>
      </w:r>
      <w:bookmarkStart w:id="13" w:name="BKML"/>
      <w:r>
        <w:rPr>
          <w:rFonts w:hint="eastAsia" w:hAnsi="黑体"/>
        </w:rPr>
        <w:t>　　</w:t>
      </w:r>
      <w:r>
        <w:rPr>
          <w:rFonts w:hint="eastAsia"/>
        </w:rPr>
        <w:t>次</w:t>
      </w:r>
      <w:bookmarkEnd w:id="13"/>
    </w:p>
    <w:p w14:paraId="451A3C40">
      <w:pPr>
        <w:pStyle w:val="17"/>
        <w:spacing w:before="78" w:after="78"/>
        <w:rPr>
          <w:rFonts w:ascii="Calibri" w:hAnsi="Calibri"/>
          <w:szCs w:val="22"/>
        </w:rPr>
      </w:pPr>
      <w:r>
        <w:fldChar w:fldCharType="begin" w:fldLock="1"/>
      </w:r>
      <w:r>
        <w:instrText xml:space="preserve"> </w:instrText>
      </w:r>
      <w:r>
        <w:rPr>
          <w:rFonts w:hint="eastAsia"/>
        </w:rPr>
        <w:instrText xml:space="preserve">TOC \h \z \t"前言、引言标题,1,参考文献、索引标题,1,章标题,1,参考文献,1,附录标识,1" \* MERGEFORMAT</w:instrText>
      </w:r>
      <w:r>
        <w:instrText xml:space="preserve"> </w:instrText>
      </w:r>
      <w:r>
        <w:fldChar w:fldCharType="separate"/>
      </w:r>
      <w:r>
        <w:fldChar w:fldCharType="begin"/>
      </w:r>
      <w:r>
        <w:instrText xml:space="preserve"> HYPERLINK \l "_Toc75352896" </w:instrText>
      </w:r>
      <w:r>
        <w:fldChar w:fldCharType="separate"/>
      </w:r>
      <w:r>
        <w:rPr>
          <w:rStyle w:val="37"/>
          <w:rFonts w:hint="eastAsia"/>
        </w:rPr>
        <w:t>前言</w:t>
      </w:r>
      <w:r>
        <w:tab/>
      </w:r>
      <w:r>
        <w:fldChar w:fldCharType="begin" w:fldLock="1"/>
      </w:r>
      <w:r>
        <w:instrText xml:space="preserve"> PAGEREF _Toc75352896 \h </w:instrText>
      </w:r>
      <w:r>
        <w:fldChar w:fldCharType="separate"/>
      </w:r>
      <w:r>
        <w:t>II</w:t>
      </w:r>
      <w:r>
        <w:fldChar w:fldCharType="end"/>
      </w:r>
      <w:r>
        <w:fldChar w:fldCharType="end"/>
      </w:r>
    </w:p>
    <w:p w14:paraId="1A864B07">
      <w:pPr>
        <w:pStyle w:val="17"/>
        <w:spacing w:before="78" w:after="78"/>
        <w:rPr>
          <w:rFonts w:ascii="Calibri" w:hAnsi="Calibri"/>
          <w:szCs w:val="22"/>
        </w:rPr>
      </w:pPr>
      <w:r>
        <w:fldChar w:fldCharType="begin"/>
      </w:r>
      <w:r>
        <w:instrText xml:space="preserve"> HYPERLINK \l "_Toc75352898" </w:instrText>
      </w:r>
      <w:r>
        <w:fldChar w:fldCharType="separate"/>
      </w:r>
      <w:r>
        <w:rPr>
          <w:rStyle w:val="37"/>
        </w:rPr>
        <w:t>1</w:t>
      </w:r>
      <w:r>
        <w:rPr>
          <w:rStyle w:val="37"/>
          <w:rFonts w:hint="eastAsia"/>
        </w:rPr>
        <w:t xml:space="preserve"> </w:t>
      </w:r>
      <w:r>
        <w:rPr>
          <w:rStyle w:val="37"/>
        </w:rPr>
        <w:t xml:space="preserve"> </w:t>
      </w:r>
      <w:r>
        <w:rPr>
          <w:rStyle w:val="37"/>
          <w:rFonts w:hint="eastAsia"/>
        </w:rPr>
        <w:t>范围</w:t>
      </w:r>
      <w:r>
        <w:tab/>
      </w:r>
      <w:r>
        <w:fldChar w:fldCharType="begin" w:fldLock="1"/>
      </w:r>
      <w:r>
        <w:instrText xml:space="preserve"> PAGEREF _Toc75352898 \h </w:instrText>
      </w:r>
      <w:r>
        <w:fldChar w:fldCharType="separate"/>
      </w:r>
      <w:r>
        <w:t>1</w:t>
      </w:r>
      <w:r>
        <w:fldChar w:fldCharType="end"/>
      </w:r>
      <w:r>
        <w:fldChar w:fldCharType="end"/>
      </w:r>
    </w:p>
    <w:p w14:paraId="2CF914F9">
      <w:pPr>
        <w:pStyle w:val="17"/>
        <w:spacing w:before="78" w:after="78"/>
        <w:rPr>
          <w:rFonts w:ascii="Calibri" w:hAnsi="Calibri"/>
          <w:szCs w:val="22"/>
        </w:rPr>
      </w:pPr>
      <w:r>
        <w:fldChar w:fldCharType="begin"/>
      </w:r>
      <w:r>
        <w:instrText xml:space="preserve"> HYPERLINK \l "_Toc75352899" </w:instrText>
      </w:r>
      <w:r>
        <w:fldChar w:fldCharType="separate"/>
      </w:r>
      <w:r>
        <w:rPr>
          <w:rStyle w:val="37"/>
        </w:rPr>
        <w:t>2</w:t>
      </w:r>
      <w:r>
        <w:rPr>
          <w:rStyle w:val="37"/>
          <w:rFonts w:hint="eastAsia"/>
        </w:rPr>
        <w:t xml:space="preserve"> </w:t>
      </w:r>
      <w:r>
        <w:rPr>
          <w:rStyle w:val="37"/>
        </w:rPr>
        <w:t xml:space="preserve"> </w:t>
      </w:r>
      <w:r>
        <w:rPr>
          <w:rStyle w:val="37"/>
          <w:rFonts w:hint="eastAsia"/>
        </w:rPr>
        <w:t>规范性引用文件</w:t>
      </w:r>
      <w:r>
        <w:tab/>
      </w:r>
      <w:r>
        <w:fldChar w:fldCharType="begin" w:fldLock="1"/>
      </w:r>
      <w:r>
        <w:instrText xml:space="preserve"> PAGEREF _Toc75352899 \h </w:instrText>
      </w:r>
      <w:r>
        <w:fldChar w:fldCharType="separate"/>
      </w:r>
      <w:r>
        <w:t>1</w:t>
      </w:r>
      <w:r>
        <w:fldChar w:fldCharType="end"/>
      </w:r>
      <w:r>
        <w:fldChar w:fldCharType="end"/>
      </w:r>
    </w:p>
    <w:p w14:paraId="6AA66E98">
      <w:pPr>
        <w:pStyle w:val="17"/>
        <w:spacing w:before="78" w:after="78"/>
        <w:rPr>
          <w:rFonts w:ascii="Calibri" w:hAnsi="Calibri"/>
          <w:szCs w:val="22"/>
        </w:rPr>
      </w:pPr>
      <w:r>
        <w:fldChar w:fldCharType="begin"/>
      </w:r>
      <w:r>
        <w:instrText xml:space="preserve"> HYPERLINK \l "_Toc75352900" </w:instrText>
      </w:r>
      <w:r>
        <w:fldChar w:fldCharType="separate"/>
      </w:r>
      <w:r>
        <w:rPr>
          <w:rStyle w:val="37"/>
        </w:rPr>
        <w:t>3</w:t>
      </w:r>
      <w:r>
        <w:rPr>
          <w:rStyle w:val="37"/>
          <w:rFonts w:hint="eastAsia"/>
        </w:rPr>
        <w:t xml:space="preserve"> </w:t>
      </w:r>
      <w:r>
        <w:rPr>
          <w:rStyle w:val="37"/>
        </w:rPr>
        <w:t xml:space="preserve"> </w:t>
      </w:r>
      <w:r>
        <w:rPr>
          <w:rStyle w:val="37"/>
          <w:rFonts w:hint="eastAsia"/>
        </w:rPr>
        <w:t>术语和定义</w:t>
      </w:r>
      <w:r>
        <w:tab/>
      </w:r>
      <w:r>
        <w:fldChar w:fldCharType="begin" w:fldLock="1"/>
      </w:r>
      <w:r>
        <w:instrText xml:space="preserve"> PAGEREF _Toc75352900 \h </w:instrText>
      </w:r>
      <w:r>
        <w:fldChar w:fldCharType="separate"/>
      </w:r>
      <w:r>
        <w:t>1</w:t>
      </w:r>
      <w:r>
        <w:fldChar w:fldCharType="end"/>
      </w:r>
      <w:r>
        <w:fldChar w:fldCharType="end"/>
      </w:r>
    </w:p>
    <w:p w14:paraId="0DEDAAC4">
      <w:pPr>
        <w:pStyle w:val="17"/>
        <w:spacing w:before="78" w:after="78"/>
        <w:rPr>
          <w:rStyle w:val="37"/>
        </w:rPr>
      </w:pPr>
      <w:r>
        <w:fldChar w:fldCharType="begin"/>
      </w:r>
      <w:r>
        <w:instrText xml:space="preserve"> HYPERLINK \l "_Toc75352901" </w:instrText>
      </w:r>
      <w:r>
        <w:fldChar w:fldCharType="separate"/>
      </w:r>
      <w:r>
        <w:rPr>
          <w:rStyle w:val="37"/>
        </w:rPr>
        <w:t>4</w:t>
      </w:r>
      <w:r>
        <w:rPr>
          <w:rStyle w:val="37"/>
          <w:rFonts w:hint="eastAsia"/>
        </w:rPr>
        <w:t xml:space="preserve"> </w:t>
      </w:r>
      <w:r>
        <w:rPr>
          <w:rStyle w:val="37"/>
        </w:rPr>
        <w:t xml:space="preserve"> </w:t>
      </w:r>
      <w:r>
        <w:rPr>
          <w:rStyle w:val="37"/>
          <w:rFonts w:hint="eastAsia"/>
        </w:rPr>
        <w:t>一般原则</w:t>
      </w:r>
      <w:r>
        <w:tab/>
      </w:r>
      <w:r>
        <w:rPr>
          <w:rFonts w:hint="eastAsia"/>
        </w:rPr>
        <w:t>1</w:t>
      </w:r>
    </w:p>
    <w:p w14:paraId="71BCEA1B">
      <w:pPr>
        <w:pStyle w:val="17"/>
        <w:spacing w:before="78" w:after="78"/>
        <w:rPr>
          <w:rFonts w:ascii="Calibri" w:hAnsi="Calibri"/>
          <w:szCs w:val="22"/>
        </w:rPr>
      </w:pPr>
      <w:r>
        <w:rPr>
          <w:rStyle w:val="37"/>
          <w:rFonts w:hint="eastAsia"/>
        </w:rPr>
        <w:t>5  溶瘤病毒感染和复制扩增特性分析</w:t>
      </w:r>
      <w:r>
        <w:tab/>
      </w:r>
      <w:r>
        <w:rPr>
          <w:rFonts w:hint="eastAsia"/>
        </w:rPr>
        <w:t>2</w:t>
      </w:r>
      <w:r>
        <w:fldChar w:fldCharType="end"/>
      </w:r>
    </w:p>
    <w:p w14:paraId="776E03E4">
      <w:pPr>
        <w:pStyle w:val="17"/>
        <w:spacing w:before="78" w:after="78"/>
        <w:rPr>
          <w:rFonts w:ascii="Calibri" w:hAnsi="Calibri"/>
          <w:szCs w:val="22"/>
        </w:rPr>
      </w:pPr>
      <w:r>
        <w:fldChar w:fldCharType="begin"/>
      </w:r>
      <w:r>
        <w:instrText xml:space="preserve"> HYPERLINK \l "_Toc75352902" </w:instrText>
      </w:r>
      <w:r>
        <w:fldChar w:fldCharType="separate"/>
      </w:r>
      <w:r>
        <w:rPr>
          <w:rStyle w:val="37"/>
          <w:rFonts w:hint="eastAsia"/>
        </w:rPr>
        <w:t xml:space="preserve">6 </w:t>
      </w:r>
      <w:r>
        <w:rPr>
          <w:rStyle w:val="37"/>
        </w:rPr>
        <w:t xml:space="preserve"> </w:t>
      </w:r>
      <w:r>
        <w:rPr>
          <w:rStyle w:val="37"/>
          <w:rFonts w:hint="eastAsia"/>
        </w:rPr>
        <w:t>牛血清白蛋白残留检测</w:t>
      </w:r>
      <w:r>
        <w:tab/>
      </w:r>
      <w:r>
        <w:rPr>
          <w:rFonts w:hint="eastAsia"/>
        </w:rPr>
        <w:t>3</w:t>
      </w:r>
      <w:r>
        <w:rPr>
          <w:rFonts w:hint="eastAsia"/>
        </w:rPr>
        <w:fldChar w:fldCharType="end"/>
      </w:r>
    </w:p>
    <w:p w14:paraId="52984C38">
      <w:pPr>
        <w:pStyle w:val="17"/>
        <w:spacing w:before="78" w:after="78"/>
        <w:rPr>
          <w:rFonts w:ascii="Calibri" w:hAnsi="Calibri"/>
          <w:szCs w:val="22"/>
        </w:rPr>
      </w:pPr>
      <w:r>
        <w:fldChar w:fldCharType="begin"/>
      </w:r>
      <w:r>
        <w:instrText xml:space="preserve"> HYPERLINK \l "_Toc75352903" </w:instrText>
      </w:r>
      <w:r>
        <w:fldChar w:fldCharType="separate"/>
      </w:r>
      <w:r>
        <w:rPr>
          <w:rStyle w:val="37"/>
          <w:rFonts w:hint="eastAsia"/>
        </w:rPr>
        <w:t xml:space="preserve">7 </w:t>
      </w:r>
      <w:r>
        <w:rPr>
          <w:rStyle w:val="37"/>
        </w:rPr>
        <w:t xml:space="preserve"> </w:t>
      </w:r>
      <w:r>
        <w:rPr>
          <w:rStyle w:val="37"/>
          <w:rFonts w:hint="eastAsia"/>
        </w:rPr>
        <w:t>溶瘤病毒滴度测定</w:t>
      </w:r>
      <w:r>
        <w:tab/>
      </w:r>
      <w:r>
        <w:rPr>
          <w:rFonts w:hint="eastAsia"/>
        </w:rPr>
        <w:t>4</w:t>
      </w:r>
      <w:r>
        <w:rPr>
          <w:rFonts w:hint="eastAsia"/>
        </w:rPr>
        <w:fldChar w:fldCharType="end"/>
      </w:r>
    </w:p>
    <w:p w14:paraId="37B0ED11">
      <w:pPr>
        <w:pStyle w:val="17"/>
        <w:spacing w:before="78" w:after="78"/>
        <w:rPr>
          <w:rFonts w:ascii="Calibri" w:hAnsi="Calibri"/>
          <w:szCs w:val="22"/>
        </w:rPr>
      </w:pPr>
      <w:r>
        <w:fldChar w:fldCharType="begin"/>
      </w:r>
      <w:r>
        <w:instrText xml:space="preserve"> HYPERLINK \l "_Toc75352904" </w:instrText>
      </w:r>
      <w:r>
        <w:fldChar w:fldCharType="separate"/>
      </w:r>
      <w:r>
        <w:rPr>
          <w:rStyle w:val="37"/>
          <w:rFonts w:hint="eastAsia"/>
        </w:rPr>
        <w:t xml:space="preserve">8 </w:t>
      </w:r>
      <w:r>
        <w:rPr>
          <w:rStyle w:val="37"/>
        </w:rPr>
        <w:t xml:space="preserve"> </w:t>
      </w:r>
      <w:r>
        <w:rPr>
          <w:rStyle w:val="37"/>
          <w:rFonts w:hint="eastAsia"/>
        </w:rPr>
        <w:t>溶瘤病毒基因组提取</w:t>
      </w:r>
      <w:r>
        <w:tab/>
      </w:r>
      <w:r>
        <w:rPr>
          <w:rFonts w:hint="eastAsia"/>
        </w:rPr>
        <w:t>5</w:t>
      </w:r>
      <w:r>
        <w:rPr>
          <w:rFonts w:hint="eastAsia"/>
        </w:rPr>
        <w:fldChar w:fldCharType="end"/>
      </w:r>
    </w:p>
    <w:p w14:paraId="19836E29">
      <w:pPr>
        <w:pStyle w:val="17"/>
        <w:spacing w:before="78" w:after="78"/>
        <w:rPr>
          <w:rFonts w:ascii="Calibri" w:hAnsi="Calibri"/>
          <w:szCs w:val="22"/>
        </w:rPr>
      </w:pPr>
      <w:r>
        <w:fldChar w:fldCharType="begin"/>
      </w:r>
      <w:r>
        <w:instrText xml:space="preserve"> HYPERLINK \l "_Toc75352905" </w:instrText>
      </w:r>
      <w:r>
        <w:fldChar w:fldCharType="separate"/>
      </w:r>
      <w:r>
        <w:rPr>
          <w:rStyle w:val="37"/>
          <w:rFonts w:hint="eastAsia"/>
        </w:rPr>
        <w:t xml:space="preserve">9 </w:t>
      </w:r>
      <w:r>
        <w:rPr>
          <w:rStyle w:val="37"/>
        </w:rPr>
        <w:t xml:space="preserve"> </w:t>
      </w:r>
      <w:r>
        <w:rPr>
          <w:rStyle w:val="37"/>
          <w:rFonts w:hint="eastAsia"/>
        </w:rPr>
        <w:t>安全性评价-基因鉴定</w:t>
      </w:r>
      <w:r>
        <w:tab/>
      </w:r>
      <w:r>
        <w:rPr>
          <w:rFonts w:hint="eastAsia"/>
        </w:rPr>
        <w:t>6</w:t>
      </w:r>
      <w:r>
        <w:rPr>
          <w:rFonts w:hint="eastAsia"/>
        </w:rPr>
        <w:fldChar w:fldCharType="end"/>
      </w:r>
    </w:p>
    <w:p w14:paraId="6225CB39">
      <w:pPr>
        <w:pStyle w:val="17"/>
        <w:spacing w:before="78" w:after="78"/>
        <w:rPr>
          <w:rStyle w:val="37"/>
        </w:rPr>
      </w:pPr>
      <w:r>
        <w:fldChar w:fldCharType="begin"/>
      </w:r>
      <w:r>
        <w:instrText xml:space="preserve"> HYPERLINK \l "_Toc75352906" </w:instrText>
      </w:r>
      <w:r>
        <w:fldChar w:fldCharType="separate"/>
      </w:r>
      <w:r>
        <w:rPr>
          <w:rStyle w:val="37"/>
          <w:rFonts w:hint="eastAsia"/>
        </w:rPr>
        <w:t>10</w:t>
      </w:r>
      <w:r>
        <w:rPr>
          <w:rStyle w:val="37"/>
        </w:rPr>
        <w:t xml:space="preserve"> </w:t>
      </w:r>
      <w:r>
        <w:rPr>
          <w:rStyle w:val="37"/>
          <w:rFonts w:hint="eastAsia"/>
        </w:rPr>
        <w:t xml:space="preserve"> 安全性评价-耐药性评估</w:t>
      </w:r>
      <w:r>
        <w:rPr>
          <w:rStyle w:val="37"/>
        </w:rPr>
        <w:t>……</w:t>
      </w:r>
      <w:r>
        <w:tab/>
      </w:r>
      <w:r>
        <w:rPr>
          <w:rFonts w:hint="eastAsia"/>
        </w:rPr>
        <w:t>7</w:t>
      </w:r>
      <w:r>
        <w:rPr>
          <w:rFonts w:hint="eastAsia"/>
        </w:rPr>
        <w:fldChar w:fldCharType="end"/>
      </w:r>
    </w:p>
    <w:p w14:paraId="5EF2299D">
      <w:pPr>
        <w:pStyle w:val="17"/>
        <w:spacing w:before="78" w:after="78"/>
        <w:rPr>
          <w:rFonts w:ascii="Calibri" w:hAnsi="Calibri"/>
          <w:szCs w:val="22"/>
        </w:rPr>
      </w:pPr>
      <w:r>
        <w:fldChar w:fldCharType="begin"/>
      </w:r>
      <w:r>
        <w:instrText xml:space="preserve"> HYPERLINK \l "_Toc75352904" </w:instrText>
      </w:r>
      <w:r>
        <w:fldChar w:fldCharType="separate"/>
      </w:r>
      <w:r>
        <w:rPr>
          <w:rStyle w:val="37"/>
          <w:rFonts w:hint="eastAsia"/>
        </w:rPr>
        <w:t xml:space="preserve">11 </w:t>
      </w:r>
      <w:r>
        <w:rPr>
          <w:rStyle w:val="37"/>
        </w:rPr>
        <w:t xml:space="preserve"> </w:t>
      </w:r>
      <w:r>
        <w:rPr>
          <w:rStyle w:val="37"/>
          <w:rFonts w:hint="eastAsia"/>
        </w:rPr>
        <w:t>安全性评价-致病毒性脑炎风险分析</w:t>
      </w:r>
      <w:r>
        <w:tab/>
      </w:r>
      <w:r>
        <w:rPr>
          <w:rFonts w:hint="eastAsia"/>
        </w:rPr>
        <w:t>7</w:t>
      </w:r>
      <w:r>
        <w:rPr>
          <w:rFonts w:hint="eastAsia"/>
        </w:rPr>
        <w:fldChar w:fldCharType="end"/>
      </w:r>
    </w:p>
    <w:p w14:paraId="0B33590F">
      <w:pPr>
        <w:pStyle w:val="17"/>
        <w:spacing w:before="78" w:after="78"/>
        <w:rPr>
          <w:rFonts w:ascii="Calibri" w:hAnsi="Calibri"/>
          <w:szCs w:val="22"/>
        </w:rPr>
      </w:pPr>
      <w:r>
        <w:fldChar w:fldCharType="begin"/>
      </w:r>
      <w:r>
        <w:instrText xml:space="preserve"> HYPERLINK \l "_Toc75352905" </w:instrText>
      </w:r>
      <w:r>
        <w:fldChar w:fldCharType="separate"/>
      </w:r>
      <w:r>
        <w:rPr>
          <w:rStyle w:val="37"/>
          <w:rFonts w:hint="eastAsia"/>
        </w:rPr>
        <w:t xml:space="preserve">12 </w:t>
      </w:r>
      <w:r>
        <w:rPr>
          <w:rStyle w:val="37"/>
        </w:rPr>
        <w:t xml:space="preserve"> </w:t>
      </w:r>
      <w:r>
        <w:rPr>
          <w:rStyle w:val="37"/>
          <w:rFonts w:hint="eastAsia"/>
        </w:rPr>
        <w:t>体外溶杀肿瘤细胞效力分析</w:t>
      </w:r>
      <w:r>
        <w:tab/>
      </w:r>
      <w:r>
        <w:rPr>
          <w:rFonts w:hint="eastAsia"/>
        </w:rPr>
        <w:t>8</w:t>
      </w:r>
      <w:r>
        <w:rPr>
          <w:rFonts w:hint="eastAsia"/>
        </w:rPr>
        <w:fldChar w:fldCharType="end"/>
      </w:r>
    </w:p>
    <w:p w14:paraId="4BEC52F0">
      <w:pPr>
        <w:pStyle w:val="17"/>
        <w:spacing w:before="78" w:after="78"/>
      </w:pPr>
      <w:r>
        <w:fldChar w:fldCharType="begin"/>
      </w:r>
      <w:r>
        <w:instrText xml:space="preserve"> HYPERLINK \l "_Toc75352906" </w:instrText>
      </w:r>
      <w:r>
        <w:fldChar w:fldCharType="separate"/>
      </w:r>
      <w:r>
        <w:rPr>
          <w:rStyle w:val="37"/>
          <w:rFonts w:hint="eastAsia"/>
        </w:rPr>
        <w:t>13</w:t>
      </w:r>
      <w:r>
        <w:rPr>
          <w:rStyle w:val="37"/>
        </w:rPr>
        <w:t xml:space="preserve">  </w:t>
      </w:r>
      <w:r>
        <w:rPr>
          <w:rStyle w:val="37"/>
          <w:rFonts w:hint="eastAsia"/>
        </w:rPr>
        <w:t>动物实验药效评价</w:t>
      </w:r>
      <w:r>
        <w:rPr>
          <w:rStyle w:val="37"/>
        </w:rPr>
        <w:t>……</w:t>
      </w:r>
      <w:r>
        <w:tab/>
      </w:r>
      <w:r>
        <w:rPr>
          <w:rFonts w:hint="eastAsia"/>
        </w:rPr>
        <w:t>8</w:t>
      </w:r>
      <w:r>
        <w:rPr>
          <w:rFonts w:hint="eastAsia"/>
        </w:rPr>
        <w:fldChar w:fldCharType="end"/>
      </w:r>
    </w:p>
    <w:p w14:paraId="4436ADC2">
      <w:pPr>
        <w:pStyle w:val="17"/>
        <w:spacing w:before="78" w:after="78"/>
        <w:rPr>
          <w:rStyle w:val="37"/>
          <w:color w:val="000000" w:themeColor="text1"/>
          <w:u w:val="none"/>
          <w14:textFill>
            <w14:solidFill>
              <w14:schemeClr w14:val="tx1"/>
            </w14:solidFill>
          </w14:textFill>
        </w:rPr>
      </w:pPr>
      <w:r>
        <w:rPr>
          <w:rStyle w:val="37"/>
          <w:rFonts w:hint="eastAsia"/>
          <w:color w:val="000000" w:themeColor="text1"/>
          <w:u w:val="none"/>
          <w14:textFill>
            <w14:solidFill>
              <w14:schemeClr w14:val="tx1"/>
            </w14:solidFill>
          </w14:textFill>
        </w:rPr>
        <w:t>参考文献..............................................................................1</w:t>
      </w:r>
      <w:r>
        <w:rPr>
          <w:rStyle w:val="37"/>
          <w:color w:val="000000" w:themeColor="text1"/>
          <w:u w:val="none"/>
          <w14:textFill>
            <w14:solidFill>
              <w14:schemeClr w14:val="tx1"/>
            </w14:solidFill>
          </w14:textFill>
        </w:rPr>
        <w:t>0</w:t>
      </w:r>
    </w:p>
    <w:p w14:paraId="00B4CCE3"/>
    <w:p w14:paraId="3324D909"/>
    <w:p w14:paraId="27A70D6E">
      <w:pPr>
        <w:pStyle w:val="21"/>
        <w:ind w:firstLine="0" w:firstLineChars="0"/>
      </w:pPr>
      <w:r>
        <w:fldChar w:fldCharType="end"/>
      </w:r>
    </w:p>
    <w:p w14:paraId="4EBB0E2A">
      <w:pPr>
        <w:pStyle w:val="112"/>
      </w:pPr>
      <w:bookmarkStart w:id="14" w:name="_Toc75352896"/>
      <w:r>
        <w:rPr>
          <w:rFonts w:hint="eastAsia"/>
        </w:rPr>
        <w:t>前</w:t>
      </w:r>
      <w:bookmarkStart w:id="15" w:name="BKQY"/>
      <w:r>
        <w:rPr>
          <w:rFonts w:hint="eastAsia" w:hAnsi="黑体"/>
        </w:rPr>
        <w:t>　　</w:t>
      </w:r>
      <w:r>
        <w:rPr>
          <w:rFonts w:hint="eastAsia"/>
        </w:rPr>
        <w:t>言</w:t>
      </w:r>
      <w:bookmarkEnd w:id="14"/>
      <w:bookmarkEnd w:id="15"/>
    </w:p>
    <w:p w14:paraId="791B313E">
      <w:pPr>
        <w:pStyle w:val="21"/>
      </w:pPr>
      <w:r>
        <w:rPr>
          <w:rFonts w:hint="eastAsia"/>
        </w:rPr>
        <w:t>本文件按照GB/T 1.1</w:t>
      </w:r>
      <w:r>
        <w:t>—</w:t>
      </w:r>
      <w:r>
        <w:rPr>
          <w:rFonts w:hint="eastAsia"/>
        </w:rPr>
        <w:t xml:space="preserve">2020《标准化工作导则 </w:t>
      </w:r>
      <w:r>
        <w:t xml:space="preserve"> </w:t>
      </w:r>
      <w:r>
        <w:rPr>
          <w:rFonts w:hint="eastAsia"/>
        </w:rPr>
        <w:t>第1部分：标准化文件的结构和起草规则》的规定起草。</w:t>
      </w:r>
    </w:p>
    <w:p w14:paraId="233D00BA">
      <w:pPr>
        <w:pStyle w:val="21"/>
        <w:rPr>
          <w:szCs w:val="21"/>
        </w:rPr>
      </w:pPr>
      <w:r>
        <w:rPr>
          <w:rFonts w:hint="eastAsia"/>
          <w:szCs w:val="21"/>
        </w:rPr>
        <w:t>本文件由中国科学院深圳先进技术研究院提出。</w:t>
      </w:r>
    </w:p>
    <w:p w14:paraId="765193F1">
      <w:pPr>
        <w:pStyle w:val="21"/>
        <w:rPr>
          <w:szCs w:val="21"/>
        </w:rPr>
      </w:pPr>
      <w:r>
        <w:rPr>
          <w:rFonts w:hint="eastAsia"/>
          <w:szCs w:val="21"/>
        </w:rPr>
        <w:t>本文件由深圳市深圳标准促进会归口。</w:t>
      </w:r>
    </w:p>
    <w:p w14:paraId="32A5837B">
      <w:pPr>
        <w:pStyle w:val="21"/>
        <w:rPr>
          <w:szCs w:val="21"/>
        </w:rPr>
      </w:pPr>
      <w:r>
        <w:rPr>
          <w:rFonts w:hint="eastAsia"/>
          <w:szCs w:val="21"/>
        </w:rPr>
        <w:t>本文件起草单位：中国科学院深圳先进技术研究院、深圳理工大学、深圳市药品检验研究院、</w:t>
      </w:r>
      <w:r>
        <w:fldChar w:fldCharType="begin"/>
      </w:r>
      <w:r>
        <w:instrText xml:space="preserve"> HYPERLINK "http://www.baidu.com/link?url=m9IjsQ7idGVOu25hiKd1lfgoSesVpvpPRVkA9Lw6j51JmwuyZLvnmqwhR8AGxd9o" \t "https://www.baidu.com/_blank" </w:instrText>
      </w:r>
      <w:r>
        <w:fldChar w:fldCharType="separate"/>
      </w:r>
      <w:r>
        <w:rPr>
          <w:szCs w:val="21"/>
        </w:rPr>
        <w:t>布林凯斯</w:t>
      </w:r>
      <w:r>
        <w:rPr>
          <w:rFonts w:hint="eastAsia"/>
          <w:szCs w:val="21"/>
        </w:rPr>
        <w:t>（深圳）</w:t>
      </w:r>
      <w:r>
        <w:rPr>
          <w:szCs w:val="21"/>
        </w:rPr>
        <w:t>生物技术有限公司</w:t>
      </w:r>
      <w:r>
        <w:rPr>
          <w:szCs w:val="21"/>
        </w:rPr>
        <w:fldChar w:fldCharType="end"/>
      </w:r>
      <w:r>
        <w:rPr>
          <w:rFonts w:hint="eastAsia"/>
          <w:szCs w:val="21"/>
        </w:rPr>
        <w:t>、</w:t>
      </w:r>
      <w:r>
        <w:rPr>
          <w:szCs w:val="21"/>
        </w:rPr>
        <w:t>深圳市</w:t>
      </w:r>
      <w:r>
        <w:rPr>
          <w:rFonts w:hint="eastAsia"/>
          <w:szCs w:val="21"/>
        </w:rPr>
        <w:t>标准技术研究院。</w:t>
      </w:r>
    </w:p>
    <w:p w14:paraId="12B1D423">
      <w:pPr>
        <w:pStyle w:val="21"/>
        <w:rPr>
          <w:szCs w:val="21"/>
        </w:rPr>
      </w:pPr>
      <w:r>
        <w:rPr>
          <w:rFonts w:hint="eastAsia"/>
          <w:szCs w:val="21"/>
        </w:rPr>
        <w:t>本文件主要起草人：王华东、徐富强、王平、秦美蓉、苏鹏、王丽娟</w:t>
      </w:r>
      <w:r>
        <w:rPr>
          <w:rFonts w:hint="eastAsia"/>
          <w:szCs w:val="21"/>
          <w:lang w:eastAsia="zh-CN"/>
        </w:rPr>
        <w:t>、</w:t>
      </w:r>
      <w:r>
        <w:rPr>
          <w:rFonts w:hint="eastAsia"/>
          <w:szCs w:val="21"/>
          <w:lang w:val="en-US" w:eastAsia="zh-CN"/>
        </w:rPr>
        <w:t>惠新朋</w:t>
      </w:r>
      <w:r>
        <w:rPr>
          <w:rFonts w:hint="eastAsia"/>
          <w:szCs w:val="21"/>
        </w:rPr>
        <w:t>。</w:t>
      </w:r>
    </w:p>
    <w:p w14:paraId="4B23FD02">
      <w:pPr>
        <w:pStyle w:val="21"/>
      </w:pPr>
    </w:p>
    <w:p w14:paraId="3EAE1BB4">
      <w:pPr>
        <w:pStyle w:val="21"/>
      </w:pPr>
    </w:p>
    <w:p w14:paraId="3869AA66">
      <w:pPr>
        <w:pStyle w:val="21"/>
      </w:pPr>
    </w:p>
    <w:p w14:paraId="1C78C27F">
      <w:pPr>
        <w:pStyle w:val="50"/>
        <w:spacing w:line="240" w:lineRule="auto"/>
        <w:sectPr>
          <w:headerReference r:id="rId4" w:type="default"/>
          <w:footerReference r:id="rId5" w:type="default"/>
          <w:footerReference r:id="rId6" w:type="even"/>
          <w:pgSz w:w="11906" w:h="16838"/>
          <w:pgMar w:top="567" w:right="1134" w:bottom="1134" w:left="1418" w:header="1418" w:footer="1134" w:gutter="0"/>
          <w:pgNumType w:fmt="upperRoman" w:start="1"/>
          <w:cols w:space="720" w:num="1"/>
          <w:formProt w:val="0"/>
          <w:docGrid w:type="lines" w:linePitch="312" w:charSpace="0"/>
        </w:sectPr>
      </w:pPr>
    </w:p>
    <w:p w14:paraId="428A9248">
      <w:pPr>
        <w:pStyle w:val="50"/>
        <w:spacing w:line="240" w:lineRule="auto"/>
      </w:pPr>
      <w:r>
        <w:rPr>
          <w:rFonts w:hint="eastAsia"/>
        </w:rPr>
        <w:t>靶向型溶瘤疱疹病毒制备及质量控制评价技术要求</w:t>
      </w:r>
    </w:p>
    <w:p w14:paraId="591AA4DA">
      <w:pPr>
        <w:pStyle w:val="45"/>
      </w:pPr>
      <w:bookmarkStart w:id="16" w:name="_Toc75352898"/>
      <w:r>
        <w:rPr>
          <w:rFonts w:hint="eastAsia"/>
        </w:rPr>
        <w:t>范围</w:t>
      </w:r>
      <w:bookmarkEnd w:id="16"/>
    </w:p>
    <w:p w14:paraId="6E333115">
      <w:pPr>
        <w:pStyle w:val="21"/>
      </w:pPr>
      <w:r>
        <w:rPr>
          <w:rFonts w:hint="eastAsia"/>
        </w:rPr>
        <w:t>本文件规定了靶向型溶瘤疱疹病毒（oHSV）制备及质量控制评价技术要求、方法原理、试剂和材料、仪器和设备、实验步骤、结果分析。</w:t>
      </w:r>
    </w:p>
    <w:p w14:paraId="3CEEF66E">
      <w:pPr>
        <w:pStyle w:val="21"/>
      </w:pPr>
      <w:r>
        <w:rPr>
          <w:rFonts w:hint="eastAsia"/>
        </w:rPr>
        <w:t>本文件适用于靶向型溶瘤疱疹病毒（oHSV）制备及质量控制评价。</w:t>
      </w:r>
    </w:p>
    <w:p w14:paraId="3670A0EB">
      <w:pPr>
        <w:pStyle w:val="45"/>
      </w:pPr>
      <w:bookmarkStart w:id="17" w:name="_Toc75352899"/>
      <w:r>
        <w:rPr>
          <w:rFonts w:hint="eastAsia"/>
        </w:rPr>
        <w:t>规范性引用文件</w:t>
      </w:r>
      <w:bookmarkEnd w:id="17"/>
    </w:p>
    <w:p w14:paraId="19DA31BD">
      <w:pPr>
        <w:pStyle w:val="21"/>
      </w:pPr>
      <w:r>
        <w:t>规范性</w:t>
      </w:r>
      <w:r>
        <w:rPr>
          <w:rFonts w:hint="eastAsia"/>
        </w:rPr>
        <w:t>引用</w:t>
      </w:r>
      <w:r>
        <w:t>文件</w:t>
      </w:r>
      <w:r>
        <w:rPr>
          <w:rFonts w:hint="eastAsia"/>
        </w:rPr>
        <w:t>请见参考文献。</w:t>
      </w:r>
    </w:p>
    <w:p w14:paraId="62B2D562">
      <w:pPr>
        <w:pStyle w:val="45"/>
      </w:pPr>
      <w:bookmarkStart w:id="18" w:name="_Toc75352900"/>
      <w:r>
        <w:rPr>
          <w:rFonts w:hint="eastAsia"/>
        </w:rPr>
        <w:t>术语和定义</w:t>
      </w:r>
      <w:bookmarkEnd w:id="18"/>
    </w:p>
    <w:p w14:paraId="01B0F383">
      <w:pPr>
        <w:pStyle w:val="21"/>
        <w:rPr>
          <w:rFonts w:ascii="Times New Roman" w:eastAsia="黑体"/>
          <w:color w:val="000000"/>
          <w:szCs w:val="21"/>
          <w:lang w:bidi="ar"/>
        </w:rPr>
      </w:pPr>
      <w:r>
        <w:rPr>
          <w:rFonts w:hint="eastAsia"/>
        </w:rPr>
        <w:t>下列术语和定义适用于本文件。</w:t>
      </w:r>
      <w:bookmarkStart w:id="19" w:name="_Toc75352901"/>
    </w:p>
    <w:p w14:paraId="7C7A9312">
      <w:pPr>
        <w:pStyle w:val="21"/>
        <w:ind w:left="0" w:leftChars="0" w:firstLine="0" w:firstLineChars="0"/>
        <w:rPr>
          <w:rFonts w:ascii="黑体" w:hAnsi="黑体" w:eastAsia="黑体"/>
        </w:rPr>
      </w:pPr>
      <w:r>
        <w:rPr>
          <w:rFonts w:ascii="黑体" w:hAnsi="黑体" w:eastAsia="黑体"/>
        </w:rPr>
        <w:t>3.1</w:t>
      </w:r>
      <w:r>
        <w:rPr>
          <w:rFonts w:hint="eastAsia" w:ascii="黑体" w:hAnsi="黑体" w:eastAsia="黑体"/>
        </w:rPr>
        <w:t>　</w:t>
      </w:r>
    </w:p>
    <w:p w14:paraId="0569195F">
      <w:pPr>
        <w:pStyle w:val="21"/>
      </w:pPr>
      <w:r>
        <w:rPr>
          <w:rFonts w:hint="eastAsia" w:ascii="黑体" w:hAnsi="黑体" w:eastAsia="黑体"/>
        </w:rPr>
        <w:t>溶瘤病毒　</w:t>
      </w:r>
      <w:r>
        <w:rPr>
          <w:rFonts w:ascii="黑体" w:hAnsi="黑体" w:eastAsia="黑体"/>
        </w:rPr>
        <w:t>oncolytic virus</w:t>
      </w:r>
      <w:r>
        <w:rPr>
          <w:rFonts w:hint="eastAsia" w:ascii="黑体" w:hAnsi="黑体" w:eastAsia="黑体"/>
        </w:rPr>
        <w:t>；</w:t>
      </w:r>
      <w:r>
        <w:rPr>
          <w:rFonts w:ascii="黑体" w:hAnsi="黑体" w:eastAsia="黑体"/>
        </w:rPr>
        <w:t>OV</w:t>
      </w:r>
    </w:p>
    <w:p w14:paraId="2BFF176C">
      <w:pPr>
        <w:pStyle w:val="21"/>
      </w:pPr>
      <w:r>
        <w:rPr>
          <w:rFonts w:hint="eastAsia"/>
        </w:rPr>
        <w:t>一类基于重组改造病毒的多效作用模式的独特抗癌药物，除了病毒选择性复制诱导的肿瘤细胞裂解之外，还可以激活体内系统性的抗肿瘤免疫反应。</w:t>
      </w:r>
    </w:p>
    <w:p w14:paraId="74324FC4">
      <w:pPr>
        <w:pStyle w:val="21"/>
        <w:ind w:left="0" w:leftChars="0" w:firstLine="0" w:firstLineChars="0"/>
        <w:rPr>
          <w:rFonts w:ascii="黑体" w:hAnsi="黑体" w:eastAsia="黑体"/>
        </w:rPr>
      </w:pPr>
      <w:r>
        <w:rPr>
          <w:rFonts w:ascii="黑体" w:hAnsi="黑体" w:eastAsia="黑体"/>
        </w:rPr>
        <w:t>3.2</w:t>
      </w:r>
      <w:r>
        <w:rPr>
          <w:rFonts w:hint="eastAsia" w:ascii="黑体" w:hAnsi="黑体" w:eastAsia="黑体"/>
        </w:rPr>
        <w:t>　</w:t>
      </w:r>
    </w:p>
    <w:p w14:paraId="492B019F">
      <w:pPr>
        <w:pStyle w:val="21"/>
        <w:rPr>
          <w:rFonts w:ascii="黑体" w:hAnsi="黑体" w:eastAsia="黑体"/>
        </w:rPr>
      </w:pPr>
      <w:r>
        <w:rPr>
          <w:rFonts w:hint="eastAsia" w:ascii="黑体" w:hAnsi="黑体" w:eastAsia="黑体"/>
        </w:rPr>
        <w:t>溶瘤疱疹病毒　</w:t>
      </w:r>
      <w:r>
        <w:rPr>
          <w:rFonts w:ascii="黑体" w:hAnsi="黑体" w:eastAsia="黑体"/>
        </w:rPr>
        <w:t>oncolytic herpes simplex virus</w:t>
      </w:r>
      <w:r>
        <w:rPr>
          <w:rFonts w:hint="eastAsia" w:ascii="黑体" w:hAnsi="黑体" w:eastAsia="黑体"/>
        </w:rPr>
        <w:t>；</w:t>
      </w:r>
      <w:r>
        <w:rPr>
          <w:rFonts w:ascii="黑体" w:hAnsi="黑体" w:eastAsia="黑体"/>
        </w:rPr>
        <w:t>oHSV</w:t>
      </w:r>
    </w:p>
    <w:p w14:paraId="11EA0E80">
      <w:pPr>
        <w:pStyle w:val="21"/>
      </w:pPr>
      <w:r>
        <w:rPr>
          <w:rFonts w:hint="eastAsia"/>
        </w:rPr>
        <w:t>经过系列基因改造的重组单纯疱疹病毒，具有肿瘤靶向性复制特性。溶瘤病毒在机体内只能靶向肿瘤细胞内复制扩增、裂杀肿瘤细胞，而感染正常的机体细胞为复制缺陷型，不能增殖产生子代病毒。溶瘤疱疹病毒为基于1型或少量2型单纯疱疹病毒构建的重组病毒载体，相关实验操作需要在生物安全2级（P2）实验室开展。</w:t>
      </w:r>
    </w:p>
    <w:p w14:paraId="5B3B00E4">
      <w:pPr>
        <w:pStyle w:val="21"/>
        <w:ind w:left="0" w:leftChars="0" w:firstLine="0" w:firstLineChars="0"/>
        <w:rPr>
          <w:rFonts w:ascii="黑体" w:hAnsi="黑体" w:eastAsia="黑体"/>
        </w:rPr>
      </w:pPr>
      <w:r>
        <w:rPr>
          <w:rFonts w:ascii="黑体" w:hAnsi="黑体" w:eastAsia="黑体"/>
        </w:rPr>
        <w:t>3.3</w:t>
      </w:r>
      <w:r>
        <w:rPr>
          <w:rFonts w:hint="eastAsia" w:ascii="黑体" w:hAnsi="黑体" w:eastAsia="黑体"/>
        </w:rPr>
        <w:t>　</w:t>
      </w:r>
    </w:p>
    <w:p w14:paraId="019E141B">
      <w:pPr>
        <w:pStyle w:val="21"/>
        <w:rPr>
          <w:rFonts w:ascii="黑体" w:hAnsi="黑体" w:eastAsia="黑体"/>
        </w:rPr>
      </w:pPr>
      <w:r>
        <w:rPr>
          <w:rFonts w:hint="eastAsia" w:ascii="黑体" w:hAnsi="黑体" w:eastAsia="黑体"/>
        </w:rPr>
        <w:t>溶瘤病毒药物  oncolytic virus drugs</w:t>
      </w:r>
    </w:p>
    <w:p w14:paraId="28760B27">
      <w:pPr>
        <w:pStyle w:val="21"/>
      </w:pPr>
      <w:r>
        <w:rPr>
          <w:rFonts w:hint="eastAsia"/>
        </w:rPr>
        <w:t>OV治疗的核心理念是利用基因工程技术使得病毒能够专门在癌细胞中复制，而不对健康细胞产生损害。溶瘤病毒是抗癌症的免疫疗法之一，溶瘤治疗可以引发对感染的肿瘤细胞中的病毒抗原的免疫响应，并诱导由病毒引起的肿瘤细胞凋亡。迄今为止，全球已批准四种溶瘤病毒药物上市。2004年，小核糖核酸病毒ECHO-7（Rigvir）在拉脱维亚被批准用于治疗黑色素瘤，但未得到广泛应用，且由于生产问题于2019年停产。2005年，中国批准了一种名为H101的重组腺病毒，用于治疗头颈癌。2015年，美国和欧洲批准了一种名为Talimogene Laherparepvec（T-VEC）的重组单纯疱疹病毒，用于治疗黑色素瘤。2021年，日本批准了一种改良的单纯疱疹病毒，名为Teserpaturev，用于治疗胶质母细胞瘤等脑癌。</w:t>
      </w:r>
    </w:p>
    <w:p w14:paraId="5396AB9D">
      <w:pPr>
        <w:pStyle w:val="45"/>
        <w:numPr>
          <w:ilvl w:val="0"/>
          <w:numId w:val="0"/>
        </w:numPr>
      </w:pPr>
      <w:r>
        <w:rPr>
          <w:rFonts w:hint="eastAsia"/>
        </w:rPr>
        <w:t>4  一般原则</w:t>
      </w:r>
    </w:p>
    <w:p w14:paraId="56428036">
      <w:pPr>
        <w:pStyle w:val="21"/>
      </w:pPr>
      <w:r>
        <w:rPr>
          <w:rFonts w:hint="eastAsia"/>
        </w:rPr>
        <w:t>溶瘤病毒产品的研发、制备和质控评价应符合现行药品管理相关法律法规和技术指南的要求，用于人体的溶瘤病毒药物的生产应符合《药品生产质量管理规范》（简称 GMP）的基本原则和相关要求，建立良好、规范的质量管理体系，并参照《中国药典》等相关要求进行风险评估和质量控制。另外，溶瘤病毒产品的研发、生产、使用和废弃物处理还应符合生物安全相关法律法规的要求。</w:t>
      </w:r>
    </w:p>
    <w:p w14:paraId="503D756D">
      <w:pPr>
        <w:pStyle w:val="21"/>
      </w:pPr>
      <w:r>
        <w:rPr>
          <w:rFonts w:hint="eastAsia"/>
        </w:rPr>
        <w:t>溶瘤病毒产品研发过程中需对产品的质量进行全面、系统的研究，制定出科学、合理、可行的质量评价标准，并不断地修订和完善，确保其安全、有效。本标准明确靶向型溶瘤疱疹病毒（oHSV）制备及质量控制评价过程中需要遵循的系列基本准则，如溶瘤疱疹病毒的感染和扩增特性分析、牛血清白蛋白残留检测、滴度测定、基因组提取、溶瘤疱疹病毒基因鉴定、耐药性评估、溶瘤病毒体外溶杀肿瘤细胞效力分析、溶瘤病毒致脑炎风险毒性测试、在体安全性和有效性评价分析等。</w:t>
      </w:r>
    </w:p>
    <w:p w14:paraId="60CEC052">
      <w:pPr>
        <w:pStyle w:val="45"/>
        <w:numPr>
          <w:ilvl w:val="0"/>
          <w:numId w:val="0"/>
        </w:numPr>
      </w:pPr>
      <w:r>
        <w:rPr>
          <w:rFonts w:hint="eastAsia"/>
        </w:rPr>
        <w:t xml:space="preserve">5  </w:t>
      </w:r>
      <w:r>
        <w:rPr>
          <w:rFonts w:hint="eastAsia"/>
          <w:lang w:val="en-US" w:eastAsia="zh-CN"/>
        </w:rPr>
        <w:t>溶瘤病毒</w:t>
      </w:r>
      <w:r>
        <w:rPr>
          <w:rFonts w:hint="eastAsia"/>
        </w:rPr>
        <w:t>感染和复制扩增特性分析</w:t>
      </w:r>
    </w:p>
    <w:p w14:paraId="76B4EEF0">
      <w:pPr>
        <w:pStyle w:val="45"/>
        <w:numPr>
          <w:ilvl w:val="0"/>
          <w:numId w:val="0"/>
        </w:numPr>
        <w:spacing w:before="156" w:beforeLines="50" w:after="156" w:afterLines="50"/>
      </w:pPr>
      <w:r>
        <w:rPr>
          <w:rFonts w:hint="eastAsia"/>
        </w:rPr>
        <w:t>5.1　生产细胞系培养</w:t>
      </w:r>
    </w:p>
    <w:p w14:paraId="163F75A3">
      <w:pPr>
        <w:pStyle w:val="21"/>
      </w:pPr>
      <w:r>
        <w:t>溶瘤</w:t>
      </w:r>
      <w:r>
        <w:rPr>
          <w:rFonts w:hint="eastAsia"/>
        </w:rPr>
        <w:t>疱疹</w:t>
      </w:r>
      <w:r>
        <w:t>病毒感染或扩增一般通过感染贴壁或悬浮培养的</w:t>
      </w:r>
      <w:r>
        <w:rPr>
          <w:rFonts w:hint="eastAsia"/>
        </w:rPr>
        <w:t>经正常细胞群连续传代建立的Vero细胞系</w:t>
      </w:r>
      <w:r>
        <w:t>进行。生产细胞系选择适合</w:t>
      </w:r>
      <w:r>
        <w:rPr>
          <w:rFonts w:hint="eastAsia"/>
        </w:rPr>
        <w:t>HSV溶瘤</w:t>
      </w:r>
      <w:r>
        <w:t>病毒生产的细胞系，</w:t>
      </w:r>
      <w:r>
        <w:rPr>
          <w:rFonts w:hint="eastAsia"/>
        </w:rPr>
        <w:t>注意</w:t>
      </w:r>
      <w:r>
        <w:t>避免微生物和免疫原性动物蛋白的污染风险。</w:t>
      </w:r>
      <w:r>
        <w:rPr>
          <w:rFonts w:hint="eastAsia"/>
        </w:rPr>
        <w:t>生产细胞是指培养溶瘤病毒时所使用的细胞，原则上生产细胞的选择和使用应满足来源清晰、历史培养过程清楚、风险可控及经过全面检定的要求，确保其适用性和安全性。为了保证产品质量的稳定性，生产细胞需建库管理。生产过程中使用的关键耗材，如生物反应器、移液管路、一次性除菌过滤器/过滤膜包等，应具有稳定的物理或化学特性，与直接接触的溶液、中间产物有较好的相容性。</w:t>
      </w:r>
    </w:p>
    <w:p w14:paraId="1B9098DA">
      <w:pPr>
        <w:pStyle w:val="21"/>
      </w:pPr>
      <w:r>
        <w:rPr>
          <w:rFonts w:hint="eastAsia"/>
        </w:rPr>
        <w:t>细胞传代培养步骤：以T75培养瓶中正常生长的Vero和293T细胞为例，使用显微镜定期检查细胞的形态和生长状态，确保细胞生长良好、形态正常，没有受到细菌、真菌或病毒的污染。待细胞铺满培养瓶面积的90%时可以进行传代。传代时，所有的步骤都必须在无菌超净台或生物安全柜下进行，并遵循严格的无菌操作规范。</w:t>
      </w:r>
    </w:p>
    <w:p w14:paraId="1544A43C">
      <w:pPr>
        <w:pStyle w:val="140"/>
        <w:rPr>
          <w:rFonts w:ascii="宋体" w:hAnsi="宋体"/>
        </w:rPr>
      </w:pPr>
      <w:r>
        <w:rPr>
          <w:rFonts w:hint="eastAsia" w:ascii="宋体" w:hAnsi="宋体"/>
        </w:rPr>
        <w:t>首先，倒掉培养瓶中培养基，加入</w:t>
      </w:r>
      <w:r>
        <w:rPr>
          <w:rFonts w:ascii="宋体" w:hAnsi="宋体"/>
        </w:rPr>
        <w:t>6</w:t>
      </w:r>
      <w:r>
        <w:rPr>
          <w:rFonts w:eastAsia="MS Mincho"/>
        </w:rPr>
        <w:t> </w:t>
      </w:r>
      <w:r>
        <w:rPr>
          <w:rFonts w:ascii="宋体" w:hAnsi="宋体"/>
        </w:rPr>
        <w:t>mL</w:t>
      </w:r>
      <w:r>
        <w:rPr>
          <w:rStyle w:val="38"/>
          <w:rFonts w:hint="eastAsia" w:ascii="宋体" w:hAnsi="宋体"/>
        </w:rPr>
        <w:t>～</w:t>
      </w:r>
      <w:r>
        <w:rPr>
          <w:rFonts w:ascii="宋体" w:hAnsi="宋体"/>
        </w:rPr>
        <w:t>8</w:t>
      </w:r>
      <w:r>
        <w:t> </w:t>
      </w:r>
      <w:r>
        <w:rPr>
          <w:rFonts w:ascii="宋体" w:hAnsi="宋体"/>
        </w:rPr>
        <w:t>mL</w:t>
      </w:r>
      <w:r>
        <w:rPr>
          <w:rFonts w:hint="eastAsia" w:ascii="宋体" w:hAnsi="宋体"/>
        </w:rPr>
        <w:t>无菌的室温磷酸盐缓冲液（</w:t>
      </w:r>
      <w:r>
        <w:rPr>
          <w:rFonts w:ascii="宋体" w:hAnsi="宋体"/>
        </w:rPr>
        <w:t>Phosphate buffered saline</w:t>
      </w:r>
      <w:r>
        <w:rPr>
          <w:rFonts w:hint="eastAsia" w:ascii="宋体" w:hAnsi="宋体"/>
        </w:rPr>
        <w:t>，</w:t>
      </w:r>
      <w:r>
        <w:rPr>
          <w:rFonts w:ascii="宋体" w:hAnsi="宋体"/>
        </w:rPr>
        <w:t>PBS</w:t>
      </w:r>
      <w:r>
        <w:rPr>
          <w:rFonts w:hint="eastAsia" w:ascii="宋体" w:hAnsi="宋体"/>
        </w:rPr>
        <w:t>）轻晃瓶身清洗细胞，去除残留的培养基和未吸附的细胞。然后倒掉培养瓶中</w:t>
      </w:r>
      <w:r>
        <w:rPr>
          <w:rFonts w:ascii="宋体" w:hAnsi="宋体"/>
        </w:rPr>
        <w:t>PBS</w:t>
      </w:r>
      <w:r>
        <w:rPr>
          <w:rFonts w:hint="eastAsia" w:ascii="宋体" w:hAnsi="宋体"/>
        </w:rPr>
        <w:t>。</w:t>
      </w:r>
    </w:p>
    <w:p w14:paraId="055D5EC1">
      <w:pPr>
        <w:pStyle w:val="140"/>
        <w:rPr>
          <w:rFonts w:ascii="宋体" w:hAnsi="宋体"/>
        </w:rPr>
      </w:pPr>
      <w:r>
        <w:rPr>
          <w:rFonts w:hint="eastAsia" w:ascii="宋体" w:hAnsi="宋体"/>
        </w:rPr>
        <w:t>加入</w:t>
      </w:r>
      <w:r>
        <w:rPr>
          <w:rFonts w:ascii="宋体" w:hAnsi="宋体"/>
        </w:rPr>
        <w:t>1 mL</w:t>
      </w:r>
      <w:r>
        <w:rPr>
          <w:rFonts w:hint="eastAsia" w:ascii="宋体" w:hAnsi="宋体"/>
        </w:rPr>
        <w:t>胰蛋白酶消化液。为确保消化液能均匀覆盖整个培养瓶底部，需轻轻地上下左右晃动培养瓶；然后将培养瓶放入</w:t>
      </w:r>
      <w:r>
        <w:rPr>
          <w:rFonts w:ascii="宋体" w:hAnsi="宋体"/>
        </w:rPr>
        <w:t>37</w:t>
      </w:r>
      <w:r>
        <w:rPr>
          <w:rFonts w:eastAsia="MS Mincho"/>
        </w:rPr>
        <w:t> </w:t>
      </w:r>
      <w:r>
        <w:rPr>
          <w:rFonts w:hint="eastAsia" w:ascii="宋体" w:hAnsi="宋体"/>
        </w:rPr>
        <w:t>℃培养箱中，进行</w:t>
      </w:r>
      <w:r>
        <w:rPr>
          <w:rFonts w:ascii="宋体" w:hAnsi="宋体"/>
        </w:rPr>
        <w:t>5</w:t>
      </w:r>
      <w:r>
        <w:rPr>
          <w:rFonts w:hint="eastAsia" w:ascii="宋体" w:hAnsi="宋体"/>
        </w:rPr>
        <w:t>分钟的消化。</w:t>
      </w:r>
    </w:p>
    <w:p w14:paraId="6A08B421">
      <w:pPr>
        <w:pStyle w:val="140"/>
        <w:rPr>
          <w:rFonts w:ascii="宋体" w:hAnsi="宋体"/>
        </w:rPr>
      </w:pPr>
      <w:r>
        <w:rPr>
          <w:rFonts w:hint="eastAsia" w:ascii="宋体" w:hAnsi="宋体"/>
        </w:rPr>
        <w:t>在倒置荧光显微镜下观察，当大部分细胞开始呈现收缩的边缘，并与培养瓶底部分脱离时，说明细胞已经充分地被消化，同时可见细胞如流沙般脱落。加入含有</w:t>
      </w:r>
      <w:r>
        <w:rPr>
          <w:rFonts w:ascii="宋体" w:hAnsi="宋体"/>
        </w:rPr>
        <w:t>10% FBS</w:t>
      </w:r>
      <w:r>
        <w:rPr>
          <w:rFonts w:hint="eastAsia" w:ascii="宋体" w:hAnsi="宋体"/>
        </w:rPr>
        <w:t>和</w:t>
      </w:r>
      <w:r>
        <w:rPr>
          <w:rFonts w:ascii="宋体" w:hAnsi="宋体"/>
        </w:rPr>
        <w:t>1%</w:t>
      </w:r>
      <w:r>
        <w:rPr>
          <w:rFonts w:hint="eastAsia" w:ascii="宋体" w:hAnsi="宋体"/>
        </w:rPr>
        <w:t>双抗的</w:t>
      </w:r>
      <w:r>
        <w:rPr>
          <w:rFonts w:ascii="宋体" w:hAnsi="宋体"/>
        </w:rPr>
        <w:t xml:space="preserve">DMEM </w:t>
      </w:r>
      <w:r>
        <w:rPr>
          <w:rFonts w:hint="eastAsia" w:ascii="宋体" w:hAnsi="宋体"/>
        </w:rPr>
        <w:t>培养基</w:t>
      </w:r>
      <w:r>
        <w:rPr>
          <w:rFonts w:ascii="宋体" w:hAnsi="宋体"/>
        </w:rPr>
        <w:t>10</w:t>
      </w:r>
      <w:r>
        <w:rPr>
          <w:rFonts w:eastAsia="MS Mincho"/>
        </w:rPr>
        <w:t> </w:t>
      </w:r>
      <w:r>
        <w:rPr>
          <w:rFonts w:ascii="宋体" w:hAnsi="宋体"/>
        </w:rPr>
        <w:t>mL</w:t>
      </w:r>
      <w:r>
        <w:rPr>
          <w:rFonts w:hint="eastAsia" w:ascii="宋体" w:hAnsi="宋体"/>
        </w:rPr>
        <w:t>来终止胰蛋白酶的消化作用。接着使用移液枪轻轻地吹打细胞悬液，使细胞充分分散。</w:t>
      </w:r>
    </w:p>
    <w:p w14:paraId="6AF341A8">
      <w:pPr>
        <w:pStyle w:val="140"/>
        <w:rPr>
          <w:rFonts w:ascii="宋体" w:hAnsi="宋体"/>
        </w:rPr>
      </w:pPr>
      <w:r>
        <w:rPr>
          <w:rFonts w:hint="eastAsia" w:ascii="宋体" w:hAnsi="宋体"/>
        </w:rPr>
        <w:t>用移液枪小心地吹打细胞，在显微镜下观察确保细胞最好已经均匀单细胞分散。根据实验的需求和细胞的生长情况，以合适的比例进行细胞的传代。</w:t>
      </w:r>
    </w:p>
    <w:p w14:paraId="112ACAE9">
      <w:pPr>
        <w:pStyle w:val="45"/>
        <w:numPr>
          <w:ilvl w:val="0"/>
          <w:numId w:val="0"/>
        </w:numPr>
        <w:spacing w:before="156" w:beforeLines="50" w:after="156" w:afterLines="50"/>
      </w:pPr>
      <w:r>
        <w:rPr>
          <w:rFonts w:hint="eastAsia"/>
        </w:rPr>
        <w:t>5.2　接毒、扩增和制备</w:t>
      </w:r>
    </w:p>
    <w:p w14:paraId="31B7104E">
      <w:pPr>
        <w:pStyle w:val="21"/>
      </w:pPr>
      <w:r>
        <w:rPr>
          <w:rFonts w:hint="eastAsia"/>
        </w:rPr>
        <w:t>oHSV溶瘤病毒一般通过感染Vero细胞进行扩增，对于重靶向的HSV溶瘤病毒需要构建表达特定受体（溶瘤病毒专一识别）的Vero细胞系。如果根据生产需要，对生产细胞进行了基因修饰（如补偿病毒蛋白、允许病毒复制或包装等），应考虑基因修饰的必要性，修饰过程不应增加额外的安全性风险，同时尽量避免或降低病毒包装过程发生重组的风险。</w:t>
      </w:r>
    </w:p>
    <w:p w14:paraId="56F95B00">
      <w:pPr>
        <w:pStyle w:val="21"/>
      </w:pPr>
      <w:r>
        <w:rPr>
          <w:rFonts w:hint="eastAsia"/>
        </w:rPr>
        <w:t>为了确保产品质量的一致性和稳定性，生产需采用病毒种子批系统管理。病毒种子批建立需采用合理的筛选技术进行病毒的单克隆筛选，并开展传代稳定性分析。种子批的层级（二级或三级种子批）和数量应满足生产的要求。</w:t>
      </w:r>
    </w:p>
    <w:p w14:paraId="3724E099">
      <w:pPr>
        <w:pStyle w:val="21"/>
      </w:pPr>
      <w:r>
        <w:t>将</w:t>
      </w:r>
      <w:r>
        <w:rPr>
          <w:rFonts w:hint="eastAsia"/>
        </w:rPr>
        <w:t>溶瘤</w:t>
      </w:r>
      <w:r>
        <w:t>病毒以MOI = 0.01接种感染已经于T75培养瓶或者</w:t>
      </w:r>
      <w:r>
        <w:rPr>
          <w:rFonts w:hint="eastAsia"/>
        </w:rPr>
        <w:t>细胞</w:t>
      </w:r>
      <w:r>
        <w:t>培养板中生长至约90%以上融合度的Vero细胞</w:t>
      </w:r>
      <w:r>
        <w:rPr>
          <w:rFonts w:hint="eastAsia"/>
        </w:rPr>
        <w:t>，具体步骤：</w:t>
      </w:r>
      <w:r>
        <w:t>吸去上清，</w:t>
      </w:r>
      <w:r>
        <w:rPr>
          <w:rFonts w:hint="eastAsia"/>
        </w:rPr>
        <w:t>用</w:t>
      </w:r>
      <w:r>
        <w:t>PBS</w:t>
      </w:r>
      <w:r>
        <w:rPr>
          <w:rFonts w:hint="eastAsia"/>
        </w:rPr>
        <w:t>缓冲液</w:t>
      </w:r>
      <w:r>
        <w:t>洗细胞；将</w:t>
      </w:r>
      <w:r>
        <w:rPr>
          <w:rFonts w:hint="eastAsia"/>
        </w:rPr>
        <w:t>溶瘤</w:t>
      </w:r>
      <w:r>
        <w:t>病毒加到少量含2%</w:t>
      </w:r>
      <w:r>
        <w:rPr>
          <w:rFonts w:ascii="Times New Roman" w:eastAsia="MS Mincho"/>
        </w:rPr>
        <w:t> </w:t>
      </w:r>
      <w:r>
        <w:t>FBS的培养基（以刚好没过细胞为宜，6孔板加200</w:t>
      </w:r>
      <w:r>
        <w:rPr>
          <w:rFonts w:ascii="Times New Roman" w:eastAsia="MS Mincho"/>
        </w:rPr>
        <w:t> </w:t>
      </w:r>
      <w:r>
        <w:t>μL，T75加2</w:t>
      </w:r>
      <w:r>
        <w:rPr>
          <w:rFonts w:ascii="Times New Roman" w:eastAsia="MS Mincho"/>
        </w:rPr>
        <w:t> </w:t>
      </w:r>
      <w:r>
        <w:t>mL）后混匀感染Vero细胞，吸附1.5-2小时后补足培养基。</w:t>
      </w:r>
    </w:p>
    <w:p w14:paraId="1CC92001">
      <w:pPr>
        <w:pStyle w:val="21"/>
      </w:pPr>
      <w:r>
        <w:t>病毒接种感染细胞后放置于35</w:t>
      </w:r>
      <w:r>
        <w:rPr>
          <w:rFonts w:ascii="Times New Roman" w:eastAsia="MS Mincho"/>
        </w:rPr>
        <w:t> </w:t>
      </w:r>
      <w:r>
        <w:t>℃、5%</w:t>
      </w:r>
      <w:r>
        <w:rPr>
          <w:rFonts w:hint="eastAsia"/>
        </w:rPr>
        <w:t xml:space="preserve"> </w:t>
      </w:r>
      <w:r>
        <w:t>CO</w:t>
      </w:r>
      <w:r>
        <w:rPr>
          <w:vertAlign w:val="subscript"/>
        </w:rPr>
        <w:t>2</w:t>
      </w:r>
      <w:r>
        <w:t>的恒温培养箱培养。每隔24小时在显微镜下观察，待细胞均表达荧光</w:t>
      </w:r>
      <w:r>
        <w:rPr>
          <w:rFonts w:hint="eastAsia"/>
        </w:rPr>
        <w:t>蛋白（若携载荧光基因，如图1）</w:t>
      </w:r>
      <w:r>
        <w:t>、出现明显细胞病变时（大约3天</w:t>
      </w:r>
      <w:r>
        <w:rPr>
          <w:rFonts w:hint="eastAsia"/>
        </w:rPr>
        <w:t>，</w:t>
      </w:r>
      <w:r>
        <w:t>大多数细胞变圆但尚未破裂），收集上清于50mL的离心管中。于-80 ℃冰箱暂存。</w:t>
      </w:r>
    </w:p>
    <w:p w14:paraId="6ADD98B5">
      <w:pPr>
        <w:pStyle w:val="21"/>
      </w:pPr>
      <w:r>
        <w:rPr>
          <w:rFonts w:hint="eastAsia"/>
        </w:rPr>
        <w:t>溶瘤病毒小量制备</w:t>
      </w:r>
      <w:r>
        <w:t>步骤：浓缩操作前</w:t>
      </w:r>
      <w:r>
        <w:rPr>
          <w:rFonts w:hAnsi="宋体"/>
        </w:rPr>
        <w:t>10</w:t>
      </w:r>
      <w:r>
        <w:rPr>
          <w:rFonts w:hint="eastAsia" w:hAnsi="宋体"/>
        </w:rPr>
        <w:t>小时</w:t>
      </w:r>
      <w:r>
        <w:rPr>
          <w:rFonts w:hint="eastAsia"/>
        </w:rPr>
        <w:t>～</w:t>
      </w:r>
      <w:r>
        <w:t>16小时，将收集的病毒上清于4</w:t>
      </w:r>
      <w:r>
        <w:rPr>
          <w:rFonts w:ascii="Times New Roman" w:eastAsia="MS Mincho"/>
        </w:rPr>
        <w:t> </w:t>
      </w:r>
      <w:r>
        <w:t>℃冰箱中提前解冻。待解冻完全，以6500×g，10</w:t>
      </w:r>
      <w:r>
        <w:rPr>
          <w:rFonts w:ascii="Times New Roman" w:eastAsia="MS Mincho"/>
        </w:rPr>
        <w:t> </w:t>
      </w:r>
      <w:r>
        <w:t>min离心去除细胞碎片。经0.22 µm的滤膜过滤后50000×g、离心3小时。将离心下来的沉淀，用PBS轻轻吹打下来，再经20%蔗糖溶液50000×g、离心3小时，去掉上清。用无菌PBS小心重悬病毒，最后以每管3</w:t>
      </w:r>
      <w:r>
        <w:rPr>
          <w:rFonts w:ascii="Times New Roman" w:eastAsia="MS Mincho"/>
        </w:rPr>
        <w:t> </w:t>
      </w:r>
      <w:r>
        <w:rPr>
          <w:rFonts w:hAnsi="宋体"/>
        </w:rPr>
        <w:t>µ</w:t>
      </w:r>
      <w:r>
        <w:t>L的体积分装于小管中，保存于-80</w:t>
      </w:r>
      <w:r>
        <w:rPr>
          <w:rFonts w:ascii="Times New Roman" w:eastAsia="MS Mincho"/>
        </w:rPr>
        <w:t> </w:t>
      </w:r>
      <w:r>
        <w:rPr>
          <w:rFonts w:hAnsi="宋体"/>
        </w:rPr>
        <w:t>℃</w:t>
      </w:r>
      <w:r>
        <w:t>冰箱，避免反复冻融。</w:t>
      </w:r>
    </w:p>
    <w:p w14:paraId="5238497F">
      <w:pPr>
        <w:pStyle w:val="21"/>
        <w:ind w:firstLine="0" w:firstLineChars="0"/>
        <w:jc w:val="center"/>
      </w:pPr>
      <w:r>
        <w:drawing>
          <wp:inline distT="0" distB="0" distL="0" distR="0">
            <wp:extent cx="3486150" cy="1473200"/>
            <wp:effectExtent l="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86150" cy="1473200"/>
                    </a:xfrm>
                    <a:prstGeom prst="rect">
                      <a:avLst/>
                    </a:prstGeom>
                    <a:noFill/>
                    <a:ln>
                      <a:noFill/>
                    </a:ln>
                    <a:effectLst/>
                  </pic:spPr>
                </pic:pic>
              </a:graphicData>
            </a:graphic>
          </wp:inline>
        </w:drawing>
      </w:r>
    </w:p>
    <w:p w14:paraId="54685CC9">
      <w:pPr>
        <w:pStyle w:val="21"/>
        <w:spacing w:before="156" w:beforeLines="50" w:after="156" w:afterLines="50"/>
        <w:ind w:firstLine="0" w:firstLineChars="0"/>
        <w:jc w:val="center"/>
        <w:rPr>
          <w:rFonts w:ascii="黑体" w:hAnsi="黑体" w:eastAsia="黑体"/>
        </w:rPr>
      </w:pPr>
      <w:r>
        <w:rPr>
          <w:rFonts w:hint="eastAsia" w:ascii="黑体" w:hAnsi="黑体" w:eastAsia="黑体"/>
        </w:rPr>
        <w:t>图1</w:t>
      </w:r>
      <w:r>
        <w:rPr>
          <w:rFonts w:ascii="黑体" w:hAnsi="黑体" w:eastAsia="黑体"/>
        </w:rPr>
        <w:t xml:space="preserve">  </w:t>
      </w:r>
      <w:r>
        <w:rPr>
          <w:rFonts w:hint="eastAsia" w:ascii="黑体" w:hAnsi="黑体" w:eastAsia="黑体"/>
        </w:rPr>
        <w:t>携带绿色荧光基因的</w:t>
      </w:r>
      <w:r>
        <w:rPr>
          <w:rFonts w:ascii="黑体" w:hAnsi="黑体" w:eastAsia="黑体"/>
        </w:rPr>
        <w:t>oHSV</w:t>
      </w:r>
      <w:r>
        <w:rPr>
          <w:rFonts w:hint="eastAsia" w:ascii="黑体" w:hAnsi="黑体" w:eastAsia="黑体"/>
        </w:rPr>
        <w:t>溶瘤病毒感染细胞的荧光表达图</w:t>
      </w:r>
    </w:p>
    <w:p w14:paraId="42BC6815">
      <w:pPr>
        <w:pStyle w:val="45"/>
        <w:numPr>
          <w:ilvl w:val="0"/>
          <w:numId w:val="0"/>
        </w:numPr>
      </w:pPr>
      <w:bookmarkStart w:id="20" w:name="_Toc147436046"/>
      <w:bookmarkStart w:id="21" w:name="_Toc149315411"/>
      <w:r>
        <w:rPr>
          <w:rFonts w:hint="eastAsia"/>
        </w:rPr>
        <w:t>6　牛血清白蛋白（BSA）残留检测</w:t>
      </w:r>
    </w:p>
    <w:p w14:paraId="50F1B808">
      <w:pPr>
        <w:pStyle w:val="21"/>
      </w:pPr>
      <w:r>
        <w:rPr>
          <w:rFonts w:hint="eastAsia"/>
        </w:rPr>
        <w:t>外源因子是溶瘤病毒产品质控检测项目之一，从病毒构建、起始原材料（如生产/包装细胞、培养基、血清）、生产过程中添加的生产用原材料（尤其是动物/人源材料外源因子）、终产品等方面综合考虑，避免外源因子污染。生产过程中使用的细胞培养添加物，如牛血清、核酸酶、胰蛋白酶、抗生素、Triton X-100等，应检测残留量并进行安全性评估。</w:t>
      </w:r>
    </w:p>
    <w:p w14:paraId="642DF2E8">
      <w:pPr>
        <w:pStyle w:val="21"/>
      </w:pPr>
      <w:r>
        <w:rPr>
          <w:rFonts w:hint="eastAsia"/>
        </w:rPr>
        <w:t>oHSV溶瘤病毒通过感染培养的Vero细胞扩增制备，Vero细胞培养一般需要含胎牛血清的培养基，因此需检测纯化制备的溶瘤疱疹病毒产品中牛血清白蛋白残留情况。利用牛血清白蛋白（BSA）酶联免疫试剂盒可定量检测溶瘤病毒样本中牛血清白蛋白（BSA）的浓度。试剂盒应用双抗体夹心法测定标本中牛血清白蛋白水平。检测原理：用纯化的牛血清白蛋白（BSA）抗体包被微孔板，制成固相抗体，往</w:t>
      </w:r>
    </w:p>
    <w:p w14:paraId="51CC8C9D">
      <w:pPr>
        <w:pStyle w:val="21"/>
        <w:ind w:firstLine="0" w:firstLineChars="0"/>
      </w:pPr>
      <w:r>
        <w:rPr>
          <w:rFonts w:hint="eastAsia"/>
        </w:rPr>
        <w:t>包被单抗的微孔中依次加入血清白蛋白（BSA），再与HRP标记的BSA抗体结合，形成抗体-抗原-酶标抗体复合物，经过彻底洗涤后加底物TMB显色。TMB在HRP酶的催化下转化成蓝色，并在酸的作用下转化成最终的黄色。颜色的深浅和样品中的血清白蛋白（BSA）呈正相关。用酶标仪在450</w:t>
      </w:r>
      <w:r>
        <w:rPr>
          <w:rFonts w:ascii="Times New Roman" w:eastAsia="MS Mincho"/>
        </w:rPr>
        <w:t> </w:t>
      </w:r>
      <w:r>
        <w:rPr>
          <w:rFonts w:hint="eastAsia"/>
        </w:rPr>
        <w:t>nm波长下测定吸光度（OD值），通过标准曲线计算样品中牛血清白蛋白（BSA）浓度。</w:t>
      </w:r>
    </w:p>
    <w:p w14:paraId="2F3B572D">
      <w:pPr>
        <w:pStyle w:val="21"/>
      </w:pPr>
      <w:r>
        <w:rPr>
          <w:rFonts w:hint="eastAsia"/>
        </w:rPr>
        <w:t>结果分析：一次溶瘤疱疹病毒产品检测作出的标准曲线如图2，溶瘤病毒样本设多个重复测得的牛血清白蛋白（BSA）浓度为41.84</w:t>
      </w:r>
      <w:r>
        <w:rPr>
          <w:rFonts w:ascii="Times New Roman" w:eastAsia="MS Mincho"/>
        </w:rPr>
        <w:t> </w:t>
      </w:r>
      <w:r>
        <w:rPr>
          <w:rFonts w:hint="eastAsia"/>
        </w:rPr>
        <w:t>ng/mL，说明溶瘤病毒产品中存在微量的牛血清白蛋白残留。</w:t>
      </w:r>
    </w:p>
    <w:p w14:paraId="128C21A8">
      <w:pPr>
        <w:pStyle w:val="21"/>
        <w:ind w:firstLine="0" w:firstLineChars="0"/>
      </w:pPr>
    </w:p>
    <w:p w14:paraId="24F3E860">
      <w:pPr>
        <w:pStyle w:val="21"/>
        <w:ind w:firstLine="0" w:firstLineChars="0"/>
        <w:jc w:val="center"/>
      </w:pPr>
      <w:r>
        <w:drawing>
          <wp:inline distT="0" distB="0" distL="0" distR="0">
            <wp:extent cx="3435985" cy="2205355"/>
            <wp:effectExtent l="0" t="0" r="5715" b="4445"/>
            <wp:docPr id="13"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C266326">
      <w:pPr>
        <w:pStyle w:val="45"/>
        <w:numPr>
          <w:ilvl w:val="0"/>
          <w:numId w:val="0"/>
        </w:numPr>
        <w:spacing w:before="156" w:beforeLines="50" w:after="156" w:afterLines="50"/>
        <w:jc w:val="center"/>
        <w:rPr>
          <w:rFonts w:hAnsi="黑体"/>
        </w:rPr>
      </w:pPr>
      <w:r>
        <w:rPr>
          <w:rFonts w:hint="eastAsia" w:hAnsi="黑体"/>
        </w:rPr>
        <w:t>图</w:t>
      </w:r>
      <w:r>
        <w:rPr>
          <w:rFonts w:hAnsi="黑体"/>
        </w:rPr>
        <w:t xml:space="preserve">2  </w:t>
      </w:r>
      <w:r>
        <w:rPr>
          <w:rFonts w:hint="eastAsia" w:hAnsi="黑体"/>
        </w:rPr>
        <w:t>溶瘤疱疹病毒产品中牛血清白蛋白（</w:t>
      </w:r>
      <w:r>
        <w:rPr>
          <w:rFonts w:hAnsi="黑体"/>
        </w:rPr>
        <w:t>BSA</w:t>
      </w:r>
      <w:r>
        <w:rPr>
          <w:rFonts w:hint="eastAsia" w:hAnsi="黑体"/>
        </w:rPr>
        <w:t>）残留检测的标准曲线示例</w:t>
      </w:r>
    </w:p>
    <w:p w14:paraId="27B66C18">
      <w:pPr>
        <w:pStyle w:val="45"/>
        <w:numPr>
          <w:ilvl w:val="0"/>
          <w:numId w:val="0"/>
        </w:numPr>
      </w:pPr>
      <w:r>
        <w:rPr>
          <w:rFonts w:hint="eastAsia"/>
        </w:rPr>
        <w:t>7　溶瘤病毒滴度测定</w:t>
      </w:r>
      <w:bookmarkEnd w:id="20"/>
      <w:bookmarkEnd w:id="21"/>
    </w:p>
    <w:p w14:paraId="1C5D8C8B">
      <w:pPr>
        <w:pStyle w:val="21"/>
      </w:pPr>
      <w:r>
        <w:rPr>
          <w:rFonts w:hint="eastAsia"/>
        </w:rPr>
        <w:t>溶瘤病毒滴度测定是产品质量评价和给药应用的关键检测项目，一般通过物理滴度（如病毒总颗粒数、基因组拷贝数等）、感染性滴度等检测确定病毒含量。感染性滴度可采用噬斑形成单位（PFU）、半数组织/细胞培养感染剂量（TCID50）等基于细胞的体外检测方法，检测用细胞的选择应考虑病毒载体宿主范围和组织嗜性，选择敏感且合适的细胞株。</w:t>
      </w:r>
    </w:p>
    <w:p w14:paraId="4BE57056">
      <w:pPr>
        <w:pStyle w:val="21"/>
      </w:pPr>
      <w:r>
        <w:rPr>
          <w:rFonts w:hint="eastAsia"/>
        </w:rPr>
        <w:t>oHSV溶瘤病毒滴度测定的实验流程为：</w:t>
      </w:r>
    </w:p>
    <w:p w14:paraId="3C1363CA">
      <w:pPr>
        <w:pStyle w:val="140"/>
        <w:numPr>
          <w:ilvl w:val="0"/>
          <w:numId w:val="19"/>
        </w:numPr>
        <w:rPr>
          <w:rFonts w:ascii="宋体" w:hAnsi="宋体"/>
        </w:rPr>
      </w:pPr>
      <w:r>
        <w:rPr>
          <w:rFonts w:hint="eastAsia" w:ascii="宋体" w:hAnsi="宋体"/>
        </w:rPr>
        <w:t>Day 0: 将生长状态良好的Vero细胞消化计数后稀释至1×105/mL，加入6孔板，2</w:t>
      </w:r>
      <w:r>
        <w:rPr>
          <w:rFonts w:eastAsia="MS Mincho"/>
        </w:rPr>
        <w:t> </w:t>
      </w:r>
      <w:r>
        <w:rPr>
          <w:rFonts w:hint="eastAsia" w:ascii="宋体" w:hAnsi="宋体"/>
        </w:rPr>
        <w:t>mL/孔（约2×105个细胞），每个病毒梯度滴度测试需要6个孔。放入37</w:t>
      </w:r>
      <w:r>
        <w:rPr>
          <w:rFonts w:ascii="宋体" w:hAnsi="宋体"/>
        </w:rPr>
        <w:t> </w:t>
      </w:r>
      <w:r>
        <w:rPr>
          <w:rFonts w:hint="eastAsia" w:ascii="宋体" w:hAnsi="宋体"/>
        </w:rPr>
        <w:t>℃，</w:t>
      </w:r>
      <w:r>
        <w:rPr>
          <w:rFonts w:ascii="宋体" w:hAnsi="宋体"/>
        </w:rPr>
        <w:t>5% CO2</w:t>
      </w:r>
      <w:r>
        <w:rPr>
          <w:rFonts w:hint="eastAsia" w:ascii="宋体" w:hAnsi="宋体"/>
        </w:rPr>
        <w:t>培养箱中过夜培养。</w:t>
      </w:r>
    </w:p>
    <w:p w14:paraId="4EE82056">
      <w:pPr>
        <w:pStyle w:val="140"/>
        <w:numPr>
          <w:ilvl w:val="0"/>
          <w:numId w:val="19"/>
        </w:numPr>
        <w:rPr>
          <w:rFonts w:ascii="宋体" w:hAnsi="宋体"/>
        </w:rPr>
      </w:pPr>
      <w:r>
        <w:rPr>
          <w:rFonts w:ascii="宋体" w:hAnsi="宋体"/>
        </w:rPr>
        <w:t xml:space="preserve">Day 1: </w:t>
      </w:r>
      <w:r>
        <w:rPr>
          <w:rFonts w:hint="eastAsia" w:ascii="宋体" w:hAnsi="宋体"/>
        </w:rPr>
        <w:t>待细胞铺满</w:t>
      </w:r>
      <w:r>
        <w:rPr>
          <w:rFonts w:ascii="宋体" w:hAnsi="宋体"/>
        </w:rPr>
        <w:t>6</w:t>
      </w:r>
      <w:r>
        <w:rPr>
          <w:rFonts w:hint="eastAsia" w:ascii="宋体" w:hAnsi="宋体"/>
        </w:rPr>
        <w:t>孔板孔底时，将溶瘤病毒贮存物从</w:t>
      </w:r>
      <w:r>
        <w:rPr>
          <w:rFonts w:ascii="宋体" w:hAnsi="宋体"/>
        </w:rPr>
        <w:t>-80</w:t>
      </w:r>
      <w:r>
        <w:rPr>
          <w:rFonts w:hint="eastAsia" w:ascii="宋体" w:hAnsi="宋体"/>
        </w:rPr>
        <w:t>℃冰箱取出，室温解冻。</w:t>
      </w:r>
    </w:p>
    <w:p w14:paraId="3A2D68EC">
      <w:pPr>
        <w:pStyle w:val="140"/>
        <w:numPr>
          <w:ilvl w:val="0"/>
          <w:numId w:val="19"/>
        </w:numPr>
        <w:rPr>
          <w:rFonts w:ascii="宋体" w:hAnsi="宋体"/>
        </w:rPr>
      </w:pPr>
      <w:r>
        <w:rPr>
          <w:rFonts w:hint="eastAsia" w:ascii="宋体" w:hAnsi="宋体"/>
        </w:rPr>
        <w:t>以</w:t>
      </w:r>
      <w:r>
        <w:rPr>
          <w:rFonts w:ascii="宋体" w:hAnsi="宋体"/>
        </w:rPr>
        <w:t>106 PFU/mL</w:t>
      </w:r>
      <w:r>
        <w:rPr>
          <w:rFonts w:hint="eastAsia" w:ascii="宋体" w:hAnsi="宋体"/>
        </w:rPr>
        <w:t>级别的</w:t>
      </w:r>
      <w:r>
        <w:rPr>
          <w:rFonts w:ascii="宋体" w:hAnsi="宋体"/>
        </w:rPr>
        <w:t>HSV</w:t>
      </w:r>
      <w:r>
        <w:rPr>
          <w:rFonts w:hint="eastAsia" w:ascii="宋体" w:hAnsi="宋体"/>
        </w:rPr>
        <w:t>病毒滴度测定为例，在</w:t>
      </w:r>
      <w:r>
        <w:rPr>
          <w:rFonts w:ascii="宋体" w:hAnsi="宋体"/>
        </w:rPr>
        <w:t>EP</w:t>
      </w:r>
      <w:r>
        <w:rPr>
          <w:rFonts w:hint="eastAsia" w:ascii="宋体" w:hAnsi="宋体"/>
        </w:rPr>
        <w:t>管中做</w:t>
      </w:r>
      <w:r>
        <w:rPr>
          <w:rFonts w:ascii="宋体" w:hAnsi="宋体"/>
        </w:rPr>
        <w:t>10</w:t>
      </w:r>
      <w:r>
        <w:rPr>
          <w:rFonts w:hint="eastAsia" w:ascii="宋体" w:hAnsi="宋体"/>
        </w:rPr>
        <w:t>倍梯度稀释，连续</w:t>
      </w:r>
      <w:r>
        <w:rPr>
          <w:rFonts w:ascii="宋体" w:hAnsi="宋体"/>
        </w:rPr>
        <w:t>6</w:t>
      </w:r>
      <w:r>
        <w:rPr>
          <w:rFonts w:hint="eastAsia" w:ascii="宋体" w:hAnsi="宋体"/>
        </w:rPr>
        <w:t>个稀释度。</w:t>
      </w:r>
    </w:p>
    <w:p w14:paraId="7B1EEBDD">
      <w:pPr>
        <w:pStyle w:val="140"/>
        <w:numPr>
          <w:ilvl w:val="0"/>
          <w:numId w:val="19"/>
        </w:numPr>
        <w:rPr>
          <w:rFonts w:ascii="宋体" w:hAnsi="宋体"/>
        </w:rPr>
      </w:pPr>
      <w:r>
        <w:rPr>
          <w:rFonts w:hint="eastAsia" w:ascii="宋体" w:hAnsi="宋体"/>
        </w:rPr>
        <w:t>稀释方法如下：准备</w:t>
      </w:r>
      <w:r>
        <w:rPr>
          <w:rFonts w:ascii="宋体" w:hAnsi="宋体"/>
        </w:rPr>
        <w:t>6</w:t>
      </w:r>
      <w:r>
        <w:rPr>
          <w:rFonts w:hint="eastAsia" w:ascii="宋体" w:hAnsi="宋体"/>
        </w:rPr>
        <w:t>个</w:t>
      </w:r>
      <w:r>
        <w:rPr>
          <w:rFonts w:ascii="宋体" w:hAnsi="宋体"/>
        </w:rPr>
        <w:t>1.5 mlEP</w:t>
      </w:r>
      <w:r>
        <w:rPr>
          <w:rFonts w:hint="eastAsia" w:ascii="宋体" w:hAnsi="宋体"/>
        </w:rPr>
        <w:t>管，每管加入</w:t>
      </w:r>
      <w:r>
        <w:rPr>
          <w:rFonts w:ascii="宋体" w:hAnsi="宋体"/>
        </w:rPr>
        <w:t>135 </w:t>
      </w:r>
      <w:r>
        <w:rPr>
          <w:rFonts w:hint="eastAsia" w:ascii="宋体" w:hAnsi="宋体"/>
        </w:rPr>
        <w:t>µ</w:t>
      </w:r>
      <w:r>
        <w:rPr>
          <w:rFonts w:ascii="宋体" w:hAnsi="宋体"/>
        </w:rPr>
        <w:t>L</w:t>
      </w:r>
      <w:r>
        <w:rPr>
          <w:rFonts w:hint="eastAsia" w:ascii="宋体" w:hAnsi="宋体"/>
        </w:rPr>
        <w:t>培养基。往第</w:t>
      </w:r>
      <w:r>
        <w:rPr>
          <w:rFonts w:ascii="宋体" w:hAnsi="宋体"/>
        </w:rPr>
        <w:t>1</w:t>
      </w:r>
      <w:r>
        <w:rPr>
          <w:rFonts w:hint="eastAsia" w:ascii="宋体" w:hAnsi="宋体"/>
        </w:rPr>
        <w:t>个管中加入</w:t>
      </w:r>
      <w:r>
        <w:rPr>
          <w:rFonts w:ascii="宋体" w:hAnsi="宋体"/>
        </w:rPr>
        <w:t>15 </w:t>
      </w:r>
      <w:r>
        <w:rPr>
          <w:rFonts w:hint="eastAsia" w:ascii="宋体" w:hAnsi="宋体"/>
        </w:rPr>
        <w:t>µ</w:t>
      </w:r>
      <w:r>
        <w:rPr>
          <w:rFonts w:ascii="宋体" w:hAnsi="宋体"/>
        </w:rPr>
        <w:t>L</w:t>
      </w:r>
      <w:r>
        <w:rPr>
          <w:rFonts w:hint="eastAsia" w:ascii="宋体" w:hAnsi="宋体"/>
        </w:rPr>
        <w:t>病毒原液，混匀后，吸取</w:t>
      </w:r>
      <w:r>
        <w:rPr>
          <w:rFonts w:ascii="宋体" w:hAnsi="宋体"/>
        </w:rPr>
        <w:t>15 </w:t>
      </w:r>
      <w:r>
        <w:rPr>
          <w:rFonts w:hint="eastAsia" w:ascii="宋体" w:hAnsi="宋体"/>
        </w:rPr>
        <w:t>µ</w:t>
      </w:r>
      <w:r>
        <w:rPr>
          <w:rFonts w:ascii="宋体" w:hAnsi="宋体"/>
        </w:rPr>
        <w:t>L</w:t>
      </w:r>
      <w:r>
        <w:rPr>
          <w:rFonts w:hint="eastAsia" w:ascii="宋体" w:hAnsi="宋体"/>
        </w:rPr>
        <w:t>加入第</w:t>
      </w:r>
      <w:r>
        <w:rPr>
          <w:rFonts w:ascii="宋体" w:hAnsi="宋体"/>
        </w:rPr>
        <w:t>2</w:t>
      </w:r>
      <w:r>
        <w:rPr>
          <w:rFonts w:hint="eastAsia" w:ascii="宋体" w:hAnsi="宋体"/>
        </w:rPr>
        <w:t>个管混匀，以此类推。然后分别取稀释好的梯度稀释病毒液中</w:t>
      </w:r>
      <w:r>
        <w:rPr>
          <w:rFonts w:ascii="宋体" w:hAnsi="宋体"/>
        </w:rPr>
        <w:t>100 </w:t>
      </w:r>
      <w:r>
        <w:rPr>
          <w:rFonts w:hint="eastAsia" w:ascii="宋体" w:hAnsi="宋体"/>
        </w:rPr>
        <w:t>µ</w:t>
      </w:r>
      <w:r>
        <w:rPr>
          <w:rFonts w:ascii="宋体" w:hAnsi="宋体"/>
        </w:rPr>
        <w:t>L</w:t>
      </w:r>
      <w:r>
        <w:rPr>
          <w:rFonts w:hint="eastAsia" w:ascii="宋体" w:hAnsi="宋体"/>
        </w:rPr>
        <w:t>加入培养细胞的</w:t>
      </w:r>
      <w:r>
        <w:rPr>
          <w:rFonts w:ascii="宋体" w:hAnsi="宋体"/>
        </w:rPr>
        <w:t>6</w:t>
      </w:r>
      <w:r>
        <w:rPr>
          <w:rFonts w:hint="eastAsia" w:ascii="宋体" w:hAnsi="宋体"/>
        </w:rPr>
        <w:t>孔板中，放入</w:t>
      </w:r>
      <w:r>
        <w:rPr>
          <w:rFonts w:ascii="宋体" w:hAnsi="宋体"/>
        </w:rPr>
        <w:t>37 </w:t>
      </w:r>
      <w:r>
        <w:rPr>
          <w:rFonts w:hint="eastAsia" w:ascii="宋体" w:hAnsi="宋体"/>
        </w:rPr>
        <w:t>℃、</w:t>
      </w:r>
      <w:r>
        <w:rPr>
          <w:rFonts w:ascii="宋体" w:hAnsi="宋体"/>
        </w:rPr>
        <w:t>5%CO2</w:t>
      </w:r>
      <w:r>
        <w:rPr>
          <w:rFonts w:hint="eastAsia" w:ascii="宋体" w:hAnsi="宋体"/>
        </w:rPr>
        <w:t>培养箱中孵育一小时，让病毒充分吸附。期间每隔</w:t>
      </w:r>
      <w:r>
        <w:rPr>
          <w:rFonts w:ascii="宋体" w:hAnsi="宋体"/>
        </w:rPr>
        <w:t>15 min</w:t>
      </w:r>
      <w:r>
        <w:rPr>
          <w:rFonts w:hint="eastAsia" w:ascii="宋体" w:hAnsi="宋体"/>
        </w:rPr>
        <w:t>摇动孔板，使孵育液均匀分布。</w:t>
      </w:r>
    </w:p>
    <w:p w14:paraId="6C4B7E16">
      <w:pPr>
        <w:pStyle w:val="140"/>
        <w:numPr>
          <w:ilvl w:val="0"/>
          <w:numId w:val="19"/>
        </w:numPr>
        <w:rPr>
          <w:rFonts w:ascii="宋体" w:hAnsi="宋体"/>
        </w:rPr>
      </w:pPr>
      <w:r>
        <w:rPr>
          <w:rFonts w:hint="eastAsia" w:ascii="宋体" w:hAnsi="宋体"/>
        </w:rPr>
        <w:t>完成上述孵育后，吸除上清液，每孔铺上</w:t>
      </w:r>
      <w:r>
        <w:rPr>
          <w:rFonts w:ascii="宋体" w:hAnsi="宋体"/>
        </w:rPr>
        <w:t>3 mL</w:t>
      </w:r>
      <w:r>
        <w:rPr>
          <w:rFonts w:hint="eastAsia" w:ascii="宋体" w:hAnsi="宋体"/>
        </w:rPr>
        <w:t>含</w:t>
      </w:r>
      <w:r>
        <w:rPr>
          <w:rFonts w:ascii="宋体" w:hAnsi="宋体"/>
        </w:rPr>
        <w:t>2%FBS</w:t>
      </w:r>
      <w:r>
        <w:rPr>
          <w:rFonts w:hint="eastAsia" w:ascii="宋体" w:hAnsi="宋体"/>
        </w:rPr>
        <w:t>、</w:t>
      </w:r>
      <w:r>
        <w:rPr>
          <w:rFonts w:ascii="宋体" w:hAnsi="宋体"/>
        </w:rPr>
        <w:t>1%</w:t>
      </w:r>
      <w:r>
        <w:rPr>
          <w:rFonts w:hint="eastAsia" w:ascii="宋体" w:hAnsi="宋体"/>
        </w:rPr>
        <w:t>双抗的</w:t>
      </w:r>
      <w:r>
        <w:rPr>
          <w:rFonts w:ascii="宋体" w:hAnsi="宋体"/>
        </w:rPr>
        <w:t>DMEM</w:t>
      </w:r>
      <w:r>
        <w:rPr>
          <w:rFonts w:hint="eastAsia" w:ascii="宋体" w:hAnsi="宋体"/>
        </w:rPr>
        <w:t>和琼脂混合物，室温放置</w:t>
      </w:r>
      <w:r>
        <w:rPr>
          <w:rFonts w:ascii="宋体" w:hAnsi="宋体"/>
        </w:rPr>
        <w:t>10 min</w:t>
      </w:r>
      <w:r>
        <w:rPr>
          <w:rFonts w:hint="eastAsia" w:ascii="宋体" w:hAnsi="宋体"/>
        </w:rPr>
        <w:t>，待琼脂完全凝固后，放入</w:t>
      </w:r>
      <w:r>
        <w:rPr>
          <w:rFonts w:ascii="宋体" w:hAnsi="宋体"/>
        </w:rPr>
        <w:t>35 </w:t>
      </w:r>
      <w:r>
        <w:rPr>
          <w:rFonts w:hint="eastAsia" w:ascii="宋体" w:hAnsi="宋体"/>
        </w:rPr>
        <w:t>℃、</w:t>
      </w:r>
      <w:r>
        <w:rPr>
          <w:rFonts w:ascii="宋体" w:hAnsi="宋体"/>
        </w:rPr>
        <w:t>3%CO2</w:t>
      </w:r>
      <w:r>
        <w:rPr>
          <w:rFonts w:hint="eastAsia" w:ascii="宋体" w:hAnsi="宋体"/>
        </w:rPr>
        <w:t>培养箱培养。</w:t>
      </w:r>
    </w:p>
    <w:p w14:paraId="2730F520">
      <w:pPr>
        <w:keepNext/>
        <w:spacing w:line="300" w:lineRule="auto"/>
        <w:jc w:val="center"/>
        <w:rPr>
          <w:b/>
          <w:szCs w:val="20"/>
        </w:rPr>
      </w:pPr>
      <w:r>
        <w:rPr>
          <w:sz w:val="24"/>
        </w:rPr>
        <w:drawing>
          <wp:inline distT="0" distB="0" distL="0" distR="0">
            <wp:extent cx="4248150" cy="2051050"/>
            <wp:effectExtent l="0" t="0" r="0" b="0"/>
            <wp:docPr id="12" name="图片 63167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31675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48150" cy="2051050"/>
                    </a:xfrm>
                    <a:prstGeom prst="rect">
                      <a:avLst/>
                    </a:prstGeom>
                    <a:noFill/>
                    <a:ln>
                      <a:noFill/>
                    </a:ln>
                  </pic:spPr>
                </pic:pic>
              </a:graphicData>
            </a:graphic>
          </wp:inline>
        </w:drawing>
      </w:r>
      <w:bookmarkStart w:id="22" w:name="_Toc149510001"/>
    </w:p>
    <w:p w14:paraId="1C388C17">
      <w:pPr>
        <w:spacing w:before="156" w:beforeLines="50" w:after="156" w:afterLines="50"/>
        <w:jc w:val="center"/>
        <w:rPr>
          <w:rFonts w:ascii="黑体" w:hAnsi="黑体" w:eastAsia="黑体"/>
          <w:bCs/>
          <w:szCs w:val="20"/>
        </w:rPr>
      </w:pPr>
      <w:r>
        <w:rPr>
          <w:rFonts w:hint="eastAsia" w:ascii="黑体" w:hAnsi="黑体" w:eastAsia="黑体"/>
          <w:bCs/>
          <w:szCs w:val="20"/>
        </w:rPr>
        <w:t>图</w:t>
      </w:r>
      <w:r>
        <w:rPr>
          <w:rFonts w:ascii="黑体" w:hAnsi="黑体" w:eastAsia="黑体"/>
          <w:bCs/>
          <w:szCs w:val="20"/>
        </w:rPr>
        <w:t xml:space="preserve">3  </w:t>
      </w:r>
      <w:r>
        <w:rPr>
          <w:rFonts w:hint="eastAsia" w:ascii="黑体" w:hAnsi="黑体" w:eastAsia="黑体"/>
          <w:bCs/>
          <w:szCs w:val="20"/>
        </w:rPr>
        <w:t>溶瘤疱疹病毒滴度测定方法示意图</w:t>
      </w:r>
      <w:bookmarkEnd w:id="22"/>
    </w:p>
    <w:p w14:paraId="4063226D">
      <w:pPr>
        <w:ind w:left="780" w:leftChars="200" w:hanging="360" w:hangingChars="200"/>
      </w:pPr>
      <w:r>
        <w:rPr>
          <w:rFonts w:hint="eastAsia" w:ascii="黑体" w:hAnsi="黑体" w:eastAsia="黑体"/>
          <w:sz w:val="18"/>
          <w:szCs w:val="18"/>
        </w:rPr>
        <w:t>注：</w:t>
      </w:r>
      <w:r>
        <w:rPr>
          <w:rFonts w:hint="eastAsia" w:ascii="宋体" w:hAnsi="宋体"/>
          <w:sz w:val="18"/>
          <w:szCs w:val="18"/>
        </w:rPr>
        <w:t>在稀释好的病毒液中取</w:t>
      </w:r>
      <w:r>
        <w:rPr>
          <w:rFonts w:ascii="宋体" w:hAnsi="宋体"/>
          <w:sz w:val="18"/>
          <w:szCs w:val="18"/>
        </w:rPr>
        <w:t>100 </w:t>
      </w:r>
      <w:r>
        <w:rPr>
          <w:rFonts w:hint="eastAsia" w:ascii="宋体" w:hAnsi="宋体"/>
          <w:sz w:val="18"/>
          <w:szCs w:val="18"/>
        </w:rPr>
        <w:t>µ</w:t>
      </w:r>
      <w:r>
        <w:rPr>
          <w:rFonts w:ascii="宋体" w:hAnsi="宋体"/>
          <w:sz w:val="18"/>
          <w:szCs w:val="18"/>
        </w:rPr>
        <w:t>L</w:t>
      </w:r>
      <w:r>
        <w:rPr>
          <w:rFonts w:hint="eastAsia" w:ascii="宋体" w:hAnsi="宋体"/>
          <w:sz w:val="18"/>
          <w:szCs w:val="18"/>
        </w:rPr>
        <w:t>加入细胞长满后的</w:t>
      </w:r>
      <w:r>
        <w:rPr>
          <w:rFonts w:ascii="宋体" w:hAnsi="宋体"/>
          <w:sz w:val="18"/>
          <w:szCs w:val="18"/>
        </w:rPr>
        <w:t>6</w:t>
      </w:r>
      <w:r>
        <w:rPr>
          <w:rFonts w:hint="eastAsia" w:ascii="宋体" w:hAnsi="宋体"/>
          <w:sz w:val="18"/>
          <w:szCs w:val="18"/>
        </w:rPr>
        <w:t>孔板中，则每个稀释滴度加入到</w:t>
      </w:r>
      <w:r>
        <w:rPr>
          <w:rFonts w:ascii="宋体" w:hAnsi="宋体"/>
          <w:sz w:val="18"/>
          <w:szCs w:val="18"/>
        </w:rPr>
        <w:t>6</w:t>
      </w:r>
      <w:r>
        <w:rPr>
          <w:rFonts w:hint="eastAsia" w:ascii="宋体" w:hAnsi="宋体"/>
          <w:sz w:val="18"/>
          <w:szCs w:val="18"/>
        </w:rPr>
        <w:t>孔板中的病毒原液则依次为</w:t>
      </w:r>
      <w:r>
        <w:rPr>
          <w:rFonts w:ascii="宋体" w:hAnsi="宋体"/>
          <w:sz w:val="18"/>
          <w:szCs w:val="18"/>
        </w:rPr>
        <w:t>10 </w:t>
      </w:r>
      <w:r>
        <w:rPr>
          <w:rFonts w:hint="eastAsia" w:ascii="宋体" w:hAnsi="宋体"/>
          <w:sz w:val="18"/>
          <w:szCs w:val="18"/>
        </w:rPr>
        <w:t>µ</w:t>
      </w:r>
      <w:r>
        <w:rPr>
          <w:rFonts w:ascii="宋体" w:hAnsi="宋体"/>
          <w:sz w:val="18"/>
          <w:szCs w:val="18"/>
        </w:rPr>
        <w:t>L</w:t>
      </w:r>
      <w:r>
        <w:rPr>
          <w:rFonts w:hint="eastAsia" w:ascii="宋体" w:hAnsi="宋体"/>
          <w:sz w:val="18"/>
          <w:szCs w:val="18"/>
        </w:rPr>
        <w:t>、</w:t>
      </w:r>
      <w:r>
        <w:rPr>
          <w:rFonts w:ascii="宋体" w:hAnsi="宋体"/>
          <w:sz w:val="18"/>
          <w:szCs w:val="18"/>
        </w:rPr>
        <w:t>1 </w:t>
      </w:r>
      <w:r>
        <w:rPr>
          <w:rFonts w:hint="eastAsia" w:ascii="宋体" w:hAnsi="宋体"/>
          <w:sz w:val="18"/>
          <w:szCs w:val="18"/>
        </w:rPr>
        <w:t>µ</w:t>
      </w:r>
      <w:r>
        <w:rPr>
          <w:rFonts w:ascii="宋体" w:hAnsi="宋体"/>
          <w:sz w:val="18"/>
          <w:szCs w:val="18"/>
        </w:rPr>
        <w:t>L</w:t>
      </w:r>
      <w:r>
        <w:rPr>
          <w:rFonts w:hint="eastAsia" w:ascii="宋体" w:hAnsi="宋体"/>
          <w:sz w:val="18"/>
          <w:szCs w:val="18"/>
        </w:rPr>
        <w:t>等梯度递减，方便后续病毒滴度计算。</w:t>
      </w:r>
    </w:p>
    <w:p w14:paraId="362C81CB">
      <w:pPr>
        <w:pStyle w:val="140"/>
        <w:numPr>
          <w:ilvl w:val="0"/>
          <w:numId w:val="19"/>
        </w:numPr>
        <w:rPr>
          <w:rFonts w:hAnsi="宋体"/>
        </w:rPr>
      </w:pPr>
      <w:r>
        <w:rPr>
          <w:rFonts w:hint="eastAsia" w:ascii="宋体" w:hAnsi="宋体"/>
        </w:rPr>
        <w:t>Day 2～5: 期间按时观察细胞情况，有荧光的病毒可以在显微镜下直接对荧光比例合适的孔进行病毒蚀斑计数，并计算滴度。无荧光的重组病毒测定需要在孵育2～3天后，先将琼脂和5% FBS、2%双抗的培养基按照体积比1:1混合均匀，随后按每10</w:t>
      </w:r>
      <w:r>
        <w:rPr>
          <w:rFonts w:ascii="宋体" w:hAnsi="宋体"/>
        </w:rPr>
        <w:t> </w:t>
      </w:r>
      <w:r>
        <w:rPr>
          <w:rFonts w:hint="eastAsia" w:ascii="宋体" w:hAnsi="宋体"/>
        </w:rPr>
        <w:t>mL混合液加入120</w:t>
      </w:r>
      <w:r>
        <w:rPr>
          <w:rFonts w:ascii="宋体" w:hAnsi="宋体"/>
        </w:rPr>
        <w:t> </w:t>
      </w:r>
      <w:r>
        <w:rPr>
          <w:rFonts w:hint="eastAsia" w:ascii="宋体" w:hAnsi="宋体"/>
        </w:rPr>
        <w:t>µL 0.33%的中性红和170</w:t>
      </w:r>
      <w:r>
        <w:rPr>
          <w:rFonts w:ascii="宋体" w:hAnsi="宋体"/>
        </w:rPr>
        <w:t> </w:t>
      </w:r>
      <w:r>
        <w:rPr>
          <w:rFonts w:hint="eastAsia" w:ascii="宋体" w:hAnsi="宋体"/>
        </w:rPr>
        <w:t>µ</w:t>
      </w:r>
      <w:r>
        <w:rPr>
          <w:rFonts w:ascii="宋体" w:hAnsi="宋体"/>
        </w:rPr>
        <w:t>L 7.5%</w:t>
      </w:r>
      <w:r>
        <w:rPr>
          <w:rFonts w:hint="eastAsia" w:ascii="宋体" w:hAnsi="宋体"/>
        </w:rPr>
        <w:t>的NaHCO</w:t>
      </w:r>
      <w:r>
        <w:rPr>
          <w:rFonts w:hint="eastAsia" w:ascii="宋体" w:hAnsi="宋体"/>
          <w:vertAlign w:val="subscript"/>
        </w:rPr>
        <w:t>3</w:t>
      </w:r>
      <w:r>
        <w:rPr>
          <w:rFonts w:hint="eastAsia" w:ascii="宋体" w:hAnsi="宋体"/>
        </w:rPr>
        <w:t>，然后每孔加入2</w:t>
      </w:r>
      <w:r>
        <w:rPr>
          <w:rFonts w:ascii="宋体" w:hAnsi="宋体"/>
        </w:rPr>
        <w:t> </w:t>
      </w:r>
      <w:r>
        <w:rPr>
          <w:rFonts w:hint="eastAsia" w:ascii="宋体" w:hAnsi="宋体"/>
        </w:rPr>
        <w:t>mL～3</w:t>
      </w:r>
      <w:r>
        <w:rPr>
          <w:rFonts w:ascii="宋体" w:hAnsi="宋体"/>
        </w:rPr>
        <w:t> </w:t>
      </w:r>
      <w:r>
        <w:rPr>
          <w:rFonts w:hint="eastAsia" w:ascii="宋体" w:hAnsi="宋体"/>
        </w:rPr>
        <w:t>mL含中性红（0.33%）的琼脂，1天后在计数板上观察结果，对蚀斑计数。每组滴度稀释三个重复，蚀斑计数后取平均值。病毒滴度计算公式如下：滴度（PFU/mL）=</w:t>
      </w:r>
      <w:r>
        <w:rPr>
          <w:rFonts w:ascii="宋体" w:hAnsi="宋体"/>
        </w:rPr>
        <w:t xml:space="preserve"> </w:t>
      </w:r>
      <w:r>
        <w:rPr>
          <w:rFonts w:hint="eastAsia" w:ascii="宋体" w:hAnsi="宋体"/>
        </w:rPr>
        <w:t>病毒蚀斑计数×103/病毒原液体积（µL）。然后对每个荧光比例合适的孔测得的滴度取平均值作为最终值。</w:t>
      </w:r>
    </w:p>
    <w:p w14:paraId="647C2C8C">
      <w:pPr>
        <w:pStyle w:val="45"/>
        <w:numPr>
          <w:ilvl w:val="0"/>
          <w:numId w:val="0"/>
        </w:numPr>
      </w:pPr>
      <w:r>
        <w:rPr>
          <w:rFonts w:hint="eastAsia"/>
        </w:rPr>
        <w:t>8  溶瘤病毒基因组提取</w:t>
      </w:r>
    </w:p>
    <w:p w14:paraId="0AC5F4F8">
      <w:pPr>
        <w:pStyle w:val="21"/>
      </w:pPr>
      <w:r>
        <w:rPr>
          <w:rFonts w:hint="eastAsia"/>
        </w:rPr>
        <w:t>溶瘤病毒产品基因组稳定性分析、基因鉴定和测序等检测需要提取溶瘤病毒基因组，是质量评价分析的常规实验。利用病毒基因组提取试剂盒可从200</w:t>
      </w:r>
      <w:r>
        <w:t> </w:t>
      </w:r>
      <w:r>
        <w:rPr>
          <w:rFonts w:ascii="Times New Roman"/>
        </w:rPr>
        <w:t>μL</w:t>
      </w:r>
      <w:r>
        <w:rPr>
          <w:rFonts w:hint="eastAsia"/>
        </w:rPr>
        <w:t>溶瘤病毒产品或培养的病毒上清等样本中提取病毒基因组核酸。实验步骤以QIAGEN试剂盒为例：</w:t>
      </w:r>
    </w:p>
    <w:p w14:paraId="6753761A">
      <w:pPr>
        <w:pStyle w:val="140"/>
        <w:numPr>
          <w:ilvl w:val="0"/>
          <w:numId w:val="20"/>
        </w:numPr>
        <w:rPr>
          <w:rFonts w:ascii="宋体" w:hAnsi="宋体"/>
        </w:rPr>
      </w:pPr>
      <w:r>
        <w:rPr>
          <w:rFonts w:hint="eastAsia" w:ascii="宋体" w:hAnsi="宋体"/>
        </w:rPr>
        <w:t>将25</w:t>
      </w:r>
      <w:r>
        <w:rPr>
          <w:rFonts w:ascii="宋体" w:hAnsi="宋体"/>
        </w:rPr>
        <w:t> </w:t>
      </w:r>
      <w:r>
        <w:rPr>
          <w:rFonts w:hint="eastAsia" w:ascii="宋体" w:hAnsi="宋体"/>
        </w:rPr>
        <w:t>µL QIAGEN蛋白酶移入1.5</w:t>
      </w:r>
      <w:r>
        <w:rPr>
          <w:rFonts w:ascii="宋体" w:hAnsi="宋体"/>
        </w:rPr>
        <w:t> </w:t>
      </w:r>
      <w:r>
        <w:rPr>
          <w:rFonts w:hint="eastAsia" w:ascii="宋体" w:hAnsi="宋体"/>
        </w:rPr>
        <w:t>mL的离心管；</w:t>
      </w:r>
    </w:p>
    <w:p w14:paraId="07E6C380">
      <w:pPr>
        <w:pStyle w:val="140"/>
        <w:numPr>
          <w:ilvl w:val="0"/>
          <w:numId w:val="20"/>
        </w:numPr>
        <w:rPr>
          <w:rFonts w:ascii="宋体" w:hAnsi="宋体"/>
        </w:rPr>
      </w:pPr>
      <w:r>
        <w:rPr>
          <w:rFonts w:hint="eastAsia" w:ascii="宋体" w:hAnsi="宋体"/>
        </w:rPr>
        <w:t>在离心管中加入200</w:t>
      </w:r>
      <w:r>
        <w:rPr>
          <w:rFonts w:ascii="宋体" w:hAnsi="宋体"/>
        </w:rPr>
        <w:t> </w:t>
      </w:r>
      <w:r>
        <w:rPr>
          <w:rFonts w:hint="eastAsia" w:ascii="宋体" w:hAnsi="宋体"/>
        </w:rPr>
        <w:t>µL的溶瘤病毒产品或病毒上清；</w:t>
      </w:r>
    </w:p>
    <w:p w14:paraId="3AE6C93C">
      <w:pPr>
        <w:pStyle w:val="140"/>
        <w:numPr>
          <w:ilvl w:val="0"/>
          <w:numId w:val="20"/>
        </w:numPr>
        <w:rPr>
          <w:rFonts w:hAnsi="宋体"/>
        </w:rPr>
      </w:pPr>
      <w:r>
        <w:rPr>
          <w:rFonts w:hint="eastAsia" w:ascii="宋体" w:hAnsi="宋体"/>
        </w:rPr>
        <w:t>如果样品体积小于200</w:t>
      </w:r>
      <w:r>
        <w:rPr>
          <w:rFonts w:ascii="宋体" w:hAnsi="宋体"/>
        </w:rPr>
        <w:t> </w:t>
      </w:r>
      <w:r>
        <w:rPr>
          <w:rFonts w:hint="eastAsia" w:ascii="宋体" w:hAnsi="宋体"/>
        </w:rPr>
        <w:t>µL，加入适当体积的0.9%氯化钠溶液，使蛋白酶和样品的体积达到225</w:t>
      </w:r>
      <w:r>
        <w:rPr>
          <w:rFonts w:ascii="宋体" w:hAnsi="宋体"/>
        </w:rPr>
        <w:t> </w:t>
      </w:r>
      <w:r>
        <w:rPr>
          <w:rFonts w:hint="eastAsia" w:ascii="宋体" w:hAnsi="宋体"/>
        </w:rPr>
        <w:t>µL；</w:t>
      </w:r>
    </w:p>
    <w:p w14:paraId="42C2E46E">
      <w:pPr>
        <w:pStyle w:val="140"/>
        <w:numPr>
          <w:ilvl w:val="0"/>
          <w:numId w:val="20"/>
        </w:numPr>
        <w:rPr>
          <w:rFonts w:hAnsi="宋体"/>
        </w:rPr>
      </w:pPr>
      <w:r>
        <w:rPr>
          <w:rFonts w:hint="eastAsia" w:ascii="宋体" w:hAnsi="宋体"/>
        </w:rPr>
        <w:t>加入200</w:t>
      </w:r>
      <w:r>
        <w:rPr>
          <w:rFonts w:ascii="宋体" w:hAnsi="宋体"/>
        </w:rPr>
        <w:t> </w:t>
      </w:r>
      <w:r>
        <w:rPr>
          <w:rFonts w:hint="eastAsia" w:ascii="宋体" w:hAnsi="宋体"/>
        </w:rPr>
        <w:t>µL缓冲液AL（含有28</w:t>
      </w:r>
      <w:r>
        <w:rPr>
          <w:rFonts w:ascii="宋体" w:hAnsi="宋体"/>
        </w:rPr>
        <w:t> </w:t>
      </w:r>
      <w:r>
        <w:rPr>
          <w:rFonts w:hint="eastAsia" w:ascii="宋体" w:hAnsi="宋体"/>
        </w:rPr>
        <w:t>µg/mL的载体RNA）。为了确保有效的裂解，必须将样品和缓冲液AL充分混合以得到均匀的溶液；</w:t>
      </w:r>
    </w:p>
    <w:p w14:paraId="49C21D70">
      <w:pPr>
        <w:pStyle w:val="140"/>
        <w:numPr>
          <w:ilvl w:val="0"/>
          <w:numId w:val="20"/>
        </w:numPr>
        <w:rPr>
          <w:rFonts w:hAnsi="宋体"/>
        </w:rPr>
      </w:pPr>
      <w:r>
        <w:rPr>
          <w:rFonts w:hint="eastAsia" w:ascii="宋体" w:hAnsi="宋体"/>
        </w:rPr>
        <w:t>在56</w:t>
      </w:r>
      <w:r>
        <w:rPr>
          <w:rFonts w:ascii="宋体" w:hAnsi="宋体"/>
        </w:rPr>
        <w:t> </w:t>
      </w:r>
      <w:r>
        <w:rPr>
          <w:rFonts w:hint="eastAsia" w:ascii="宋体" w:hAnsi="宋体"/>
        </w:rPr>
        <w:t>℃加热块中加热15</w:t>
      </w:r>
      <w:r>
        <w:rPr>
          <w:rFonts w:ascii="宋体" w:hAnsi="宋体"/>
        </w:rPr>
        <w:t> </w:t>
      </w:r>
      <w:r>
        <w:rPr>
          <w:rFonts w:hint="eastAsia" w:ascii="宋体" w:hAnsi="宋体"/>
        </w:rPr>
        <w:t>min；</w:t>
      </w:r>
    </w:p>
    <w:p w14:paraId="36F0247C">
      <w:pPr>
        <w:pStyle w:val="140"/>
        <w:numPr>
          <w:ilvl w:val="0"/>
          <w:numId w:val="20"/>
        </w:numPr>
        <w:rPr>
          <w:rFonts w:hAnsi="宋体"/>
        </w:rPr>
      </w:pPr>
      <w:r>
        <w:rPr>
          <w:rFonts w:hint="eastAsia" w:ascii="宋体" w:hAnsi="宋体"/>
        </w:rPr>
        <w:t>在样品中加入250</w:t>
      </w:r>
      <w:r>
        <w:rPr>
          <w:rFonts w:ascii="宋体" w:hAnsi="宋体"/>
        </w:rPr>
        <w:t> </w:t>
      </w:r>
      <w:r>
        <w:rPr>
          <w:rFonts w:hint="eastAsia" w:ascii="宋体" w:hAnsi="宋体"/>
        </w:rPr>
        <w:t>µL乙醇（96%～100%），通过脉冲涡旋15</w:t>
      </w:r>
      <w:r>
        <w:rPr>
          <w:rFonts w:ascii="宋体" w:hAnsi="宋体"/>
        </w:rPr>
        <w:t> </w:t>
      </w:r>
      <w:r>
        <w:rPr>
          <w:rFonts w:hint="eastAsia" w:ascii="宋体" w:hAnsi="宋体"/>
        </w:rPr>
        <w:t>s进行充分混合。将裂解液与乙醇在室温（15</w:t>
      </w:r>
      <w:r>
        <w:rPr>
          <w:rFonts w:ascii="宋体" w:hAnsi="宋体"/>
        </w:rPr>
        <w:t> </w:t>
      </w:r>
      <w:r>
        <w:rPr>
          <w:rFonts w:hint="eastAsia" w:ascii="宋体" w:hAnsi="宋体"/>
        </w:rPr>
        <w:t>℃～25</w:t>
      </w:r>
      <w:r>
        <w:rPr>
          <w:rFonts w:ascii="宋体" w:hAnsi="宋体"/>
        </w:rPr>
        <w:t> </w:t>
      </w:r>
      <w:r>
        <w:rPr>
          <w:rFonts w:hint="eastAsia" w:ascii="宋体" w:hAnsi="宋体"/>
        </w:rPr>
        <w:t>℃）下静置5</w:t>
      </w:r>
      <w:r>
        <w:rPr>
          <w:rFonts w:ascii="宋体" w:hAnsi="宋体"/>
        </w:rPr>
        <w:t> </w:t>
      </w:r>
      <w:r>
        <w:rPr>
          <w:rFonts w:hint="eastAsia" w:ascii="宋体" w:hAnsi="宋体"/>
        </w:rPr>
        <w:t>min；</w:t>
      </w:r>
    </w:p>
    <w:p w14:paraId="35B477DF">
      <w:pPr>
        <w:pStyle w:val="140"/>
        <w:numPr>
          <w:ilvl w:val="0"/>
          <w:numId w:val="20"/>
        </w:numPr>
        <w:rPr>
          <w:rFonts w:hAnsi="宋体"/>
        </w:rPr>
      </w:pPr>
      <w:r>
        <w:rPr>
          <w:rFonts w:hint="eastAsia" w:ascii="宋体" w:hAnsi="宋体"/>
        </w:rPr>
        <w:t>小心打开</w:t>
      </w:r>
      <w:r>
        <w:rPr>
          <w:rFonts w:ascii="宋体" w:hAnsi="宋体"/>
        </w:rPr>
        <w:t>QIAamp MinElute</w:t>
      </w:r>
      <w:r>
        <w:rPr>
          <w:rFonts w:hint="eastAsia" w:ascii="宋体" w:hAnsi="宋体"/>
        </w:rPr>
        <w:t>柱，加入500</w:t>
      </w:r>
      <w:r>
        <w:rPr>
          <w:rFonts w:ascii="宋体" w:hAnsi="宋体"/>
        </w:rPr>
        <w:t> </w:t>
      </w:r>
      <w:r>
        <w:rPr>
          <w:rFonts w:hint="eastAsia" w:ascii="宋体" w:hAnsi="宋体"/>
        </w:rPr>
        <w:t>µL缓冲液AW1，不要弄湿柱缘。盖上盖子，以6000</w:t>
      </w:r>
      <w:r>
        <w:rPr>
          <w:rFonts w:ascii="宋体" w:hAnsi="宋体"/>
        </w:rPr>
        <w:t> </w:t>
      </w:r>
      <w:r>
        <w:rPr>
          <w:rFonts w:hint="eastAsia" w:ascii="宋体" w:hAnsi="宋体"/>
        </w:rPr>
        <w:t>g（8000</w:t>
      </w:r>
      <w:r>
        <w:rPr>
          <w:rFonts w:ascii="宋体" w:hAnsi="宋体"/>
        </w:rPr>
        <w:t> </w:t>
      </w:r>
      <w:r>
        <w:rPr>
          <w:rFonts w:hint="eastAsia" w:ascii="宋体" w:hAnsi="宋体"/>
        </w:rPr>
        <w:t>rpm）速度离心1</w:t>
      </w:r>
      <w:r>
        <w:rPr>
          <w:rFonts w:ascii="宋体" w:hAnsi="宋体"/>
        </w:rPr>
        <w:t> </w:t>
      </w:r>
      <w:r>
        <w:rPr>
          <w:rFonts w:hint="eastAsia" w:ascii="宋体" w:hAnsi="宋体"/>
        </w:rPr>
        <w:t>min。将</w:t>
      </w:r>
      <w:r>
        <w:rPr>
          <w:rFonts w:ascii="宋体" w:hAnsi="宋体"/>
        </w:rPr>
        <w:t>QIAamp MinElute</w:t>
      </w:r>
      <w:r>
        <w:rPr>
          <w:rFonts w:hint="eastAsia" w:ascii="宋体" w:hAnsi="宋体"/>
        </w:rPr>
        <w:t>柱放入一个干净的2</w:t>
      </w:r>
      <w:r>
        <w:rPr>
          <w:rFonts w:ascii="宋体" w:hAnsi="宋体"/>
        </w:rPr>
        <w:t> </w:t>
      </w:r>
      <w:r>
        <w:rPr>
          <w:rFonts w:hint="eastAsia" w:ascii="宋体" w:hAnsi="宋体"/>
        </w:rPr>
        <w:t>mL收集管中，并丢弃含有滤液的收集管；</w:t>
      </w:r>
    </w:p>
    <w:p w14:paraId="67678325">
      <w:pPr>
        <w:pStyle w:val="140"/>
        <w:numPr>
          <w:ilvl w:val="0"/>
          <w:numId w:val="20"/>
        </w:numPr>
        <w:rPr>
          <w:rFonts w:hAnsi="宋体"/>
        </w:rPr>
      </w:pPr>
      <w:r>
        <w:rPr>
          <w:rFonts w:hint="eastAsia" w:ascii="宋体" w:hAnsi="宋体"/>
        </w:rPr>
        <w:t>小心打开</w:t>
      </w:r>
      <w:r>
        <w:rPr>
          <w:rFonts w:ascii="宋体" w:hAnsi="宋体"/>
        </w:rPr>
        <w:t>QIAamp MinElute</w:t>
      </w:r>
      <w:r>
        <w:rPr>
          <w:rFonts w:hint="eastAsia" w:ascii="宋体" w:hAnsi="宋体"/>
        </w:rPr>
        <w:t>柱，加入500</w:t>
      </w:r>
      <w:r>
        <w:rPr>
          <w:rFonts w:ascii="宋体" w:hAnsi="宋体"/>
        </w:rPr>
        <w:t> </w:t>
      </w:r>
      <w:r>
        <w:rPr>
          <w:rFonts w:hint="eastAsia" w:ascii="宋体" w:hAnsi="宋体"/>
        </w:rPr>
        <w:t>µL缓冲液AW2。盖上盖子，6000</w:t>
      </w:r>
      <w:r>
        <w:rPr>
          <w:rFonts w:ascii="宋体" w:hAnsi="宋体"/>
        </w:rPr>
        <w:t> </w:t>
      </w:r>
      <w:r>
        <w:rPr>
          <w:rFonts w:hint="eastAsia" w:ascii="宋体" w:hAnsi="宋体"/>
        </w:rPr>
        <w:t>g速度离心1</w:t>
      </w:r>
      <w:r>
        <w:rPr>
          <w:rFonts w:ascii="宋体" w:hAnsi="宋体"/>
        </w:rPr>
        <w:t> </w:t>
      </w:r>
      <w:r>
        <w:rPr>
          <w:rFonts w:hint="eastAsia" w:ascii="宋体" w:hAnsi="宋体"/>
        </w:rPr>
        <w:t>min；</w:t>
      </w:r>
    </w:p>
    <w:p w14:paraId="091F1A2E">
      <w:pPr>
        <w:pStyle w:val="140"/>
        <w:numPr>
          <w:ilvl w:val="0"/>
          <w:numId w:val="20"/>
        </w:numPr>
        <w:rPr>
          <w:rFonts w:hAnsi="宋体"/>
        </w:rPr>
      </w:pPr>
      <w:r>
        <w:rPr>
          <w:rFonts w:hint="eastAsia" w:ascii="宋体" w:hAnsi="宋体"/>
        </w:rPr>
        <w:t>将</w:t>
      </w:r>
      <w:r>
        <w:rPr>
          <w:rFonts w:ascii="宋体" w:hAnsi="宋体"/>
        </w:rPr>
        <w:t>QIAamp MinElute</w:t>
      </w:r>
      <w:r>
        <w:rPr>
          <w:rFonts w:hint="eastAsia" w:ascii="宋体" w:hAnsi="宋体"/>
        </w:rPr>
        <w:t>柱放在一个干净的2</w:t>
      </w:r>
      <w:r>
        <w:rPr>
          <w:rFonts w:ascii="宋体" w:hAnsi="宋体"/>
        </w:rPr>
        <w:t> </w:t>
      </w:r>
      <w:r>
        <w:rPr>
          <w:rFonts w:hint="eastAsia" w:ascii="宋体" w:hAnsi="宋体"/>
        </w:rPr>
        <w:t>mL收集管中。全速离心（20,000</w:t>
      </w:r>
      <w:r>
        <w:rPr>
          <w:rFonts w:ascii="宋体" w:hAnsi="宋体"/>
        </w:rPr>
        <w:t> g; 14,000 </w:t>
      </w:r>
      <w:r>
        <w:rPr>
          <w:rFonts w:hint="eastAsia" w:ascii="宋体" w:hAnsi="宋体"/>
        </w:rPr>
        <w:t>rpm）3</w:t>
      </w:r>
      <w:r>
        <w:rPr>
          <w:rFonts w:ascii="宋体" w:hAnsi="宋体"/>
        </w:rPr>
        <w:t> </w:t>
      </w:r>
      <w:r>
        <w:rPr>
          <w:rFonts w:hint="eastAsia" w:ascii="宋体" w:hAnsi="宋体"/>
        </w:rPr>
        <w:t>min，使膜完全干燥；</w:t>
      </w:r>
    </w:p>
    <w:p w14:paraId="093C143B">
      <w:pPr>
        <w:pStyle w:val="140"/>
        <w:numPr>
          <w:ilvl w:val="0"/>
          <w:numId w:val="20"/>
        </w:numPr>
        <w:rPr>
          <w:rFonts w:hAnsi="宋体"/>
        </w:rPr>
      </w:pPr>
      <w:r>
        <w:rPr>
          <w:rFonts w:hint="eastAsia" w:ascii="宋体" w:hAnsi="宋体"/>
        </w:rPr>
        <w:t>将</w:t>
      </w:r>
      <w:r>
        <w:rPr>
          <w:rFonts w:ascii="宋体" w:hAnsi="宋体"/>
        </w:rPr>
        <w:t>QIAamp MinElute</w:t>
      </w:r>
      <w:r>
        <w:rPr>
          <w:rFonts w:hint="eastAsia" w:ascii="宋体" w:hAnsi="宋体"/>
        </w:rPr>
        <w:t>柱放入一个干净的1.5</w:t>
      </w:r>
      <w:r>
        <w:rPr>
          <w:rFonts w:ascii="宋体" w:hAnsi="宋体"/>
        </w:rPr>
        <w:t> </w:t>
      </w:r>
      <w:r>
        <w:rPr>
          <w:rFonts w:hint="eastAsia" w:ascii="宋体" w:hAnsi="宋体"/>
        </w:rPr>
        <w:t>mL离心管中，将20</w:t>
      </w:r>
      <w:r>
        <w:rPr>
          <w:rFonts w:ascii="宋体" w:hAnsi="宋体"/>
        </w:rPr>
        <w:t> </w:t>
      </w:r>
      <w:r>
        <w:rPr>
          <w:rFonts w:hint="eastAsia" w:ascii="宋体" w:hAnsi="宋体"/>
        </w:rPr>
        <w:t>µ</w:t>
      </w:r>
      <w:r>
        <w:rPr>
          <w:rFonts w:ascii="宋体" w:hAnsi="宋体"/>
        </w:rPr>
        <w:t>L</w:t>
      </w:r>
      <w:r>
        <w:rPr>
          <w:rFonts w:hint="eastAsia" w:ascii="宋体" w:hAnsi="宋体"/>
        </w:rPr>
        <w:t>～150</w:t>
      </w:r>
      <w:r>
        <w:rPr>
          <w:rFonts w:ascii="宋体" w:hAnsi="宋体"/>
        </w:rPr>
        <w:t> </w:t>
      </w:r>
      <w:r>
        <w:rPr>
          <w:rFonts w:hint="eastAsia" w:ascii="宋体" w:hAnsi="宋体"/>
        </w:rPr>
        <w:t>µ</w:t>
      </w:r>
      <w:r>
        <w:rPr>
          <w:rFonts w:ascii="宋体" w:hAnsi="宋体"/>
        </w:rPr>
        <w:t xml:space="preserve">L Buffer </w:t>
      </w:r>
      <w:r>
        <w:rPr>
          <w:rFonts w:hint="eastAsia" w:ascii="宋体" w:hAnsi="宋体"/>
        </w:rPr>
        <w:t>AVE或无RNase的水加在膜的中心。关上盖子，在室温下静置1</w:t>
      </w:r>
      <w:r>
        <w:rPr>
          <w:rFonts w:ascii="宋体" w:hAnsi="宋体"/>
        </w:rPr>
        <w:t> </w:t>
      </w:r>
      <w:r>
        <w:rPr>
          <w:rFonts w:hint="eastAsia" w:ascii="宋体" w:hAnsi="宋体"/>
        </w:rPr>
        <w:t>min。全速离心（20,000</w:t>
      </w:r>
      <w:r>
        <w:rPr>
          <w:rFonts w:ascii="宋体" w:hAnsi="宋体"/>
        </w:rPr>
        <w:t> g; 14,000 </w:t>
      </w:r>
      <w:r>
        <w:rPr>
          <w:rFonts w:hint="eastAsia" w:ascii="宋体" w:hAnsi="宋体"/>
        </w:rPr>
        <w:t>rpm，1</w:t>
      </w:r>
      <w:r>
        <w:rPr>
          <w:rFonts w:ascii="宋体" w:hAnsi="宋体"/>
        </w:rPr>
        <w:t> </w:t>
      </w:r>
      <w:r>
        <w:rPr>
          <w:rFonts w:hint="eastAsia" w:ascii="宋体" w:hAnsi="宋体"/>
        </w:rPr>
        <w:t>min）；</w:t>
      </w:r>
    </w:p>
    <w:p w14:paraId="60E0D3C7">
      <w:pPr>
        <w:pStyle w:val="140"/>
        <w:numPr>
          <w:ilvl w:val="0"/>
          <w:numId w:val="20"/>
        </w:numPr>
        <w:rPr>
          <w:rFonts w:ascii="宋体" w:hAnsi="宋体"/>
          <w:sz w:val="24"/>
        </w:rPr>
      </w:pPr>
      <w:r>
        <w:rPr>
          <w:rFonts w:hint="eastAsia" w:ascii="宋体" w:hAnsi="宋体"/>
        </w:rPr>
        <w:t>确保洗脱缓冲液平衡至室温。如果洗脱的体积小（＜50</w:t>
      </w:r>
      <w:r>
        <w:rPr>
          <w:rFonts w:ascii="宋体" w:hAnsi="宋体"/>
        </w:rPr>
        <w:t> </w:t>
      </w:r>
      <w:r>
        <w:rPr>
          <w:rFonts w:hint="eastAsia" w:ascii="宋体" w:hAnsi="宋体"/>
        </w:rPr>
        <w:t>µ</w:t>
      </w:r>
      <w:r>
        <w:rPr>
          <w:rFonts w:ascii="宋体" w:hAnsi="宋体"/>
        </w:rPr>
        <w:t>L</w:t>
      </w:r>
      <w:r>
        <w:rPr>
          <w:rFonts w:hint="eastAsia" w:ascii="宋体" w:hAnsi="宋体"/>
        </w:rPr>
        <w:t>），必须将洗脱缓冲液分配到膜的中心，以完全洗脱结合的RNA和DNA。洗脱量是灵活的，可以根据下游应用的要求来调整。将装有Buffer</w:t>
      </w:r>
      <w:r>
        <w:rPr>
          <w:rFonts w:ascii="宋体" w:hAnsi="宋体"/>
        </w:rPr>
        <w:t xml:space="preserve"> </w:t>
      </w:r>
      <w:r>
        <w:rPr>
          <w:rFonts w:hint="eastAsia" w:ascii="宋体" w:hAnsi="宋体"/>
        </w:rPr>
        <w:t>AVE或水的</w:t>
      </w:r>
      <w:r>
        <w:rPr>
          <w:rFonts w:ascii="宋体" w:hAnsi="宋体"/>
        </w:rPr>
        <w:t>QIAamp MinElute</w:t>
      </w:r>
      <w:r>
        <w:rPr>
          <w:rFonts w:hint="eastAsia" w:ascii="宋体" w:hAnsi="宋体"/>
        </w:rPr>
        <w:t>柱在室温下静置5min，通常会增加DNA或RNA的产量。</w:t>
      </w:r>
    </w:p>
    <w:p w14:paraId="2C2969E9">
      <w:pPr>
        <w:pStyle w:val="45"/>
        <w:numPr>
          <w:ilvl w:val="0"/>
          <w:numId w:val="0"/>
        </w:numPr>
      </w:pPr>
      <w:r>
        <w:rPr>
          <w:rFonts w:hint="eastAsia"/>
        </w:rPr>
        <w:t>9  安全性评价</w:t>
      </w:r>
      <w:r>
        <w:rPr>
          <w:rFonts w:ascii="Times New Roman" w:eastAsia="宋体"/>
          <w:spacing w:val="-2"/>
          <w:szCs w:val="21"/>
        </w:rPr>
        <w:t>-</w:t>
      </w:r>
      <w:r>
        <w:rPr>
          <w:rFonts w:hint="eastAsia"/>
        </w:rPr>
        <w:t>基因鉴定</w:t>
      </w:r>
    </w:p>
    <w:p w14:paraId="4BD0E9B5">
      <w:pPr>
        <w:pStyle w:val="21"/>
      </w:pPr>
      <w:r>
        <w:rPr>
          <w:rFonts w:hint="eastAsia"/>
        </w:rPr>
        <w:t>溶瘤病毒产品安全性评价需充分评估病毒经多次传代后基因序列和/或氨基酸序列突变的风险，并采用合理的方法和手段进行监测，确保产品安全性。一般情况下，应对主病毒种子和生产限传代次病毒进行全基因组分析，关注多次传代后病毒在基因序列和/或氨基酸序列上变化。溶瘤病毒常规基因鉴定筛选HSV血清型和基因型分析常用的关键基因，如病毒的gD、gB、ICP0、UL39基因等。包膜糖蛋白gD为HSV病毒侵染宿主细胞的必需包膜糖蛋白，介导病毒包膜蛋白与细胞受体的结合。包膜糖蛋白gB也是病毒侵染细胞的必需包膜糖蛋白，介导病毒包膜与细胞膜融合。根据单纯疱疹病毒标准毒株的基因序列设计基因引物（如下表），利用PCR技术检测溶瘤病毒特定基因进行鉴定分析。</w:t>
      </w:r>
    </w:p>
    <w:p w14:paraId="28A2AB55">
      <w:pPr>
        <w:pStyle w:val="21"/>
        <w:spacing w:before="156" w:beforeLines="50" w:after="156" w:afterLines="50"/>
        <w:ind w:firstLine="0" w:firstLineChars="0"/>
        <w:jc w:val="center"/>
        <w:rPr>
          <w:rFonts w:ascii="黑体" w:hAnsi="黑体" w:eastAsia="黑体"/>
          <w:szCs w:val="21"/>
        </w:rPr>
      </w:pPr>
      <w:r>
        <w:rPr>
          <w:rFonts w:hint="eastAsia" w:ascii="黑体" w:hAnsi="黑体" w:eastAsia="黑体"/>
          <w:szCs w:val="21"/>
        </w:rPr>
        <w:t>表</w:t>
      </w:r>
      <w:r>
        <w:rPr>
          <w:rFonts w:ascii="黑体" w:hAnsi="黑体" w:eastAsia="黑体"/>
          <w:szCs w:val="21"/>
        </w:rPr>
        <w:t>1  oHSV</w:t>
      </w:r>
      <w:r>
        <w:rPr>
          <w:rFonts w:hint="eastAsia" w:ascii="黑体" w:hAnsi="黑体" w:eastAsia="黑体"/>
          <w:szCs w:val="21"/>
        </w:rPr>
        <w:t>溶瘤病毒基因组基因鉴定所用引物序列</w:t>
      </w:r>
    </w:p>
    <w:tbl>
      <w:tblPr>
        <w:tblStyle w:val="31"/>
        <w:tblW w:w="851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0" w:type="dxa"/>
          <w:bottom w:w="0" w:type="dxa"/>
          <w:right w:w="0" w:type="dxa"/>
        </w:tblCellMar>
      </w:tblPr>
      <w:tblGrid>
        <w:gridCol w:w="1261"/>
        <w:gridCol w:w="7252"/>
      </w:tblGrid>
      <w:tr w14:paraId="3536570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51" w:hRule="atLeast"/>
          <w:jc w:val="center"/>
        </w:trPr>
        <w:tc>
          <w:tcPr>
            <w:tcW w:w="1261" w:type="dxa"/>
            <w:tcBorders>
              <w:right w:val="single" w:color="auto" w:sz="4" w:space="0"/>
            </w:tcBorders>
            <w:vAlign w:val="center"/>
          </w:tcPr>
          <w:p w14:paraId="0393A8E9">
            <w:pPr>
              <w:jc w:val="center"/>
              <w:rPr>
                <w:rFonts w:ascii="宋体" w:hAnsi="宋体"/>
                <w:spacing w:val="-2"/>
                <w:kern w:val="0"/>
                <w:sz w:val="18"/>
                <w:szCs w:val="18"/>
              </w:rPr>
            </w:pPr>
            <w:r>
              <w:rPr>
                <w:rFonts w:hint="eastAsia" w:ascii="宋体" w:hAnsi="宋体"/>
                <w:spacing w:val="-2"/>
                <w:kern w:val="0"/>
                <w:sz w:val="18"/>
                <w:szCs w:val="18"/>
              </w:rPr>
              <w:t>引物名称</w:t>
            </w:r>
          </w:p>
        </w:tc>
        <w:tc>
          <w:tcPr>
            <w:tcW w:w="7252" w:type="dxa"/>
            <w:tcBorders>
              <w:left w:val="single" w:color="auto" w:sz="4" w:space="0"/>
            </w:tcBorders>
            <w:vAlign w:val="center"/>
          </w:tcPr>
          <w:p w14:paraId="52C39BA1">
            <w:pPr>
              <w:jc w:val="center"/>
              <w:rPr>
                <w:rFonts w:ascii="宋体" w:hAnsi="宋体"/>
                <w:spacing w:val="-2"/>
                <w:kern w:val="0"/>
                <w:sz w:val="18"/>
                <w:szCs w:val="18"/>
              </w:rPr>
            </w:pPr>
            <w:r>
              <w:rPr>
                <w:rFonts w:hint="eastAsia" w:ascii="宋体" w:hAnsi="宋体"/>
                <w:spacing w:val="-2"/>
                <w:kern w:val="0"/>
                <w:sz w:val="18"/>
                <w:szCs w:val="18"/>
              </w:rPr>
              <w:t>引物序列（</w:t>
            </w:r>
            <w:r>
              <w:rPr>
                <w:rFonts w:ascii="宋体" w:hAnsi="宋体"/>
                <w:spacing w:val="-2"/>
                <w:kern w:val="0"/>
                <w:sz w:val="18"/>
                <w:szCs w:val="18"/>
              </w:rPr>
              <w:t>5’-3’</w:t>
            </w:r>
            <w:r>
              <w:rPr>
                <w:rFonts w:hint="eastAsia" w:ascii="宋体" w:hAnsi="宋体"/>
                <w:spacing w:val="-2"/>
                <w:kern w:val="0"/>
                <w:sz w:val="18"/>
                <w:szCs w:val="18"/>
              </w:rPr>
              <w:t>）</w:t>
            </w:r>
          </w:p>
        </w:tc>
      </w:tr>
      <w:tr w14:paraId="054F9F5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51" w:hRule="atLeast"/>
          <w:jc w:val="center"/>
        </w:trPr>
        <w:tc>
          <w:tcPr>
            <w:tcW w:w="1261" w:type="dxa"/>
            <w:tcBorders>
              <w:bottom w:val="single" w:color="auto" w:sz="4" w:space="0"/>
              <w:right w:val="single" w:color="auto" w:sz="4" w:space="0"/>
            </w:tcBorders>
            <w:vAlign w:val="center"/>
          </w:tcPr>
          <w:p w14:paraId="00B5F586">
            <w:pPr>
              <w:jc w:val="center"/>
              <w:rPr>
                <w:rFonts w:ascii="宋体" w:hAnsi="宋体"/>
                <w:spacing w:val="-2"/>
                <w:kern w:val="0"/>
                <w:sz w:val="18"/>
                <w:szCs w:val="18"/>
              </w:rPr>
            </w:pPr>
            <w:r>
              <w:rPr>
                <w:rFonts w:ascii="宋体" w:hAnsi="宋体"/>
                <w:spacing w:val="-2"/>
                <w:kern w:val="0"/>
                <w:sz w:val="18"/>
                <w:szCs w:val="18"/>
              </w:rPr>
              <w:t>gB_F</w:t>
            </w:r>
          </w:p>
        </w:tc>
        <w:tc>
          <w:tcPr>
            <w:tcW w:w="7252" w:type="dxa"/>
            <w:tcBorders>
              <w:left w:val="single" w:color="auto" w:sz="4" w:space="0"/>
              <w:bottom w:val="single" w:color="auto" w:sz="4" w:space="0"/>
            </w:tcBorders>
            <w:vAlign w:val="center"/>
          </w:tcPr>
          <w:p w14:paraId="5F98D5D1">
            <w:pPr>
              <w:jc w:val="center"/>
              <w:rPr>
                <w:rFonts w:ascii="宋体" w:hAnsi="宋体"/>
                <w:spacing w:val="-2"/>
                <w:kern w:val="0"/>
                <w:sz w:val="18"/>
                <w:szCs w:val="18"/>
              </w:rPr>
            </w:pPr>
            <w:r>
              <w:rPr>
                <w:rFonts w:ascii="宋体" w:hAnsi="宋体"/>
                <w:spacing w:val="-2"/>
                <w:kern w:val="0"/>
                <w:sz w:val="18"/>
                <w:szCs w:val="18"/>
              </w:rPr>
              <w:t>GGAGGAGGAGGTAGCGGTACCATGCGCCAGGGCGCCCCCGCGCGGGG</w:t>
            </w:r>
          </w:p>
        </w:tc>
      </w:tr>
      <w:tr w14:paraId="664316F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51" w:hRule="atLeast"/>
          <w:jc w:val="center"/>
        </w:trPr>
        <w:tc>
          <w:tcPr>
            <w:tcW w:w="1261" w:type="dxa"/>
            <w:tcBorders>
              <w:top w:val="single" w:color="auto" w:sz="4" w:space="0"/>
              <w:bottom w:val="single" w:color="auto" w:sz="4" w:space="0"/>
              <w:right w:val="single" w:color="auto" w:sz="4" w:space="0"/>
            </w:tcBorders>
            <w:vAlign w:val="center"/>
          </w:tcPr>
          <w:p w14:paraId="5AA0F844">
            <w:pPr>
              <w:jc w:val="center"/>
              <w:rPr>
                <w:rFonts w:ascii="宋体" w:hAnsi="宋体"/>
                <w:spacing w:val="-2"/>
                <w:kern w:val="0"/>
                <w:sz w:val="18"/>
                <w:szCs w:val="18"/>
              </w:rPr>
            </w:pPr>
            <w:r>
              <w:rPr>
                <w:rFonts w:ascii="宋体" w:hAnsi="宋体"/>
                <w:spacing w:val="-2"/>
                <w:kern w:val="0"/>
                <w:sz w:val="18"/>
                <w:szCs w:val="18"/>
              </w:rPr>
              <w:t>gB_R</w:t>
            </w:r>
          </w:p>
        </w:tc>
        <w:tc>
          <w:tcPr>
            <w:tcW w:w="7252" w:type="dxa"/>
            <w:tcBorders>
              <w:top w:val="single" w:color="auto" w:sz="4" w:space="0"/>
              <w:left w:val="single" w:color="auto" w:sz="4" w:space="0"/>
              <w:bottom w:val="single" w:color="auto" w:sz="4" w:space="0"/>
            </w:tcBorders>
            <w:vAlign w:val="center"/>
          </w:tcPr>
          <w:p w14:paraId="6C6127DC">
            <w:pPr>
              <w:jc w:val="center"/>
              <w:rPr>
                <w:rFonts w:ascii="宋体" w:hAnsi="宋体"/>
                <w:spacing w:val="-2"/>
                <w:kern w:val="0"/>
                <w:sz w:val="18"/>
                <w:szCs w:val="18"/>
              </w:rPr>
            </w:pPr>
            <w:r>
              <w:rPr>
                <w:rFonts w:ascii="宋体" w:hAnsi="宋体"/>
                <w:spacing w:val="-2"/>
                <w:kern w:val="0"/>
                <w:sz w:val="18"/>
                <w:szCs w:val="18"/>
              </w:rPr>
              <w:t>AGACTCGAGGTTAACGGTACCTCACAGGTCGTCCTCGTCGGCGTCACCG</w:t>
            </w:r>
          </w:p>
        </w:tc>
      </w:tr>
      <w:tr w14:paraId="1449944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51" w:hRule="atLeast"/>
          <w:jc w:val="center"/>
        </w:trPr>
        <w:tc>
          <w:tcPr>
            <w:tcW w:w="1261" w:type="dxa"/>
            <w:tcBorders>
              <w:top w:val="single" w:color="auto" w:sz="4" w:space="0"/>
              <w:bottom w:val="single" w:color="auto" w:sz="4" w:space="0"/>
              <w:right w:val="single" w:color="auto" w:sz="4" w:space="0"/>
            </w:tcBorders>
            <w:vAlign w:val="center"/>
          </w:tcPr>
          <w:p w14:paraId="36D5A953">
            <w:pPr>
              <w:jc w:val="center"/>
              <w:rPr>
                <w:rFonts w:ascii="宋体" w:hAnsi="宋体"/>
                <w:spacing w:val="-2"/>
                <w:kern w:val="0"/>
                <w:sz w:val="18"/>
                <w:szCs w:val="18"/>
              </w:rPr>
            </w:pPr>
            <w:r>
              <w:rPr>
                <w:rFonts w:ascii="宋体" w:hAnsi="宋体"/>
                <w:spacing w:val="-2"/>
                <w:kern w:val="0"/>
                <w:sz w:val="18"/>
                <w:szCs w:val="18"/>
              </w:rPr>
              <w:t>gD-F</w:t>
            </w:r>
          </w:p>
        </w:tc>
        <w:tc>
          <w:tcPr>
            <w:tcW w:w="7252" w:type="dxa"/>
            <w:tcBorders>
              <w:top w:val="single" w:color="auto" w:sz="4" w:space="0"/>
              <w:left w:val="single" w:color="auto" w:sz="4" w:space="0"/>
              <w:bottom w:val="single" w:color="auto" w:sz="4" w:space="0"/>
            </w:tcBorders>
            <w:vAlign w:val="center"/>
          </w:tcPr>
          <w:p w14:paraId="3DCD9E95">
            <w:pPr>
              <w:jc w:val="center"/>
              <w:rPr>
                <w:rFonts w:ascii="宋体" w:hAnsi="宋体"/>
                <w:spacing w:val="-2"/>
                <w:kern w:val="0"/>
                <w:sz w:val="18"/>
                <w:szCs w:val="18"/>
              </w:rPr>
            </w:pPr>
            <w:r>
              <w:rPr>
                <w:rFonts w:ascii="宋体" w:hAnsi="宋体"/>
                <w:spacing w:val="-2"/>
                <w:kern w:val="0"/>
                <w:sz w:val="18"/>
                <w:szCs w:val="18"/>
              </w:rPr>
              <w:t>GGAGGAGGAGGTAGCGGTACCATGGGGGGGGCTGCCGCCAGGTTGGGGGC</w:t>
            </w:r>
          </w:p>
        </w:tc>
      </w:tr>
      <w:tr w14:paraId="59D0204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0" w:type="dxa"/>
            <w:bottom w:w="0" w:type="dxa"/>
            <w:right w:w="0" w:type="dxa"/>
          </w:tblCellMar>
        </w:tblPrEx>
        <w:trPr>
          <w:trHeight w:val="551" w:hRule="atLeast"/>
          <w:jc w:val="center"/>
        </w:trPr>
        <w:tc>
          <w:tcPr>
            <w:tcW w:w="1261" w:type="dxa"/>
            <w:tcBorders>
              <w:top w:val="single" w:color="auto" w:sz="4" w:space="0"/>
              <w:right w:val="single" w:color="auto" w:sz="4" w:space="0"/>
            </w:tcBorders>
            <w:vAlign w:val="center"/>
          </w:tcPr>
          <w:p w14:paraId="65C9E23F">
            <w:pPr>
              <w:jc w:val="center"/>
              <w:rPr>
                <w:rFonts w:ascii="宋体" w:hAnsi="宋体"/>
                <w:spacing w:val="-2"/>
                <w:kern w:val="0"/>
                <w:sz w:val="18"/>
                <w:szCs w:val="18"/>
              </w:rPr>
            </w:pPr>
            <w:r>
              <w:rPr>
                <w:rFonts w:ascii="宋体" w:hAnsi="宋体"/>
                <w:spacing w:val="-2"/>
                <w:kern w:val="0"/>
                <w:sz w:val="18"/>
                <w:szCs w:val="18"/>
              </w:rPr>
              <w:t>gD-R</w:t>
            </w:r>
          </w:p>
        </w:tc>
        <w:tc>
          <w:tcPr>
            <w:tcW w:w="7252" w:type="dxa"/>
            <w:tcBorders>
              <w:top w:val="single" w:color="auto" w:sz="4" w:space="0"/>
              <w:left w:val="single" w:color="auto" w:sz="4" w:space="0"/>
            </w:tcBorders>
            <w:vAlign w:val="center"/>
          </w:tcPr>
          <w:p w14:paraId="0CF97A29">
            <w:pPr>
              <w:jc w:val="center"/>
              <w:rPr>
                <w:rFonts w:ascii="宋体" w:hAnsi="宋体"/>
                <w:spacing w:val="-2"/>
                <w:kern w:val="0"/>
                <w:sz w:val="18"/>
                <w:szCs w:val="18"/>
              </w:rPr>
            </w:pPr>
            <w:r>
              <w:rPr>
                <w:rFonts w:ascii="宋体" w:hAnsi="宋体"/>
                <w:spacing w:val="-2"/>
                <w:kern w:val="0"/>
                <w:sz w:val="18"/>
                <w:szCs w:val="18"/>
              </w:rPr>
              <w:t>AGACTCGAGGTTAACGGTACCCTAGTAAAACAAGGGCTGGTGCGAGG</w:t>
            </w:r>
          </w:p>
        </w:tc>
      </w:tr>
    </w:tbl>
    <w:p w14:paraId="207241A5">
      <w:pPr>
        <w:pStyle w:val="21"/>
      </w:pPr>
      <w:r>
        <w:rPr>
          <w:rFonts w:hint="eastAsia"/>
        </w:rPr>
        <w:t>PCR扩增溶瘤病毒基因：以抽提的溶瘤病毒基因组为模板，以gB-F、gB-R、gD-F、gD-R为引物，使用PrimeSTAR HS DNA Polymerase预混试剂盒（Takara，R040A）扩增gB、gD基因，其中gB基因片段全长约2715</w:t>
      </w:r>
      <w:r>
        <w:t> </w:t>
      </w:r>
      <w:r>
        <w:rPr>
          <w:rFonts w:hint="eastAsia"/>
        </w:rPr>
        <w:t>bp（66% GC），gD基因片段全长约1185 bp（65% GC）。PCR反应体系（50</w:t>
      </w:r>
      <w:r>
        <w:t> </w:t>
      </w:r>
      <w:r>
        <w:rPr>
          <w:rFonts w:hint="eastAsia"/>
        </w:rPr>
        <w:t>ul）如下表所示，PCR扩增条件为：98</w:t>
      </w:r>
      <w:r>
        <w:t> </w:t>
      </w:r>
      <w:r>
        <w:rPr>
          <w:rFonts w:hint="eastAsia"/>
        </w:rPr>
        <w:t>℃，5</w:t>
      </w:r>
      <w:r>
        <w:t> </w:t>
      </w:r>
      <w:r>
        <w:rPr>
          <w:rFonts w:hint="eastAsia"/>
        </w:rPr>
        <w:t>min，（98</w:t>
      </w:r>
      <w:r>
        <w:t> </w:t>
      </w:r>
      <w:r>
        <w:rPr>
          <w:rFonts w:hint="eastAsia"/>
        </w:rPr>
        <w:t>℃ 30</w:t>
      </w:r>
      <w:r>
        <w:t> </w:t>
      </w:r>
      <w:r>
        <w:rPr>
          <w:rFonts w:hint="eastAsia"/>
        </w:rPr>
        <w:t>s，60</w:t>
      </w:r>
      <w:r>
        <w:t> </w:t>
      </w:r>
      <w:r>
        <w:rPr>
          <w:rFonts w:hint="eastAsia"/>
        </w:rPr>
        <w:t>℃ 60</w:t>
      </w:r>
      <w:r>
        <w:t> </w:t>
      </w:r>
      <w:r>
        <w:rPr>
          <w:rFonts w:hint="eastAsia"/>
        </w:rPr>
        <w:t>s，72</w:t>
      </w:r>
      <w:r>
        <w:t> </w:t>
      </w:r>
      <w:r>
        <w:rPr>
          <w:rFonts w:hint="eastAsia"/>
        </w:rPr>
        <w:t>℃ 3</w:t>
      </w:r>
      <w:r>
        <w:t> </w:t>
      </w:r>
      <w:r>
        <w:rPr>
          <w:rFonts w:hint="eastAsia"/>
        </w:rPr>
        <w:t>min）循环32次，72</w:t>
      </w:r>
      <w:r>
        <w:t> </w:t>
      </w:r>
      <w:r>
        <w:rPr>
          <w:rFonts w:hint="eastAsia"/>
        </w:rPr>
        <w:t>℃延伸10</w:t>
      </w:r>
      <w:r>
        <w:t> </w:t>
      </w:r>
      <w:r>
        <w:rPr>
          <w:rFonts w:hint="eastAsia"/>
        </w:rPr>
        <w:t>min，16</w:t>
      </w:r>
      <w:r>
        <w:t> </w:t>
      </w:r>
      <w:r>
        <w:rPr>
          <w:rFonts w:hint="eastAsia"/>
        </w:rPr>
        <w:t>℃ 30</w:t>
      </w:r>
      <w:r>
        <w:t> </w:t>
      </w:r>
      <w:r>
        <w:rPr>
          <w:rFonts w:hint="eastAsia"/>
        </w:rPr>
        <w:t>min。</w:t>
      </w:r>
    </w:p>
    <w:p w14:paraId="5A4D1D39">
      <w:pPr>
        <w:pStyle w:val="21"/>
        <w:spacing w:before="156" w:beforeLines="50" w:after="156" w:afterLines="50"/>
        <w:ind w:firstLine="0" w:firstLineChars="0"/>
        <w:jc w:val="center"/>
        <w:rPr>
          <w:rFonts w:ascii="黑体" w:hAnsi="黑体" w:eastAsia="黑体"/>
          <w:szCs w:val="21"/>
        </w:rPr>
      </w:pPr>
      <w:r>
        <w:rPr>
          <w:rFonts w:hint="eastAsia" w:ascii="黑体" w:hAnsi="黑体" w:eastAsia="黑体"/>
          <w:szCs w:val="21"/>
        </w:rPr>
        <w:t>表</w:t>
      </w:r>
      <w:r>
        <w:rPr>
          <w:rFonts w:ascii="黑体" w:hAnsi="黑体" w:eastAsia="黑体"/>
          <w:szCs w:val="21"/>
        </w:rPr>
        <w:t>2  PCR</w:t>
      </w:r>
      <w:r>
        <w:rPr>
          <w:rFonts w:hint="eastAsia" w:ascii="黑体" w:hAnsi="黑体" w:eastAsia="黑体"/>
          <w:szCs w:val="21"/>
        </w:rPr>
        <w:t>扩增溶瘤病毒目的基因的反应体系</w:t>
      </w:r>
    </w:p>
    <w:tbl>
      <w:tblPr>
        <w:tblStyle w:val="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188"/>
        <w:gridCol w:w="3196"/>
      </w:tblGrid>
      <w:tr w14:paraId="1FD5A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atLeast"/>
        </w:trPr>
        <w:tc>
          <w:tcPr>
            <w:tcW w:w="3297" w:type="pct"/>
            <w:tcBorders>
              <w:top w:val="single" w:color="auto" w:sz="12" w:space="0"/>
              <w:left w:val="single" w:color="auto" w:sz="12" w:space="0"/>
              <w:bottom w:val="single" w:color="auto" w:sz="12" w:space="0"/>
            </w:tcBorders>
            <w:vAlign w:val="center"/>
          </w:tcPr>
          <w:p w14:paraId="5B66FC15">
            <w:pPr>
              <w:jc w:val="center"/>
              <w:rPr>
                <w:rFonts w:ascii="宋体" w:hAnsi="宋体"/>
                <w:spacing w:val="-2"/>
                <w:kern w:val="0"/>
                <w:sz w:val="18"/>
                <w:szCs w:val="18"/>
              </w:rPr>
            </w:pPr>
            <w:r>
              <w:rPr>
                <w:rFonts w:hint="eastAsia" w:ascii="宋体" w:hAnsi="宋体"/>
                <w:spacing w:val="-2"/>
                <w:kern w:val="0"/>
                <w:sz w:val="18"/>
                <w:szCs w:val="18"/>
              </w:rPr>
              <w:t>物料</w:t>
            </w:r>
          </w:p>
        </w:tc>
        <w:tc>
          <w:tcPr>
            <w:tcW w:w="1703" w:type="pct"/>
            <w:tcBorders>
              <w:top w:val="single" w:color="auto" w:sz="12" w:space="0"/>
              <w:bottom w:val="single" w:color="auto" w:sz="12" w:space="0"/>
              <w:right w:val="single" w:color="auto" w:sz="12" w:space="0"/>
            </w:tcBorders>
            <w:vAlign w:val="center"/>
          </w:tcPr>
          <w:p w14:paraId="18E18C72">
            <w:pPr>
              <w:jc w:val="center"/>
              <w:rPr>
                <w:rFonts w:ascii="宋体" w:hAnsi="宋体"/>
                <w:spacing w:val="-2"/>
                <w:kern w:val="0"/>
                <w:sz w:val="18"/>
                <w:szCs w:val="18"/>
              </w:rPr>
            </w:pPr>
            <w:r>
              <w:rPr>
                <w:rFonts w:hint="eastAsia" w:ascii="宋体" w:hAnsi="宋体"/>
                <w:spacing w:val="-2"/>
                <w:kern w:val="0"/>
                <w:sz w:val="18"/>
                <w:szCs w:val="18"/>
              </w:rPr>
              <w:t>用量</w:t>
            </w:r>
          </w:p>
        </w:tc>
      </w:tr>
      <w:tr w14:paraId="70BF6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rPr>
        <w:tc>
          <w:tcPr>
            <w:tcW w:w="3297" w:type="pct"/>
            <w:tcBorders>
              <w:top w:val="single" w:color="auto" w:sz="12" w:space="0"/>
              <w:left w:val="single" w:color="auto" w:sz="12" w:space="0"/>
            </w:tcBorders>
            <w:vAlign w:val="center"/>
          </w:tcPr>
          <w:p w14:paraId="62FE06AB">
            <w:pPr>
              <w:jc w:val="center"/>
              <w:rPr>
                <w:rFonts w:ascii="宋体" w:hAnsi="宋体"/>
                <w:spacing w:val="-2"/>
                <w:kern w:val="0"/>
                <w:sz w:val="18"/>
                <w:szCs w:val="18"/>
              </w:rPr>
            </w:pPr>
            <w:r>
              <w:rPr>
                <w:rFonts w:ascii="宋体" w:hAnsi="宋体"/>
                <w:spacing w:val="-2"/>
                <w:kern w:val="0"/>
                <w:sz w:val="18"/>
                <w:szCs w:val="18"/>
              </w:rPr>
              <w:t>CHn</w:t>
            </w:r>
            <w:r>
              <w:rPr>
                <w:rFonts w:hint="eastAsia" w:ascii="宋体" w:hAnsi="宋体"/>
                <w:spacing w:val="-2"/>
                <w:kern w:val="0"/>
                <w:sz w:val="18"/>
                <w:szCs w:val="18"/>
              </w:rPr>
              <w:t>（</w:t>
            </w:r>
            <w:r>
              <w:rPr>
                <w:rFonts w:ascii="宋体" w:hAnsi="宋体"/>
                <w:spacing w:val="-2"/>
                <w:kern w:val="0"/>
                <w:sz w:val="18"/>
                <w:szCs w:val="18"/>
              </w:rPr>
              <w:t>100 ng/μL</w:t>
            </w:r>
            <w:r>
              <w:rPr>
                <w:rFonts w:hint="eastAsia" w:ascii="宋体" w:hAnsi="宋体"/>
                <w:spacing w:val="-2"/>
                <w:kern w:val="0"/>
                <w:sz w:val="18"/>
                <w:szCs w:val="18"/>
              </w:rPr>
              <w:t>）</w:t>
            </w:r>
          </w:p>
        </w:tc>
        <w:tc>
          <w:tcPr>
            <w:tcW w:w="1703" w:type="pct"/>
            <w:tcBorders>
              <w:top w:val="single" w:color="auto" w:sz="12" w:space="0"/>
              <w:right w:val="single" w:color="auto" w:sz="12" w:space="0"/>
            </w:tcBorders>
            <w:vAlign w:val="center"/>
          </w:tcPr>
          <w:p w14:paraId="4652C794">
            <w:pPr>
              <w:jc w:val="center"/>
              <w:rPr>
                <w:rFonts w:ascii="宋体" w:hAnsi="宋体"/>
                <w:spacing w:val="-2"/>
                <w:kern w:val="0"/>
                <w:sz w:val="18"/>
                <w:szCs w:val="18"/>
              </w:rPr>
            </w:pPr>
            <w:r>
              <w:rPr>
                <w:rFonts w:ascii="宋体" w:hAnsi="宋体"/>
                <w:spacing w:val="-2"/>
                <w:kern w:val="0"/>
                <w:sz w:val="18"/>
                <w:szCs w:val="18"/>
              </w:rPr>
              <w:t>1 μL</w:t>
            </w:r>
          </w:p>
        </w:tc>
      </w:tr>
      <w:tr w14:paraId="42494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atLeast"/>
        </w:trPr>
        <w:tc>
          <w:tcPr>
            <w:tcW w:w="3297" w:type="pct"/>
            <w:tcBorders>
              <w:left w:val="single" w:color="auto" w:sz="12" w:space="0"/>
            </w:tcBorders>
            <w:vAlign w:val="center"/>
          </w:tcPr>
          <w:p w14:paraId="795798E1">
            <w:pPr>
              <w:jc w:val="center"/>
              <w:rPr>
                <w:rFonts w:ascii="宋体" w:hAnsi="宋体"/>
                <w:spacing w:val="-2"/>
                <w:kern w:val="0"/>
                <w:sz w:val="18"/>
                <w:szCs w:val="18"/>
              </w:rPr>
            </w:pPr>
            <w:r>
              <w:rPr>
                <w:rFonts w:ascii="宋体" w:hAnsi="宋体"/>
                <w:spacing w:val="-2"/>
                <w:kern w:val="0"/>
                <w:sz w:val="18"/>
                <w:szCs w:val="18"/>
              </w:rPr>
              <w:t>Desired-F</w:t>
            </w:r>
          </w:p>
        </w:tc>
        <w:tc>
          <w:tcPr>
            <w:tcW w:w="1703" w:type="pct"/>
            <w:tcBorders>
              <w:right w:val="single" w:color="auto" w:sz="12" w:space="0"/>
            </w:tcBorders>
            <w:vAlign w:val="center"/>
          </w:tcPr>
          <w:p w14:paraId="3090E90C">
            <w:pPr>
              <w:jc w:val="center"/>
              <w:rPr>
                <w:rFonts w:ascii="宋体" w:hAnsi="宋体"/>
                <w:spacing w:val="-2"/>
                <w:kern w:val="0"/>
                <w:sz w:val="18"/>
                <w:szCs w:val="18"/>
              </w:rPr>
            </w:pPr>
            <w:r>
              <w:rPr>
                <w:rFonts w:ascii="宋体" w:hAnsi="宋体"/>
                <w:spacing w:val="-2"/>
                <w:kern w:val="0"/>
                <w:sz w:val="18"/>
                <w:szCs w:val="18"/>
              </w:rPr>
              <w:t>1 μL</w:t>
            </w:r>
          </w:p>
        </w:tc>
      </w:tr>
      <w:tr w14:paraId="47511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trPr>
        <w:tc>
          <w:tcPr>
            <w:tcW w:w="3297" w:type="pct"/>
            <w:tcBorders>
              <w:left w:val="single" w:color="auto" w:sz="12" w:space="0"/>
            </w:tcBorders>
            <w:vAlign w:val="center"/>
          </w:tcPr>
          <w:p w14:paraId="1149B008">
            <w:pPr>
              <w:jc w:val="center"/>
              <w:rPr>
                <w:rFonts w:ascii="宋体" w:hAnsi="宋体"/>
                <w:spacing w:val="-2"/>
                <w:kern w:val="0"/>
                <w:sz w:val="18"/>
                <w:szCs w:val="18"/>
              </w:rPr>
            </w:pPr>
            <w:r>
              <w:rPr>
                <w:rFonts w:ascii="宋体" w:hAnsi="宋体"/>
                <w:spacing w:val="-2"/>
                <w:kern w:val="0"/>
                <w:sz w:val="18"/>
                <w:szCs w:val="18"/>
              </w:rPr>
              <w:t>Desired-R</w:t>
            </w:r>
          </w:p>
        </w:tc>
        <w:tc>
          <w:tcPr>
            <w:tcW w:w="1703" w:type="pct"/>
            <w:tcBorders>
              <w:right w:val="single" w:color="auto" w:sz="12" w:space="0"/>
            </w:tcBorders>
            <w:vAlign w:val="center"/>
          </w:tcPr>
          <w:p w14:paraId="52F2CA8B">
            <w:pPr>
              <w:jc w:val="center"/>
              <w:rPr>
                <w:rFonts w:ascii="宋体" w:hAnsi="宋体"/>
                <w:spacing w:val="-2"/>
                <w:kern w:val="0"/>
                <w:sz w:val="18"/>
                <w:szCs w:val="18"/>
              </w:rPr>
            </w:pPr>
            <w:r>
              <w:rPr>
                <w:rFonts w:ascii="宋体" w:hAnsi="宋体"/>
                <w:spacing w:val="-2"/>
                <w:kern w:val="0"/>
                <w:sz w:val="18"/>
                <w:szCs w:val="18"/>
              </w:rPr>
              <w:t>1 μL</w:t>
            </w:r>
          </w:p>
        </w:tc>
      </w:tr>
      <w:tr w14:paraId="22D1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trPr>
        <w:tc>
          <w:tcPr>
            <w:tcW w:w="3297" w:type="pct"/>
            <w:tcBorders>
              <w:left w:val="single" w:color="auto" w:sz="12" w:space="0"/>
            </w:tcBorders>
            <w:vAlign w:val="center"/>
          </w:tcPr>
          <w:p w14:paraId="0C6DDF19">
            <w:pPr>
              <w:jc w:val="center"/>
              <w:rPr>
                <w:rFonts w:ascii="宋体" w:hAnsi="宋体"/>
                <w:spacing w:val="-2"/>
                <w:kern w:val="0"/>
                <w:sz w:val="18"/>
                <w:szCs w:val="18"/>
              </w:rPr>
            </w:pPr>
            <w:r>
              <w:rPr>
                <w:rFonts w:ascii="宋体" w:hAnsi="宋体"/>
                <w:spacing w:val="-2"/>
                <w:kern w:val="0"/>
                <w:sz w:val="18"/>
                <w:szCs w:val="18"/>
              </w:rPr>
              <w:t>5×PrimerStar Buffer</w:t>
            </w:r>
          </w:p>
        </w:tc>
        <w:tc>
          <w:tcPr>
            <w:tcW w:w="1703" w:type="pct"/>
            <w:tcBorders>
              <w:right w:val="single" w:color="auto" w:sz="12" w:space="0"/>
            </w:tcBorders>
            <w:vAlign w:val="center"/>
          </w:tcPr>
          <w:p w14:paraId="6E147B7A">
            <w:pPr>
              <w:jc w:val="center"/>
              <w:rPr>
                <w:rFonts w:ascii="宋体" w:hAnsi="宋体"/>
                <w:spacing w:val="-2"/>
                <w:kern w:val="0"/>
                <w:sz w:val="18"/>
                <w:szCs w:val="18"/>
              </w:rPr>
            </w:pPr>
            <w:r>
              <w:rPr>
                <w:rFonts w:ascii="宋体" w:hAnsi="宋体"/>
                <w:spacing w:val="-2"/>
                <w:kern w:val="0"/>
                <w:sz w:val="18"/>
                <w:szCs w:val="18"/>
              </w:rPr>
              <w:t>10 μL</w:t>
            </w:r>
          </w:p>
        </w:tc>
      </w:tr>
      <w:tr w14:paraId="159DB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trPr>
        <w:tc>
          <w:tcPr>
            <w:tcW w:w="3297" w:type="pct"/>
            <w:tcBorders>
              <w:left w:val="single" w:color="auto" w:sz="12" w:space="0"/>
            </w:tcBorders>
            <w:vAlign w:val="center"/>
          </w:tcPr>
          <w:p w14:paraId="671B1A96">
            <w:pPr>
              <w:jc w:val="center"/>
              <w:rPr>
                <w:rFonts w:ascii="宋体" w:hAnsi="宋体"/>
                <w:spacing w:val="-2"/>
                <w:kern w:val="0"/>
                <w:sz w:val="18"/>
                <w:szCs w:val="18"/>
              </w:rPr>
            </w:pPr>
            <w:r>
              <w:rPr>
                <w:rFonts w:ascii="宋体" w:hAnsi="宋体"/>
                <w:spacing w:val="-2"/>
                <w:kern w:val="0"/>
                <w:sz w:val="18"/>
                <w:szCs w:val="18"/>
              </w:rPr>
              <w:t>10×dNTP Mixture</w:t>
            </w:r>
          </w:p>
        </w:tc>
        <w:tc>
          <w:tcPr>
            <w:tcW w:w="1703" w:type="pct"/>
            <w:tcBorders>
              <w:right w:val="single" w:color="auto" w:sz="12" w:space="0"/>
            </w:tcBorders>
            <w:vAlign w:val="center"/>
          </w:tcPr>
          <w:p w14:paraId="15D7DF49">
            <w:pPr>
              <w:jc w:val="center"/>
              <w:rPr>
                <w:rFonts w:ascii="宋体" w:hAnsi="宋体"/>
                <w:spacing w:val="-2"/>
                <w:kern w:val="0"/>
                <w:sz w:val="18"/>
                <w:szCs w:val="18"/>
              </w:rPr>
            </w:pPr>
            <w:r>
              <w:rPr>
                <w:rFonts w:ascii="宋体" w:hAnsi="宋体"/>
                <w:spacing w:val="-2"/>
                <w:kern w:val="0"/>
                <w:sz w:val="18"/>
                <w:szCs w:val="18"/>
              </w:rPr>
              <w:t>5 μL</w:t>
            </w:r>
          </w:p>
        </w:tc>
      </w:tr>
      <w:tr w14:paraId="52A19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trPr>
        <w:tc>
          <w:tcPr>
            <w:tcW w:w="3297" w:type="pct"/>
            <w:tcBorders>
              <w:left w:val="single" w:color="auto" w:sz="12" w:space="0"/>
            </w:tcBorders>
            <w:vAlign w:val="center"/>
          </w:tcPr>
          <w:p w14:paraId="5DAEC434">
            <w:pPr>
              <w:jc w:val="center"/>
              <w:rPr>
                <w:rFonts w:ascii="宋体" w:hAnsi="宋体"/>
                <w:spacing w:val="-2"/>
                <w:kern w:val="0"/>
                <w:sz w:val="18"/>
                <w:szCs w:val="18"/>
              </w:rPr>
            </w:pPr>
            <w:r>
              <w:rPr>
                <w:rFonts w:ascii="宋体" w:hAnsi="宋体"/>
                <w:spacing w:val="-2"/>
                <w:kern w:val="0"/>
                <w:sz w:val="18"/>
                <w:szCs w:val="18"/>
              </w:rPr>
              <w:t>PrimeSTAR HS DNA Polymerase</w:t>
            </w:r>
          </w:p>
        </w:tc>
        <w:tc>
          <w:tcPr>
            <w:tcW w:w="1703" w:type="pct"/>
            <w:tcBorders>
              <w:right w:val="single" w:color="auto" w:sz="12" w:space="0"/>
            </w:tcBorders>
            <w:vAlign w:val="center"/>
          </w:tcPr>
          <w:p w14:paraId="14A9D6C9">
            <w:pPr>
              <w:jc w:val="center"/>
              <w:rPr>
                <w:rFonts w:ascii="宋体" w:hAnsi="宋体"/>
                <w:spacing w:val="-2"/>
                <w:kern w:val="0"/>
                <w:sz w:val="18"/>
                <w:szCs w:val="18"/>
              </w:rPr>
            </w:pPr>
            <w:r>
              <w:rPr>
                <w:rFonts w:ascii="宋体" w:hAnsi="宋体"/>
                <w:spacing w:val="-2"/>
                <w:kern w:val="0"/>
                <w:sz w:val="18"/>
                <w:szCs w:val="18"/>
              </w:rPr>
              <w:t>1 μL</w:t>
            </w:r>
          </w:p>
        </w:tc>
      </w:tr>
      <w:tr w14:paraId="25BB9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3297" w:type="pct"/>
            <w:tcBorders>
              <w:left w:val="single" w:color="auto" w:sz="12" w:space="0"/>
              <w:bottom w:val="single" w:color="auto" w:sz="12" w:space="0"/>
            </w:tcBorders>
            <w:vAlign w:val="center"/>
          </w:tcPr>
          <w:p w14:paraId="1B90058B">
            <w:pPr>
              <w:jc w:val="center"/>
              <w:rPr>
                <w:rFonts w:ascii="宋体" w:hAnsi="宋体"/>
                <w:spacing w:val="-2"/>
                <w:kern w:val="0"/>
                <w:sz w:val="18"/>
                <w:szCs w:val="18"/>
              </w:rPr>
            </w:pPr>
            <w:r>
              <w:rPr>
                <w:rFonts w:ascii="宋体" w:hAnsi="宋体"/>
                <w:spacing w:val="-2"/>
                <w:kern w:val="0"/>
                <w:sz w:val="18"/>
                <w:szCs w:val="18"/>
              </w:rPr>
              <w:t>ddH2O</w:t>
            </w:r>
          </w:p>
        </w:tc>
        <w:tc>
          <w:tcPr>
            <w:tcW w:w="1703" w:type="pct"/>
            <w:tcBorders>
              <w:bottom w:val="single" w:color="auto" w:sz="12" w:space="0"/>
              <w:right w:val="single" w:color="auto" w:sz="12" w:space="0"/>
            </w:tcBorders>
            <w:vAlign w:val="center"/>
          </w:tcPr>
          <w:p w14:paraId="7F3169FA">
            <w:pPr>
              <w:jc w:val="center"/>
              <w:rPr>
                <w:rFonts w:ascii="宋体" w:hAnsi="宋体"/>
                <w:spacing w:val="-2"/>
                <w:kern w:val="0"/>
                <w:sz w:val="18"/>
                <w:szCs w:val="18"/>
              </w:rPr>
            </w:pPr>
            <w:r>
              <w:rPr>
                <w:rFonts w:ascii="宋体" w:hAnsi="宋体"/>
                <w:spacing w:val="-2"/>
                <w:kern w:val="0"/>
                <w:sz w:val="18"/>
                <w:szCs w:val="18"/>
              </w:rPr>
              <w:t>31 μL</w:t>
            </w:r>
          </w:p>
        </w:tc>
      </w:tr>
    </w:tbl>
    <w:p w14:paraId="297A22A3">
      <w:pPr>
        <w:pStyle w:val="21"/>
      </w:pPr>
      <w:r>
        <w:rPr>
          <w:rFonts w:hint="eastAsia"/>
        </w:rPr>
        <w:t>结果分析：如图4，以抽提的溶瘤病毒基因组为模板，PCR扩增溶瘤病毒gB、gD基因，电泳结果图中可以看出gB基因接近3</w:t>
      </w:r>
      <w:r>
        <w:t> </w:t>
      </w:r>
      <w:r>
        <w:rPr>
          <w:rFonts w:hint="eastAsia"/>
        </w:rPr>
        <w:t>kb marker条带（全长2715</w:t>
      </w:r>
      <w:r>
        <w:t> </w:t>
      </w:r>
      <w:r>
        <w:rPr>
          <w:rFonts w:hint="eastAsia"/>
        </w:rPr>
        <w:t>bp），gD基因条带＞1</w:t>
      </w:r>
      <w:r>
        <w:t> </w:t>
      </w:r>
      <w:r>
        <w:rPr>
          <w:rFonts w:hint="eastAsia"/>
        </w:rPr>
        <w:t>kb（1185</w:t>
      </w:r>
      <w:r>
        <w:t> </w:t>
      </w:r>
      <w:r>
        <w:rPr>
          <w:rFonts w:hint="eastAsia"/>
        </w:rPr>
        <w:t>bp），大小正确。切胶回收基因条带进行测序，和HSV1型病毒基因完全一致，说明生产的溶瘤疱疹病毒关键基因未发生突变，保障了药物安全性。</w:t>
      </w:r>
    </w:p>
    <w:p w14:paraId="4D8F7E5D">
      <w:pPr>
        <w:pStyle w:val="45"/>
        <w:numPr>
          <w:ilvl w:val="0"/>
          <w:numId w:val="0"/>
        </w:numPr>
        <w:jc w:val="center"/>
      </w:pPr>
      <w:r>
        <w:drawing>
          <wp:inline distT="0" distB="0" distL="0" distR="0">
            <wp:extent cx="2381250" cy="3092450"/>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noChangeArrowheads="1"/>
                    </pic:cNvPicPr>
                  </pic:nvPicPr>
                  <pic:blipFill>
                    <a:blip r:embed="rId13">
                      <a:extLst>
                        <a:ext uri="{28A0092B-C50C-407E-A947-70E740481C1C}">
                          <a14:useLocalDpi xmlns:a14="http://schemas.microsoft.com/office/drawing/2010/main" val="0"/>
                        </a:ext>
                      </a:extLst>
                    </a:blip>
                    <a:srcRect t="11452"/>
                    <a:stretch>
                      <a:fillRect/>
                    </a:stretch>
                  </pic:blipFill>
                  <pic:spPr>
                    <a:xfrm>
                      <a:off x="0" y="0"/>
                      <a:ext cx="2381250" cy="3092450"/>
                    </a:xfrm>
                    <a:prstGeom prst="rect">
                      <a:avLst/>
                    </a:prstGeom>
                    <a:noFill/>
                    <a:ln>
                      <a:noFill/>
                    </a:ln>
                    <a:effectLst/>
                  </pic:spPr>
                </pic:pic>
              </a:graphicData>
            </a:graphic>
          </wp:inline>
        </w:drawing>
      </w:r>
    </w:p>
    <w:p w14:paraId="14EF83A3">
      <w:pPr>
        <w:pStyle w:val="21"/>
        <w:spacing w:before="156" w:beforeLines="50" w:after="156" w:afterLines="50"/>
        <w:ind w:firstLine="0" w:firstLineChars="0"/>
        <w:jc w:val="center"/>
        <w:rPr>
          <w:rFonts w:ascii="黑体" w:hAnsi="黑体" w:eastAsia="黑体"/>
        </w:rPr>
      </w:pPr>
      <w:r>
        <w:rPr>
          <w:rFonts w:hint="eastAsia" w:ascii="黑体" w:hAnsi="黑体" w:eastAsia="黑体"/>
        </w:rPr>
        <w:t>图4</w:t>
      </w:r>
      <w:r>
        <w:rPr>
          <w:rFonts w:ascii="黑体" w:hAnsi="黑体" w:eastAsia="黑体"/>
        </w:rPr>
        <w:t xml:space="preserve">  </w:t>
      </w:r>
      <w:r>
        <w:rPr>
          <w:rFonts w:hint="eastAsia" w:ascii="黑体" w:hAnsi="黑体" w:eastAsia="黑体"/>
        </w:rPr>
        <w:t>溶瘤疱疹病毒基因组关键基因鉴定</w:t>
      </w:r>
    </w:p>
    <w:p w14:paraId="4399D37D">
      <w:pPr>
        <w:pStyle w:val="45"/>
        <w:numPr>
          <w:ilvl w:val="0"/>
          <w:numId w:val="0"/>
        </w:numPr>
      </w:pPr>
      <w:r>
        <w:rPr>
          <w:rFonts w:hint="eastAsia"/>
        </w:rPr>
        <w:t>10  安全性评价</w:t>
      </w:r>
      <w:r>
        <w:rPr>
          <w:rFonts w:ascii="Times New Roman" w:eastAsia="宋体"/>
          <w:spacing w:val="-2"/>
          <w:szCs w:val="21"/>
        </w:rPr>
        <w:t>-</w:t>
      </w:r>
      <w:r>
        <w:rPr>
          <w:rFonts w:hint="eastAsia"/>
        </w:rPr>
        <w:t>耐药性评估</w:t>
      </w:r>
    </w:p>
    <w:p w14:paraId="7F5342FD">
      <w:pPr>
        <w:pStyle w:val="21"/>
      </w:pPr>
      <w:r>
        <w:t>阿昔洛韦是一种合成的</w:t>
      </w:r>
      <w:r>
        <w:rPr>
          <w:rFonts w:hint="eastAsia"/>
        </w:rPr>
        <w:t>核苷</w:t>
      </w:r>
      <w:r>
        <w:t>类似物，化学式为C</w:t>
      </w:r>
      <w:r>
        <w:rPr>
          <w:vertAlign w:val="subscript"/>
        </w:rPr>
        <w:t>8</w:t>
      </w:r>
      <w:r>
        <w:t>H</w:t>
      </w:r>
      <w:r>
        <w:rPr>
          <w:vertAlign w:val="subscript"/>
        </w:rPr>
        <w:t>11</w:t>
      </w:r>
      <w:r>
        <w:t>N</w:t>
      </w:r>
      <w:r>
        <w:rPr>
          <w:vertAlign w:val="subscript"/>
        </w:rPr>
        <w:t>5</w:t>
      </w:r>
      <w:r>
        <w:rPr>
          <w:rFonts w:hint="eastAsia"/>
        </w:rPr>
        <w:t>O</w:t>
      </w:r>
      <w:r>
        <w:rPr>
          <w:vertAlign w:val="subscript"/>
        </w:rPr>
        <w:t>3</w:t>
      </w:r>
      <w:r>
        <w:t>，主要用于单纯疱疹病毒所致的各种感染，可用于初发或复发性皮肤、粘膜，外生殖器感染及免疫缺陷者发生的HSV感染，是治疗HSV脑炎的首选药物</w:t>
      </w:r>
      <w:r>
        <w:rPr>
          <w:rFonts w:hint="eastAsia"/>
        </w:rPr>
        <w:t>。基于HSV构建的oHSV溶瘤病毒同样对阿昔洛韦敏感，可用于溶瘤病毒治疗的终止特效药物，产生耐药性的溶瘤疱疹病毒不能作为临床药物，因此进行溶瘤疱疹病毒耐药性分析具有重要意义。</w:t>
      </w:r>
    </w:p>
    <w:p w14:paraId="383DE949">
      <w:pPr>
        <w:pStyle w:val="21"/>
        <w:jc w:val="left"/>
      </w:pPr>
      <w:r>
        <w:rPr>
          <w:rFonts w:hint="eastAsia"/>
        </w:rPr>
        <w:t>实验方法：oHSV溶瘤病毒感染Vero细胞后培养基中添加</w:t>
      </w:r>
      <w:r>
        <w:rPr>
          <w:rFonts w:hint="eastAsia" w:hAnsi="宋体"/>
        </w:rPr>
        <w:t>1</w:t>
      </w:r>
      <w:r>
        <w:rPr>
          <w:rFonts w:hint="eastAsia" w:ascii="MS Mincho" w:hAnsi="MS Mincho" w:eastAsia="MS Mincho" w:cs="MS Mincho"/>
        </w:rPr>
        <w:t> </w:t>
      </w:r>
      <w:r>
        <w:rPr>
          <w:rFonts w:hint="eastAsia" w:hAnsi="宋体"/>
        </w:rPr>
        <w:t>µg/mL</w:t>
      </w:r>
      <w:r>
        <w:rPr>
          <w:rFonts w:hint="eastAsia"/>
        </w:rPr>
        <w:t>的阿昔洛韦，对照组不添加阿昔洛韦，逐天观察细胞感染状态。结果分析：对照组细胞培养基未添加阿昔洛韦，溶瘤病毒感染细胞增殖引起细胞发生病变、细胞变圆直至死亡；而添加阿昔洛韦的Vero细胞，oHSV溶瘤病毒不能在其内增殖复制，因此细胞状态正常，说明oHSV溶瘤病毒对阿昔洛韦敏感，是安全的治疗药物。</w:t>
      </w:r>
    </w:p>
    <w:p w14:paraId="7809FA1F">
      <w:pPr>
        <w:spacing w:before="240" w:after="120"/>
        <w:jc w:val="left"/>
        <w:outlineLvl w:val="2"/>
        <w:rPr>
          <w:rFonts w:ascii="黑体" w:eastAsia="黑体"/>
          <w:kern w:val="0"/>
          <w:szCs w:val="20"/>
        </w:rPr>
      </w:pPr>
      <w:r>
        <w:rPr>
          <w:rFonts w:hint="eastAsia" w:ascii="黑体" w:eastAsia="黑体"/>
          <w:kern w:val="0"/>
          <w:szCs w:val="20"/>
        </w:rPr>
        <w:t>1</w:t>
      </w:r>
      <w:r>
        <w:rPr>
          <w:rFonts w:hint="eastAsia" w:ascii="黑体" w:eastAsia="黑体"/>
          <w:kern w:val="0"/>
          <w:szCs w:val="20"/>
          <w:lang w:val="en-US" w:eastAsia="zh-CN"/>
        </w:rPr>
        <w:t>1</w:t>
      </w:r>
      <w:r>
        <w:rPr>
          <w:rFonts w:hint="eastAsia" w:ascii="黑体" w:eastAsia="黑体"/>
          <w:kern w:val="0"/>
          <w:szCs w:val="20"/>
        </w:rPr>
        <w:t xml:space="preserve">  安全性评价-致病毒性脑炎风险</w:t>
      </w:r>
      <w:r>
        <w:rPr>
          <w:rFonts w:hint="eastAsia" w:ascii="黑体" w:eastAsia="黑体"/>
          <w:kern w:val="0"/>
          <w:szCs w:val="20"/>
          <w:lang w:val="en-US" w:eastAsia="zh-CN"/>
        </w:rPr>
        <w:t>分析</w:t>
      </w:r>
    </w:p>
    <w:p w14:paraId="407E7450">
      <w:pPr>
        <w:pStyle w:val="21"/>
        <w:rPr>
          <w:rFonts w:ascii="Times New Roman"/>
          <w:bCs/>
          <w:kern w:val="2"/>
        </w:rPr>
      </w:pPr>
      <w:r>
        <w:rPr>
          <w:rFonts w:hint="eastAsia"/>
        </w:rPr>
        <w:t>单纯疱疹病毒属于嗜神经病毒，感染致病毒性脑炎是潜在风险，因此溶瘤疱疹病毒产品安全性评价可检测排除致病毒性脑炎的风险。检测方法步骤：将制备的溶瘤疱疹病毒经颅内注射约2×10</w:t>
      </w:r>
      <w:r>
        <w:rPr>
          <w:rFonts w:hint="eastAsia"/>
          <w:vertAlign w:val="superscript"/>
        </w:rPr>
        <w:t>6</w:t>
      </w:r>
      <w:r>
        <w:t> </w:t>
      </w:r>
      <w:r>
        <w:rPr>
          <w:rFonts w:hint="eastAsia"/>
        </w:rPr>
        <w:t>PFU病毒感染小鼠大脑脑区，观察小鼠状态。若小鼠一直状态良好，2周后灌流小鼠、取脑组织切片观察，若只在注射脑区和病毒经末梢吸收的脑区检测到病毒信号，无明显炎症反应和病毒增殖传播的信号，基本表明溶瘤疱疹病毒具有良好安全性，在健康小鼠大脑中枢不会增殖传播，不会引起脑炎，验证溶瘤疱疹病毒感染机体正常组织如神经元细胞等为复制缺陷型，不会增殖传播对动物产生毒害风险。</w:t>
      </w:r>
    </w:p>
    <w:p w14:paraId="3A2B5549">
      <w:pPr>
        <w:pStyle w:val="45"/>
        <w:numPr>
          <w:ilvl w:val="0"/>
          <w:numId w:val="0"/>
        </w:numPr>
        <w:rPr>
          <w:rFonts w:eastAsia="宋体"/>
        </w:rPr>
      </w:pPr>
      <w:r>
        <w:rPr>
          <w:rFonts w:hint="eastAsia"/>
        </w:rPr>
        <w:t>1</w:t>
      </w:r>
      <w:r>
        <w:rPr>
          <w:rFonts w:hint="eastAsia"/>
          <w:lang w:val="en-US" w:eastAsia="zh-CN"/>
        </w:rPr>
        <w:t>2</w:t>
      </w:r>
      <w:r>
        <w:rPr>
          <w:rFonts w:hint="eastAsia"/>
        </w:rPr>
        <w:t xml:space="preserve">  体外溶杀肿瘤细胞效力分析</w:t>
      </w:r>
    </w:p>
    <w:p w14:paraId="2B739B1A">
      <w:pPr>
        <w:pStyle w:val="21"/>
      </w:pPr>
      <w:r>
        <w:rPr>
          <w:rFonts w:hint="eastAsia"/>
        </w:rPr>
        <w:t>溶瘤病毒溶瘤效力体外检测选择培养多种肿瘤细胞，利用溶瘤病毒感染癌细胞检测oHSV的</w:t>
      </w:r>
      <w:r>
        <w:t>感染</w:t>
      </w:r>
      <w:r>
        <w:rPr>
          <w:rFonts w:hint="eastAsia"/>
        </w:rPr>
        <w:t>和溶瘤效力，</w:t>
      </w:r>
      <w:r>
        <w:t>以确定其靶向性</w:t>
      </w:r>
      <w:r>
        <w:rPr>
          <w:rFonts w:hint="eastAsia"/>
        </w:rPr>
        <w:t>、</w:t>
      </w:r>
      <w:r>
        <w:t>选择性</w:t>
      </w:r>
      <w:r>
        <w:rPr>
          <w:rFonts w:hint="eastAsia"/>
        </w:rPr>
        <w:t>和溶瘤效率</w:t>
      </w:r>
      <w:r>
        <w:t>。</w:t>
      </w:r>
      <w:r>
        <w:rPr>
          <w:rFonts w:hint="eastAsia"/>
        </w:rPr>
        <w:t>利用培养板培养人</w:t>
      </w:r>
      <w:r>
        <w:t>胶质母细胞瘤</w:t>
      </w:r>
      <w:r>
        <w:rPr>
          <w:rFonts w:hint="eastAsia"/>
        </w:rPr>
        <w:t>细胞U87MG，</w:t>
      </w:r>
      <w:r>
        <w:t>将</w:t>
      </w:r>
      <w:r>
        <w:rPr>
          <w:rFonts w:hint="eastAsia"/>
        </w:rPr>
        <w:t>溶瘤</w:t>
      </w:r>
      <w:r>
        <w:t>病毒以MOI=1接种感染生长至约90%以上</w:t>
      </w:r>
      <w:r>
        <w:rPr>
          <w:rFonts w:hint="eastAsia"/>
        </w:rPr>
        <w:t>汇</w:t>
      </w:r>
      <w:r>
        <w:t>合度的</w:t>
      </w:r>
      <w:r>
        <w:rPr>
          <w:rFonts w:hint="eastAsia"/>
        </w:rPr>
        <w:t>肿瘤</w:t>
      </w:r>
      <w:r>
        <w:t>细胞</w:t>
      </w:r>
      <w:r>
        <w:rPr>
          <w:rFonts w:hint="eastAsia"/>
        </w:rPr>
        <w:t>。具体的将溶瘤病毒加到少量含2% FBS的培养基（以刚好没过细胞为宜，6孔板加200</w:t>
      </w:r>
      <w:r>
        <w:t> μL</w:t>
      </w:r>
      <w:r>
        <w:rPr>
          <w:rFonts w:hint="eastAsia"/>
        </w:rPr>
        <w:t>）后混匀感染肿瘤细胞，吸附1.5～2小时后补足培养基。病毒接种感染细胞后放置于35</w:t>
      </w:r>
      <w:r>
        <w:t> </w:t>
      </w:r>
      <w:r>
        <w:rPr>
          <w:rFonts w:hint="eastAsia"/>
        </w:rPr>
        <w:t>℃、5% CO</w:t>
      </w:r>
      <w:r>
        <w:rPr>
          <w:rFonts w:hint="eastAsia"/>
          <w:vertAlign w:val="subscript"/>
        </w:rPr>
        <w:t>2</w:t>
      </w:r>
      <w:r>
        <w:rPr>
          <w:rFonts w:hint="eastAsia"/>
        </w:rPr>
        <w:t>的恒温培养箱培养。每天在显微镜下观察细胞出现明显细胞病变直至死亡的情况。</w:t>
      </w:r>
    </w:p>
    <w:p w14:paraId="0D11F629">
      <w:pPr>
        <w:pStyle w:val="21"/>
      </w:pPr>
      <w:r>
        <w:rPr>
          <w:rFonts w:hint="eastAsia"/>
        </w:rPr>
        <w:t>结果分析：溶瘤疱疹病毒感染两类肿瘤细胞后的第2天就能观测到肿瘤细胞发生变圆病变，到第7天肿瘤细胞全部变圆，大部分已裂解凋亡，说明溶瘤疱疹病毒具有良好的感染和裂杀肿瘤细胞效力（图5）。</w:t>
      </w:r>
    </w:p>
    <w:p w14:paraId="051D41D7">
      <w:pPr>
        <w:pStyle w:val="28"/>
        <w:widowControl/>
        <w:jc w:val="center"/>
      </w:pPr>
      <w:r>
        <w:fldChar w:fldCharType="begin"/>
      </w:r>
      <w:r>
        <w:instrText xml:space="preserve">INCLUDEPICTURE \d "D:\\王华东\\VIP 2024年度\\紧急事务\\团标撰写\\张金\\oHSV溶杀U87癌细胞.jpg" \* MERGEFORMATINET </w:instrText>
      </w:r>
      <w:r>
        <w:fldChar w:fldCharType="separate"/>
      </w:r>
      <w:r>
        <w:fldChar w:fldCharType="begin"/>
      </w:r>
      <w:r>
        <w:instrText xml:space="preserve"> </w:instrText>
      </w:r>
      <w:r>
        <w:rPr>
          <w:rFonts w:hint="eastAsia"/>
        </w:rPr>
        <w:instrText xml:space="preserve">INCLUDEPICTURE  "D:\\王华东\\VIP 2024年度\\紧急事务\\团标撰写\\张金\\oHSV溶杀U87癌细胞.jpg" \* MERGEFORMATINET</w:instrText>
      </w:r>
      <w:r>
        <w:instrText xml:space="preserve"> </w:instrText>
      </w:r>
      <w:r>
        <w:fldChar w:fldCharType="separate"/>
      </w:r>
      <w:r>
        <w:fldChar w:fldCharType="begin"/>
      </w:r>
      <w:r>
        <w:instrText xml:space="preserve"> </w:instrText>
      </w:r>
      <w:r>
        <w:rPr>
          <w:rFonts w:hint="eastAsia"/>
        </w:rPr>
        <w:instrText xml:space="preserve">INCLUDEPICTURE  "D:\\王华东\\VIP%202024年度\\紧急事务\\团标撰写\\张金\\oHSV溶杀U87癌细胞.jpg" \* MERGEFORMATINET</w:instrText>
      </w:r>
      <w:r>
        <w:instrText xml:space="preserve"> </w:instrText>
      </w:r>
      <w:r>
        <w:fldChar w:fldCharType="separate"/>
      </w:r>
      <w:r>
        <w:fldChar w:fldCharType="begin"/>
      </w:r>
      <w:r>
        <w:instrText xml:space="preserve"> </w:instrText>
      </w:r>
      <w:r>
        <w:rPr>
          <w:rFonts w:hint="eastAsia"/>
        </w:rPr>
        <w:instrText xml:space="preserve">INCLUDEPICTURE  "D:\\王华东\\VIP%25252525202024年度\\紧急事务\\团标撰写\\张金\\oHSV溶杀U87癌细胞.jpg" \* MERGEFORMATINET</w:instrText>
      </w:r>
      <w:r>
        <w:instrText xml:space="preserve"> </w:instrText>
      </w:r>
      <w:r>
        <w:fldChar w:fldCharType="separate"/>
      </w:r>
      <w:r>
        <w:pict>
          <v:shape id="_x0000_i1025" o:spt="75" alt="IMG_256" type="#_x0000_t75" style="height:215.45pt;width:425.9pt;" filled="f" o:preferrelative="t" stroked="f" coordsize="21600,21600">
            <v:path/>
            <v:fill on="f" focussize="0,0"/>
            <v:stroke on="f" joinstyle="miter"/>
            <v:imagedata r:id="rId14" r:href="rId15" o:title=""/>
            <o:lock v:ext="edit" aspectratio="t"/>
            <w10:wrap type="none"/>
            <w10:anchorlock/>
          </v:shape>
        </w:pict>
      </w:r>
      <w:r>
        <w:fldChar w:fldCharType="end"/>
      </w:r>
      <w:r>
        <w:fldChar w:fldCharType="end"/>
      </w:r>
      <w:r>
        <w:fldChar w:fldCharType="end"/>
      </w:r>
      <w:r>
        <w:fldChar w:fldCharType="end"/>
      </w:r>
    </w:p>
    <w:p w14:paraId="4E737865">
      <w:pPr>
        <w:pStyle w:val="21"/>
        <w:spacing w:before="156" w:beforeLines="50" w:after="156" w:afterLines="50"/>
        <w:ind w:firstLine="0" w:firstLineChars="0"/>
        <w:jc w:val="center"/>
        <w:rPr>
          <w:rFonts w:ascii="黑体" w:hAnsi="黑体" w:eastAsia="黑体"/>
          <w:bCs/>
          <w:kern w:val="2"/>
        </w:rPr>
      </w:pPr>
      <w:r>
        <w:rPr>
          <w:rFonts w:hint="eastAsia" w:ascii="黑体" w:hAnsi="黑体" w:eastAsia="黑体"/>
          <w:bCs/>
          <w:kern w:val="2"/>
        </w:rPr>
        <w:t>图5</w:t>
      </w:r>
      <w:r>
        <w:rPr>
          <w:rFonts w:ascii="黑体" w:hAnsi="黑体" w:eastAsia="黑体"/>
          <w:bCs/>
          <w:kern w:val="2"/>
        </w:rPr>
        <w:t xml:space="preserve">  oHSV</w:t>
      </w:r>
      <w:r>
        <w:rPr>
          <w:rFonts w:hint="eastAsia" w:ascii="黑体" w:hAnsi="黑体" w:eastAsia="黑体"/>
          <w:bCs/>
          <w:kern w:val="2"/>
        </w:rPr>
        <w:t>溶杀</w:t>
      </w:r>
      <w:r>
        <w:rPr>
          <w:rFonts w:ascii="黑体" w:hAnsi="黑体" w:eastAsia="黑体"/>
          <w:bCs/>
          <w:kern w:val="2"/>
        </w:rPr>
        <w:t>U87-MG</w:t>
      </w:r>
      <w:r>
        <w:rPr>
          <w:rFonts w:hint="eastAsia" w:ascii="黑体" w:hAnsi="黑体" w:eastAsia="黑体"/>
          <w:bCs/>
          <w:kern w:val="2"/>
        </w:rPr>
        <w:t>胶质母细胞瘤细胞</w:t>
      </w:r>
    </w:p>
    <w:p w14:paraId="678EA2B6">
      <w:pPr>
        <w:spacing w:before="312" w:beforeLines="100" w:after="312" w:afterLines="100"/>
        <w:jc w:val="left"/>
        <w:outlineLvl w:val="2"/>
        <w:rPr>
          <w:rFonts w:ascii="黑体" w:eastAsia="黑体"/>
          <w:kern w:val="0"/>
          <w:szCs w:val="20"/>
        </w:rPr>
      </w:pPr>
      <w:r>
        <w:rPr>
          <w:rFonts w:hint="eastAsia" w:ascii="黑体" w:eastAsia="黑体"/>
          <w:kern w:val="0"/>
          <w:szCs w:val="20"/>
        </w:rPr>
        <w:t xml:space="preserve">13  </w:t>
      </w:r>
      <w:r>
        <w:rPr>
          <w:rFonts w:hint="eastAsia" w:ascii="黑体" w:eastAsia="黑体"/>
          <w:kern w:val="0"/>
          <w:szCs w:val="20"/>
          <w:lang w:val="en-US" w:eastAsia="zh-CN"/>
        </w:rPr>
        <w:t>动物实验药效</w:t>
      </w:r>
      <w:r>
        <w:rPr>
          <w:rFonts w:hint="eastAsia" w:ascii="黑体" w:eastAsia="黑体"/>
          <w:kern w:val="0"/>
          <w:szCs w:val="20"/>
        </w:rPr>
        <w:t>评价</w:t>
      </w:r>
    </w:p>
    <w:p w14:paraId="66050BA3">
      <w:pPr>
        <w:pStyle w:val="21"/>
      </w:pPr>
      <w:bookmarkStart w:id="23" w:name="_Hlk130667642"/>
      <w:r>
        <w:rPr>
          <w:rFonts w:hint="eastAsia"/>
        </w:rPr>
        <w:t>溶瘤疱疹病毒产品在体给药的安全性和有效性评价是溶瘤病毒药效评估的重要内容，临床前评价一般是在荷瘤小鼠模型上开展。本章概括了荷瘤小鼠造模和溶瘤病毒产品给药、药效分析的基本方法步骤。</w:t>
      </w:r>
    </w:p>
    <w:p w14:paraId="6A9C5F27">
      <w:pPr>
        <w:pStyle w:val="21"/>
      </w:pPr>
      <w:r>
        <w:rPr>
          <w:rFonts w:hint="eastAsia"/>
        </w:rPr>
        <w:t>小鼠活体实验程序需按照动物护理与使用委员会制定的指南进行，所有程序均需获得动物护理与使用委员会批准。</w:t>
      </w:r>
      <w:r>
        <w:rPr>
          <w:rFonts w:hint="eastAsia"/>
        </w:rPr>
        <mc:AlternateContent>
          <mc:Choice Requires="wps">
            <w:drawing>
              <wp:anchor distT="17780" distB="0" distL="137795" distR="114300" simplePos="0" relativeHeight="251666432" behindDoc="0" locked="0" layoutInCell="1" allowOverlap="1">
                <wp:simplePos x="0" y="0"/>
                <wp:positionH relativeFrom="column">
                  <wp:posOffset>6882765</wp:posOffset>
                </wp:positionH>
                <wp:positionV relativeFrom="paragraph">
                  <wp:posOffset>2369185</wp:posOffset>
                </wp:positionV>
                <wp:extent cx="1270" cy="1270"/>
                <wp:effectExtent l="38100" t="38100" r="36830" b="36830"/>
                <wp:wrapNone/>
                <wp:docPr id="1096085429" name="墨迹 1096085429"/>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6">
                          <w14:nvContentPartPr>
                            <w14:cNvPr id="1096085429" name="墨迹 1096085429"/>
                            <w14:cNvContentPartPr>
                              <a14:cpLocks xmlns:a14="http://schemas.microsoft.com/office/drawing/2010/main" noChangeAspect="1"/>
                            </w14:cNvContentPartPr>
                          </w14:nvContentPartPr>
                          <w14:xfrm>
                            <a:off x="0" y="0"/>
                            <a:ext cx="1270" cy="1270"/>
                          </w14:xfrm>
                        </w14:contentPart>
                      </mc:Choice>
                    </mc:AlternateContent>
                  </a:graphicData>
                </a:graphic>
              </wp:anchor>
            </w:drawing>
          </mc:Choice>
          <mc:Fallback>
            <w:pict>
              <v:shape id="_x0000_s1026" o:spid="_x0000_s1026" o:spt="75" style="position:absolute;left:0pt;margin-left:541.95pt;margin-top:186.55pt;height:0.1pt;width:0.1pt;z-index:251666432;mso-width-relative:page;mso-height-relative:page;" coordsize="21600,21600" o:gfxdata="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&#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">
                <v:imagedata r:id="rId17" o:title=""/>
                <o:lock v:ext="edit"/>
              </v:shape>
            </w:pict>
          </mc:Fallback>
        </mc:AlternateContent>
      </w:r>
      <w:r>
        <w:rPr>
          <w:rFonts w:hint="eastAsia"/>
        </w:rPr>
        <w:t>在体药效研究一般使用8周～10周龄BALB/c裸鼠等，对应小鼠被随机分配到预定样本量的组。动物饲养环境为12</w:t>
      </w:r>
      <w:r>
        <w:t> </w:t>
      </w:r>
      <w:r>
        <w:rPr>
          <w:rFonts w:hint="eastAsia"/>
        </w:rPr>
        <w:t>h/12</w:t>
      </w:r>
      <w:r>
        <w:t> </w:t>
      </w:r>
      <w:r>
        <w:rPr>
          <w:rFonts w:hint="eastAsia"/>
        </w:rPr>
        <w:t>h明暗交替、室温控制在22</w:t>
      </w:r>
      <w:r>
        <w:t> </w:t>
      </w:r>
      <w:r>
        <w:rPr>
          <w:rFonts w:hint="eastAsia"/>
        </w:rPr>
        <w:t>℃±2</w:t>
      </w:r>
      <w:r>
        <w:t> </w:t>
      </w:r>
      <w:r>
        <w:rPr>
          <w:rFonts w:hint="eastAsia"/>
        </w:rPr>
        <w:t>℃、50%～70%相对湿度的无特定病原体（Specefic pathogen free，SPF）级动物房，所有动物均给予充足的饲料和无菌饮用水</w:t>
      </w:r>
      <w:bookmarkEnd w:id="23"/>
      <w:r>
        <w:rPr>
          <w:rFonts w:hint="eastAsia"/>
        </w:rPr>
        <w:t>，以保证实验室动物的健康和实验的可靠性。所有病毒实验均在生物安全级别2（BSL-2/ ABSL-2）实验室和动物设施中进行。</w:t>
      </w:r>
      <w:bookmarkStart w:id="24" w:name="_Toc147436049"/>
      <w:bookmarkStart w:id="25" w:name="_Toc149315414"/>
    </w:p>
    <w:bookmarkEnd w:id="24"/>
    <w:bookmarkEnd w:id="25"/>
    <w:p w14:paraId="0BFB4D70">
      <w:pPr>
        <w:spacing w:before="156" w:beforeLines="50" w:after="156" w:afterLines="50"/>
        <w:jc w:val="left"/>
        <w:outlineLvl w:val="2"/>
        <w:rPr>
          <w:rFonts w:ascii="黑体" w:eastAsia="黑体"/>
          <w:kern w:val="0"/>
          <w:szCs w:val="20"/>
        </w:rPr>
      </w:pPr>
      <w:bookmarkStart w:id="26" w:name="_Toc149315432"/>
      <w:bookmarkStart w:id="27" w:name="_Toc147436115"/>
      <w:r>
        <w:rPr>
          <w:rFonts w:hint="eastAsia" w:ascii="黑体" w:eastAsia="黑体"/>
          <w:kern w:val="0"/>
          <w:szCs w:val="20"/>
        </w:rPr>
        <w:t>13.1　荷瘤小鼠模型建立（以构建胶质母细胞瘤</w:t>
      </w:r>
      <w:bookmarkEnd w:id="26"/>
      <w:bookmarkEnd w:id="27"/>
      <w:r>
        <w:rPr>
          <w:rFonts w:hint="eastAsia" w:ascii="黑体" w:eastAsia="黑体"/>
          <w:kern w:val="0"/>
          <w:szCs w:val="20"/>
        </w:rPr>
        <w:t>为例）</w:t>
      </w:r>
    </w:p>
    <w:p w14:paraId="42D6753D">
      <w:pPr>
        <w:pStyle w:val="21"/>
      </w:pPr>
      <w:r>
        <w:rPr>
          <w:rFonts w:hint="eastAsia"/>
        </w:rPr>
        <w:t>将人胶质母细胞瘤U87-MG细胞系分装于数只T75的培养瓶中，按常规方法培养，培养液为含10%胎牛血清的DMEM 培养液，置37</w:t>
      </w:r>
      <w:r>
        <w:t> </w:t>
      </w:r>
      <w:r>
        <w:rPr>
          <w:rFonts w:hint="eastAsia"/>
        </w:rPr>
        <w:t>℃、5% CO2的恒温恒湿培养箱中培养。在细胞处于对数生长期时，以0</w:t>
      </w:r>
      <w:r>
        <w:t>.</w:t>
      </w:r>
      <w:r>
        <w:rPr>
          <w:rFonts w:hint="eastAsia"/>
        </w:rPr>
        <w:t>25% 胰酶消化，收集消化液，离心后去除上清液，PBS液洗2次后制成细胞悬液，视细胞生长状态调节至所需细胞浓度的悬液用于接种。</w:t>
      </w:r>
    </w:p>
    <w:p w14:paraId="385C7DCD">
      <w:pPr>
        <w:pStyle w:val="21"/>
      </w:pPr>
      <w:r>
        <w:rPr>
          <w:rFonts w:hint="eastAsia"/>
        </w:rPr>
        <w:t>整个接种过程在层流超净台进行，接种部位为裸鼠右侧大脑尾状核（Caudate-putamen，CPu）或初级运动皮层（Primary motor area，M1）。通过腹腔注射（50</w:t>
      </w:r>
      <w:r>
        <w:t> </w:t>
      </w:r>
      <w:r>
        <w:rPr>
          <w:rFonts w:hint="eastAsia"/>
        </w:rPr>
        <w:t>mg/kg体重）戊巴比妥钠麻醉动物，小鼠麻醉后，俯卧位将其头部固定在脑立体定位仪上。使用75%乙醇消毒头顶部皮肤后，首先于颅中线处眼裂后开1个垂直切口，暴露前囟。接种部位的坐标见下表。用直径为1</w:t>
      </w:r>
      <w:r>
        <w:t> </w:t>
      </w:r>
      <w:r>
        <w:rPr>
          <w:rFonts w:hint="eastAsia"/>
        </w:rPr>
        <w:t>mm的动物颅骨钻小心钻穿颅骨，然后用吸有3</w:t>
      </w:r>
      <w:r>
        <w:t> </w:t>
      </w:r>
      <w:r>
        <w:rPr>
          <w:rFonts w:hint="eastAsia"/>
        </w:rPr>
        <w:t>μL胶质瘤细胞悬液的微量进样器经孔垂直进入目标脑区中，进针深度为预定脑区坐标再向下0.5</w:t>
      </w:r>
      <w:r>
        <w:t> </w:t>
      </w:r>
      <w:r>
        <w:rPr>
          <w:rFonts w:hint="eastAsia"/>
        </w:rPr>
        <w:t>mm，注射前将针稍微退回约0.5</w:t>
      </w:r>
      <w:r>
        <w:t> </w:t>
      </w:r>
      <w:r>
        <w:rPr>
          <w:rFonts w:hint="eastAsia"/>
        </w:rPr>
        <w:t>mm，使得注射位点有足够空间接收移植细胞，以0.5</w:t>
      </w:r>
      <w:r>
        <w:t> </w:t>
      </w:r>
      <w:r>
        <w:rPr>
          <w:rFonts w:hint="eastAsia"/>
        </w:rPr>
        <w:t>μL/min注射速度将胶质瘤细胞悬液缓慢注入，注射完成后停留2</w:t>
      </w:r>
      <w:r>
        <w:t> </w:t>
      </w:r>
      <w:r>
        <w:rPr>
          <w:rFonts w:hint="eastAsia"/>
        </w:rPr>
        <w:t>min后再缓慢拔针，用骨蜡封闭骨孔，生理盐水冲洗术野，缝合头皮，最后用碘酒消毒。实验过程需确保细胞状态良好，消化重悬后需及时完成注射，以保证荷瘤实验准确性和可重复性。实验正常对照组接种时以同体积PBS缓冲液替代。术后先将裸鼠置于37 ℃恒温板上保温，待苏醒后再放回笼中，术后无需抗感染治疗。每天观察其生活状态，包括精神、饮食、活动、体重等情况。</w:t>
      </w:r>
    </w:p>
    <w:p w14:paraId="4F52F6BE">
      <w:pPr>
        <w:spacing w:before="156" w:beforeLines="50" w:after="156" w:afterLines="50"/>
        <w:jc w:val="center"/>
        <w:rPr>
          <w:rFonts w:ascii="黑体" w:hAnsi="黑体" w:eastAsia="黑体"/>
          <w:bCs/>
          <w:szCs w:val="20"/>
        </w:rPr>
      </w:pPr>
      <w:bookmarkStart w:id="28" w:name="_Toc149428403"/>
      <w:r>
        <w:rPr>
          <w:rFonts w:hint="eastAsia" w:ascii="黑体" w:hAnsi="黑体" w:eastAsia="黑体"/>
          <w:bCs/>
          <w:szCs w:val="20"/>
        </w:rPr>
        <w:t>表3</w:t>
      </w:r>
      <w:r>
        <w:rPr>
          <w:rFonts w:ascii="黑体" w:hAnsi="黑体" w:eastAsia="黑体"/>
          <w:bCs/>
          <w:szCs w:val="20"/>
        </w:rPr>
        <w:t xml:space="preserve">  </w:t>
      </w:r>
      <w:r>
        <w:rPr>
          <w:rFonts w:hint="eastAsia" w:ascii="黑体" w:hAnsi="黑体" w:eastAsia="黑体"/>
          <w:bCs/>
          <w:szCs w:val="20"/>
        </w:rPr>
        <w:t>建立脑胶质瘤细胞裸鼠原位移植模型脑区坐标</w:t>
      </w:r>
      <w:bookmarkEnd w:id="28"/>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5"/>
        <w:gridCol w:w="2076"/>
        <w:gridCol w:w="2075"/>
        <w:gridCol w:w="2076"/>
      </w:tblGrid>
      <w:tr w14:paraId="1DBF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tcBorders>
              <w:top w:val="single" w:color="auto" w:sz="12" w:space="0"/>
              <w:left w:val="single" w:color="auto" w:sz="12" w:space="0"/>
              <w:bottom w:val="single" w:color="auto" w:sz="12" w:space="0"/>
            </w:tcBorders>
            <w:shd w:val="clear" w:color="auto" w:fill="auto"/>
          </w:tcPr>
          <w:p w14:paraId="3CD0A5A0">
            <w:pPr>
              <w:spacing w:line="300" w:lineRule="auto"/>
              <w:ind w:firstLine="360" w:firstLineChars="200"/>
              <w:jc w:val="center"/>
              <w:rPr>
                <w:rFonts w:ascii="宋体" w:hAnsi="宋体"/>
                <w:sz w:val="18"/>
                <w:szCs w:val="18"/>
              </w:rPr>
            </w:pPr>
            <w:bookmarkStart w:id="29" w:name="_GoBack"/>
            <w:r>
              <w:rPr>
                <w:rFonts w:hint="eastAsia" w:ascii="宋体" w:hAnsi="宋体"/>
                <w:sz w:val="18"/>
                <w:szCs w:val="18"/>
              </w:rPr>
              <w:t>脑区</w:t>
            </w:r>
          </w:p>
        </w:tc>
        <w:tc>
          <w:tcPr>
            <w:tcW w:w="2076" w:type="dxa"/>
            <w:tcBorders>
              <w:top w:val="single" w:color="auto" w:sz="12" w:space="0"/>
              <w:bottom w:val="single" w:color="auto" w:sz="12" w:space="0"/>
            </w:tcBorders>
            <w:shd w:val="clear" w:color="auto" w:fill="auto"/>
          </w:tcPr>
          <w:p w14:paraId="2B6EB35C">
            <w:pPr>
              <w:spacing w:line="300" w:lineRule="auto"/>
              <w:ind w:firstLine="360" w:firstLineChars="200"/>
              <w:jc w:val="center"/>
              <w:rPr>
                <w:rFonts w:ascii="宋体" w:hAnsi="宋体"/>
                <w:sz w:val="18"/>
                <w:szCs w:val="18"/>
              </w:rPr>
            </w:pPr>
            <w:r>
              <w:rPr>
                <w:rFonts w:ascii="宋体" w:hAnsi="宋体"/>
                <w:sz w:val="18"/>
                <w:szCs w:val="18"/>
              </w:rPr>
              <w:t>AP</w:t>
            </w:r>
            <w:r>
              <w:rPr>
                <w:rFonts w:hint="eastAsia" w:ascii="宋体" w:hAnsi="宋体"/>
                <w:sz w:val="18"/>
                <w:szCs w:val="18"/>
              </w:rPr>
              <w:t>（</w:t>
            </w:r>
            <w:r>
              <w:rPr>
                <w:rFonts w:ascii="宋体" w:hAnsi="宋体"/>
                <w:sz w:val="18"/>
                <w:szCs w:val="18"/>
              </w:rPr>
              <w:t>mm</w:t>
            </w:r>
            <w:r>
              <w:rPr>
                <w:rFonts w:hint="eastAsia" w:ascii="宋体" w:hAnsi="宋体"/>
                <w:sz w:val="18"/>
                <w:szCs w:val="18"/>
              </w:rPr>
              <w:t>）</w:t>
            </w:r>
          </w:p>
        </w:tc>
        <w:tc>
          <w:tcPr>
            <w:tcW w:w="2075" w:type="dxa"/>
            <w:tcBorders>
              <w:top w:val="single" w:color="auto" w:sz="12" w:space="0"/>
              <w:bottom w:val="single" w:color="auto" w:sz="12" w:space="0"/>
            </w:tcBorders>
            <w:shd w:val="clear" w:color="auto" w:fill="auto"/>
          </w:tcPr>
          <w:p w14:paraId="50E387CB">
            <w:pPr>
              <w:spacing w:line="300" w:lineRule="auto"/>
              <w:ind w:firstLine="360" w:firstLineChars="200"/>
              <w:jc w:val="center"/>
              <w:rPr>
                <w:rFonts w:ascii="宋体" w:hAnsi="宋体"/>
                <w:sz w:val="18"/>
                <w:szCs w:val="18"/>
              </w:rPr>
            </w:pPr>
            <w:r>
              <w:rPr>
                <w:rFonts w:ascii="宋体" w:hAnsi="宋体"/>
                <w:sz w:val="18"/>
                <w:szCs w:val="18"/>
              </w:rPr>
              <w:t>ML</w:t>
            </w:r>
            <w:r>
              <w:rPr>
                <w:rFonts w:hint="eastAsia" w:ascii="宋体" w:hAnsi="宋体"/>
                <w:sz w:val="18"/>
                <w:szCs w:val="18"/>
              </w:rPr>
              <w:t>（</w:t>
            </w:r>
            <w:r>
              <w:rPr>
                <w:rFonts w:ascii="宋体" w:hAnsi="宋体"/>
                <w:sz w:val="18"/>
                <w:szCs w:val="18"/>
              </w:rPr>
              <w:t>mm</w:t>
            </w:r>
            <w:r>
              <w:rPr>
                <w:rFonts w:hint="eastAsia" w:ascii="宋体" w:hAnsi="宋体"/>
                <w:sz w:val="18"/>
                <w:szCs w:val="18"/>
              </w:rPr>
              <w:t>）</w:t>
            </w:r>
          </w:p>
        </w:tc>
        <w:tc>
          <w:tcPr>
            <w:tcW w:w="2076" w:type="dxa"/>
            <w:tcBorders>
              <w:top w:val="single" w:color="auto" w:sz="12" w:space="0"/>
              <w:bottom w:val="single" w:color="auto" w:sz="12" w:space="0"/>
              <w:right w:val="single" w:color="auto" w:sz="12" w:space="0"/>
            </w:tcBorders>
            <w:shd w:val="clear" w:color="auto" w:fill="auto"/>
          </w:tcPr>
          <w:p w14:paraId="43DD5980">
            <w:pPr>
              <w:spacing w:line="300" w:lineRule="auto"/>
              <w:ind w:firstLine="360" w:firstLineChars="200"/>
              <w:jc w:val="center"/>
              <w:rPr>
                <w:rFonts w:ascii="宋体" w:hAnsi="宋体"/>
                <w:sz w:val="18"/>
                <w:szCs w:val="18"/>
              </w:rPr>
            </w:pPr>
            <w:r>
              <w:rPr>
                <w:rFonts w:ascii="宋体" w:hAnsi="宋体"/>
                <w:sz w:val="18"/>
                <w:szCs w:val="18"/>
              </w:rPr>
              <w:t>DV</w:t>
            </w:r>
            <w:r>
              <w:rPr>
                <w:rFonts w:hint="eastAsia" w:ascii="宋体" w:hAnsi="宋体"/>
                <w:sz w:val="18"/>
                <w:szCs w:val="18"/>
              </w:rPr>
              <w:t>（</w:t>
            </w:r>
            <w:r>
              <w:rPr>
                <w:rFonts w:ascii="宋体" w:hAnsi="宋体"/>
                <w:sz w:val="18"/>
                <w:szCs w:val="18"/>
              </w:rPr>
              <w:t>mm</w:t>
            </w:r>
            <w:r>
              <w:rPr>
                <w:rFonts w:hint="eastAsia" w:ascii="宋体" w:hAnsi="宋体"/>
                <w:sz w:val="18"/>
                <w:szCs w:val="18"/>
              </w:rPr>
              <w:t>）</w:t>
            </w:r>
          </w:p>
        </w:tc>
      </w:tr>
      <w:tr w14:paraId="3A7D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tcBorders>
              <w:top w:val="single" w:color="auto" w:sz="12" w:space="0"/>
              <w:left w:val="single" w:color="auto" w:sz="12" w:space="0"/>
            </w:tcBorders>
            <w:shd w:val="clear" w:color="auto" w:fill="auto"/>
          </w:tcPr>
          <w:p w14:paraId="53BCC9A3">
            <w:pPr>
              <w:spacing w:line="300" w:lineRule="auto"/>
              <w:ind w:firstLine="360" w:firstLineChars="200"/>
              <w:jc w:val="center"/>
              <w:rPr>
                <w:rFonts w:ascii="宋体" w:hAnsi="宋体"/>
                <w:sz w:val="18"/>
                <w:szCs w:val="18"/>
              </w:rPr>
            </w:pPr>
            <w:r>
              <w:rPr>
                <w:rFonts w:ascii="宋体" w:hAnsi="宋体"/>
                <w:sz w:val="18"/>
                <w:szCs w:val="18"/>
              </w:rPr>
              <w:t>CPu</w:t>
            </w:r>
          </w:p>
        </w:tc>
        <w:tc>
          <w:tcPr>
            <w:tcW w:w="2076" w:type="dxa"/>
            <w:tcBorders>
              <w:top w:val="single" w:color="auto" w:sz="12" w:space="0"/>
            </w:tcBorders>
            <w:shd w:val="clear" w:color="auto" w:fill="auto"/>
          </w:tcPr>
          <w:p w14:paraId="0C9046AA">
            <w:pPr>
              <w:spacing w:line="300" w:lineRule="auto"/>
              <w:ind w:firstLine="360" w:firstLineChars="200"/>
              <w:jc w:val="center"/>
              <w:rPr>
                <w:rFonts w:ascii="宋体" w:hAnsi="宋体"/>
                <w:sz w:val="18"/>
                <w:szCs w:val="18"/>
              </w:rPr>
            </w:pPr>
            <w:r>
              <w:rPr>
                <w:rFonts w:ascii="宋体" w:hAnsi="宋体"/>
                <w:sz w:val="18"/>
                <w:szCs w:val="18"/>
              </w:rPr>
              <w:t>+0.80</w:t>
            </w:r>
          </w:p>
        </w:tc>
        <w:tc>
          <w:tcPr>
            <w:tcW w:w="2075" w:type="dxa"/>
            <w:tcBorders>
              <w:top w:val="single" w:color="auto" w:sz="12" w:space="0"/>
            </w:tcBorders>
            <w:shd w:val="clear" w:color="auto" w:fill="auto"/>
          </w:tcPr>
          <w:p w14:paraId="15F39012">
            <w:pPr>
              <w:spacing w:line="300" w:lineRule="auto"/>
              <w:ind w:firstLine="360" w:firstLineChars="200"/>
              <w:jc w:val="center"/>
              <w:rPr>
                <w:rFonts w:ascii="宋体" w:hAnsi="宋体"/>
                <w:sz w:val="18"/>
                <w:szCs w:val="18"/>
              </w:rPr>
            </w:pPr>
            <w:r>
              <w:rPr>
                <w:rFonts w:ascii="宋体" w:hAnsi="宋体"/>
                <w:sz w:val="18"/>
                <w:szCs w:val="18"/>
              </w:rPr>
              <w:t>±2.00</w:t>
            </w:r>
          </w:p>
        </w:tc>
        <w:tc>
          <w:tcPr>
            <w:tcW w:w="2076" w:type="dxa"/>
            <w:tcBorders>
              <w:top w:val="single" w:color="auto" w:sz="12" w:space="0"/>
              <w:right w:val="single" w:color="auto" w:sz="12" w:space="0"/>
            </w:tcBorders>
            <w:shd w:val="clear" w:color="auto" w:fill="auto"/>
          </w:tcPr>
          <w:p w14:paraId="3BEAD1BD">
            <w:pPr>
              <w:spacing w:line="300" w:lineRule="auto"/>
              <w:ind w:firstLine="360" w:firstLineChars="200"/>
              <w:jc w:val="center"/>
              <w:rPr>
                <w:rFonts w:ascii="宋体" w:hAnsi="宋体"/>
                <w:sz w:val="18"/>
                <w:szCs w:val="18"/>
              </w:rPr>
            </w:pPr>
            <w:r>
              <w:rPr>
                <w:rFonts w:ascii="宋体" w:hAnsi="宋体"/>
                <w:sz w:val="18"/>
                <w:szCs w:val="18"/>
              </w:rPr>
              <w:t>–3.30</w:t>
            </w:r>
          </w:p>
        </w:tc>
      </w:tr>
      <w:tr w14:paraId="3A409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tcBorders>
              <w:left w:val="single" w:color="auto" w:sz="12" w:space="0"/>
              <w:bottom w:val="single" w:color="auto" w:sz="12" w:space="0"/>
            </w:tcBorders>
            <w:shd w:val="clear" w:color="auto" w:fill="auto"/>
          </w:tcPr>
          <w:p w14:paraId="6C3F758F">
            <w:pPr>
              <w:spacing w:line="300" w:lineRule="auto"/>
              <w:ind w:firstLine="360" w:firstLineChars="200"/>
              <w:jc w:val="center"/>
              <w:rPr>
                <w:rFonts w:ascii="宋体" w:hAnsi="宋体"/>
                <w:sz w:val="18"/>
                <w:szCs w:val="18"/>
              </w:rPr>
            </w:pPr>
            <w:r>
              <w:rPr>
                <w:rFonts w:ascii="宋体" w:hAnsi="宋体"/>
                <w:sz w:val="18"/>
                <w:szCs w:val="18"/>
              </w:rPr>
              <w:t>M1</w:t>
            </w:r>
          </w:p>
        </w:tc>
        <w:tc>
          <w:tcPr>
            <w:tcW w:w="2076" w:type="dxa"/>
            <w:tcBorders>
              <w:bottom w:val="single" w:color="auto" w:sz="12" w:space="0"/>
            </w:tcBorders>
            <w:shd w:val="clear" w:color="auto" w:fill="auto"/>
          </w:tcPr>
          <w:p w14:paraId="598DD4B3">
            <w:pPr>
              <w:spacing w:line="300" w:lineRule="auto"/>
              <w:ind w:firstLine="360" w:firstLineChars="200"/>
              <w:jc w:val="center"/>
              <w:rPr>
                <w:rFonts w:ascii="宋体" w:hAnsi="宋体"/>
                <w:sz w:val="18"/>
                <w:szCs w:val="18"/>
              </w:rPr>
            </w:pPr>
            <w:r>
              <w:rPr>
                <w:rFonts w:ascii="宋体" w:hAnsi="宋体"/>
                <w:sz w:val="18"/>
                <w:szCs w:val="18"/>
              </w:rPr>
              <w:t>+1.54</w:t>
            </w:r>
          </w:p>
        </w:tc>
        <w:tc>
          <w:tcPr>
            <w:tcW w:w="2075" w:type="dxa"/>
            <w:tcBorders>
              <w:bottom w:val="single" w:color="auto" w:sz="12" w:space="0"/>
            </w:tcBorders>
            <w:shd w:val="clear" w:color="auto" w:fill="auto"/>
          </w:tcPr>
          <w:p w14:paraId="3125CAA5">
            <w:pPr>
              <w:spacing w:line="300" w:lineRule="auto"/>
              <w:ind w:firstLine="360" w:firstLineChars="200"/>
              <w:jc w:val="center"/>
              <w:rPr>
                <w:rFonts w:ascii="宋体" w:hAnsi="宋体"/>
                <w:sz w:val="18"/>
                <w:szCs w:val="18"/>
              </w:rPr>
            </w:pPr>
            <w:r>
              <w:rPr>
                <w:rFonts w:ascii="宋体" w:hAnsi="宋体"/>
                <w:sz w:val="18"/>
                <w:szCs w:val="18"/>
              </w:rPr>
              <w:t>±1.60</w:t>
            </w:r>
          </w:p>
        </w:tc>
        <w:tc>
          <w:tcPr>
            <w:tcW w:w="2076" w:type="dxa"/>
            <w:tcBorders>
              <w:bottom w:val="single" w:color="auto" w:sz="12" w:space="0"/>
              <w:right w:val="single" w:color="auto" w:sz="12" w:space="0"/>
            </w:tcBorders>
            <w:shd w:val="clear" w:color="auto" w:fill="auto"/>
          </w:tcPr>
          <w:p w14:paraId="11DBD9D6">
            <w:pPr>
              <w:spacing w:line="300" w:lineRule="auto"/>
              <w:ind w:firstLine="360" w:firstLineChars="200"/>
              <w:jc w:val="center"/>
              <w:rPr>
                <w:rFonts w:ascii="宋体" w:hAnsi="宋体"/>
                <w:sz w:val="18"/>
                <w:szCs w:val="18"/>
              </w:rPr>
            </w:pPr>
            <w:r>
              <w:rPr>
                <w:rFonts w:ascii="宋体" w:hAnsi="宋体"/>
                <w:sz w:val="18"/>
                <w:szCs w:val="18"/>
              </w:rPr>
              <w:t>－1.60</w:t>
            </w:r>
          </w:p>
        </w:tc>
      </w:tr>
      <w:bookmarkEnd w:id="29"/>
    </w:tbl>
    <w:p w14:paraId="5B9CE5B0">
      <w:pPr>
        <w:ind w:left="780" w:leftChars="200" w:hanging="360" w:hangingChars="200"/>
      </w:pPr>
      <w:r>
        <w:rPr>
          <w:rFonts w:hint="eastAsia" w:ascii="黑体" w:hAnsi="黑体" w:eastAsia="黑体"/>
          <w:bCs/>
          <w:sz w:val="18"/>
          <w:szCs w:val="18"/>
        </w:rPr>
        <w:t>注：</w:t>
      </w:r>
      <w:r>
        <w:rPr>
          <w:rFonts w:hint="eastAsia" w:ascii="宋体" w:hAnsi="宋体"/>
          <w:sz w:val="18"/>
          <w:szCs w:val="18"/>
        </w:rPr>
        <w:t>坐标以Bregma点为坐标原点。A</w:t>
      </w:r>
      <w:r>
        <w:rPr>
          <w:rFonts w:ascii="宋体" w:hAnsi="宋体"/>
          <w:sz w:val="18"/>
          <w:szCs w:val="18"/>
        </w:rPr>
        <w:t>P</w:t>
      </w:r>
      <w:r>
        <w:rPr>
          <w:rFonts w:hint="eastAsia" w:ascii="宋体" w:hAnsi="宋体"/>
          <w:sz w:val="18"/>
          <w:szCs w:val="18"/>
        </w:rPr>
        <w:t>：</w:t>
      </w:r>
      <w:r>
        <w:rPr>
          <w:rFonts w:ascii="宋体" w:hAnsi="宋体"/>
          <w:sz w:val="18"/>
          <w:szCs w:val="18"/>
        </w:rPr>
        <w:t>anterior-posterior axis</w:t>
      </w:r>
      <w:r>
        <w:rPr>
          <w:rFonts w:hint="eastAsia" w:ascii="宋体" w:hAnsi="宋体"/>
          <w:sz w:val="18"/>
          <w:szCs w:val="18"/>
        </w:rPr>
        <w:t>，前后坐标；M</w:t>
      </w:r>
      <w:r>
        <w:rPr>
          <w:rFonts w:ascii="宋体" w:hAnsi="宋体"/>
          <w:sz w:val="18"/>
          <w:szCs w:val="18"/>
        </w:rPr>
        <w:t>L</w:t>
      </w:r>
      <w:r>
        <w:rPr>
          <w:rFonts w:hint="eastAsia" w:ascii="宋体" w:hAnsi="宋体"/>
          <w:sz w:val="18"/>
          <w:szCs w:val="18"/>
        </w:rPr>
        <w:t>：</w:t>
      </w:r>
      <w:r>
        <w:rPr>
          <w:rFonts w:ascii="宋体" w:hAnsi="宋体"/>
          <w:sz w:val="18"/>
          <w:szCs w:val="18"/>
        </w:rPr>
        <w:t>medial-lateral axis</w:t>
      </w:r>
      <w:r>
        <w:rPr>
          <w:rFonts w:hint="eastAsia" w:ascii="宋体" w:hAnsi="宋体"/>
          <w:sz w:val="18"/>
          <w:szCs w:val="18"/>
        </w:rPr>
        <w:t>，左右坐标；D</w:t>
      </w:r>
      <w:r>
        <w:rPr>
          <w:rFonts w:ascii="宋体" w:hAnsi="宋体"/>
          <w:sz w:val="18"/>
          <w:szCs w:val="18"/>
        </w:rPr>
        <w:t>V</w:t>
      </w:r>
      <w:r>
        <w:rPr>
          <w:rFonts w:hint="eastAsia" w:ascii="宋体" w:hAnsi="宋体"/>
          <w:sz w:val="18"/>
          <w:szCs w:val="18"/>
        </w:rPr>
        <w:t>：</w:t>
      </w:r>
      <w:r>
        <w:rPr>
          <w:rFonts w:ascii="宋体" w:hAnsi="宋体"/>
          <w:sz w:val="18"/>
          <w:szCs w:val="18"/>
        </w:rPr>
        <w:t>dorsal-ventral axis</w:t>
      </w:r>
      <w:r>
        <w:rPr>
          <w:rFonts w:hint="eastAsia" w:ascii="宋体" w:hAnsi="宋体"/>
          <w:sz w:val="18"/>
          <w:szCs w:val="18"/>
        </w:rPr>
        <w:t>，深度坐标。</w:t>
      </w:r>
    </w:p>
    <w:p w14:paraId="2D246CE0">
      <w:pPr>
        <w:spacing w:before="156" w:beforeLines="50" w:after="156" w:afterLines="50"/>
        <w:jc w:val="left"/>
        <w:outlineLvl w:val="2"/>
        <w:rPr>
          <w:rFonts w:ascii="黑体" w:eastAsia="黑体"/>
          <w:kern w:val="0"/>
          <w:szCs w:val="20"/>
        </w:rPr>
      </w:pPr>
      <w:r>
        <w:rPr>
          <w:rFonts w:hint="eastAsia" w:ascii="黑体" w:eastAsia="黑体"/>
          <w:kern w:val="0"/>
          <w:szCs w:val="20"/>
        </w:rPr>
        <w:t>13.2  溶杀</w:t>
      </w:r>
      <w:r>
        <w:rPr>
          <w:rFonts w:hint="eastAsia" w:ascii="黑体" w:eastAsia="黑体"/>
          <w:kern w:val="0"/>
          <w:szCs w:val="20"/>
          <w:lang w:val="en-US" w:eastAsia="zh-CN"/>
        </w:rPr>
        <w:t>实体</w:t>
      </w:r>
      <w:r>
        <w:rPr>
          <w:rFonts w:hint="eastAsia" w:ascii="黑体" w:eastAsia="黑体"/>
          <w:kern w:val="0"/>
          <w:szCs w:val="20"/>
        </w:rPr>
        <w:t>瘤效力分析</w:t>
      </w:r>
    </w:p>
    <w:p w14:paraId="6971A257">
      <w:pPr>
        <w:pStyle w:val="21"/>
      </w:pPr>
      <w:r>
        <w:rPr>
          <w:rFonts w:hint="eastAsia"/>
        </w:rPr>
        <w:t>以</w:t>
      </w:r>
      <w:r>
        <w:rPr>
          <w:rFonts w:hint="eastAsia"/>
          <w:lang w:val="en-US" w:eastAsia="zh-CN"/>
        </w:rPr>
        <w:t>治疗</w:t>
      </w:r>
      <w:r>
        <w:rPr>
          <w:rFonts w:hint="eastAsia"/>
        </w:rPr>
        <w:t>胶质母细胞瘤为例</w:t>
      </w:r>
      <w:r>
        <w:rPr>
          <w:rFonts w:hint="eastAsia"/>
          <w:lang w:eastAsia="zh-CN"/>
        </w:rPr>
        <w:t>，</w:t>
      </w:r>
      <w:r>
        <w:rPr>
          <w:rFonts w:hint="eastAsia"/>
        </w:rPr>
        <w:t>将人脑星形胶质母细胞瘤（WHO IV级）细胞株U87MG-GFP定位接种于BALB/c裸鼠皮层下CPU脑区，3周左右经核磁共振检测小鼠大脑会成瘤、呈侵袭性生长。制备的溶瘤疱疹病毒通过瘤内给药方式注射到恶性胶质瘤瘤体内，14天后灌流裸鼠，取脑组织切片观察。若溶瘤病毒在胶质母细胞瘤体内能有效复制增殖，在病毒感染的肿瘤组织区域出现明显的凋亡炎症反应，和注射PBS缓冲液的对照组荷瘤小鼠相比肿瘤组织体积会明显缩小，表明溶瘤疱疹病毒具有良好的安全性和有效性。</w:t>
      </w:r>
      <w:bookmarkEnd w:id="19"/>
    </w:p>
    <w:p w14:paraId="3014C0D2">
      <w:pPr>
        <w:widowControl/>
        <w:jc w:val="left"/>
        <w:rPr>
          <w:rFonts w:ascii="宋体"/>
          <w:kern w:val="0"/>
          <w:szCs w:val="20"/>
        </w:rPr>
      </w:pPr>
      <w:r>
        <w:br w:type="page"/>
      </w:r>
    </w:p>
    <w:p w14:paraId="476DE30F">
      <w:pPr>
        <w:pStyle w:val="71"/>
      </w:pPr>
      <w:r>
        <w:t>参</w:t>
      </w:r>
      <w:r>
        <w:rPr>
          <w:rFonts w:hint="eastAsia"/>
        </w:rPr>
        <w:t>　</w:t>
      </w:r>
      <w:r>
        <w:t>考</w:t>
      </w:r>
      <w:r>
        <w:rPr>
          <w:rFonts w:hint="eastAsia"/>
        </w:rPr>
        <w:t>　</w:t>
      </w:r>
      <w:r>
        <w:t>文</w:t>
      </w:r>
      <w:r>
        <w:rPr>
          <w:rFonts w:hint="eastAsia"/>
        </w:rPr>
        <w:t>　</w:t>
      </w:r>
      <w:r>
        <w:t>献</w:t>
      </w:r>
    </w:p>
    <w:p w14:paraId="5DAC8F2A">
      <w:pPr>
        <w:pStyle w:val="21"/>
        <w:rPr>
          <w:color w:val="000000" w:themeColor="text1"/>
          <w14:textFill>
            <w14:solidFill>
              <w14:schemeClr w14:val="tx1"/>
            </w14:solidFill>
          </w14:textFill>
        </w:rPr>
      </w:pPr>
      <w:r>
        <w:rPr>
          <w:rFonts w:hint="eastAsia"/>
          <w:color w:val="000000" w:themeColor="text1"/>
          <w14:textFill>
            <w14:solidFill>
              <w14:schemeClr w14:val="tx1"/>
            </w14:solidFill>
          </w14:textFill>
        </w:rPr>
        <w:t>[1] 国家药典委员会.《中华人民共和国药典》（2020 年版）</w:t>
      </w:r>
    </w:p>
    <w:p w14:paraId="3FFD1A7F">
      <w:pPr>
        <w:pStyle w:val="21"/>
        <w:rPr>
          <w:color w:val="000000" w:themeColor="text1"/>
          <w14:textFill>
            <w14:solidFill>
              <w14:schemeClr w14:val="tx1"/>
            </w14:solidFill>
          </w14:textFill>
        </w:rPr>
      </w:pPr>
      <w:r>
        <w:rPr>
          <w:rFonts w:hint="eastAsia"/>
          <w:color w:val="000000" w:themeColor="text1"/>
          <w14:textFill>
            <w14:solidFill>
              <w14:schemeClr w14:val="tx1"/>
            </w14:solidFill>
          </w14:textFill>
        </w:rPr>
        <w:t>[2]《溶瘤病毒产品药学研究与评价技术指导原则》</w:t>
      </w:r>
    </w:p>
    <w:p w14:paraId="6BEE449D">
      <w:pPr>
        <w:pStyle w:val="21"/>
        <w:rPr>
          <w:color w:val="000000" w:themeColor="text1"/>
          <w14:textFill>
            <w14:solidFill>
              <w14:schemeClr w14:val="tx1"/>
            </w14:solidFill>
          </w14:textFill>
        </w:rPr>
      </w:pPr>
      <w:r>
        <w:rPr>
          <w:rFonts w:hint="eastAsia"/>
          <w:color w:val="000000" w:themeColor="text1"/>
          <w14:textFill>
            <w14:solidFill>
              <w14:schemeClr w14:val="tx1"/>
            </w14:solidFill>
          </w14:textFill>
        </w:rPr>
        <w:t>[3]《基因治疗产品药学研究与评价技术指导原则》</w:t>
      </w:r>
    </w:p>
    <w:p w14:paraId="2ECB2A01">
      <w:pPr>
        <w:pStyle w:val="21"/>
        <w:rPr>
          <w:color w:val="000000" w:themeColor="text1"/>
          <w14:textFill>
            <w14:solidFill>
              <w14:schemeClr w14:val="tx1"/>
            </w14:solidFill>
          </w14:textFill>
        </w:rPr>
      </w:pPr>
      <w:r>
        <w:rPr>
          <w:rFonts w:hint="eastAsia"/>
          <w:color w:val="000000" w:themeColor="text1"/>
          <w14:textFill>
            <w14:solidFill>
              <w14:schemeClr w14:val="tx1"/>
            </w14:solidFill>
          </w14:textFill>
        </w:rPr>
        <w:t>[4] Design and Analysis of Shedding Studies for Virus or Bacteria-Based Gene Therapy and Oncolytic Products; Guidance for Industry</w:t>
      </w:r>
    </w:p>
    <w:p w14:paraId="431742A7">
      <w:pPr>
        <w:pStyle w:val="21"/>
        <w:rPr>
          <w:color w:val="000000" w:themeColor="text1"/>
          <w14:textFill>
            <w14:solidFill>
              <w14:schemeClr w14:val="tx1"/>
            </w14:solidFill>
          </w14:textFill>
        </w:rPr>
      </w:pPr>
      <w:r>
        <w:rPr>
          <w:rFonts w:hint="eastAsia"/>
          <w:color w:val="000000" w:themeColor="text1"/>
          <w14:textFill>
            <w14:solidFill>
              <w14:schemeClr w14:val="tx1"/>
            </w14:solidFill>
          </w14:textFill>
        </w:rPr>
        <w:t>[5] Preclinical Assessment of Investigational Cellular and Gene Therapy Products</w:t>
      </w:r>
      <w:r>
        <w:rPr>
          <w:rFonts w:hint="eastAsia" w:hAnsi="宋体" w:cs="宋体"/>
          <w:color w:val="000000" w:themeColor="text1"/>
          <w:szCs w:val="2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2138680</wp:posOffset>
                </wp:positionH>
                <wp:positionV relativeFrom="paragraph">
                  <wp:posOffset>583565</wp:posOffset>
                </wp:positionV>
                <wp:extent cx="1483360" cy="635"/>
                <wp:effectExtent l="0" t="0" r="2540" b="18415"/>
                <wp:wrapNone/>
                <wp:docPr id="15" name="直接连接符 10"/>
                <wp:cNvGraphicFramePr/>
                <a:graphic xmlns:a="http://schemas.openxmlformats.org/drawingml/2006/main">
                  <a:graphicData uri="http://schemas.microsoft.com/office/word/2010/wordprocessingShape">
                    <wps:wsp>
                      <wps:cNvCnPr/>
                      <wps:spPr>
                        <a:xfrm flipV="1">
                          <a:off x="0" y="0"/>
                          <a:ext cx="1483360" cy="635"/>
                        </a:xfrm>
                        <a:prstGeom prst="line">
                          <a:avLst/>
                        </a:prstGeom>
                        <a:noFill/>
                        <a:ln w="19050" cap="flat" cmpd="sng" algn="ctr">
                          <a:solidFill>
                            <a:srgbClr val="000000"/>
                          </a:solidFill>
                          <a:prstDash val="solid"/>
                        </a:ln>
                      </wps:spPr>
                      <wps:bodyPr/>
                    </wps:wsp>
                  </a:graphicData>
                </a:graphic>
              </wp:anchor>
            </w:drawing>
          </mc:Choice>
          <mc:Fallback>
            <w:pict>
              <v:line id="直接连接符 10" o:spid="_x0000_s1026" o:spt="20" style="position:absolute;left:0pt;flip:y;margin-left:168.4pt;margin-top:45.95pt;height:0.05pt;width:116.8pt;z-index:251665408;mso-width-relative:page;mso-height-relative:page;" filled="f" stroked="t" coordsize="21600,21600" o:gfxdata="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L4DyTYAAAACQEA&#10;AA8AAAAAAAAAAQAgAAAAIgAAAGRycy9kb3ducmV2LnhtbFBLAQIUABQAAAAIAIdO4kBsUk8E4QEA&#10;AKkDAAAOAAAAAAAAAAEAIAAAACcBAABkcnMvZTJvRG9jLnhtbFBLBQYAAAAABgAGAFkBAAB6BQAA&#10;AAA=&#10;">
                <v:fill on="f" focussize="0,0"/>
                <v:stroke weight="1.5pt" color="#000000" joinstyle="round"/>
                <v:imagedata o:title=""/>
                <o:lock v:ext="edit" aspectratio="f"/>
              </v:line>
            </w:pict>
          </mc:Fallback>
        </mc:AlternateContent>
      </w:r>
    </w:p>
    <w:sectPr>
      <w:footerReference r:id="rId7" w:type="default"/>
      <w:footerReference r:id="rId8" w:type="even"/>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C3A31">
    <w:pPr>
      <w:pStyle w:val="43"/>
      <w:tabs>
        <w:tab w:val="right" w:pos="9354"/>
      </w:tabs>
      <w:jc w:val="left"/>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71450" cy="131445"/>
              <wp:effectExtent l="1270" t="3810" r="0" b="0"/>
              <wp:wrapNone/>
              <wp:docPr id="6"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71450" cy="131445"/>
                      </a:xfrm>
                      <a:prstGeom prst="rect">
                        <a:avLst/>
                      </a:prstGeom>
                      <a:noFill/>
                      <a:ln>
                        <a:noFill/>
                      </a:ln>
                    </wps:spPr>
                    <wps:txbx>
                      <w:txbxContent>
                        <w:p w14:paraId="1DD74045">
                          <w:pPr>
                            <w:pStyle w:val="15"/>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0.35pt;width:13.5pt;mso-position-horizontal:outside;mso-position-horizontal-relative:margin;mso-wrap-style:none;z-index:251669504;mso-width-relative:page;mso-height-relative:page;" filled="f" stroked="f" coordsize="21600,21600" o:gfxdata="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1Y5ci88AAAADAQAADwAAAAAAAAABACAAAAAiAAAAZHJzL2Rv&#10;d25yZXYueG1sUEsBAhQAFAAAAAgAh07iQFs0bL4KAgAAAgQAAA4AAAAAAAAAAQAgAAAAHgEAAGRy&#10;cy9lMm9Eb2MueG1sUEsFBgAAAAAGAAYAWQEAAJoFAAAAAA==&#10;">
              <v:fill on="f" focussize="0,0"/>
              <v:stroke on="f"/>
              <v:imagedata o:title=""/>
              <o:lock v:ext="edit" aspectratio="f"/>
              <v:textbox inset="0mm,0mm,0mm,0mm" style="mso-fit-shape-to-text:t;">
                <w:txbxContent>
                  <w:p w14:paraId="1DD74045">
                    <w:pPr>
                      <w:pStyle w:val="15"/>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240665" cy="377825"/>
              <wp:effectExtent l="0" t="3810" r="0" b="0"/>
              <wp:wrapNone/>
              <wp:docPr id="5"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40665" cy="377825"/>
                      </a:xfrm>
                      <a:prstGeom prst="rect">
                        <a:avLst/>
                      </a:prstGeom>
                      <a:noFill/>
                      <a:ln>
                        <a:noFill/>
                      </a:ln>
                    </wps:spPr>
                    <wps:txbx>
                      <w:txbxContent>
                        <w:p w14:paraId="761549FA">
                          <w:pPr>
                            <w:pStyle w:val="43"/>
                            <w:jc w:val="left"/>
                          </w:pPr>
                        </w:p>
                        <w:p w14:paraId="29C3E88B"/>
                      </w:txbxContent>
                    </wps:txbx>
                    <wps:bodyPr rot="0" vert="horz" wrap="none" lIns="0" tIns="0" rIns="0" bIns="0" anchor="t" anchorCtr="0" upright="1">
                      <a:spAutoFit/>
                    </wps:bodyPr>
                  </wps:wsp>
                </a:graphicData>
              </a:graphic>
            </wp:anchor>
          </w:drawing>
        </mc:Choice>
        <mc:Fallback>
          <w:pict>
            <v:shape id="文本框 3" o:spid="_x0000_s1026" o:spt="202" type="#_x0000_t202" style="position:absolute;left:0pt;margin-top:0pt;height:29.75pt;width:18.95pt;mso-position-horizontal:outside;mso-position-horizontal-relative:margin;mso-wrap-style:none;z-index:251667456;mso-width-relative:page;mso-height-relative:page;" filled="f" stroked="f" coordsize="21600,21600" o:gfxdata="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&#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f3uqHSAAAAAwEAAA8AAAAAAAAAAQAgAAAAIgAAAGRy&#10;cy9kb3ducmV2LnhtbFBLAQIUABQAAAAIAIdO4kDDL7GDCwIAAAIEAAAOAAAAAAAAAAEAIAAAACEB&#10;AABkcnMvZTJvRG9jLnhtbFBLBQYAAAAABgAGAFkBAACeBQAAAAA=&#10;">
              <v:fill on="f" focussize="0,0"/>
              <v:stroke on="f"/>
              <v:imagedata o:title=""/>
              <o:lock v:ext="edit" aspectratio="f"/>
              <v:textbox inset="0mm,0mm,0mm,0mm" style="mso-fit-shape-to-text:t;">
                <w:txbxContent>
                  <w:p w14:paraId="761549FA">
                    <w:pPr>
                      <w:pStyle w:val="43"/>
                      <w:jc w:val="left"/>
                    </w:pPr>
                  </w:p>
                  <w:p w14:paraId="29C3E88B"/>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86C75">
    <w:pPr>
      <w:pStyle w:val="15"/>
      <w:jc w:val="left"/>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209550" cy="131445"/>
              <wp:effectExtent l="0" t="1270" r="4445" b="635"/>
              <wp:wrapNone/>
              <wp:docPr id="8"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09550" cy="131445"/>
                      </a:xfrm>
                      <a:prstGeom prst="rect">
                        <a:avLst/>
                      </a:prstGeom>
                      <a:noFill/>
                      <a:ln>
                        <a:noFill/>
                      </a:ln>
                    </wps:spPr>
                    <wps:txbx>
                      <w:txbxContent>
                        <w:p w14:paraId="78BF2FE1">
                          <w:pPr>
                            <w:pStyle w:val="15"/>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0.35pt;width:16.5pt;mso-position-horizontal:outside;mso-position-horizontal-relative:margin;mso-wrap-style:none;z-index:251670528;mso-width-relative:page;mso-height-relative:page;" filled="f" stroked="f" coordsize="21600,21600" o:gfxdata="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WjjO7QAAAAAwEAAA8AAAAAAAAAAQAgAAAAIgAAAGRycy9k&#10;b3ducmV2LnhtbFBLAQIUABQAAAAIAIdO4kDJTXQnCgIAAAIEAAAOAAAAAAAAAAEAIAAAAB8BAABk&#10;cnMvZTJvRG9jLnhtbFBLBQYAAAAABgAGAFkBAACbBQAAAAA=&#10;">
              <v:fill on="f" focussize="0,0"/>
              <v:stroke on="f"/>
              <v:imagedata o:title=""/>
              <o:lock v:ext="edit" aspectratio="f"/>
              <v:textbox inset="0mm,0mm,0mm,0mm" style="mso-fit-shape-to-text:t;">
                <w:txbxContent>
                  <w:p w14:paraId="78BF2FE1">
                    <w:pPr>
                      <w:pStyle w:val="15"/>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248285" cy="284480"/>
              <wp:effectExtent l="0" t="1270" r="3810" b="0"/>
              <wp:wrapNone/>
              <wp:docPr id="7"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48285" cy="284480"/>
                      </a:xfrm>
                      <a:prstGeom prst="rect">
                        <a:avLst/>
                      </a:prstGeom>
                      <a:noFill/>
                      <a:ln>
                        <a:noFill/>
                      </a:ln>
                    </wps:spPr>
                    <wps:txbx>
                      <w:txbxContent>
                        <w:p w14:paraId="6F6D0DEF">
                          <w:pPr>
                            <w:pStyle w:val="15"/>
                            <w:jc w:val="left"/>
                          </w:pPr>
                        </w:p>
                        <w:p w14:paraId="45BC7220"/>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0pt;height:22.4pt;width:19.55pt;mso-position-horizontal:outside;mso-position-horizontal-relative:margin;mso-wrap-style:none;z-index:251668480;mso-width-relative:page;mso-height-relative:page;" filled="f" stroked="f" coordsize="21600,21600" o:gfxdata="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H0ot10QAAAAMBAAAPAAAAAAAAAAEAIAAAACIAAABkcnMv&#10;ZG93bnJldi54bWxQSwECFAAUAAAACACHTuJA4ZkxxgoCAAACBAAADgAAAAAAAAABACAAAAAgAQAA&#10;ZHJzL2Uyb0RvYy54bWxQSwUGAAAAAAYABgBZAQAAnAUAAAAA&#10;">
              <v:fill on="f" focussize="0,0"/>
              <v:stroke on="f"/>
              <v:imagedata o:title=""/>
              <o:lock v:ext="edit" aspectratio="f"/>
              <v:textbox inset="0mm,0mm,0mm,0mm" style="mso-fit-shape-to-text:t;">
                <w:txbxContent>
                  <w:p w14:paraId="6F6D0DEF">
                    <w:pPr>
                      <w:pStyle w:val="15"/>
                      <w:jc w:val="left"/>
                    </w:pPr>
                  </w:p>
                  <w:p w14:paraId="45BC7220"/>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502E8">
    <w:pPr>
      <w:pStyle w:val="43"/>
      <w:tabs>
        <w:tab w:val="right" w:pos="9354"/>
      </w:tabs>
      <w:jc w:val="left"/>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91135" cy="131445"/>
              <wp:effectExtent l="635" t="3810" r="0" b="0"/>
              <wp:wrapNone/>
              <wp:docPr id="2" name="文本框 7"/>
              <wp:cNvGraphicFramePr/>
              <a:graphic xmlns:a="http://schemas.openxmlformats.org/drawingml/2006/main">
                <a:graphicData uri="http://schemas.microsoft.com/office/word/2010/wordprocessingShape">
                  <wps:wsp>
                    <wps:cNvSpPr txBox="1">
                      <a:spLocks noChangeArrowheads="1"/>
                    </wps:cNvSpPr>
                    <wps:spPr bwMode="auto">
                      <a:xfrm>
                        <a:off x="0" y="0"/>
                        <a:ext cx="191135" cy="131445"/>
                      </a:xfrm>
                      <a:prstGeom prst="rect">
                        <a:avLst/>
                      </a:prstGeom>
                      <a:noFill/>
                      <a:ln>
                        <a:noFill/>
                      </a:ln>
                      <a:effectLst/>
                    </wps:spPr>
                    <wps:txbx>
                      <w:txbxContent>
                        <w:p w14:paraId="7D3F243F">
                          <w:pPr>
                            <w:pStyle w:val="15"/>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0.35pt;width:15.05pt;mso-position-horizontal:outside;mso-position-horizontal-relative:margin;mso-wrap-style:none;z-index:251672576;mso-width-relative:page;mso-height-relative:page;" filled="f" stroked="f" coordsize="21600,21600" o:gfxdata="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O/3oLRAAAAAwEAAA8AAAAAAAAAAQAgAAAAIgAA&#10;AGRycy9kb3ducmV2LnhtbFBLAQIUABQAAAAIAIdO4kAvLc73DwIAABAEAAAOAAAAAAAAAAEAIAAA&#10;ACABAABkcnMvZTJvRG9jLnhtbFBLBQYAAAAABgAGAFkBAAChBQAAAAA=&#10;">
              <v:fill on="f" focussize="0,0"/>
              <v:stroke on="f"/>
              <v:imagedata o:title=""/>
              <o:lock v:ext="edit" aspectratio="f"/>
              <v:textbox inset="0mm,0mm,0mm,0mm" style="mso-fit-shape-to-text:t;">
                <w:txbxContent>
                  <w:p w14:paraId="7D3F243F">
                    <w:pPr>
                      <w:pStyle w:val="15"/>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240665" cy="377825"/>
              <wp:effectExtent l="0" t="3810" r="0" b="0"/>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40665" cy="377825"/>
                      </a:xfrm>
                      <a:prstGeom prst="rect">
                        <a:avLst/>
                      </a:prstGeom>
                      <a:noFill/>
                      <a:ln>
                        <a:noFill/>
                      </a:ln>
                    </wps:spPr>
                    <wps:txbx>
                      <w:txbxContent>
                        <w:p w14:paraId="14BD70C8">
                          <w:pPr>
                            <w:pStyle w:val="43"/>
                            <w:jc w:val="left"/>
                          </w:pPr>
                        </w:p>
                        <w:p w14:paraId="429C6247"/>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29.75pt;width:18.95pt;mso-position-horizontal:outside;mso-position-horizontal-relative:margin;mso-wrap-style:none;z-index:251671552;mso-width-relative:page;mso-height-relative:page;" filled="f" stroked="f" coordsize="21600,21600" o:gfxdata="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e6odIAAAADAQAADwAAAAAAAAABACAAAAAiAAAAZHJz&#10;L2Rvd25yZXYueG1sUEsBAhQAFAAAAAgAh07iQDWCFUgKAgAAAgQAAA4AAAAAAAAAAQAgAAAAIQEA&#10;AGRycy9lMm9Eb2MueG1sUEsFBgAAAAAGAAYAWQEAAJ0FAAAAAA==&#10;">
              <v:fill on="f" focussize="0,0"/>
              <v:stroke on="f"/>
              <v:imagedata o:title=""/>
              <o:lock v:ext="edit" aspectratio="f"/>
              <v:textbox inset="0mm,0mm,0mm,0mm" style="mso-fit-shape-to-text:t;">
                <w:txbxContent>
                  <w:p w14:paraId="14BD70C8">
                    <w:pPr>
                      <w:pStyle w:val="43"/>
                      <w:jc w:val="left"/>
                    </w:pPr>
                  </w:p>
                  <w:p w14:paraId="429C6247"/>
                </w:txbxContent>
              </v:textbox>
            </v:shape>
          </w:pict>
        </mc:Fallback>
      </mc:AlternateConten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AC495">
    <w:pPr>
      <w:pStyle w:val="15"/>
      <w:jc w:val="left"/>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91135" cy="131445"/>
              <wp:effectExtent l="0" t="1270" r="3810" b="635"/>
              <wp:wrapNone/>
              <wp:docPr id="4" name="文本框 9"/>
              <wp:cNvGraphicFramePr/>
              <a:graphic xmlns:a="http://schemas.openxmlformats.org/drawingml/2006/main">
                <a:graphicData uri="http://schemas.microsoft.com/office/word/2010/wordprocessingShape">
                  <wps:wsp>
                    <wps:cNvSpPr txBox="1">
                      <a:spLocks noChangeArrowheads="1"/>
                    </wps:cNvSpPr>
                    <wps:spPr bwMode="auto">
                      <a:xfrm>
                        <a:off x="0" y="0"/>
                        <a:ext cx="191135" cy="131445"/>
                      </a:xfrm>
                      <a:prstGeom prst="rect">
                        <a:avLst/>
                      </a:prstGeom>
                      <a:noFill/>
                      <a:ln>
                        <a:noFill/>
                      </a:ln>
                      <a:effectLst/>
                    </wps:spPr>
                    <wps:txbx>
                      <w:txbxContent>
                        <w:p w14:paraId="4C89E89A">
                          <w:pPr>
                            <w:pStyle w:val="15"/>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9" o:spid="_x0000_s1026" o:spt="202" type="#_x0000_t202" style="position:absolute;left:0pt;margin-top:0pt;height:10.35pt;width:15.05pt;mso-position-horizontal:outside;mso-position-horizontal-relative:margin;mso-wrap-style:none;z-index:251674624;mso-width-relative:page;mso-height-relative:page;" filled="f" stroked="f" coordsize="21600,21600" o:gfxdata="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O/3oLRAAAAAwEAAA8AAAAAAAAAAQAgAAAAIgAA&#10;AGRycy9kb3ducmV2LnhtbFBLAQIUABQAAAAIAIdO4kBq4f8MDwIAABAEAAAOAAAAAAAAAAEAIAAA&#10;ACABAABkcnMvZTJvRG9jLnhtbFBLBQYAAAAABgAGAFkBAAChBQAAAAA=&#10;">
              <v:fill on="f" focussize="0,0"/>
              <v:stroke on="f"/>
              <v:imagedata o:title=""/>
              <o:lock v:ext="edit" aspectratio="f"/>
              <v:textbox inset="0mm,0mm,0mm,0mm" style="mso-fit-shape-to-text:t;">
                <w:txbxContent>
                  <w:p w14:paraId="4C89E89A">
                    <w:pPr>
                      <w:pStyle w:val="15"/>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248285" cy="284480"/>
              <wp:effectExtent l="0" t="1270" r="3810" b="0"/>
              <wp:wrapNone/>
              <wp:docPr id="3"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248285" cy="284480"/>
                      </a:xfrm>
                      <a:prstGeom prst="rect">
                        <a:avLst/>
                      </a:prstGeom>
                      <a:noFill/>
                      <a:ln>
                        <a:noFill/>
                      </a:ln>
                    </wps:spPr>
                    <wps:txbx>
                      <w:txbxContent>
                        <w:p w14:paraId="4FD230B6">
                          <w:pPr>
                            <w:pStyle w:val="15"/>
                            <w:jc w:val="left"/>
                          </w:pPr>
                        </w:p>
                        <w:p w14:paraId="4DA3A6CF"/>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22.4pt;width:19.55pt;mso-position-horizontal:outside;mso-position-horizontal-relative:margin;mso-wrap-style:none;z-index:251673600;mso-width-relative:page;mso-height-relative:page;" filled="f" stroked="f" coordsize="21600,21600" o:gfxdata="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9KLddEAAAADAQAADwAAAAAAAAABACAAAAAiAAAAZHJz&#10;L2Rvd25yZXYueG1sUEsBAhQAFAAAAAgAh07iQGhxVQ0LAgAAAwQAAA4AAAAAAAAAAQAgAAAAIAEA&#10;AGRycy9lMm9Eb2MueG1sUEsFBgAAAAAGAAYAWQEAAJ0FAAAAAA==&#10;">
              <v:fill on="f" focussize="0,0"/>
              <v:stroke on="f"/>
              <v:imagedata o:title=""/>
              <o:lock v:ext="edit" aspectratio="f"/>
              <v:textbox inset="0mm,0mm,0mm,0mm" style="mso-fit-shape-to-text:t;">
                <w:txbxContent>
                  <w:p w14:paraId="4FD230B6">
                    <w:pPr>
                      <w:pStyle w:val="15"/>
                      <w:jc w:val="left"/>
                    </w:pPr>
                  </w:p>
                  <w:p w14:paraId="4DA3A6CF"/>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A0EC9">
    <w:pPr>
      <w:pStyle w:val="44"/>
      <w:jc w:val="left"/>
    </w:pPr>
    <w:r>
      <w:rPr>
        <w:rFonts w:hint="eastAsia"/>
      </w:rPr>
      <w:t>T</w:t>
    </w:r>
    <w:r>
      <w:t>/SZS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D3296">
    <w:pPr>
      <w:pStyle w:val="44"/>
    </w:pPr>
    <w:r>
      <w:rPr>
        <w:rFonts w:hint="eastAsia"/>
      </w:rPr>
      <w:t>T</w:t>
    </w:r>
    <w:r>
      <w:t>/SZS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32881"/>
    <w:multiLevelType w:val="multilevel"/>
    <w:tmpl w:val="07032881"/>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79102AD"/>
    <w:multiLevelType w:val="multilevel"/>
    <w:tmpl w:val="079102AD"/>
    <w:lvl w:ilvl="0" w:tentative="0">
      <w:start w:val="1"/>
      <w:numFmt w:val="decimal"/>
      <w:pStyle w:val="5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1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12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46"/>
      <w:suff w:val="nothing"/>
      <w:lvlText w:val="%1.%2.%3　"/>
      <w:lvlJc w:val="left"/>
      <w:pPr>
        <w:ind w:left="0" w:firstLine="0"/>
      </w:pPr>
      <w:rPr>
        <w:rFonts w:hint="eastAsia" w:ascii="黑体" w:hAnsi="Times New Roman" w:eastAsia="黑体"/>
        <w:b w:val="0"/>
        <w:i w:val="0"/>
        <w:sz w:val="21"/>
      </w:rPr>
    </w:lvl>
    <w:lvl w:ilvl="3" w:tentative="0">
      <w:start w:val="1"/>
      <w:numFmt w:val="decimal"/>
      <w:pStyle w:val="51"/>
      <w:suff w:val="nothing"/>
      <w:lvlText w:val="%1.%2.%3.%4　"/>
      <w:lvlJc w:val="left"/>
      <w:pPr>
        <w:ind w:left="0" w:firstLine="0"/>
      </w:pPr>
      <w:rPr>
        <w:rFonts w:hint="eastAsia" w:ascii="黑体" w:hAnsi="Times New Roman" w:eastAsia="黑体"/>
        <w:b w:val="0"/>
        <w:i w:val="0"/>
        <w:sz w:val="21"/>
      </w:rPr>
    </w:lvl>
    <w:lvl w:ilvl="4" w:tentative="0">
      <w:start w:val="1"/>
      <w:numFmt w:val="decimal"/>
      <w:pStyle w:val="55"/>
      <w:suff w:val="nothing"/>
      <w:lvlText w:val="%1.%2.%3.%4.%5　"/>
      <w:lvlJc w:val="left"/>
      <w:pPr>
        <w:ind w:left="0" w:firstLine="0"/>
      </w:pPr>
      <w:rPr>
        <w:rFonts w:hint="eastAsia" w:ascii="黑体" w:hAnsi="Times New Roman" w:eastAsia="黑体"/>
        <w:b w:val="0"/>
        <w:i w:val="0"/>
        <w:sz w:val="21"/>
      </w:rPr>
    </w:lvl>
    <w:lvl w:ilvl="5" w:tentative="0">
      <w:start w:val="1"/>
      <w:numFmt w:val="decimal"/>
      <w:pStyle w:val="5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1491CA4"/>
    <w:multiLevelType w:val="multilevel"/>
    <w:tmpl w:val="21491CA4"/>
    <w:lvl w:ilvl="0" w:tentative="0">
      <w:start w:val="1"/>
      <w:numFmt w:val="lowerLetter"/>
      <w:pStyle w:val="140"/>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2A8F7113"/>
    <w:multiLevelType w:val="multilevel"/>
    <w:tmpl w:val="2A8F7113"/>
    <w:lvl w:ilvl="0" w:tentative="0">
      <w:start w:val="1"/>
      <w:numFmt w:val="upperLetter"/>
      <w:pStyle w:val="98"/>
      <w:suff w:val="space"/>
      <w:lvlText w:val="%1"/>
      <w:lvlJc w:val="left"/>
      <w:pPr>
        <w:ind w:left="623" w:hanging="425"/>
      </w:pPr>
      <w:rPr>
        <w:rFonts w:hint="eastAsia"/>
      </w:rPr>
    </w:lvl>
    <w:lvl w:ilvl="1" w:tentative="0">
      <w:start w:val="1"/>
      <w:numFmt w:val="decimal"/>
      <w:pStyle w:val="9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48"/>
      <w:suff w:val="nothing"/>
      <w:lvlText w:val="%1——"/>
      <w:lvlJc w:val="left"/>
      <w:pPr>
        <w:ind w:left="833" w:hanging="408"/>
      </w:pPr>
      <w:rPr>
        <w:rFonts w:hint="eastAsia"/>
      </w:rPr>
    </w:lvl>
    <w:lvl w:ilvl="1" w:tentative="0">
      <w:start w:val="1"/>
      <w:numFmt w:val="bullet"/>
      <w:pStyle w:val="49"/>
      <w:lvlText w:val=""/>
      <w:lvlJc w:val="left"/>
      <w:pPr>
        <w:tabs>
          <w:tab w:val="left" w:pos="760"/>
        </w:tabs>
        <w:ind w:left="1264" w:hanging="413"/>
      </w:pPr>
      <w:rPr>
        <w:rFonts w:hint="default" w:ascii="Symbol" w:hAnsi="Symbol"/>
        <w:color w:val="auto"/>
      </w:rPr>
    </w:lvl>
    <w:lvl w:ilvl="2" w:tentative="0">
      <w:start w:val="1"/>
      <w:numFmt w:val="bullet"/>
      <w:pStyle w:val="6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5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6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12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86"/>
      <w:lvlText w:val="%1"/>
      <w:lvlJc w:val="left"/>
      <w:pPr>
        <w:tabs>
          <w:tab w:val="left" w:pos="0"/>
        </w:tabs>
        <w:ind w:left="0" w:hanging="425"/>
      </w:pPr>
      <w:rPr>
        <w:rFonts w:hint="eastAsia"/>
      </w:rPr>
    </w:lvl>
    <w:lvl w:ilvl="1" w:tentative="0">
      <w:start w:val="1"/>
      <w:numFmt w:val="decimal"/>
      <w:pStyle w:val="8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8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3"/>
      <w:suff w:val="nothing"/>
      <w:lvlText w:val="%1.%2.%3　"/>
      <w:lvlJc w:val="left"/>
      <w:pPr>
        <w:ind w:left="0" w:firstLine="0"/>
      </w:pPr>
      <w:rPr>
        <w:rFonts w:hint="eastAsia" w:ascii="黑体" w:hAnsi="Times New Roman" w:eastAsia="黑体"/>
        <w:b w:val="0"/>
        <w:i w:val="0"/>
        <w:sz w:val="21"/>
      </w:rPr>
    </w:lvl>
    <w:lvl w:ilvl="3" w:tentative="0">
      <w:start w:val="1"/>
      <w:numFmt w:val="decimal"/>
      <w:pStyle w:val="88"/>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6"/>
      <w:suff w:val="nothing"/>
      <w:lvlText w:val="%1.%2.%3.%4.%5.%6　"/>
      <w:lvlJc w:val="left"/>
      <w:pPr>
        <w:ind w:left="0" w:firstLine="0"/>
      </w:pPr>
      <w:rPr>
        <w:rFonts w:hint="eastAsia" w:ascii="黑体" w:hAnsi="Times New Roman" w:eastAsia="黑体"/>
        <w:b w:val="0"/>
        <w:i w:val="0"/>
        <w:sz w:val="21"/>
      </w:rPr>
    </w:lvl>
    <w:lvl w:ilvl="6" w:tentative="0">
      <w:start w:val="1"/>
      <w:numFmt w:val="decimal"/>
      <w:pStyle w:val="10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05"/>
      <w:lvlText w:val="%1)"/>
      <w:lvlJc w:val="left"/>
      <w:pPr>
        <w:tabs>
          <w:tab w:val="left" w:pos="839"/>
        </w:tabs>
        <w:ind w:left="839" w:hanging="419"/>
      </w:pPr>
      <w:rPr>
        <w:rFonts w:hint="eastAsia" w:ascii="宋体" w:eastAsia="宋体"/>
        <w:b w:val="0"/>
        <w:i w:val="0"/>
        <w:sz w:val="21"/>
      </w:rPr>
    </w:lvl>
    <w:lvl w:ilvl="1" w:tentative="0">
      <w:start w:val="1"/>
      <w:numFmt w:val="decimal"/>
      <w:pStyle w:val="9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5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9">
    <w:nsid w:val="709E3496"/>
    <w:multiLevelType w:val="multilevel"/>
    <w:tmpl w:val="709E3496"/>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0"/>
  </w:num>
  <w:num w:numId="2">
    <w:abstractNumId w:val="6"/>
  </w:num>
  <w:num w:numId="3">
    <w:abstractNumId w:val="9"/>
  </w:num>
  <w:num w:numId="4">
    <w:abstractNumId w:val="3"/>
  </w:num>
  <w:num w:numId="5">
    <w:abstractNumId w:val="11"/>
  </w:num>
  <w:num w:numId="6">
    <w:abstractNumId w:val="18"/>
  </w:num>
  <w:num w:numId="7">
    <w:abstractNumId w:val="1"/>
  </w:num>
  <w:num w:numId="8">
    <w:abstractNumId w:val="12"/>
  </w:num>
  <w:num w:numId="9">
    <w:abstractNumId w:val="5"/>
  </w:num>
  <w:num w:numId="10">
    <w:abstractNumId w:val="16"/>
  </w:num>
  <w:num w:numId="11">
    <w:abstractNumId w:val="14"/>
  </w:num>
  <w:num w:numId="12">
    <w:abstractNumId w:val="17"/>
  </w:num>
  <w:num w:numId="13">
    <w:abstractNumId w:val="8"/>
  </w:num>
  <w:num w:numId="14">
    <w:abstractNumId w:val="2"/>
  </w:num>
  <w:num w:numId="15">
    <w:abstractNumId w:val="4"/>
  </w:num>
  <w:num w:numId="16">
    <w:abstractNumId w:val="15"/>
  </w:num>
  <w:num w:numId="17">
    <w:abstractNumId w:val="13"/>
  </w:num>
  <w:num w:numId="18">
    <w:abstractNumId w:val="7"/>
  </w:num>
  <w:num w:numId="19">
    <w:abstractNumId w:val="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wYzFiYmJhMzg3ZTc1ZDNhMGRiMzdlZWRhMDk0N2EifQ=="/>
  </w:docVars>
  <w:rsids>
    <w:rsidRoot w:val="00035925"/>
    <w:rsid w:val="00000244"/>
    <w:rsid w:val="0000185F"/>
    <w:rsid w:val="0000586F"/>
    <w:rsid w:val="00013D86"/>
    <w:rsid w:val="00013E02"/>
    <w:rsid w:val="0002143C"/>
    <w:rsid w:val="00025A65"/>
    <w:rsid w:val="00026C31"/>
    <w:rsid w:val="00027280"/>
    <w:rsid w:val="00030165"/>
    <w:rsid w:val="000320A7"/>
    <w:rsid w:val="00034CC9"/>
    <w:rsid w:val="00035925"/>
    <w:rsid w:val="00067CDF"/>
    <w:rsid w:val="00074FBE"/>
    <w:rsid w:val="00076FE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0F5014"/>
    <w:rsid w:val="001056DE"/>
    <w:rsid w:val="001064D8"/>
    <w:rsid w:val="001124C0"/>
    <w:rsid w:val="0013175F"/>
    <w:rsid w:val="00143ECC"/>
    <w:rsid w:val="00145652"/>
    <w:rsid w:val="001512B4"/>
    <w:rsid w:val="001620A5"/>
    <w:rsid w:val="0016490A"/>
    <w:rsid w:val="00164E53"/>
    <w:rsid w:val="0016699D"/>
    <w:rsid w:val="00175159"/>
    <w:rsid w:val="00176208"/>
    <w:rsid w:val="0018211B"/>
    <w:rsid w:val="001840D3"/>
    <w:rsid w:val="001900F8"/>
    <w:rsid w:val="00191258"/>
    <w:rsid w:val="00192680"/>
    <w:rsid w:val="00193037"/>
    <w:rsid w:val="00193A2C"/>
    <w:rsid w:val="001A0189"/>
    <w:rsid w:val="001A288E"/>
    <w:rsid w:val="001B6DC2"/>
    <w:rsid w:val="001C149C"/>
    <w:rsid w:val="001C21AC"/>
    <w:rsid w:val="001C47BA"/>
    <w:rsid w:val="001C59EA"/>
    <w:rsid w:val="001D406C"/>
    <w:rsid w:val="001D41EE"/>
    <w:rsid w:val="001E0380"/>
    <w:rsid w:val="001E13B1"/>
    <w:rsid w:val="001E6254"/>
    <w:rsid w:val="001F3A19"/>
    <w:rsid w:val="00234467"/>
    <w:rsid w:val="002352E3"/>
    <w:rsid w:val="00237D8D"/>
    <w:rsid w:val="00241DA2"/>
    <w:rsid w:val="00247EE9"/>
    <w:rsid w:val="00247FEE"/>
    <w:rsid w:val="00250E7D"/>
    <w:rsid w:val="002565D5"/>
    <w:rsid w:val="00257C09"/>
    <w:rsid w:val="0026129E"/>
    <w:rsid w:val="002622C0"/>
    <w:rsid w:val="002665A1"/>
    <w:rsid w:val="002778AE"/>
    <w:rsid w:val="00282614"/>
    <w:rsid w:val="0028269A"/>
    <w:rsid w:val="00283590"/>
    <w:rsid w:val="00286973"/>
    <w:rsid w:val="002945DB"/>
    <w:rsid w:val="00294E70"/>
    <w:rsid w:val="002A1924"/>
    <w:rsid w:val="002A7420"/>
    <w:rsid w:val="002B0F12"/>
    <w:rsid w:val="002B1308"/>
    <w:rsid w:val="002B4554"/>
    <w:rsid w:val="002C72D8"/>
    <w:rsid w:val="002D11FA"/>
    <w:rsid w:val="002D4E44"/>
    <w:rsid w:val="002E0DDF"/>
    <w:rsid w:val="002E262A"/>
    <w:rsid w:val="002E2906"/>
    <w:rsid w:val="002E5635"/>
    <w:rsid w:val="002E64C3"/>
    <w:rsid w:val="002E6A2C"/>
    <w:rsid w:val="002F1D8C"/>
    <w:rsid w:val="002F21DA"/>
    <w:rsid w:val="002F4697"/>
    <w:rsid w:val="00301F39"/>
    <w:rsid w:val="00325926"/>
    <w:rsid w:val="00327A8A"/>
    <w:rsid w:val="00336610"/>
    <w:rsid w:val="00336FD8"/>
    <w:rsid w:val="00343F73"/>
    <w:rsid w:val="00345060"/>
    <w:rsid w:val="00350434"/>
    <w:rsid w:val="0035323B"/>
    <w:rsid w:val="003609D2"/>
    <w:rsid w:val="00363F22"/>
    <w:rsid w:val="00375564"/>
    <w:rsid w:val="00383191"/>
    <w:rsid w:val="00386DED"/>
    <w:rsid w:val="003912E7"/>
    <w:rsid w:val="00393947"/>
    <w:rsid w:val="003A0403"/>
    <w:rsid w:val="003A2275"/>
    <w:rsid w:val="003A6A4F"/>
    <w:rsid w:val="003A7088"/>
    <w:rsid w:val="003B00DF"/>
    <w:rsid w:val="003B1275"/>
    <w:rsid w:val="003B1778"/>
    <w:rsid w:val="003C11CB"/>
    <w:rsid w:val="003C75F3"/>
    <w:rsid w:val="003C78A3"/>
    <w:rsid w:val="003E1867"/>
    <w:rsid w:val="003E4E78"/>
    <w:rsid w:val="003E5729"/>
    <w:rsid w:val="003F4241"/>
    <w:rsid w:val="003F4EE0"/>
    <w:rsid w:val="00402153"/>
    <w:rsid w:val="00402FC1"/>
    <w:rsid w:val="00425082"/>
    <w:rsid w:val="00431DEB"/>
    <w:rsid w:val="00446B29"/>
    <w:rsid w:val="00453F9A"/>
    <w:rsid w:val="0045551F"/>
    <w:rsid w:val="00463C5F"/>
    <w:rsid w:val="00471E91"/>
    <w:rsid w:val="00474675"/>
    <w:rsid w:val="0047470C"/>
    <w:rsid w:val="00487CB5"/>
    <w:rsid w:val="004A35F9"/>
    <w:rsid w:val="004B24C1"/>
    <w:rsid w:val="004C292F"/>
    <w:rsid w:val="00510280"/>
    <w:rsid w:val="00513D73"/>
    <w:rsid w:val="00514A43"/>
    <w:rsid w:val="00515785"/>
    <w:rsid w:val="005174E5"/>
    <w:rsid w:val="00522393"/>
    <w:rsid w:val="00522620"/>
    <w:rsid w:val="00525656"/>
    <w:rsid w:val="00534C02"/>
    <w:rsid w:val="0054264B"/>
    <w:rsid w:val="00543786"/>
    <w:rsid w:val="0055085E"/>
    <w:rsid w:val="005533D7"/>
    <w:rsid w:val="00553DF3"/>
    <w:rsid w:val="005703DE"/>
    <w:rsid w:val="0058464E"/>
    <w:rsid w:val="005A01CB"/>
    <w:rsid w:val="005A58FF"/>
    <w:rsid w:val="005A5EAF"/>
    <w:rsid w:val="005A64C0"/>
    <w:rsid w:val="005B3C11"/>
    <w:rsid w:val="005C1C28"/>
    <w:rsid w:val="005C6DB5"/>
    <w:rsid w:val="005E0CD9"/>
    <w:rsid w:val="005E19E7"/>
    <w:rsid w:val="005E206B"/>
    <w:rsid w:val="005E37E5"/>
    <w:rsid w:val="005F3980"/>
    <w:rsid w:val="0061716C"/>
    <w:rsid w:val="006243A1"/>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351B3"/>
    <w:rsid w:val="007419C3"/>
    <w:rsid w:val="0074537A"/>
    <w:rsid w:val="007454EE"/>
    <w:rsid w:val="007467A7"/>
    <w:rsid w:val="007469DD"/>
    <w:rsid w:val="0074741B"/>
    <w:rsid w:val="0074759E"/>
    <w:rsid w:val="007478EA"/>
    <w:rsid w:val="0075415C"/>
    <w:rsid w:val="00763502"/>
    <w:rsid w:val="007913AB"/>
    <w:rsid w:val="007914F7"/>
    <w:rsid w:val="00797774"/>
    <w:rsid w:val="007A2C6E"/>
    <w:rsid w:val="007A646F"/>
    <w:rsid w:val="007B1625"/>
    <w:rsid w:val="007B706E"/>
    <w:rsid w:val="007B71EB"/>
    <w:rsid w:val="007C4823"/>
    <w:rsid w:val="007C4E6A"/>
    <w:rsid w:val="007C6205"/>
    <w:rsid w:val="007C686A"/>
    <w:rsid w:val="007C728E"/>
    <w:rsid w:val="007D2C53"/>
    <w:rsid w:val="007D3D60"/>
    <w:rsid w:val="007D4033"/>
    <w:rsid w:val="007D730B"/>
    <w:rsid w:val="007E1980"/>
    <w:rsid w:val="007E4B76"/>
    <w:rsid w:val="007E5EA8"/>
    <w:rsid w:val="007F0CF1"/>
    <w:rsid w:val="007F12A5"/>
    <w:rsid w:val="007F2B53"/>
    <w:rsid w:val="007F4CF1"/>
    <w:rsid w:val="007F758D"/>
    <w:rsid w:val="007F7D52"/>
    <w:rsid w:val="007F7DBC"/>
    <w:rsid w:val="0080654C"/>
    <w:rsid w:val="008071C6"/>
    <w:rsid w:val="00817A00"/>
    <w:rsid w:val="00835DB3"/>
    <w:rsid w:val="0083617B"/>
    <w:rsid w:val="008371BD"/>
    <w:rsid w:val="008504A8"/>
    <w:rsid w:val="0085282E"/>
    <w:rsid w:val="0087198C"/>
    <w:rsid w:val="00872C1F"/>
    <w:rsid w:val="00873B42"/>
    <w:rsid w:val="008856D8"/>
    <w:rsid w:val="00892E82"/>
    <w:rsid w:val="008A3044"/>
    <w:rsid w:val="008C1B58"/>
    <w:rsid w:val="008C39AE"/>
    <w:rsid w:val="008C590D"/>
    <w:rsid w:val="008E031B"/>
    <w:rsid w:val="008E129F"/>
    <w:rsid w:val="008E7029"/>
    <w:rsid w:val="008E7EF6"/>
    <w:rsid w:val="008F1F98"/>
    <w:rsid w:val="008F2666"/>
    <w:rsid w:val="008F6758"/>
    <w:rsid w:val="009040DD"/>
    <w:rsid w:val="00905B47"/>
    <w:rsid w:val="0091331C"/>
    <w:rsid w:val="00917089"/>
    <w:rsid w:val="009279DE"/>
    <w:rsid w:val="00930116"/>
    <w:rsid w:val="0094212C"/>
    <w:rsid w:val="00954689"/>
    <w:rsid w:val="009617C9"/>
    <w:rsid w:val="00961C93"/>
    <w:rsid w:val="00965324"/>
    <w:rsid w:val="0097091E"/>
    <w:rsid w:val="009751A5"/>
    <w:rsid w:val="009760D3"/>
    <w:rsid w:val="00977132"/>
    <w:rsid w:val="00981A4B"/>
    <w:rsid w:val="00982501"/>
    <w:rsid w:val="009877D3"/>
    <w:rsid w:val="00994E8F"/>
    <w:rsid w:val="009951DC"/>
    <w:rsid w:val="009959BB"/>
    <w:rsid w:val="009967A9"/>
    <w:rsid w:val="00997158"/>
    <w:rsid w:val="009A3A7C"/>
    <w:rsid w:val="009B2ADB"/>
    <w:rsid w:val="009B603A"/>
    <w:rsid w:val="009C2D0E"/>
    <w:rsid w:val="009C3DAC"/>
    <w:rsid w:val="009C42E0"/>
    <w:rsid w:val="009D5362"/>
    <w:rsid w:val="009E1415"/>
    <w:rsid w:val="009E6116"/>
    <w:rsid w:val="009F623F"/>
    <w:rsid w:val="00A02E43"/>
    <w:rsid w:val="00A065F9"/>
    <w:rsid w:val="00A07F34"/>
    <w:rsid w:val="00A22154"/>
    <w:rsid w:val="00A25C38"/>
    <w:rsid w:val="00A36BBE"/>
    <w:rsid w:val="00A418C2"/>
    <w:rsid w:val="00A4307A"/>
    <w:rsid w:val="00A47EBB"/>
    <w:rsid w:val="00A51CDD"/>
    <w:rsid w:val="00A6085C"/>
    <w:rsid w:val="00A6730D"/>
    <w:rsid w:val="00A71625"/>
    <w:rsid w:val="00A71B9B"/>
    <w:rsid w:val="00A751C7"/>
    <w:rsid w:val="00A87844"/>
    <w:rsid w:val="00AA038C"/>
    <w:rsid w:val="00AA7A09"/>
    <w:rsid w:val="00AB3B50"/>
    <w:rsid w:val="00AC05B1"/>
    <w:rsid w:val="00AD356C"/>
    <w:rsid w:val="00AE2914"/>
    <w:rsid w:val="00AE6D15"/>
    <w:rsid w:val="00AE6F17"/>
    <w:rsid w:val="00B04182"/>
    <w:rsid w:val="00B07AE3"/>
    <w:rsid w:val="00B11430"/>
    <w:rsid w:val="00B23EAE"/>
    <w:rsid w:val="00B353EB"/>
    <w:rsid w:val="00B439C4"/>
    <w:rsid w:val="00B4535E"/>
    <w:rsid w:val="00B52A8C"/>
    <w:rsid w:val="00B636A8"/>
    <w:rsid w:val="00B665C6"/>
    <w:rsid w:val="00B805AF"/>
    <w:rsid w:val="00B869EC"/>
    <w:rsid w:val="00B9397A"/>
    <w:rsid w:val="00B9633D"/>
    <w:rsid w:val="00BA2EBE"/>
    <w:rsid w:val="00BB0F28"/>
    <w:rsid w:val="00BB458A"/>
    <w:rsid w:val="00BD00D3"/>
    <w:rsid w:val="00BD1659"/>
    <w:rsid w:val="00BD3AA9"/>
    <w:rsid w:val="00BD3C7C"/>
    <w:rsid w:val="00BD4A18"/>
    <w:rsid w:val="00BD6DB2"/>
    <w:rsid w:val="00BE11CF"/>
    <w:rsid w:val="00BE21AB"/>
    <w:rsid w:val="00BE55CB"/>
    <w:rsid w:val="00BF15D6"/>
    <w:rsid w:val="00BF617A"/>
    <w:rsid w:val="00C0379D"/>
    <w:rsid w:val="00C03931"/>
    <w:rsid w:val="00C04C96"/>
    <w:rsid w:val="00C05FE3"/>
    <w:rsid w:val="00C2136D"/>
    <w:rsid w:val="00C214EE"/>
    <w:rsid w:val="00C2314B"/>
    <w:rsid w:val="00C236A2"/>
    <w:rsid w:val="00C24971"/>
    <w:rsid w:val="00C26BE5"/>
    <w:rsid w:val="00C26E4D"/>
    <w:rsid w:val="00C27909"/>
    <w:rsid w:val="00C27B03"/>
    <w:rsid w:val="00C314E1"/>
    <w:rsid w:val="00C34397"/>
    <w:rsid w:val="00C4095D"/>
    <w:rsid w:val="00C50CE3"/>
    <w:rsid w:val="00C601D2"/>
    <w:rsid w:val="00C657AB"/>
    <w:rsid w:val="00C65BCC"/>
    <w:rsid w:val="00C66970"/>
    <w:rsid w:val="00C8691C"/>
    <w:rsid w:val="00CA168A"/>
    <w:rsid w:val="00CA357E"/>
    <w:rsid w:val="00CA44F9"/>
    <w:rsid w:val="00CA4A69"/>
    <w:rsid w:val="00CC3E0C"/>
    <w:rsid w:val="00CC58D3"/>
    <w:rsid w:val="00CC784D"/>
    <w:rsid w:val="00CF4878"/>
    <w:rsid w:val="00CF4C9A"/>
    <w:rsid w:val="00CF79C7"/>
    <w:rsid w:val="00D0337B"/>
    <w:rsid w:val="00D079B2"/>
    <w:rsid w:val="00D114E9"/>
    <w:rsid w:val="00D25498"/>
    <w:rsid w:val="00D429C6"/>
    <w:rsid w:val="00D47748"/>
    <w:rsid w:val="00D54CC3"/>
    <w:rsid w:val="00D6041A"/>
    <w:rsid w:val="00D633EB"/>
    <w:rsid w:val="00D82FF7"/>
    <w:rsid w:val="00D847FE"/>
    <w:rsid w:val="00D964EA"/>
    <w:rsid w:val="00D966D0"/>
    <w:rsid w:val="00DA0C59"/>
    <w:rsid w:val="00DA1940"/>
    <w:rsid w:val="00DA3991"/>
    <w:rsid w:val="00DA3CD7"/>
    <w:rsid w:val="00DB5CAD"/>
    <w:rsid w:val="00DB7E6C"/>
    <w:rsid w:val="00DC42D2"/>
    <w:rsid w:val="00DD4769"/>
    <w:rsid w:val="00DD5A29"/>
    <w:rsid w:val="00DD5D9D"/>
    <w:rsid w:val="00DD77C9"/>
    <w:rsid w:val="00DE0078"/>
    <w:rsid w:val="00DE2C76"/>
    <w:rsid w:val="00DE35CB"/>
    <w:rsid w:val="00DF21E9"/>
    <w:rsid w:val="00E00F14"/>
    <w:rsid w:val="00E06386"/>
    <w:rsid w:val="00E155D3"/>
    <w:rsid w:val="00E24EB4"/>
    <w:rsid w:val="00E3094D"/>
    <w:rsid w:val="00E320ED"/>
    <w:rsid w:val="00E33AFB"/>
    <w:rsid w:val="00E34218"/>
    <w:rsid w:val="00E369F6"/>
    <w:rsid w:val="00E37EA2"/>
    <w:rsid w:val="00E4253F"/>
    <w:rsid w:val="00E46282"/>
    <w:rsid w:val="00E5216E"/>
    <w:rsid w:val="00E640E8"/>
    <w:rsid w:val="00E6480C"/>
    <w:rsid w:val="00E82344"/>
    <w:rsid w:val="00E84C82"/>
    <w:rsid w:val="00E84D64"/>
    <w:rsid w:val="00E87408"/>
    <w:rsid w:val="00E914C4"/>
    <w:rsid w:val="00E91772"/>
    <w:rsid w:val="00E934F5"/>
    <w:rsid w:val="00E96961"/>
    <w:rsid w:val="00EA72EC"/>
    <w:rsid w:val="00EB11CB"/>
    <w:rsid w:val="00EB275A"/>
    <w:rsid w:val="00EB355E"/>
    <w:rsid w:val="00EB786A"/>
    <w:rsid w:val="00EC1578"/>
    <w:rsid w:val="00EC1C72"/>
    <w:rsid w:val="00EC3CC9"/>
    <w:rsid w:val="00EC56B0"/>
    <w:rsid w:val="00EC680A"/>
    <w:rsid w:val="00ED7F43"/>
    <w:rsid w:val="00EE2BED"/>
    <w:rsid w:val="00EE374B"/>
    <w:rsid w:val="00F10635"/>
    <w:rsid w:val="00F11BB5"/>
    <w:rsid w:val="00F1417B"/>
    <w:rsid w:val="00F24AB6"/>
    <w:rsid w:val="00F34B99"/>
    <w:rsid w:val="00F52DAB"/>
    <w:rsid w:val="00F543F0"/>
    <w:rsid w:val="00F56491"/>
    <w:rsid w:val="00F56BFF"/>
    <w:rsid w:val="00F60D4B"/>
    <w:rsid w:val="00F670FB"/>
    <w:rsid w:val="00F81D29"/>
    <w:rsid w:val="00F91C4D"/>
    <w:rsid w:val="00F92FD9"/>
    <w:rsid w:val="00FA4E02"/>
    <w:rsid w:val="00FA6684"/>
    <w:rsid w:val="00FA731E"/>
    <w:rsid w:val="00FB2B38"/>
    <w:rsid w:val="00FC6358"/>
    <w:rsid w:val="00FD320D"/>
    <w:rsid w:val="00FE23DE"/>
    <w:rsid w:val="00FE33D5"/>
    <w:rsid w:val="013E1A4D"/>
    <w:rsid w:val="03497936"/>
    <w:rsid w:val="03F674F9"/>
    <w:rsid w:val="046B4631"/>
    <w:rsid w:val="04C332BE"/>
    <w:rsid w:val="08771EF6"/>
    <w:rsid w:val="093A3733"/>
    <w:rsid w:val="09447CC1"/>
    <w:rsid w:val="0C9336AD"/>
    <w:rsid w:val="0E57214D"/>
    <w:rsid w:val="0F296723"/>
    <w:rsid w:val="10196798"/>
    <w:rsid w:val="1150320F"/>
    <w:rsid w:val="11874F9E"/>
    <w:rsid w:val="12FE2007"/>
    <w:rsid w:val="13B87F8B"/>
    <w:rsid w:val="151E6ED2"/>
    <w:rsid w:val="15440EF5"/>
    <w:rsid w:val="17557418"/>
    <w:rsid w:val="19157D18"/>
    <w:rsid w:val="19767ADA"/>
    <w:rsid w:val="1D7F39C7"/>
    <w:rsid w:val="1DA0597E"/>
    <w:rsid w:val="1E576CB3"/>
    <w:rsid w:val="1F064CDB"/>
    <w:rsid w:val="206C2914"/>
    <w:rsid w:val="2125202B"/>
    <w:rsid w:val="21317868"/>
    <w:rsid w:val="22836D94"/>
    <w:rsid w:val="2360117D"/>
    <w:rsid w:val="251F7F80"/>
    <w:rsid w:val="256C0CC0"/>
    <w:rsid w:val="259752DC"/>
    <w:rsid w:val="26C6166C"/>
    <w:rsid w:val="275E2270"/>
    <w:rsid w:val="282B151E"/>
    <w:rsid w:val="2A1F7E06"/>
    <w:rsid w:val="2C5B7F3A"/>
    <w:rsid w:val="2CE51A2B"/>
    <w:rsid w:val="2D090851"/>
    <w:rsid w:val="2F38526D"/>
    <w:rsid w:val="2F86792C"/>
    <w:rsid w:val="307A49D5"/>
    <w:rsid w:val="318954C3"/>
    <w:rsid w:val="350A05B1"/>
    <w:rsid w:val="375B142D"/>
    <w:rsid w:val="37CD2216"/>
    <w:rsid w:val="39565AB7"/>
    <w:rsid w:val="39B20F40"/>
    <w:rsid w:val="3CB054DF"/>
    <w:rsid w:val="3DCA2C39"/>
    <w:rsid w:val="3FB5474A"/>
    <w:rsid w:val="410416B6"/>
    <w:rsid w:val="44995457"/>
    <w:rsid w:val="45165BB5"/>
    <w:rsid w:val="467F21AA"/>
    <w:rsid w:val="477E4C31"/>
    <w:rsid w:val="49C27E46"/>
    <w:rsid w:val="4B5F163A"/>
    <w:rsid w:val="4B830BE2"/>
    <w:rsid w:val="4C1B73AD"/>
    <w:rsid w:val="4C465518"/>
    <w:rsid w:val="4EFD5EFA"/>
    <w:rsid w:val="52144CB5"/>
    <w:rsid w:val="547224B9"/>
    <w:rsid w:val="562B7D9A"/>
    <w:rsid w:val="56F70C22"/>
    <w:rsid w:val="58543C7C"/>
    <w:rsid w:val="5A2C0331"/>
    <w:rsid w:val="5ACB44D8"/>
    <w:rsid w:val="5C593045"/>
    <w:rsid w:val="5C9365CC"/>
    <w:rsid w:val="5DEF61CF"/>
    <w:rsid w:val="5FED603C"/>
    <w:rsid w:val="62096377"/>
    <w:rsid w:val="65272EEA"/>
    <w:rsid w:val="6587347E"/>
    <w:rsid w:val="669D0D01"/>
    <w:rsid w:val="6A82366A"/>
    <w:rsid w:val="6B3F1D36"/>
    <w:rsid w:val="6BA4408F"/>
    <w:rsid w:val="6D4D2752"/>
    <w:rsid w:val="6DEE71E8"/>
    <w:rsid w:val="6F2B6D6B"/>
    <w:rsid w:val="6FB216B6"/>
    <w:rsid w:val="72AB3A3A"/>
    <w:rsid w:val="733121F9"/>
    <w:rsid w:val="7430747B"/>
    <w:rsid w:val="7738751F"/>
    <w:rsid w:val="78586C71"/>
    <w:rsid w:val="7A2B503B"/>
    <w:rsid w:val="7AEF55A8"/>
    <w:rsid w:val="7DEB24F4"/>
    <w:rsid w:val="7E837FDC"/>
    <w:rsid w:val="7FB708C5"/>
    <w:rsid w:val="7FDD6C04"/>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138"/>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2"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footer"/>
    <w:basedOn w:val="1"/>
    <w:link w:val="40"/>
    <w:qFormat/>
    <w:uiPriority w:val="99"/>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18">
    <w:name w:val="toc 4"/>
    <w:basedOn w:val="1"/>
    <w:next w:val="1"/>
    <w:semiHidden/>
    <w:qFormat/>
    <w:uiPriority w:val="0"/>
    <w:pPr>
      <w:tabs>
        <w:tab w:val="right" w:leader="dot" w:pos="9241"/>
      </w:tabs>
      <w:ind w:firstLine="198"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3"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1"/>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Normal (Web)"/>
    <w:basedOn w:val="1"/>
    <w:qFormat/>
    <w:uiPriority w:val="0"/>
    <w:pPr>
      <w:spacing w:before="100" w:beforeAutospacing="1" w:after="100" w:afterAutospacing="1"/>
      <w:jc w:val="left"/>
    </w:pPr>
    <w:rPr>
      <w:kern w:val="0"/>
      <w:sz w:val="24"/>
    </w:rPr>
  </w:style>
  <w:style w:type="paragraph" w:styleId="29">
    <w:name w:val="index 2"/>
    <w:basedOn w:val="1"/>
    <w:next w:val="1"/>
    <w:qFormat/>
    <w:uiPriority w:val="0"/>
    <w:pPr>
      <w:ind w:left="420" w:hanging="210"/>
      <w:jc w:val="left"/>
    </w:pPr>
    <w:rPr>
      <w:rFonts w:ascii="Calibri" w:hAnsi="Calibri"/>
      <w:sz w:val="20"/>
      <w:szCs w:val="20"/>
    </w:rPr>
  </w:style>
  <w:style w:type="paragraph" w:styleId="30">
    <w:name w:val="annotation subject"/>
    <w:basedOn w:val="7"/>
    <w:next w:val="7"/>
    <w:link w:val="139"/>
    <w:qFormat/>
    <w:uiPriority w:val="0"/>
    <w:rPr>
      <w:b/>
      <w:bCs/>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semiHidden/>
    <w:qFormat/>
    <w:uiPriority w:val="0"/>
    <w:rPr>
      <w:vertAlign w:val="superscript"/>
    </w:rPr>
  </w:style>
  <w:style w:type="character" w:styleId="35">
    <w:name w:val="page number"/>
    <w:qFormat/>
    <w:uiPriority w:val="0"/>
    <w:rPr>
      <w:rFonts w:ascii="Times New Roman" w:hAnsi="Times New Roman" w:eastAsia="宋体"/>
      <w:sz w:val="18"/>
    </w:rPr>
  </w:style>
  <w:style w:type="character" w:styleId="36">
    <w:name w:val="FollowedHyperlink"/>
    <w:qFormat/>
    <w:uiPriority w:val="0"/>
    <w:rPr>
      <w:color w:val="800080"/>
      <w:u w:val="single"/>
    </w:rPr>
  </w:style>
  <w:style w:type="character" w:styleId="37">
    <w:name w:val="Hyperlink"/>
    <w:qFormat/>
    <w:uiPriority w:val="99"/>
    <w:rPr>
      <w:color w:val="0000FF"/>
      <w:spacing w:val="0"/>
      <w:w w:val="100"/>
      <w:szCs w:val="21"/>
      <w:u w:val="single"/>
      <w:lang w:val="en-US" w:eastAsia="zh-CN"/>
    </w:rPr>
  </w:style>
  <w:style w:type="character" w:styleId="38">
    <w:name w:val="annotation reference"/>
    <w:qFormat/>
    <w:uiPriority w:val="0"/>
    <w:rPr>
      <w:sz w:val="21"/>
      <w:szCs w:val="21"/>
    </w:rPr>
  </w:style>
  <w:style w:type="character" w:styleId="39">
    <w:name w:val="footnote reference"/>
    <w:semiHidden/>
    <w:qFormat/>
    <w:uiPriority w:val="0"/>
    <w:rPr>
      <w:vertAlign w:val="superscript"/>
    </w:rPr>
  </w:style>
  <w:style w:type="character" w:customStyle="1" w:styleId="40">
    <w:name w:val="页脚 字符"/>
    <w:link w:val="15"/>
    <w:qFormat/>
    <w:uiPriority w:val="99"/>
    <w:rPr>
      <w:kern w:val="2"/>
      <w:sz w:val="18"/>
      <w:szCs w:val="18"/>
    </w:rPr>
  </w:style>
  <w:style w:type="character" w:customStyle="1" w:styleId="41">
    <w:name w:val="段 Char"/>
    <w:link w:val="21"/>
    <w:qFormat/>
    <w:uiPriority w:val="0"/>
    <w:rPr>
      <w:rFonts w:ascii="宋体"/>
      <w:sz w:val="21"/>
      <w:lang w:val="en-US" w:eastAsia="zh-CN" w:bidi="ar-SA"/>
    </w:rPr>
  </w:style>
  <w:style w:type="paragraph" w:customStyle="1" w:styleId="42">
    <w:name w:val="一级条标题"/>
    <w:next w:val="2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5">
    <w:name w:val="章标题"/>
    <w:next w:val="2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6">
    <w:name w:val="二级条标题"/>
    <w:basedOn w:val="42"/>
    <w:next w:val="21"/>
    <w:qFormat/>
    <w:uiPriority w:val="0"/>
    <w:pPr>
      <w:numPr>
        <w:ilvl w:val="2"/>
      </w:numPr>
      <w:spacing w:before="50" w:after="50"/>
      <w:outlineLvl w:val="3"/>
    </w:pPr>
  </w:style>
  <w:style w:type="paragraph" w:customStyle="1" w:styleId="4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0">
    <w:name w:val="目次、标准名称标题"/>
    <w:basedOn w:val="1"/>
    <w:next w:val="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1">
    <w:name w:val="三级条标题"/>
    <w:basedOn w:val="46"/>
    <w:next w:val="21"/>
    <w:qFormat/>
    <w:uiPriority w:val="0"/>
    <w:pPr>
      <w:numPr>
        <w:ilvl w:val="3"/>
      </w:numPr>
      <w:outlineLvl w:val="4"/>
    </w:pPr>
  </w:style>
  <w:style w:type="paragraph" w:customStyle="1" w:styleId="52">
    <w:name w:val="示例"/>
    <w:next w:val="53"/>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4">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5">
    <w:name w:val="四级条标题"/>
    <w:basedOn w:val="51"/>
    <w:next w:val="21"/>
    <w:qFormat/>
    <w:uiPriority w:val="0"/>
    <w:pPr>
      <w:numPr>
        <w:ilvl w:val="4"/>
      </w:numPr>
      <w:outlineLvl w:val="5"/>
    </w:pPr>
  </w:style>
  <w:style w:type="paragraph" w:customStyle="1" w:styleId="56">
    <w:name w:val="五级条标题"/>
    <w:basedOn w:val="55"/>
    <w:next w:val="21"/>
    <w:qFormat/>
    <w:uiPriority w:val="0"/>
    <w:pPr>
      <w:numPr>
        <w:ilvl w:val="5"/>
      </w:numPr>
      <w:outlineLvl w:val="6"/>
    </w:pPr>
  </w:style>
  <w:style w:type="paragraph" w:customStyle="1" w:styleId="57">
    <w:name w:val="注："/>
    <w:next w:val="21"/>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8">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9">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0">
    <w:name w:val="列项◆（三级）"/>
    <w:basedOn w:val="1"/>
    <w:qFormat/>
    <w:uiPriority w:val="0"/>
    <w:pPr>
      <w:numPr>
        <w:ilvl w:val="2"/>
        <w:numId w:val="3"/>
      </w:numPr>
    </w:pPr>
    <w:rPr>
      <w:rFonts w:ascii="宋体"/>
      <w:szCs w:val="21"/>
    </w:rPr>
  </w:style>
  <w:style w:type="paragraph" w:customStyle="1" w:styleId="61">
    <w:name w:val="编号列项（三级）"/>
    <w:qFormat/>
    <w:uiPriority w:val="0"/>
    <w:rPr>
      <w:rFonts w:ascii="宋体" w:hAnsi="Times New Roman" w:eastAsia="宋体" w:cs="Times New Roman"/>
      <w:sz w:val="21"/>
      <w:lang w:val="en-US" w:eastAsia="zh-CN" w:bidi="ar-SA"/>
    </w:rPr>
  </w:style>
  <w:style w:type="paragraph" w:customStyle="1" w:styleId="62">
    <w:name w:val="示例×："/>
    <w:basedOn w:val="45"/>
    <w:qFormat/>
    <w:uiPriority w:val="0"/>
    <w:pPr>
      <w:numPr>
        <w:numId w:val="8"/>
      </w:numPr>
      <w:spacing w:before="0" w:beforeLines="0" w:after="0" w:afterLines="0"/>
      <w:outlineLvl w:val="9"/>
    </w:pPr>
    <w:rPr>
      <w:rFonts w:ascii="宋体" w:eastAsia="宋体"/>
      <w:sz w:val="18"/>
      <w:szCs w:val="18"/>
    </w:rPr>
  </w:style>
  <w:style w:type="paragraph" w:customStyle="1" w:styleId="63">
    <w:name w:val="二级无"/>
    <w:basedOn w:val="46"/>
    <w:qFormat/>
    <w:uiPriority w:val="0"/>
    <w:pPr>
      <w:spacing w:before="0" w:beforeLines="0" w:after="0" w:afterLines="0"/>
    </w:pPr>
    <w:rPr>
      <w:rFonts w:ascii="宋体" w:eastAsia="宋体"/>
    </w:rPr>
  </w:style>
  <w:style w:type="paragraph" w:customStyle="1" w:styleId="64">
    <w:name w:val="注：（正文）"/>
    <w:basedOn w:val="57"/>
    <w:next w:val="21"/>
    <w:qFormat/>
    <w:uiPriority w:val="0"/>
  </w:style>
  <w:style w:type="paragraph" w:customStyle="1" w:styleId="65">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9">
    <w:name w:val="标准书眉_偶数页"/>
    <w:basedOn w:val="44"/>
    <w:next w:val="1"/>
    <w:qFormat/>
    <w:uiPriority w:val="0"/>
    <w:pPr>
      <w:jc w:val="left"/>
    </w:pPr>
  </w:style>
  <w:style w:type="paragraph" w:customStyle="1" w:styleId="70">
    <w:name w:val="标准书眉一"/>
    <w:qFormat/>
    <w:uiPriority w:val="0"/>
    <w:pPr>
      <w:jc w:val="both"/>
    </w:pPr>
    <w:rPr>
      <w:rFonts w:ascii="Times New Roman" w:hAnsi="Times New Roman" w:eastAsia="宋体" w:cs="Times New Roman"/>
      <w:lang w:val="en-US" w:eastAsia="zh-CN" w:bidi="ar-SA"/>
    </w:rPr>
  </w:style>
  <w:style w:type="paragraph" w:customStyle="1" w:styleId="71">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3">
    <w:name w:val="发布"/>
    <w:qFormat/>
    <w:uiPriority w:val="0"/>
    <w:rPr>
      <w:rFonts w:ascii="黑体" w:eastAsia="黑体"/>
      <w:spacing w:val="85"/>
      <w:w w:val="100"/>
      <w:position w:val="3"/>
      <w:sz w:val="28"/>
      <w:szCs w:val="28"/>
    </w:rPr>
  </w:style>
  <w:style w:type="paragraph" w:customStyle="1" w:styleId="74">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9">
    <w:name w:val="封面标准英文名称"/>
    <w:basedOn w:val="78"/>
    <w:qFormat/>
    <w:uiPriority w:val="0"/>
    <w:pPr>
      <w:framePr w:wrap="around"/>
      <w:spacing w:before="370" w:line="400" w:lineRule="exact"/>
    </w:pPr>
    <w:rPr>
      <w:rFonts w:ascii="Times New Roman"/>
      <w:sz w:val="28"/>
      <w:szCs w:val="28"/>
    </w:rPr>
  </w:style>
  <w:style w:type="paragraph" w:customStyle="1" w:styleId="80">
    <w:name w:val="封面一致性程度标识"/>
    <w:basedOn w:val="79"/>
    <w:qFormat/>
    <w:uiPriority w:val="0"/>
    <w:pPr>
      <w:framePr w:wrap="around"/>
      <w:spacing w:before="440"/>
    </w:pPr>
    <w:rPr>
      <w:rFonts w:ascii="宋体" w:eastAsia="宋体"/>
    </w:rPr>
  </w:style>
  <w:style w:type="paragraph" w:customStyle="1" w:styleId="81">
    <w:name w:val="封面标准文稿类别"/>
    <w:basedOn w:val="80"/>
    <w:qFormat/>
    <w:uiPriority w:val="0"/>
    <w:pPr>
      <w:framePr w:wrap="around"/>
      <w:spacing w:after="160" w:line="240" w:lineRule="auto"/>
    </w:pPr>
    <w:rPr>
      <w:sz w:val="24"/>
    </w:rPr>
  </w:style>
  <w:style w:type="paragraph" w:customStyle="1" w:styleId="82">
    <w:name w:val="封面标准文稿编辑信息"/>
    <w:basedOn w:val="81"/>
    <w:qFormat/>
    <w:uiPriority w:val="0"/>
    <w:pPr>
      <w:framePr w:wrap="around"/>
      <w:spacing w:before="180" w:line="180" w:lineRule="exact"/>
    </w:pPr>
    <w:rPr>
      <w:sz w:val="21"/>
    </w:rPr>
  </w:style>
  <w:style w:type="paragraph" w:customStyle="1" w:styleId="83">
    <w:name w:val="封面正文"/>
    <w:qFormat/>
    <w:uiPriority w:val="0"/>
    <w:pPr>
      <w:jc w:val="both"/>
    </w:pPr>
    <w:rPr>
      <w:rFonts w:ascii="Times New Roman" w:hAnsi="Times New Roman" w:eastAsia="宋体" w:cs="Times New Roman"/>
      <w:lang w:val="en-US" w:eastAsia="zh-CN" w:bidi="ar-SA"/>
    </w:rPr>
  </w:style>
  <w:style w:type="paragraph" w:customStyle="1" w:styleId="84">
    <w:name w:val="附录标识"/>
    <w:basedOn w:val="1"/>
    <w:next w:val="21"/>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5">
    <w:name w:val="附录标题"/>
    <w:basedOn w:val="21"/>
    <w:next w:val="21"/>
    <w:qFormat/>
    <w:uiPriority w:val="0"/>
    <w:pPr>
      <w:ind w:firstLine="0" w:firstLineChars="0"/>
      <w:jc w:val="center"/>
    </w:pPr>
    <w:rPr>
      <w:rFonts w:ascii="黑体" w:eastAsia="黑体"/>
    </w:rPr>
  </w:style>
  <w:style w:type="paragraph" w:customStyle="1" w:styleId="86">
    <w:name w:val="附录表标号"/>
    <w:basedOn w:val="1"/>
    <w:next w:val="21"/>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7">
    <w:name w:val="附录表标题"/>
    <w:basedOn w:val="1"/>
    <w:next w:val="21"/>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88">
    <w:name w:val="附录二级条标题"/>
    <w:basedOn w:val="1"/>
    <w:next w:val="21"/>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9">
    <w:name w:val="附录二级无"/>
    <w:basedOn w:val="88"/>
    <w:qFormat/>
    <w:uiPriority w:val="0"/>
    <w:pPr>
      <w:tabs>
        <w:tab w:val="clear" w:pos="360"/>
      </w:tabs>
      <w:spacing w:before="0" w:beforeLines="0" w:after="0" w:afterLines="0"/>
    </w:pPr>
    <w:rPr>
      <w:rFonts w:ascii="宋体" w:eastAsia="宋体"/>
      <w:szCs w:val="21"/>
    </w:rPr>
  </w:style>
  <w:style w:type="paragraph" w:customStyle="1" w:styleId="90">
    <w:name w:val="附录公式"/>
    <w:basedOn w:val="21"/>
    <w:next w:val="21"/>
    <w:link w:val="91"/>
    <w:qFormat/>
    <w:uiPriority w:val="0"/>
  </w:style>
  <w:style w:type="character" w:customStyle="1" w:styleId="91">
    <w:name w:val="附录公式 Char"/>
    <w:link w:val="90"/>
    <w:qFormat/>
    <w:uiPriority w:val="0"/>
    <w:rPr>
      <w:lang w:val="en-US" w:eastAsia="zh-CN" w:bidi="ar-SA"/>
    </w:rPr>
  </w:style>
  <w:style w:type="paragraph" w:customStyle="1" w:styleId="92">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93">
    <w:name w:val="附录三级条标题"/>
    <w:basedOn w:val="88"/>
    <w:next w:val="21"/>
    <w:qFormat/>
    <w:uiPriority w:val="0"/>
    <w:pPr>
      <w:numPr>
        <w:ilvl w:val="4"/>
      </w:numPr>
      <w:outlineLvl w:val="4"/>
    </w:pPr>
  </w:style>
  <w:style w:type="paragraph" w:customStyle="1" w:styleId="94">
    <w:name w:val="附录三级无"/>
    <w:basedOn w:val="93"/>
    <w:qFormat/>
    <w:uiPriority w:val="0"/>
    <w:pPr>
      <w:tabs>
        <w:tab w:val="clear" w:pos="360"/>
      </w:tabs>
      <w:spacing w:before="0" w:beforeLines="0" w:after="0" w:afterLines="0"/>
    </w:pPr>
    <w:rPr>
      <w:rFonts w:ascii="宋体" w:eastAsia="宋体"/>
      <w:szCs w:val="21"/>
    </w:rPr>
  </w:style>
  <w:style w:type="paragraph" w:customStyle="1" w:styleId="95">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6">
    <w:name w:val="附录四级条标题"/>
    <w:basedOn w:val="93"/>
    <w:next w:val="21"/>
    <w:qFormat/>
    <w:uiPriority w:val="0"/>
    <w:pPr>
      <w:numPr>
        <w:ilvl w:val="5"/>
      </w:numPr>
      <w:outlineLvl w:val="5"/>
    </w:pPr>
  </w:style>
  <w:style w:type="paragraph" w:customStyle="1" w:styleId="97">
    <w:name w:val="附录四级无"/>
    <w:basedOn w:val="96"/>
    <w:qFormat/>
    <w:uiPriority w:val="0"/>
    <w:pPr>
      <w:tabs>
        <w:tab w:val="clear" w:pos="360"/>
      </w:tabs>
      <w:spacing w:before="0" w:beforeLines="0" w:after="0" w:afterLines="0"/>
    </w:pPr>
    <w:rPr>
      <w:rFonts w:ascii="宋体" w:eastAsia="宋体"/>
      <w:szCs w:val="21"/>
    </w:rPr>
  </w:style>
  <w:style w:type="paragraph" w:customStyle="1" w:styleId="98">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9">
    <w:name w:val="附录图标题"/>
    <w:basedOn w:val="1"/>
    <w:next w:val="21"/>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0">
    <w:name w:val="附录五级条标题"/>
    <w:basedOn w:val="96"/>
    <w:next w:val="21"/>
    <w:qFormat/>
    <w:uiPriority w:val="0"/>
    <w:pPr>
      <w:numPr>
        <w:ilvl w:val="6"/>
      </w:numPr>
      <w:outlineLvl w:val="6"/>
    </w:pPr>
  </w:style>
  <w:style w:type="paragraph" w:customStyle="1" w:styleId="101">
    <w:name w:val="附录五级无"/>
    <w:basedOn w:val="100"/>
    <w:qFormat/>
    <w:uiPriority w:val="0"/>
    <w:pPr>
      <w:tabs>
        <w:tab w:val="clear" w:pos="360"/>
      </w:tabs>
      <w:spacing w:before="0" w:beforeLines="0" w:after="0" w:afterLines="0"/>
    </w:pPr>
    <w:rPr>
      <w:rFonts w:ascii="宋体" w:eastAsia="宋体"/>
      <w:szCs w:val="21"/>
    </w:rPr>
  </w:style>
  <w:style w:type="paragraph" w:customStyle="1" w:styleId="102">
    <w:name w:val="附录章标题"/>
    <w:next w:val="21"/>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3">
    <w:name w:val="附录一级条标题"/>
    <w:basedOn w:val="102"/>
    <w:next w:val="21"/>
    <w:qFormat/>
    <w:uiPriority w:val="0"/>
    <w:pPr>
      <w:numPr>
        <w:ilvl w:val="2"/>
      </w:numPr>
      <w:autoSpaceDN w:val="0"/>
      <w:spacing w:before="50" w:beforeLines="50" w:after="50" w:afterLines="50"/>
      <w:outlineLvl w:val="2"/>
    </w:pPr>
  </w:style>
  <w:style w:type="paragraph" w:customStyle="1" w:styleId="104">
    <w:name w:val="附录一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9">
    <w:name w:val="其他标准标志"/>
    <w:basedOn w:val="66"/>
    <w:qFormat/>
    <w:uiPriority w:val="0"/>
    <w:pPr>
      <w:framePr w:w="6101" w:wrap="around" w:vAnchor="page" w:hAnchor="page" w:x="4673" w:y="942"/>
    </w:pPr>
    <w:rPr>
      <w:w w:val="130"/>
    </w:rPr>
  </w:style>
  <w:style w:type="paragraph" w:customStyle="1" w:styleId="1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1">
    <w:name w:val="其他发布部门"/>
    <w:basedOn w:val="74"/>
    <w:qFormat/>
    <w:uiPriority w:val="0"/>
    <w:pPr>
      <w:framePr w:wrap="around" w:y="15310"/>
      <w:spacing w:line="0" w:lineRule="atLeast"/>
    </w:pPr>
    <w:rPr>
      <w:rFonts w:ascii="黑体" w:eastAsia="黑体"/>
      <w:b w:val="0"/>
    </w:rPr>
  </w:style>
  <w:style w:type="paragraph" w:customStyle="1" w:styleId="112">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3">
    <w:name w:val="三级无"/>
    <w:basedOn w:val="51"/>
    <w:qFormat/>
    <w:uiPriority w:val="0"/>
    <w:pPr>
      <w:spacing w:before="0" w:beforeLines="0" w:after="0" w:afterLines="0"/>
    </w:pPr>
    <w:rPr>
      <w:rFonts w:ascii="宋体" w:eastAsia="宋体"/>
    </w:rPr>
  </w:style>
  <w:style w:type="paragraph" w:customStyle="1" w:styleId="114">
    <w:name w:val="实施日期"/>
    <w:basedOn w:val="75"/>
    <w:qFormat/>
    <w:uiPriority w:val="0"/>
    <w:pPr>
      <w:framePr w:wrap="around" w:vAnchor="page" w:hAnchor="text"/>
      <w:jc w:val="right"/>
    </w:pPr>
  </w:style>
  <w:style w:type="paragraph" w:customStyle="1" w:styleId="115">
    <w:name w:val="示例后文字"/>
    <w:basedOn w:val="21"/>
    <w:next w:val="21"/>
    <w:qFormat/>
    <w:uiPriority w:val="0"/>
    <w:pPr>
      <w:ind w:firstLine="360"/>
    </w:pPr>
    <w:rPr>
      <w:sz w:val="18"/>
    </w:rPr>
  </w:style>
  <w:style w:type="paragraph" w:customStyle="1" w:styleId="116">
    <w:name w:val="首示例"/>
    <w:next w:val="21"/>
    <w:link w:val="117"/>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7">
    <w:name w:val="首示例 Char"/>
    <w:link w:val="116"/>
    <w:qFormat/>
    <w:uiPriority w:val="0"/>
    <w:rPr>
      <w:rFonts w:ascii="宋体" w:hAnsi="宋体"/>
      <w:kern w:val="2"/>
      <w:sz w:val="18"/>
      <w:szCs w:val="18"/>
      <w:lang w:val="en-US" w:eastAsia="zh-CN" w:bidi="ar-SA"/>
    </w:rPr>
  </w:style>
  <w:style w:type="paragraph" w:customStyle="1" w:styleId="118">
    <w:name w:val="四级无"/>
    <w:basedOn w:val="55"/>
    <w:qFormat/>
    <w:uiPriority w:val="0"/>
    <w:pPr>
      <w:spacing w:before="0" w:beforeLines="0" w:after="0" w:afterLines="0"/>
    </w:pPr>
    <w:rPr>
      <w:rFonts w:ascii="宋体" w:eastAsia="宋体"/>
    </w:rPr>
  </w:style>
  <w:style w:type="paragraph" w:customStyle="1" w:styleId="119">
    <w:name w:val="条文脚注"/>
    <w:basedOn w:val="22"/>
    <w:qFormat/>
    <w:uiPriority w:val="0"/>
    <w:pPr>
      <w:numPr>
        <w:numId w:val="0"/>
      </w:numPr>
      <w:jc w:val="both"/>
    </w:pPr>
  </w:style>
  <w:style w:type="paragraph" w:customStyle="1" w:styleId="120">
    <w:name w:val="图标脚注说明"/>
    <w:basedOn w:val="21"/>
    <w:qFormat/>
    <w:uiPriority w:val="0"/>
    <w:pPr>
      <w:ind w:left="840" w:hanging="420" w:firstLineChars="0"/>
    </w:pPr>
    <w:rPr>
      <w:sz w:val="18"/>
      <w:szCs w:val="18"/>
    </w:rPr>
  </w:style>
  <w:style w:type="paragraph" w:customStyle="1" w:styleId="121">
    <w:name w:val="图表脚注说明"/>
    <w:basedOn w:val="1"/>
    <w:qFormat/>
    <w:uiPriority w:val="0"/>
    <w:pPr>
      <w:numPr>
        <w:ilvl w:val="0"/>
        <w:numId w:val="15"/>
      </w:numPr>
    </w:pPr>
    <w:rPr>
      <w:rFonts w:ascii="宋体"/>
      <w:sz w:val="18"/>
      <w:szCs w:val="18"/>
    </w:rPr>
  </w:style>
  <w:style w:type="paragraph" w:customStyle="1" w:styleId="122">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4">
    <w:name w:val="五级无"/>
    <w:basedOn w:val="56"/>
    <w:qFormat/>
    <w:uiPriority w:val="0"/>
    <w:pPr>
      <w:spacing w:before="0" w:beforeLines="0" w:after="0" w:afterLines="0"/>
    </w:pPr>
    <w:rPr>
      <w:rFonts w:ascii="宋体" w:eastAsia="宋体"/>
    </w:rPr>
  </w:style>
  <w:style w:type="paragraph" w:customStyle="1" w:styleId="125">
    <w:name w:val="一级无"/>
    <w:basedOn w:val="42"/>
    <w:qFormat/>
    <w:uiPriority w:val="0"/>
    <w:pPr>
      <w:spacing w:before="0" w:beforeLines="0" w:after="0" w:afterLines="0"/>
    </w:pPr>
    <w:rPr>
      <w:rFonts w:ascii="宋体" w:eastAsia="宋体"/>
    </w:rPr>
  </w:style>
  <w:style w:type="paragraph" w:customStyle="1" w:styleId="126">
    <w:name w:val="正文表标题"/>
    <w:next w:val="21"/>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7">
    <w:name w:val="正文公式编号制表符"/>
    <w:basedOn w:val="21"/>
    <w:next w:val="21"/>
    <w:qFormat/>
    <w:uiPriority w:val="0"/>
    <w:pPr>
      <w:ind w:firstLine="0" w:firstLineChars="0"/>
    </w:pPr>
  </w:style>
  <w:style w:type="paragraph" w:customStyle="1" w:styleId="128">
    <w:name w:val="正文图标题"/>
    <w:next w:val="21"/>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9">
    <w:name w:val="终结线"/>
    <w:basedOn w:val="1"/>
    <w:qFormat/>
    <w:uiPriority w:val="0"/>
    <w:pPr>
      <w:framePr w:hSpace="181" w:vSpace="181" w:wrap="around" w:vAnchor="text" w:hAnchor="margin" w:xAlign="center" w:y="285"/>
    </w:pPr>
  </w:style>
  <w:style w:type="paragraph" w:customStyle="1" w:styleId="130">
    <w:name w:val="其他发布日期"/>
    <w:basedOn w:val="75"/>
    <w:qFormat/>
    <w:uiPriority w:val="0"/>
    <w:pPr>
      <w:framePr w:wrap="around" w:vAnchor="page" w:hAnchor="text" w:x="1419"/>
    </w:pPr>
  </w:style>
  <w:style w:type="paragraph" w:customStyle="1" w:styleId="131">
    <w:name w:val="其他实施日期"/>
    <w:basedOn w:val="114"/>
    <w:qFormat/>
    <w:uiPriority w:val="0"/>
    <w:pPr>
      <w:framePr w:wrap="around"/>
    </w:pPr>
  </w:style>
  <w:style w:type="paragraph" w:customStyle="1" w:styleId="132">
    <w:name w:val="封面标准名称2"/>
    <w:basedOn w:val="78"/>
    <w:qFormat/>
    <w:uiPriority w:val="0"/>
    <w:pPr>
      <w:framePr w:wrap="around" w:y="4469"/>
      <w:spacing w:before="630" w:beforeLines="630"/>
    </w:pPr>
  </w:style>
  <w:style w:type="paragraph" w:customStyle="1" w:styleId="133">
    <w:name w:val="封面标准英文名称2"/>
    <w:basedOn w:val="79"/>
    <w:qFormat/>
    <w:uiPriority w:val="0"/>
    <w:pPr>
      <w:framePr w:wrap="around" w:y="4469"/>
    </w:pPr>
  </w:style>
  <w:style w:type="paragraph" w:customStyle="1" w:styleId="134">
    <w:name w:val="封面一致性程度标识2"/>
    <w:basedOn w:val="80"/>
    <w:qFormat/>
    <w:uiPriority w:val="0"/>
    <w:pPr>
      <w:framePr w:wrap="around" w:y="4469"/>
    </w:pPr>
  </w:style>
  <w:style w:type="paragraph" w:customStyle="1" w:styleId="135">
    <w:name w:val="封面标准文稿类别2"/>
    <w:basedOn w:val="81"/>
    <w:qFormat/>
    <w:uiPriority w:val="0"/>
    <w:pPr>
      <w:framePr w:wrap="around" w:y="4469"/>
    </w:pPr>
  </w:style>
  <w:style w:type="paragraph" w:customStyle="1" w:styleId="136">
    <w:name w:val="封面标准文稿编辑信息2"/>
    <w:basedOn w:val="82"/>
    <w:qFormat/>
    <w:uiPriority w:val="0"/>
    <w:pPr>
      <w:framePr w:wrap="around" w:y="4469"/>
    </w:pPr>
  </w:style>
  <w:style w:type="paragraph" w:styleId="137">
    <w:name w:val="List Paragraph"/>
    <w:basedOn w:val="1"/>
    <w:qFormat/>
    <w:uiPriority w:val="99"/>
    <w:pPr>
      <w:ind w:firstLine="420" w:firstLineChars="200"/>
    </w:pPr>
  </w:style>
  <w:style w:type="character" w:customStyle="1" w:styleId="138">
    <w:name w:val="批注文字 字符"/>
    <w:link w:val="7"/>
    <w:qFormat/>
    <w:uiPriority w:val="0"/>
    <w:rPr>
      <w:kern w:val="2"/>
      <w:sz w:val="21"/>
      <w:szCs w:val="24"/>
    </w:rPr>
  </w:style>
  <w:style w:type="character" w:customStyle="1" w:styleId="139">
    <w:name w:val="批注主题 字符"/>
    <w:link w:val="30"/>
    <w:qFormat/>
    <w:uiPriority w:val="0"/>
    <w:rPr>
      <w:b/>
      <w:bCs/>
      <w:kern w:val="2"/>
      <w:sz w:val="21"/>
      <w:szCs w:val="24"/>
    </w:rPr>
  </w:style>
  <w:style w:type="paragraph" w:customStyle="1" w:styleId="140">
    <w:name w:val="样式1"/>
    <w:basedOn w:val="1"/>
    <w:qFormat/>
    <w:uiPriority w:val="0"/>
    <w:pPr>
      <w:numPr>
        <w:ilvl w:val="0"/>
        <w:numId w:val="18"/>
      </w:numPr>
    </w:pPr>
  </w:style>
  <w:style w:type="paragraph" w:customStyle="1" w:styleId="141">
    <w:name w:val="标准文件_二级条标题"/>
    <w:next w:val="1"/>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png"/><Relationship Id="rId16" Type="http://schemas.openxmlformats.org/officeDocument/2006/relationships/customXml" Target="ink/ink1.xml"/><Relationship Id="rId15" Type="http://schemas.openxmlformats.org/officeDocument/2006/relationships/image" Target="file:///D:\&#29579;&#21326;&#19996;\VIP%252525252525252525202024&#24180;&#24230;\&#32039;&#24613;&#20107;&#21153;\&#22242;&#26631;&#25776;&#20889;\&#24352;&#37329;\oHSV&#28342;&#26432;U87&#30284;&#32454;&#32990;.jpg" TargetMode="External"/><Relationship Id="rId14" Type="http://schemas.openxmlformats.org/officeDocument/2006/relationships/image" Target="media/image4.jpeg"/><Relationship Id="rId13" Type="http://schemas.openxmlformats.org/officeDocument/2006/relationships/image" Target="media/image3.png"/><Relationship Id="rId12" Type="http://schemas.openxmlformats.org/officeDocument/2006/relationships/image" Target="media/image2.tiff"/><Relationship Id="rId11" Type="http://schemas.openxmlformats.org/officeDocument/2006/relationships/chart" Target="charts/chart1.xml"/><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9579;&#21326;&#19996;\VIP%202024&#24180;&#24230;\&#32039;&#24613;&#20107;&#21153;\&#22242;&#26631;&#25776;&#20889;\&#21516;&#38077;\SOP\BSA&#27531;&#30041;&#26816;&#27979;\&#34880;&#28165;&#34507;&#30333;&#27531;&#30041;&#25968;&#25454;&#22788;&#29702;&#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rgbClr val="4F81BD"/>
              </a:solidFill>
              <a:ln w="9525">
                <a:solidFill>
                  <a:srgbClr val="4F81BD"/>
                </a:solidFill>
              </a:ln>
              <a:effectLst/>
            </c:spPr>
          </c:marker>
          <c:dLbls>
            <c:delete val="1"/>
          </c:dLbls>
          <c:trendline>
            <c:spPr>
              <a:ln w="19050" cap="rnd">
                <a:solidFill>
                  <a:srgbClr val="4F81BD"/>
                </a:solidFill>
                <a:prstDash val="sysDot"/>
              </a:ln>
              <a:effectLst/>
            </c:spPr>
            <c:trendlineType val="linear"/>
            <c:dispRSqr val="1"/>
            <c:dispEq val="1"/>
            <c:trendlineLbl>
              <c:layout>
                <c:manualLayout>
                  <c:x val="-0.104605263157895"/>
                  <c:y val="0"/>
                </c:manualLayout>
              </c:layout>
              <c:numFmt formatCode="General" sourceLinked="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trendlineLbl>
          </c:trendline>
          <c:xVal>
            <c:numRef>
              <c:f>'[血清蛋白残留数据处理表格.xlsx]20241112'!$G$10:$G$14</c:f>
              <c:numCache>
                <c:formatCode>General</c:formatCode>
                <c:ptCount val="5"/>
                <c:pt idx="0">
                  <c:v>40</c:v>
                </c:pt>
                <c:pt idx="1">
                  <c:v>20</c:v>
                </c:pt>
                <c:pt idx="2">
                  <c:v>10</c:v>
                </c:pt>
                <c:pt idx="3">
                  <c:v>5</c:v>
                </c:pt>
                <c:pt idx="4">
                  <c:v>2.5</c:v>
                </c:pt>
              </c:numCache>
            </c:numRef>
          </c:xVal>
          <c:yVal>
            <c:numRef>
              <c:f>'[血清蛋白残留数据处理表格.xlsx]20241112'!$H$10:$H$14</c:f>
              <c:numCache>
                <c:formatCode>0.0000_ </c:formatCode>
                <c:ptCount val="5"/>
                <c:pt idx="0">
                  <c:v>0.975433333333333</c:v>
                </c:pt>
                <c:pt idx="1">
                  <c:v>0.302566666666667</c:v>
                </c:pt>
                <c:pt idx="2">
                  <c:v>0.149</c:v>
                </c:pt>
                <c:pt idx="3">
                  <c:v>0.0904666666666667</c:v>
                </c:pt>
                <c:pt idx="4">
                  <c:v>0.0463</c:v>
                </c:pt>
              </c:numCache>
            </c:numRef>
          </c:yVal>
          <c:smooth val="0"/>
        </c:ser>
        <c:dLbls>
          <c:showLegendKey val="0"/>
          <c:showVal val="0"/>
          <c:showCatName val="0"/>
          <c:showSerName val="0"/>
          <c:showPercent val="0"/>
          <c:showBubbleSize val="0"/>
        </c:dLbls>
        <c:axId val="832098000"/>
        <c:axId val="564243773"/>
      </c:scatterChart>
      <c:valAx>
        <c:axId val="832098000"/>
        <c:scaling>
          <c:orientation val="minMax"/>
        </c:scaling>
        <c:delete val="0"/>
        <c:axPos val="b"/>
        <c:majorGridlines>
          <c:spPr>
            <a:ln w="9525" cap="flat" cmpd="sng" algn="ctr">
              <a:noFill/>
              <a:round/>
            </a:ln>
            <a:effectLst/>
          </c:spPr>
        </c:majorGridlines>
        <c:numFmt formatCode="General" sourceLinked="1"/>
        <c:majorTickMark val="none"/>
        <c:minorTickMark val="none"/>
        <c:tickLblPos val="nextTo"/>
        <c:spPr>
          <a:noFill/>
          <a:ln w="9525" cap="flat" cmpd="sng" algn="ctr">
            <a:solidFill>
              <a:srgbClr val="4F81BD"/>
            </a:solidFill>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564243773"/>
        <c:crosses val="autoZero"/>
        <c:crossBetween val="midCat"/>
      </c:valAx>
      <c:valAx>
        <c:axId val="564243773"/>
        <c:scaling>
          <c:orientation val="minMax"/>
          <c:min val="0"/>
        </c:scaling>
        <c:delete val="0"/>
        <c:axPos val="l"/>
        <c:majorGridlines>
          <c:spPr>
            <a:ln w="9525" cap="flat" cmpd="sng" algn="ctr">
              <a:noFill/>
              <a:round/>
            </a:ln>
            <a:effectLst/>
          </c:spPr>
        </c:majorGridlines>
        <c:numFmt formatCode="0.0000_ " sourceLinked="1"/>
        <c:majorTickMark val="none"/>
        <c:minorTickMark val="none"/>
        <c:tickLblPos val="nextTo"/>
        <c:spPr>
          <a:noFill/>
          <a:ln w="12700" cap="flat" cmpd="sng" algn="ctr">
            <a:solidFill>
              <a:srgbClr val="4F81BD"/>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832098000"/>
        <c:crosses val="autoZero"/>
        <c:crossBetween val="midCat"/>
      </c:valAx>
      <c:spPr>
        <a:noFill/>
        <a:ln w="9525" cap="flat" cmpd="sng" algn="ctr">
          <a:solidFill>
            <a:srgbClr val="D9D9D9">
              <a:lumMod val="15000"/>
              <a:lumOff val="85000"/>
            </a:srgbClr>
          </a:solidFill>
          <a:round/>
        </a:ln>
        <a:effectLst/>
      </c:spPr>
    </c:plotArea>
    <c:plotVisOnly val="1"/>
    <c:dispBlanksAs val="gap"/>
    <c:showDLblsOverMax val="0"/>
    <c:extLst>
      <c:ext uri="{0b15fc19-7d7d-44ad-8c2d-2c3a37ce22c3}">
        <chartProps xmlns="https://web.wps.cn/et/2018/main" chartId="{9397681f-a90f-4e69-a688-f97326aa7ae1}"/>
      </c:ext>
    </c:extLst>
  </c:chart>
  <c:spPr>
    <a:solidFill>
      <a:srgbClr val="FFFFFF"/>
    </a:solid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17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rgbClr val="000000"/>
    </cs:fontRef>
    <cs:spPr>
      <a:ln w="19050" cap="rnd">
        <a:noFill/>
        <a:round/>
      </a:ln>
      <a:effectLst/>
    </cs:spPr>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19050"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a:effectLst/>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spPr>
      <a:ln w="9525" cap="flat" cmpd="sng" algn="ctr">
        <a:solidFill>
          <a:srgbClr val="D9D9D9">
            <a:lumMod val="15000"/>
            <a:lumOff val="85000"/>
          </a:srgbClr>
        </a:solidFill>
        <a:round/>
      </a:ln>
    </cs:spPr>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valueAxis>
  <cs:wall>
    <cs:lnRef idx="0"/>
    <cs:fillRef idx="0"/>
    <cs:effectRef idx="0"/>
    <cs:fontRef idx="minor">
      <a:srgbClr val="000000"/>
    </cs:fontRef>
    <cs:spPr>
      <a:noFill/>
      <a:ln>
        <a:noFill/>
      </a:ln>
    </cs:spPr>
  </cs:wall>
</cs:chartStyle>
</file>

<file path=word/ink/ink1.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3-10-05T12:48:07"/>
    </inkml:context>
    <inkml:brush xml:id="br0">
      <inkml:brushProperty name="width" value="0.05" units="cm"/>
      <inkml:brushProperty name="height" value="0.05" units="cm"/>
      <inkml:brushProperty name="color" value="#000000"/>
    </inkml:brush>
  </inkml:definitions>
  <inkml:trace contextRef="#ctx0" brushRef="#br0">0.000 0.000 13039 0 0,'0.000'0.000'1759'0'0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4832</Words>
  <Characters>5868</Characters>
  <Lines>83</Lines>
  <Paragraphs>23</Paragraphs>
  <TotalTime>185</TotalTime>
  <ScaleCrop>false</ScaleCrop>
  <LinksUpToDate>false</LinksUpToDate>
  <CharactersWithSpaces>5993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2024-12-04T02:52:00Z</dcterms:created>
  <dc:creator>惠新朋</dc:creator>
  <cp:lastModifiedBy>王丽娟BA7JNC</cp:lastModifiedBy>
  <dcterms:modified xsi:type="dcterms:W3CDTF">2025-01-06T06:40:15Z</dcterms:modified>
  <dc:title>标准名称</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9B9418D2AA9C4FA887C4DB9D4DA6BF91_13</vt:lpwstr>
  </property>
  <property fmtid="{D5CDD505-2E9C-101B-9397-08002B2CF9AE}" pid="4" name="KSOTemplateDocerSaveRecord">
    <vt:lpwstr>eyJoZGlkIjoiNWY4Njk2NTUxYjI1YTgyYmZkZTEwMDNlOWJhMzQxNTYiLCJ1c2VySWQiOiI4Njk5NjA1MDkifQ==</vt:lpwstr>
  </property>
</Properties>
</file>