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48"/>
          <w:szCs w:val="48"/>
        </w:rPr>
      </w:pPr>
      <w:bookmarkStart w:id="0" w:name="_Toc32532"/>
    </w:p>
    <w:p>
      <w:pPr>
        <w:pStyle w:val="2"/>
        <w:rPr>
          <w:rFonts w:ascii="Times New Roman" w:hAnsi="Times New Roman"/>
          <w:b/>
          <w:sz w:val="48"/>
          <w:szCs w:val="48"/>
        </w:rPr>
      </w:pPr>
    </w:p>
    <w:p>
      <w:pPr>
        <w:pStyle w:val="2"/>
        <w:rPr>
          <w:rFonts w:ascii="Times New Roman" w:hAnsi="Times New Roman"/>
          <w:b/>
          <w:sz w:val="48"/>
          <w:szCs w:val="48"/>
        </w:rPr>
      </w:pPr>
    </w:p>
    <w:p>
      <w:pPr>
        <w:ind w:left="0" w:leftChars="0" w:firstLine="0" w:firstLineChars="0"/>
        <w:jc w:val="center"/>
        <w:rPr>
          <w:rFonts w:hint="eastAsia" w:ascii="Times New Roman" w:hAnsi="Times New Roman" w:eastAsia="黑体" w:cs="黑体"/>
          <w:bCs/>
          <w:sz w:val="48"/>
          <w:szCs w:val="48"/>
        </w:rPr>
      </w:pPr>
      <w:r>
        <w:rPr>
          <w:rFonts w:hint="eastAsia" w:ascii="Times New Roman" w:hAnsi="Times New Roman" w:eastAsia="黑体" w:cs="黑体"/>
          <w:bCs/>
          <w:sz w:val="48"/>
          <w:szCs w:val="48"/>
          <w:lang w:eastAsia="zh-Hans"/>
        </w:rPr>
        <w:t>《可生食鹌鹑蛋 蛋用鹌鹑养殖规范》</w:t>
      </w:r>
    </w:p>
    <w:p>
      <w:pPr>
        <w:jc w:val="center"/>
        <w:rPr>
          <w:rFonts w:hint="eastAsia" w:ascii="Times New Roman" w:hAnsi="Times New Roman" w:eastAsia="黑体" w:cs="黑体"/>
          <w:bCs/>
          <w:sz w:val="48"/>
          <w:szCs w:val="48"/>
        </w:rPr>
      </w:pPr>
    </w:p>
    <w:p>
      <w:pPr>
        <w:jc w:val="center"/>
        <w:rPr>
          <w:rFonts w:hint="eastAsia" w:ascii="Times New Roman" w:hAnsi="Times New Roman" w:eastAsia="黑体" w:cs="黑体"/>
          <w:bCs/>
          <w:sz w:val="48"/>
          <w:szCs w:val="48"/>
        </w:rPr>
      </w:pPr>
      <w:r>
        <w:rPr>
          <w:rFonts w:hint="eastAsia" w:ascii="Times New Roman" w:hAnsi="Times New Roman" w:eastAsia="黑体" w:cs="黑体"/>
          <w:bCs/>
          <w:sz w:val="48"/>
          <w:szCs w:val="48"/>
        </w:rPr>
        <w:t>编制说明</w:t>
      </w:r>
    </w:p>
    <w:p>
      <w:pPr>
        <w:jc w:val="center"/>
        <w:rPr>
          <w:rFonts w:ascii="Times New Roman" w:hAnsi="Times New Roman"/>
          <w:b/>
          <w:sz w:val="48"/>
          <w:szCs w:val="48"/>
        </w:rPr>
      </w:pPr>
    </w:p>
    <w:p>
      <w:pPr>
        <w:jc w:val="center"/>
        <w:rPr>
          <w:rFonts w:ascii="Times New Roman" w:hAnsi="Times New Roman"/>
          <w:b/>
          <w:sz w:val="48"/>
          <w:szCs w:val="48"/>
        </w:rPr>
      </w:pPr>
    </w:p>
    <w:p>
      <w:pPr>
        <w:jc w:val="center"/>
        <w:rPr>
          <w:rFonts w:ascii="Times New Roman" w:hAnsi="Times New Roman"/>
          <w:b/>
          <w:sz w:val="48"/>
          <w:szCs w:val="48"/>
        </w:rPr>
      </w:pPr>
    </w:p>
    <w:p>
      <w:pPr>
        <w:jc w:val="center"/>
        <w:rPr>
          <w:rFonts w:ascii="Times New Roman" w:hAnsi="Times New Roman"/>
          <w:b/>
          <w:sz w:val="48"/>
          <w:szCs w:val="48"/>
        </w:rPr>
      </w:pPr>
    </w:p>
    <w:p>
      <w:pPr>
        <w:jc w:val="center"/>
        <w:rPr>
          <w:rFonts w:ascii="Times New Roman" w:hAnsi="Times New Roman"/>
          <w:b/>
          <w:sz w:val="48"/>
          <w:szCs w:val="48"/>
        </w:rPr>
      </w:pPr>
    </w:p>
    <w:p>
      <w:pPr>
        <w:jc w:val="center"/>
        <w:rPr>
          <w:rFonts w:ascii="Times New Roman" w:hAnsi="Times New Roman"/>
          <w:b/>
          <w:sz w:val="48"/>
          <w:szCs w:val="48"/>
        </w:rPr>
      </w:pPr>
    </w:p>
    <w:p>
      <w:pPr>
        <w:jc w:val="center"/>
        <w:rPr>
          <w:rFonts w:ascii="Times New Roman" w:hAnsi="Times New Roman"/>
          <w:b/>
          <w:sz w:val="48"/>
          <w:szCs w:val="48"/>
        </w:rPr>
      </w:pPr>
    </w:p>
    <w:p>
      <w:pPr>
        <w:rPr>
          <w:rFonts w:hint="eastAsia" w:ascii="Times New Roman" w:hAnsi="Times New Roman"/>
          <w:b/>
          <w:sz w:val="48"/>
          <w:szCs w:val="48"/>
        </w:rPr>
      </w:pPr>
    </w:p>
    <w:p>
      <w:pPr>
        <w:spacing w:line="480" w:lineRule="exact"/>
        <w:jc w:val="center"/>
        <w:outlineLvl w:val="0"/>
        <w:rPr>
          <w:rFonts w:ascii="Times New Roman" w:hAnsi="Times New Roman" w:eastAsia="仿宋_GB2312"/>
          <w:b/>
          <w:sz w:val="28"/>
          <w:szCs w:val="28"/>
        </w:rPr>
      </w:pPr>
      <w:bookmarkStart w:id="1" w:name="_Toc12671"/>
      <w:bookmarkStart w:id="2" w:name="_Toc2565"/>
      <w:bookmarkStart w:id="3" w:name="_Toc13507"/>
      <w:r>
        <w:rPr>
          <w:rFonts w:ascii="Times New Roman" w:hAnsi="Times New Roman" w:eastAsia="仿宋_GB2312"/>
          <w:b/>
          <w:sz w:val="28"/>
          <w:szCs w:val="28"/>
        </w:rPr>
        <w:t>《</w:t>
      </w:r>
      <w:r>
        <w:rPr>
          <w:rFonts w:hint="eastAsia" w:ascii="Times New Roman" w:hAnsi="Times New Roman" w:eastAsia="仿宋_GB2312"/>
          <w:b/>
          <w:sz w:val="28"/>
          <w:szCs w:val="28"/>
        </w:rPr>
        <w:t>可生食鹌鹑蛋 蛋用鹌鹑养殖规范</w:t>
      </w:r>
      <w:r>
        <w:rPr>
          <w:rFonts w:ascii="Times New Roman" w:hAnsi="Times New Roman" w:eastAsia="仿宋_GB2312"/>
          <w:b/>
          <w:sz w:val="28"/>
          <w:szCs w:val="28"/>
        </w:rPr>
        <w:t>》</w:t>
      </w:r>
      <w:r>
        <w:rPr>
          <w:rFonts w:hint="eastAsia" w:ascii="Times New Roman" w:hAnsi="Times New Roman" w:eastAsia="仿宋_GB2312"/>
          <w:b/>
          <w:sz w:val="28"/>
          <w:szCs w:val="28"/>
        </w:rPr>
        <w:t>标准编制组</w:t>
      </w:r>
      <w:bookmarkEnd w:id="1"/>
      <w:bookmarkEnd w:id="2"/>
      <w:bookmarkEnd w:id="3"/>
    </w:p>
    <w:p>
      <w:pPr>
        <w:spacing w:line="480" w:lineRule="exact"/>
        <w:jc w:val="center"/>
        <w:rPr>
          <w:rFonts w:hint="eastAsia" w:ascii="Times New Roman" w:hAnsi="Times New Roman" w:eastAsia="仿宋_GB2312"/>
          <w:b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b/>
          <w:sz w:val="28"/>
          <w:szCs w:val="28"/>
          <w:highlight w:val="none"/>
        </w:rPr>
        <w:t>20</w:t>
      </w:r>
      <w:r>
        <w:rPr>
          <w:rFonts w:hint="eastAsia" w:ascii="Times New Roman" w:hAnsi="Times New Roman" w:eastAsia="仿宋_GB2312"/>
          <w:b/>
          <w:sz w:val="28"/>
          <w:szCs w:val="28"/>
          <w:highlight w:val="none"/>
          <w:lang w:eastAsia="zh-CN"/>
        </w:rPr>
        <w:t>2</w:t>
      </w:r>
      <w:r>
        <w:rPr>
          <w:rFonts w:hint="eastAsia" w:ascii="Times New Roman" w:hAnsi="Times New Roman"/>
          <w:b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b/>
          <w:sz w:val="28"/>
          <w:szCs w:val="28"/>
          <w:highlight w:val="none"/>
        </w:rPr>
        <w:t>年</w:t>
      </w:r>
      <w:r>
        <w:rPr>
          <w:rFonts w:hint="eastAsia" w:ascii="Times New Roman" w:hAnsi="Times New Roman"/>
          <w:b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/>
          <w:b/>
          <w:sz w:val="28"/>
          <w:szCs w:val="28"/>
          <w:highlight w:val="none"/>
        </w:rPr>
        <w:t>月</w:t>
      </w: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53655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hint="eastAsia" w:ascii="黑体" w:hAnsi="黑体" w:eastAsia="黑体" w:cs="黑体"/>
              <w:sz w:val="36"/>
              <w:szCs w:val="36"/>
            </w:rPr>
            <w:t>目</w:t>
          </w:r>
          <w:r>
            <w:rPr>
              <w:rFonts w:hint="eastAsia" w:ascii="黑体" w:hAnsi="黑体" w:eastAsia="黑体" w:cs="黑体"/>
              <w:sz w:val="36"/>
              <w:szCs w:val="36"/>
              <w:lang w:val="en-US" w:eastAsia="zh-CN"/>
            </w:rPr>
            <w:t xml:space="preserve">  </w:t>
          </w:r>
          <w:r>
            <w:rPr>
              <w:rFonts w:hint="eastAsia" w:ascii="黑体" w:hAnsi="黑体" w:eastAsia="黑体" w:cs="黑体"/>
              <w:sz w:val="36"/>
              <w:szCs w:val="36"/>
            </w:rPr>
            <w:t>录</w:t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TOC \o "1-1" \h \u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_Toc28295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</w:rPr>
            <w:t>一、项目背景</w:t>
          </w:r>
          <w:r>
            <w:rPr>
              <w:rFonts w:hint="eastAsia" w:ascii="黑体" w:hAnsi="黑体" w:eastAsia="黑体"/>
              <w:sz w:val="32"/>
              <w:szCs w:val="32"/>
              <w:lang w:val="en-US" w:eastAsia="zh-CN"/>
            </w:rPr>
            <w:t>和意义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_Toc28295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1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_Toc29747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</w:rPr>
            <w:t>二、任务来源和起草单位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_Toc29747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1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_Toc12244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</w:rPr>
            <w:t>三、编制原则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_Toc12244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2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_Toc20022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</w:rPr>
            <w:t>四、</w:t>
          </w:r>
          <w:r>
            <w:rPr>
              <w:rFonts w:hint="eastAsia" w:ascii="黑体" w:hAnsi="黑体" w:eastAsia="黑体"/>
              <w:sz w:val="32"/>
              <w:szCs w:val="32"/>
              <w:lang w:val="en-US" w:eastAsia="zh-CN"/>
            </w:rPr>
            <w:t>制定依据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_Toc20022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2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_Toc6579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  <w:lang w:val="en-US" w:eastAsia="zh-CN"/>
            </w:rPr>
            <w:t>五、标准编制过程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_Toc6579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3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_Toc13312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  <w:lang w:val="en-US" w:eastAsia="zh-CN"/>
            </w:rPr>
            <w:t>六、标准主要内容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_Toc13312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5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_Toc23744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  <w:lang w:val="en-US" w:eastAsia="zh-CN"/>
            </w:rPr>
            <w:t>七</w:t>
          </w:r>
          <w:r>
            <w:rPr>
              <w:rFonts w:hint="eastAsia" w:ascii="黑体" w:hAnsi="黑体" w:eastAsia="黑体"/>
              <w:sz w:val="32"/>
              <w:szCs w:val="32"/>
            </w:rPr>
            <w:t>、重大分歧意见的处理经过和依据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_Toc23744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6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sz w:val="32"/>
              <w:szCs w:val="32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HYPERLINK \l _Toc29113 </w:instrText>
          </w:r>
          <w:r>
            <w:rPr>
              <w:sz w:val="32"/>
              <w:szCs w:val="32"/>
            </w:rPr>
            <w:fldChar w:fldCharType="separate"/>
          </w:r>
          <w:r>
            <w:rPr>
              <w:rFonts w:hint="eastAsia" w:ascii="黑体" w:hAnsi="黑体" w:eastAsia="黑体"/>
              <w:sz w:val="32"/>
              <w:szCs w:val="32"/>
              <w:lang w:val="en-US" w:eastAsia="zh-CN"/>
            </w:rPr>
            <w:t>八</w:t>
          </w:r>
          <w:r>
            <w:rPr>
              <w:rFonts w:hint="eastAsia" w:ascii="黑体" w:hAnsi="黑体" w:eastAsia="黑体"/>
              <w:sz w:val="32"/>
              <w:szCs w:val="32"/>
            </w:rPr>
            <w:t>、对标准性质的建议</w:t>
          </w:r>
          <w:r>
            <w:rPr>
              <w:sz w:val="32"/>
              <w:szCs w:val="32"/>
            </w:rPr>
            <w:tab/>
          </w: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PAGEREF _Toc29113 \h </w:instrText>
          </w:r>
          <w:r>
            <w:rPr>
              <w:sz w:val="32"/>
              <w:szCs w:val="32"/>
            </w:rPr>
            <w:fldChar w:fldCharType="separate"/>
          </w:r>
          <w:r>
            <w:rPr>
              <w:sz w:val="32"/>
              <w:szCs w:val="32"/>
            </w:rPr>
            <w:t>6</w:t>
          </w:r>
          <w:r>
            <w:rPr>
              <w:sz w:val="32"/>
              <w:szCs w:val="32"/>
            </w:rPr>
            <w:fldChar w:fldCharType="end"/>
          </w:r>
          <w:r>
            <w:rPr>
              <w:sz w:val="32"/>
              <w:szCs w:val="32"/>
            </w:rPr>
            <w:fldChar w:fldCharType="end"/>
          </w:r>
        </w:p>
        <w:p>
          <w:r>
            <w:rPr>
              <w:sz w:val="32"/>
              <w:szCs w:val="32"/>
            </w:rPr>
            <w:fldChar w:fldCharType="end"/>
          </w:r>
        </w:p>
      </w:sdtContent>
    </w:sdt>
    <w:p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</w:rPr>
        <w:t>《可生食鹌鹑蛋 蛋用鹌鹑养殖规范》</w:t>
      </w:r>
    </w:p>
    <w:p>
      <w:pPr>
        <w:ind w:firstLine="0" w:firstLineChars="0"/>
        <w:jc w:val="center"/>
        <w:rPr>
          <w:rFonts w:ascii="方正小标宋简体" w:hAnsi="方正小标宋简体" w:eastAsia="方正小标宋简体" w:cs="方正小标宋简体"/>
          <w:bCs/>
          <w:kern w:val="4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</w:rPr>
        <w:t>编制说明</w:t>
      </w:r>
    </w:p>
    <w:bookmarkEnd w:id="0"/>
    <w:p>
      <w:pPr>
        <w:adjustRightInd w:val="0"/>
        <w:outlineLvl w:val="0"/>
        <w:rPr>
          <w:rFonts w:hint="default" w:ascii="黑体" w:hAnsi="黑体" w:eastAsia="黑体"/>
          <w:szCs w:val="32"/>
          <w:lang w:val="en-US" w:eastAsia="zh-CN"/>
        </w:rPr>
      </w:pPr>
      <w:bookmarkStart w:id="4" w:name="_Toc30439"/>
      <w:bookmarkStart w:id="5" w:name="_Toc1410012077"/>
      <w:bookmarkStart w:id="6" w:name="_Toc28295"/>
      <w:r>
        <w:rPr>
          <w:rFonts w:hint="eastAsia" w:ascii="黑体" w:hAnsi="黑体" w:eastAsia="黑体"/>
          <w:szCs w:val="32"/>
        </w:rPr>
        <w:t>一、</w:t>
      </w:r>
      <w:bookmarkEnd w:id="4"/>
      <w:r>
        <w:rPr>
          <w:rFonts w:hint="eastAsia" w:ascii="黑体" w:hAnsi="黑体" w:eastAsia="黑体"/>
          <w:szCs w:val="32"/>
        </w:rPr>
        <w:t>项目背景</w:t>
      </w:r>
      <w:bookmarkEnd w:id="5"/>
      <w:r>
        <w:rPr>
          <w:rFonts w:hint="eastAsia" w:ascii="黑体" w:hAnsi="黑体" w:eastAsia="黑体"/>
          <w:szCs w:val="32"/>
          <w:lang w:val="en-US" w:eastAsia="zh-CN"/>
        </w:rPr>
        <w:t>和意义</w:t>
      </w:r>
      <w:bookmarkEnd w:id="6"/>
    </w:p>
    <w:p>
      <w:pPr>
        <w:ind w:firstLine="640"/>
        <w:rPr>
          <w:rFonts w:hint="eastAsia"/>
        </w:rPr>
      </w:pPr>
      <w:r>
        <w:rPr>
          <w:rFonts w:hint="eastAsia"/>
        </w:rPr>
        <w:t>随着生活水平的提高和健康意识的增强，人们越来越重视食品的健康和营养。鹌鹑蛋作为一种营养丰富、口感好的食品，正逐渐成为人们健康饮食的一部分。为满足人民日益增长的健康饮食的需求，蛋用鹌鹑养殖规范显得尤为重要。</w:t>
      </w:r>
    </w:p>
    <w:p>
      <w:pPr>
        <w:ind w:firstLine="640"/>
        <w:rPr>
          <w:rFonts w:hint="eastAsia"/>
        </w:rPr>
      </w:pPr>
      <w:r>
        <w:rPr>
          <w:rFonts w:hint="eastAsia"/>
        </w:rPr>
        <w:t>蛋鹌鹑产业已经形成了从种苗孵化、笼具加工、饲料与兽药提供、蛋鹑养殖、粪便处理销售、鲜蛋收售、蛋制品加工、屠宰分割、精深加工、仓储物流到科技研发、产品营销的完整产业链。一些地区的鹌鹑蛋加工企业已经达到亿元级别。虽然蛋鹌鹑产业规模不断扩大，但标准建设仍需加强。目前多数蛋鹌鹑企业在标准及认证方面仍然沿用蛋鸡标准，产生了养殖不规范、标准不统一等一系列问题。目前，全国暂无可生食鹌鹑蛋相关标准，由于缺乏统一的生产和管理标准，导致养殖过程中的卫生条件、用药规范等方面存在差异，难以保证产品的一致性和安全性。</w:t>
      </w:r>
    </w:p>
    <w:p>
      <w:pPr>
        <w:ind w:firstLine="640"/>
        <w:rPr>
          <w:rFonts w:hint="eastAsia"/>
        </w:rPr>
      </w:pPr>
      <w:r>
        <w:rPr>
          <w:rFonts w:hint="eastAsia"/>
        </w:rPr>
        <w:t>在此背景下，《可生食鹌鹑蛋 蛋用鹌鹑养殖规范》团体标准极具意义和代表性，该标准针对可生食鹌鹑蛋蛋用鹌鹑养殖的全链条制定，其发布将填补可生食鹌鹑蛋蛋用鹌鹑养殖的空白，规范行业行为规范，为国家蛋用鹌鹑养殖行业的良性发展提供示范作用。</w:t>
      </w:r>
    </w:p>
    <w:p>
      <w:pPr>
        <w:adjustRightInd w:val="0"/>
        <w:ind w:firstLine="640"/>
        <w:outlineLvl w:val="0"/>
        <w:rPr>
          <w:rFonts w:ascii="黑体" w:hAnsi="黑体" w:eastAsia="黑体"/>
          <w:szCs w:val="32"/>
        </w:rPr>
      </w:pPr>
      <w:bookmarkStart w:id="7" w:name="_Toc590933494"/>
      <w:bookmarkStart w:id="8" w:name="_Toc29747"/>
      <w:r>
        <w:rPr>
          <w:rFonts w:hint="eastAsia" w:ascii="黑体" w:hAnsi="黑体" w:eastAsia="黑体"/>
          <w:szCs w:val="32"/>
        </w:rPr>
        <w:t>二、</w:t>
      </w:r>
      <w:bookmarkEnd w:id="7"/>
      <w:r>
        <w:rPr>
          <w:rFonts w:hint="eastAsia" w:ascii="黑体" w:hAnsi="黑体" w:eastAsia="黑体"/>
          <w:szCs w:val="32"/>
        </w:rPr>
        <w:t>任务来源和起草单位</w:t>
      </w:r>
      <w:bookmarkEnd w:id="8"/>
    </w:p>
    <w:p>
      <w:pPr>
        <w:ind w:firstLine="640"/>
        <w:outlineLvl w:val="1"/>
        <w:rPr>
          <w:rFonts w:ascii="楷体" w:hAnsi="楷体" w:eastAsia="楷体" w:cs="楷体"/>
        </w:rPr>
      </w:pPr>
      <w:bookmarkStart w:id="9" w:name="_Toc1854849930"/>
      <w:r>
        <w:rPr>
          <w:rFonts w:hint="eastAsia" w:ascii="楷体" w:hAnsi="楷体" w:eastAsia="楷体" w:cs="楷体"/>
        </w:rPr>
        <w:t>（一）任务来源</w:t>
      </w:r>
      <w:bookmarkEnd w:id="9"/>
    </w:p>
    <w:p>
      <w:pPr>
        <w:pStyle w:val="5"/>
        <w:spacing w:after="0"/>
        <w:ind w:firstLine="640"/>
      </w:pPr>
      <w:r>
        <w:rPr>
          <w:rFonts w:hint="eastAsia"/>
        </w:rPr>
        <w:t>根据《团体标准管理规定》（国标委联〔2019〕1号）和《深圳市深圳标准促进会团体标准管理办法》，深圳市深圳标准促进会决定对《可生食鹌鹑蛋 蛋用鹌鹑养殖规范》团体标准予以立项</w:t>
      </w:r>
      <w:r>
        <w:rPr>
          <w:rFonts w:hint="eastAsia" w:cs="仿宋_GB2312"/>
          <w:szCs w:val="32"/>
        </w:rPr>
        <w:t>，</w:t>
      </w:r>
      <w:r>
        <w:rPr>
          <w:rFonts w:hint="eastAsia"/>
        </w:rPr>
        <w:t>牵头单位为</w:t>
      </w:r>
      <w:r>
        <w:rPr>
          <w:rFonts w:hint="eastAsia"/>
          <w:lang w:eastAsia="zh-Hans"/>
        </w:rPr>
        <w:t>盐津铺子食品股份有限公司</w:t>
      </w:r>
      <w:r>
        <w:rPr>
          <w:rFonts w:hint="eastAsia"/>
          <w:lang w:eastAsia="zh-CN"/>
        </w:rPr>
        <w:t>、</w:t>
      </w:r>
      <w:r>
        <w:rPr>
          <w:rFonts w:hint="eastAsia" w:cs="仿宋_GB2312"/>
          <w:szCs w:val="32"/>
        </w:rPr>
        <w:t>广东无穷食品集团有限公司</w:t>
      </w:r>
      <w:r>
        <w:rPr>
          <w:rFonts w:hint="eastAsia"/>
        </w:rPr>
        <w:t>。</w:t>
      </w:r>
    </w:p>
    <w:p>
      <w:pPr>
        <w:ind w:firstLine="640"/>
        <w:outlineLvl w:val="1"/>
        <w:rPr>
          <w:rFonts w:hint="eastAsia" w:eastAsia="楷体"/>
          <w:lang w:eastAsia="zh-CN"/>
        </w:rPr>
      </w:pPr>
      <w:r>
        <w:rPr>
          <w:rFonts w:hint="eastAsia" w:ascii="楷体" w:hAnsi="楷体" w:eastAsia="楷体" w:cs="楷体"/>
        </w:rPr>
        <w:t>（</w:t>
      </w:r>
      <w:r>
        <w:rPr>
          <w:rFonts w:hint="eastAsia" w:ascii="楷体" w:hAnsi="楷体" w:eastAsia="楷体" w:cs="楷体"/>
          <w:lang w:val="en-US" w:eastAsia="zh-CN"/>
        </w:rPr>
        <w:t>二</w:t>
      </w:r>
      <w:r>
        <w:rPr>
          <w:rFonts w:hint="eastAsia" w:ascii="楷体" w:hAnsi="楷体" w:eastAsia="楷体" w:cs="楷体"/>
        </w:rPr>
        <w:t>）</w:t>
      </w:r>
      <w:r>
        <w:rPr>
          <w:rFonts w:hint="eastAsia" w:ascii="楷体" w:hAnsi="楷体" w:eastAsia="楷体" w:cs="楷体"/>
          <w:lang w:val="en-US" w:eastAsia="zh-CN"/>
        </w:rPr>
        <w:t>起草单位</w:t>
      </w:r>
    </w:p>
    <w:p>
      <w:pPr>
        <w:pStyle w:val="5"/>
        <w:spacing w:after="0"/>
        <w:ind w:firstLine="640"/>
      </w:pPr>
      <w:r>
        <w:rPr>
          <w:rFonts w:hint="eastAsia"/>
        </w:rPr>
        <w:t>本标准由盐津铺子食品股份有限公司</w:t>
      </w:r>
      <w:r>
        <w:rPr>
          <w:rFonts w:hint="eastAsia"/>
          <w:lang w:eastAsia="zh-CN"/>
        </w:rPr>
        <w:t>、</w:t>
      </w:r>
      <w:r>
        <w:rPr>
          <w:rFonts w:hint="eastAsia" w:cs="仿宋_GB2312"/>
          <w:szCs w:val="32"/>
        </w:rPr>
        <w:t>广东无穷食品集团有限公司</w:t>
      </w:r>
      <w:r>
        <w:rPr>
          <w:rFonts w:hint="eastAsia" w:cs="仿宋_GB2312"/>
          <w:szCs w:val="32"/>
          <w:lang w:val="en-US" w:eastAsia="zh-CN"/>
        </w:rPr>
        <w:t>共同</w:t>
      </w:r>
      <w:r>
        <w:rPr>
          <w:rFonts w:hint="eastAsia"/>
        </w:rPr>
        <w:t>牵头，</w:t>
      </w:r>
      <w:r>
        <w:rPr>
          <w:rFonts w:hint="eastAsia" w:cs="仿宋_GB2312"/>
          <w:szCs w:val="32"/>
        </w:rPr>
        <w:t>江西蛋纪绿色食品有限公司、湖南韧之检测技术有限公司、上海天祥质量技术服务有限公司、深圳市标准技术研究院、深圳市品牌建设促进会共同负责起草。</w:t>
      </w:r>
    </w:p>
    <w:p>
      <w:pPr>
        <w:adjustRightInd w:val="0"/>
        <w:ind w:firstLine="640"/>
        <w:outlineLvl w:val="0"/>
        <w:rPr>
          <w:rFonts w:ascii="黑体" w:hAnsi="黑体" w:eastAsia="黑体"/>
          <w:szCs w:val="32"/>
        </w:rPr>
      </w:pPr>
      <w:bookmarkStart w:id="10" w:name="_Toc278543091"/>
      <w:bookmarkStart w:id="11" w:name="_Toc12244"/>
      <w:r>
        <w:rPr>
          <w:rFonts w:hint="eastAsia" w:ascii="黑体" w:hAnsi="黑体" w:eastAsia="黑体"/>
          <w:szCs w:val="32"/>
        </w:rPr>
        <w:t>三、编制原则</w:t>
      </w:r>
      <w:bookmarkEnd w:id="10"/>
      <w:bookmarkEnd w:id="11"/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（一）科学性原则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标准的编制应以标准化理论为指导，编制组通过深入研究国家和地方相关法律法规，以及</w:t>
      </w:r>
      <w:r>
        <w:rPr>
          <w:rFonts w:hint="eastAsia"/>
          <w:lang w:val="en-US" w:eastAsia="zh-CN"/>
        </w:rPr>
        <w:t>可生食鹌鹑蛋的技术要点</w:t>
      </w:r>
      <w:r>
        <w:rPr>
          <w:rFonts w:hint="eastAsia"/>
        </w:rPr>
        <w:t>，注重科学性，并以此作为标准编制的基础和依据，运用科学的方法建立规范。</w:t>
      </w:r>
      <w:bookmarkStart w:id="21" w:name="_GoBack"/>
      <w:bookmarkEnd w:id="21"/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（二）合理性原则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本规范参考</w:t>
      </w:r>
      <w:r>
        <w:rPr>
          <w:rFonts w:hint="eastAsia"/>
          <w:lang w:val="en-US" w:eastAsia="zh-CN"/>
        </w:rPr>
        <w:t>多家鹌鹑蛋养殖场蛋用鹌鹑养殖规范</w:t>
      </w:r>
      <w:r>
        <w:rPr>
          <w:rFonts w:hint="eastAsia"/>
        </w:rPr>
        <w:t>，结合</w:t>
      </w:r>
      <w:r>
        <w:rPr>
          <w:rFonts w:hint="eastAsia"/>
          <w:lang w:val="en-US" w:eastAsia="zh-CN"/>
        </w:rPr>
        <w:t>可生食鹌鹑蛋</w:t>
      </w:r>
      <w:r>
        <w:rPr>
          <w:rFonts w:hint="eastAsia"/>
        </w:rPr>
        <w:t>提升目标，强调与相关政策标准协调一致，在技术细节上做了诸多细化和协调统一，以保证规范的合理性。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（三）实用性原则</w:t>
      </w:r>
    </w:p>
    <w:p>
      <w:pPr>
        <w:pStyle w:val="5"/>
        <w:spacing w:after="0"/>
        <w:ind w:firstLine="640"/>
      </w:pPr>
      <w:r>
        <w:rPr>
          <w:rFonts w:hint="eastAsia"/>
        </w:rPr>
        <w:t>本规范所涉及到的各条规定，描述清晰，参考限定科学合理，便于操作实践。</w:t>
      </w:r>
    </w:p>
    <w:p>
      <w:pPr>
        <w:adjustRightInd w:val="0"/>
        <w:ind w:firstLine="640"/>
        <w:outlineLvl w:val="0"/>
        <w:rPr>
          <w:rFonts w:hint="default" w:ascii="黑体" w:hAnsi="黑体" w:eastAsia="黑体"/>
          <w:szCs w:val="32"/>
          <w:lang w:val="en-US" w:eastAsia="zh-CN"/>
        </w:rPr>
      </w:pPr>
      <w:bookmarkStart w:id="12" w:name="_Toc930967103"/>
      <w:bookmarkStart w:id="13" w:name="_Toc20022"/>
      <w:r>
        <w:rPr>
          <w:rFonts w:hint="eastAsia" w:ascii="黑体" w:hAnsi="黑体" w:eastAsia="黑体"/>
          <w:szCs w:val="32"/>
        </w:rPr>
        <w:t>四、</w:t>
      </w:r>
      <w:bookmarkEnd w:id="12"/>
      <w:r>
        <w:rPr>
          <w:rFonts w:hint="eastAsia" w:ascii="黑体" w:hAnsi="黑体" w:eastAsia="黑体"/>
          <w:szCs w:val="32"/>
          <w:lang w:val="en-US" w:eastAsia="zh-CN"/>
        </w:rPr>
        <w:t>制定依据</w:t>
      </w:r>
      <w:bookmarkEnd w:id="13"/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本标准根据GB/T 1.1—2020《标准化工作导则第1部分：标准化文件的结构和起草规则》规定的格式编写。在制定标准过程中，主要参考标准及相关规定为：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中华人民共和国农业部令 第67号，2006年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农业部公告第1521号，2010年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中华人民共和国农业部公告第168号，2001年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中华人民共和国农业部公告 第1773号，2012年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国家市场监督管理总局令第70号，2023年</w:t>
      </w:r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中华人民共和国农业农村部令 2022年第3号，2022年</w:t>
      </w:r>
    </w:p>
    <w:p>
      <w:pPr>
        <w:numPr>
          <w:ilvl w:val="0"/>
          <w:numId w:val="1"/>
        </w:numPr>
        <w:adjustRightInd w:val="0"/>
        <w:ind w:firstLine="640"/>
        <w:outlineLvl w:val="0"/>
        <w:rPr>
          <w:rFonts w:hint="eastAsia" w:ascii="黑体" w:hAnsi="黑体" w:eastAsia="黑体"/>
          <w:szCs w:val="32"/>
          <w:lang w:val="en-US" w:eastAsia="zh-CN"/>
        </w:rPr>
      </w:pPr>
      <w:bookmarkStart w:id="14" w:name="_Toc6579"/>
      <w:bookmarkStart w:id="15" w:name="_Toc1304255726"/>
      <w:r>
        <w:rPr>
          <w:rFonts w:hint="eastAsia" w:ascii="黑体" w:hAnsi="黑体" w:eastAsia="黑体"/>
          <w:szCs w:val="32"/>
          <w:lang w:val="en-US" w:eastAsia="zh-CN"/>
        </w:rPr>
        <w:t>标准编制过程</w:t>
      </w:r>
      <w:bookmarkEnd w:id="14"/>
    </w:p>
    <w:p>
      <w:pPr>
        <w:keepNext/>
        <w:keepLines/>
        <w:widowControl w:val="0"/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（一）前期准备</w:t>
      </w:r>
    </w:p>
    <w:p>
      <w:pPr>
        <w:widowControl w:val="0"/>
        <w:spacing w:after="120" w:line="560" w:lineRule="exact"/>
        <w:ind w:firstLine="640" w:firstLineChars="200"/>
        <w:jc w:val="both"/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2024年1月至3月，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盐津铺子食品股份有限公司、广东无穷食品集团有限公司、江西蛋纪绿色食品有限公司、深圳市标准技术研究院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开展了前期资料收集与研究工作，结合国外标准、国家标准、国内各地地方标准及企业鹌鹑蛋养殖规范，确定了蛋鹌鹑养殖的技术要点，为本标准的编制打下了良好的理论基础。</w:t>
      </w:r>
    </w:p>
    <w:p>
      <w:pPr>
        <w:widowControl w:val="0"/>
        <w:spacing w:after="120" w:line="560" w:lineRule="exact"/>
        <w:ind w:firstLine="640" w:firstLineChars="200"/>
        <w:jc w:val="both"/>
        <w:rPr>
          <w:rFonts w:hint="default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2024年3月27日，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盐津铺子食品股份有限公司、广东无穷食品集团有限公司、江西蛋纪绿色食品有限公司、湖南韧之检测技术有限公司、上海天祥质量技术服务有限公司、深圳市标准技术研究院召开标准预研会，对标准的技术要点及详细参数进行研讨，对可生食鹌鹑蛋指标达成一致意见。</w:t>
      </w:r>
    </w:p>
    <w:p>
      <w:pPr>
        <w:keepNext/>
        <w:keepLines/>
        <w:widowControl w:val="0"/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zh-CN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（二）</w:t>
      </w:r>
      <w:r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标准立项</w:t>
      </w:r>
    </w:p>
    <w:p>
      <w:pPr>
        <w:widowControl/>
        <w:ind w:firstLine="640" w:firstLineChars="200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zh-CN"/>
        </w:rPr>
        <w:t>202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 w:bidi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zh-CN"/>
        </w:rPr>
        <w:t>年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 w:bidi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zh-CN"/>
        </w:rPr>
        <w:t>月1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 w:bidi="zh-CN"/>
        </w:rPr>
        <w:t>6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zh-CN"/>
        </w:rPr>
        <w:t>日，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 w:bidi="zh-CN"/>
        </w:rPr>
        <w:t>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zh-CN"/>
        </w:rPr>
        <w:t>关于批准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 w:bidi="zh-CN"/>
        </w:rPr>
        <w:t>&lt;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zh-CN"/>
        </w:rPr>
        <w:t>可生食鹌鹑蛋 蛋用鹌鹑养殖规范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 w:bidi="zh-CN"/>
        </w:rPr>
        <w:t>&gt;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zh-CN"/>
        </w:rPr>
        <w:t>团体标准立项的通知》对本标准予以立项。</w:t>
      </w:r>
    </w:p>
    <w:p>
      <w:pPr>
        <w:keepNext/>
        <w:keepLines/>
        <w:widowControl w:val="0"/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（三）</w:t>
      </w:r>
      <w:r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成立标准编制组</w:t>
      </w:r>
    </w:p>
    <w:p>
      <w:pPr>
        <w:widowControl w:val="0"/>
        <w:spacing w:after="12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202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年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月</w:t>
      </w:r>
      <w:r>
        <w:rPr>
          <w:rFonts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1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7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日，盐津铺子食品股份有限公司、广东无穷食品集团有限公司、江西蛋纪绿色食品有限公司、湖南韧之检测技术有限公司、上海天祥质量技术服务有限公司、深圳市标准技术研究院、深圳市品牌建设促进会成立了标准起草组，负责标准的研制工作。</w:t>
      </w:r>
    </w:p>
    <w:p>
      <w:pPr>
        <w:keepNext/>
        <w:keepLines/>
        <w:widowControl w:val="0"/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（四）</w:t>
      </w:r>
      <w:r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标准草案编制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default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202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年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27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日，根据前期搜集的相关资料及盐津铺子食品股份有限公司、广东无穷食品集团有限公司、江西蛋纪绿色食品有限公司蛋用鹌鹑养殖技术规范，深圳市标准技术研究院完成了《可生食鹌鹑蛋 蛋用鹌鹑养殖规范》草案。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</w:pPr>
      <w:r>
        <w:rPr>
          <w:rFonts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202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年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月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至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5月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，起草组就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《可生食鹌鹑蛋 蛋用鹌鹑养殖规范》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（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草案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）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展开内部讨论，对标准中防疫、养殖环境、检疫等环节进行研讨修改。</w:t>
      </w:r>
    </w:p>
    <w:p>
      <w:pPr>
        <w:keepNext/>
        <w:keepLines/>
        <w:widowControl w:val="0"/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（五）</w:t>
      </w:r>
      <w:r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标准意见征集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202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年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5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月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31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日，起草组邀请了国内知名专家召开专家咨询会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，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邀请了深圳市质量安全检验检测研究院、深圳市认证认可协会、上海悦孜企业信息咨询有限公司、礼蓝中国、南昌师范学院、湖北省农业科学院畜牧兽医研究所的6位专家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就《可生食鹌鹑蛋 蛋用鹌鹑养殖规范》进行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线上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研讨，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充分征询专家意见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，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进一步讨论明确编制思路、原则等关键技术内容。</w:t>
      </w:r>
    </w:p>
    <w:p>
      <w:pPr>
        <w:keepNext/>
        <w:keepLines/>
        <w:widowControl w:val="0"/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（六）标准送审</w:t>
      </w:r>
    </w:p>
    <w:p>
      <w:pPr>
        <w:widowControl w:val="0"/>
        <w:spacing w:after="120" w:line="560" w:lineRule="exact"/>
        <w:ind w:firstLine="640" w:firstLineChars="200"/>
        <w:jc w:val="both"/>
        <w:rPr>
          <w:rFonts w:hint="default"/>
          <w:lang w:val="en-US" w:eastAsia="zh-CN"/>
        </w:rPr>
      </w:pPr>
      <w:r>
        <w:rPr>
          <w:rFonts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20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24"/>
          <w:lang w:val="en-US" w:eastAsia="zh-CN" w:bidi="ar-SA"/>
        </w:rPr>
        <w:t>24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年</w:t>
      </w:r>
      <w:r>
        <w:rPr>
          <w:rFonts w:hint="eastAsia" w:cs="Times New Roman"/>
          <w:kern w:val="2"/>
          <w:sz w:val="32"/>
          <w:szCs w:val="24"/>
          <w:highlight w:val="none"/>
          <w:lang w:val="en-US" w:eastAsia="zh-CN" w:bidi="ar-SA"/>
        </w:rPr>
        <w:t>6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highlight w:val="none"/>
          <w:lang w:val="en-US" w:eastAsia="zh-Hans" w:bidi="ar-SA"/>
        </w:rPr>
        <w:t>月</w:t>
      </w:r>
      <w:r>
        <w:rPr>
          <w:rFonts w:hint="eastAsia" w:cs="Times New Roman"/>
          <w:kern w:val="2"/>
          <w:sz w:val="32"/>
          <w:szCs w:val="24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highlight w:val="none"/>
          <w:lang w:val="en-US" w:eastAsia="zh-CN" w:bidi="ar-SA"/>
        </w:rPr>
        <w:t>日-</w:t>
      </w:r>
      <w:r>
        <w:rPr>
          <w:rFonts w:hint="eastAsia" w:cs="Times New Roman"/>
          <w:kern w:val="2"/>
          <w:sz w:val="32"/>
          <w:szCs w:val="24"/>
          <w:highlight w:val="none"/>
          <w:lang w:val="en-US" w:eastAsia="zh-CN" w:bidi="ar-SA"/>
        </w:rPr>
        <w:t>7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highlight w:val="none"/>
          <w:lang w:val="en-US" w:eastAsia="zh-Hans" w:bidi="ar-SA"/>
        </w:rPr>
        <w:t>月</w:t>
      </w:r>
      <w:r>
        <w:rPr>
          <w:rFonts w:hint="eastAsia" w:cs="Times New Roman"/>
          <w:kern w:val="2"/>
          <w:sz w:val="32"/>
          <w:szCs w:val="24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highlight w:val="none"/>
          <w:lang w:val="en-US" w:eastAsia="zh-CN" w:bidi="ar-SA"/>
        </w:rPr>
        <w:t>日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highlight w:val="none"/>
          <w:lang w:val="en-US" w:eastAsia="zh-Hans" w:bidi="ar-SA"/>
        </w:rPr>
        <w:t>，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起草组于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深圳市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深圳标准促进会官方网站公开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征求意见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，完成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Hans" w:bidi="ar-SA"/>
        </w:rPr>
        <w:t>修改，形成标准送审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稿。</w:t>
      </w:r>
    </w:p>
    <w:bookmarkEnd w:id="15"/>
    <w:p>
      <w:pPr>
        <w:numPr>
          <w:ilvl w:val="0"/>
          <w:numId w:val="1"/>
        </w:numPr>
        <w:adjustRightInd w:val="0"/>
        <w:ind w:left="0" w:leftChars="0" w:firstLine="640" w:firstLineChars="200"/>
        <w:outlineLvl w:val="0"/>
        <w:rPr>
          <w:rFonts w:hint="eastAsia" w:ascii="黑体" w:hAnsi="黑体" w:eastAsia="黑体"/>
          <w:szCs w:val="32"/>
          <w:lang w:val="en-US" w:eastAsia="zh-CN"/>
        </w:rPr>
      </w:pPr>
      <w:bookmarkStart w:id="16" w:name="_Toc13312"/>
      <w:r>
        <w:rPr>
          <w:rFonts w:hint="eastAsia" w:ascii="黑体" w:hAnsi="黑体" w:eastAsia="黑体"/>
          <w:szCs w:val="32"/>
          <w:lang w:val="en-US" w:eastAsia="zh-CN"/>
        </w:rPr>
        <w:t>标准主要内容</w:t>
      </w:r>
      <w:bookmarkEnd w:id="16"/>
    </w:p>
    <w:p>
      <w:pPr>
        <w:keepNext/>
        <w:keepLines/>
        <w:widowControl w:val="0"/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（一）主要内容</w:t>
      </w:r>
    </w:p>
    <w:p>
      <w:pPr>
        <w:pStyle w:val="5"/>
        <w:ind w:firstLine="640"/>
        <w:rPr>
          <w:rFonts w:hint="eastAsia"/>
        </w:rPr>
      </w:pPr>
      <w:r>
        <w:rPr>
          <w:rFonts w:hint="eastAsia"/>
        </w:rPr>
        <w:t>本文件规定了可生食鹌鹑蛋生产环节蛋用鹌鹑养殖场的规划与设计、引种、营养与饲料、饲养管理、蛋品质量管理、疫病防控、养殖管理制度与档案记录、粪便及废弃物无害化处理。</w:t>
      </w:r>
    </w:p>
    <w:p>
      <w:pPr>
        <w:pStyle w:val="5"/>
        <w:ind w:firstLine="640"/>
        <w:rPr>
          <w:rFonts w:hint="eastAsia"/>
        </w:rPr>
      </w:pPr>
      <w:r>
        <w:rPr>
          <w:rFonts w:hint="eastAsia"/>
        </w:rPr>
        <w:t>本文件适用于可生食鹌鹑蛋蛋用鹌鹑养殖规范养殖场生产。</w:t>
      </w:r>
    </w:p>
    <w:p>
      <w:pPr>
        <w:keepNext/>
        <w:keepLines/>
        <w:widowControl w:val="0"/>
        <w:numPr>
          <w:ilvl w:val="0"/>
          <w:numId w:val="2"/>
        </w:numPr>
        <w:autoSpaceDE w:val="0"/>
        <w:autoSpaceDN w:val="0"/>
        <w:spacing w:before="120" w:after="120" w:line="560" w:lineRule="exact"/>
        <w:ind w:firstLine="640" w:firstLineChars="200"/>
        <w:jc w:val="both"/>
        <w:outlineLvl w:val="2"/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 w:bidi="zh-CN"/>
        </w:rPr>
        <w:t>规范性引用文件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2760  食品安全国家标准 食品添加剂使用标准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2762  食品安全国家标准 食品中污染物限量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2763  食品安全国家标准 食品中农药最大残留限量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4789.4  食品安全国家标准 食品微生物学检验 沙门氏菌检验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14881  食品安全国家标准 食品生产通用卫生规范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GB/T 16569  畜禽产品消毒规范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18596  畜禽养殖业污染物排放标准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21710 食品安全国家标准 蛋与蛋制品生产卫生规范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GB 31650  食品安全国家标准 食品中兽药最大残留限量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NY/T 388  畜禽场环境质量标准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NY/T 682  畜禽场场区设计技术规范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NY/T 823  家禽生产性能名词术语和度量统计方法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NY/T 1168  畜禽粪便无害化处理技术规范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NY 5027  无公害食品畜禽饮用水水质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NY 5030  无公害食品 畜禽饲养兽药使用准则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NY 5032  畜禽饲料和饲料添加剂使用准则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JJF 1070  定量包装商品净含量计量检测规则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中华人民共和国主席令2005年第45号 中华人民共和国畜牧法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中华人民共和国农业部公告第1773号 饲料原料目录</w:t>
      </w:r>
    </w:p>
    <w:p>
      <w:pPr>
        <w:widowControl w:val="0"/>
        <w:spacing w:after="0" w:line="560" w:lineRule="exact"/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中华人民共和国兽药典</w:t>
      </w:r>
    </w:p>
    <w:p>
      <w:pPr>
        <w:adjustRightInd w:val="0"/>
        <w:ind w:firstLine="640"/>
        <w:outlineLvl w:val="0"/>
        <w:rPr>
          <w:rFonts w:ascii="黑体" w:hAnsi="黑体" w:eastAsia="黑体"/>
          <w:szCs w:val="32"/>
        </w:rPr>
      </w:pPr>
      <w:bookmarkStart w:id="17" w:name="_Toc1260401953"/>
      <w:bookmarkStart w:id="18" w:name="_Toc23744"/>
      <w:r>
        <w:rPr>
          <w:rFonts w:hint="eastAsia" w:ascii="黑体" w:hAnsi="黑体" w:eastAsia="黑体"/>
          <w:szCs w:val="32"/>
          <w:lang w:val="en-US" w:eastAsia="zh-CN"/>
        </w:rPr>
        <w:t>七</w:t>
      </w:r>
      <w:r>
        <w:rPr>
          <w:rFonts w:hint="eastAsia" w:ascii="黑体" w:hAnsi="黑体" w:eastAsia="黑体"/>
          <w:szCs w:val="32"/>
        </w:rPr>
        <w:t>、</w:t>
      </w:r>
      <w:bookmarkEnd w:id="17"/>
      <w:r>
        <w:rPr>
          <w:rFonts w:hint="eastAsia" w:ascii="黑体" w:hAnsi="黑体" w:eastAsia="黑体"/>
          <w:szCs w:val="32"/>
        </w:rPr>
        <w:t>重大分歧意见的处理经过和依据</w:t>
      </w:r>
      <w:bookmarkEnd w:id="18"/>
    </w:p>
    <w:p>
      <w:pPr>
        <w:pStyle w:val="5"/>
        <w:ind w:firstLine="640"/>
      </w:pPr>
      <w:r>
        <w:rPr>
          <w:rFonts w:hint="eastAsia"/>
        </w:rPr>
        <w:t>无重大分歧意见。</w:t>
      </w:r>
    </w:p>
    <w:p>
      <w:pPr>
        <w:adjustRightInd w:val="0"/>
        <w:ind w:firstLine="640"/>
        <w:outlineLvl w:val="0"/>
        <w:rPr>
          <w:rFonts w:ascii="黑体" w:hAnsi="黑体" w:eastAsia="黑体"/>
          <w:szCs w:val="32"/>
        </w:rPr>
      </w:pPr>
      <w:bookmarkStart w:id="19" w:name="_Toc796930063"/>
      <w:bookmarkStart w:id="20" w:name="_Toc29113"/>
      <w:r>
        <w:rPr>
          <w:rFonts w:hint="eastAsia" w:ascii="黑体" w:hAnsi="黑体" w:eastAsia="黑体"/>
          <w:szCs w:val="32"/>
          <w:lang w:val="en-US" w:eastAsia="zh-CN"/>
        </w:rPr>
        <w:t>八</w:t>
      </w:r>
      <w:r>
        <w:rPr>
          <w:rFonts w:hint="eastAsia" w:ascii="黑体" w:hAnsi="黑体" w:eastAsia="黑体"/>
          <w:szCs w:val="32"/>
        </w:rPr>
        <w:t>、</w:t>
      </w:r>
      <w:bookmarkEnd w:id="19"/>
      <w:r>
        <w:rPr>
          <w:rFonts w:hint="eastAsia" w:ascii="黑体" w:hAnsi="黑体" w:eastAsia="黑体"/>
          <w:szCs w:val="32"/>
        </w:rPr>
        <w:t>对标准性质的建议</w:t>
      </w:r>
      <w:bookmarkEnd w:id="20"/>
    </w:p>
    <w:p>
      <w:pPr>
        <w:pStyle w:val="5"/>
        <w:spacing w:after="0"/>
        <w:ind w:firstLine="640"/>
        <w:rPr>
          <w:rFonts w:hint="eastAsia"/>
        </w:rPr>
      </w:pPr>
      <w:r>
        <w:rPr>
          <w:rFonts w:hint="eastAsia"/>
        </w:rPr>
        <w:t>建议以团体标准发布。</w:t>
      </w:r>
    </w:p>
    <w:p>
      <w:pPr>
        <w:pStyle w:val="5"/>
        <w:spacing w:after="0"/>
        <w:ind w:firstLine="640"/>
        <w:rPr>
          <w:rFonts w:hint="eastAsia"/>
        </w:rPr>
      </w:pPr>
    </w:p>
    <w:p>
      <w:pPr>
        <w:pStyle w:val="5"/>
        <w:spacing w:after="0"/>
        <w:ind w:firstLine="640"/>
        <w:rPr>
          <w:rFonts w:hint="eastAsia"/>
        </w:rPr>
      </w:pPr>
    </w:p>
    <w:p>
      <w:pPr>
        <w:pStyle w:val="5"/>
        <w:spacing w:after="0"/>
        <w:ind w:firstLine="640"/>
        <w:rPr>
          <w:rFonts w:hint="eastAsia"/>
        </w:rPr>
      </w:pPr>
    </w:p>
    <w:p>
      <w:pPr>
        <w:pStyle w:val="5"/>
        <w:spacing w:after="0"/>
        <w:ind w:firstLine="640"/>
        <w:jc w:val="right"/>
      </w:pPr>
      <w:r>
        <w:rPr>
          <w:rFonts w:hint="eastAsia"/>
        </w:rPr>
        <w:t xml:space="preserve"> 《</w:t>
      </w:r>
      <w:r>
        <w:rPr>
          <w:rFonts w:hint="eastAsia" w:ascii="仿宋_GB2312" w:hAnsi="仿宋_GB2312" w:eastAsia="仿宋_GB2312" w:cs="Times New Roman"/>
          <w:kern w:val="2"/>
          <w:sz w:val="32"/>
          <w:szCs w:val="24"/>
          <w:lang w:val="en-US" w:eastAsia="zh-CN" w:bidi="ar-SA"/>
        </w:rPr>
        <w:t>可生食鹌鹑蛋 蛋用鹌鹑养殖规范</w:t>
      </w:r>
      <w:r>
        <w:rPr>
          <w:rFonts w:hint="eastAsia"/>
        </w:rPr>
        <w:t>》编写小组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A377F7-B585-4026-A289-D4ADBC34F41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58E5D69-6718-4BF8-A628-BDB88581D4F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18EB5AA-2D3B-4158-9189-27D924CF0D7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A3B6487-B382-43F9-947A-565A2EEE6E4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7B5E8AA-BF1F-49E3-903C-0C5769123887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6" w:fontKey="{3A346E32-BAF2-4C45-9878-FF8FDD4DC7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67B4F235-C5EE-4407-B6E0-D88850A5429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03F55"/>
    <w:multiLevelType w:val="singleLevel"/>
    <w:tmpl w:val="92503F5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09B2CA"/>
    <w:multiLevelType w:val="singleLevel"/>
    <w:tmpl w:val="0B09B2C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MzdiMjg4ODZiMzAwZGJlNTMxYzFlYWZjMzRjYmIifQ=="/>
  </w:docVars>
  <w:rsids>
    <w:rsidRoot w:val="7A37391A"/>
    <w:rsid w:val="1BA3631D"/>
    <w:rsid w:val="285D16D1"/>
    <w:rsid w:val="2E682107"/>
    <w:rsid w:val="39E42709"/>
    <w:rsid w:val="3D0224F1"/>
    <w:rsid w:val="5F332FBB"/>
    <w:rsid w:val="61B211F7"/>
    <w:rsid w:val="7A37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7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120" w:after="120"/>
      <w:outlineLvl w:val="2"/>
    </w:pPr>
    <w:rPr>
      <w:rFonts w:eastAsia="楷体_GB2312"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cs="宋体"/>
      <w:sz w:val="30"/>
      <w:szCs w:val="21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semiHidden/>
    <w:unhideWhenUsed/>
    <w:qFormat/>
    <w:uiPriority w:val="99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5"/>
    <w:semiHidden/>
    <w:unhideWhenUsed/>
    <w:qFormat/>
    <w:uiPriority w:val="99"/>
    <w:pPr>
      <w:ind w:firstLine="482" w:firstLineChars="150"/>
    </w:pPr>
  </w:style>
  <w:style w:type="paragraph" w:customStyle="1" w:styleId="11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2564</Words>
  <Characters>2729</Characters>
  <Lines>0</Lines>
  <Paragraphs>0</Paragraphs>
  <TotalTime>0</TotalTime>
  <ScaleCrop>false</ScaleCrop>
  <LinksUpToDate>false</LinksUpToDate>
  <CharactersWithSpaces>2831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2024-05-27T07:15:00Z</dcterms:created>
  <dc:creator>段萤雪</dc:creator>
  <cp:lastModifiedBy>段萤雪</cp:lastModifiedBy>
  <cp:lastPrinted>2024-05-31T02:30:00Z</cp:lastPrinted>
  <dcterms:modified xsi:type="dcterms:W3CDTF">2024-06-05T02:42:28Z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DADD275DA6F7437380FE0AE39977971F_13</vt:lpwstr>
  </property>
</Properties>
</file>