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640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《</w:t>
      </w:r>
      <w:r>
        <w:rPr>
          <w:rFonts w:hint="eastAsia" w:ascii="黑体" w:hAnsi="黑体" w:eastAsia="黑体"/>
          <w:b w:val="0"/>
          <w:sz w:val="32"/>
          <w:lang w:eastAsia="zh-CN"/>
        </w:rPr>
        <w:t>芹菜</w:t>
      </w:r>
      <w:r>
        <w:rPr>
          <w:rFonts w:hint="eastAsia" w:ascii="黑体" w:hAnsi="黑体" w:eastAsia="黑体"/>
          <w:b w:val="0"/>
          <w:sz w:val="32"/>
        </w:rPr>
        <w:t>》团体</w:t>
      </w:r>
      <w:r>
        <w:rPr>
          <w:rFonts w:ascii="黑体" w:hAnsi="黑体" w:eastAsia="黑体"/>
          <w:b w:val="0"/>
          <w:sz w:val="32"/>
        </w:rPr>
        <w:t>标准</w:t>
      </w:r>
      <w:r>
        <w:rPr>
          <w:rFonts w:hint="eastAsia" w:ascii="黑体" w:hAnsi="黑体" w:eastAsia="黑体"/>
          <w:b w:val="0"/>
          <w:sz w:val="32"/>
        </w:rPr>
        <w:t>编制</w:t>
      </w:r>
      <w:r>
        <w:rPr>
          <w:rFonts w:ascii="黑体" w:hAnsi="黑体" w:eastAsia="黑体"/>
          <w:b w:val="0"/>
          <w:sz w:val="32"/>
        </w:rPr>
        <w:t>说明</w:t>
      </w:r>
    </w:p>
    <w:p>
      <w:pPr>
        <w:pStyle w:val="2"/>
        <w:ind w:left="629" w:hanging="629"/>
        <w:jc w:val="left"/>
      </w:pPr>
      <w:r>
        <w:rPr>
          <w:rFonts w:hint="eastAsia"/>
        </w:rPr>
        <w:t>标准制定的必要性和意义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芹菜作为优质的新鲜蔬菜，市场上全年都有供应。芹菜消费量虽不大，但属于日常饮食不可缺少的食材品种。近年来，我国从国外引进了纤维少、品质脆嫩、株形紧凑粗大、叶柄宽而肥大的优良新品种，现已在国内广泛栽培。芹菜冬春季主要在南方生产，其它季节由较冷凉的高海拔或高纬度产区供给。</w:t>
      </w:r>
      <w:r>
        <w:rPr>
          <w:rFonts w:hint="eastAsia"/>
          <w:szCs w:val="21"/>
        </w:rPr>
        <w:t>2021年5月31日，农业农村部、国家市场监督管理总局等7部门联合发布了《食用农产品“治违禁  控药残  促提升”三年行动方案》，重点整治包括“三棵菜”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即芹菜、韭菜、芹菜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在内的11种重点品种农兽药残留超标问题，力争用3年左右时间，基本解决违法使用禁限用药物问题，有效遏制常规农兽药残留超标问题。</w:t>
      </w:r>
      <w:r>
        <w:rPr>
          <w:rFonts w:hint="eastAsia"/>
          <w:szCs w:val="21"/>
          <w:lang w:val="en-US" w:eastAsia="zh-CN"/>
        </w:rPr>
        <w:t>三年行动方案发布后，江苏、山东、浙江、福建等多地相关部门在全国集中治理上述11个问题突出的品种基础上，根据生产实际和监测情况增加治理品种，均积极制定和抓紧落实方案，取得良好成效。深圳市也积极响应国家号召，开展多项举措，我院重点开展“三棵菜”、“四条鱼”等相关产品标准研究，为</w:t>
      </w:r>
      <w:r>
        <w:rPr>
          <w:rFonts w:hint="eastAsia" w:ascii="宋体" w:hAnsi="宋体" w:eastAsia="宋体" w:cs="宋体"/>
          <w:szCs w:val="21"/>
        </w:rPr>
        <w:t>促进“三棵菜”</w:t>
      </w:r>
      <w:r>
        <w:rPr>
          <w:rFonts w:hint="eastAsia"/>
          <w:szCs w:val="21"/>
          <w:lang w:val="en-US" w:eastAsia="zh-CN"/>
        </w:rPr>
        <w:t>、“四条鱼”</w:t>
      </w:r>
      <w:r>
        <w:rPr>
          <w:rFonts w:hint="eastAsia" w:ascii="宋体" w:hAnsi="宋体" w:eastAsia="宋体" w:cs="宋体"/>
          <w:szCs w:val="21"/>
        </w:rPr>
        <w:t>标准化发展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  <w:lang w:val="en-US" w:eastAsia="zh-CN"/>
        </w:rPr>
        <w:t>2024年</w:t>
      </w:r>
      <w:r>
        <w:rPr>
          <w:rFonts w:hint="eastAsia" w:ascii="宋体" w:hAnsi="宋体" w:eastAsia="宋体" w:cs="宋体"/>
          <w:szCs w:val="21"/>
        </w:rPr>
        <w:t>团队</w:t>
      </w:r>
      <w:r>
        <w:rPr>
          <w:rFonts w:hint="eastAsia" w:ascii="宋体" w:hAnsi="宋体" w:eastAsia="宋体" w:cs="宋体"/>
          <w:szCs w:val="21"/>
          <w:lang w:val="en-US" w:eastAsia="zh-CN"/>
        </w:rPr>
        <w:t>拟定</w:t>
      </w:r>
      <w:r>
        <w:rPr>
          <w:rFonts w:hint="eastAsia" w:ascii="宋体" w:hAnsi="宋体" w:eastAsia="宋体" w:cs="宋体"/>
          <w:szCs w:val="21"/>
        </w:rPr>
        <w:t>研制“三棵菜”（</w:t>
      </w:r>
      <w:r>
        <w:rPr>
          <w:rFonts w:hint="eastAsia" w:ascii="宋体" w:hAnsi="宋体" w:eastAsia="宋体" w:cs="宋体"/>
          <w:szCs w:val="21"/>
          <w:lang w:eastAsia="zh-CN"/>
        </w:rPr>
        <w:t>芹菜</w:t>
      </w:r>
      <w:r>
        <w:rPr>
          <w:rFonts w:hint="eastAsia" w:ascii="宋体" w:hAnsi="宋体" w:eastAsia="宋体" w:cs="宋体"/>
          <w:szCs w:val="21"/>
        </w:rPr>
        <w:t>、韭菜、芹菜）团体标准，制定更加严格的农药残留限量要求，切实提高“三棵菜”质量安全水平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>
      <w:r>
        <w:rPr>
          <w:rFonts w:hint="eastAsia"/>
          <w:lang w:val="en-US" w:eastAsia="zh-CN"/>
        </w:rPr>
        <w:t>其中</w:t>
      </w:r>
      <w:r>
        <w:rPr>
          <w:rFonts w:hint="eastAsia"/>
        </w:rPr>
        <w:t>《</w:t>
      </w:r>
      <w:r>
        <w:rPr>
          <w:rFonts w:hint="eastAsia"/>
          <w:lang w:eastAsia="zh-CN"/>
        </w:rPr>
        <w:t>芹菜</w:t>
      </w:r>
      <w:r>
        <w:rPr>
          <w:rFonts w:hint="eastAsia"/>
        </w:rPr>
        <w:t>》团体</w:t>
      </w:r>
      <w:r>
        <w:t>标准的制定，符合我国及深圳市的实际需求，</w:t>
      </w:r>
      <w:r>
        <w:rPr>
          <w:rFonts w:hint="eastAsia"/>
        </w:rPr>
        <w:t>该</w:t>
      </w:r>
      <w:r>
        <w:t>产品在</w:t>
      </w:r>
      <w:r>
        <w:rPr>
          <w:rFonts w:hint="eastAsia"/>
        </w:rPr>
        <w:t>深圳</w:t>
      </w:r>
      <w:r>
        <w:t>市内具有较大</w:t>
      </w:r>
      <w:r>
        <w:rPr>
          <w:rFonts w:hint="eastAsia"/>
        </w:rPr>
        <w:t>的</w:t>
      </w:r>
      <w:r>
        <w:t>刚性需求，</w:t>
      </w:r>
      <w:r>
        <w:rPr>
          <w:rFonts w:hint="eastAsia"/>
        </w:rPr>
        <w:t>且</w:t>
      </w:r>
      <w:r>
        <w:t>具有一定的风险隐患</w:t>
      </w:r>
      <w:r>
        <w:rPr>
          <w:rFonts w:hint="eastAsia"/>
        </w:rPr>
        <w:t>。</w:t>
      </w:r>
      <w:r>
        <w:t>本标准</w:t>
      </w:r>
      <w:r>
        <w:rPr>
          <w:rFonts w:hint="eastAsia"/>
        </w:rPr>
        <w:t>明确</w:t>
      </w:r>
      <w:r>
        <w:t>了</w:t>
      </w:r>
      <w:r>
        <w:rPr>
          <w:rFonts w:hint="eastAsia"/>
          <w:lang w:eastAsia="zh-CN"/>
        </w:rPr>
        <w:t>芹菜</w:t>
      </w:r>
      <w:r>
        <w:rPr>
          <w:rFonts w:hint="eastAsia"/>
        </w:rPr>
        <w:t>应满足</w:t>
      </w:r>
      <w:r>
        <w:t>的安全</w:t>
      </w:r>
      <w:r>
        <w:rPr>
          <w:rFonts w:hint="eastAsia"/>
        </w:rPr>
        <w:t>指标</w:t>
      </w:r>
      <w:r>
        <w:t>，</w:t>
      </w:r>
      <w:r>
        <w:rPr>
          <w:rFonts w:hint="eastAsia"/>
        </w:rPr>
        <w:t>对提升</w:t>
      </w:r>
      <w:r>
        <w:t>食品安全风险管控和</w:t>
      </w:r>
      <w:r>
        <w:rPr>
          <w:rFonts w:hint="eastAsia"/>
        </w:rPr>
        <w:t>深圳</w:t>
      </w:r>
      <w:r>
        <w:t>品牌形象树立，具有十分重要的</w:t>
      </w:r>
      <w:r>
        <w:rPr>
          <w:rFonts w:hint="eastAsia"/>
        </w:rPr>
        <w:t>作用</w:t>
      </w:r>
      <w:r>
        <w:t>。</w:t>
      </w:r>
    </w:p>
    <w:p>
      <w:pPr>
        <w:pStyle w:val="2"/>
        <w:ind w:left="629" w:hanging="629"/>
        <w:jc w:val="left"/>
      </w:pPr>
      <w:r>
        <w:t>任务来源</w:t>
      </w:r>
      <w:r>
        <w:rPr>
          <w:rFonts w:hint="eastAsia"/>
        </w:rPr>
        <w:t>及</w:t>
      </w:r>
      <w:r>
        <w:t>工作简况</w:t>
      </w:r>
    </w:p>
    <w:p>
      <w:pPr>
        <w:jc w:val="left"/>
        <w:rPr>
          <w:rFonts w:hint="default" w:eastAsiaTheme="minor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eastAsia="zh-CN"/>
        </w:rPr>
        <w:t>（</w:t>
      </w:r>
      <w:r>
        <w:rPr>
          <w:rFonts w:hint="eastAsia"/>
          <w:b/>
          <w:bCs/>
          <w:szCs w:val="21"/>
          <w:lang w:val="en-US" w:eastAsia="zh-CN"/>
        </w:rPr>
        <w:t>一</w:t>
      </w:r>
      <w:r>
        <w:rPr>
          <w:rFonts w:hint="eastAsia"/>
          <w:b/>
          <w:bCs/>
          <w:szCs w:val="21"/>
          <w:lang w:eastAsia="zh-CN"/>
        </w:rPr>
        <w:t>）</w:t>
      </w:r>
      <w:r>
        <w:rPr>
          <w:rFonts w:hint="eastAsia"/>
          <w:b/>
          <w:bCs/>
          <w:szCs w:val="21"/>
          <w:lang w:val="en-US" w:eastAsia="zh-CN"/>
        </w:rPr>
        <w:t>任务来源</w:t>
      </w:r>
    </w:p>
    <w:p>
      <w:pPr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  <w:lang w:val="en-US" w:eastAsia="zh-CN"/>
        </w:rPr>
        <w:t>任务来源为2023年我院成功申报的广东省市场监督管理局科技计划项目，项目名称《</w:t>
      </w:r>
      <w:r>
        <w:rPr>
          <w:rFonts w:hint="eastAsia"/>
          <w:szCs w:val="21"/>
        </w:rPr>
        <w:t>蔬菜抽检分析及重点国家质量安全标准比对研究</w:t>
      </w:r>
      <w:r>
        <w:rPr>
          <w:rFonts w:hint="eastAsia"/>
          <w:szCs w:val="21"/>
          <w:lang w:val="en-US" w:eastAsia="zh-CN"/>
        </w:rPr>
        <w:t>》，项目编号“2023CB01”。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起草过程</w:t>
      </w:r>
    </w:p>
    <w:p>
      <w:pPr>
        <w:numPr>
          <w:ilvl w:val="0"/>
          <w:numId w:val="0"/>
        </w:numPr>
        <w:ind w:firstLine="420"/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1、立项阶段</w:t>
      </w:r>
    </w:p>
    <w:p>
      <w:pPr>
        <w:numPr>
          <w:ilvl w:val="0"/>
          <w:numId w:val="0"/>
        </w:numPr>
        <w:ind w:firstLine="42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default" w:ascii="宋体" w:hAnsi="宋体" w:eastAsia="宋体" w:cs="宋体"/>
          <w:szCs w:val="21"/>
          <w:lang w:val="en-US" w:eastAsia="zh-CN"/>
        </w:rPr>
        <w:t>本文件于</w:t>
      </w:r>
      <w:r>
        <w:rPr>
          <w:rFonts w:hint="eastAsia" w:ascii="宋体" w:hAnsi="宋体" w:eastAsia="宋体" w:cs="宋体"/>
          <w:szCs w:val="21"/>
          <w:lang w:val="en-US" w:eastAsia="zh-CN"/>
        </w:rPr>
        <w:t>2024</w:t>
      </w:r>
      <w:r>
        <w:rPr>
          <w:rFonts w:hint="default" w:ascii="宋体" w:hAnsi="宋体" w:eastAsia="宋体" w:cs="宋体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default" w:ascii="宋体" w:hAnsi="宋体" w:eastAsia="宋体" w:cs="宋体"/>
          <w:szCs w:val="21"/>
          <w:lang w:val="en-US" w:eastAsia="zh-CN"/>
        </w:rPr>
        <w:t>月获深圳市深圳标准促进会批准立项，成立了标准编制组，保证标准的科学性、合理性，支撑标准的编制工作有序推进。</w:t>
      </w:r>
    </w:p>
    <w:p>
      <w:pPr>
        <w:numPr>
          <w:ilvl w:val="0"/>
          <w:numId w:val="0"/>
        </w:numPr>
        <w:ind w:firstLine="42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2、起草阶段</w:t>
      </w:r>
    </w:p>
    <w:p>
      <w:pPr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  <w:lang w:val="en-US" w:eastAsia="zh-CN"/>
        </w:rPr>
        <w:t>项目组开展内地、香港、澳门、国际食品法典委员会等标准法规收集整理，产品分类梳理，污染物、农药残留等指标数据摘录及比对分析，关键技术内容的确定等，召开编制组内部讨论会，组织参编人员，共同就标准的适用范围、框架、技术内容等逐项深入探讨交流，修改完善形成标准草案及编制说明。同时进行了企业定向意见征集，经修改完善现形成征求意见稿进行公开意见征集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标准</w:t>
      </w:r>
      <w:r>
        <w:t>制定的原则</w:t>
      </w:r>
    </w:p>
    <w:p>
      <w:pPr>
        <w:rPr>
          <w:rFonts w:hint="eastAsia"/>
        </w:rPr>
      </w:pPr>
      <w:r>
        <w:rPr>
          <w:rFonts w:hint="eastAsia"/>
        </w:rPr>
        <w:t>标准的编制遵循规范性、适用性和可操作性原则，按GB/T 1.1―2020《标准化工作导则  第1部分：标准化文件的结构和起草规则》的规定起草。</w:t>
      </w:r>
    </w:p>
    <w:p>
      <w:r>
        <w:rPr>
          <w:rFonts w:hint="eastAsia"/>
        </w:rPr>
        <w:t>《</w:t>
      </w:r>
      <w:r>
        <w:rPr>
          <w:rFonts w:hint="eastAsia"/>
          <w:lang w:val="en-US" w:eastAsia="zh-CN"/>
        </w:rPr>
        <w:t>芹菜</w:t>
      </w:r>
      <w:r>
        <w:rPr>
          <w:rFonts w:hint="eastAsia"/>
        </w:rPr>
        <w:t>》团体标准内容制定遵循以下原则：以满足食品安全国家强制性标准为前提，结合深圳实际需求、比较分析国外先进标准、综合推荐性国家标准和行业标准，现阶段充分借鉴“供港标准”“供澳标准”以及“CAC标准”，在保证技术指标科学性的前提下，遵循“更全面、更严谨”原则，选用更严格的指标，补充国标缺失并具有一定食品安全风险的限量规定，形成高于国家标准、不低于香港要求、澳门要求及CAC要求的供深食品标准，结合实际及市场不断对标国际先进标准。</w:t>
      </w:r>
    </w:p>
    <w:p>
      <w:pPr>
        <w:pStyle w:val="2"/>
        <w:ind w:left="629" w:hanging="629"/>
        <w:jc w:val="left"/>
      </w:pPr>
      <w:r>
        <w:t>与我国有关法律法规和标准的关系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</w:t>
      </w:r>
      <w:r>
        <w:t>我国法律法规的关系</w:t>
      </w:r>
    </w:p>
    <w:p>
      <w:r>
        <w:rPr>
          <w:rFonts w:hint="eastAsia"/>
        </w:rPr>
        <w:t>与我国有关法律法规和其他标准相互协调，无矛盾抵触。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与食品</w:t>
      </w:r>
      <w:r>
        <w:t>安全国家标准的关系</w:t>
      </w:r>
    </w:p>
    <w:p>
      <w:r>
        <w:rPr>
          <w:rFonts w:hint="eastAsia"/>
        </w:rPr>
        <w:t>食品安全技术指标满足食品安全国家标准GB 2762《食品安全国家标准  食品中污染物限量》、GB 2763《食品安全国家标准  食品中农药最大残留限量》</w:t>
      </w:r>
      <w:r>
        <w:rPr>
          <w:rFonts w:hint="eastAsia"/>
          <w:lang w:eastAsia="zh-CN"/>
        </w:rPr>
        <w:t>、GB 2763.1《食品安全国家标准  食品中2,4-滴丁酸钠盐等112种农药最大残留限量》</w:t>
      </w:r>
      <w:r>
        <w:rPr>
          <w:rFonts w:hint="eastAsia"/>
        </w:rPr>
        <w:t>要求，相关食品安全技术要求高于食品安全国家强制性标准。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与我国推荐性国家</w:t>
      </w:r>
      <w:r>
        <w:t>标准、</w:t>
      </w:r>
      <w:r>
        <w:rPr>
          <w:rFonts w:hint="eastAsia"/>
        </w:rPr>
        <w:t>行业</w:t>
      </w:r>
      <w:r>
        <w:t>标准和地方标准的关系</w:t>
      </w:r>
    </w:p>
    <w:p>
      <w:r>
        <w:rPr>
          <w:rFonts w:hint="eastAsia"/>
        </w:rPr>
        <w:t>无冲突</w:t>
      </w:r>
      <w:r>
        <w:t>。</w:t>
      </w:r>
    </w:p>
    <w:p>
      <w:pPr>
        <w:pStyle w:val="3"/>
        <w:numPr>
          <w:ilvl w:val="0"/>
          <w:numId w:val="4"/>
        </w:numPr>
      </w:pPr>
      <w:r>
        <w:rPr>
          <w:rFonts w:hint="eastAsia"/>
        </w:rPr>
        <w:t>与香港食物规例、澳门行政法规、国际食品法典委员会标准的关系</w:t>
      </w:r>
    </w:p>
    <w:p>
      <w:r>
        <w:rPr>
          <w:rFonts w:hint="eastAsia"/>
        </w:rPr>
        <w:t>通过比对食品安全国家标准和中国香港《食物搀杂（金属杂质含量）规例》（第132V章）、《食物内除害剂残余规例》（第132CM章）、中国澳门《食品中重金属污染物最高限量》（第23/2018号行政法规）、《食品中农药最高残留限量》（第2/2023号行政法规）以及国际食品法典委员会的《食品和饲料中污染物和毒素通用标准》（CXS 193-1995）、农药数据库等，采用香港规例、澳门行政法规、国际食品法典委员会标准中较严或独有的食品安全技术指标</w:t>
      </w:r>
      <w: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采纳</w:t>
      </w:r>
      <w:r>
        <w:t>情况</w:t>
      </w:r>
    </w:p>
    <w:tbl>
      <w:tblPr>
        <w:tblStyle w:val="15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303"/>
        <w:gridCol w:w="2710"/>
        <w:gridCol w:w="1200"/>
        <w:gridCol w:w="3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章节号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内容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来源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采纳</w:t>
            </w:r>
            <w:r>
              <w:rPr>
                <w:sz w:val="18"/>
              </w:rPr>
              <w:t>情况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.1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污染物限量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《食物搀杂</w:t>
            </w:r>
            <w:r>
              <w:rPr>
                <w:rFonts w:ascii="宋体" w:hAnsi="宋体" w:eastAsia="宋体"/>
                <w:sz w:val="18"/>
                <w:szCs w:val="18"/>
              </w:rPr>
              <w:t>(金属杂质含量)规例》(第132V章)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部分</w:t>
            </w:r>
            <w:r>
              <w:rPr>
                <w:rFonts w:ascii="宋体" w:hAnsi="宋体" w:eastAsia="宋体"/>
                <w:sz w:val="18"/>
                <w:szCs w:val="18"/>
              </w:rPr>
              <w:t>采纳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按</w:t>
            </w:r>
            <w:r>
              <w:rPr>
                <w:rFonts w:ascii="宋体" w:hAnsi="宋体" w:eastAsia="宋体"/>
                <w:sz w:val="18"/>
                <w:szCs w:val="18"/>
              </w:rPr>
              <w:t>GB 2762《食品安全国家标准  食品中污染物限量》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要求</w:t>
            </w:r>
            <w:r>
              <w:rPr>
                <w:rFonts w:ascii="宋体" w:hAnsi="宋体" w:eastAsia="宋体"/>
                <w:sz w:val="18"/>
                <w:szCs w:val="18"/>
              </w:rPr>
              <w:t>执行，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并</w:t>
            </w:r>
            <w:r>
              <w:rPr>
                <w:rFonts w:ascii="宋体" w:hAnsi="宋体" w:eastAsia="宋体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香港规例指标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1项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.2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农药残留限量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《食物内除害剂残余规例》</w:t>
            </w:r>
            <w:r>
              <w:rPr>
                <w:sz w:val="18"/>
                <w:szCs w:val="18"/>
              </w:rPr>
              <w:t>(第132CM章)</w:t>
            </w:r>
            <w:r>
              <w:rPr>
                <w:rFonts w:hint="eastAsia"/>
                <w:sz w:val="18"/>
                <w:szCs w:val="18"/>
                <w:lang w:eastAsia="zh-CN"/>
              </w:rPr>
              <w:t>、《食品中农药最高残留限量》（第2/2023号行政法规）、国际食品法典委员会食品农药残留在线数据库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部分</w:t>
            </w:r>
            <w:r>
              <w:rPr>
                <w:sz w:val="18"/>
              </w:rPr>
              <w:t>采纳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按</w:t>
            </w:r>
            <w:r>
              <w:rPr>
                <w:rFonts w:ascii="宋体" w:hAnsi="宋体" w:eastAsia="宋体"/>
                <w:sz w:val="18"/>
                <w:szCs w:val="18"/>
              </w:rPr>
              <w:t>GB 2763《食品安全国家标准  食品中农药最大残留限量》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相关</w:t>
            </w:r>
            <w:r>
              <w:rPr>
                <w:rFonts w:ascii="宋体" w:hAnsi="宋体" w:eastAsia="宋体"/>
                <w:sz w:val="18"/>
                <w:szCs w:val="18"/>
              </w:rPr>
              <w:t>要求，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并</w:t>
            </w:r>
            <w:r>
              <w:rPr>
                <w:rFonts w:ascii="宋体" w:hAnsi="宋体" w:eastAsia="宋体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香港规例指标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项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澳门行政法规指标7项和国际食品法典委员会标准指标8项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5.1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检验方法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—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本文件涉及的项目指标，优先采用满足检测要求的相关检测方法标准，若暂无对应检测方法，则可采用经实验室间比对验证的标准操作规程。</w:t>
            </w:r>
          </w:p>
        </w:tc>
      </w:tr>
    </w:tbl>
    <w:p>
      <w:pPr>
        <w:pStyle w:val="2"/>
        <w:ind w:left="629" w:hanging="629"/>
        <w:jc w:val="left"/>
      </w:pPr>
      <w:r>
        <w:rPr>
          <w:rFonts w:hint="eastAsia"/>
        </w:rPr>
        <w:t>重大分歧意见的处理经过和依据</w:t>
      </w:r>
    </w:p>
    <w:p>
      <w:r>
        <w:rPr>
          <w:rFonts w:hint="eastAsia"/>
        </w:rPr>
        <w:t>该</w:t>
      </w:r>
      <w:r>
        <w:t>标准编制</w:t>
      </w:r>
      <w:r>
        <w:rPr>
          <w:rFonts w:hint="eastAsia"/>
        </w:rPr>
        <w:t>过程中没有</w:t>
      </w:r>
      <w:r>
        <w:t>重大</w:t>
      </w:r>
      <w:r>
        <w:rPr>
          <w:rFonts w:hint="eastAsia"/>
        </w:rPr>
        <w:t>意见</w:t>
      </w:r>
      <w:r>
        <w:t>分歧</w:t>
      </w:r>
      <w:r>
        <w:rPr>
          <w:rFonts w:hint="eastAsia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贯彻标准的要求和措施建议</w:t>
      </w:r>
    </w:p>
    <w:p>
      <w:r>
        <w:rPr>
          <w:rFonts w:hint="eastAsia"/>
        </w:rPr>
        <w:t>为</w:t>
      </w:r>
      <w:r>
        <w:t>保障供深食品标准的科学性与先进性，本标准借鉴</w:t>
      </w:r>
      <w:r>
        <w:rPr>
          <w:rFonts w:hint="eastAsia"/>
        </w:rPr>
        <w:t>国际</w:t>
      </w:r>
      <w:r>
        <w:t>食品法典委员会（</w:t>
      </w:r>
      <w:r>
        <w:rPr>
          <w:rFonts w:hint="eastAsia"/>
        </w:rPr>
        <w:t>CAC</w:t>
      </w:r>
      <w:r>
        <w:t>）</w:t>
      </w:r>
      <w:r>
        <w:rPr>
          <w:rFonts w:hint="eastAsia"/>
        </w:rPr>
        <w:t>、欧盟食品安全局</w:t>
      </w:r>
      <w:r>
        <w:t>（</w:t>
      </w:r>
      <w:r>
        <w:rPr>
          <w:rFonts w:hint="eastAsia"/>
        </w:rPr>
        <w:t>EFSA</w:t>
      </w:r>
      <w:r>
        <w:t>）</w:t>
      </w:r>
      <w:r>
        <w:rPr>
          <w:rFonts w:hint="eastAsia"/>
        </w:rPr>
        <w:t>以及</w:t>
      </w:r>
      <w:r>
        <w:t>众多国际</w:t>
      </w:r>
      <w:r>
        <w:rPr>
          <w:rFonts w:hint="eastAsia"/>
        </w:rPr>
        <w:t>、</w:t>
      </w:r>
      <w:r>
        <w:t>国家先进组织的</w:t>
      </w:r>
      <w:r>
        <w:rPr>
          <w:rFonts w:hint="eastAsia"/>
        </w:rPr>
        <w:t>做法</w:t>
      </w:r>
      <w:r>
        <w:t>，</w:t>
      </w:r>
      <w:r>
        <w:rPr>
          <w:rFonts w:hint="eastAsia"/>
        </w:rPr>
        <w:t>以电子版形式</w:t>
      </w:r>
      <w:r>
        <w:t>为主，未来形成数据库</w:t>
      </w:r>
      <w:r>
        <w:rPr>
          <w:rFonts w:hint="eastAsia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其它应予说明的事项</w:t>
      </w:r>
    </w:p>
    <w:p>
      <w:r>
        <w:rPr>
          <w:rFonts w:hint="eastAsia"/>
          <w:lang w:val="en-US" w:eastAsia="zh-CN"/>
        </w:rPr>
        <w:t>无</w:t>
      </w:r>
      <w:r>
        <w:rPr>
          <w:rFonts w:hint="eastAsia"/>
        </w:rPr>
        <w:t>。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8043283"/>
    </w:sdtPr>
    <w:sdtContent>
      <w:p>
        <w:pPr>
          <w:pStyle w:val="9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D7BC6"/>
    <w:multiLevelType w:val="multilevel"/>
    <w:tmpl w:val="24DD7BC6"/>
    <w:lvl w:ilvl="0" w:tentative="0">
      <w:start w:val="1"/>
      <w:numFmt w:val="japaneseCounting"/>
      <w:pStyle w:val="3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840E7"/>
    <w:multiLevelType w:val="multilevel"/>
    <w:tmpl w:val="368840E7"/>
    <w:lvl w:ilvl="0" w:tentative="0">
      <w:start w:val="1"/>
      <w:numFmt w:val="japaneseCounting"/>
      <w:lvlText w:val="（%1）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F569A5"/>
    <w:multiLevelType w:val="multilevel"/>
    <w:tmpl w:val="3FF569A5"/>
    <w:lvl w:ilvl="0" w:tentative="0">
      <w:start w:val="1"/>
      <w:numFmt w:val="japaneseCounting"/>
      <w:pStyle w:val="2"/>
      <w:lvlText w:val="%1、"/>
      <w:lvlJc w:val="left"/>
      <w:pPr>
        <w:ind w:left="630" w:hanging="63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6260FA"/>
    <w:multiLevelType w:val="multilevel"/>
    <w:tmpl w:val="646260FA"/>
    <w:lvl w:ilvl="0" w:tentative="0">
      <w:start w:val="1"/>
      <w:numFmt w:val="decimal"/>
      <w:pStyle w:val="2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1OWQ2NzYzN2EzODJlMmUwNDUyNjA5NTE1ODdhZjAifQ=="/>
  </w:docVars>
  <w:rsids>
    <w:rsidRoot w:val="00CA1D21"/>
    <w:rsid w:val="00005DA2"/>
    <w:rsid w:val="0000720F"/>
    <w:rsid w:val="00050AD4"/>
    <w:rsid w:val="00071EE9"/>
    <w:rsid w:val="00076476"/>
    <w:rsid w:val="000A530D"/>
    <w:rsid w:val="000C2179"/>
    <w:rsid w:val="000C4A3B"/>
    <w:rsid w:val="000F64E7"/>
    <w:rsid w:val="0015023E"/>
    <w:rsid w:val="00165FE4"/>
    <w:rsid w:val="00195B51"/>
    <w:rsid w:val="001B36C4"/>
    <w:rsid w:val="001C18D1"/>
    <w:rsid w:val="001D1AC8"/>
    <w:rsid w:val="00207CCC"/>
    <w:rsid w:val="0026392B"/>
    <w:rsid w:val="00263A06"/>
    <w:rsid w:val="002A22AB"/>
    <w:rsid w:val="002A3192"/>
    <w:rsid w:val="002A41AD"/>
    <w:rsid w:val="002B6835"/>
    <w:rsid w:val="002D2329"/>
    <w:rsid w:val="002E118C"/>
    <w:rsid w:val="003006B0"/>
    <w:rsid w:val="0030773F"/>
    <w:rsid w:val="0032385A"/>
    <w:rsid w:val="003460FF"/>
    <w:rsid w:val="00352B56"/>
    <w:rsid w:val="00387ACA"/>
    <w:rsid w:val="003A1D00"/>
    <w:rsid w:val="00477D31"/>
    <w:rsid w:val="00486532"/>
    <w:rsid w:val="0049733D"/>
    <w:rsid w:val="00497522"/>
    <w:rsid w:val="004B3D86"/>
    <w:rsid w:val="004B489A"/>
    <w:rsid w:val="004F0F52"/>
    <w:rsid w:val="004F5EFE"/>
    <w:rsid w:val="005153A2"/>
    <w:rsid w:val="0058523E"/>
    <w:rsid w:val="006020E2"/>
    <w:rsid w:val="00602EBD"/>
    <w:rsid w:val="006360B4"/>
    <w:rsid w:val="00653ABE"/>
    <w:rsid w:val="006600F0"/>
    <w:rsid w:val="006669DD"/>
    <w:rsid w:val="00696ACB"/>
    <w:rsid w:val="006975D0"/>
    <w:rsid w:val="006C1FD9"/>
    <w:rsid w:val="006C53B6"/>
    <w:rsid w:val="006C6D49"/>
    <w:rsid w:val="006F60EA"/>
    <w:rsid w:val="00721FA1"/>
    <w:rsid w:val="00725DC8"/>
    <w:rsid w:val="0073630A"/>
    <w:rsid w:val="00746107"/>
    <w:rsid w:val="00772F5D"/>
    <w:rsid w:val="007A53CE"/>
    <w:rsid w:val="007B0433"/>
    <w:rsid w:val="007D50C0"/>
    <w:rsid w:val="00806BD3"/>
    <w:rsid w:val="00833321"/>
    <w:rsid w:val="00863C86"/>
    <w:rsid w:val="00890ABE"/>
    <w:rsid w:val="008A044A"/>
    <w:rsid w:val="008D25AB"/>
    <w:rsid w:val="008D2972"/>
    <w:rsid w:val="008E087D"/>
    <w:rsid w:val="0092018B"/>
    <w:rsid w:val="00943F1F"/>
    <w:rsid w:val="00965996"/>
    <w:rsid w:val="00984B60"/>
    <w:rsid w:val="009A6DBF"/>
    <w:rsid w:val="00A16876"/>
    <w:rsid w:val="00A2514C"/>
    <w:rsid w:val="00A34253"/>
    <w:rsid w:val="00A34BC8"/>
    <w:rsid w:val="00A6547E"/>
    <w:rsid w:val="00A7662D"/>
    <w:rsid w:val="00A80E78"/>
    <w:rsid w:val="00A81474"/>
    <w:rsid w:val="00A9127B"/>
    <w:rsid w:val="00AA53F0"/>
    <w:rsid w:val="00AD2359"/>
    <w:rsid w:val="00B7547A"/>
    <w:rsid w:val="00BC516D"/>
    <w:rsid w:val="00BE70BD"/>
    <w:rsid w:val="00C2096D"/>
    <w:rsid w:val="00C473D8"/>
    <w:rsid w:val="00C918D5"/>
    <w:rsid w:val="00CA1D21"/>
    <w:rsid w:val="00CB208B"/>
    <w:rsid w:val="00CD0BCD"/>
    <w:rsid w:val="00CE54CD"/>
    <w:rsid w:val="00CE5684"/>
    <w:rsid w:val="00CF4AD1"/>
    <w:rsid w:val="00CF5A85"/>
    <w:rsid w:val="00CF7933"/>
    <w:rsid w:val="00D0498D"/>
    <w:rsid w:val="00D17DE0"/>
    <w:rsid w:val="00D23A0C"/>
    <w:rsid w:val="00D26FB1"/>
    <w:rsid w:val="00D5495F"/>
    <w:rsid w:val="00D6419E"/>
    <w:rsid w:val="00D764C0"/>
    <w:rsid w:val="00D82A79"/>
    <w:rsid w:val="00DA7CB7"/>
    <w:rsid w:val="00DC0CC5"/>
    <w:rsid w:val="00DC2237"/>
    <w:rsid w:val="00DC2493"/>
    <w:rsid w:val="00DC3791"/>
    <w:rsid w:val="00DD1456"/>
    <w:rsid w:val="00DF6A28"/>
    <w:rsid w:val="00E25CEC"/>
    <w:rsid w:val="00E26C84"/>
    <w:rsid w:val="00E329D5"/>
    <w:rsid w:val="00E43755"/>
    <w:rsid w:val="00E609F4"/>
    <w:rsid w:val="00E77BE6"/>
    <w:rsid w:val="00EC299A"/>
    <w:rsid w:val="00ED03A4"/>
    <w:rsid w:val="00ED542E"/>
    <w:rsid w:val="00EE56E1"/>
    <w:rsid w:val="00F175C1"/>
    <w:rsid w:val="00F40908"/>
    <w:rsid w:val="00F55575"/>
    <w:rsid w:val="00F55990"/>
    <w:rsid w:val="00F7695D"/>
    <w:rsid w:val="00F77515"/>
    <w:rsid w:val="00FB3872"/>
    <w:rsid w:val="00FB6CD5"/>
    <w:rsid w:val="00FD749A"/>
    <w:rsid w:val="00FE6086"/>
    <w:rsid w:val="00FF08F1"/>
    <w:rsid w:val="01323CE1"/>
    <w:rsid w:val="01D134FA"/>
    <w:rsid w:val="029A688D"/>
    <w:rsid w:val="03B1713F"/>
    <w:rsid w:val="067D59FE"/>
    <w:rsid w:val="0992356F"/>
    <w:rsid w:val="0A2368BD"/>
    <w:rsid w:val="0C9B453C"/>
    <w:rsid w:val="0CFB58CF"/>
    <w:rsid w:val="103973DC"/>
    <w:rsid w:val="11A77DD3"/>
    <w:rsid w:val="11E84674"/>
    <w:rsid w:val="145209EE"/>
    <w:rsid w:val="14832432"/>
    <w:rsid w:val="17BD3B62"/>
    <w:rsid w:val="180970F2"/>
    <w:rsid w:val="18243F2C"/>
    <w:rsid w:val="1A50725A"/>
    <w:rsid w:val="1AE31E7C"/>
    <w:rsid w:val="1C662D65"/>
    <w:rsid w:val="1D6923E1"/>
    <w:rsid w:val="1F301408"/>
    <w:rsid w:val="1F617814"/>
    <w:rsid w:val="1FE04BDC"/>
    <w:rsid w:val="217A2E0F"/>
    <w:rsid w:val="21ED1832"/>
    <w:rsid w:val="22145011"/>
    <w:rsid w:val="23A7269A"/>
    <w:rsid w:val="23C6058D"/>
    <w:rsid w:val="2504136D"/>
    <w:rsid w:val="25C64874"/>
    <w:rsid w:val="25D62E2C"/>
    <w:rsid w:val="265751A9"/>
    <w:rsid w:val="284F1D66"/>
    <w:rsid w:val="29BA46F0"/>
    <w:rsid w:val="2A2B2EF8"/>
    <w:rsid w:val="2A8940C2"/>
    <w:rsid w:val="2D4744ED"/>
    <w:rsid w:val="2D9468D5"/>
    <w:rsid w:val="2DEF0AFF"/>
    <w:rsid w:val="2E7E46B8"/>
    <w:rsid w:val="2EF91817"/>
    <w:rsid w:val="31605B7D"/>
    <w:rsid w:val="31771119"/>
    <w:rsid w:val="337376BE"/>
    <w:rsid w:val="338F274A"/>
    <w:rsid w:val="33D463AE"/>
    <w:rsid w:val="36E42DAC"/>
    <w:rsid w:val="38C2711D"/>
    <w:rsid w:val="393F364A"/>
    <w:rsid w:val="3A1F234D"/>
    <w:rsid w:val="3A5244D1"/>
    <w:rsid w:val="3AF235BE"/>
    <w:rsid w:val="3B822B94"/>
    <w:rsid w:val="3B84480C"/>
    <w:rsid w:val="423B3A9C"/>
    <w:rsid w:val="42CF5D2E"/>
    <w:rsid w:val="45603F46"/>
    <w:rsid w:val="45A13A13"/>
    <w:rsid w:val="46051FCD"/>
    <w:rsid w:val="46C10A14"/>
    <w:rsid w:val="46DA7D28"/>
    <w:rsid w:val="46FC7C9E"/>
    <w:rsid w:val="48563FBB"/>
    <w:rsid w:val="4B38326F"/>
    <w:rsid w:val="4B5F07FC"/>
    <w:rsid w:val="4CBD57DA"/>
    <w:rsid w:val="4E9057B4"/>
    <w:rsid w:val="4F1A33B7"/>
    <w:rsid w:val="4FB07878"/>
    <w:rsid w:val="536410A5"/>
    <w:rsid w:val="538434F5"/>
    <w:rsid w:val="541C54DC"/>
    <w:rsid w:val="54921AE6"/>
    <w:rsid w:val="56FA762A"/>
    <w:rsid w:val="57601B83"/>
    <w:rsid w:val="57A203EE"/>
    <w:rsid w:val="580E7831"/>
    <w:rsid w:val="5AFE1DDF"/>
    <w:rsid w:val="5BB701E0"/>
    <w:rsid w:val="5CC901CB"/>
    <w:rsid w:val="5D810AA5"/>
    <w:rsid w:val="5E31427A"/>
    <w:rsid w:val="5E356124"/>
    <w:rsid w:val="5EB34C8F"/>
    <w:rsid w:val="61BA27D8"/>
    <w:rsid w:val="62373E29"/>
    <w:rsid w:val="62F835B8"/>
    <w:rsid w:val="646802C9"/>
    <w:rsid w:val="65D33E68"/>
    <w:rsid w:val="66D32372"/>
    <w:rsid w:val="687F3E33"/>
    <w:rsid w:val="6B166CD1"/>
    <w:rsid w:val="6C270A6A"/>
    <w:rsid w:val="6C3D34A9"/>
    <w:rsid w:val="6CA95923"/>
    <w:rsid w:val="6D2A0812"/>
    <w:rsid w:val="6D981C1F"/>
    <w:rsid w:val="6DBB3B60"/>
    <w:rsid w:val="6E970129"/>
    <w:rsid w:val="6EB34837"/>
    <w:rsid w:val="70AE3508"/>
    <w:rsid w:val="70D54F38"/>
    <w:rsid w:val="71184E25"/>
    <w:rsid w:val="721420FC"/>
    <w:rsid w:val="73BB0416"/>
    <w:rsid w:val="75622B13"/>
    <w:rsid w:val="780D320A"/>
    <w:rsid w:val="78B15045"/>
    <w:rsid w:val="79FA5A10"/>
    <w:rsid w:val="7AC2652D"/>
    <w:rsid w:val="7B500AD4"/>
    <w:rsid w:val="7BC10593"/>
    <w:rsid w:val="7CE16A13"/>
    <w:rsid w:val="7D032E2D"/>
    <w:rsid w:val="7D5F62B6"/>
    <w:rsid w:val="7F43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EastAsia" w:hAnsiTheme="minorEastAsia" w:eastAsiaTheme="minorEastAsia" w:cstheme="minorBidi"/>
      <w:kern w:val="2"/>
      <w:sz w:val="21"/>
      <w:szCs w:val="3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numPr>
        <w:ilvl w:val="0"/>
        <w:numId w:val="1"/>
      </w:numPr>
      <w:ind w:firstLine="0" w:firstLineChars="0"/>
      <w:outlineLvl w:val="0"/>
    </w:pPr>
    <w:rPr>
      <w:rFonts w:ascii="黑体" w:hAnsi="黑体" w:eastAsia="黑体"/>
      <w:sz w:val="22"/>
    </w:rPr>
  </w:style>
  <w:style w:type="paragraph" w:styleId="3">
    <w:name w:val="heading 2"/>
    <w:basedOn w:val="4"/>
    <w:next w:val="1"/>
    <w:link w:val="20"/>
    <w:unhideWhenUsed/>
    <w:qFormat/>
    <w:uiPriority w:val="9"/>
    <w:pPr>
      <w:numPr>
        <w:ilvl w:val="0"/>
        <w:numId w:val="2"/>
      </w:numPr>
      <w:ind w:firstLine="0" w:firstLineChars="0"/>
      <w:outlineLvl w:val="1"/>
    </w:pPr>
  </w:style>
  <w:style w:type="paragraph" w:styleId="5">
    <w:name w:val="heading 3"/>
    <w:basedOn w:val="1"/>
    <w:next w:val="1"/>
    <w:link w:val="24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</w:style>
  <w:style w:type="paragraph" w:styleId="6">
    <w:name w:val="Document Map"/>
    <w:basedOn w:val="1"/>
    <w:link w:val="3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21"/>
    <w:autoRedefine/>
    <w:unhideWhenUsed/>
    <w:qFormat/>
    <w:uiPriority w:val="0"/>
    <w:pPr>
      <w:jc w:val="left"/>
    </w:pPr>
  </w:style>
  <w:style w:type="paragraph" w:styleId="8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3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rPr>
      <w:sz w:val="24"/>
    </w:rPr>
  </w:style>
  <w:style w:type="paragraph" w:styleId="12">
    <w:name w:val="Title"/>
    <w:basedOn w:val="1"/>
    <w:next w:val="1"/>
    <w:link w:val="18"/>
    <w:qFormat/>
    <w:uiPriority w:val="10"/>
    <w:pPr>
      <w:jc w:val="center"/>
    </w:pPr>
    <w:rPr>
      <w:b/>
      <w:sz w:val="44"/>
      <w:szCs w:val="44"/>
    </w:rPr>
  </w:style>
  <w:style w:type="paragraph" w:styleId="13">
    <w:name w:val="annotation subject"/>
    <w:basedOn w:val="7"/>
    <w:next w:val="7"/>
    <w:link w:val="22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unhideWhenUsed/>
    <w:qFormat/>
    <w:uiPriority w:val="0"/>
    <w:rPr>
      <w:sz w:val="21"/>
      <w:szCs w:val="21"/>
    </w:rPr>
  </w:style>
  <w:style w:type="character" w:customStyle="1" w:styleId="18">
    <w:name w:val="标题 Char"/>
    <w:basedOn w:val="16"/>
    <w:link w:val="12"/>
    <w:qFormat/>
    <w:uiPriority w:val="10"/>
    <w:rPr>
      <w:b/>
      <w:sz w:val="44"/>
      <w:szCs w:val="44"/>
    </w:rPr>
  </w:style>
  <w:style w:type="character" w:customStyle="1" w:styleId="19">
    <w:name w:val="标题 1 Char"/>
    <w:basedOn w:val="16"/>
    <w:link w:val="2"/>
    <w:qFormat/>
    <w:uiPriority w:val="9"/>
    <w:rPr>
      <w:rFonts w:ascii="黑体" w:hAnsi="黑体" w:eastAsia="黑体"/>
      <w:sz w:val="22"/>
      <w:szCs w:val="32"/>
    </w:rPr>
  </w:style>
  <w:style w:type="character" w:customStyle="1" w:styleId="20">
    <w:name w:val="标题 2 Char"/>
    <w:basedOn w:val="16"/>
    <w:link w:val="3"/>
    <w:qFormat/>
    <w:uiPriority w:val="9"/>
    <w:rPr>
      <w:rFonts w:ascii="仿宋" w:hAnsi="仿宋" w:eastAsia="仿宋"/>
      <w:sz w:val="28"/>
      <w:szCs w:val="32"/>
    </w:rPr>
  </w:style>
  <w:style w:type="character" w:customStyle="1" w:styleId="21">
    <w:name w:val="批注文字 Char"/>
    <w:basedOn w:val="16"/>
    <w:link w:val="7"/>
    <w:qFormat/>
    <w:uiPriority w:val="0"/>
    <w:rPr>
      <w:rFonts w:ascii="仿宋" w:hAnsi="仿宋" w:eastAsia="仿宋"/>
      <w:sz w:val="32"/>
      <w:szCs w:val="32"/>
    </w:rPr>
  </w:style>
  <w:style w:type="character" w:customStyle="1" w:styleId="22">
    <w:name w:val="批注主题 Char"/>
    <w:basedOn w:val="21"/>
    <w:link w:val="13"/>
    <w:semiHidden/>
    <w:qFormat/>
    <w:uiPriority w:val="99"/>
    <w:rPr>
      <w:rFonts w:ascii="仿宋" w:hAnsi="仿宋" w:eastAsia="仿宋"/>
      <w:b/>
      <w:bCs/>
      <w:sz w:val="32"/>
      <w:szCs w:val="32"/>
    </w:rPr>
  </w:style>
  <w:style w:type="character" w:customStyle="1" w:styleId="23">
    <w:name w:val="批注框文本 Char"/>
    <w:basedOn w:val="16"/>
    <w:link w:val="8"/>
    <w:semiHidden/>
    <w:qFormat/>
    <w:uiPriority w:val="99"/>
    <w:rPr>
      <w:rFonts w:ascii="仿宋" w:hAnsi="仿宋" w:eastAsia="仿宋"/>
      <w:sz w:val="18"/>
      <w:szCs w:val="18"/>
    </w:rPr>
  </w:style>
  <w:style w:type="character" w:customStyle="1" w:styleId="24">
    <w:name w:val="标题 3 Char"/>
    <w:basedOn w:val="16"/>
    <w:link w:val="5"/>
    <w:qFormat/>
    <w:uiPriority w:val="9"/>
    <w:rPr>
      <w:rFonts w:ascii="仿宋" w:hAnsi="仿宋" w:eastAsia="仿宋"/>
      <w:b/>
      <w:bCs/>
      <w:sz w:val="32"/>
      <w:szCs w:val="32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26">
    <w:name w:val="段 Char"/>
    <w:link w:val="27"/>
    <w:qFormat/>
    <w:uiPriority w:val="0"/>
    <w:rPr>
      <w:rFonts w:ascii="宋体"/>
    </w:rPr>
  </w:style>
  <w:style w:type="paragraph" w:customStyle="1" w:styleId="27">
    <w:name w:val="段"/>
    <w:link w:val="2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正文表标题"/>
    <w:next w:val="27"/>
    <w:qFormat/>
    <w:uiPriority w:val="0"/>
    <w:pPr>
      <w:numPr>
        <w:ilvl w:val="0"/>
        <w:numId w:val="3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9">
    <w:name w:val="页眉 Char"/>
    <w:basedOn w:val="16"/>
    <w:link w:val="10"/>
    <w:qFormat/>
    <w:uiPriority w:val="99"/>
    <w:rPr>
      <w:rFonts w:asciiTheme="minorEastAsia" w:hAnsiTheme="minorEastAsia"/>
      <w:sz w:val="18"/>
      <w:szCs w:val="18"/>
    </w:rPr>
  </w:style>
  <w:style w:type="character" w:customStyle="1" w:styleId="30">
    <w:name w:val="页脚 Char"/>
    <w:basedOn w:val="16"/>
    <w:link w:val="9"/>
    <w:qFormat/>
    <w:uiPriority w:val="99"/>
    <w:rPr>
      <w:rFonts w:asciiTheme="minorEastAsia" w:hAnsiTheme="minorEastAsia"/>
      <w:sz w:val="18"/>
      <w:szCs w:val="18"/>
    </w:rPr>
  </w:style>
  <w:style w:type="character" w:customStyle="1" w:styleId="31">
    <w:name w:val="文档结构图 Char"/>
    <w:basedOn w:val="16"/>
    <w:link w:val="6"/>
    <w:semiHidden/>
    <w:qFormat/>
    <w:uiPriority w:val="99"/>
    <w:rPr>
      <w:rFonts w:ascii="宋体" w:eastAsia="宋体" w:hAnsiTheme="minorEastAsia"/>
      <w:kern w:val="2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8B73-F064-4135-AA14-9EB17BBB24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339</Words>
  <Characters>1934</Characters>
  <Lines>16</Lines>
  <Paragraphs>4</Paragraphs>
  <TotalTime>5</TotalTime>
  <ScaleCrop>false</ScaleCrop>
  <LinksUpToDate>false</LinksUpToDate>
  <CharactersWithSpaces>2269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2018-12-10T02:45:00Z</dcterms:created>
  <dc:creator>林晓倩</dc:creator>
  <cp:lastModifiedBy>Aurora</cp:lastModifiedBy>
  <cp:lastPrinted>2024-04-26T02:05:00Z</cp:lastPrinted>
  <dcterms:modified xsi:type="dcterms:W3CDTF">2024-04-26T02:58:54Z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74F4D33BCD1A4D66928ECB61FC6EB537_12</vt:lpwstr>
  </property>
</Properties>
</file>