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pBdr>
        <w:spacing w:line="360" w:lineRule="auto"/>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sz w:val="44"/>
          <w:szCs w:val="44"/>
          <w:lang w:val="en-US" w:eastAsia="zh-CN"/>
        </w:rPr>
        <w:t>专利价值评估</w:t>
      </w:r>
      <w:r>
        <w:rPr>
          <w:rFonts w:hint="eastAsia" w:asciiTheme="majorEastAsia" w:hAnsiTheme="majorEastAsia" w:eastAsiaTheme="majorEastAsia" w:cstheme="majorEastAsia"/>
          <w:b/>
          <w:bCs/>
          <w:sz w:val="44"/>
          <w:szCs w:val="44"/>
        </w:rPr>
        <w:t>》编制说明</w:t>
      </w:r>
    </w:p>
    <w:p>
      <w:pPr>
        <w:pBdr>
          <w:top w:val="none" w:color="auto" w:sz="0" w:space="0"/>
          <w:left w:val="none" w:color="auto" w:sz="0" w:space="0"/>
          <w:bottom w:val="none" w:color="auto" w:sz="0" w:space="0"/>
          <w:right w:val="none" w:color="auto" w:sz="0" w:space="0"/>
        </w:pBdr>
        <w:spacing w:line="360" w:lineRule="auto"/>
        <w:jc w:val="center"/>
        <w:rPr>
          <w:rFonts w:hint="eastAsia" w:ascii="黑体" w:hAnsi="黑体" w:eastAsia="黑体" w:cs="Times New Roman"/>
          <w:sz w:val="40"/>
          <w:szCs w:val="40"/>
        </w:rPr>
      </w:pP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sz w:val="32"/>
          <w:szCs w:val="32"/>
        </w:rPr>
      </w:pPr>
      <w:bookmarkStart w:id="0" w:name="_Toc16589"/>
      <w:r>
        <w:rPr>
          <w:rFonts w:hint="eastAsia" w:ascii="黑体" w:hAnsi="黑体" w:eastAsia="黑体"/>
          <w:sz w:val="32"/>
          <w:szCs w:val="32"/>
          <w:lang w:val="en-US" w:eastAsia="zh-CN"/>
        </w:rPr>
        <w:t>任务来源</w:t>
      </w:r>
      <w:bookmarkEnd w:id="0"/>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本文件由</w:t>
      </w:r>
      <w:r>
        <w:rPr>
          <w:rFonts w:hint="eastAsia" w:ascii="仿宋" w:hAnsi="仿宋" w:eastAsia="仿宋" w:cs="Times New Roman"/>
          <w:sz w:val="32"/>
          <w:szCs w:val="32"/>
          <w:highlight w:val="none"/>
          <w:lang w:val="en-US" w:eastAsia="zh-CN"/>
        </w:rPr>
        <w:t>深圳市深圳标准促进会提</w:t>
      </w:r>
      <w:r>
        <w:rPr>
          <w:rFonts w:hint="eastAsia" w:ascii="仿宋" w:hAnsi="仿宋" w:eastAsia="仿宋" w:cs="Times New Roman"/>
          <w:sz w:val="32"/>
          <w:szCs w:val="32"/>
          <w:lang w:val="en-US" w:eastAsia="zh-CN"/>
        </w:rPr>
        <w:t>出并归口。</w:t>
      </w:r>
    </w:p>
    <w:p>
      <w:pPr>
        <w:spacing w:line="360" w:lineRule="auto"/>
        <w:ind w:firstLine="640" w:firstLineChars="200"/>
        <w:rPr>
          <w:rFonts w:hint="eastAsia" w:ascii="仿宋" w:hAnsi="仿宋" w:eastAsia="仿宋" w:cs="Times New Roman"/>
          <w:sz w:val="32"/>
          <w:szCs w:val="32"/>
          <w:highlight w:val="none"/>
          <w:lang w:val="en-US" w:eastAsia="zh-CN"/>
        </w:rPr>
      </w:pPr>
      <w:r>
        <w:rPr>
          <w:rFonts w:hint="eastAsia" w:ascii="仿宋" w:hAnsi="仿宋" w:eastAsia="仿宋" w:cs="Times New Roman"/>
          <w:sz w:val="32"/>
          <w:szCs w:val="32"/>
          <w:highlight w:val="none"/>
          <w:lang w:val="en-US" w:eastAsia="zh-CN"/>
        </w:rPr>
        <w:t>本文件起草单位：深圳市标准技术研究院等。</w:t>
      </w: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sz w:val="32"/>
          <w:szCs w:val="32"/>
          <w:lang w:val="en-US" w:eastAsia="zh-CN"/>
        </w:rPr>
      </w:pPr>
      <w:bookmarkStart w:id="1" w:name="_Toc29214"/>
      <w:r>
        <w:rPr>
          <w:rFonts w:hint="eastAsia" w:ascii="黑体" w:hAnsi="黑体" w:eastAsia="黑体" w:cs="Times New Roman"/>
          <w:sz w:val="32"/>
          <w:szCs w:val="32"/>
          <w:lang w:val="en-US" w:eastAsia="zh-CN"/>
        </w:rPr>
        <w:t>制订本标准的意义和目的</w:t>
      </w:r>
      <w:bookmarkEnd w:id="1"/>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专利价值评估是依据相关法律、法规和资产评估准则，运用相应的评估方式对专利资产的价值进行分析、估算并发表专业意见的行为和过程。专利价值的评估准确性对专利后期运营，如许可转让、质押融资、作价入股等意义重大。</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2021 年，国务院印发《“十四五”国家知识产权保护和运用规划》，规划明确提出“健全知识产权价值评估体系，鼓励开发智能化知识产权评估工具”的要求，促进知识产权金融领域发展。2022 年，深圳市知识产权质押融资项目数 694 个，知识产权质押金额 194.77 亿元，连续三年全省第一；截止至2022 年，深圳市累计发行知识产权证券化产品 55 单，累计发行规模 125.46 亿元，发行规模和发行量持续领跑全国。知识产权运营市场的日趋活跃，也对知识产权的价值评估提出了更高要求。因专利价值评估具有较强的技术性、法律性、经济性等特性，评估工作复杂且难度较大，目前国内并未有统一的专利价值评价标准，国家标准《专利价值评估指引》也仅对评价方法做了较为粗略的规定。</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基于以上原因，通过制定团体标准，探索形成明确的专利价值评估方法、指标、权重为知识产权价值评估工作提供操作性较强的指引助力企业变现专利资产，推动产业高质量发展。</w:t>
      </w: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sz w:val="32"/>
          <w:szCs w:val="32"/>
          <w:lang w:val="en-US" w:eastAsia="zh-CN"/>
        </w:rPr>
      </w:pPr>
      <w:bookmarkStart w:id="2" w:name="_Toc23100"/>
      <w:r>
        <w:rPr>
          <w:rFonts w:hint="eastAsia" w:ascii="黑体" w:hAnsi="黑体" w:eastAsia="黑体" w:cs="Times New Roman"/>
          <w:sz w:val="32"/>
          <w:szCs w:val="32"/>
          <w:lang w:val="en-US" w:eastAsia="zh-CN"/>
        </w:rPr>
        <w:t>标准起草过程</w:t>
      </w:r>
      <w:bookmarkEnd w:id="2"/>
    </w:p>
    <w:p>
      <w:pPr>
        <w:pageBreakBefore w:val="0"/>
        <w:numPr>
          <w:ilvl w:val="0"/>
          <w:numId w:val="2"/>
        </w:numPr>
        <w:kinsoku/>
        <w:wordWrap/>
        <w:overflowPunct/>
        <w:topLinePunct w:val="0"/>
        <w:autoSpaceDE/>
        <w:autoSpaceDN/>
        <w:bidi w:val="0"/>
        <w:adjustRightInd/>
        <w:snapToGrid/>
        <w:spacing w:line="600" w:lineRule="exact"/>
        <w:ind w:left="0" w:leftChars="0" w:firstLine="420" w:firstLineChars="0"/>
        <w:rPr>
          <w:rFonts w:hint="eastAsia" w:ascii="楷体" w:hAnsi="楷体" w:eastAsia="楷体" w:cs="Times New Roman"/>
          <w:sz w:val="32"/>
          <w:highlight w:val="none"/>
          <w:lang w:val="en-US" w:eastAsia="zh-CN"/>
        </w:rPr>
      </w:pPr>
      <w:r>
        <w:rPr>
          <w:rFonts w:hint="eastAsia" w:ascii="楷体" w:hAnsi="楷体" w:eastAsia="楷体" w:cs="Times New Roman"/>
          <w:sz w:val="32"/>
          <w:highlight w:val="none"/>
          <w:lang w:val="en-US" w:eastAsia="zh-CN"/>
        </w:rPr>
        <w:t>标准立项</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2023年7月，深圳市深圳标准促进会发布关于批准《专利价值评估指南》团体标准立项的通知（深标促〔2023〕51号），批准团体标准《专利价值评估指南》立项。</w:t>
      </w:r>
    </w:p>
    <w:p>
      <w:pPr>
        <w:pageBreakBefore w:val="0"/>
        <w:numPr>
          <w:ilvl w:val="0"/>
          <w:numId w:val="2"/>
        </w:numPr>
        <w:kinsoku/>
        <w:wordWrap/>
        <w:overflowPunct/>
        <w:topLinePunct w:val="0"/>
        <w:autoSpaceDE/>
        <w:autoSpaceDN/>
        <w:bidi w:val="0"/>
        <w:adjustRightInd/>
        <w:snapToGrid/>
        <w:spacing w:line="600" w:lineRule="exact"/>
        <w:ind w:left="0" w:leftChars="0" w:firstLine="420" w:firstLineChars="0"/>
        <w:rPr>
          <w:rFonts w:hint="default" w:ascii="楷体" w:hAnsi="楷体" w:eastAsia="楷体"/>
          <w:sz w:val="32"/>
          <w:lang w:val="en-US"/>
        </w:rPr>
      </w:pPr>
      <w:r>
        <w:rPr>
          <w:rFonts w:hint="eastAsia" w:ascii="楷体" w:hAnsi="楷体" w:eastAsia="楷体"/>
          <w:sz w:val="32"/>
          <w:lang w:val="en-US" w:eastAsia="zh-CN"/>
        </w:rPr>
        <w:t>成立标准编制组</w:t>
      </w:r>
    </w:p>
    <w:p>
      <w:pPr>
        <w:spacing w:line="360" w:lineRule="auto"/>
        <w:ind w:firstLine="640" w:firstLineChars="200"/>
        <w:rPr>
          <w:rFonts w:hint="eastAsia" w:ascii="仿宋" w:hAnsi="仿宋" w:eastAsia="仿宋" w:cs="Times New Roman"/>
          <w:sz w:val="32"/>
          <w:szCs w:val="32"/>
          <w:highlight w:val="none"/>
          <w:lang w:val="en-US" w:eastAsia="zh-CN"/>
        </w:rPr>
      </w:pPr>
      <w:r>
        <w:rPr>
          <w:rFonts w:hint="eastAsia" w:ascii="仿宋" w:hAnsi="仿宋" w:eastAsia="仿宋" w:cs="Times New Roman"/>
          <w:sz w:val="32"/>
          <w:szCs w:val="32"/>
          <w:highlight w:val="none"/>
          <w:lang w:val="en-US" w:eastAsia="zh-CN"/>
        </w:rPr>
        <w:t>2023年7月至9月，成立标准编制组，开展了前期资料收集与研究工作，形成标准大纲内容。</w:t>
      </w:r>
    </w:p>
    <w:p>
      <w:pPr>
        <w:pageBreakBefore w:val="0"/>
        <w:numPr>
          <w:ilvl w:val="0"/>
          <w:numId w:val="2"/>
        </w:numPr>
        <w:kinsoku/>
        <w:wordWrap/>
        <w:overflowPunct/>
        <w:topLinePunct w:val="0"/>
        <w:autoSpaceDE/>
        <w:autoSpaceDN/>
        <w:bidi w:val="0"/>
        <w:adjustRightInd/>
        <w:snapToGrid/>
        <w:spacing w:line="600" w:lineRule="exact"/>
        <w:ind w:left="0" w:leftChars="0" w:firstLine="420" w:firstLineChars="0"/>
        <w:rPr>
          <w:rFonts w:hint="eastAsia" w:ascii="楷体" w:hAnsi="楷体" w:eastAsia="楷体" w:cs="Times New Roman"/>
          <w:sz w:val="32"/>
          <w:highlight w:val="none"/>
          <w:lang w:val="en-US" w:eastAsia="zh-CN"/>
        </w:rPr>
      </w:pPr>
      <w:r>
        <w:rPr>
          <w:rFonts w:hint="eastAsia" w:ascii="楷体" w:hAnsi="楷体" w:eastAsia="楷体" w:cs="Times New Roman"/>
          <w:sz w:val="32"/>
          <w:highlight w:val="none"/>
          <w:lang w:val="en-US" w:eastAsia="zh-CN"/>
        </w:rPr>
        <w:t>项目调研</w:t>
      </w:r>
    </w:p>
    <w:p>
      <w:pPr>
        <w:ind w:firstLine="800" w:firstLineChars="250"/>
        <w:rPr>
          <w:rFonts w:hint="default" w:ascii="仿宋" w:hAnsi="仿宋" w:eastAsia="仿宋" w:cs="Times New Roman"/>
          <w:color w:val="auto"/>
          <w:sz w:val="32"/>
          <w:szCs w:val="32"/>
          <w:lang w:val="en-US" w:eastAsia="zh-CN"/>
        </w:rPr>
      </w:pPr>
      <w:r>
        <w:rPr>
          <w:rFonts w:hint="eastAsia" w:ascii="仿宋" w:hAnsi="仿宋" w:eastAsia="仿宋" w:cs="Times New Roman"/>
          <w:color w:val="auto"/>
          <w:sz w:val="32"/>
          <w:szCs w:val="32"/>
          <w:highlight w:val="none"/>
          <w:lang w:val="en-US" w:eastAsia="zh-CN"/>
        </w:rPr>
        <w:t>2023年10月至11月，</w:t>
      </w:r>
      <w:r>
        <w:rPr>
          <w:rFonts w:hint="eastAsia" w:ascii="仿宋" w:hAnsi="仿宋" w:eastAsia="仿宋" w:cs="Times New Roman"/>
          <w:color w:val="auto"/>
          <w:sz w:val="32"/>
          <w:szCs w:val="32"/>
          <w:lang w:val="en-US" w:eastAsia="zh-CN"/>
        </w:rPr>
        <w:t>标准编制组</w:t>
      </w:r>
      <w:r>
        <w:rPr>
          <w:rFonts w:hint="eastAsia" w:ascii="仿宋" w:hAnsi="仿宋" w:eastAsia="仿宋" w:cs="Times New Roman"/>
          <w:color w:val="auto"/>
          <w:sz w:val="32"/>
          <w:szCs w:val="32"/>
          <w:lang w:val="en-US" w:eastAsia="zh-CN"/>
        </w:rPr>
        <w:t>通过调研，</w:t>
      </w:r>
      <w:r>
        <w:rPr>
          <w:rFonts w:hint="eastAsia" w:ascii="仿宋" w:hAnsi="仿宋" w:eastAsia="仿宋" w:cs="Times New Roman"/>
          <w:color w:val="auto"/>
          <w:sz w:val="32"/>
          <w:szCs w:val="32"/>
          <w:lang w:val="en-US" w:eastAsia="zh-CN"/>
        </w:rPr>
        <w:t>收集</w:t>
      </w:r>
      <w:r>
        <w:rPr>
          <w:rFonts w:hint="eastAsia" w:ascii="仿宋" w:hAnsi="仿宋" w:eastAsia="仿宋" w:cs="Times New Roman"/>
          <w:color w:val="auto"/>
          <w:sz w:val="32"/>
          <w:szCs w:val="32"/>
          <w:lang w:val="en-US" w:eastAsia="zh-CN"/>
        </w:rPr>
        <w:t>了专利价值评估指南</w:t>
      </w:r>
      <w:r>
        <w:rPr>
          <w:rFonts w:hint="eastAsia" w:ascii="仿宋" w:hAnsi="仿宋" w:eastAsia="仿宋" w:cs="Times New Roman"/>
          <w:color w:val="auto"/>
          <w:sz w:val="32"/>
          <w:szCs w:val="32"/>
          <w:lang w:val="en-US" w:eastAsia="zh-CN"/>
        </w:rPr>
        <w:t>的相关意见内容。</w:t>
      </w:r>
    </w:p>
    <w:p>
      <w:pPr>
        <w:pageBreakBefore w:val="0"/>
        <w:numPr>
          <w:ilvl w:val="0"/>
          <w:numId w:val="2"/>
        </w:numPr>
        <w:kinsoku/>
        <w:wordWrap/>
        <w:overflowPunct/>
        <w:topLinePunct w:val="0"/>
        <w:autoSpaceDE/>
        <w:autoSpaceDN/>
        <w:bidi w:val="0"/>
        <w:adjustRightInd/>
        <w:snapToGrid/>
        <w:spacing w:line="600" w:lineRule="exact"/>
        <w:ind w:left="0" w:leftChars="0" w:firstLine="420" w:firstLineChars="0"/>
        <w:rPr>
          <w:rFonts w:hint="default" w:ascii="楷体" w:hAnsi="楷体" w:eastAsia="楷体" w:cs="Times New Roman"/>
          <w:sz w:val="32"/>
          <w:lang w:val="en-US" w:eastAsia="zh-CN"/>
        </w:rPr>
      </w:pPr>
      <w:r>
        <w:rPr>
          <w:rFonts w:hint="eastAsia" w:ascii="楷体" w:hAnsi="楷体" w:eastAsia="楷体" w:cs="Times New Roman"/>
          <w:sz w:val="32"/>
          <w:lang w:val="en-US" w:eastAsia="zh-CN"/>
        </w:rPr>
        <w:t>形成征求意见稿</w:t>
      </w:r>
    </w:p>
    <w:p>
      <w:pPr>
        <w:spacing w:line="360" w:lineRule="auto"/>
        <w:ind w:firstLine="640" w:firstLineChars="200"/>
        <w:rPr>
          <w:rFonts w:hint="default" w:ascii="仿宋" w:hAnsi="仿宋" w:eastAsia="仿宋" w:cs="Times New Roman"/>
          <w:sz w:val="32"/>
          <w:szCs w:val="32"/>
          <w:lang w:val="en-US" w:eastAsia="zh-CN"/>
        </w:rPr>
      </w:pPr>
      <w:r>
        <w:rPr>
          <w:rFonts w:hint="eastAsia" w:ascii="仿宋" w:hAnsi="仿宋" w:eastAsia="仿宋" w:cs="Times New Roman"/>
          <w:sz w:val="32"/>
          <w:szCs w:val="32"/>
          <w:highlight w:val="none"/>
          <w:lang w:val="en-US" w:eastAsia="zh-CN"/>
        </w:rPr>
        <w:t>202</w:t>
      </w:r>
      <w:r>
        <w:rPr>
          <w:rFonts w:hint="default" w:ascii="仿宋" w:hAnsi="仿宋" w:eastAsia="仿宋" w:cs="Times New Roman"/>
          <w:sz w:val="32"/>
          <w:szCs w:val="32"/>
          <w:highlight w:val="none"/>
          <w:lang w:val="en-US" w:eastAsia="zh-CN"/>
        </w:rPr>
        <w:t>3</w:t>
      </w:r>
      <w:r>
        <w:rPr>
          <w:rFonts w:hint="eastAsia" w:ascii="仿宋" w:hAnsi="仿宋" w:eastAsia="仿宋" w:cs="Times New Roman"/>
          <w:sz w:val="32"/>
          <w:szCs w:val="32"/>
          <w:highlight w:val="none"/>
          <w:lang w:val="en-US" w:eastAsia="zh-CN"/>
        </w:rPr>
        <w:t>年12月至1月，标准</w:t>
      </w:r>
      <w:r>
        <w:rPr>
          <w:rFonts w:hint="eastAsia" w:ascii="仿宋" w:hAnsi="仿宋" w:eastAsia="仿宋" w:cs="Times New Roman"/>
          <w:sz w:val="32"/>
          <w:szCs w:val="32"/>
          <w:lang w:val="en-US" w:eastAsia="zh-CN"/>
        </w:rPr>
        <w:t>编制组形成《专利价值评估指南》标准草案。编制组召开专家研讨会，修改完善形成征求意见稿。</w:t>
      </w: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b w:val="0"/>
          <w:bCs w:val="0"/>
          <w:color w:val="auto"/>
          <w:sz w:val="32"/>
          <w:szCs w:val="32"/>
          <w:lang w:val="en-US" w:eastAsia="zh-CN"/>
        </w:rPr>
      </w:pPr>
      <w:bookmarkStart w:id="3" w:name="_Toc23395"/>
      <w:r>
        <w:rPr>
          <w:rFonts w:hint="eastAsia" w:ascii="黑体" w:hAnsi="黑体" w:eastAsia="黑体" w:cs="Times New Roman"/>
          <w:b w:val="0"/>
          <w:bCs w:val="0"/>
          <w:color w:val="auto"/>
          <w:sz w:val="32"/>
          <w:szCs w:val="32"/>
          <w:lang w:val="en-US" w:eastAsia="zh-CN"/>
        </w:rPr>
        <w:t>国内有关法律、法规和标准情况的说明</w:t>
      </w:r>
      <w:bookmarkEnd w:id="3"/>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kern w:val="2"/>
          <w:sz w:val="32"/>
          <w:szCs w:val="32"/>
          <w:lang w:val="en-US" w:eastAsia="zh-CN" w:bidi="ar-SA"/>
        </w:rPr>
        <w:t>通过标准信息数据库查新，当前国际、国家、行业、地方上虽已出台多个有专利价值评估方面的标准，</w:t>
      </w:r>
      <w:r>
        <w:rPr>
          <w:rFonts w:hint="eastAsia" w:ascii="仿宋" w:hAnsi="仿宋" w:eastAsia="仿宋" w:cs="Times New Roman"/>
          <w:kern w:val="2"/>
          <w:sz w:val="32"/>
          <w:szCs w:val="32"/>
          <w:lang w:val="en-US" w:eastAsia="zh-CN" w:bidi="ar-SA"/>
        </w:rPr>
        <w:t>包括</w:t>
      </w:r>
      <w:r>
        <w:rPr>
          <w:rFonts w:hint="eastAsia" w:ascii="仿宋" w:hAnsi="仿宋" w:eastAsia="仿宋" w:cs="Times New Roman"/>
          <w:i w:val="0"/>
          <w:iCs w:val="0"/>
          <w:kern w:val="2"/>
          <w:sz w:val="32"/>
          <w:szCs w:val="32"/>
          <w:u w:val="none"/>
          <w:lang w:val="en-US" w:eastAsia="zh-CN" w:bidi="ar"/>
        </w:rPr>
        <w:t>DL/T 2138-2020《电力专利价值评估规范》</w:t>
      </w:r>
      <w:r>
        <w:rPr>
          <w:rFonts w:hint="eastAsia" w:ascii="仿宋" w:hAnsi="仿宋" w:eastAsia="仿宋" w:cs="Times New Roman"/>
          <w:kern w:val="2"/>
          <w:sz w:val="32"/>
          <w:szCs w:val="32"/>
          <w:lang w:val="en-US" w:eastAsia="zh-CN" w:bidi="ar-SA"/>
        </w:rPr>
        <w:t>、</w:t>
      </w:r>
      <w:r>
        <w:rPr>
          <w:rFonts w:hint="eastAsia" w:ascii="仿宋" w:hAnsi="仿宋" w:eastAsia="仿宋" w:cs="Times New Roman"/>
          <w:i w:val="0"/>
          <w:iCs w:val="0"/>
          <w:kern w:val="2"/>
          <w:sz w:val="32"/>
          <w:szCs w:val="32"/>
          <w:u w:val="none"/>
          <w:lang w:val="en-US" w:eastAsia="zh-CN" w:bidi="ar"/>
        </w:rPr>
        <w:t>DB34/T 3582-2020《专利价值评估技术规范》、DB44/T 1747-2015《知识产权质押评估技术规范》、DB4420/T 15—2022《知识产权质押融资贷款风险补偿管理规范》、DB5106/T 12—2020《知识产权质押贷款管理规范》</w:t>
      </w:r>
      <w:r>
        <w:rPr>
          <w:rFonts w:hint="eastAsia" w:ascii="仿宋" w:hAnsi="仿宋" w:eastAsia="仿宋" w:cs="Times New Roman"/>
          <w:kern w:val="2"/>
          <w:sz w:val="32"/>
          <w:szCs w:val="32"/>
          <w:lang w:val="en-US" w:eastAsia="zh-CN" w:bidi="ar-SA"/>
        </w:rPr>
        <w:t>等标准，但标准内容和评估方法等都比较笼统和模糊。2022年</w:t>
      </w:r>
      <w:r>
        <w:rPr>
          <w:rFonts w:hint="eastAsia" w:ascii="仿宋" w:hAnsi="仿宋" w:eastAsia="仿宋" w:cs="Times New Roman"/>
          <w:sz w:val="32"/>
          <w:szCs w:val="32"/>
          <w:lang w:val="en-US" w:eastAsia="zh-CN"/>
        </w:rPr>
        <w:t>国家标准《专利价值评估指引》对评价方法、评价指标体系等做了规定，但仅提供了一二级指标的示例参考。</w:t>
      </w:r>
      <w:r>
        <w:rPr>
          <w:rFonts w:hint="eastAsia" w:ascii="仿宋" w:hAnsi="仿宋" w:eastAsia="仿宋" w:cs="Times New Roman"/>
          <w:kern w:val="2"/>
          <w:sz w:val="32"/>
          <w:szCs w:val="32"/>
          <w:lang w:val="en-US" w:eastAsia="zh-CN" w:bidi="ar-SA"/>
        </w:rPr>
        <w:t>实际操作性不强。本标准，结合深圳实际情况，以实际运用为主，设计专利价值评估指标及方法，提供包括一二三级指标的确定及评估示例，</w:t>
      </w:r>
      <w:r>
        <w:rPr>
          <w:rFonts w:hint="eastAsia" w:ascii="仿宋" w:hAnsi="仿宋" w:eastAsia="仿宋" w:cs="Times New Roman"/>
          <w:sz w:val="32"/>
          <w:szCs w:val="32"/>
          <w:lang w:val="en-US" w:eastAsia="zh-CN"/>
        </w:rPr>
        <w:t>注重科学性和可操作性的结合，利于推广应用。</w:t>
      </w:r>
      <w:bookmarkStart w:id="16" w:name="_GoBack"/>
      <w:bookmarkEnd w:id="16"/>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sz w:val="32"/>
          <w:szCs w:val="32"/>
          <w:lang w:val="en-US" w:eastAsia="zh-CN"/>
        </w:rPr>
      </w:pPr>
      <w:bookmarkStart w:id="4" w:name="_Toc25180"/>
      <w:r>
        <w:rPr>
          <w:rFonts w:hint="eastAsia" w:ascii="黑体" w:hAnsi="黑体" w:eastAsia="黑体" w:cs="Times New Roman"/>
          <w:sz w:val="32"/>
          <w:szCs w:val="32"/>
          <w:lang w:val="en-US" w:eastAsia="zh-CN"/>
        </w:rPr>
        <w:t>标准的制订原则</w:t>
      </w:r>
      <w:bookmarkEnd w:id="4"/>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本标准遵循“科学性、实用性、统一性、适用性”的原则，严格按</w:t>
      </w:r>
      <w:r>
        <w:rPr>
          <w:rFonts w:hint="default" w:ascii="仿宋" w:hAnsi="仿宋" w:eastAsia="仿宋" w:cs="Times New Roman"/>
          <w:sz w:val="32"/>
          <w:szCs w:val="32"/>
          <w:lang w:val="en-US" w:eastAsia="zh-CN"/>
        </w:rPr>
        <w:t>GB/T 1.1-20</w:t>
      </w:r>
      <w:r>
        <w:rPr>
          <w:rFonts w:hint="eastAsia" w:ascii="仿宋" w:hAnsi="仿宋" w:eastAsia="仿宋" w:cs="Times New Roman"/>
          <w:sz w:val="32"/>
          <w:szCs w:val="32"/>
          <w:lang w:val="en-US" w:eastAsia="zh-CN"/>
        </w:rPr>
        <w:t>20《标准化工作 导则 第</w:t>
      </w:r>
      <w:r>
        <w:rPr>
          <w:rFonts w:hint="default" w:ascii="仿宋" w:hAnsi="仿宋" w:eastAsia="仿宋" w:cs="Times New Roman"/>
          <w:sz w:val="32"/>
          <w:szCs w:val="32"/>
          <w:lang w:val="en-US" w:eastAsia="zh-CN"/>
        </w:rPr>
        <w:t>1</w:t>
      </w:r>
      <w:r>
        <w:rPr>
          <w:rFonts w:hint="eastAsia" w:ascii="仿宋" w:hAnsi="仿宋" w:eastAsia="仿宋" w:cs="Times New Roman"/>
          <w:sz w:val="32"/>
          <w:szCs w:val="32"/>
          <w:lang w:val="en-US" w:eastAsia="zh-CN"/>
        </w:rPr>
        <w:t>部分：标准的结构和编写》的要求进行编写。</w:t>
      </w: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sz w:val="32"/>
          <w:szCs w:val="32"/>
          <w:lang w:val="en-US" w:eastAsia="zh-CN"/>
        </w:rPr>
      </w:pPr>
      <w:bookmarkStart w:id="5" w:name="_Toc18778"/>
      <w:r>
        <w:rPr>
          <w:rFonts w:hint="eastAsia" w:ascii="黑体" w:hAnsi="黑体" w:eastAsia="黑体" w:cs="Times New Roman"/>
          <w:sz w:val="32"/>
          <w:szCs w:val="32"/>
          <w:lang w:val="en-US" w:eastAsia="zh-CN"/>
        </w:rPr>
        <w:t>主要条款说明</w:t>
      </w:r>
      <w:bookmarkEnd w:id="5"/>
    </w:p>
    <w:p>
      <w:pPr>
        <w:pageBreakBefore w:val="0"/>
        <w:numPr>
          <w:ilvl w:val="0"/>
          <w:numId w:val="3"/>
        </w:numPr>
        <w:kinsoku/>
        <w:wordWrap/>
        <w:overflowPunct/>
        <w:topLinePunct w:val="0"/>
        <w:autoSpaceDE/>
        <w:autoSpaceDN/>
        <w:bidi w:val="0"/>
        <w:adjustRightInd/>
        <w:snapToGrid/>
        <w:spacing w:line="600" w:lineRule="exact"/>
        <w:ind w:left="0" w:leftChars="0" w:firstLine="420" w:firstLineChars="0"/>
        <w:rPr>
          <w:rFonts w:hint="eastAsia" w:ascii="楷体" w:hAnsi="楷体" w:eastAsia="楷体" w:cs="Times New Roman"/>
          <w:sz w:val="32"/>
          <w:highlight w:val="none"/>
          <w:lang w:val="en-US" w:eastAsia="zh-CN"/>
        </w:rPr>
      </w:pPr>
      <w:bookmarkStart w:id="6" w:name="_Toc63622407"/>
      <w:bookmarkStart w:id="7" w:name="_Toc67580757"/>
      <w:r>
        <w:rPr>
          <w:rFonts w:hint="eastAsia" w:ascii="楷体" w:hAnsi="楷体" w:eastAsia="楷体" w:cs="Times New Roman"/>
          <w:sz w:val="32"/>
          <w:highlight w:val="none"/>
          <w:lang w:val="en-US" w:eastAsia="zh-CN"/>
        </w:rPr>
        <w:t>标准的适用范围</w:t>
      </w:r>
      <w:bookmarkEnd w:id="6"/>
      <w:bookmarkEnd w:id="7"/>
    </w:p>
    <w:p>
      <w:pPr>
        <w:spacing w:line="360" w:lineRule="auto"/>
        <w:ind w:firstLine="640" w:firstLineChars="200"/>
        <w:rPr>
          <w:rFonts w:hint="eastAsia" w:ascii="仿宋" w:hAnsi="仿宋" w:eastAsia="仿宋" w:cs="Times New Roman"/>
          <w:sz w:val="32"/>
          <w:szCs w:val="32"/>
          <w:lang w:val="en-US" w:eastAsia="zh-Hans"/>
        </w:rPr>
      </w:pPr>
      <w:bookmarkStart w:id="8" w:name="_Toc63623079"/>
      <w:bookmarkStart w:id="9" w:name="_Toc67580758"/>
      <w:bookmarkStart w:id="10" w:name="_Toc66977607"/>
      <w:r>
        <w:rPr>
          <w:rFonts w:hint="eastAsia" w:ascii="仿宋" w:hAnsi="仿宋" w:eastAsia="仿宋" w:cs="Times New Roman"/>
          <w:sz w:val="32"/>
          <w:szCs w:val="32"/>
          <w:lang w:val="en-US" w:eastAsia="zh-Hans"/>
        </w:rPr>
        <w:t>本文件规定了专利价值评估的基本原则、评估指标、专利价值评估流程等要求。</w:t>
      </w:r>
    </w:p>
    <w:p>
      <w:pPr>
        <w:spacing w:line="360" w:lineRule="auto"/>
        <w:ind w:firstLine="640" w:firstLineChars="200"/>
        <w:rPr>
          <w:rFonts w:hint="eastAsia" w:ascii="仿宋" w:hAnsi="仿宋" w:eastAsia="仿宋" w:cs="Times New Roman"/>
          <w:sz w:val="32"/>
          <w:szCs w:val="32"/>
          <w:lang w:val="en-US" w:eastAsia="zh-Hans"/>
        </w:rPr>
      </w:pPr>
      <w:r>
        <w:rPr>
          <w:rFonts w:hint="eastAsia" w:ascii="仿宋" w:hAnsi="仿宋" w:eastAsia="仿宋" w:cs="Times New Roman"/>
          <w:sz w:val="32"/>
          <w:szCs w:val="32"/>
          <w:lang w:val="en-US" w:eastAsia="zh-Hans"/>
        </w:rPr>
        <w:t>本文件适用于专利价值评估相关工作。</w:t>
      </w:r>
    </w:p>
    <w:p>
      <w:pPr>
        <w:pageBreakBefore w:val="0"/>
        <w:numPr>
          <w:ilvl w:val="0"/>
          <w:numId w:val="3"/>
        </w:numPr>
        <w:kinsoku/>
        <w:wordWrap/>
        <w:overflowPunct/>
        <w:topLinePunct w:val="0"/>
        <w:autoSpaceDE/>
        <w:autoSpaceDN/>
        <w:bidi w:val="0"/>
        <w:adjustRightInd/>
        <w:snapToGrid/>
        <w:spacing w:line="600" w:lineRule="exact"/>
        <w:ind w:left="0" w:leftChars="0" w:firstLine="420" w:firstLineChars="0"/>
        <w:rPr>
          <w:rFonts w:hint="eastAsia" w:ascii="楷体" w:hAnsi="楷体" w:eastAsia="楷体" w:cs="Times New Roman"/>
          <w:sz w:val="32"/>
          <w:highlight w:val="none"/>
          <w:lang w:val="en-US" w:eastAsia="zh-CN"/>
        </w:rPr>
      </w:pPr>
      <w:r>
        <w:rPr>
          <w:rFonts w:hint="eastAsia" w:ascii="楷体" w:hAnsi="楷体" w:eastAsia="楷体" w:cs="Times New Roman"/>
          <w:sz w:val="32"/>
          <w:highlight w:val="none"/>
          <w:lang w:val="en-US" w:eastAsia="zh-CN"/>
        </w:rPr>
        <w:t>有关条款的说明</w:t>
      </w:r>
      <w:bookmarkEnd w:id="8"/>
      <w:bookmarkEnd w:id="9"/>
      <w:bookmarkEnd w:id="10"/>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1、术语和定义</w:t>
      </w:r>
    </w:p>
    <w:p>
      <w:pPr>
        <w:spacing w:line="360" w:lineRule="auto"/>
        <w:ind w:firstLine="640" w:firstLineChars="200"/>
        <w:rPr>
          <w:rFonts w:hint="eastAsia" w:ascii="仿宋" w:hAnsi="仿宋" w:eastAsia="仿宋" w:cs="Times New Roman"/>
          <w:sz w:val="32"/>
          <w:szCs w:val="32"/>
          <w:lang w:val="en-US" w:eastAsia="zh-Hans"/>
        </w:rPr>
      </w:pPr>
      <w:r>
        <w:rPr>
          <w:rFonts w:hint="eastAsia" w:ascii="仿宋" w:hAnsi="仿宋" w:eastAsia="仿宋" w:cs="Times New Roman"/>
          <w:sz w:val="32"/>
          <w:szCs w:val="32"/>
          <w:lang w:val="en-US" w:eastAsia="zh-Hans"/>
        </w:rPr>
        <w:t>GB/T 42748界定的术语和定义适用于本文件。</w:t>
      </w:r>
    </w:p>
    <w:p>
      <w:pPr>
        <w:spacing w:line="360" w:lineRule="auto"/>
        <w:ind w:firstLine="640" w:firstLineChars="200"/>
        <w:rPr>
          <w:rFonts w:hint="default" w:ascii="仿宋" w:hAnsi="仿宋" w:eastAsia="仿宋" w:cs="Times New Roman"/>
          <w:sz w:val="32"/>
          <w:szCs w:val="32"/>
          <w:highlight w:val="none"/>
          <w:lang w:val="en-US" w:eastAsia="zh-CN"/>
        </w:rPr>
      </w:pPr>
      <w:r>
        <w:rPr>
          <w:rFonts w:hint="default" w:ascii="仿宋" w:hAnsi="仿宋" w:eastAsia="仿宋" w:cs="Times New Roman"/>
          <w:sz w:val="32"/>
          <w:szCs w:val="32"/>
          <w:highlight w:val="none"/>
          <w:lang w:val="en-US" w:eastAsia="zh-CN"/>
        </w:rPr>
        <w:t>2</w:t>
      </w:r>
      <w:r>
        <w:rPr>
          <w:rFonts w:hint="eastAsia" w:ascii="仿宋" w:hAnsi="仿宋" w:eastAsia="仿宋" w:cs="Times New Roman"/>
          <w:sz w:val="32"/>
          <w:szCs w:val="32"/>
          <w:highlight w:val="none"/>
          <w:lang w:val="en-US" w:eastAsia="zh-CN"/>
        </w:rPr>
        <w:t>、基本原则</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包括科学性原则、全面性原则、适用性原则。</w:t>
      </w:r>
    </w:p>
    <w:p>
      <w:pPr>
        <w:spacing w:line="360" w:lineRule="auto"/>
        <w:ind w:firstLine="640" w:firstLineChars="200"/>
        <w:rPr>
          <w:rFonts w:hint="eastAsia" w:ascii="仿宋" w:hAnsi="仿宋" w:eastAsia="仿宋" w:cs="Times New Roman"/>
          <w:sz w:val="32"/>
          <w:szCs w:val="32"/>
          <w:lang w:val="en-US" w:eastAsia="zh-CN"/>
        </w:rPr>
      </w:pPr>
      <w:r>
        <w:rPr>
          <w:rFonts w:hint="default" w:ascii="仿宋" w:hAnsi="仿宋" w:eastAsia="仿宋" w:cs="Times New Roman"/>
          <w:sz w:val="32"/>
          <w:szCs w:val="32"/>
          <w:lang w:val="en-US" w:eastAsia="zh-CN"/>
        </w:rPr>
        <w:t>3</w:t>
      </w:r>
      <w:r>
        <w:rPr>
          <w:rFonts w:hint="eastAsia" w:ascii="仿宋" w:hAnsi="仿宋" w:eastAsia="仿宋" w:cs="Times New Roman"/>
          <w:sz w:val="32"/>
          <w:szCs w:val="32"/>
          <w:lang w:val="en-US" w:eastAsia="zh-CN"/>
        </w:rPr>
        <w:t>、评估指标</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包括指标体系的构成与指标权重两部分。</w:t>
      </w:r>
    </w:p>
    <w:p>
      <w:pPr>
        <w:spacing w:line="360" w:lineRule="auto"/>
        <w:ind w:firstLine="640" w:firstLineChars="200"/>
        <w:rPr>
          <w:rFonts w:hint="default" w:ascii="仿宋" w:hAnsi="仿宋" w:eastAsia="仿宋" w:cs="Times New Roman"/>
          <w:sz w:val="32"/>
          <w:szCs w:val="32"/>
          <w:lang w:val="en-US" w:eastAsia="zh-Hans"/>
        </w:rPr>
      </w:pPr>
      <w:r>
        <w:rPr>
          <w:rFonts w:hint="default" w:ascii="仿宋" w:hAnsi="仿宋" w:eastAsia="仿宋" w:cs="Times New Roman"/>
          <w:sz w:val="32"/>
          <w:szCs w:val="32"/>
          <w:lang w:val="en-US" w:eastAsia="zh-CN"/>
        </w:rPr>
        <w:t>4</w:t>
      </w:r>
      <w:r>
        <w:rPr>
          <w:rFonts w:hint="eastAsia" w:ascii="仿宋" w:hAnsi="仿宋" w:eastAsia="仿宋" w:cs="Times New Roman"/>
          <w:sz w:val="32"/>
          <w:szCs w:val="32"/>
          <w:lang w:val="en-US" w:eastAsia="zh-CN"/>
        </w:rPr>
        <w:t>、专利价值评估流程</w:t>
      </w:r>
    </w:p>
    <w:p>
      <w:pPr>
        <w:spacing w:line="360" w:lineRule="auto"/>
        <w:ind w:firstLine="640" w:firstLineChars="200"/>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流程包括评估准备、评估策划、评估实施、评估分析、形成评估报告。为专利价值评估的实施提供了参考指南。</w:t>
      </w:r>
    </w:p>
    <w:p>
      <w:pPr>
        <w:spacing w:line="360" w:lineRule="auto"/>
        <w:ind w:firstLine="640" w:firstLineChars="200"/>
        <w:rPr>
          <w:rFonts w:hint="default" w:ascii="仿宋" w:hAnsi="仿宋" w:eastAsia="仿宋" w:cs="Times New Roman"/>
          <w:sz w:val="32"/>
          <w:szCs w:val="32"/>
          <w:lang w:val="en-US" w:eastAsia="zh-Hans"/>
        </w:rPr>
      </w:pPr>
      <w:r>
        <w:rPr>
          <w:rFonts w:hint="default" w:ascii="仿宋" w:hAnsi="仿宋" w:eastAsia="仿宋" w:cs="Times New Roman"/>
          <w:sz w:val="32"/>
          <w:szCs w:val="32"/>
          <w:lang w:val="en-US" w:eastAsia="zh-CN"/>
        </w:rPr>
        <w:t>5、</w:t>
      </w:r>
      <w:r>
        <w:rPr>
          <w:rFonts w:hint="eastAsia" w:ascii="仿宋" w:hAnsi="仿宋" w:eastAsia="仿宋" w:cs="Times New Roman"/>
          <w:sz w:val="32"/>
          <w:szCs w:val="32"/>
          <w:lang w:val="en-US" w:eastAsia="zh-CN"/>
        </w:rPr>
        <w:t>附录</w:t>
      </w:r>
      <w:r>
        <w:rPr>
          <w:rFonts w:hint="default" w:ascii="仿宋" w:hAnsi="仿宋" w:eastAsia="仿宋" w:cs="Times New Roman"/>
          <w:sz w:val="32"/>
          <w:szCs w:val="32"/>
          <w:lang w:val="en-US" w:eastAsia="zh-CN"/>
        </w:rPr>
        <w:t>A</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附三级指标权重在质押评估中的设计示例。</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6、附录B</w:t>
      </w:r>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附专利价值度评分规则。</w:t>
      </w: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sz w:val="32"/>
          <w:szCs w:val="32"/>
          <w:lang w:val="en-US" w:eastAsia="zh-CN"/>
        </w:rPr>
      </w:pPr>
      <w:bookmarkStart w:id="11" w:name="_Toc3860"/>
      <w:r>
        <w:rPr>
          <w:rFonts w:hint="eastAsia" w:ascii="黑体" w:hAnsi="黑体" w:eastAsia="黑体" w:cs="Times New Roman"/>
          <w:sz w:val="32"/>
          <w:szCs w:val="32"/>
          <w:lang w:val="en-US" w:eastAsia="zh-CN"/>
        </w:rPr>
        <w:t>团体标准先进性说明</w:t>
      </w:r>
      <w:bookmarkEnd w:id="11"/>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根据文献查阅，可知专利价值评估相关规范及标准主要存在以下不足：（1）因专利价值评估具有较强的专业性，且评估工作复杂且难度较大，目前国内并未有统一的专利价值评价标准</w:t>
      </w:r>
      <w:r>
        <w:rPr>
          <w:rFonts w:hint="eastAsia" w:ascii="仿宋" w:hAnsi="仿宋" w:eastAsia="仿宋"/>
          <w:sz w:val="32"/>
          <w:szCs w:val="32"/>
        </w:rPr>
        <w:t>；</w:t>
      </w:r>
      <w:r>
        <w:rPr>
          <w:rFonts w:hint="eastAsia" w:ascii="仿宋" w:hAnsi="仿宋" w:eastAsia="仿宋" w:cs="Times New Roman"/>
          <w:sz w:val="32"/>
          <w:szCs w:val="32"/>
          <w:lang w:val="en-US" w:eastAsia="zh-CN"/>
        </w:rPr>
        <w:t>（2）国家标准《专利价值评估指引》也仅对一级指标二级指标的权重计算给出示例，并未对评估流程及专利价值度的具体评估分值给予示例。本标准的制定，结合国家标准的指标设计，给出了三级指标在质押评估中的权重和附专利价值度评分规则，提升可转里价值评估的可操作性，具有先进性。</w:t>
      </w: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sz w:val="32"/>
          <w:szCs w:val="32"/>
          <w:lang w:val="en-US" w:eastAsia="zh-CN"/>
        </w:rPr>
      </w:pPr>
      <w:bookmarkStart w:id="12" w:name="_Toc17014"/>
      <w:r>
        <w:rPr>
          <w:rFonts w:hint="eastAsia" w:ascii="黑体" w:hAnsi="黑体" w:eastAsia="黑体" w:cs="Times New Roman"/>
          <w:sz w:val="32"/>
          <w:szCs w:val="32"/>
          <w:lang w:val="en-US" w:eastAsia="zh-CN"/>
        </w:rPr>
        <w:t>涉及专利情况</w:t>
      </w:r>
      <w:bookmarkEnd w:id="12"/>
    </w:p>
    <w:p>
      <w:pPr>
        <w:spacing w:line="360" w:lineRule="auto"/>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无。</w:t>
      </w: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sz w:val="32"/>
          <w:szCs w:val="32"/>
          <w:lang w:val="en-US" w:eastAsia="zh-CN"/>
        </w:rPr>
      </w:pPr>
      <w:bookmarkStart w:id="13" w:name="_Toc31890"/>
      <w:r>
        <w:rPr>
          <w:rFonts w:hint="eastAsia" w:ascii="黑体" w:hAnsi="黑体" w:eastAsia="黑体" w:cs="Times New Roman"/>
          <w:sz w:val="32"/>
          <w:szCs w:val="32"/>
          <w:lang w:val="en-US" w:eastAsia="zh-CN"/>
        </w:rPr>
        <w:t>与现行相关法律、法规、规章及相关标准的协调性</w:t>
      </w:r>
      <w:bookmarkEnd w:id="13"/>
    </w:p>
    <w:p>
      <w:pPr>
        <w:spacing w:line="360" w:lineRule="auto"/>
        <w:ind w:firstLine="640" w:firstLineChars="200"/>
        <w:rPr>
          <w:rFonts w:hint="eastAsia"/>
          <w:lang w:val="en-US" w:eastAsia="zh-CN"/>
        </w:rPr>
      </w:pPr>
      <w:r>
        <w:rPr>
          <w:rFonts w:hint="eastAsia" w:ascii="仿宋" w:hAnsi="仿宋" w:eastAsia="仿宋" w:cs="Times New Roman"/>
          <w:sz w:val="32"/>
          <w:szCs w:val="32"/>
          <w:lang w:val="en-US" w:eastAsia="zh-CN"/>
        </w:rPr>
        <w:t>本标准与现行相关法律、法规、规章不相冲突，与相应现行国家或行业标准相协调。</w:t>
      </w:r>
    </w:p>
    <w:p>
      <w:pPr>
        <w:pageBreakBefore w:val="0"/>
        <w:numPr>
          <w:ilvl w:val="0"/>
          <w:numId w:val="1"/>
        </w:numPr>
        <w:tabs>
          <w:tab w:val="left" w:pos="540"/>
          <w:tab w:val="clear" w:pos="720"/>
        </w:tabs>
        <w:kinsoku/>
        <w:wordWrap/>
        <w:overflowPunct/>
        <w:topLinePunct w:val="0"/>
        <w:autoSpaceDE/>
        <w:autoSpaceDN/>
        <w:bidi w:val="0"/>
        <w:adjustRightInd/>
        <w:snapToGrid/>
        <w:spacing w:line="600" w:lineRule="exact"/>
        <w:ind w:left="360" w:hanging="360"/>
        <w:outlineLvl w:val="0"/>
        <w:rPr>
          <w:rFonts w:hint="eastAsia" w:ascii="黑体" w:hAnsi="黑体" w:eastAsia="黑体" w:cs="Times New Roman"/>
          <w:sz w:val="32"/>
          <w:szCs w:val="32"/>
          <w:lang w:val="en-US" w:eastAsia="zh-CN"/>
        </w:rPr>
      </w:pPr>
      <w:bookmarkStart w:id="14" w:name="_Toc27563"/>
      <w:r>
        <w:rPr>
          <w:rFonts w:hint="eastAsia" w:ascii="黑体" w:hAnsi="黑体" w:eastAsia="黑体" w:cs="Times New Roman"/>
          <w:sz w:val="32"/>
          <w:szCs w:val="32"/>
          <w:lang w:val="en-US" w:eastAsia="zh-CN"/>
        </w:rPr>
        <w:t>其他需要说明的事项</w:t>
      </w:r>
      <w:bookmarkEnd w:id="14"/>
    </w:p>
    <w:p>
      <w:pPr>
        <w:spacing w:line="360" w:lineRule="auto"/>
        <w:ind w:firstLine="640" w:firstLineChars="200"/>
        <w:rPr>
          <w:rFonts w:hint="eastAsia"/>
          <w:lang w:val="en-US" w:eastAsia="zh-CN"/>
        </w:rPr>
      </w:pPr>
      <w:bookmarkStart w:id="15" w:name="_Toc30912"/>
      <w:r>
        <w:rPr>
          <w:rFonts w:hint="eastAsia" w:ascii="仿宋" w:hAnsi="仿宋" w:eastAsia="仿宋" w:cs="Times New Roman"/>
          <w:sz w:val="32"/>
          <w:szCs w:val="32"/>
          <w:lang w:val="en-US" w:eastAsia="zh-CN"/>
        </w:rPr>
        <w:t>无</w:t>
      </w:r>
      <w:bookmarkEnd w:id="15"/>
      <w:r>
        <w:rPr>
          <w:rFonts w:hint="eastAsia" w:ascii="仿宋" w:hAnsi="仿宋" w:eastAsia="仿宋" w:cs="Times New Roman"/>
          <w:sz w:val="32"/>
          <w:szCs w:val="32"/>
          <w:lang w:val="en-US" w:eastAsia="zh-CN"/>
        </w:rPr>
        <w:t>。</w:t>
      </w:r>
    </w:p>
    <w:p>
      <w:pPr>
        <w:spacing w:line="360" w:lineRule="auto"/>
        <w:ind w:firstLine="640" w:firstLineChars="200"/>
        <w:jc w:val="right"/>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 xml:space="preserve">                                   </w:t>
      </w:r>
    </w:p>
    <w:p>
      <w:pPr>
        <w:rPr>
          <w:rFonts w:hint="eastAsia" w:eastAsia="宋体"/>
          <w:lang w:val="en-US"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E4BE051-47ED-488D-A3D7-F744EE4700E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86C6B51F-9371-414B-87CF-7B20F7CEEE33}"/>
  </w:font>
  <w:font w:name="楷体">
    <w:panose1 w:val="02010609060101010101"/>
    <w:charset w:val="86"/>
    <w:family w:val="auto"/>
    <w:pitch w:val="default"/>
    <w:sig w:usb0="800002BF" w:usb1="38CF7CFA" w:usb2="00000016" w:usb3="00000000" w:csb0="00040001" w:csb1="00000000"/>
    <w:embedRegular r:id="rId3" w:fontKey="{DFD26D92-1DBA-4322-B93A-3C881FE81A4A}"/>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F20B86"/>
    <w:multiLevelType w:val="singleLevel"/>
    <w:tmpl w:val="8DF20B86"/>
    <w:lvl w:ilvl="0" w:tentative="0">
      <w:start w:val="1"/>
      <w:numFmt w:val="chineseCounting"/>
      <w:suff w:val="nothing"/>
      <w:lvlText w:val="（%1）"/>
      <w:lvlJc w:val="left"/>
      <w:pPr>
        <w:ind w:left="0" w:firstLine="420"/>
      </w:pPr>
      <w:rPr>
        <w:rFonts w:hint="eastAsia"/>
      </w:rPr>
    </w:lvl>
  </w:abstractNum>
  <w:abstractNum w:abstractNumId="1">
    <w:nsid w:val="A50AA780"/>
    <w:multiLevelType w:val="singleLevel"/>
    <w:tmpl w:val="A50AA780"/>
    <w:lvl w:ilvl="0" w:tentative="0">
      <w:start w:val="1"/>
      <w:numFmt w:val="chineseCounting"/>
      <w:suff w:val="nothing"/>
      <w:lvlText w:val="（%1）"/>
      <w:lvlJc w:val="left"/>
      <w:pPr>
        <w:ind w:left="0" w:firstLine="420"/>
      </w:pPr>
      <w:rPr>
        <w:rFonts w:hint="eastAsia"/>
      </w:rPr>
    </w:lvl>
  </w:abstractNum>
  <w:abstractNum w:abstractNumId="2">
    <w:nsid w:val="38612B68"/>
    <w:multiLevelType w:val="multilevel"/>
    <w:tmpl w:val="38612B68"/>
    <w:lvl w:ilvl="0" w:tentative="0">
      <w:start w:val="1"/>
      <w:numFmt w:val="japaneseCounting"/>
      <w:lvlText w:val="%1、"/>
      <w:lvlJc w:val="left"/>
      <w:pPr>
        <w:tabs>
          <w:tab w:val="left" w:pos="720"/>
        </w:tabs>
        <w:ind w:left="720" w:hanging="72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decimal"/>
      <w:lvlText w:val="%3．"/>
      <w:lvlJc w:val="left"/>
      <w:pPr>
        <w:tabs>
          <w:tab w:val="left" w:pos="720"/>
        </w:tabs>
        <w:ind w:left="72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5ZWZlY2JjYmNjMTk1ZGY0ODRiYmNlMTZlMTJhZTkifQ=="/>
  </w:docVars>
  <w:rsids>
    <w:rsidRoot w:val="06F03F56"/>
    <w:rsid w:val="01E440A4"/>
    <w:rsid w:val="02B40288"/>
    <w:rsid w:val="0362154D"/>
    <w:rsid w:val="06F03F56"/>
    <w:rsid w:val="075365F6"/>
    <w:rsid w:val="07874C0C"/>
    <w:rsid w:val="124752B6"/>
    <w:rsid w:val="12A350E1"/>
    <w:rsid w:val="12B63D51"/>
    <w:rsid w:val="13553F4F"/>
    <w:rsid w:val="153660F2"/>
    <w:rsid w:val="15D54BE0"/>
    <w:rsid w:val="175A14CD"/>
    <w:rsid w:val="18CF4022"/>
    <w:rsid w:val="1A766149"/>
    <w:rsid w:val="1B1F1210"/>
    <w:rsid w:val="1BC64A5B"/>
    <w:rsid w:val="1C184DB1"/>
    <w:rsid w:val="1EC30E49"/>
    <w:rsid w:val="1F391748"/>
    <w:rsid w:val="1F8E2B75"/>
    <w:rsid w:val="21290F80"/>
    <w:rsid w:val="25D9000A"/>
    <w:rsid w:val="26A51448"/>
    <w:rsid w:val="26D14420"/>
    <w:rsid w:val="27BD6293"/>
    <w:rsid w:val="27FA4968"/>
    <w:rsid w:val="28FF2D6E"/>
    <w:rsid w:val="2F9551CF"/>
    <w:rsid w:val="30184F9F"/>
    <w:rsid w:val="30253DE6"/>
    <w:rsid w:val="306D5775"/>
    <w:rsid w:val="323B44FC"/>
    <w:rsid w:val="33F16A02"/>
    <w:rsid w:val="341E0623"/>
    <w:rsid w:val="341F13BA"/>
    <w:rsid w:val="35D013B2"/>
    <w:rsid w:val="37C433C1"/>
    <w:rsid w:val="37EC2D6F"/>
    <w:rsid w:val="38483AA9"/>
    <w:rsid w:val="3BE6245C"/>
    <w:rsid w:val="3C6713FC"/>
    <w:rsid w:val="41261F3A"/>
    <w:rsid w:val="420A396A"/>
    <w:rsid w:val="44EA5C0A"/>
    <w:rsid w:val="455E5D2C"/>
    <w:rsid w:val="45C92BA3"/>
    <w:rsid w:val="463D3096"/>
    <w:rsid w:val="470F146D"/>
    <w:rsid w:val="48520859"/>
    <w:rsid w:val="48A226C1"/>
    <w:rsid w:val="48D570BB"/>
    <w:rsid w:val="493A5558"/>
    <w:rsid w:val="498F4B5C"/>
    <w:rsid w:val="4B6E6627"/>
    <w:rsid w:val="4C7622A1"/>
    <w:rsid w:val="4EC22290"/>
    <w:rsid w:val="50F72F6C"/>
    <w:rsid w:val="51DE46ED"/>
    <w:rsid w:val="5203259C"/>
    <w:rsid w:val="523555EC"/>
    <w:rsid w:val="524550E4"/>
    <w:rsid w:val="55D820AF"/>
    <w:rsid w:val="565A3076"/>
    <w:rsid w:val="57DA68F3"/>
    <w:rsid w:val="57E01769"/>
    <w:rsid w:val="58CC6E52"/>
    <w:rsid w:val="59C15718"/>
    <w:rsid w:val="59F268BC"/>
    <w:rsid w:val="5A6E33CE"/>
    <w:rsid w:val="5BE77F1D"/>
    <w:rsid w:val="5CFB60CD"/>
    <w:rsid w:val="5ECC39B3"/>
    <w:rsid w:val="5FAB5302"/>
    <w:rsid w:val="603447B5"/>
    <w:rsid w:val="61DF4DF6"/>
    <w:rsid w:val="62486C01"/>
    <w:rsid w:val="64AC40E4"/>
    <w:rsid w:val="656A1E2C"/>
    <w:rsid w:val="65BD6B14"/>
    <w:rsid w:val="69546425"/>
    <w:rsid w:val="696C5139"/>
    <w:rsid w:val="69DA1A36"/>
    <w:rsid w:val="6A17511F"/>
    <w:rsid w:val="6AA527E0"/>
    <w:rsid w:val="6D7952B9"/>
    <w:rsid w:val="6F0A426F"/>
    <w:rsid w:val="707512F5"/>
    <w:rsid w:val="708D5D75"/>
    <w:rsid w:val="76CE3148"/>
    <w:rsid w:val="77A542CB"/>
    <w:rsid w:val="79897B31"/>
    <w:rsid w:val="7C9276FD"/>
    <w:rsid w:val="7EC132C0"/>
    <w:rsid w:val="7F673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rFonts w:ascii="Calibri" w:hAnsi="Calibri"/>
      <w:b/>
      <w:bCs/>
      <w:kern w:val="44"/>
      <w:sz w:val="44"/>
      <w:szCs w:val="44"/>
    </w:rPr>
  </w:style>
  <w:style w:type="character" w:default="1" w:styleId="9">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style>
  <w:style w:type="paragraph" w:styleId="4">
    <w:name w:val="annotation text"/>
    <w:basedOn w:val="1"/>
    <w:autoRedefine/>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toc 1"/>
    <w:basedOn w:val="1"/>
    <w:next w:val="1"/>
    <w:autoRedefine/>
    <w:qFormat/>
    <w:uiPriority w:val="0"/>
  </w:style>
  <w:style w:type="table" w:styleId="8">
    <w:name w:val="Table Grid"/>
    <w:basedOn w:val="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2023-06-26T02:23:00Z</dcterms:created>
  <dc:creator>pengqiying</dc:creator>
  <cp:lastModifiedBy>好好学习</cp:lastModifiedBy>
  <dcterms:modified xsi:type="dcterms:W3CDTF">2024-01-25T01:23:31Z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B1CD8577382D48C8B23DD76B4C1E6C25_13</vt:lpwstr>
  </property>
</Properties>
</file>