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6"/>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334"/>
                            </w:pPr>
                            <w:r>
                              <w:rPr>
                                <w:rFonts w:hint="eastAsia"/>
                              </w:rPr>
                              <w:t>ICS 93.020</w:t>
                            </w:r>
                          </w:p>
                          <w:p>
                            <w:pPr>
                              <w:pStyle w:val="334"/>
                            </w:pPr>
                            <w:r>
                              <w:rPr>
                                <w:rFonts w:hint="eastAsia"/>
                              </w:rPr>
                              <w:t>CCS P 13</w:t>
                            </w:r>
                          </w:p>
                          <w:p>
                            <w:pPr>
                              <w:pStyle w:val="334"/>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0pt;margin-top:2.05pt;height:56.7pt;width:141.75pt;z-index:251659264;mso-width-relative:page;mso-height-relative:page;" fillcolor="#FFFFFF [3201]" filled="t" stroked="f" coordsize="21600,21600" o:gfxdata="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2l9yp&#10;1wAAAAYBAAAPAAAAAAAAAAEAIAAAACIAAABkcnMvZG93bnJldi54bWxQSwECFAAUAAAACACHTuJA&#10;x+v8QVsCAACLBAAADgAAAAAAAAABACAAAAAmAQAAZHJzL2Uyb0RvYy54bWxQSwUGAAAAAAYABgBZ&#10;AQAA8wUAAAAA&#10;">
                <v:fill on="t" focussize="0,0"/>
                <v:stroke on="f" weight="0.5pt"/>
                <v:imagedata o:title=""/>
                <o:lock v:ext="edit" aspectratio="f"/>
                <v:textbox inset="0mm,0mm,2.54mm,0mm">
                  <w:txbxContent>
                    <w:p>
                      <w:pPr>
                        <w:pStyle w:val="334"/>
                      </w:pPr>
                      <w:r>
                        <w:rPr>
                          <w:rFonts w:hint="eastAsia"/>
                        </w:rPr>
                        <w:t>ICS 93.020</w:t>
                      </w:r>
                    </w:p>
                    <w:p>
                      <w:pPr>
                        <w:pStyle w:val="334"/>
                      </w:pPr>
                      <w:r>
                        <w:rPr>
                          <w:rFonts w:hint="eastAsia"/>
                        </w:rPr>
                        <w:t>CCS P 13</w:t>
                      </w:r>
                    </w:p>
                    <w:p>
                      <w:pPr>
                        <w:pStyle w:val="334"/>
                      </w:pPr>
                    </w:p>
                  </w:txbxContent>
                </v:textbox>
              </v:shape>
            </w:pict>
          </mc:Fallback>
        </mc:AlternateContent>
      </w:r>
    </w:p>
    <w:p>
      <w:pPr>
        <w:pStyle w:val="258"/>
        <w:ind w:firstLine="420"/>
        <w:rPr>
          <w:color w:val="000000" w:themeColor="text1"/>
          <w14:textFill>
            <w14:solidFill>
              <w14:schemeClr w14:val="tx1"/>
            </w14:solidFill>
          </w14:textFill>
        </w:rPr>
      </w:pPr>
      <w:r>
        <w:rPr>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499"/>
                              <w:rPr>
                                <w:rFonts w:hint="default"/>
                              </w:rPr>
                            </w:pPr>
                            <w:r>
                              <w:t>团    体    标    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9.75pt;height:51.05pt;width:481.95pt;z-index:251661312;mso-width-relative:page;mso-height-relative:page;" fillcolor="#FFFFFF [3201]" filled="t" stroked="f" coordsize="21600,21600" o:gfxdata="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G8M&#10;41zXAAAABwEAAA8AAAAAAAAAAQAgAAAAIgAAAGRycy9kb3ducmV2LnhtbFBLAQIUABQAAAAIAIdO&#10;4kCChVnUXQIAAIsEAAAOAAAAAAAAAAEAIAAAACYBAABkcnMvZTJvRG9jLnhtbFBLBQYAAAAABgAG&#10;AFkBAAD1BQAAAAA=&#10;">
                <v:fill on="t" focussize="0,0"/>
                <v:stroke on="f" weight="0.5pt"/>
                <v:imagedata o:title=""/>
                <o:lock v:ext="edit" aspectratio="f"/>
                <v:textbox inset="0mm,0mm,2.54mm,0mm">
                  <w:txbxContent>
                    <w:p>
                      <w:pPr>
                        <w:pStyle w:val="499"/>
                        <w:rPr>
                          <w:rFonts w:hint="default"/>
                        </w:rPr>
                      </w:pPr>
                      <w:r>
                        <w:t>团    体    标    准</w:t>
                      </w:r>
                    </w:p>
                  </w:txbxContent>
                </v:textbox>
              </v:shape>
            </w:pict>
          </mc:Fallback>
        </mc:AlternateContent>
      </w:r>
    </w:p>
    <w:p>
      <w:pPr>
        <w:pStyle w:val="258"/>
        <w:ind w:firstLine="420"/>
        <w:rPr>
          <w:color w:val="000000" w:themeColor="text1"/>
          <w14:textFill>
            <w14:solidFill>
              <w14:schemeClr w14:val="tx1"/>
            </w14:solidFill>
          </w14:textFill>
        </w:rPr>
      </w:pPr>
    </w:p>
    <w:p>
      <w:pPr>
        <w:pStyle w:val="258"/>
        <w:ind w:firstLine="420"/>
        <w:rPr>
          <w:color w:val="000000" w:themeColor="text1"/>
          <w14:textFill>
            <w14:solidFill>
              <w14:schemeClr w14:val="tx1"/>
            </w14:solidFill>
          </w14:textFill>
        </w:rPr>
        <w:sectPr>
          <w:headerReference r:id="rId3" w:type="default"/>
          <w:footerReference r:id="rId5" w:type="default"/>
          <w:headerReference r:id="rId4" w:type="even"/>
          <w:footerReference r:id="rId6" w:type="even"/>
          <w:pgSz w:w="11907" w:h="16839"/>
          <w:pgMar w:top="284" w:right="851" w:bottom="1134" w:left="1418" w:header="284" w:footer="1134" w:gutter="0"/>
          <w:pgNumType w:fmt="upperRoman" w:start="1"/>
          <w:cols w:space="425" w:num="1"/>
          <w:titlePg/>
          <w:docGrid w:linePitch="312" w:charSpace="0"/>
        </w:sectPr>
      </w:pPr>
      <w:r>
        <w:rPr>
          <w:color w:val="000000" w:themeColor="text1"/>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page">
                  <wp:posOffset>1798320</wp:posOffset>
                </wp:positionH>
                <wp:positionV relativeFrom="page">
                  <wp:posOffset>9738995</wp:posOffset>
                </wp:positionV>
                <wp:extent cx="3399155" cy="337185"/>
                <wp:effectExtent l="0" t="0" r="0" b="6350"/>
                <wp:wrapNone/>
                <wp:docPr id="10" name="首页自画框图11"/>
                <wp:cNvGraphicFramePr/>
                <a:graphic xmlns:a="http://schemas.openxmlformats.org/drawingml/2006/main">
                  <a:graphicData uri="http://schemas.microsoft.com/office/word/2010/wordprocessingShape">
                    <wps:wsp>
                      <wps:cNvSpPr txBox="1"/>
                      <wps:spPr>
                        <a:xfrm>
                          <a:off x="0" y="0"/>
                          <a:ext cx="3398921" cy="33688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505"/>
                              <w:jc w:val="distribute"/>
                              <w:rPr>
                                <w:rFonts w:hint="default"/>
                              </w:rPr>
                            </w:pPr>
                            <w:r>
                              <w:t>深圳市深圳标准促进会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41.6pt;margin-top:766.85pt;height:26.55pt;width:267.65pt;mso-position-horizontal-relative:page;mso-position-vertical-relative:page;z-index:251668480;mso-width-relative:page;mso-height-relative:page;" fillcolor="#FFFFFF [3201]" filled="t" stroked="f" coordsize="21600,21600" o:gfxdata="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kd2a/Y&#10;AAAADQEAAA8AAAAAAAAAAQAgAAAAIgAAAGRycy9kb3ducmV2LnhtbFBLAQIUABQAAAAIAIdO4kAR&#10;0W/0WQIAAIkEAAAOAAAAAAAAAAEAIAAAACcBAABkcnMvZTJvRG9jLnhtbFBLBQYAAAAABgAGAFkB&#10;AADyBQAAAAA=&#10;">
                <v:fill on="t" focussize="0,0"/>
                <v:stroke on="f" weight="0.5pt"/>
                <v:imagedata o:title=""/>
                <o:lock v:ext="edit" aspectratio="f"/>
                <v:textbox inset="0mm,0mm,0mm,0mm">
                  <w:txbxContent>
                    <w:p>
                      <w:pPr>
                        <w:pStyle w:val="505"/>
                        <w:jc w:val="distribute"/>
                        <w:rPr>
                          <w:rFonts w:hint="default"/>
                        </w:rPr>
                      </w:pPr>
                      <w:r>
                        <w:t>深圳市深圳标准促进会</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page">
                  <wp:posOffset>5130800</wp:posOffset>
                </wp:positionH>
                <wp:positionV relativeFrom="page">
                  <wp:posOffset>9763760</wp:posOffset>
                </wp:positionV>
                <wp:extent cx="810895" cy="184150"/>
                <wp:effectExtent l="0" t="0" r="8255" b="6350"/>
                <wp:wrapNone/>
                <wp:docPr id="11" name="首页自画框图12"/>
                <wp:cNvGraphicFramePr/>
                <a:graphic xmlns:a="http://schemas.openxmlformats.org/drawingml/2006/main">
                  <a:graphicData uri="http://schemas.microsoft.com/office/word/2010/wordprocessingShape">
                    <wps:wsp>
                      <wps:cNvSpPr txBox="1"/>
                      <wps:spPr>
                        <a:xfrm>
                          <a:off x="0" y="0"/>
                          <a:ext cx="1422400" cy="184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504"/>
                            </w:pPr>
                            <w:r>
                              <w:rPr>
                                <w:rFonts w:hint="eastAsia"/>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404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UlmLNwA&#10;AAANAQAADwAAAAAAAAABACAAAAAiAAAAZHJzL2Rvd25yZXYueG1sUEsBAhQAFAAAAAgAh07iQCXG&#10;GH5UAgAAhwQAAA4AAAAAAAAAAQAgAAAAKwEAAGRycy9lMm9Eb2MueG1sUEsFBgAAAAAGAAYAWQEA&#10;APEFAAAAAA==&#10;">
                <v:fill on="t" focussize="0,0"/>
                <v:stroke on="f" weight="0.5pt"/>
                <v:imagedata o:title=""/>
                <o:lock v:ext="edit" aspectratio="f"/>
                <v:textbox inset="0mm,0mm,0mm,0mm">
                  <w:txbxContent>
                    <w:p>
                      <w:pPr>
                        <w:pStyle w:val="504"/>
                      </w:pPr>
                      <w:r>
                        <w:rPr>
                          <w:rFonts w:hint="eastAsia"/>
                        </w:rPr>
                        <w:t>发 布</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9"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M0a&#10;bNcAAAAMAQAADwAAAAAAAAABACAAAAAiAAAAZHJzL2Rvd25yZXYueG1sUEsBAhQAFAAAAAgAh07i&#10;QNisaJvqAQAAtAMAAA4AAAAAAAAAAQAgAAAAJgEAAGRycy9lMm9Eb2MueG1sUEsFBgAAAAAGAAYA&#10;WQEAAIIFAAAAAA==&#10;">
                <v:fill on="f" focussize="0,0"/>
                <v:stroke weight="0.5pt" color="#000000 [3204]" miterlimit="8" joinstyle="miter"/>
                <v:imagedata o:title=""/>
                <o:lock v:ext="edit" aspectratio="f"/>
              </v:lin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7159625</wp:posOffset>
                </wp:positionV>
                <wp:extent cx="2880360" cy="360045"/>
                <wp:effectExtent l="0" t="0" r="15240" b="1905"/>
                <wp:wrapNone/>
                <wp:docPr id="8"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91"/>
                            </w:pPr>
                            <w:r>
                              <w:rPr>
                                <w:rFonts w:hint="eastAsia"/>
                              </w:rPr>
                              <w:t>2023—XX—XX实施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255.1pt;margin-top:563.75pt;height:28.35pt;width:226.8pt;z-index:251666432;mso-width-relative:page;mso-height-relative:page;" fillcolor="#FFFFFF [3201]" filled="t" stroked="f" coordsize="21600,21600" o:gfxdata="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00yncAAAADQEAAA8AAAAAAAAAAQAgAAAAIgAAAGRycy9kb3ducmV2LnhtbFBLAQIUABQAAAAI&#10;AIdO4kDQ/Te0WwIAAIsEAAAOAAAAAAAAAAEAIAAAACsBAABkcnMvZTJvRG9jLnhtbFBLBQYAAAAA&#10;BgAGAFkBAAD4BQAAAAA=&#10;">
                <v:fill on="t" focussize="0,0"/>
                <v:stroke on="f" weight="0.5pt"/>
                <v:imagedata o:title=""/>
                <o:lock v:ext="edit" aspectratio="f"/>
                <v:textbox inset="0mm,0mm,2.54mm,0mm">
                  <w:txbxContent>
                    <w:p>
                      <w:pPr>
                        <w:pStyle w:val="291"/>
                      </w:pPr>
                      <w:r>
                        <w:rPr>
                          <w:rFonts w:hint="eastAsia"/>
                        </w:rPr>
                        <w:t>2023—XX—XX实施</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7159625</wp:posOffset>
                </wp:positionV>
                <wp:extent cx="2880360" cy="360045"/>
                <wp:effectExtent l="0" t="0" r="15240" b="1905"/>
                <wp:wrapNone/>
                <wp:docPr id="7"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4"/>
                            </w:pPr>
                            <w:r>
                              <w:rPr>
                                <w:rFonts w:hint="eastAsia"/>
                              </w:rPr>
                              <w:t>2023—XX—XX发布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0pt;margin-top:563.75pt;height:28.35pt;width:226.8pt;z-index:251665408;mso-width-relative:page;mso-height-relative:page;" fillcolor="#FFFFFF [3201]" filled="t" stroked="f" coordsize="21600,21600" o:gfxdata="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8FpZztoAAAAKAQAADwAAAAAAAAABACAAAAAiAAAAZHJzL2Rvd25yZXYueG1sUEsBAhQAFAAAAAgA&#10;h07iQMx2GBtcAgAAiwQAAA4AAAAAAAAAAQAgAAAAKQEAAGRycy9lMm9Eb2MueG1sUEsFBgAAAAAG&#10;AAYAWQEAAPcFAAAAAA==&#10;">
                <v:fill on="t" focussize="0,0"/>
                <v:stroke on="f" weight="0.5pt"/>
                <v:imagedata o:title=""/>
                <o:lock v:ext="edit" aspectratio="f"/>
                <v:textbox inset="0mm,0mm,2.54mm,0mm">
                  <w:txbxContent>
                    <w:p>
                      <w:pPr>
                        <w:pStyle w:val="264"/>
                      </w:pPr>
                      <w:r>
                        <w:rPr>
                          <w:rFonts w:hint="eastAsia"/>
                        </w:rPr>
                        <w:t>2023—XX—XX发布</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8"/>
                            </w:pPr>
                            <w:r>
                              <w:rPr>
                                <w:rFonts w:hint="eastAsia"/>
                                <w:lang w:val="en-US" w:eastAsia="zh-CN"/>
                              </w:rPr>
                              <w:t>土地</w:t>
                            </w:r>
                            <w:r>
                              <w:rPr>
                                <w:rFonts w:hint="eastAsia"/>
                              </w:rPr>
                              <w:t>剩余法整体估价技术指引</w:t>
                            </w:r>
                          </w:p>
                          <w:p>
                            <w:pPr>
                              <w:pStyle w:val="271"/>
                            </w:pPr>
                            <w:r>
                              <w:t xml:space="preserve">Technical Guidelines for </w:t>
                            </w:r>
                            <w:r>
                              <w:rPr>
                                <w:rFonts w:hint="eastAsia"/>
                              </w:rPr>
                              <w:t>Mass</w:t>
                            </w:r>
                            <w:r>
                              <w:t xml:space="preserve"> </w:t>
                            </w:r>
                            <w:r>
                              <w:rPr>
                                <w:rFonts w:hint="eastAsia"/>
                              </w:rPr>
                              <w:t>Appraisal</w:t>
                            </w:r>
                            <w:r>
                              <w:rPr>
                                <w:rFonts w:hint="eastAsia"/>
                                <w:lang w:val="en-US" w:eastAsia="zh-CN"/>
                              </w:rPr>
                              <w:t xml:space="preserve"> </w:t>
                            </w:r>
                            <w:r>
                              <w:rPr>
                                <w:rFonts w:hint="eastAsia"/>
                              </w:rPr>
                              <w:t xml:space="preserve">of </w:t>
                            </w:r>
                            <w:r>
                              <w:rPr>
                                <w:rFonts w:hint="eastAsia"/>
                                <w:lang w:val="en-US" w:eastAsia="zh-CN"/>
                              </w:rPr>
                              <w:t>L</w:t>
                            </w:r>
                            <w:r>
                              <w:rPr>
                                <w:rFonts w:hint="eastAsia"/>
                              </w:rPr>
                              <w:t>and</w:t>
                            </w:r>
                            <w:r>
                              <w:t xml:space="preserve"> Residual Method</w:t>
                            </w:r>
                          </w:p>
                          <w:p>
                            <w:pPr>
                              <w:pStyle w:val="272"/>
                            </w:pPr>
                          </w:p>
                          <w:p>
                            <w:pPr>
                              <w:pStyle w:val="272"/>
                            </w:pPr>
                            <w:r>
                              <w:rPr>
                                <w:rFonts w:hint="eastAsia"/>
                              </w:rPr>
                              <w:t>（征求意见稿）</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0pt;margin-top:189.5pt;height:340.2pt;width:481.95pt;z-index:251664384;mso-width-relative:page;mso-height-relative:page;" fillcolor="#FFFFFF [3201]" filled="t" stroked="f" coordsize="21600,21600" o:gfxdata="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2k7NkAAAAJAQAADwAAAAAAAAABACAAAAAiAAAAZHJzL2Rvd25yZXYueG1sUEsBAhQAFAAA&#10;AAgAh07iQMB/EDFgAgAAjAQAAA4AAAAAAAAAAQAgAAAAKAEAAGRycy9lMm9Eb2MueG1sUEsFBgAA&#10;AAAGAAYAWQEAAPoFAAAAAA==&#10;">
                <v:fill on="t" focussize="0,0"/>
                <v:stroke on="f" weight="0.5pt"/>
                <v:imagedata o:title=""/>
                <o:lock v:ext="edit" aspectratio="f"/>
                <v:textbox inset="0mm,0mm,2.54mm,0mm">
                  <w:txbxContent>
                    <w:p>
                      <w:pPr>
                        <w:pStyle w:val="268"/>
                      </w:pPr>
                      <w:r>
                        <w:rPr>
                          <w:rFonts w:hint="eastAsia"/>
                          <w:lang w:val="en-US" w:eastAsia="zh-CN"/>
                        </w:rPr>
                        <w:t>土地</w:t>
                      </w:r>
                      <w:r>
                        <w:rPr>
                          <w:rFonts w:hint="eastAsia"/>
                        </w:rPr>
                        <w:t>剩余法整体估价技术指引</w:t>
                      </w:r>
                    </w:p>
                    <w:p>
                      <w:pPr>
                        <w:pStyle w:val="271"/>
                      </w:pPr>
                      <w:r>
                        <w:t xml:space="preserve">Technical Guidelines for </w:t>
                      </w:r>
                      <w:r>
                        <w:rPr>
                          <w:rFonts w:hint="eastAsia"/>
                        </w:rPr>
                        <w:t>Mass</w:t>
                      </w:r>
                      <w:r>
                        <w:t xml:space="preserve"> </w:t>
                      </w:r>
                      <w:r>
                        <w:rPr>
                          <w:rFonts w:hint="eastAsia"/>
                        </w:rPr>
                        <w:t>Appraisal</w:t>
                      </w:r>
                      <w:r>
                        <w:rPr>
                          <w:rFonts w:hint="eastAsia"/>
                          <w:lang w:val="en-US" w:eastAsia="zh-CN"/>
                        </w:rPr>
                        <w:t xml:space="preserve"> </w:t>
                      </w:r>
                      <w:r>
                        <w:rPr>
                          <w:rFonts w:hint="eastAsia"/>
                        </w:rPr>
                        <w:t xml:space="preserve">of </w:t>
                      </w:r>
                      <w:r>
                        <w:rPr>
                          <w:rFonts w:hint="eastAsia"/>
                          <w:lang w:val="en-US" w:eastAsia="zh-CN"/>
                        </w:rPr>
                        <w:t>L</w:t>
                      </w:r>
                      <w:r>
                        <w:rPr>
                          <w:rFonts w:hint="eastAsia"/>
                        </w:rPr>
                        <w:t>and</w:t>
                      </w:r>
                      <w:r>
                        <w:t xml:space="preserve"> Residual Method</w:t>
                      </w:r>
                    </w:p>
                    <w:p>
                      <w:pPr>
                        <w:pStyle w:val="272"/>
                      </w:pPr>
                    </w:p>
                    <w:p>
                      <w:pPr>
                        <w:pStyle w:val="272"/>
                      </w:pPr>
                      <w:r>
                        <w:rPr>
                          <w:rFonts w:hint="eastAsia"/>
                        </w:rPr>
                        <w:t>（征求意见稿）</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SLjpWuoBAACzAwAADgAAAAAAAAABACAAAAAlAQAAZHJzL2Uyb0RvYy54bWxQSwUGAAAAAAYABgBZ&#10;AQAAgQUAAAAA&#10;">
                <v:fill on="f" focussize="0,0"/>
                <v:stroke weight="0.5pt" color="#000000 [3204]" miterlimit="8" joinstyle="miter"/>
                <v:imagedata o:title=""/>
                <o:lock v:ext="edit" aspectratio="f"/>
              </v:line>
            </w:pict>
          </mc:Fallback>
        </mc:AlternateContent>
      </w:r>
      <w:r>
        <w:rPr>
          <w:rFonts w:hint="eastAsia"/>
          <w:color w:val="000000" w:themeColor="text1"/>
          <w14:textFill>
            <w14:solidFill>
              <w14:schemeClr w14:val="tx1"/>
            </w14:solidFill>
          </w14:textFill>
        </w:rPr>
        <w:t xml:space="preserve"> </w:t>
      </w:r>
    </w:p>
    <w:p>
      <w:pPr>
        <w:pStyle w:val="286"/>
        <w:outlineLvl w:val="0"/>
        <w:rPr>
          <w:color w:val="000000" w:themeColor="text1"/>
          <w14:textFill>
            <w14:solidFill>
              <w14:schemeClr w14:val="tx1"/>
            </w14:solidFill>
          </w14:textFill>
        </w:rPr>
      </w:pPr>
      <w:bookmarkStart w:id="0" w:name="标准目次"/>
      <w:bookmarkEnd w:id="0"/>
      <w:bookmarkStart w:id="1" w:name="_Toc128554148"/>
      <w:bookmarkStart w:id="2" w:name="_Toc21551"/>
      <w:r>
        <w:rPr>
          <w:rFonts w:hint="eastAsia"/>
          <w:color w:val="000000" w:themeColor="text1"/>
          <w14:textFill>
            <w14:solidFill>
              <w14:schemeClr w14:val="tx1"/>
            </w14:solidFill>
          </w14:textFill>
        </w:rPr>
        <w:t>目  次</w:t>
      </w:r>
      <w:bookmarkEnd w:id="1"/>
      <w:bookmarkEnd w:id="2"/>
    </w:p>
    <w:p>
      <w:pPr>
        <w:pStyle w:val="19"/>
        <w:tabs>
          <w:tab w:val="right" w:leader="dot" w:pos="9355"/>
        </w:tabs>
        <w:spacing w:before="60" w:after="60"/>
        <w:rPr>
          <w:rFonts w:hAnsi="宋体" w:cs="宋体"/>
          <w:szCs w:val="21"/>
        </w:rPr>
      </w:pP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TOC \o "1-7" \h \u </w:instrText>
      </w:r>
      <w:r>
        <w:rPr>
          <w:rFonts w:hint="eastAsia" w:hAnsi="宋体" w:cs="宋体"/>
          <w:color w:val="000000" w:themeColor="text1"/>
          <w14:textFill>
            <w14:solidFill>
              <w14:schemeClr w14:val="tx1"/>
            </w14:solidFill>
          </w14:textFill>
        </w:rPr>
        <w:fldChar w:fldCharType="separate"/>
      </w:r>
      <w:r>
        <w:fldChar w:fldCharType="begin"/>
      </w:r>
      <w:r>
        <w:instrText xml:space="preserve"> HYPERLINK \l "_Toc21551" </w:instrText>
      </w:r>
      <w:r>
        <w:fldChar w:fldCharType="separate"/>
      </w:r>
      <w:r>
        <w:rPr>
          <w:rFonts w:hint="eastAsia" w:hAnsi="宋体" w:cs="宋体"/>
          <w:szCs w:val="21"/>
        </w:rPr>
        <w:t>目  次</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_Toc21551 \h </w:instrText>
      </w:r>
      <w:r>
        <w:rPr>
          <w:rFonts w:hint="eastAsia" w:hAnsi="宋体" w:cs="宋体"/>
          <w:szCs w:val="21"/>
        </w:rPr>
        <w:fldChar w:fldCharType="separate"/>
      </w:r>
      <w:r>
        <w:rPr>
          <w:rFonts w:hint="eastAsia" w:hAnsi="宋体" w:cs="宋体"/>
          <w:szCs w:val="21"/>
        </w:rPr>
        <w:t>I</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Ansi="宋体" w:cs="宋体"/>
          <w:szCs w:val="21"/>
        </w:rPr>
      </w:pPr>
      <w:r>
        <w:fldChar w:fldCharType="begin"/>
      </w:r>
      <w:r>
        <w:instrText xml:space="preserve"> HYPERLINK \l "_Toc31703" </w:instrText>
      </w:r>
      <w:r>
        <w:fldChar w:fldCharType="separate"/>
      </w:r>
      <w:r>
        <w:rPr>
          <w:rFonts w:hint="eastAsia" w:hAnsi="宋体" w:cs="宋体"/>
          <w:szCs w:val="21"/>
        </w:rPr>
        <w:t>前  言</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_Toc31703 \h </w:instrText>
      </w:r>
      <w:r>
        <w:rPr>
          <w:rFonts w:hint="eastAsia" w:hAnsi="宋体" w:cs="宋体"/>
          <w:szCs w:val="21"/>
        </w:rPr>
        <w:fldChar w:fldCharType="separate"/>
      </w:r>
      <w:r>
        <w:rPr>
          <w:rFonts w:hint="eastAsia" w:hAnsi="宋体" w:cs="宋体"/>
          <w:szCs w:val="21"/>
        </w:rPr>
        <w:t>II</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Ansi="宋体" w:cs="宋体"/>
          <w:szCs w:val="21"/>
        </w:rPr>
      </w:pPr>
      <w:r>
        <w:fldChar w:fldCharType="begin"/>
      </w:r>
      <w:r>
        <w:instrText xml:space="preserve"> HYPERLINK \l "_Toc16954" </w:instrText>
      </w:r>
      <w:r>
        <w:fldChar w:fldCharType="separate"/>
      </w:r>
      <w:r>
        <w:rPr>
          <w:rFonts w:hint="eastAsia" w:hAnsi="宋体" w:cs="宋体"/>
          <w:szCs w:val="21"/>
        </w:rPr>
        <w:t xml:space="preserve">1 </w:t>
      </w:r>
      <w:r>
        <w:rPr>
          <w:rFonts w:hAnsi="宋体" w:cs="宋体"/>
          <w:szCs w:val="21"/>
        </w:rPr>
        <w:t xml:space="preserve"> </w:t>
      </w:r>
      <w:r>
        <w:rPr>
          <w:rFonts w:hint="eastAsia" w:hAnsi="宋体" w:cs="宋体"/>
          <w:szCs w:val="21"/>
        </w:rPr>
        <w:t>范围</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_Toc16954 \h </w:instrText>
      </w:r>
      <w:r>
        <w:rPr>
          <w:rFonts w:hint="eastAsia" w:hAnsi="宋体" w:cs="宋体"/>
          <w:szCs w:val="21"/>
        </w:rPr>
        <w:fldChar w:fldCharType="separate"/>
      </w:r>
      <w:r>
        <w:rPr>
          <w:rFonts w:hint="eastAsia" w:hAnsi="宋体" w:cs="宋体"/>
          <w:szCs w:val="21"/>
        </w:rPr>
        <w:t>1</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Ansi="宋体" w:cs="宋体"/>
          <w:szCs w:val="21"/>
        </w:rPr>
      </w:pPr>
      <w:r>
        <w:fldChar w:fldCharType="begin"/>
      </w:r>
      <w:r>
        <w:instrText xml:space="preserve"> HYPERLINK \l "_Toc8623" </w:instrText>
      </w:r>
      <w:r>
        <w:fldChar w:fldCharType="separate"/>
      </w:r>
      <w:r>
        <w:rPr>
          <w:rFonts w:hint="eastAsia" w:hAnsi="宋体" w:cs="宋体"/>
          <w:szCs w:val="21"/>
        </w:rPr>
        <w:t xml:space="preserve">2 </w:t>
      </w:r>
      <w:r>
        <w:rPr>
          <w:rFonts w:hAnsi="宋体" w:cs="宋体"/>
          <w:szCs w:val="21"/>
        </w:rPr>
        <w:t xml:space="preserve"> </w:t>
      </w:r>
      <w:r>
        <w:rPr>
          <w:rFonts w:hint="eastAsia" w:hAnsi="宋体" w:cs="宋体"/>
          <w:szCs w:val="21"/>
        </w:rPr>
        <w:t>规范性引用文件</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_Toc8623 \h </w:instrText>
      </w:r>
      <w:r>
        <w:rPr>
          <w:rFonts w:hint="eastAsia" w:hAnsi="宋体" w:cs="宋体"/>
          <w:szCs w:val="21"/>
        </w:rPr>
        <w:fldChar w:fldCharType="separate"/>
      </w:r>
      <w:r>
        <w:rPr>
          <w:rFonts w:hint="eastAsia" w:hAnsi="宋体" w:cs="宋体"/>
          <w:szCs w:val="21"/>
        </w:rPr>
        <w:t>1</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Ansi="宋体" w:cs="宋体"/>
          <w:szCs w:val="21"/>
        </w:rPr>
      </w:pPr>
      <w:r>
        <w:fldChar w:fldCharType="begin"/>
      </w:r>
      <w:r>
        <w:instrText xml:space="preserve"> HYPERLINK \l "_Toc27489" </w:instrText>
      </w:r>
      <w:r>
        <w:fldChar w:fldCharType="separate"/>
      </w:r>
      <w:r>
        <w:rPr>
          <w:rFonts w:hint="eastAsia" w:hAnsi="宋体" w:cs="宋体"/>
          <w:szCs w:val="21"/>
        </w:rPr>
        <w:t xml:space="preserve">3 </w:t>
      </w:r>
      <w:r>
        <w:rPr>
          <w:rFonts w:hAnsi="宋体" w:cs="宋体"/>
          <w:szCs w:val="21"/>
        </w:rPr>
        <w:t xml:space="preserve"> </w:t>
      </w:r>
      <w:r>
        <w:rPr>
          <w:rFonts w:hint="eastAsia" w:hAnsi="宋体" w:cs="宋体"/>
          <w:szCs w:val="21"/>
        </w:rPr>
        <w:t>术语和定义</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_Toc27489 \h </w:instrText>
      </w:r>
      <w:r>
        <w:rPr>
          <w:rFonts w:hint="eastAsia" w:hAnsi="宋体" w:cs="宋体"/>
          <w:szCs w:val="21"/>
        </w:rPr>
        <w:fldChar w:fldCharType="separate"/>
      </w:r>
      <w:r>
        <w:rPr>
          <w:rFonts w:hint="eastAsia" w:hAnsi="宋体" w:cs="宋体"/>
          <w:szCs w:val="21"/>
        </w:rPr>
        <w:t>1</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int="eastAsia" w:hAnsi="宋体" w:cs="宋体"/>
          <w:szCs w:val="21"/>
        </w:rPr>
      </w:pPr>
      <w:r>
        <w:fldChar w:fldCharType="begin"/>
      </w:r>
      <w:r>
        <w:instrText xml:space="preserve"> HYPERLINK \l "_Toc32070" </w:instrText>
      </w:r>
      <w:r>
        <w:fldChar w:fldCharType="separate"/>
      </w:r>
      <w:r>
        <w:rPr>
          <w:rFonts w:hint="eastAsia" w:hAnsi="宋体" w:cs="宋体"/>
          <w:szCs w:val="21"/>
        </w:rPr>
        <w:t xml:space="preserve">4 </w:t>
      </w:r>
      <w:r>
        <w:rPr>
          <w:rFonts w:hAnsi="宋体" w:cs="宋体"/>
          <w:szCs w:val="21"/>
        </w:rPr>
        <w:t xml:space="preserve"> </w:t>
      </w:r>
      <w:r>
        <w:rPr>
          <w:rFonts w:hint="eastAsia" w:hAnsi="宋体" w:cs="宋体"/>
          <w:szCs w:val="21"/>
        </w:rPr>
        <w:t>总则</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_Toc32070 \h </w:instrText>
      </w:r>
      <w:r>
        <w:rPr>
          <w:rFonts w:hint="eastAsia" w:hAnsi="宋体" w:cs="宋体"/>
          <w:szCs w:val="21"/>
        </w:rPr>
        <w:fldChar w:fldCharType="separate"/>
      </w:r>
      <w:r>
        <w:rPr>
          <w:rFonts w:hint="eastAsia" w:hAnsi="宋体" w:cs="宋体"/>
          <w:szCs w:val="21"/>
        </w:rPr>
        <w:t>2</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Ansi="宋体" w:cs="宋体"/>
          <w:szCs w:val="21"/>
        </w:rPr>
      </w:pPr>
      <w:r>
        <w:fldChar w:fldCharType="begin"/>
      </w:r>
      <w:r>
        <w:instrText xml:space="preserve"> HYPERLINK \l "_Toc22003" </w:instrText>
      </w:r>
      <w:r>
        <w:fldChar w:fldCharType="separate"/>
      </w:r>
      <w:r>
        <w:rPr>
          <w:rFonts w:hint="eastAsia" w:hAnsi="宋体" w:cs="宋体"/>
          <w:szCs w:val="21"/>
        </w:rPr>
        <w:t xml:space="preserve">5 </w:t>
      </w:r>
      <w:r>
        <w:rPr>
          <w:rFonts w:hAnsi="宋体" w:cs="宋体"/>
          <w:szCs w:val="21"/>
        </w:rPr>
        <w:t xml:space="preserve"> </w:t>
      </w:r>
      <w:r>
        <w:rPr>
          <w:rFonts w:hint="eastAsia" w:hAnsi="宋体" w:cs="宋体"/>
          <w:szCs w:val="21"/>
        </w:rPr>
        <w:t>评估范围确定</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_Toc22003 \h </w:instrText>
      </w:r>
      <w:r>
        <w:rPr>
          <w:rFonts w:hint="eastAsia" w:hAnsi="宋体" w:cs="宋体"/>
          <w:szCs w:val="21"/>
        </w:rPr>
        <w:fldChar w:fldCharType="separate"/>
      </w:r>
      <w:r>
        <w:rPr>
          <w:rFonts w:hint="eastAsia" w:hAnsi="宋体" w:cs="宋体"/>
          <w:szCs w:val="21"/>
        </w:rPr>
        <w:t>3</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int="eastAsia" w:hAnsi="宋体" w:cs="宋体"/>
          <w:szCs w:val="21"/>
        </w:rPr>
      </w:pPr>
      <w:r>
        <w:fldChar w:fldCharType="begin"/>
      </w:r>
      <w:r>
        <w:instrText xml:space="preserve"> HYPERLINK \l "_Toc12712" </w:instrText>
      </w:r>
      <w:r>
        <w:fldChar w:fldCharType="separate"/>
      </w:r>
      <w:r>
        <w:rPr>
          <w:rFonts w:hint="eastAsia" w:hAnsi="宋体" w:cs="宋体"/>
          <w:szCs w:val="21"/>
        </w:rPr>
        <w:t xml:space="preserve">6 </w:t>
      </w:r>
      <w:r>
        <w:rPr>
          <w:rFonts w:hAnsi="宋体" w:cs="宋体"/>
          <w:szCs w:val="21"/>
        </w:rPr>
        <w:t xml:space="preserve"> </w:t>
      </w:r>
      <w:r>
        <w:rPr>
          <w:rFonts w:hint="eastAsia" w:hAnsi="宋体" w:cs="宋体"/>
          <w:szCs w:val="21"/>
        </w:rPr>
        <w:t>剩余法样本宗地设立</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_Toc12712 \h </w:instrText>
      </w:r>
      <w:r>
        <w:rPr>
          <w:rFonts w:hint="eastAsia" w:hAnsi="宋体" w:cs="宋体"/>
          <w:szCs w:val="21"/>
        </w:rPr>
        <w:fldChar w:fldCharType="separate"/>
      </w:r>
      <w:r>
        <w:rPr>
          <w:rFonts w:hint="eastAsia" w:hAnsi="宋体" w:cs="宋体"/>
          <w:szCs w:val="21"/>
        </w:rPr>
        <w:t>3</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int="eastAsia" w:hAnsi="宋体" w:cs="宋体"/>
          <w:szCs w:val="21"/>
        </w:rPr>
      </w:pPr>
      <w:r>
        <w:fldChar w:fldCharType="begin"/>
      </w:r>
      <w:r>
        <w:instrText xml:space="preserve"> HYPERLINK \l "_Toc28838" </w:instrText>
      </w:r>
      <w:r>
        <w:fldChar w:fldCharType="separate"/>
      </w:r>
      <w:r>
        <w:rPr>
          <w:rFonts w:hint="eastAsia" w:hAnsi="宋体" w:cs="宋体"/>
          <w:szCs w:val="21"/>
        </w:rPr>
        <w:t xml:space="preserve">7 </w:t>
      </w:r>
      <w:r>
        <w:rPr>
          <w:rFonts w:hAnsi="宋体" w:cs="宋体"/>
          <w:szCs w:val="21"/>
        </w:rPr>
        <w:t xml:space="preserve"> </w:t>
      </w:r>
      <w:r>
        <w:rPr>
          <w:rFonts w:hint="eastAsia" w:hAnsi="宋体" w:cs="宋体"/>
          <w:szCs w:val="21"/>
        </w:rPr>
        <w:t>剩余法样本宗地价格评估</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_Toc28838 \h </w:instrText>
      </w:r>
      <w:r>
        <w:rPr>
          <w:rFonts w:hint="eastAsia" w:hAnsi="宋体" w:cs="宋体"/>
          <w:szCs w:val="21"/>
        </w:rPr>
        <w:fldChar w:fldCharType="separate"/>
      </w:r>
      <w:r>
        <w:rPr>
          <w:rFonts w:hint="eastAsia" w:hAnsi="宋体" w:cs="宋体"/>
          <w:szCs w:val="21"/>
        </w:rPr>
        <w:t>4</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rPr>
          <w:rFonts w:hAnsi="宋体" w:cs="宋体"/>
          <w:szCs w:val="21"/>
        </w:rPr>
      </w:pPr>
      <w:r>
        <w:fldChar w:fldCharType="begin"/>
      </w:r>
      <w:r>
        <w:instrText xml:space="preserve"> HYPERLINK \l "_Toc29803" </w:instrText>
      </w:r>
      <w:r>
        <w:fldChar w:fldCharType="separate"/>
      </w:r>
      <w:r>
        <w:rPr>
          <w:rFonts w:hint="eastAsia" w:hAnsi="宋体" w:cs="宋体"/>
          <w:szCs w:val="21"/>
        </w:rPr>
        <w:t xml:space="preserve">8 </w:t>
      </w:r>
      <w:r>
        <w:rPr>
          <w:rFonts w:hAnsi="宋体" w:cs="宋体"/>
          <w:szCs w:val="21"/>
        </w:rPr>
        <w:t xml:space="preserve"> </w:t>
      </w:r>
      <w:r>
        <w:rPr>
          <w:rFonts w:hint="eastAsia" w:hAnsi="宋体" w:cs="宋体"/>
          <w:szCs w:val="21"/>
        </w:rPr>
        <w:t>剩余法整体地价评估</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_Toc29803 \h </w:instrText>
      </w:r>
      <w:r>
        <w:rPr>
          <w:rFonts w:hint="eastAsia" w:hAnsi="宋体" w:cs="宋体"/>
          <w:szCs w:val="21"/>
        </w:rPr>
        <w:fldChar w:fldCharType="separate"/>
      </w:r>
      <w:r>
        <w:rPr>
          <w:rFonts w:hint="eastAsia" w:hAnsi="宋体" w:cs="宋体"/>
          <w:szCs w:val="21"/>
        </w:rPr>
        <w:t>7</w:t>
      </w:r>
      <w:r>
        <w:rPr>
          <w:rFonts w:hint="eastAsia" w:hAnsi="宋体" w:cs="宋体"/>
          <w:szCs w:val="21"/>
        </w:rPr>
        <w:fldChar w:fldCharType="end"/>
      </w:r>
      <w:r>
        <w:rPr>
          <w:rFonts w:hint="eastAsia" w:hAnsi="宋体" w:cs="宋体"/>
          <w:szCs w:val="21"/>
        </w:rPr>
        <w:fldChar w:fldCharType="end"/>
      </w:r>
    </w:p>
    <w:p>
      <w:pPr>
        <w:pStyle w:val="19"/>
        <w:tabs>
          <w:tab w:val="right" w:leader="dot" w:pos="9355"/>
        </w:tabs>
        <w:spacing w:before="60" w:after="60"/>
      </w:pPr>
      <w:r>
        <w:fldChar w:fldCharType="begin"/>
      </w:r>
      <w:r>
        <w:instrText xml:space="preserve"> HYPERLINK \l "_Toc15998" </w:instrText>
      </w:r>
      <w:r>
        <w:fldChar w:fldCharType="separate"/>
      </w:r>
      <w:r>
        <w:rPr>
          <w:rFonts w:hint="eastAsia" w:hAnsi="宋体" w:cs="宋体"/>
          <w:szCs w:val="21"/>
        </w:rPr>
        <w:t>附录A  （资料性附录） 深圳市建设工程技术经济指标及指标说明</w:t>
      </w:r>
      <w:r>
        <w:rPr>
          <w:rFonts w:hint="eastAsia" w:hAnsi="宋体" w:cs="宋体"/>
          <w:szCs w:val="21"/>
        </w:rPr>
        <w:tab/>
      </w:r>
      <w:r>
        <w:rPr>
          <w:rFonts w:hint="eastAsia" w:hAnsi="宋体" w:cs="宋体"/>
          <w:szCs w:val="21"/>
        </w:rPr>
        <w:fldChar w:fldCharType="begin"/>
      </w:r>
      <w:r>
        <w:rPr>
          <w:rFonts w:hint="eastAsia" w:hAnsi="宋体" w:cs="宋体"/>
          <w:szCs w:val="21"/>
        </w:rPr>
        <w:instrText xml:space="preserve"> PAGEREF _Toc15998 \h </w:instrText>
      </w:r>
      <w:r>
        <w:rPr>
          <w:rFonts w:hint="eastAsia" w:hAnsi="宋体" w:cs="宋体"/>
          <w:szCs w:val="21"/>
        </w:rPr>
        <w:fldChar w:fldCharType="separate"/>
      </w:r>
      <w:r>
        <w:rPr>
          <w:rFonts w:hint="eastAsia" w:hAnsi="宋体" w:cs="宋体"/>
          <w:szCs w:val="21"/>
        </w:rPr>
        <w:t>8</w:t>
      </w:r>
      <w:r>
        <w:rPr>
          <w:rFonts w:hint="eastAsia" w:hAnsi="宋体" w:cs="宋体"/>
          <w:szCs w:val="21"/>
        </w:rPr>
        <w:fldChar w:fldCharType="end"/>
      </w:r>
      <w:r>
        <w:rPr>
          <w:rFonts w:hint="eastAsia" w:hAnsi="宋体" w:cs="宋体"/>
          <w:szCs w:val="21"/>
        </w:rPr>
        <w:fldChar w:fldCharType="end"/>
      </w:r>
    </w:p>
    <w:p>
      <w:pPr>
        <w:pStyle w:val="258"/>
        <w:ind w:firstLine="42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fldChar w:fldCharType="end"/>
      </w:r>
    </w:p>
    <w:p>
      <w:pPr>
        <w:pStyle w:val="258"/>
        <w:ind w:firstLine="420"/>
        <w:rPr>
          <w:rFonts w:hAnsi="宋体" w:cs="宋体"/>
          <w:color w:val="000000" w:themeColor="text1"/>
          <w14:textFill>
            <w14:solidFill>
              <w14:schemeClr w14:val="tx1"/>
            </w14:solidFill>
          </w14:textFill>
        </w:rPr>
      </w:pPr>
    </w:p>
    <w:p>
      <w:pPr>
        <w:pStyle w:val="258"/>
        <w:ind w:firstLine="420"/>
        <w:rPr>
          <w:rFonts w:hAnsi="宋体" w:cs="宋体"/>
          <w:color w:val="000000" w:themeColor="text1"/>
          <w14:textFill>
            <w14:solidFill>
              <w14:schemeClr w14:val="tx1"/>
            </w14:solidFill>
          </w14:textFill>
        </w:rPr>
      </w:pPr>
    </w:p>
    <w:p>
      <w:pPr>
        <w:pStyle w:val="258"/>
        <w:ind w:firstLine="420"/>
        <w:rPr>
          <w:rFonts w:hAnsi="宋体" w:cs="宋体"/>
          <w:color w:val="000000" w:themeColor="text1"/>
          <w14:textFill>
            <w14:solidFill>
              <w14:schemeClr w14:val="tx1"/>
            </w14:solidFill>
          </w14:textFill>
        </w:rPr>
      </w:pPr>
    </w:p>
    <w:p>
      <w:pPr>
        <w:pStyle w:val="258"/>
        <w:ind w:firstLine="420"/>
        <w:rPr>
          <w:rFonts w:hAnsi="宋体" w:cs="宋体"/>
          <w:color w:val="000000" w:themeColor="text1"/>
          <w14:textFill>
            <w14:solidFill>
              <w14:schemeClr w14:val="tx1"/>
            </w14:solidFill>
          </w14:textFill>
        </w:rPr>
      </w:pPr>
    </w:p>
    <w:p>
      <w:pPr>
        <w:pStyle w:val="258"/>
        <w:ind w:firstLine="420"/>
        <w:rPr>
          <w:color w:val="000000" w:themeColor="text1"/>
          <w14:textFill>
            <w14:solidFill>
              <w14:schemeClr w14:val="tx1"/>
            </w14:solidFill>
          </w14:textFill>
        </w:rPr>
        <w:sectPr>
          <w:headerReference r:id="rId8" w:type="first"/>
          <w:footerReference r:id="rId10" w:type="first"/>
          <w:headerReference r:id="rId7" w:type="default"/>
          <w:footerReference r:id="rId9" w:type="default"/>
          <w:pgSz w:w="11907" w:h="16839"/>
          <w:pgMar w:top="1418" w:right="1134" w:bottom="1134" w:left="1418" w:header="1418" w:footer="1134" w:gutter="0"/>
          <w:pgNumType w:fmt="upperRoman" w:start="1"/>
          <w:cols w:space="425" w:num="1"/>
          <w:docGrid w:linePitch="312" w:charSpace="0"/>
        </w:sectPr>
      </w:pPr>
    </w:p>
    <w:p>
      <w:pPr>
        <w:pStyle w:val="256"/>
        <w:rPr>
          <w:color w:val="000000" w:themeColor="text1"/>
          <w14:textFill>
            <w14:solidFill>
              <w14:schemeClr w14:val="tx1"/>
            </w14:solidFill>
          </w14:textFill>
        </w:rPr>
      </w:pPr>
      <w:bookmarkStart w:id="3" w:name="标准前言"/>
      <w:bookmarkEnd w:id="3"/>
      <w:bookmarkStart w:id="4" w:name="_Toc31703"/>
      <w:r>
        <w:rPr>
          <w:rFonts w:hint="eastAsia"/>
          <w:color w:val="000000" w:themeColor="text1"/>
          <w14:textFill>
            <w14:solidFill>
              <w14:schemeClr w14:val="tx1"/>
            </w14:solidFill>
          </w14:textFill>
        </w:rPr>
        <w:t>前    言</w:t>
      </w:r>
      <w:bookmarkEnd w:id="4"/>
    </w:p>
    <w:p>
      <w:pPr>
        <w:pStyle w:val="258"/>
        <w:tabs>
          <w:tab w:val="center" w:pos="4201"/>
          <w:tab w:val="right" w:leader="dot" w:pos="9298"/>
        </w:tabs>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本文件按照GB/T 1.1—2020《标准化工作导则 第1部分：标准化文件的结构和起草规则》的规定起草。</w:t>
      </w:r>
    </w:p>
    <w:p>
      <w:pPr>
        <w:pStyle w:val="258"/>
        <w:ind w:firstLine="42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本文件由深圳市自然资源和不动产评估发展研究中心提出。</w:t>
      </w:r>
    </w:p>
    <w:p>
      <w:pPr>
        <w:pStyle w:val="258"/>
        <w:tabs>
          <w:tab w:val="center" w:pos="4201"/>
          <w:tab w:val="right" w:leader="dot" w:pos="9298"/>
        </w:tabs>
        <w:ind w:firstLine="420"/>
        <w:rPr>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本文件由深圳市深圳标准促进会归口。</w:t>
      </w:r>
    </w:p>
    <w:p>
      <w:pPr>
        <w:pStyle w:val="258"/>
        <w:tabs>
          <w:tab w:val="center" w:pos="4201"/>
          <w:tab w:val="right" w:leader="dot" w:pos="9298"/>
        </w:tabs>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本文件起草单位：深圳市自然资源和不动产评估发展研究中心、X</w:t>
      </w:r>
      <w:r>
        <w:rPr>
          <w:color w:val="000000" w:themeColor="text1"/>
          <w14:textFill>
            <w14:solidFill>
              <w14:schemeClr w14:val="tx1"/>
            </w14:solidFill>
          </w14:textFill>
        </w:rPr>
        <w:t>XX</w:t>
      </w:r>
      <w:r>
        <w:rPr>
          <w:rFonts w:hint="eastAsia"/>
          <w:color w:val="000000" w:themeColor="text1"/>
          <w14:textFill>
            <w14:solidFill>
              <w14:schemeClr w14:val="tx1"/>
            </w14:solidFill>
          </w14:textFill>
        </w:rPr>
        <w:t>、X</w:t>
      </w:r>
      <w:r>
        <w:rPr>
          <w:color w:val="000000" w:themeColor="text1"/>
          <w14:textFill>
            <w14:solidFill>
              <w14:schemeClr w14:val="tx1"/>
            </w14:solidFill>
          </w14:textFill>
        </w:rPr>
        <w:t>XX</w:t>
      </w:r>
      <w:r>
        <w:rPr>
          <w:rFonts w:hint="eastAsia"/>
          <w:color w:val="000000" w:themeColor="text1"/>
          <w14:textFill>
            <w14:solidFill>
              <w14:schemeClr w14:val="tx1"/>
            </w14:solidFill>
          </w14:textFill>
        </w:rPr>
        <w:t>、深圳市标准技术研究院。</w:t>
      </w:r>
    </w:p>
    <w:p>
      <w:pPr>
        <w:pStyle w:val="258"/>
        <w:tabs>
          <w:tab w:val="center" w:pos="4201"/>
          <w:tab w:val="right" w:leader="dot" w:pos="9298"/>
        </w:tabs>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本文件主要起草人：X</w:t>
      </w:r>
      <w:r>
        <w:rPr>
          <w:color w:val="000000" w:themeColor="text1"/>
          <w14:textFill>
            <w14:solidFill>
              <w14:schemeClr w14:val="tx1"/>
            </w14:solidFill>
          </w14:textFill>
        </w:rPr>
        <w:t>XX</w:t>
      </w:r>
      <w:r>
        <w:rPr>
          <w:rFonts w:hint="eastAsia"/>
          <w:color w:val="000000" w:themeColor="text1"/>
          <w14:textFill>
            <w14:solidFill>
              <w14:schemeClr w14:val="tx1"/>
            </w14:solidFill>
          </w14:textFill>
        </w:rPr>
        <w:t>、X</w:t>
      </w:r>
      <w:r>
        <w:rPr>
          <w:color w:val="000000" w:themeColor="text1"/>
          <w14:textFill>
            <w14:solidFill>
              <w14:schemeClr w14:val="tx1"/>
            </w14:solidFill>
          </w14:textFill>
        </w:rPr>
        <w:t>XX</w:t>
      </w:r>
      <w:r>
        <w:rPr>
          <w:rFonts w:hint="eastAsia"/>
          <w:color w:val="000000" w:themeColor="text1"/>
          <w14:textFill>
            <w14:solidFill>
              <w14:schemeClr w14:val="tx1"/>
            </w14:solidFill>
          </w14:textFill>
        </w:rPr>
        <w:t>、</w:t>
      </w:r>
    </w:p>
    <w:p>
      <w:pPr>
        <w:pStyle w:val="258"/>
        <w:tabs>
          <w:tab w:val="center" w:pos="4201"/>
          <w:tab w:val="right" w:leader="dot" w:pos="9298"/>
        </w:tabs>
        <w:ind w:firstLine="420"/>
        <w:rPr>
          <w:color w:val="000000" w:themeColor="text1"/>
          <w14:textFill>
            <w14:solidFill>
              <w14:schemeClr w14:val="tx1"/>
            </w14:solidFill>
          </w14:textFill>
        </w:rPr>
      </w:pPr>
    </w:p>
    <w:p>
      <w:pPr>
        <w:pStyle w:val="258"/>
        <w:tabs>
          <w:tab w:val="center" w:pos="4201"/>
          <w:tab w:val="right" w:leader="dot" w:pos="9298"/>
        </w:tabs>
        <w:ind w:firstLine="420"/>
        <w:rPr>
          <w:color w:val="000000" w:themeColor="text1"/>
          <w14:textFill>
            <w14:solidFill>
              <w14:schemeClr w14:val="tx1"/>
            </w14:solidFill>
          </w14:textFill>
        </w:rPr>
        <w:sectPr>
          <w:footerReference r:id="rId11" w:type="first"/>
          <w:pgSz w:w="11907" w:h="16839"/>
          <w:pgMar w:top="1418" w:right="1134" w:bottom="1134" w:left="1418" w:header="1418" w:footer="1134" w:gutter="0"/>
          <w:pgNumType w:fmt="upperRoman"/>
          <w:cols w:space="425" w:num="1"/>
          <w:docGrid w:linePitch="312" w:charSpace="0"/>
        </w:sectPr>
      </w:pPr>
    </w:p>
    <w:p>
      <w:pPr>
        <w:pStyle w:val="316"/>
        <w:rPr>
          <w:color w:val="000000" w:themeColor="text1"/>
          <w14:textFill>
            <w14:solidFill>
              <w14:schemeClr w14:val="tx1"/>
            </w14:solidFill>
          </w14:textFill>
        </w:rPr>
      </w:pPr>
      <w:bookmarkStart w:id="5" w:name="标准封面"/>
      <w:bookmarkEnd w:id="5"/>
      <w:bookmarkStart w:id="6" w:name="标准引言"/>
      <w:bookmarkEnd w:id="6"/>
      <w:bookmarkStart w:id="7" w:name="标准内容"/>
      <w:bookmarkEnd w:id="7"/>
      <w:r>
        <w:rPr>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2129155</wp:posOffset>
                </wp:positionH>
                <wp:positionV relativeFrom="paragraph">
                  <wp:posOffset>-44124245</wp:posOffset>
                </wp:positionV>
                <wp:extent cx="3960495" cy="914400"/>
                <wp:effectExtent l="0" t="0" r="1905" b="0"/>
                <wp:wrapNone/>
                <wp:docPr id="2"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498"/>
                            </w:pPr>
                            <w:r>
                              <w:rPr>
                                <w:rFonts w:hint="eastAsia"/>
                              </w:rPr>
                              <w:t>T/SZS</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67.65pt;margin-top:-3474.35pt;height:72pt;width:311.85pt;z-index:251660288;mso-width-relative:page;mso-height-relative:page;" fillcolor="#FFFFFF [3201]" filled="t" stroked="f" coordsize="21600,21600" o:gfxdata="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cmKjo3gAAAA8BAAAPAAAAAAAAAAEAIAAAACIAAABkcnMvZG93bnJldi54bWxQSwECFAAU&#10;AAAACACHTuJAFmmnPV0CAACLBAAADgAAAAAAAAABACAAAAAtAQAAZHJzL2Uyb0RvYy54bWxQSwUG&#10;AAAAAAYABgBZAQAA/AUAAAAA&#10;">
                <v:fill on="t" focussize="0,0"/>
                <v:stroke on="f" weight="0.5pt"/>
                <v:imagedata o:title=""/>
                <o:lock v:ext="edit" aspectratio="f"/>
                <v:textbox inset="0mm,0mm,2.54mm,0mm">
                  <w:txbxContent>
                    <w:p>
                      <w:pPr>
                        <w:pStyle w:val="498"/>
                      </w:pPr>
                      <w:r>
                        <w:rPr>
                          <w:rFonts w:hint="eastAsia"/>
                        </w:rPr>
                        <w:t>T/SZS</w:t>
                      </w:r>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1624330</wp:posOffset>
                </wp:positionH>
                <wp:positionV relativeFrom="paragraph">
                  <wp:posOffset>-42469435</wp:posOffset>
                </wp:positionV>
                <wp:extent cx="4320540" cy="720090"/>
                <wp:effectExtent l="0" t="0" r="3810" b="3810"/>
                <wp:wrapNone/>
                <wp:docPr id="4"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65"/>
                            </w:pPr>
                            <w:r>
                              <w:rPr>
                                <w:rFonts w:hint="eastAsia" w:hAnsi="黑体" w:cs="黑体"/>
                              </w:rPr>
                              <w:t>T/SZS XXX—2023</w:t>
                            </w:r>
                          </w:p>
                          <w:p>
                            <w:pPr>
                              <w:pStyle w:val="267"/>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27.9pt;margin-top:-3344.05pt;height:56.7pt;width:340.2pt;z-index:251662336;mso-width-relative:page;mso-height-relative:page;" fillcolor="#FFFFFF [3201]" filled="t" stroked="f" coordsize="21600,21600" o:gfxdata="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ZMFa/t4AAAAPAQAADwAAAAAAAAABACAAAAAiAAAAZHJzL2Rvd25yZXYueG1sUEsBAhQA&#10;FAAAAAgAh07iQH53VWpeAgAAiwQAAA4AAAAAAAAAAQAgAAAALQEAAGRycy9lMm9Eb2MueG1sUEsF&#10;BgAAAAAGAAYAWQEAAP0FAAAAAA==&#10;">
                <v:fill on="t" focussize="0,0"/>
                <v:stroke on="f" weight="0.5pt"/>
                <v:imagedata o:title=""/>
                <o:lock v:ext="edit" aspectratio="f"/>
                <v:textbox inset="0mm,0mm,2.54mm,0mm">
                  <w:txbxContent>
                    <w:p>
                      <w:pPr>
                        <w:pStyle w:val="265"/>
                      </w:pPr>
                      <w:r>
                        <w:rPr>
                          <w:rFonts w:hint="eastAsia" w:hAnsi="黑体" w:cs="黑体"/>
                        </w:rPr>
                        <w:t>T/SZS XXX—2023</w:t>
                      </w:r>
                    </w:p>
                    <w:p>
                      <w:pPr>
                        <w:pStyle w:val="267"/>
                      </w:pPr>
                    </w:p>
                  </w:txbxContent>
                </v:textbox>
              </v:shape>
            </w:pict>
          </mc:Fallback>
        </mc:AlternateContent>
      </w:r>
      <w:r>
        <w:rPr>
          <w:rFonts w:hint="eastAsia"/>
          <w:color w:val="000000" w:themeColor="text1"/>
          <w14:textFill>
            <w14:solidFill>
              <w14:schemeClr w14:val="tx1"/>
            </w14:solidFill>
          </w14:textFill>
        </w:rPr>
        <w:t>土地剩余法整体估价技术指引</w:t>
      </w:r>
    </w:p>
    <w:p>
      <w:pPr>
        <w:pStyle w:val="516"/>
        <w:numPr>
          <w:ilvl w:val="0"/>
          <w:numId w:val="11"/>
        </w:numPr>
        <w:spacing w:before="240" w:after="240"/>
        <w:ind w:left="0"/>
        <w:rPr>
          <w:color w:val="000000" w:themeColor="text1"/>
          <w14:textFill>
            <w14:solidFill>
              <w14:schemeClr w14:val="tx1"/>
            </w14:solidFill>
          </w14:textFill>
        </w:rPr>
      </w:pPr>
      <w:bookmarkStart w:id="8" w:name="_Toc16954"/>
      <w:r>
        <w:rPr>
          <w:rFonts w:hint="eastAsia"/>
          <w:color w:val="000000" w:themeColor="text1"/>
          <w14:textFill>
            <w14:solidFill>
              <w14:schemeClr w14:val="tx1"/>
            </w14:solidFill>
          </w14:textFill>
        </w:rPr>
        <w:t>范围</w:t>
      </w:r>
      <w:bookmarkEnd w:id="8"/>
    </w:p>
    <w:p>
      <w:pPr>
        <w:pStyle w:val="517"/>
        <w:ind w:firstLine="420"/>
      </w:pPr>
      <w:r>
        <w:rPr>
          <w:rFonts w:hint="eastAsia"/>
        </w:rPr>
        <w:t>本文件规定了土地剩余法整体估价的工作程序和方法，含样本宗地确定、样本宗地地价评估方法的选择、整体地价评估等内容。</w:t>
      </w:r>
    </w:p>
    <w:p>
      <w:pPr>
        <w:pStyle w:val="517"/>
        <w:ind w:firstLine="420"/>
      </w:pPr>
      <w:r>
        <w:rPr>
          <w:rFonts w:hint="eastAsia"/>
        </w:rPr>
        <w:t>本文件适用于在深圳市范围内进行的土地剩余法整体估价活动，也可为其他地方的土地估价方法提供参考。</w:t>
      </w:r>
    </w:p>
    <w:p>
      <w:pPr>
        <w:pStyle w:val="516"/>
        <w:numPr>
          <w:ilvl w:val="0"/>
          <w:numId w:val="11"/>
        </w:numPr>
        <w:spacing w:before="240" w:after="240"/>
        <w:ind w:left="0"/>
        <w:rPr>
          <w:color w:val="000000" w:themeColor="text1"/>
          <w14:textFill>
            <w14:solidFill>
              <w14:schemeClr w14:val="tx1"/>
            </w14:solidFill>
          </w14:textFill>
        </w:rPr>
      </w:pPr>
      <w:bookmarkStart w:id="9" w:name="_Toc8623"/>
      <w:r>
        <w:rPr>
          <w:rFonts w:hint="eastAsia"/>
          <w:color w:val="000000" w:themeColor="text1"/>
          <w14:textFill>
            <w14:solidFill>
              <w14:schemeClr w14:val="tx1"/>
            </w14:solidFill>
          </w14:textFill>
        </w:rPr>
        <w:t>规范性引用文件</w:t>
      </w:r>
      <w:bookmarkEnd w:id="9"/>
    </w:p>
    <w:p>
      <w:pPr>
        <w:pStyle w:val="517"/>
        <w:ind w:firstLine="420"/>
      </w:pPr>
      <w:r>
        <w:rPr>
          <w:rFonts w:hint="eastAsia"/>
        </w:rPr>
        <w:t>下列文件中的</w:t>
      </w:r>
      <w:r>
        <w:t>内容通过文中</w:t>
      </w:r>
      <w:r>
        <w:rPr>
          <w:rFonts w:hint="eastAsia"/>
        </w:rPr>
        <w:t>的</w:t>
      </w:r>
      <w:r>
        <w:t>规范性引用而构成本文件必不可少的条款。其中</w:t>
      </w:r>
      <w:r>
        <w:rPr>
          <w:rFonts w:hint="eastAsia"/>
        </w:rPr>
        <w:t>，</w:t>
      </w:r>
      <w:r>
        <w:t>注日期的引用文件，</w:t>
      </w:r>
      <w:r>
        <w:rPr>
          <w:rFonts w:hint="eastAsia"/>
        </w:rPr>
        <w:t>仅</w:t>
      </w:r>
      <w:r>
        <w:t>该日期对应的版本</w:t>
      </w:r>
      <w:r>
        <w:rPr>
          <w:rFonts w:hint="eastAsia"/>
        </w:rPr>
        <w:t>适用</w:t>
      </w:r>
      <w:r>
        <w:t>于本文件；不注日期的引用文件，其最新版本（</w:t>
      </w:r>
      <w:r>
        <w:rPr>
          <w:rFonts w:hint="eastAsia"/>
        </w:rPr>
        <w:t>包括</w:t>
      </w:r>
      <w:r>
        <w:t>所有的修改单）</w:t>
      </w:r>
      <w:r>
        <w:rPr>
          <w:rFonts w:hint="eastAsia"/>
        </w:rPr>
        <w:t>适用</w:t>
      </w:r>
      <w:r>
        <w:t>于本文件</w:t>
      </w:r>
      <w:r>
        <w:rPr>
          <w:rFonts w:hint="eastAsia"/>
        </w:rPr>
        <w:t>。</w:t>
      </w:r>
    </w:p>
    <w:p>
      <w:pPr>
        <w:pStyle w:val="517"/>
        <w:ind w:firstLine="420"/>
      </w:pPr>
      <w:r>
        <w:rPr>
          <w:rFonts w:hint="eastAsia"/>
        </w:rPr>
        <w:t>GB/T 19231 土地基本术语</w:t>
      </w:r>
    </w:p>
    <w:p>
      <w:pPr>
        <w:pStyle w:val="517"/>
        <w:ind w:firstLine="420"/>
      </w:pPr>
      <w:r>
        <w:rPr>
          <w:rFonts w:hint="eastAsia"/>
        </w:rPr>
        <w:t>GB/T 18508-2014 城镇土地估价规程</w:t>
      </w:r>
    </w:p>
    <w:p>
      <w:pPr>
        <w:pStyle w:val="517"/>
        <w:ind w:firstLine="420"/>
      </w:pPr>
      <w:r>
        <w:rPr>
          <w:rFonts w:hint="eastAsia"/>
        </w:rPr>
        <w:t>TD/T 1052-2017 标定地价规程</w:t>
      </w:r>
    </w:p>
    <w:p>
      <w:pPr>
        <w:pStyle w:val="517"/>
        <w:ind w:firstLine="420"/>
      </w:pPr>
      <w:r>
        <w:rPr>
          <w:rFonts w:hint="eastAsia"/>
        </w:rPr>
        <w:t>GB/T 21010-2017 土地利用现状分类</w:t>
      </w:r>
    </w:p>
    <w:p>
      <w:pPr>
        <w:pStyle w:val="517"/>
        <w:ind w:firstLine="420"/>
      </w:pPr>
      <w:r>
        <w:rPr>
          <w:rFonts w:hint="eastAsia"/>
        </w:rPr>
        <w:t>TD/T 1009-2007 城市地价动态监测技术规范</w:t>
      </w:r>
    </w:p>
    <w:p>
      <w:pPr>
        <w:pStyle w:val="517"/>
        <w:ind w:firstLine="420"/>
      </w:pPr>
      <w:r>
        <w:rPr>
          <w:rFonts w:hint="eastAsia"/>
        </w:rPr>
        <w:t>《2006深圳市建设工程技术经济指标》</w:t>
      </w:r>
    </w:p>
    <w:p>
      <w:pPr>
        <w:pStyle w:val="516"/>
        <w:numPr>
          <w:ilvl w:val="0"/>
          <w:numId w:val="11"/>
        </w:numPr>
        <w:spacing w:before="240" w:after="240"/>
        <w:ind w:left="0"/>
        <w:rPr>
          <w:color w:val="000000" w:themeColor="text1"/>
          <w14:textFill>
            <w14:solidFill>
              <w14:schemeClr w14:val="tx1"/>
            </w14:solidFill>
          </w14:textFill>
        </w:rPr>
      </w:pPr>
      <w:bookmarkStart w:id="10" w:name="_Toc27489"/>
      <w:r>
        <w:rPr>
          <w:rFonts w:hint="eastAsia"/>
          <w:color w:val="000000" w:themeColor="text1"/>
          <w14:textFill>
            <w14:solidFill>
              <w14:schemeClr w14:val="tx1"/>
            </w14:solidFill>
          </w14:textFill>
        </w:rPr>
        <w:t>术语</w:t>
      </w:r>
      <w:r>
        <w:rPr>
          <w:color w:val="000000" w:themeColor="text1"/>
          <w14:textFill>
            <w14:solidFill>
              <w14:schemeClr w14:val="tx1"/>
            </w14:solidFill>
          </w14:textFill>
        </w:rPr>
        <w:t>和定义</w:t>
      </w:r>
      <w:bookmarkEnd w:id="10"/>
    </w:p>
    <w:p>
      <w:pPr>
        <w:pStyle w:val="517"/>
        <w:ind w:firstLine="420"/>
      </w:pPr>
      <w:r>
        <w:rPr>
          <w:rFonts w:hint="eastAsia"/>
        </w:rPr>
        <w:t>下列术语和定义适用于本文件。</w:t>
      </w:r>
    </w:p>
    <w:p>
      <w:pPr>
        <w:pStyle w:val="518"/>
        <w:numPr>
          <w:ilvl w:val="1"/>
          <w:numId w:val="11"/>
        </w:numPr>
        <w:spacing w:before="120" w:after="120"/>
      </w:pPr>
      <w:bookmarkStart w:id="11" w:name="_Toc5700"/>
      <w:r>
        <w:rPr>
          <w:rFonts w:hint="eastAsia"/>
        </w:rPr>
        <w:t>剩余法样本宗地</w:t>
      </w:r>
      <w:bookmarkEnd w:id="11"/>
      <w:r>
        <w:rPr>
          <w:rFonts w:hint="eastAsia"/>
          <w:lang w:val="en-US" w:eastAsia="zh-CN"/>
        </w:rPr>
        <w:t xml:space="preserve">  Sample land of residual method</w:t>
      </w:r>
    </w:p>
    <w:p>
      <w:pPr>
        <w:pStyle w:val="517"/>
        <w:ind w:firstLine="420"/>
      </w:pPr>
      <w:r>
        <w:rPr>
          <w:rFonts w:hint="eastAsia"/>
        </w:rPr>
        <w:t>用于测算剩余法地价的宗地样本</w:t>
      </w:r>
      <w:r>
        <w:rPr>
          <w:rFonts w:hint="eastAsia"/>
          <w:lang w:eastAsia="zh-CN"/>
        </w:rPr>
        <w:t>，</w:t>
      </w:r>
      <w:r>
        <w:rPr>
          <w:rFonts w:hint="eastAsia"/>
          <w:lang w:val="en-US" w:eastAsia="zh-CN"/>
        </w:rPr>
        <w:t>由代表性样本宗地和补充样本宗地构成</w:t>
      </w:r>
      <w:r>
        <w:rPr>
          <w:rFonts w:hint="eastAsia"/>
        </w:rPr>
        <w:t>。</w:t>
      </w:r>
      <w:r>
        <w:rPr>
          <w:rFonts w:hint="eastAsia"/>
          <w:lang w:val="en-US" w:eastAsia="zh-CN"/>
        </w:rPr>
        <w:t>代表性样本宗地是</w:t>
      </w:r>
      <w:r>
        <w:rPr>
          <w:rFonts w:hint="eastAsia"/>
        </w:rPr>
        <w:t>在一定范围内，土地条件、土地利用状况等特征具有代表性，地价水平能够起</w:t>
      </w:r>
      <w:r>
        <w:rPr>
          <w:rFonts w:hint="eastAsia"/>
          <w:highlight w:val="none"/>
        </w:rPr>
        <w:t>示范作用</w:t>
      </w:r>
      <w:r>
        <w:rPr>
          <w:rFonts w:hint="eastAsia"/>
        </w:rPr>
        <w:t>的宗地</w:t>
      </w:r>
      <w:r>
        <w:rPr>
          <w:rFonts w:hint="eastAsia"/>
          <w:lang w:eastAsia="zh-CN"/>
        </w:rPr>
        <w:t>。</w:t>
      </w:r>
      <w:r>
        <w:rPr>
          <w:rFonts w:hint="eastAsia"/>
          <w:lang w:val="en-US" w:eastAsia="zh-CN"/>
        </w:rPr>
        <w:t>补充样本宗地是在代表性样本宗地的基础上，为满足样本均匀分布和</w:t>
      </w:r>
      <w:r>
        <w:rPr>
          <w:rFonts w:hint="eastAsia"/>
        </w:rPr>
        <w:t>全域覆盖</w:t>
      </w:r>
      <w:r>
        <w:rPr>
          <w:rFonts w:hint="eastAsia"/>
          <w:lang w:val="en-US" w:eastAsia="zh-CN"/>
        </w:rPr>
        <w:t>特征而补充设立的宗地</w:t>
      </w:r>
      <w:r>
        <w:rPr>
          <w:rFonts w:hint="eastAsia"/>
        </w:rPr>
        <w:t>。</w:t>
      </w:r>
    </w:p>
    <w:p>
      <w:pPr>
        <w:pStyle w:val="518"/>
        <w:numPr>
          <w:ilvl w:val="1"/>
          <w:numId w:val="11"/>
        </w:numPr>
        <w:spacing w:before="120" w:after="120"/>
      </w:pPr>
      <w:bookmarkStart w:id="12" w:name="_Toc32032"/>
      <w:r>
        <w:rPr>
          <w:rFonts w:hint="eastAsia"/>
        </w:rPr>
        <w:t>地价 Land price</w:t>
      </w:r>
      <w:bookmarkEnd w:id="12"/>
    </w:p>
    <w:p>
      <w:pPr>
        <w:pStyle w:val="517"/>
        <w:ind w:firstLine="420"/>
      </w:pPr>
      <w:r>
        <w:rPr>
          <w:rFonts w:hint="eastAsia"/>
        </w:rPr>
        <w:t>在市场条件下形成的土地权利价格，包括在公开市场条件下形成的客观合理价格和在特定市场条件下形成的市场关联各方可接受的价格。</w:t>
      </w:r>
    </w:p>
    <w:p>
      <w:pPr>
        <w:pStyle w:val="517"/>
        <w:ind w:firstLine="420"/>
      </w:pPr>
      <w:r>
        <w:rPr>
          <w:rFonts w:hint="eastAsia"/>
        </w:rPr>
        <w:t>无特殊说明下，指公开市场条件下形成的，一定年期建设用地使用权的权利价格，其空间内涵包括地表及地上、地下的一定范围，也可依据权属划分，单独界定为地下空间使用权或空中使用权价格。</w:t>
      </w:r>
    </w:p>
    <w:p>
      <w:pPr>
        <w:pStyle w:val="518"/>
        <w:numPr>
          <w:ilvl w:val="1"/>
          <w:numId w:val="11"/>
        </w:numPr>
        <w:spacing w:before="120" w:after="120"/>
      </w:pPr>
      <w:bookmarkStart w:id="13" w:name="_Toc21422"/>
      <w:r>
        <w:rPr>
          <w:rFonts w:hint="eastAsia"/>
        </w:rPr>
        <w:t>土地估价 Land price valuation</w:t>
      </w:r>
      <w:bookmarkEnd w:id="13"/>
    </w:p>
    <w:p>
      <w:pPr>
        <w:pStyle w:val="517"/>
        <w:ind w:firstLine="420"/>
      </w:pPr>
      <w:r>
        <w:rPr>
          <w:rFonts w:hint="eastAsia"/>
        </w:rPr>
        <w:t>土地估价师根据估价目的和待估土地状况，遵循估价原则，按照一定的估价程序，在全面调查和综合分析影响地价因素的基础上，选用适宜的估价方法，对待估土地在估价期日的价格进行估算和判定的行为。</w:t>
      </w:r>
    </w:p>
    <w:p>
      <w:pPr>
        <w:pStyle w:val="518"/>
        <w:numPr>
          <w:ilvl w:val="1"/>
          <w:numId w:val="11"/>
        </w:numPr>
        <w:spacing w:before="120" w:after="120"/>
      </w:pPr>
      <w:bookmarkStart w:id="14" w:name="_Toc10639"/>
      <w:r>
        <w:rPr>
          <w:rFonts w:hint="eastAsia"/>
        </w:rPr>
        <w:t>剩余法  Residual method</w:t>
      </w:r>
      <w:bookmarkEnd w:id="14"/>
    </w:p>
    <w:p>
      <w:pPr>
        <w:pStyle w:val="517"/>
        <w:ind w:firstLine="420"/>
      </w:pPr>
      <w:r>
        <w:rPr>
          <w:rFonts w:hint="eastAsia"/>
        </w:rPr>
        <w:t>在测算完成开发后的不动产正常交易价格的基础上，扣除预计的正常开发成本及有关专业费用、利息、利润和税费等，以价格余额来估算待估宗地价格的方法。</w:t>
      </w:r>
    </w:p>
    <w:p>
      <w:pPr>
        <w:pStyle w:val="518"/>
        <w:numPr>
          <w:ilvl w:val="1"/>
          <w:numId w:val="11"/>
        </w:numPr>
        <w:spacing w:before="120" w:after="120"/>
      </w:pPr>
      <w:bookmarkStart w:id="15" w:name="_Toc128554153"/>
      <w:bookmarkEnd w:id="15"/>
      <w:bookmarkStart w:id="16" w:name="_Toc27263"/>
      <w:r>
        <w:rPr>
          <w:rFonts w:hint="eastAsia"/>
        </w:rPr>
        <w:t>土地剩余法整体估价  Mass appraisal of land residual method</w:t>
      </w:r>
      <w:bookmarkEnd w:id="16"/>
    </w:p>
    <w:p>
      <w:pPr>
        <w:pStyle w:val="517"/>
        <w:ind w:firstLine="420"/>
        <w:rPr>
          <w:highlight w:val="none"/>
        </w:rPr>
      </w:pPr>
      <w:r>
        <w:rPr>
          <w:rFonts w:hint="eastAsia"/>
          <w:highlight w:val="none"/>
        </w:rPr>
        <w:t>土地剩余法整体估价是基于房地产整体估价理论与实践，在</w:t>
      </w:r>
      <w:r>
        <w:rPr>
          <w:rFonts w:hint="eastAsia"/>
          <w:highlight w:val="none"/>
          <w:lang w:val="en-US" w:eastAsia="zh-CN"/>
        </w:rPr>
        <w:t>土地</w:t>
      </w:r>
      <w:r>
        <w:rPr>
          <w:rFonts w:hint="eastAsia"/>
          <w:highlight w:val="none"/>
        </w:rPr>
        <w:t>剩余法</w:t>
      </w:r>
      <w:r>
        <w:rPr>
          <w:rFonts w:hint="eastAsia"/>
          <w:highlight w:val="none"/>
          <w:lang w:val="en-US" w:eastAsia="zh-CN"/>
        </w:rPr>
        <w:t>估价理论与方法基础上</w:t>
      </w:r>
      <w:r>
        <w:rPr>
          <w:rFonts w:hint="eastAsia"/>
          <w:highlight w:val="none"/>
        </w:rPr>
        <w:t>的拓展。通过</w:t>
      </w:r>
      <w:r>
        <w:rPr>
          <w:rFonts w:hint="eastAsia"/>
          <w:highlight w:val="none"/>
          <w:lang w:val="en-US" w:eastAsia="zh-CN"/>
        </w:rPr>
        <w:t>样本</w:t>
      </w:r>
      <w:r>
        <w:rPr>
          <w:rFonts w:hint="eastAsia"/>
          <w:highlight w:val="none"/>
        </w:rPr>
        <w:t>房价剥离</w:t>
      </w:r>
      <w:r>
        <w:rPr>
          <w:rFonts w:hint="eastAsia"/>
          <w:highlight w:val="none"/>
          <w:lang w:val="en-US" w:eastAsia="zh-CN"/>
        </w:rPr>
        <w:t>得</w:t>
      </w:r>
      <w:r>
        <w:rPr>
          <w:rFonts w:hint="eastAsia"/>
          <w:highlight w:val="none"/>
        </w:rPr>
        <w:t>出</w:t>
      </w:r>
      <w:r>
        <w:rPr>
          <w:rFonts w:hint="eastAsia"/>
          <w:highlight w:val="none"/>
          <w:lang w:val="en-US" w:eastAsia="zh-CN"/>
        </w:rPr>
        <w:t>样本</w:t>
      </w:r>
      <w:r>
        <w:rPr>
          <w:rFonts w:hint="eastAsia"/>
          <w:highlight w:val="none"/>
        </w:rPr>
        <w:t>地价，综合应用批量评估、数理统计以及地理信息系统等关键技术，</w:t>
      </w:r>
      <w:r>
        <w:rPr>
          <w:rFonts w:hint="eastAsia"/>
          <w:highlight w:val="none"/>
          <w:lang w:val="en-US" w:eastAsia="zh-CN"/>
        </w:rPr>
        <w:t>通过构建整体估价模型，</w:t>
      </w:r>
      <w:r>
        <w:rPr>
          <w:rFonts w:hint="eastAsia"/>
          <w:highlight w:val="none"/>
        </w:rPr>
        <w:t>整体评估出每个</w:t>
      </w:r>
      <w:r>
        <w:rPr>
          <w:rFonts w:hint="eastAsia"/>
          <w:highlight w:val="none"/>
          <w:lang w:val="en-US" w:eastAsia="zh-CN"/>
        </w:rPr>
        <w:t>待估对象</w:t>
      </w:r>
      <w:r>
        <w:rPr>
          <w:rFonts w:hint="eastAsia"/>
          <w:highlight w:val="none"/>
        </w:rPr>
        <w:t>不同土地用途在设定的土地利用状况及开发条件下于某一估价期日的</w:t>
      </w:r>
      <w:r>
        <w:rPr>
          <w:rFonts w:hint="eastAsia"/>
          <w:highlight w:val="none"/>
          <w:lang w:val="en-US" w:eastAsia="zh-CN"/>
        </w:rPr>
        <w:t>设定</w:t>
      </w:r>
      <w:r>
        <w:rPr>
          <w:rFonts w:hint="eastAsia"/>
          <w:highlight w:val="none"/>
        </w:rPr>
        <w:t>年期的土地使用权市场价格。</w:t>
      </w:r>
    </w:p>
    <w:p>
      <w:pPr>
        <w:pStyle w:val="518"/>
        <w:numPr>
          <w:ilvl w:val="1"/>
          <w:numId w:val="11"/>
        </w:numPr>
        <w:spacing w:before="120" w:after="120"/>
      </w:pPr>
      <w:bookmarkStart w:id="17" w:name="_Toc12904"/>
      <w:r>
        <w:rPr>
          <w:rFonts w:hint="eastAsia"/>
        </w:rPr>
        <w:t>剩余法评估范围</w:t>
      </w:r>
      <w:bookmarkEnd w:id="17"/>
      <w:r>
        <w:rPr>
          <w:rFonts w:hint="eastAsia"/>
          <w:lang w:val="en-US" w:eastAsia="zh-CN"/>
        </w:rPr>
        <w:t xml:space="preserve"> Scope of residual method evaluation</w:t>
      </w:r>
    </w:p>
    <w:p>
      <w:pPr>
        <w:pStyle w:val="517"/>
        <w:ind w:firstLine="420"/>
      </w:pPr>
      <w:r>
        <w:rPr>
          <w:rFonts w:hint="eastAsia"/>
        </w:rPr>
        <w:t>剩余法整体估价体系覆盖并运行的空间范围。</w:t>
      </w:r>
    </w:p>
    <w:p>
      <w:pPr>
        <w:pStyle w:val="518"/>
        <w:numPr>
          <w:ilvl w:val="1"/>
          <w:numId w:val="11"/>
        </w:numPr>
        <w:spacing w:before="120" w:after="120"/>
      </w:pPr>
      <w:bookmarkStart w:id="18" w:name="_Toc815"/>
      <w:r>
        <w:rPr>
          <w:rFonts w:hint="eastAsia"/>
        </w:rPr>
        <w:t>估价期日</w:t>
      </w:r>
      <w:bookmarkEnd w:id="18"/>
      <w:r>
        <w:rPr>
          <w:rFonts w:hint="eastAsia"/>
          <w:lang w:val="en-US" w:eastAsia="zh-CN"/>
        </w:rPr>
        <w:t xml:space="preserve"> The date of valuation </w:t>
      </w:r>
    </w:p>
    <w:p>
      <w:pPr>
        <w:pStyle w:val="517"/>
        <w:ind w:firstLine="420"/>
        <w:rPr>
          <w:rFonts w:hint="eastAsia"/>
        </w:rPr>
      </w:pPr>
      <w:r>
        <w:rPr>
          <w:rFonts w:hint="eastAsia"/>
        </w:rPr>
        <w:t>估价结果对应的日期。</w:t>
      </w:r>
    </w:p>
    <w:p>
      <w:pPr>
        <w:pStyle w:val="518"/>
        <w:numPr>
          <w:ilvl w:val="1"/>
          <w:numId w:val="11"/>
        </w:numPr>
        <w:spacing w:before="120" w:after="120"/>
      </w:pPr>
      <w:r>
        <w:rPr>
          <w:rFonts w:hint="eastAsia"/>
        </w:rPr>
        <w:t>标准化地价</w:t>
      </w:r>
      <w:r>
        <w:rPr>
          <w:rFonts w:hint="eastAsia"/>
          <w:lang w:val="en-US" w:eastAsia="zh-CN"/>
        </w:rPr>
        <w:t xml:space="preserve"> Standardized land price</w:t>
      </w:r>
    </w:p>
    <w:p>
      <w:pPr>
        <w:pStyle w:val="517"/>
        <w:ind w:firstLine="420"/>
        <w:rPr>
          <w:rFonts w:hint="eastAsia" w:hAnsi="Times New Roman" w:cs="Times New Roman"/>
        </w:rPr>
      </w:pPr>
      <w:r>
        <w:rPr>
          <w:rFonts w:hint="eastAsia" w:hAnsi="Times New Roman" w:cs="Times New Roman"/>
          <w:lang w:val="en-US" w:eastAsia="zh-CN"/>
        </w:rPr>
        <w:t>标准化地价是样本宗地地价经过交易情况、估价期日、个别因素、土地使用年期等修正后，得到的样本宗地在统一设定条件下的地价。</w:t>
      </w:r>
    </w:p>
    <w:p>
      <w:pPr>
        <w:pStyle w:val="516"/>
        <w:numPr>
          <w:ilvl w:val="0"/>
          <w:numId w:val="11"/>
        </w:numPr>
        <w:spacing w:before="240" w:after="240"/>
        <w:ind w:left="0"/>
        <w:rPr>
          <w:color w:val="000000" w:themeColor="text1"/>
          <w14:textFill>
            <w14:solidFill>
              <w14:schemeClr w14:val="tx1"/>
            </w14:solidFill>
          </w14:textFill>
        </w:rPr>
      </w:pPr>
      <w:bookmarkStart w:id="19" w:name="_Toc32070"/>
      <w:r>
        <w:rPr>
          <w:rFonts w:hint="eastAsia"/>
          <w:color w:val="000000" w:themeColor="text1"/>
          <w14:textFill>
            <w14:solidFill>
              <w14:schemeClr w14:val="tx1"/>
            </w14:solidFill>
          </w14:textFill>
        </w:rPr>
        <w:t>总则</w:t>
      </w:r>
      <w:bookmarkEnd w:id="19"/>
    </w:p>
    <w:p>
      <w:pPr>
        <w:pStyle w:val="518"/>
        <w:numPr>
          <w:ilvl w:val="1"/>
          <w:numId w:val="11"/>
        </w:numPr>
        <w:spacing w:before="120" w:after="120"/>
      </w:pPr>
      <w:bookmarkStart w:id="20" w:name="_Toc22505"/>
      <w:r>
        <w:rPr>
          <w:rFonts w:hint="eastAsia"/>
        </w:rPr>
        <w:t>概述</w:t>
      </w:r>
      <w:bookmarkEnd w:id="20"/>
    </w:p>
    <w:p>
      <w:pPr>
        <w:pStyle w:val="517"/>
        <w:ind w:firstLine="420"/>
      </w:pPr>
      <w:r>
        <w:rPr>
          <w:rFonts w:hint="eastAsia"/>
        </w:rPr>
        <w:t>为规范和指导深圳市土地剩余法整体估价工作，结合深圳市土地剩余法整体估价的实际情况，制定本文件。</w:t>
      </w:r>
    </w:p>
    <w:p>
      <w:pPr>
        <w:pStyle w:val="517"/>
        <w:ind w:firstLine="420"/>
      </w:pPr>
      <w:r>
        <w:rPr>
          <w:rFonts w:hint="eastAsia"/>
        </w:rPr>
        <w:t>本文件未作规定的，应按照国家相关法律法规和相关国家标准执行。</w:t>
      </w:r>
    </w:p>
    <w:p>
      <w:pPr>
        <w:pStyle w:val="517"/>
        <w:ind w:firstLine="420"/>
      </w:pPr>
      <w:r>
        <w:rPr>
          <w:rFonts w:hint="eastAsia"/>
        </w:rPr>
        <w:t>本文件所涉及相关参数应根据国家及深圳市相关政策法规变动、房地产市场变化等情况进行调整。</w:t>
      </w:r>
    </w:p>
    <w:p>
      <w:pPr>
        <w:pStyle w:val="518"/>
        <w:numPr>
          <w:ilvl w:val="1"/>
          <w:numId w:val="11"/>
        </w:numPr>
        <w:spacing w:before="120" w:after="120"/>
      </w:pPr>
      <w:bookmarkStart w:id="21" w:name="_Toc699"/>
      <w:r>
        <w:rPr>
          <w:rFonts w:hint="eastAsia"/>
        </w:rPr>
        <w:t>范围</w:t>
      </w:r>
      <w:bookmarkEnd w:id="21"/>
    </w:p>
    <w:p>
      <w:pPr>
        <w:pStyle w:val="517"/>
        <w:ind w:firstLine="420"/>
      </w:pPr>
      <w:r>
        <w:rPr>
          <w:rFonts w:hint="eastAsia"/>
        </w:rPr>
        <w:t>土地剩余法整体估价的评估范围，应在本行政辖区内根据市场发育程度和政府服务监管需求确定。</w:t>
      </w:r>
    </w:p>
    <w:p>
      <w:pPr>
        <w:pStyle w:val="518"/>
        <w:numPr>
          <w:ilvl w:val="1"/>
          <w:numId w:val="11"/>
        </w:numPr>
        <w:spacing w:before="120" w:after="120"/>
      </w:pPr>
      <w:bookmarkStart w:id="22" w:name="_Toc20928"/>
      <w:r>
        <w:rPr>
          <w:rFonts w:hint="eastAsia"/>
        </w:rPr>
        <w:t>周期</w:t>
      </w:r>
      <w:bookmarkEnd w:id="22"/>
    </w:p>
    <w:p>
      <w:pPr>
        <w:pStyle w:val="517"/>
        <w:ind w:firstLine="420"/>
        <w:rPr>
          <w:rFonts w:hint="default" w:eastAsia="宋体"/>
          <w:lang w:val="en-US" w:eastAsia="zh-CN"/>
        </w:rPr>
      </w:pPr>
      <w:r>
        <w:rPr>
          <w:rFonts w:hint="eastAsia"/>
        </w:rPr>
        <w:t>土地剩余法整体估价工作</w:t>
      </w:r>
      <w:r>
        <w:rPr>
          <w:rFonts w:hint="eastAsia"/>
          <w:lang w:val="en-US" w:eastAsia="zh-CN"/>
        </w:rPr>
        <w:t>原则上</w:t>
      </w:r>
      <w:r>
        <w:rPr>
          <w:rFonts w:hint="eastAsia"/>
        </w:rPr>
        <w:t>应以年度为周期开展，每年上半年完成对剩余法样本宗地在当年1月1日的地价评估工作。</w:t>
      </w:r>
      <w:r>
        <w:rPr>
          <w:rFonts w:hint="eastAsia"/>
          <w:lang w:val="en-US" w:eastAsia="zh-CN"/>
        </w:rPr>
        <w:t>具体工作中，可根据市场状况缩短更新周期。</w:t>
      </w:r>
    </w:p>
    <w:p>
      <w:pPr>
        <w:pStyle w:val="518"/>
        <w:numPr>
          <w:ilvl w:val="1"/>
          <w:numId w:val="11"/>
        </w:numPr>
        <w:spacing w:before="120" w:after="120"/>
      </w:pPr>
      <w:bookmarkStart w:id="23" w:name="_Toc14128"/>
      <w:r>
        <w:rPr>
          <w:rFonts w:hint="eastAsia"/>
        </w:rPr>
        <w:t>用途分类</w:t>
      </w:r>
      <w:bookmarkEnd w:id="23"/>
    </w:p>
    <w:p>
      <w:pPr>
        <w:pStyle w:val="517"/>
        <w:ind w:firstLine="420"/>
      </w:pPr>
      <w:r>
        <w:rPr>
          <w:rFonts w:hint="eastAsia"/>
        </w:rPr>
        <w:t>土地剩余法整体估价中涉及的土地用途，应涵盖评估范围内的主要土地利用类型，土地用途应参照《土地利用现状分类》（GB/T 21010-2017）设定，宜细分至二级类。土地剩余法整体估价中的土地用途类别应符合表1的相关要求。</w:t>
      </w:r>
    </w:p>
    <w:p>
      <w:pPr>
        <w:pStyle w:val="520"/>
        <w:spacing w:before="120" w:after="120"/>
        <w:rPr>
          <w:rFonts w:hint="eastAsia"/>
        </w:rPr>
      </w:pPr>
      <w:r>
        <w:rPr>
          <w:rFonts w:hint="eastAsia"/>
        </w:rPr>
        <w:t>表1</w:t>
      </w:r>
      <w:r>
        <w:t xml:space="preserve">  </w:t>
      </w:r>
      <w:r>
        <w:rPr>
          <w:rFonts w:hint="eastAsia" w:ascii="宋体" w:hAnsi="宋体" w:cs="宋体"/>
          <w:color w:val="000000" w:themeColor="text1"/>
          <w:szCs w:val="21"/>
          <w14:textFill>
            <w14:solidFill>
              <w14:schemeClr w14:val="tx1"/>
            </w14:solidFill>
          </w14:textFill>
        </w:rPr>
        <w:t>土地剩余法整体估价中的土地用途类型</w:t>
      </w:r>
    </w:p>
    <w:tbl>
      <w:tblPr>
        <w:tblStyle w:val="89"/>
        <w:tblW w:w="7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6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D8D8D8" w:themeFill="background1" w:themeFillShade="D9"/>
            <w:vAlign w:val="center"/>
          </w:tcPr>
          <w:p>
            <w:pPr>
              <w:widowControl/>
              <w:snapToGrid w:val="0"/>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类别</w:t>
            </w:r>
          </w:p>
        </w:tc>
        <w:tc>
          <w:tcPr>
            <w:tcW w:w="6459" w:type="dxa"/>
            <w:shd w:val="clear" w:color="auto" w:fill="D8D8D8" w:themeFill="background1" w:themeFillShade="D9"/>
            <w:vAlign w:val="center"/>
          </w:tcPr>
          <w:p>
            <w:pPr>
              <w:widowControl/>
              <w:snapToGrid w:val="0"/>
              <w:jc w:val="center"/>
              <w:rPr>
                <w:rFonts w:asciiTheme="minorEastAsia" w:hAnsiTheme="minorEastAsia" w:eastAsiaTheme="minorEastAsia"/>
                <w:b/>
                <w:kern w:val="0"/>
                <w:sz w:val="18"/>
                <w:szCs w:val="18"/>
              </w:rPr>
            </w:pPr>
            <w:r>
              <w:rPr>
                <w:rFonts w:hint="eastAsia" w:asciiTheme="minorEastAsia" w:hAnsiTheme="minorEastAsia" w:eastAsiaTheme="minorEastAsia"/>
                <w:b/>
                <w:kern w:val="0"/>
                <w:sz w:val="18"/>
                <w:szCs w:val="18"/>
              </w:rPr>
              <w:t>对应《土地利用现状分类》（GB/T 21010-2017）用地类型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住宅</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07</w:t>
            </w:r>
            <w:r>
              <w:rPr>
                <w:rFonts w:asciiTheme="minorEastAsia" w:hAnsiTheme="minorEastAsia" w:eastAsiaTheme="minorEastAsia"/>
                <w:kern w:val="0"/>
                <w:sz w:val="18"/>
                <w:szCs w:val="18"/>
              </w:rPr>
              <w:t>0</w:t>
            </w:r>
            <w:r>
              <w:rPr>
                <w:rFonts w:hint="eastAsia" w:asciiTheme="minorEastAsia" w:hAnsiTheme="minorEastAsia" w:eastAsiaTheme="minorEastAsia"/>
                <w:kern w:val="0"/>
                <w:sz w:val="18"/>
                <w:szCs w:val="18"/>
              </w:rPr>
              <w:t>1城镇住宅用地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商业</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05</w:t>
            </w:r>
            <w:r>
              <w:rPr>
                <w:rFonts w:asciiTheme="minorEastAsia" w:hAnsiTheme="minorEastAsia" w:eastAsiaTheme="minorEastAsia"/>
                <w:kern w:val="0"/>
                <w:sz w:val="18"/>
                <w:szCs w:val="18"/>
              </w:rPr>
              <w:t>0</w:t>
            </w:r>
            <w:r>
              <w:rPr>
                <w:rFonts w:hint="eastAsia" w:asciiTheme="minorEastAsia" w:hAnsiTheme="minorEastAsia" w:eastAsiaTheme="minorEastAsia"/>
                <w:kern w:val="0"/>
                <w:sz w:val="18"/>
                <w:szCs w:val="18"/>
              </w:rPr>
              <w:t>1 零售商业用地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办公</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05</w:t>
            </w:r>
            <w:r>
              <w:rPr>
                <w:rFonts w:asciiTheme="minorEastAsia" w:hAnsiTheme="minorEastAsia" w:eastAsiaTheme="minorEastAsia"/>
                <w:kern w:val="0"/>
                <w:sz w:val="18"/>
                <w:szCs w:val="18"/>
              </w:rPr>
              <w:t>05</w:t>
            </w:r>
            <w:r>
              <w:rPr>
                <w:rFonts w:hint="eastAsia" w:asciiTheme="minorEastAsia" w:hAnsiTheme="minorEastAsia" w:eastAsiaTheme="minorEastAsia"/>
                <w:kern w:val="0"/>
                <w:sz w:val="18"/>
                <w:szCs w:val="18"/>
              </w:rPr>
              <w:t xml:space="preserve"> 商务金融用地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工业</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06</w:t>
            </w:r>
            <w:r>
              <w:rPr>
                <w:rFonts w:asciiTheme="minorEastAsia" w:hAnsiTheme="minorEastAsia" w:eastAsiaTheme="minorEastAsia"/>
                <w:kern w:val="0"/>
                <w:sz w:val="18"/>
                <w:szCs w:val="18"/>
              </w:rPr>
              <w:t>0</w:t>
            </w:r>
            <w:r>
              <w:rPr>
                <w:rFonts w:hint="eastAsia" w:asciiTheme="minorEastAsia" w:hAnsiTheme="minorEastAsia" w:eastAsiaTheme="minorEastAsia"/>
                <w:kern w:val="0"/>
                <w:sz w:val="18"/>
                <w:szCs w:val="18"/>
              </w:rPr>
              <w:t>1 工业用地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新型产业</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0601 工业用地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酒店</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0504 旅馆用地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公共管理与服务设施</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0803 教育用地、0805 医疗卫生用地、0807 文化设施用地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10"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公用设施</w:t>
            </w:r>
          </w:p>
        </w:tc>
        <w:tc>
          <w:tcPr>
            <w:tcW w:w="6459" w:type="dxa"/>
            <w:shd w:val="clear" w:color="auto" w:fill="auto"/>
            <w:vAlign w:val="center"/>
          </w:tcPr>
          <w:p>
            <w:pPr>
              <w:widowControl/>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0809 公用设施用地</w:t>
            </w:r>
          </w:p>
        </w:tc>
      </w:tr>
    </w:tbl>
    <w:p/>
    <w:p>
      <w:pPr>
        <w:pStyle w:val="518"/>
        <w:numPr>
          <w:ilvl w:val="1"/>
          <w:numId w:val="11"/>
        </w:numPr>
        <w:spacing w:before="120" w:after="120"/>
        <w:rPr>
          <w:szCs w:val="21"/>
        </w:rPr>
      </w:pPr>
      <w:bookmarkStart w:id="24" w:name="_Toc3224"/>
      <w:r>
        <w:rPr>
          <w:rFonts w:hint="eastAsia"/>
          <w:szCs w:val="21"/>
        </w:rPr>
        <w:t>技术路线与程序</w:t>
      </w:r>
      <w:bookmarkEnd w:id="24"/>
    </w:p>
    <w:p>
      <w:pPr>
        <w:spacing w:before="120" w:beforeLines="50" w:after="120" w:afterLines="50"/>
        <w:outlineLvl w:val="2"/>
        <w:rPr>
          <w:rFonts w:ascii="宋体" w:hAnsi="宋体" w:eastAsia="黑体" w:cs="宋体"/>
          <w:color w:val="000000" w:themeColor="text1"/>
          <w:szCs w:val="21"/>
          <w14:textFill>
            <w14:solidFill>
              <w14:schemeClr w14:val="tx1"/>
            </w14:solidFill>
          </w14:textFill>
        </w:rPr>
      </w:pPr>
      <w:bookmarkStart w:id="25" w:name="_Toc17323"/>
      <w:r>
        <w:rPr>
          <w:rFonts w:hint="eastAsia" w:ascii="黑体" w:hAnsi="黑体" w:eastAsia="黑体" w:cs="黑体"/>
          <w:color w:val="000000" w:themeColor="text1"/>
          <w:szCs w:val="21"/>
          <w14:textFill>
            <w14:solidFill>
              <w14:schemeClr w14:val="tx1"/>
            </w14:solidFill>
          </w14:textFill>
        </w:rPr>
        <w:t xml:space="preserve">4.5.1 </w:t>
      </w:r>
      <w:r>
        <w:rPr>
          <w:rFonts w:hint="eastAsia" w:ascii="黑体" w:eastAsia="黑体"/>
          <w:szCs w:val="21"/>
        </w:rPr>
        <w:t>技术路线</w:t>
      </w:r>
      <w:bookmarkEnd w:id="25"/>
    </w:p>
    <w:p>
      <w:pPr>
        <w:pStyle w:val="517"/>
        <w:ind w:firstLine="420"/>
        <w:rPr>
          <w:rFonts w:hint="eastAsia"/>
          <w:lang w:val="en-US" w:eastAsia="zh-CN"/>
        </w:rPr>
      </w:pPr>
      <w:r>
        <w:rPr>
          <w:rFonts w:hint="eastAsia"/>
          <w:lang w:val="en-US" w:eastAsia="zh-CN"/>
        </w:rPr>
        <w:t>在确定的评估范围内，设立一定数量的样本宗地，</w:t>
      </w:r>
      <w:r>
        <w:rPr>
          <w:rFonts w:hint="eastAsia"/>
        </w:rPr>
        <w:t>采用剩余法评估出样本宗地的</w:t>
      </w:r>
      <w:r>
        <w:rPr>
          <w:rFonts w:hint="eastAsia"/>
          <w:lang w:val="en-US" w:eastAsia="zh-CN"/>
        </w:rPr>
        <w:t>价格</w:t>
      </w:r>
      <w:r>
        <w:rPr>
          <w:rFonts w:hint="eastAsia"/>
        </w:rPr>
        <w:t>，并进行修正得到标准化地价</w:t>
      </w:r>
      <w:r>
        <w:rPr>
          <w:rFonts w:hint="eastAsia"/>
          <w:lang w:eastAsia="zh-CN"/>
        </w:rPr>
        <w:t>。</w:t>
      </w:r>
      <w:r>
        <w:rPr>
          <w:rFonts w:hint="eastAsia"/>
          <w:lang w:val="en-US" w:eastAsia="zh-CN"/>
        </w:rPr>
        <w:t>以样本宗地为插值样点，以样本宗地标准化地价为值，根据样本宗地空间分布，构建空间插值模型实现评估范围内地价整体内插。在内插结果基础上，评估范围内的待估宗地根据空间位置进行地价值提取得到待估宗地价格。</w:t>
      </w:r>
    </w:p>
    <w:p>
      <w:pPr>
        <w:spacing w:before="120" w:beforeLines="50" w:after="120" w:afterLines="50"/>
        <w:outlineLvl w:val="2"/>
        <w:rPr>
          <w:rFonts w:ascii="宋体" w:hAnsi="宋体" w:eastAsia="黑体" w:cs="宋体"/>
          <w:color w:val="000000" w:themeColor="text1"/>
          <w:szCs w:val="21"/>
          <w14:textFill>
            <w14:solidFill>
              <w14:schemeClr w14:val="tx1"/>
            </w14:solidFill>
          </w14:textFill>
        </w:rPr>
      </w:pPr>
      <w:bookmarkStart w:id="26" w:name="_Toc24387"/>
      <w:r>
        <w:rPr>
          <w:rFonts w:hint="eastAsia" w:ascii="黑体" w:hAnsi="黑体" w:eastAsia="黑体" w:cs="黑体"/>
          <w:color w:val="000000" w:themeColor="text1"/>
          <w:szCs w:val="21"/>
          <w14:textFill>
            <w14:solidFill>
              <w14:schemeClr w14:val="tx1"/>
            </w14:solidFill>
          </w14:textFill>
        </w:rPr>
        <w:t xml:space="preserve">4.5.2 </w:t>
      </w:r>
      <w:r>
        <w:rPr>
          <w:rFonts w:hint="eastAsia" w:ascii="黑体" w:eastAsia="黑体"/>
          <w:szCs w:val="21"/>
        </w:rPr>
        <w:t>程序</w:t>
      </w:r>
      <w:bookmarkEnd w:id="26"/>
    </w:p>
    <w:p>
      <w:pPr>
        <w:pStyle w:val="517"/>
        <w:ind w:firstLine="0" w:firstLineChars="0"/>
      </w:pPr>
      <w:bookmarkStart w:id="27" w:name="_Toc14532"/>
      <w:r>
        <w:rPr>
          <w:rFonts w:hint="eastAsia" w:ascii="黑体" w:hAnsi="黑体" w:eastAsia="黑体"/>
          <w:lang w:val="en-US" w:eastAsia="zh-CN"/>
        </w:rPr>
        <w:t xml:space="preserve">4.5.2.1 </w:t>
      </w:r>
      <w:r>
        <w:rPr>
          <w:rFonts w:hint="eastAsia"/>
        </w:rPr>
        <w:t>确定各用途土地剩余法整体估价评估范围。</w:t>
      </w:r>
      <w:bookmarkEnd w:id="27"/>
    </w:p>
    <w:p>
      <w:pPr>
        <w:pStyle w:val="517"/>
        <w:ind w:firstLine="0" w:firstLineChars="0"/>
      </w:pPr>
      <w:bookmarkStart w:id="28" w:name="_Toc5888"/>
      <w:r>
        <w:rPr>
          <w:rFonts w:hint="eastAsia" w:ascii="黑体" w:hAnsi="黑体" w:eastAsia="黑体"/>
          <w:lang w:val="en-US" w:eastAsia="zh-CN"/>
        </w:rPr>
        <w:t>4.5.2.2</w:t>
      </w:r>
      <w:r>
        <w:rPr>
          <w:rFonts w:hint="eastAsia"/>
          <w:lang w:val="en-US" w:eastAsia="zh-CN"/>
        </w:rPr>
        <w:t xml:space="preserve"> </w:t>
      </w:r>
      <w:r>
        <w:rPr>
          <w:rFonts w:hint="eastAsia"/>
        </w:rPr>
        <w:t>设立剩余法样本宗地，并采集初始信息。</w:t>
      </w:r>
      <w:bookmarkEnd w:id="28"/>
    </w:p>
    <w:p>
      <w:pPr>
        <w:pStyle w:val="517"/>
        <w:ind w:firstLine="0" w:firstLineChars="0"/>
      </w:pPr>
      <w:bookmarkStart w:id="29" w:name="_Toc10485"/>
      <w:r>
        <w:rPr>
          <w:rFonts w:hint="eastAsia" w:ascii="黑体" w:hAnsi="黑体" w:eastAsia="黑体"/>
          <w:lang w:val="en-US" w:eastAsia="zh-CN"/>
        </w:rPr>
        <w:t xml:space="preserve">4.5.2.3 </w:t>
      </w:r>
      <w:r>
        <w:rPr>
          <w:rFonts w:hint="eastAsia"/>
        </w:rPr>
        <w:t>样本宗地价格评估。</w:t>
      </w:r>
      <w:bookmarkEnd w:id="29"/>
    </w:p>
    <w:p>
      <w:pPr>
        <w:pStyle w:val="517"/>
        <w:ind w:firstLine="0" w:firstLineChars="0"/>
      </w:pPr>
      <w:bookmarkStart w:id="30" w:name="_Toc19463"/>
      <w:r>
        <w:rPr>
          <w:rFonts w:hint="eastAsia" w:ascii="黑体" w:hAnsi="黑体" w:eastAsia="黑体"/>
          <w:lang w:val="en-US" w:eastAsia="zh-CN"/>
        </w:rPr>
        <w:t xml:space="preserve">4.5.2.4 </w:t>
      </w:r>
      <w:r>
        <w:rPr>
          <w:rFonts w:hint="eastAsia"/>
        </w:rPr>
        <w:t>剩余法整体地价</w:t>
      </w:r>
      <w:r>
        <w:rPr>
          <w:rFonts w:hint="eastAsia"/>
          <w:lang w:val="en-US" w:eastAsia="zh-CN"/>
        </w:rPr>
        <w:t>评估</w:t>
      </w:r>
      <w:r>
        <w:rPr>
          <w:rFonts w:hint="eastAsia"/>
        </w:rPr>
        <w:t>。</w:t>
      </w:r>
      <w:bookmarkEnd w:id="30"/>
    </w:p>
    <w:p>
      <w:pPr>
        <w:pStyle w:val="516"/>
        <w:numPr>
          <w:ilvl w:val="0"/>
          <w:numId w:val="11"/>
        </w:numPr>
        <w:spacing w:before="240" w:after="240"/>
        <w:ind w:left="0"/>
        <w:rPr>
          <w:color w:val="000000" w:themeColor="text1"/>
          <w14:textFill>
            <w14:solidFill>
              <w14:schemeClr w14:val="tx1"/>
            </w14:solidFill>
          </w14:textFill>
        </w:rPr>
      </w:pPr>
      <w:bookmarkStart w:id="31" w:name="_Toc22003"/>
      <w:r>
        <w:rPr>
          <w:rFonts w:hint="eastAsia"/>
          <w:color w:val="000000" w:themeColor="text1"/>
          <w14:textFill>
            <w14:solidFill>
              <w14:schemeClr w14:val="tx1"/>
            </w14:solidFill>
          </w14:textFill>
        </w:rPr>
        <w:t>评估范围确定</w:t>
      </w:r>
      <w:bookmarkEnd w:id="31"/>
    </w:p>
    <w:p>
      <w:pPr>
        <w:pStyle w:val="517"/>
        <w:ind w:firstLine="420"/>
      </w:pPr>
      <w:bookmarkStart w:id="32" w:name="OLE_LINK2"/>
      <w:r>
        <w:rPr>
          <w:rFonts w:hint="eastAsia"/>
        </w:rPr>
        <w:t>评估范围确定应以行政辖区为基础，根据市场发育和政府的服务监管需求灵活确定；宜覆盖建成区、开发区，逐步拓展至近期城镇规划建设区及农村集体土地市场发育较好的乡镇。</w:t>
      </w:r>
    </w:p>
    <w:p>
      <w:pPr>
        <w:pStyle w:val="517"/>
        <w:ind w:firstLine="420"/>
      </w:pPr>
      <w:r>
        <w:rPr>
          <w:rFonts w:hint="eastAsia"/>
        </w:rPr>
        <w:t>各类用途剩余法整体估价评估范围的划定宜考虑土地权属及利用现状、相关规划空间分布特征；各类用途剩余法整体估价评估范围可叠置。</w:t>
      </w:r>
    </w:p>
    <w:p>
      <w:pPr>
        <w:pStyle w:val="516"/>
        <w:numPr>
          <w:ilvl w:val="0"/>
          <w:numId w:val="11"/>
        </w:numPr>
        <w:spacing w:before="240" w:after="240"/>
        <w:ind w:left="0"/>
        <w:rPr>
          <w:color w:val="000000" w:themeColor="text1"/>
          <w14:textFill>
            <w14:solidFill>
              <w14:schemeClr w14:val="tx1"/>
            </w14:solidFill>
          </w14:textFill>
        </w:rPr>
      </w:pPr>
      <w:bookmarkStart w:id="33" w:name="_Toc12712"/>
      <w:r>
        <w:rPr>
          <w:rFonts w:hint="eastAsia"/>
          <w:color w:val="000000" w:themeColor="text1"/>
          <w14:textFill>
            <w14:solidFill>
              <w14:schemeClr w14:val="tx1"/>
            </w14:solidFill>
          </w14:textFill>
        </w:rPr>
        <w:t>剩余法样本宗地设立</w:t>
      </w:r>
      <w:bookmarkEnd w:id="33"/>
    </w:p>
    <w:p>
      <w:pPr>
        <w:pStyle w:val="518"/>
        <w:numPr>
          <w:ilvl w:val="1"/>
          <w:numId w:val="11"/>
        </w:numPr>
        <w:spacing w:before="120" w:after="120"/>
      </w:pPr>
      <w:bookmarkStart w:id="34" w:name="_Toc19116"/>
      <w:r>
        <w:rPr>
          <w:rFonts w:hint="eastAsia"/>
          <w:szCs w:val="21"/>
        </w:rPr>
        <w:t>设立原则</w:t>
      </w:r>
      <w:bookmarkEnd w:id="34"/>
    </w:p>
    <w:p>
      <w:pPr>
        <w:pStyle w:val="517"/>
        <w:ind w:firstLine="0" w:firstLineChars="0"/>
      </w:pPr>
      <w:r>
        <w:rPr>
          <w:rFonts w:hint="eastAsia" w:ascii="黑体" w:hAnsi="黑体" w:eastAsia="黑体" w:cs="黑体"/>
          <w:color w:val="000000" w:themeColor="text1"/>
          <w:kern w:val="2"/>
          <w:szCs w:val="21"/>
          <w:lang w:val="en-US" w:eastAsia="zh-CN"/>
          <w14:textFill>
            <w14:solidFill>
              <w14:schemeClr w14:val="tx1"/>
            </w14:solidFill>
          </w14:textFill>
        </w:rPr>
        <w:t xml:space="preserve">6.1.1 </w:t>
      </w:r>
      <w:r>
        <w:rPr>
          <w:rFonts w:hint="eastAsia"/>
        </w:rPr>
        <w:t>剩余法样本宗地分</w:t>
      </w:r>
      <w:r>
        <w:rPr>
          <w:rFonts w:hint="eastAsia"/>
          <w:lang w:val="en-US" w:eastAsia="zh-CN"/>
        </w:rPr>
        <w:t>为</w:t>
      </w:r>
      <w:r>
        <w:rPr>
          <w:rFonts w:hint="eastAsia"/>
        </w:rPr>
        <w:t>代表性样本宗地和补充样本宗地两类。</w:t>
      </w:r>
    </w:p>
    <w:p>
      <w:pPr>
        <w:pStyle w:val="517"/>
        <w:ind w:firstLine="0" w:firstLineChars="0"/>
      </w:pPr>
      <w:r>
        <w:rPr>
          <w:rFonts w:hint="eastAsia" w:ascii="黑体" w:hAnsi="黑体" w:eastAsia="黑体" w:cs="黑体"/>
          <w:color w:val="000000" w:themeColor="text1"/>
          <w:kern w:val="2"/>
          <w:szCs w:val="21"/>
          <w:lang w:val="en-US" w:eastAsia="zh-CN"/>
          <w14:textFill>
            <w14:solidFill>
              <w14:schemeClr w14:val="tx1"/>
            </w14:solidFill>
          </w14:textFill>
        </w:rPr>
        <w:t xml:space="preserve">6.1.2 </w:t>
      </w:r>
      <w:r>
        <w:rPr>
          <w:rFonts w:hint="eastAsia"/>
        </w:rPr>
        <w:t>代表性样本宗地的设立原则如下：</w:t>
      </w:r>
    </w:p>
    <w:p>
      <w:pPr>
        <w:pStyle w:val="517"/>
        <w:ind w:firstLine="420"/>
      </w:pPr>
      <w:r>
        <w:rPr>
          <w:rFonts w:hint="eastAsia"/>
        </w:rPr>
        <w:t>（1）代表性原则，指设立的样本宗地在所在区域内，其地价水平、利用条件、利用状况、开发程度等方面具有代表性；</w:t>
      </w:r>
    </w:p>
    <w:p>
      <w:pPr>
        <w:pStyle w:val="517"/>
        <w:ind w:firstLine="420"/>
      </w:pPr>
      <w:r>
        <w:rPr>
          <w:rFonts w:hint="eastAsia"/>
        </w:rPr>
        <w:t>（2）确定性原则，指设立的样本宗地为一具体宗地，其周围条件及自身条件都比较确定；</w:t>
      </w:r>
    </w:p>
    <w:p>
      <w:pPr>
        <w:pStyle w:val="517"/>
        <w:ind w:firstLine="420"/>
      </w:pPr>
      <w:r>
        <w:rPr>
          <w:rFonts w:hint="eastAsia"/>
        </w:rPr>
        <w:t>（3）稳定性原则，指设立的样本宗地的土地条件、利用状况以及周围土地的利用条件比较稳定，在较长时间内不会发生分割、合并或重新规划等情况；</w:t>
      </w:r>
    </w:p>
    <w:p>
      <w:pPr>
        <w:pStyle w:val="517"/>
        <w:ind w:firstLine="420"/>
      </w:pPr>
      <w:r>
        <w:rPr>
          <w:rFonts w:hint="eastAsia"/>
        </w:rPr>
        <w:t>（4）标识性原则，指设立的样本宗地易于识别，具有一定的标识性。</w:t>
      </w:r>
    </w:p>
    <w:p>
      <w:pPr>
        <w:pStyle w:val="517"/>
        <w:ind w:firstLine="0" w:firstLineChars="0"/>
      </w:pPr>
      <w:r>
        <w:rPr>
          <w:rFonts w:hint="eastAsia" w:ascii="黑体" w:hAnsi="黑体" w:eastAsia="黑体" w:cs="黑体"/>
          <w:color w:val="000000" w:themeColor="text1"/>
          <w:kern w:val="2"/>
          <w:szCs w:val="21"/>
          <w:lang w:val="en-US" w:eastAsia="zh-CN"/>
          <w14:textFill>
            <w14:solidFill>
              <w14:schemeClr w14:val="tx1"/>
            </w14:solidFill>
          </w14:textFill>
        </w:rPr>
        <w:t xml:space="preserve">6.1.3 </w:t>
      </w:r>
      <w:r>
        <w:rPr>
          <w:rFonts w:hint="eastAsia"/>
        </w:rPr>
        <w:t>补充样本宗地的设立原则如下：</w:t>
      </w:r>
    </w:p>
    <w:p>
      <w:pPr>
        <w:pStyle w:val="517"/>
        <w:ind w:firstLine="420"/>
      </w:pPr>
      <w:r>
        <w:rPr>
          <w:rFonts w:hint="eastAsia"/>
        </w:rPr>
        <w:t>（1）均匀分布原则，指设立的样本宗地在剩余法整体估价评估范围内均匀分布；</w:t>
      </w:r>
    </w:p>
    <w:p>
      <w:pPr>
        <w:pStyle w:val="517"/>
        <w:ind w:firstLine="420"/>
      </w:pPr>
      <w:r>
        <w:rPr>
          <w:rFonts w:hint="eastAsia"/>
        </w:rPr>
        <w:t>（2）全域覆盖原则，指设立的样本宗地需覆盖剩余法整体估价评估范围。</w:t>
      </w:r>
    </w:p>
    <w:p>
      <w:pPr>
        <w:pStyle w:val="518"/>
        <w:numPr>
          <w:ilvl w:val="1"/>
          <w:numId w:val="11"/>
        </w:numPr>
        <w:spacing w:before="120" w:after="120"/>
      </w:pPr>
      <w:bookmarkStart w:id="35" w:name="_Toc30951"/>
      <w:r>
        <w:rPr>
          <w:rFonts w:hint="eastAsia"/>
          <w:szCs w:val="21"/>
        </w:rPr>
        <w:t>设立要求</w:t>
      </w:r>
      <w:bookmarkEnd w:id="35"/>
    </w:p>
    <w:p>
      <w:pPr>
        <w:pStyle w:val="517"/>
        <w:ind w:firstLine="0" w:firstLineChars="0"/>
      </w:pPr>
      <w:r>
        <w:rPr>
          <w:rFonts w:hint="eastAsia" w:ascii="黑体" w:hAnsi="黑体" w:eastAsia="黑体" w:cs="黑体"/>
          <w:color w:val="000000" w:themeColor="text1"/>
          <w:kern w:val="2"/>
          <w:szCs w:val="21"/>
          <w:lang w:val="en-US" w:eastAsia="zh-CN"/>
          <w14:textFill>
            <w14:solidFill>
              <w14:schemeClr w14:val="tx1"/>
            </w14:solidFill>
          </w14:textFill>
        </w:rPr>
        <w:t xml:space="preserve">6.2.1 </w:t>
      </w:r>
      <w:r>
        <w:rPr>
          <w:rFonts w:hint="eastAsia"/>
        </w:rPr>
        <w:t>代表性样本宗地的设立要求如下：</w:t>
      </w:r>
    </w:p>
    <w:p>
      <w:pPr>
        <w:pStyle w:val="517"/>
        <w:ind w:firstLine="420"/>
        <w:rPr>
          <w:rFonts w:hint="eastAsia" w:eastAsia="宋体"/>
          <w:lang w:eastAsia="zh-CN"/>
        </w:rPr>
      </w:pPr>
      <w:r>
        <w:rPr>
          <w:rFonts w:hint="eastAsia"/>
        </w:rPr>
        <w:t>（1）样本宗地的土地用途以证载用途为准，现状开发利用应符合法律、法规及相关规划的要求，地上物的实际用途与土地用途原则上保持一致</w:t>
      </w:r>
      <w:r>
        <w:rPr>
          <w:rFonts w:hint="eastAsia"/>
          <w:lang w:eastAsia="zh-CN"/>
        </w:rPr>
        <w:t>；</w:t>
      </w:r>
    </w:p>
    <w:p>
      <w:pPr>
        <w:pStyle w:val="517"/>
        <w:ind w:firstLine="420"/>
      </w:pPr>
      <w:r>
        <w:rPr>
          <w:rFonts w:hint="eastAsia"/>
        </w:rPr>
        <w:t>（2）样本宗地宜完成开发建设并正常经营与使用，或具有明确、详细的规划条件。</w:t>
      </w:r>
    </w:p>
    <w:p>
      <w:pPr>
        <w:pStyle w:val="517"/>
        <w:ind w:firstLine="0" w:firstLineChars="0"/>
      </w:pPr>
      <w:r>
        <w:rPr>
          <w:rFonts w:hint="eastAsia" w:ascii="黑体" w:hAnsi="黑体" w:eastAsia="黑体" w:cs="黑体"/>
          <w:color w:val="000000" w:themeColor="text1"/>
          <w:kern w:val="2"/>
          <w:szCs w:val="21"/>
          <w:lang w:val="en-US" w:eastAsia="zh-CN"/>
          <w14:textFill>
            <w14:solidFill>
              <w14:schemeClr w14:val="tx1"/>
            </w14:solidFill>
          </w14:textFill>
        </w:rPr>
        <w:t xml:space="preserve">6.2.2 </w:t>
      </w:r>
      <w:r>
        <w:rPr>
          <w:rFonts w:hint="eastAsia"/>
        </w:rPr>
        <w:t>补充样本宗地的设立要求如下：</w:t>
      </w:r>
    </w:p>
    <w:p>
      <w:pPr>
        <w:pStyle w:val="517"/>
        <w:ind w:firstLine="420"/>
        <w:rPr>
          <w:rFonts w:hint="eastAsia" w:eastAsia="宋体"/>
          <w:lang w:eastAsia="zh-CN"/>
        </w:rPr>
      </w:pPr>
      <w:r>
        <w:rPr>
          <w:rFonts w:hint="eastAsia"/>
        </w:rPr>
        <w:t>（1）各类用途样本宗地分布稀疏的区域应增加补充样本宗地</w:t>
      </w:r>
      <w:r>
        <w:rPr>
          <w:rFonts w:hint="eastAsia"/>
          <w:lang w:eastAsia="zh-CN"/>
        </w:rPr>
        <w:t>；</w:t>
      </w:r>
    </w:p>
    <w:p>
      <w:pPr>
        <w:pStyle w:val="517"/>
        <w:ind w:firstLine="420"/>
        <w:rPr>
          <w:rFonts w:hint="eastAsia" w:eastAsia="宋体"/>
          <w:lang w:eastAsia="zh-CN"/>
        </w:rPr>
      </w:pPr>
      <w:r>
        <w:rPr>
          <w:rFonts w:hint="eastAsia"/>
        </w:rPr>
        <w:t>（2）各类用途的行政管理边界两侧、自然地理分割线对应位置应适当增加补充样本宗地</w:t>
      </w:r>
      <w:r>
        <w:rPr>
          <w:rFonts w:hint="eastAsia"/>
          <w:lang w:eastAsia="zh-CN"/>
        </w:rPr>
        <w:t>；</w:t>
      </w:r>
    </w:p>
    <w:p>
      <w:pPr>
        <w:pStyle w:val="517"/>
        <w:ind w:firstLine="420"/>
        <w:rPr>
          <w:rFonts w:hint="eastAsia" w:eastAsia="宋体"/>
          <w:lang w:eastAsia="zh-CN"/>
        </w:rPr>
      </w:pPr>
      <w:r>
        <w:rPr>
          <w:rFonts w:hint="eastAsia"/>
        </w:rPr>
        <w:t>（3）各类用途的土地价格突变区域及周边应增加补充样本宗地</w:t>
      </w:r>
      <w:r>
        <w:rPr>
          <w:rFonts w:hint="eastAsia"/>
          <w:lang w:eastAsia="zh-CN"/>
        </w:rPr>
        <w:t>；</w:t>
      </w:r>
    </w:p>
    <w:p>
      <w:pPr>
        <w:pStyle w:val="517"/>
        <w:ind w:firstLine="420"/>
        <w:rPr>
          <w:rFonts w:hint="eastAsia" w:eastAsia="宋体"/>
          <w:lang w:eastAsia="zh-CN"/>
        </w:rPr>
      </w:pPr>
      <w:r>
        <w:rPr>
          <w:rFonts w:hint="eastAsia"/>
        </w:rPr>
        <w:t>（4）评估范围边界外侧临近区域应设置补充样本宗地，确保样本宗地范围完全覆盖评估范围</w:t>
      </w:r>
      <w:r>
        <w:rPr>
          <w:rFonts w:hint="eastAsia"/>
          <w:lang w:eastAsia="zh-CN"/>
        </w:rPr>
        <w:t>；</w:t>
      </w:r>
    </w:p>
    <w:p>
      <w:pPr>
        <w:pStyle w:val="517"/>
        <w:ind w:firstLine="420"/>
      </w:pPr>
      <w:r>
        <w:rPr>
          <w:rFonts w:hint="eastAsia"/>
        </w:rPr>
        <w:t>（5）补充样本宗地可以是现状宗地点或虚拟点。</w:t>
      </w:r>
    </w:p>
    <w:p>
      <w:pPr>
        <w:pStyle w:val="518"/>
        <w:numPr>
          <w:ilvl w:val="1"/>
          <w:numId w:val="11"/>
        </w:numPr>
        <w:spacing w:before="120" w:after="120"/>
      </w:pPr>
      <w:bookmarkStart w:id="36" w:name="_Toc18774"/>
      <w:r>
        <w:rPr>
          <w:rFonts w:hint="eastAsia"/>
          <w:szCs w:val="21"/>
        </w:rPr>
        <w:t>设立程序</w:t>
      </w:r>
      <w:bookmarkEnd w:id="36"/>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37" w:name="_Toc12758"/>
      <w:r>
        <w:rPr>
          <w:rFonts w:hint="eastAsia" w:ascii="黑体" w:hAnsi="黑体" w:eastAsia="黑体" w:cs="黑体"/>
          <w:color w:val="000000" w:themeColor="text1"/>
          <w:szCs w:val="21"/>
          <w14:textFill>
            <w14:solidFill>
              <w14:schemeClr w14:val="tx1"/>
            </w14:solidFill>
          </w14:textFill>
        </w:rPr>
        <w:t>6.3.1代表性样本宗地筛选</w:t>
      </w:r>
      <w:bookmarkEnd w:id="37"/>
    </w:p>
    <w:p>
      <w:pPr>
        <w:pStyle w:val="517"/>
        <w:ind w:firstLine="420"/>
        <w:rPr>
          <w:rFonts w:hint="default" w:eastAsia="宋体"/>
          <w:lang w:val="en-US" w:eastAsia="zh-CN"/>
        </w:rPr>
      </w:pPr>
      <w:r>
        <w:rPr>
          <w:rFonts w:hint="eastAsia"/>
          <w:lang w:val="en-US" w:eastAsia="zh-CN"/>
        </w:rPr>
        <w:t>针对某土地用途样本宗地数量较多、分布较为集中的情况，需筛选代表性样本宗地。通常采用空间聚类方法</w:t>
      </w:r>
      <w:r>
        <w:rPr>
          <w:rFonts w:hint="eastAsia"/>
        </w:rPr>
        <w:t>将样本宗地的空间位置、地价影响因素和房价等作为聚类指标，将备选样点库分成不同类别，每个类别选择一个聚类样点，专业估价师对聚类样点中空间位置、相关属性不符合要求的样点进行删减或替换，以及对地价突变性较大的局部区域增加样点，筛选得到代表性样本宗地。</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38" w:name="_Toc26975"/>
      <w:r>
        <w:rPr>
          <w:rFonts w:hint="eastAsia" w:ascii="黑体" w:hAnsi="黑体" w:eastAsia="黑体" w:cs="黑体"/>
          <w:color w:val="000000" w:themeColor="text1"/>
          <w:szCs w:val="21"/>
          <w14:textFill>
            <w14:solidFill>
              <w14:schemeClr w14:val="tx1"/>
            </w14:solidFill>
          </w14:textFill>
        </w:rPr>
        <w:t>6.3.2样本宗地补充</w:t>
      </w:r>
      <w:bookmarkEnd w:id="38"/>
    </w:p>
    <w:p>
      <w:pPr>
        <w:pStyle w:val="517"/>
        <w:ind w:firstLine="420"/>
        <w:rPr>
          <w:rFonts w:hint="default" w:eastAsia="宋体"/>
          <w:lang w:val="en-US" w:eastAsia="zh-CN"/>
        </w:rPr>
      </w:pPr>
      <w:r>
        <w:rPr>
          <w:rFonts w:hint="eastAsia"/>
          <w:lang w:val="en-US" w:eastAsia="zh-CN"/>
        </w:rPr>
        <w:t>针对宗地样本分布较为稀疏的区域、评估范围边界以及样本数量过少的土地用途等情形，需进行样本宗地补充。评估范围内的区域可</w:t>
      </w:r>
      <w:r>
        <w:rPr>
          <w:rFonts w:hint="eastAsia"/>
        </w:rPr>
        <w:t>根据代表性样点的平均服务面积，测算出平均服务半径，在未覆盖区域均匀布</w:t>
      </w:r>
      <w:r>
        <w:rPr>
          <w:rFonts w:hint="eastAsia"/>
          <w:lang w:val="en-US" w:eastAsia="zh-CN"/>
        </w:rPr>
        <w:t>设</w:t>
      </w:r>
      <w:r>
        <w:rPr>
          <w:rFonts w:hint="eastAsia"/>
        </w:rPr>
        <w:t>，或由土地估价师依据经验判断。</w:t>
      </w:r>
      <w:r>
        <w:rPr>
          <w:rFonts w:hint="eastAsia"/>
          <w:lang w:val="en-US" w:eastAsia="zh-CN"/>
        </w:rPr>
        <w:t>评估范围边界的区域，在评估范围外的临近区域尤其是影响评估范围坐标最值的区域（如最东、西、南、北端等）应补充样本宗地。</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39" w:name="_Toc13399"/>
      <w:r>
        <w:rPr>
          <w:rFonts w:hint="eastAsia" w:ascii="黑体" w:hAnsi="黑体" w:eastAsia="黑体" w:cs="黑体"/>
          <w:color w:val="000000" w:themeColor="text1"/>
          <w:szCs w:val="21"/>
          <w14:textFill>
            <w14:solidFill>
              <w14:schemeClr w14:val="tx1"/>
            </w14:solidFill>
          </w14:textFill>
        </w:rPr>
        <w:t>6.3.3样本宗地确定</w:t>
      </w:r>
      <w:bookmarkEnd w:id="39"/>
    </w:p>
    <w:p>
      <w:pPr>
        <w:pStyle w:val="517"/>
        <w:ind w:firstLine="420"/>
      </w:pPr>
      <w:r>
        <w:rPr>
          <w:rFonts w:hint="eastAsia"/>
        </w:rPr>
        <w:t>综合代表性样本宗地和补充样本宗地，最终确</w:t>
      </w:r>
      <w:r>
        <w:rPr>
          <w:rFonts w:hint="eastAsia"/>
          <w:lang w:val="en-US" w:eastAsia="zh-CN"/>
        </w:rPr>
        <w:t>定</w:t>
      </w:r>
      <w:r>
        <w:rPr>
          <w:rFonts w:hint="eastAsia"/>
        </w:rPr>
        <w:t>剩余法样本宗地。</w:t>
      </w:r>
      <w:bookmarkEnd w:id="32"/>
    </w:p>
    <w:p>
      <w:pPr>
        <w:pStyle w:val="516"/>
        <w:numPr>
          <w:ilvl w:val="0"/>
          <w:numId w:val="11"/>
        </w:numPr>
        <w:spacing w:before="240" w:after="240"/>
        <w:ind w:left="0"/>
        <w:rPr>
          <w:color w:val="000000" w:themeColor="text1"/>
          <w14:textFill>
            <w14:solidFill>
              <w14:schemeClr w14:val="tx1"/>
            </w14:solidFill>
          </w14:textFill>
        </w:rPr>
      </w:pPr>
      <w:bookmarkStart w:id="40" w:name="_Toc28838"/>
      <w:r>
        <w:rPr>
          <w:rFonts w:hint="eastAsia"/>
          <w:color w:val="000000" w:themeColor="text1"/>
          <w14:textFill>
            <w14:solidFill>
              <w14:schemeClr w14:val="tx1"/>
            </w14:solidFill>
          </w14:textFill>
        </w:rPr>
        <w:t>剩余法样本宗地价格评估</w:t>
      </w:r>
      <w:bookmarkEnd w:id="40"/>
    </w:p>
    <w:p>
      <w:pPr>
        <w:pStyle w:val="518"/>
        <w:numPr>
          <w:ilvl w:val="1"/>
          <w:numId w:val="11"/>
        </w:numPr>
        <w:spacing w:before="120" w:after="120"/>
        <w:rPr>
          <w:szCs w:val="21"/>
        </w:rPr>
      </w:pPr>
      <w:bookmarkStart w:id="41" w:name="_Toc20042"/>
      <w:r>
        <w:rPr>
          <w:rFonts w:hint="eastAsia"/>
          <w:szCs w:val="21"/>
        </w:rPr>
        <w:t>地价内涵</w:t>
      </w:r>
      <w:bookmarkEnd w:id="41"/>
    </w:p>
    <w:p>
      <w:pPr>
        <w:pStyle w:val="517"/>
        <w:ind w:firstLine="0" w:firstLineChars="0"/>
      </w:pPr>
      <w:r>
        <w:rPr>
          <w:rFonts w:hint="eastAsia" w:ascii="黑体" w:hAnsi="黑体" w:eastAsia="黑体"/>
        </w:rPr>
        <w:t>7.1</w:t>
      </w:r>
      <w:r>
        <w:rPr>
          <w:rFonts w:ascii="黑体" w:hAnsi="黑体" w:eastAsia="黑体"/>
        </w:rPr>
        <w:t>.1</w:t>
      </w:r>
      <w:r>
        <w:t xml:space="preserve"> </w:t>
      </w:r>
      <w:r>
        <w:rPr>
          <w:rFonts w:hint="eastAsia"/>
        </w:rPr>
        <w:t>估价期日为每年1月1日。</w:t>
      </w:r>
    </w:p>
    <w:p>
      <w:pPr>
        <w:pStyle w:val="517"/>
        <w:ind w:firstLine="0" w:firstLineChars="0"/>
      </w:pPr>
      <w:r>
        <w:rPr>
          <w:rFonts w:hint="eastAsia" w:ascii="黑体" w:hAnsi="黑体" w:eastAsia="黑体"/>
        </w:rPr>
        <w:t>7.1</w:t>
      </w:r>
      <w:r>
        <w:rPr>
          <w:rFonts w:ascii="黑体" w:hAnsi="黑体" w:eastAsia="黑体"/>
        </w:rPr>
        <w:t>.</w:t>
      </w:r>
      <w:r>
        <w:rPr>
          <w:rFonts w:hint="eastAsia" w:ascii="黑体" w:hAnsi="黑体" w:eastAsia="黑体"/>
        </w:rPr>
        <w:t>2</w:t>
      </w:r>
      <w:r>
        <w:t xml:space="preserve"> </w:t>
      </w:r>
      <w:r>
        <w:rPr>
          <w:rFonts w:hint="eastAsia"/>
        </w:rPr>
        <w:t>权利特征宜为相对完整的土地权利价格，不考虑抵押权、地役权等他项权利的限制。</w:t>
      </w:r>
    </w:p>
    <w:p>
      <w:pPr>
        <w:pStyle w:val="517"/>
        <w:ind w:firstLine="0" w:firstLineChars="0"/>
      </w:pPr>
      <w:r>
        <w:rPr>
          <w:rFonts w:hint="eastAsia" w:ascii="黑体" w:hAnsi="黑体" w:eastAsia="黑体"/>
        </w:rPr>
        <w:t>7.1</w:t>
      </w:r>
      <w:r>
        <w:rPr>
          <w:rFonts w:ascii="黑体" w:hAnsi="黑体" w:eastAsia="黑体"/>
        </w:rPr>
        <w:t>.</w:t>
      </w:r>
      <w:r>
        <w:rPr>
          <w:rFonts w:hint="eastAsia" w:ascii="黑体" w:hAnsi="黑体" w:eastAsia="黑体"/>
        </w:rPr>
        <w:t>3</w:t>
      </w:r>
      <w:r>
        <w:t xml:space="preserve"> </w:t>
      </w:r>
      <w:r>
        <w:rPr>
          <w:rFonts w:hint="eastAsia"/>
        </w:rPr>
        <w:t>建设用地的土地用途、容积率、开发程度等指标取值，原则上依据样本宗地合法的现状条件设定，其中红线内开发程度的设定，原则上仅包括场地是否平整。</w:t>
      </w:r>
    </w:p>
    <w:p>
      <w:pPr>
        <w:pStyle w:val="517"/>
        <w:ind w:firstLine="0" w:firstLineChars="0"/>
      </w:pPr>
      <w:r>
        <w:rPr>
          <w:rFonts w:hint="eastAsia" w:ascii="黑体" w:hAnsi="黑体" w:eastAsia="黑体"/>
        </w:rPr>
        <w:t>7.1</w:t>
      </w:r>
      <w:r>
        <w:rPr>
          <w:rFonts w:ascii="黑体" w:hAnsi="黑体" w:eastAsia="黑体"/>
        </w:rPr>
        <w:t>.</w:t>
      </w:r>
      <w:r>
        <w:rPr>
          <w:rFonts w:hint="eastAsia" w:ascii="黑体" w:hAnsi="黑体" w:eastAsia="黑体"/>
        </w:rPr>
        <w:t>4</w:t>
      </w:r>
      <w:r>
        <w:t xml:space="preserve"> </w:t>
      </w:r>
      <w:r>
        <w:rPr>
          <w:rFonts w:hint="eastAsia"/>
        </w:rPr>
        <w:t>出让土地的使用年期按各用途的法定最高年期或政策规定的年期设定，划拨土地一般宜按使用年期无限制设定。</w:t>
      </w:r>
    </w:p>
    <w:p>
      <w:pPr>
        <w:pStyle w:val="517"/>
        <w:ind w:firstLine="0" w:firstLineChars="0"/>
      </w:pPr>
      <w:r>
        <w:rPr>
          <w:rFonts w:hint="eastAsia" w:ascii="黑体" w:hAnsi="黑体" w:eastAsia="黑体"/>
        </w:rPr>
        <w:t>7.1</w:t>
      </w:r>
      <w:r>
        <w:rPr>
          <w:rFonts w:ascii="黑体" w:hAnsi="黑体" w:eastAsia="黑体"/>
        </w:rPr>
        <w:t>.</w:t>
      </w:r>
      <w:r>
        <w:rPr>
          <w:rFonts w:hint="eastAsia" w:ascii="黑体" w:hAnsi="黑体" w:eastAsia="黑体"/>
        </w:rPr>
        <w:t>5</w:t>
      </w:r>
      <w:r>
        <w:rPr>
          <w:rFonts w:ascii="黑体" w:hAnsi="黑体" w:eastAsia="黑体"/>
        </w:rPr>
        <w:t xml:space="preserve">  </w:t>
      </w:r>
      <w:r>
        <w:rPr>
          <w:rFonts w:hint="eastAsia"/>
        </w:rPr>
        <w:t>市场特征为平稳正常情况、公开竞争市场条件（对划拨土地等法律政策有特殊规定的，从其规定）。</w:t>
      </w:r>
    </w:p>
    <w:p>
      <w:pPr>
        <w:pStyle w:val="518"/>
        <w:numPr>
          <w:ilvl w:val="1"/>
          <w:numId w:val="11"/>
        </w:numPr>
        <w:spacing w:before="120" w:after="120"/>
      </w:pPr>
      <w:bookmarkStart w:id="42" w:name="_Toc32535"/>
      <w:r>
        <w:rPr>
          <w:rFonts w:hint="eastAsia"/>
          <w:szCs w:val="21"/>
        </w:rPr>
        <w:t>评估原则</w:t>
      </w:r>
      <w:bookmarkEnd w:id="42"/>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3" w:name="_Toc19249"/>
      <w:r>
        <w:rPr>
          <w:rFonts w:hint="eastAsia" w:ascii="黑体" w:hAnsi="黑体" w:eastAsia="黑体" w:cs="黑体"/>
          <w:color w:val="000000" w:themeColor="text1"/>
          <w:szCs w:val="21"/>
          <w14:textFill>
            <w14:solidFill>
              <w14:schemeClr w14:val="tx1"/>
            </w14:solidFill>
          </w14:textFill>
        </w:rPr>
        <w:t>7.2.1</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替代原则</w:t>
      </w:r>
      <w:bookmarkEnd w:id="43"/>
    </w:p>
    <w:p>
      <w:pPr>
        <w:pStyle w:val="517"/>
        <w:ind w:firstLine="420"/>
      </w:pPr>
      <w:r>
        <w:rPr>
          <w:rFonts w:hint="eastAsia"/>
        </w:rPr>
        <w:t>土地估价应以相邻地区或类似地区功能相同或相近、条件相似的土地交易价格为依据，估价结果不得明显偏离具有替代性质的土地客观价格。</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4" w:name="_Toc22616"/>
      <w:r>
        <w:rPr>
          <w:rFonts w:hint="eastAsia" w:ascii="黑体" w:hAnsi="黑体" w:eastAsia="黑体" w:cs="黑体"/>
          <w:color w:val="000000" w:themeColor="text1"/>
          <w:szCs w:val="21"/>
          <w14:textFill>
            <w14:solidFill>
              <w14:schemeClr w14:val="tx1"/>
            </w14:solidFill>
          </w14:textFill>
        </w:rPr>
        <w:t>7.2.2</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最有效利用原则</w:t>
      </w:r>
      <w:bookmarkEnd w:id="44"/>
    </w:p>
    <w:p>
      <w:pPr>
        <w:pStyle w:val="517"/>
        <w:ind w:firstLine="420"/>
      </w:pPr>
      <w:r>
        <w:rPr>
          <w:rFonts w:hint="eastAsia"/>
        </w:rPr>
        <w:t>土地估价应以待估宗地的最有效利用为前提。判断土地的最有效利用以土地利用是否符合其自身利用条件、法律法规政策及规划限制、市场要求和最佳利用程度等为依据。</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5" w:name="_Toc30133"/>
      <w:r>
        <w:rPr>
          <w:rFonts w:hint="eastAsia" w:ascii="黑体" w:hAnsi="黑体" w:eastAsia="黑体" w:cs="黑体"/>
          <w:color w:val="000000" w:themeColor="text1"/>
          <w:szCs w:val="21"/>
          <w14:textFill>
            <w14:solidFill>
              <w14:schemeClr w14:val="tx1"/>
            </w14:solidFill>
          </w14:textFill>
        </w:rPr>
        <w:t>7.2.3</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预期收益原则</w:t>
      </w:r>
      <w:bookmarkEnd w:id="45"/>
    </w:p>
    <w:p>
      <w:pPr>
        <w:pStyle w:val="517"/>
        <w:ind w:firstLine="420"/>
      </w:pPr>
      <w:r>
        <w:rPr>
          <w:rFonts w:hint="eastAsia"/>
        </w:rPr>
        <w:t>土地估价应以待估宗地在正常利用条件下的未来客观有效的预期收益为依据。</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6" w:name="_Toc17302"/>
      <w:r>
        <w:rPr>
          <w:rFonts w:hint="eastAsia" w:ascii="黑体" w:hAnsi="黑体" w:eastAsia="黑体" w:cs="黑体"/>
          <w:color w:val="000000" w:themeColor="text1"/>
          <w:szCs w:val="21"/>
          <w14:textFill>
            <w14:solidFill>
              <w14:schemeClr w14:val="tx1"/>
            </w14:solidFill>
          </w14:textFill>
        </w:rPr>
        <w:t>7.2.4</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供需原则</w:t>
      </w:r>
      <w:bookmarkEnd w:id="46"/>
    </w:p>
    <w:p>
      <w:pPr>
        <w:pStyle w:val="517"/>
        <w:ind w:firstLine="420"/>
      </w:pPr>
      <w:r>
        <w:rPr>
          <w:rFonts w:hint="eastAsia"/>
        </w:rPr>
        <w:t>土地估价应以市场供需决定土地价格为依据，并充分考虑土地供需的特殊性和土地市场的地域性。</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7" w:name="_Toc19129"/>
      <w:r>
        <w:rPr>
          <w:rFonts w:hint="eastAsia" w:ascii="黑体" w:hAnsi="黑体" w:eastAsia="黑体" w:cs="黑体"/>
          <w:color w:val="000000" w:themeColor="text1"/>
          <w:szCs w:val="21"/>
          <w14:textFill>
            <w14:solidFill>
              <w14:schemeClr w14:val="tx1"/>
            </w14:solidFill>
          </w14:textFill>
        </w:rPr>
        <w:t>7.2.5</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贡献原则</w:t>
      </w:r>
      <w:bookmarkEnd w:id="47"/>
    </w:p>
    <w:p>
      <w:pPr>
        <w:pStyle w:val="517"/>
        <w:ind w:firstLine="420"/>
      </w:pPr>
      <w:r>
        <w:rPr>
          <w:rFonts w:hint="eastAsia"/>
        </w:rPr>
        <w:t>不动产总收益是由土地及其他生产要素共同作用的结果，土地价格可根据土地对不动产收益的贡献大小确定。</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8" w:name="_Toc31471"/>
      <w:r>
        <w:rPr>
          <w:rFonts w:hint="eastAsia" w:ascii="黑体" w:hAnsi="黑体" w:eastAsia="黑体" w:cs="黑体"/>
          <w:color w:val="000000" w:themeColor="text1"/>
          <w:szCs w:val="21"/>
          <w14:textFill>
            <w14:solidFill>
              <w14:schemeClr w14:val="tx1"/>
            </w14:solidFill>
          </w14:textFill>
        </w:rPr>
        <w:t>7.2.6</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公开市场原则</w:t>
      </w:r>
      <w:bookmarkEnd w:id="48"/>
    </w:p>
    <w:p>
      <w:pPr>
        <w:pStyle w:val="517"/>
        <w:ind w:firstLine="420"/>
      </w:pPr>
      <w:r>
        <w:rPr>
          <w:rFonts w:hint="eastAsia"/>
        </w:rPr>
        <w:t>评估结果在公平、公正、公开的土地市场上可实现。</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49" w:name="_Toc4508"/>
      <w:r>
        <w:rPr>
          <w:rFonts w:hint="eastAsia" w:ascii="黑体" w:hAnsi="黑体" w:eastAsia="黑体" w:cs="黑体"/>
          <w:color w:val="000000" w:themeColor="text1"/>
          <w:szCs w:val="21"/>
          <w14:textFill>
            <w14:solidFill>
              <w14:schemeClr w14:val="tx1"/>
            </w14:solidFill>
          </w14:textFill>
        </w:rPr>
        <w:t>7.2.7</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价值主导原则</w:t>
      </w:r>
      <w:bookmarkEnd w:id="49"/>
    </w:p>
    <w:p>
      <w:pPr>
        <w:pStyle w:val="517"/>
        <w:ind w:firstLine="420"/>
      </w:pPr>
      <w:r>
        <w:rPr>
          <w:rFonts w:hint="eastAsia"/>
        </w:rPr>
        <w:t>土地综合质量优劣是对土地价格产生影响的主要因素。</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50" w:name="_Toc12055"/>
      <w:r>
        <w:rPr>
          <w:rFonts w:hint="eastAsia" w:ascii="黑体" w:hAnsi="黑体" w:eastAsia="黑体" w:cs="黑体"/>
          <w:color w:val="000000" w:themeColor="text1"/>
          <w:szCs w:val="21"/>
          <w14:textFill>
            <w14:solidFill>
              <w14:schemeClr w14:val="tx1"/>
            </w14:solidFill>
          </w14:textFill>
        </w:rPr>
        <w:t>7.2.8</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审慎原则</w:t>
      </w:r>
      <w:bookmarkEnd w:id="50"/>
    </w:p>
    <w:p>
      <w:pPr>
        <w:pStyle w:val="517"/>
        <w:ind w:firstLine="420"/>
      </w:pPr>
      <w:r>
        <w:rPr>
          <w:rFonts w:hint="eastAsia"/>
        </w:rPr>
        <w:t>在评估中确定相关参数和结果时，应分析并充分考虑土地市场运行情况、有关行业发展状况以及存在的各种风险。</w:t>
      </w:r>
    </w:p>
    <w:p>
      <w:pPr>
        <w:pStyle w:val="518"/>
        <w:numPr>
          <w:ilvl w:val="1"/>
          <w:numId w:val="11"/>
        </w:numPr>
        <w:spacing w:before="120" w:after="120"/>
      </w:pPr>
      <w:bookmarkStart w:id="51" w:name="_Toc27599"/>
      <w:r>
        <w:rPr>
          <w:rFonts w:hint="eastAsia"/>
          <w:szCs w:val="21"/>
        </w:rPr>
        <w:t>评估方法的选择</w:t>
      </w:r>
      <w:bookmarkEnd w:id="51"/>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52" w:name="_Toc2336"/>
      <w:r>
        <w:rPr>
          <w:rFonts w:hint="eastAsia" w:ascii="黑体" w:hAnsi="黑体" w:eastAsia="黑体" w:cs="黑体"/>
          <w:color w:val="000000" w:themeColor="text1"/>
          <w:szCs w:val="21"/>
          <w14:textFill>
            <w14:solidFill>
              <w14:schemeClr w14:val="tx1"/>
            </w14:solidFill>
          </w14:textFill>
        </w:rPr>
        <w:t>7.3.1</w:t>
      </w:r>
      <w:r>
        <w:rPr>
          <w:rFonts w:ascii="黑体" w:hAnsi="黑体" w:eastAsia="黑体" w:cs="黑体"/>
          <w:color w:val="000000" w:themeColor="text1"/>
          <w:szCs w:val="21"/>
          <w14:textFill>
            <w14:solidFill>
              <w14:schemeClr w14:val="tx1"/>
            </w14:solidFill>
          </w14:textFill>
        </w:rPr>
        <w:t xml:space="preserve">  </w:t>
      </w:r>
      <w:r>
        <w:rPr>
          <w:rFonts w:hint="eastAsia" w:ascii="黑体" w:hAnsi="黑体" w:eastAsia="黑体" w:cs="黑体"/>
          <w:color w:val="000000" w:themeColor="text1"/>
          <w:szCs w:val="21"/>
          <w14:textFill>
            <w14:solidFill>
              <w14:schemeClr w14:val="tx1"/>
            </w14:solidFill>
          </w14:textFill>
        </w:rPr>
        <w:t>评估现有不动产中所含土地价格</w:t>
      </w:r>
      <w:bookmarkEnd w:id="52"/>
    </w:p>
    <w:p>
      <w:pPr>
        <w:pStyle w:val="260"/>
        <w:numPr>
          <w:ilvl w:val="0"/>
          <w:numId w:val="0"/>
        </w:numPr>
        <w:spacing w:before="120" w:after="120"/>
        <w:outlineLvl w:val="3"/>
      </w:pPr>
      <w:bookmarkStart w:id="53" w:name="_Toc15860"/>
      <w:r>
        <w:rPr>
          <w:rFonts w:hint="eastAsia"/>
        </w:rPr>
        <w:t>7.3.1.1</w:t>
      </w:r>
      <w:r>
        <w:t xml:space="preserve">  </w:t>
      </w:r>
      <w:r>
        <w:rPr>
          <w:rFonts w:hint="eastAsia"/>
        </w:rPr>
        <w:t>基本公式</w:t>
      </w:r>
      <w:bookmarkEnd w:id="53"/>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以剩余法评估现有不动产中所含土地价格应按公式（1）计算：</w:t>
      </w:r>
    </w:p>
    <w:p>
      <w:pPr>
        <w:ind w:firstLine="200"/>
        <w:jc w:val="center"/>
        <w:rPr>
          <w:rFonts w:ascii="宋体" w:hAnsi="宋体"/>
          <w:color w:val="000000" w:themeColor="text1"/>
          <w:szCs w:val="21"/>
          <w14:textFill>
            <w14:solidFill>
              <w14:schemeClr w14:val="tx1"/>
            </w14:solidFill>
          </w14:textFill>
        </w:rPr>
      </w:pPr>
      <m:oMath>
        <m:r>
          <m:rPr>
            <m:sty m:val="p"/>
          </m:rPr>
          <w:rPr>
            <w:rFonts w:hint="eastAsia" w:ascii="Cambria Math" w:hAnsi="Cambria Math" w:cstheme="minorEastAsia"/>
            <w:szCs w:val="21"/>
          </w:rPr>
          <m:t>P=</m:t>
        </m:r>
        <m:sSub>
          <m:sSubPr>
            <m:ctrlPr>
              <w:rPr>
                <w:rFonts w:hint="eastAsia" w:ascii="Cambria Math" w:hAnsi="Cambria Math" w:cstheme="minorEastAsia"/>
                <w:szCs w:val="21"/>
              </w:rPr>
            </m:ctrlPr>
          </m:sSubPr>
          <m:e>
            <m:r>
              <m:rPr>
                <m:sty m:val="p"/>
              </m:rPr>
              <w:rPr>
                <w:rFonts w:hint="eastAsia" w:ascii="Cambria Math" w:hAnsi="Cambria Math" w:cstheme="minorEastAsia"/>
                <w:szCs w:val="21"/>
              </w:rPr>
              <m:t>P</m:t>
            </m:r>
            <m:ctrlPr>
              <w:rPr>
                <w:rFonts w:hint="eastAsia" w:ascii="Cambria Math" w:hAnsi="Cambria Math" w:cstheme="minorEastAsia"/>
                <w:szCs w:val="21"/>
              </w:rPr>
            </m:ctrlPr>
          </m:e>
          <m:sub>
            <m:r>
              <m:rPr>
                <m:sty m:val="p"/>
              </m:rPr>
              <w:rPr>
                <w:rFonts w:hint="eastAsia" w:ascii="Cambria Math" w:hAnsi="Cambria Math" w:cstheme="minorEastAsia"/>
                <w:szCs w:val="21"/>
              </w:rPr>
              <m:t>r</m:t>
            </m:r>
            <m:ctrlPr>
              <w:rPr>
                <w:rFonts w:hint="eastAsia" w:ascii="Cambria Math" w:hAnsi="Cambria Math" w:cstheme="minorEastAsia"/>
                <w:szCs w:val="21"/>
              </w:rPr>
            </m:ctrlPr>
          </m:sub>
        </m:sSub>
        <m:r>
          <m:rPr>
            <m:sty m:val="p"/>
          </m:rPr>
          <w:rPr>
            <w:rFonts w:hint="eastAsia" w:ascii="Cambria Math" w:hAnsi="Cambria Math" w:eastAsia="微软雅黑" w:cs="微软雅黑"/>
            <w:szCs w:val="21"/>
          </w:rPr>
          <m:t>−</m:t>
        </m:r>
        <m:sSub>
          <m:sSubPr>
            <m:ctrlPr>
              <w:rPr>
                <w:rFonts w:hint="eastAsia" w:ascii="Cambria Math" w:hAnsi="Cambria Math" w:cstheme="minorEastAsia"/>
                <w:szCs w:val="21"/>
              </w:rPr>
            </m:ctrlPr>
          </m:sSubPr>
          <m:e>
            <m:r>
              <m:rPr>
                <m:sty m:val="p"/>
              </m:rPr>
              <w:rPr>
                <w:rFonts w:hint="eastAsia" w:ascii="Cambria Math" w:hAnsi="Cambria Math" w:cstheme="minorEastAsia"/>
                <w:szCs w:val="21"/>
              </w:rPr>
              <m:t>P</m:t>
            </m:r>
            <m:ctrlPr>
              <w:rPr>
                <w:rFonts w:hint="eastAsia" w:ascii="Cambria Math" w:hAnsi="Cambria Math" w:cstheme="minorEastAsia"/>
                <w:szCs w:val="21"/>
              </w:rPr>
            </m:ctrlPr>
          </m:e>
          <m:sub>
            <m:r>
              <m:rPr/>
              <w:rPr>
                <w:rFonts w:hint="eastAsia" w:ascii="Cambria Math" w:hAnsi="Cambria Math" w:eastAsia="MS Gothic" w:cs="MS Gothic"/>
                <w:szCs w:val="21"/>
              </w:rPr>
              <m:t>ℎ</m:t>
            </m:r>
            <m:ctrlPr>
              <w:rPr>
                <w:rFonts w:hint="eastAsia" w:ascii="Cambria Math" w:hAnsi="Cambria Math" w:cstheme="minorEastAsia"/>
                <w:szCs w:val="21"/>
              </w:rPr>
            </m:ctrlPr>
          </m:sub>
        </m:sSub>
        <m:r>
          <m:rPr>
            <m:sty m:val="p"/>
          </m:rPr>
          <w:rPr>
            <w:rFonts w:hint="eastAsia" w:ascii="Cambria Math" w:hAnsi="Cambria Math" w:eastAsia="微软雅黑" w:cs="微软雅黑"/>
            <w:szCs w:val="21"/>
          </w:rPr>
          <m:t>−</m:t>
        </m:r>
        <m:r>
          <m:rPr>
            <m:sty m:val="p"/>
          </m:rPr>
          <w:rPr>
            <w:rFonts w:hint="eastAsia" w:ascii="Cambria Math" w:hAnsi="Cambria Math" w:cstheme="minorEastAsia"/>
            <w:szCs w:val="21"/>
          </w:rPr>
          <m:t>T</m:t>
        </m:r>
      </m:oMath>
      <w:r>
        <w:rPr>
          <w:rFonts w:hint="eastAsia" w:ascii="宋体" w:hAnsi="宋体" w:cstheme="minorEastAsia"/>
          <w:szCs w:val="21"/>
        </w:rPr>
        <w:t xml:space="preserve">          ………………（1）</w:t>
      </w:r>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式中：</w:t>
      </w:r>
    </w:p>
    <w:p>
      <w:pPr>
        <w:pStyle w:val="362"/>
        <w:rPr>
          <w:rFonts w:ascii="宋体" w:hAnsi="宋体"/>
          <w:color w:val="000000" w:themeColor="text1"/>
          <w:szCs w:val="21"/>
          <w14:textFill>
            <w14:solidFill>
              <w14:schemeClr w14:val="tx1"/>
            </w14:solidFill>
          </w14:textFill>
        </w:rPr>
      </w:pPr>
      <m:oMath>
        <m:r>
          <m:rPr>
            <m:sty m:val="p"/>
          </m:rPr>
          <w:rPr>
            <w:rFonts w:hint="eastAsia" w:ascii="Cambria Math" w:hAnsi="Cambria Math" w:cstheme="minorEastAsia"/>
            <w:szCs w:val="21"/>
          </w:rPr>
          <m:t>P</m:t>
        </m:r>
      </m:oMath>
      <w:r>
        <w:rPr>
          <w:rFonts w:hint="eastAsia" w:ascii="宋体" w:hAnsi="宋体"/>
          <w:szCs w:val="21"/>
        </w:rPr>
        <w:t>——</w:t>
      </w:r>
      <w:r>
        <w:rPr>
          <w:rFonts w:hint="eastAsia" w:ascii="宋体" w:hAnsi="宋体"/>
          <w:color w:val="000000" w:themeColor="text1"/>
          <w:szCs w:val="21"/>
          <w14:textFill>
            <w14:solidFill>
              <w14:schemeClr w14:val="tx1"/>
            </w14:solidFill>
          </w14:textFill>
        </w:rPr>
        <w:t>待估宗地价格；</w:t>
      </w:r>
    </w:p>
    <w:p>
      <w:pPr>
        <w:pStyle w:val="362"/>
        <w:rPr>
          <w:rFonts w:ascii="宋体" w:hAnsi="宋体"/>
          <w:color w:val="000000" w:themeColor="text1"/>
          <w:szCs w:val="21"/>
          <w14:textFill>
            <w14:solidFill>
              <w14:schemeClr w14:val="tx1"/>
            </w14:solidFill>
          </w14:textFill>
        </w:rPr>
      </w:pPr>
      <m:oMath>
        <m:sSub>
          <m:sSubPr>
            <m:ctrlPr>
              <w:rPr>
                <w:rFonts w:hint="eastAsia" w:ascii="Cambria Math" w:hAnsi="Cambria Math" w:cstheme="minorEastAsia"/>
                <w:szCs w:val="21"/>
              </w:rPr>
            </m:ctrlPr>
          </m:sSubPr>
          <m:e>
            <m:r>
              <m:rPr>
                <m:sty m:val="p"/>
              </m:rPr>
              <w:rPr>
                <w:rFonts w:hint="eastAsia" w:ascii="Cambria Math" w:hAnsi="Cambria Math" w:cstheme="minorEastAsia"/>
                <w:szCs w:val="21"/>
              </w:rPr>
              <m:t>P</m:t>
            </m:r>
            <m:ctrlPr>
              <w:rPr>
                <w:rFonts w:hint="eastAsia" w:ascii="Cambria Math" w:hAnsi="Cambria Math" w:cstheme="minorEastAsia"/>
                <w:szCs w:val="21"/>
              </w:rPr>
            </m:ctrlPr>
          </m:e>
          <m:sub>
            <m:r>
              <m:rPr>
                <m:sty m:val="p"/>
              </m:rPr>
              <w:rPr>
                <w:rFonts w:hint="eastAsia" w:ascii="Cambria Math" w:hAnsi="Cambria Math" w:cstheme="minorEastAsia"/>
                <w:szCs w:val="21"/>
              </w:rPr>
              <m:t>r</m:t>
            </m:r>
            <m:ctrlPr>
              <w:rPr>
                <w:rFonts w:hint="eastAsia" w:ascii="Cambria Math" w:hAnsi="Cambria Math" w:cstheme="minorEastAsia"/>
                <w:szCs w:val="21"/>
              </w:rPr>
            </m:ctrlPr>
          </m:sub>
        </m:sSub>
        <m:r>
          <m:rPr/>
          <w:rPr>
            <w:rFonts w:hint="eastAsia" w:ascii="Cambria Math" w:hAnsi="Cambria Math" w:cstheme="minorEastAsia"/>
            <w:szCs w:val="21"/>
          </w:rPr>
          <m:t>——</m:t>
        </m:r>
      </m:oMath>
      <w:r>
        <w:rPr>
          <w:rFonts w:hint="eastAsia" w:ascii="宋体" w:hAnsi="宋体"/>
          <w:color w:val="000000" w:themeColor="text1"/>
          <w:szCs w:val="21"/>
          <w14:textFill>
            <w14:solidFill>
              <w14:schemeClr w14:val="tx1"/>
            </w14:solidFill>
          </w14:textFill>
        </w:rPr>
        <w:t>不动产交易价格；</w:t>
      </w:r>
    </w:p>
    <w:p>
      <w:pPr>
        <w:pStyle w:val="362"/>
        <w:rPr>
          <w:rFonts w:ascii="宋体" w:hAnsi="宋体"/>
          <w:color w:val="000000" w:themeColor="text1"/>
          <w:szCs w:val="21"/>
          <w14:textFill>
            <w14:solidFill>
              <w14:schemeClr w14:val="tx1"/>
            </w14:solidFill>
          </w14:textFill>
        </w:rPr>
      </w:pPr>
      <m:oMath>
        <m:sSub>
          <m:sSubPr>
            <m:ctrlPr>
              <w:rPr>
                <w:rFonts w:hint="eastAsia" w:ascii="Cambria Math" w:hAnsi="Cambria Math" w:cstheme="minorEastAsia"/>
                <w:szCs w:val="21"/>
              </w:rPr>
            </m:ctrlPr>
          </m:sSubPr>
          <m:e>
            <m:r>
              <m:rPr>
                <m:sty m:val="p"/>
              </m:rPr>
              <w:rPr>
                <w:rFonts w:hint="eastAsia" w:ascii="Cambria Math" w:hAnsi="Cambria Math" w:cstheme="minorEastAsia"/>
                <w:szCs w:val="21"/>
              </w:rPr>
              <m:t>P</m:t>
            </m:r>
            <m:ctrlPr>
              <w:rPr>
                <w:rFonts w:hint="eastAsia" w:ascii="Cambria Math" w:hAnsi="Cambria Math" w:cstheme="minorEastAsia"/>
                <w:szCs w:val="21"/>
              </w:rPr>
            </m:ctrlPr>
          </m:e>
          <m:sub>
            <m:r>
              <m:rPr/>
              <w:rPr>
                <w:rFonts w:hint="eastAsia" w:ascii="Cambria Math" w:hAnsi="Cambria Math" w:eastAsia="MS Gothic" w:cs="MS Gothic"/>
                <w:szCs w:val="21"/>
              </w:rPr>
              <m:t>ℎ</m:t>
            </m:r>
            <m:ctrlPr>
              <w:rPr>
                <w:rFonts w:hint="eastAsia" w:ascii="Cambria Math" w:hAnsi="Cambria Math" w:cstheme="minorEastAsia"/>
                <w:szCs w:val="21"/>
              </w:rPr>
            </m:ctrlPr>
          </m:sub>
        </m:sSub>
        <m:r>
          <m:rPr/>
          <w:rPr>
            <w:rFonts w:hint="eastAsia" w:ascii="Cambria Math" w:hAnsi="Cambria Math" w:cstheme="minorEastAsia"/>
            <w:szCs w:val="21"/>
          </w:rPr>
          <m:t>——</m:t>
        </m:r>
      </m:oMath>
      <w:r>
        <w:rPr>
          <w:rFonts w:hint="eastAsia" w:ascii="宋体" w:hAnsi="宋体"/>
          <w:color w:val="000000" w:themeColor="text1"/>
          <w:szCs w:val="21"/>
          <w14:textFill>
            <w14:solidFill>
              <w14:schemeClr w14:val="tx1"/>
            </w14:solidFill>
          </w14:textFill>
        </w:rPr>
        <w:t>房屋现值；</w:t>
      </w:r>
    </w:p>
    <w:p>
      <w:pPr>
        <w:pStyle w:val="362"/>
        <w:rPr>
          <w:rFonts w:ascii="宋体" w:hAnsi="宋体"/>
          <w:color w:val="000000" w:themeColor="text1"/>
          <w:szCs w:val="21"/>
          <w14:textFill>
            <w14:solidFill>
              <w14:schemeClr w14:val="tx1"/>
            </w14:solidFill>
          </w14:textFill>
        </w:rPr>
      </w:pPr>
      <m:oMath>
        <m:r>
          <m:rPr>
            <m:sty m:val="p"/>
          </m:rPr>
          <w:rPr>
            <w:rFonts w:hint="eastAsia" w:ascii="Cambria Math" w:hAnsi="Cambria Math" w:cstheme="minorEastAsia"/>
            <w:szCs w:val="21"/>
          </w:rPr>
          <m:t>T——</m:t>
        </m:r>
      </m:oMath>
      <w:r>
        <w:rPr>
          <w:rFonts w:hint="eastAsia" w:ascii="宋体" w:hAnsi="宋体"/>
          <w:color w:val="000000" w:themeColor="text1"/>
          <w:szCs w:val="21"/>
          <w14:textFill>
            <w14:solidFill>
              <w14:schemeClr w14:val="tx1"/>
            </w14:solidFill>
          </w14:textFill>
        </w:rPr>
        <w:t>交易税费。</w:t>
      </w:r>
    </w:p>
    <w:p>
      <w:pPr>
        <w:pStyle w:val="260"/>
        <w:numPr>
          <w:ilvl w:val="0"/>
          <w:numId w:val="0"/>
        </w:numPr>
        <w:spacing w:before="120" w:after="120"/>
        <w:outlineLvl w:val="3"/>
      </w:pPr>
      <w:bookmarkStart w:id="54" w:name="_Toc9106"/>
      <w:r>
        <w:rPr>
          <w:rFonts w:hint="eastAsia"/>
        </w:rPr>
        <w:t>7</w:t>
      </w:r>
      <w:r>
        <w:t>.</w:t>
      </w:r>
      <w:r>
        <w:rPr>
          <w:rFonts w:hint="eastAsia"/>
        </w:rPr>
        <w:t>3.1</w:t>
      </w:r>
      <w:r>
        <w:t xml:space="preserve">.2  </w:t>
      </w:r>
      <w:r>
        <w:rPr>
          <w:rFonts w:hint="eastAsia"/>
        </w:rPr>
        <w:t>评估程序</w:t>
      </w:r>
      <w:bookmarkEnd w:id="54"/>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以剩余法评估现有不动产中所含土地价格的程序如下：</w:t>
      </w:r>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调查待估宗地的基本情况；</w:t>
      </w:r>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测算不动产交易价格；</w:t>
      </w:r>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测算房屋现值；</w:t>
      </w:r>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测算交易税费；</w:t>
      </w:r>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e)</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测算待估宗地价格。</w:t>
      </w:r>
    </w:p>
    <w:p>
      <w:pPr>
        <w:pStyle w:val="260"/>
        <w:numPr>
          <w:ilvl w:val="0"/>
          <w:numId w:val="0"/>
        </w:numPr>
        <w:spacing w:before="120" w:after="120"/>
        <w:outlineLvl w:val="3"/>
      </w:pPr>
      <w:bookmarkStart w:id="55" w:name="_Toc10014"/>
      <w:r>
        <w:rPr>
          <w:rFonts w:hint="eastAsia"/>
        </w:rPr>
        <w:t xml:space="preserve">7.3.1.3 </w:t>
      </w:r>
      <w:r>
        <w:t xml:space="preserve"> </w:t>
      </w:r>
      <w:r>
        <w:rPr>
          <w:rFonts w:hint="eastAsia"/>
        </w:rPr>
        <w:t>测算不动产交易价格</w:t>
      </w:r>
      <w:bookmarkEnd w:id="55"/>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不动产交易价格应依据客观交易价格，采用市场比较法或结合不动产的经营状况和市场条件运用收益还原法确定。</w:t>
      </w:r>
    </w:p>
    <w:p>
      <w:pPr>
        <w:pStyle w:val="260"/>
        <w:numPr>
          <w:ilvl w:val="0"/>
          <w:numId w:val="0"/>
        </w:numPr>
        <w:spacing w:before="120" w:after="120"/>
        <w:outlineLvl w:val="3"/>
      </w:pPr>
      <w:bookmarkStart w:id="56" w:name="_Toc32052"/>
      <w:r>
        <w:rPr>
          <w:rFonts w:hint="eastAsia"/>
        </w:rPr>
        <w:t xml:space="preserve">7.3.1.4 </w:t>
      </w:r>
      <w:r>
        <w:t xml:space="preserve"> </w:t>
      </w:r>
      <w:r>
        <w:rPr>
          <w:rFonts w:hint="eastAsia"/>
        </w:rPr>
        <w:t>测算房屋现值</w:t>
      </w:r>
      <w:bookmarkEnd w:id="56"/>
    </w:p>
    <w:p>
      <w:pPr>
        <w:pStyle w:val="362"/>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房屋现值应根据估价期日的同类建筑物的建造成本费用，结合房屋的物理、经济和功能的退化状况选用适当折旧方法确定，应按公式（2）计算：</w:t>
      </w:r>
    </w:p>
    <w:p>
      <w:pPr>
        <w:widowControl/>
        <w:snapToGrid w:val="0"/>
        <w:ind w:firstLine="420" w:firstLineChars="200"/>
        <w:jc w:val="center"/>
        <w:rPr>
          <w:rFonts w:asciiTheme="minorEastAsia" w:hAnsiTheme="minorEastAsia" w:eastAsiaTheme="minorEastAsia" w:cstheme="minorEastAsia"/>
          <w:szCs w:val="21"/>
        </w:rPr>
      </w:pPr>
      <m:oMath>
        <m:sSub>
          <m:sSubPr>
            <m:ctrlPr>
              <w:rPr>
                <w:rFonts w:hint="eastAsia" w:ascii="Cambria Math" w:hAnsi="Cambria Math" w:eastAsiaTheme="minorEastAsia" w:cstheme="minorEastAsia"/>
                <w:szCs w:val="21"/>
              </w:rPr>
            </m:ctrlPr>
          </m:sSubPr>
          <m:e>
            <m:r>
              <m:rPr>
                <m:sty m:val="p"/>
              </m:rPr>
              <w:rPr>
                <w:rFonts w:hint="eastAsia" w:ascii="Cambria Math" w:hAnsi="Cambria Math" w:eastAsiaTheme="minorEastAsia" w:cstheme="minorEastAsia"/>
                <w:szCs w:val="21"/>
              </w:rPr>
              <m:t>P</m:t>
            </m:r>
            <m:ctrlPr>
              <w:rPr>
                <w:rFonts w:hint="eastAsia" w:ascii="Cambria Math" w:hAnsi="Cambria Math" w:eastAsiaTheme="minorEastAsia" w:cstheme="minorEastAsia"/>
                <w:szCs w:val="21"/>
              </w:rPr>
            </m:ctrlPr>
          </m:e>
          <m:sub>
            <m:r>
              <m:rPr/>
              <w:rPr>
                <w:rFonts w:hint="eastAsia" w:ascii="MS Gothic" w:hAnsi="MS Gothic" w:eastAsia="MS Gothic" w:cs="MS Gothic"/>
                <w:szCs w:val="21"/>
              </w:rPr>
              <m:t>ℎ</m:t>
            </m:r>
            <m:r>
              <m:rPr>
                <m:sty m:val="p"/>
              </m:rPr>
              <w:rPr>
                <w:rFonts w:hint="eastAsia" w:ascii="Cambria Math" w:hAnsi="Cambria Math" w:eastAsiaTheme="minorEastAsia" w:cstheme="minorEastAsia"/>
                <w:szCs w:val="21"/>
              </w:rPr>
              <m:t>c</m:t>
            </m:r>
            <m:ctrlPr>
              <w:rPr>
                <w:rFonts w:hint="eastAsia" w:ascii="Cambria Math" w:hAnsi="Cambria Math" w:eastAsiaTheme="minorEastAsia" w:cstheme="minorEastAsia"/>
                <w:szCs w:val="21"/>
              </w:rPr>
            </m:ctrlPr>
          </m:sub>
        </m:sSub>
        <m:r>
          <m:rPr>
            <m:sty m:val="p"/>
          </m:rPr>
          <w:rPr>
            <w:rFonts w:hint="eastAsia" w:ascii="Cambria Math" w:hAnsi="Cambria Math" w:eastAsiaTheme="minorEastAsia" w:cstheme="minorEastAsia"/>
            <w:szCs w:val="21"/>
          </w:rPr>
          <m:t>=</m:t>
        </m:r>
        <m:sSub>
          <m:sSubPr>
            <m:ctrlPr>
              <w:rPr>
                <w:rFonts w:hint="eastAsia" w:ascii="Cambria Math" w:hAnsi="Cambria Math" w:eastAsiaTheme="minorEastAsia" w:cstheme="minorEastAsia"/>
                <w:szCs w:val="21"/>
              </w:rPr>
            </m:ctrlPr>
          </m:sSubPr>
          <m:e>
            <m:r>
              <m:rPr>
                <m:sty m:val="p"/>
              </m:rPr>
              <w:rPr>
                <w:rFonts w:hint="eastAsia" w:ascii="Cambria Math" w:hAnsi="Cambria Math" w:eastAsiaTheme="minorEastAsia" w:cstheme="minorEastAsia"/>
                <w:szCs w:val="21"/>
              </w:rPr>
              <m:t>P</m:t>
            </m:r>
            <m:ctrlPr>
              <w:rPr>
                <w:rFonts w:hint="eastAsia" w:ascii="Cambria Math" w:hAnsi="Cambria Math" w:eastAsiaTheme="minorEastAsia" w:cstheme="minorEastAsia"/>
                <w:szCs w:val="21"/>
              </w:rPr>
            </m:ctrlPr>
          </m:e>
          <m:sub>
            <m:r>
              <m:rPr/>
              <w:rPr>
                <w:rFonts w:hint="eastAsia" w:ascii="MS Gothic" w:hAnsi="MS Gothic" w:eastAsia="MS Gothic" w:cs="MS Gothic"/>
                <w:szCs w:val="21"/>
              </w:rPr>
              <m:t>ℎ</m:t>
            </m:r>
            <m:r>
              <m:rPr>
                <m:sty m:val="p"/>
              </m:rPr>
              <w:rPr>
                <w:rFonts w:hint="eastAsia" w:ascii="Cambria Math" w:hAnsi="Cambria Math" w:eastAsiaTheme="minorEastAsia" w:cstheme="minorEastAsia"/>
                <w:szCs w:val="21"/>
              </w:rPr>
              <m:t>k</m:t>
            </m:r>
            <m:ctrlPr>
              <w:rPr>
                <w:rFonts w:hint="eastAsia" w:ascii="Cambria Math" w:hAnsi="Cambria Math" w:eastAsiaTheme="minorEastAsia" w:cstheme="minorEastAsia"/>
                <w:szCs w:val="21"/>
              </w:rPr>
            </m:ctrlPr>
          </m:sub>
        </m:sSub>
        <m:r>
          <m:rPr>
            <m:sty m:val="p"/>
          </m:rPr>
          <w:rPr>
            <w:rFonts w:hint="eastAsia" w:ascii="Cambria Math" w:hAnsi="Cambria Math" w:eastAsiaTheme="minorEastAsia" w:cstheme="minorEastAsia"/>
            <w:szCs w:val="21"/>
          </w:rPr>
          <m:t>×</m:t>
        </m:r>
        <m:sSub>
          <m:sSubPr>
            <m:ctrlPr>
              <w:rPr>
                <w:rFonts w:hint="eastAsia" w:ascii="Cambria Math" w:hAnsi="Cambria Math" w:eastAsiaTheme="minorEastAsia" w:cstheme="minorEastAsia"/>
                <w:szCs w:val="21"/>
              </w:rPr>
            </m:ctrlPr>
          </m:sSubPr>
          <m:e>
            <m:r>
              <m:rPr>
                <m:sty m:val="p"/>
              </m:rPr>
              <w:rPr>
                <w:rFonts w:hint="eastAsia" w:ascii="Cambria Math" w:hAnsi="Cambria Math" w:eastAsiaTheme="minorEastAsia" w:cstheme="minorEastAsia"/>
                <w:szCs w:val="21"/>
              </w:rPr>
              <m:t>D</m:t>
            </m:r>
            <m:ctrlPr>
              <w:rPr>
                <w:rFonts w:hint="eastAsia" w:ascii="Cambria Math" w:hAnsi="Cambria Math" w:eastAsiaTheme="minorEastAsia" w:cstheme="minorEastAsia"/>
                <w:szCs w:val="21"/>
              </w:rPr>
            </m:ctrlPr>
          </m:e>
          <m:sub>
            <m:r>
              <m:rPr>
                <m:sty m:val="p"/>
              </m:rPr>
              <w:rPr>
                <w:rFonts w:hint="eastAsia" w:ascii="Cambria Math" w:hAnsi="Cambria Math" w:eastAsiaTheme="minorEastAsia" w:cstheme="minorEastAsia"/>
                <w:szCs w:val="21"/>
              </w:rPr>
              <m:t>n</m:t>
            </m:r>
            <m:ctrlPr>
              <w:rPr>
                <w:rFonts w:hint="eastAsia" w:ascii="Cambria Math" w:hAnsi="Cambria Math" w:eastAsiaTheme="minorEastAsia" w:cstheme="minorEastAsia"/>
                <w:szCs w:val="21"/>
              </w:rPr>
            </m:ctrlPr>
          </m:sub>
        </m:sSub>
        <m:r>
          <m:rPr>
            <m:sty m:val="p"/>
          </m:rPr>
          <w:rPr>
            <w:rFonts w:hint="eastAsia" w:ascii="Cambria Math" w:hAnsi="Cambria Math" w:eastAsiaTheme="minorEastAsia" w:cstheme="minorEastAsia"/>
            <w:szCs w:val="21"/>
          </w:rPr>
          <m:t>=</m:t>
        </m:r>
        <m:sSub>
          <m:sSubPr>
            <m:ctrlPr>
              <w:rPr>
                <w:rFonts w:hint="eastAsia" w:ascii="Cambria Math" w:hAnsi="Cambria Math" w:eastAsiaTheme="minorEastAsia" w:cstheme="minorEastAsia"/>
                <w:szCs w:val="21"/>
              </w:rPr>
            </m:ctrlPr>
          </m:sSubPr>
          <m:e>
            <m:r>
              <m:rPr>
                <m:sty m:val="p"/>
              </m:rPr>
              <w:rPr>
                <w:rFonts w:hint="eastAsia" w:ascii="Cambria Math" w:hAnsi="Cambria Math" w:eastAsiaTheme="minorEastAsia" w:cstheme="minorEastAsia"/>
                <w:szCs w:val="21"/>
              </w:rPr>
              <m:t>P</m:t>
            </m:r>
            <m:ctrlPr>
              <w:rPr>
                <w:rFonts w:hint="eastAsia" w:ascii="Cambria Math" w:hAnsi="Cambria Math" w:eastAsiaTheme="minorEastAsia" w:cstheme="minorEastAsia"/>
                <w:szCs w:val="21"/>
              </w:rPr>
            </m:ctrlPr>
          </m:e>
          <m:sub>
            <m:r>
              <m:rPr/>
              <w:rPr>
                <w:rFonts w:hint="eastAsia" w:ascii="MS Gothic" w:hAnsi="MS Gothic" w:eastAsia="MS Gothic" w:cs="MS Gothic"/>
                <w:szCs w:val="21"/>
              </w:rPr>
              <m:t>ℎ</m:t>
            </m:r>
            <m:r>
              <m:rPr>
                <m:sty m:val="p"/>
              </m:rPr>
              <w:rPr>
                <w:rFonts w:hint="eastAsia" w:ascii="Cambria Math" w:hAnsi="Cambria Math" w:eastAsiaTheme="minorEastAsia" w:cstheme="minorEastAsia"/>
                <w:szCs w:val="21"/>
              </w:rPr>
              <m:t>k</m:t>
            </m:r>
            <m:ctrlPr>
              <w:rPr>
                <w:rFonts w:hint="eastAsia" w:ascii="Cambria Math" w:hAnsi="Cambria Math" w:eastAsiaTheme="minorEastAsia" w:cstheme="minorEastAsia"/>
                <w:szCs w:val="21"/>
              </w:rPr>
            </m:ctrlPr>
          </m:sub>
        </m:sSub>
        <m:r>
          <m:rPr>
            <m:sty m:val="p"/>
          </m:rPr>
          <w:rPr>
            <w:rFonts w:hint="eastAsia" w:ascii="微软雅黑" w:hAnsi="微软雅黑" w:eastAsia="微软雅黑" w:cs="微软雅黑"/>
            <w:szCs w:val="21"/>
          </w:rPr>
          <m:t>−</m:t>
        </m:r>
        <m:r>
          <m:rPr>
            <m:sty m:val="p"/>
          </m:rPr>
          <w:rPr>
            <w:rFonts w:hint="eastAsia" w:ascii="Cambria Math" w:hAnsi="Cambria Math" w:eastAsiaTheme="minorEastAsia" w:cstheme="minorEastAsia"/>
            <w:szCs w:val="21"/>
          </w:rPr>
          <m:t>E</m:t>
        </m:r>
      </m:oMath>
      <w:r>
        <w:rPr>
          <w:rFonts w:hint="eastAsia" w:asciiTheme="minorEastAsia" w:hAnsiTheme="minorEastAsia" w:eastAsiaTheme="minorEastAsia" w:cstheme="minorEastAsia"/>
          <w:szCs w:val="21"/>
        </w:rPr>
        <w:t xml:space="preserve">        ………………（2）</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式中：</w:t>
      </w:r>
    </w:p>
    <w:p>
      <w:pPr>
        <w:widowControl/>
        <w:snapToGrid w:val="0"/>
        <w:ind w:firstLine="420" w:firstLineChars="200"/>
        <w:rPr>
          <w:rFonts w:asciiTheme="minorEastAsia" w:hAnsiTheme="minorEastAsia" w:cstheme="minorEastAsia"/>
          <w:szCs w:val="21"/>
        </w:rPr>
      </w:pPr>
      <m:oMath>
        <m:sSub>
          <m:sSubPr>
            <m:ctrlPr>
              <w:rPr>
                <w:rFonts w:hint="eastAsia" w:ascii="Cambria Math" w:hAnsi="Cambria Math" w:cstheme="minorEastAsia"/>
                <w:szCs w:val="21"/>
              </w:rPr>
            </m:ctrlPr>
          </m:sSubPr>
          <m:e>
            <m:r>
              <m:rPr>
                <m:sty m:val="p"/>
              </m:rPr>
              <w:rPr>
                <w:rFonts w:hint="eastAsia" w:ascii="Cambria Math" w:hAnsi="Cambria Math" w:cstheme="minorEastAsia"/>
                <w:szCs w:val="21"/>
              </w:rPr>
              <m:t>P</m:t>
            </m:r>
            <m:ctrlPr>
              <w:rPr>
                <w:rFonts w:hint="eastAsia" w:ascii="Cambria Math" w:hAnsi="Cambria Math" w:cstheme="minorEastAsia"/>
                <w:szCs w:val="21"/>
              </w:rPr>
            </m:ctrlPr>
          </m:e>
          <m:sub>
            <m:r>
              <m:rPr/>
              <w:rPr>
                <w:rFonts w:hint="eastAsia" w:ascii="MS Gothic" w:hAnsi="MS Gothic" w:eastAsia="MS Gothic" w:cs="MS Gothic"/>
                <w:szCs w:val="21"/>
              </w:rPr>
              <m:t>ℎ</m:t>
            </m:r>
            <m:r>
              <m:rPr>
                <m:sty m:val="p"/>
              </m:rPr>
              <w:rPr>
                <w:rFonts w:hint="eastAsia" w:ascii="Cambria Math" w:hAnsi="Cambria Math" w:cstheme="minorEastAsia"/>
                <w:szCs w:val="21"/>
              </w:rPr>
              <m:t>c</m:t>
            </m:r>
            <m:ctrlPr>
              <w:rPr>
                <w:rFonts w:hint="eastAsia" w:ascii="Cambria Math" w:hAnsi="Cambria Math" w:cstheme="minorEastAsia"/>
                <w:szCs w:val="21"/>
              </w:rPr>
            </m:ctrlPr>
          </m:sub>
        </m:sSub>
      </m:oMath>
      <w:r>
        <w:rPr>
          <w:rFonts w:hint="eastAsia" w:asciiTheme="minorEastAsia" w:hAnsiTheme="minorEastAsia" w:cstheme="minorEastAsia"/>
          <w:szCs w:val="21"/>
        </w:rPr>
        <w:t>——房屋现值；</w:t>
      </w:r>
    </w:p>
    <w:p>
      <w:pPr>
        <w:widowControl/>
        <w:snapToGrid w:val="0"/>
        <w:ind w:firstLine="420" w:firstLineChars="200"/>
        <w:rPr>
          <w:rFonts w:asciiTheme="minorEastAsia" w:hAnsiTheme="minorEastAsia" w:cstheme="minorEastAsia"/>
          <w:szCs w:val="21"/>
        </w:rPr>
      </w:pPr>
      <m:oMath>
        <m:sSub>
          <m:sSubPr>
            <m:ctrlPr>
              <w:rPr>
                <w:rFonts w:hint="eastAsia" w:ascii="Cambria Math" w:hAnsi="Cambria Math" w:cstheme="minorEastAsia"/>
                <w:szCs w:val="21"/>
              </w:rPr>
            </m:ctrlPr>
          </m:sSubPr>
          <m:e>
            <m:r>
              <m:rPr>
                <m:sty m:val="p"/>
              </m:rPr>
              <w:rPr>
                <w:rFonts w:hint="eastAsia" w:ascii="Cambria Math" w:hAnsi="Cambria Math" w:cstheme="minorEastAsia"/>
                <w:szCs w:val="21"/>
              </w:rPr>
              <m:t>P</m:t>
            </m:r>
            <m:ctrlPr>
              <w:rPr>
                <w:rFonts w:hint="eastAsia" w:ascii="Cambria Math" w:hAnsi="Cambria Math" w:cstheme="minorEastAsia"/>
                <w:szCs w:val="21"/>
              </w:rPr>
            </m:ctrlPr>
          </m:e>
          <m:sub>
            <m:r>
              <m:rPr/>
              <w:rPr>
                <w:rFonts w:hint="eastAsia" w:ascii="MS Gothic" w:hAnsi="MS Gothic" w:eastAsia="MS Gothic" w:cs="MS Gothic"/>
                <w:szCs w:val="21"/>
              </w:rPr>
              <m:t>ℎ</m:t>
            </m:r>
            <m:r>
              <m:rPr>
                <m:sty m:val="p"/>
              </m:rPr>
              <w:rPr>
                <w:rFonts w:hint="eastAsia" w:ascii="Cambria Math" w:hAnsi="Cambria Math" w:cstheme="minorEastAsia"/>
                <w:szCs w:val="21"/>
              </w:rPr>
              <m:t>k</m:t>
            </m:r>
            <m:ctrlPr>
              <w:rPr>
                <w:rFonts w:hint="eastAsia" w:ascii="Cambria Math" w:hAnsi="Cambria Math" w:cstheme="minorEastAsia"/>
                <w:szCs w:val="21"/>
              </w:rPr>
            </m:ctrlPr>
          </m:sub>
        </m:sSub>
      </m:oMath>
      <w:r>
        <w:rPr>
          <w:rFonts w:hint="eastAsia" w:asciiTheme="minorEastAsia" w:hAnsiTheme="minorEastAsia" w:cstheme="minorEastAsia"/>
          <w:szCs w:val="21"/>
        </w:rPr>
        <w:t>——房屋重置价；</w:t>
      </w:r>
    </w:p>
    <w:p>
      <w:pPr>
        <w:widowControl/>
        <w:snapToGrid w:val="0"/>
        <w:ind w:firstLine="420" w:firstLineChars="200"/>
        <w:rPr>
          <w:rFonts w:asciiTheme="minorEastAsia" w:hAnsiTheme="minorEastAsia" w:cstheme="minorEastAsia"/>
          <w:szCs w:val="21"/>
        </w:rPr>
      </w:pPr>
      <m:oMath>
        <m:sSub>
          <m:sSubPr>
            <m:ctrlPr>
              <w:rPr>
                <w:rFonts w:hint="eastAsia" w:ascii="Cambria Math" w:hAnsi="Cambria Math" w:cstheme="minorEastAsia"/>
                <w:szCs w:val="21"/>
              </w:rPr>
            </m:ctrlPr>
          </m:sSubPr>
          <m:e>
            <m:r>
              <m:rPr>
                <m:sty m:val="p"/>
              </m:rPr>
              <w:rPr>
                <w:rFonts w:hint="eastAsia" w:ascii="Cambria Math" w:hAnsi="Cambria Math" w:cstheme="minorEastAsia"/>
                <w:szCs w:val="21"/>
              </w:rPr>
              <m:t>D</m:t>
            </m:r>
            <m:ctrlPr>
              <w:rPr>
                <w:rFonts w:hint="eastAsia" w:ascii="Cambria Math" w:hAnsi="Cambria Math" w:cstheme="minorEastAsia"/>
                <w:szCs w:val="21"/>
              </w:rPr>
            </m:ctrlPr>
          </m:e>
          <m:sub>
            <m:r>
              <m:rPr>
                <m:sty m:val="p"/>
              </m:rPr>
              <w:rPr>
                <w:rFonts w:hint="eastAsia" w:ascii="Cambria Math" w:hAnsi="Cambria Math" w:cstheme="minorEastAsia"/>
                <w:szCs w:val="21"/>
              </w:rPr>
              <m:t>n</m:t>
            </m:r>
            <m:ctrlPr>
              <w:rPr>
                <w:rFonts w:hint="eastAsia" w:ascii="Cambria Math" w:hAnsi="Cambria Math" w:cstheme="minorEastAsia"/>
                <w:szCs w:val="21"/>
              </w:rPr>
            </m:ctrlPr>
          </m:sub>
        </m:sSub>
      </m:oMath>
      <w:r>
        <w:rPr>
          <w:rFonts w:hint="eastAsia" w:asciiTheme="minorEastAsia" w:hAnsiTheme="minorEastAsia" w:cstheme="minorEastAsia"/>
          <w:szCs w:val="21"/>
        </w:rPr>
        <w:t>——房屋成新度；</w:t>
      </w:r>
    </w:p>
    <w:p>
      <w:pPr>
        <w:widowControl/>
        <w:snapToGrid w:val="0"/>
        <w:ind w:firstLine="420" w:firstLineChars="200"/>
        <w:rPr>
          <w:rFonts w:asciiTheme="minorEastAsia" w:hAnsiTheme="minorEastAsia" w:cstheme="minorEastAsia"/>
          <w:szCs w:val="21"/>
        </w:rPr>
      </w:pPr>
      <m:oMath>
        <m:r>
          <m:rPr>
            <m:sty m:val="p"/>
          </m:rPr>
          <w:rPr>
            <w:rFonts w:hint="eastAsia" w:ascii="Cambria Math" w:hAnsi="Cambria Math" w:cstheme="minorEastAsia"/>
            <w:szCs w:val="21"/>
          </w:rPr>
          <m:t>E</m:t>
        </m:r>
      </m:oMath>
      <w:r>
        <w:rPr>
          <w:rFonts w:hint="eastAsia" w:asciiTheme="minorEastAsia" w:hAnsiTheme="minorEastAsia" w:cstheme="minorEastAsia"/>
          <w:szCs w:val="21"/>
        </w:rPr>
        <w:t>——房屋折旧总额。</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利用不动产收益评估土地收益价格时应关注如下情况：</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——当房屋经济寿命早于设定土地使用权年期时，应按照房屋经济寿命确定折旧年限，合理估算剩余年期的土地价格。</w:t>
      </w:r>
    </w:p>
    <w:p>
      <w:pPr>
        <w:widowControl/>
        <w:snapToGrid w:val="0"/>
        <w:ind w:firstLine="420" w:firstLineChars="200"/>
        <w:rPr>
          <w:szCs w:val="21"/>
        </w:rPr>
      </w:pPr>
      <w:r>
        <w:rPr>
          <w:rFonts w:hint="eastAsia" w:asciiTheme="minorEastAsia" w:hAnsiTheme="minorEastAsia" w:cstheme="minorEastAsia"/>
          <w:szCs w:val="21"/>
        </w:rPr>
        <w:t>——当房屋经济寿命晚于设定土地使用权年期时，应按照土地使用权期限确定折旧年限，并合理估算房屋余值。</w:t>
      </w:r>
    </w:p>
    <w:p>
      <w:pPr>
        <w:pStyle w:val="260"/>
        <w:numPr>
          <w:ilvl w:val="0"/>
          <w:numId w:val="0"/>
        </w:numPr>
        <w:spacing w:before="120" w:after="120"/>
        <w:outlineLvl w:val="3"/>
      </w:pPr>
      <w:bookmarkStart w:id="57" w:name="_Toc7918"/>
      <w:bookmarkStart w:id="58" w:name="_Toc16321"/>
      <w:r>
        <w:rPr>
          <w:rFonts w:hint="eastAsia"/>
        </w:rPr>
        <w:t xml:space="preserve">7.3.1.5 </w:t>
      </w:r>
      <w:r>
        <w:t xml:space="preserve"> </w:t>
      </w:r>
      <w:r>
        <w:rPr>
          <w:rFonts w:hint="eastAsia"/>
        </w:rPr>
        <w:t>测算交易税费</w:t>
      </w:r>
      <w:bookmarkEnd w:id="57"/>
      <w:bookmarkEnd w:id="58"/>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不动产交易过程中的税费涉及增值税、城市维护建设税、教育费附加及地方教育费附加、土地增值税、印花税等。</w:t>
      </w:r>
    </w:p>
    <w:p>
      <w:pPr>
        <w:pStyle w:val="260"/>
        <w:numPr>
          <w:ilvl w:val="0"/>
          <w:numId w:val="0"/>
        </w:numPr>
        <w:spacing w:before="120" w:after="120"/>
        <w:outlineLvl w:val="3"/>
      </w:pPr>
      <w:bookmarkStart w:id="59" w:name="_Toc4738"/>
      <w:bookmarkStart w:id="60" w:name="_Toc15163"/>
      <w:r>
        <w:rPr>
          <w:rFonts w:hint="eastAsia"/>
        </w:rPr>
        <w:t xml:space="preserve">7.3.1.6 </w:t>
      </w:r>
      <w:r>
        <w:t xml:space="preserve"> </w:t>
      </w:r>
      <w:r>
        <w:rPr>
          <w:rFonts w:hint="eastAsia"/>
        </w:rPr>
        <w:t>测算土地价格</w:t>
      </w:r>
      <w:bookmarkEnd w:id="59"/>
      <w:bookmarkEnd w:id="60"/>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运用剩余法评估公式测算现有不动产中所含土地价格，应注意待估宗地的设定使用年期与不动产交易价格对应的年期之间的差别并进行使用年期修正。</w:t>
      </w:r>
    </w:p>
    <w:p>
      <w:pPr>
        <w:pStyle w:val="260"/>
        <w:numPr>
          <w:ilvl w:val="0"/>
          <w:numId w:val="0"/>
        </w:numPr>
        <w:spacing w:before="120" w:after="120"/>
        <w:outlineLvl w:val="3"/>
      </w:pPr>
      <w:bookmarkStart w:id="61" w:name="_Toc3168"/>
      <w:bookmarkStart w:id="62" w:name="_Toc22935"/>
      <w:r>
        <w:rPr>
          <w:rFonts w:hint="eastAsia"/>
        </w:rPr>
        <w:t>7.3.1.7</w:t>
      </w:r>
      <w:r>
        <w:t xml:space="preserve"> </w:t>
      </w:r>
      <w:r>
        <w:rPr>
          <w:rFonts w:hint="eastAsia"/>
        </w:rPr>
        <w:t xml:space="preserve"> </w:t>
      </w:r>
      <w:bookmarkEnd w:id="61"/>
      <w:r>
        <w:rPr>
          <w:rFonts w:hint="eastAsia"/>
        </w:rPr>
        <w:t>方法应用要求</w:t>
      </w:r>
      <w:bookmarkEnd w:id="62"/>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本方法适用于已开发样本宗地的地价评估。</w:t>
      </w:r>
    </w:p>
    <w:p>
      <w:pPr>
        <w:spacing w:before="120" w:beforeLines="50" w:after="120" w:afterLines="50"/>
        <w:outlineLvl w:val="2"/>
        <w:rPr>
          <w:rFonts w:ascii="黑体" w:hAnsi="黑体" w:eastAsia="黑体" w:cs="黑体"/>
          <w:color w:val="000000" w:themeColor="text1"/>
          <w:szCs w:val="21"/>
          <w14:textFill>
            <w14:solidFill>
              <w14:schemeClr w14:val="tx1"/>
            </w14:solidFill>
          </w14:textFill>
        </w:rPr>
      </w:pPr>
      <w:bookmarkStart w:id="63" w:name="_Toc32175"/>
      <w:r>
        <w:rPr>
          <w:rFonts w:hint="eastAsia" w:ascii="黑体" w:hAnsi="黑体" w:eastAsia="黑体" w:cs="黑体"/>
          <w:color w:val="000000" w:themeColor="text1"/>
          <w:szCs w:val="21"/>
          <w14:textFill>
            <w14:solidFill>
              <w14:schemeClr w14:val="tx1"/>
            </w14:solidFill>
          </w14:textFill>
        </w:rPr>
        <w:t>7.3.2评估待开发土地价格</w:t>
      </w:r>
      <w:bookmarkEnd w:id="63"/>
    </w:p>
    <w:p>
      <w:pPr>
        <w:pStyle w:val="260"/>
        <w:numPr>
          <w:ilvl w:val="0"/>
          <w:numId w:val="0"/>
        </w:numPr>
        <w:spacing w:before="120" w:after="120"/>
        <w:outlineLvl w:val="3"/>
        <w:rPr>
          <w:rFonts w:asciiTheme="minorEastAsia" w:hAnsiTheme="minorEastAsia" w:cstheme="minorEastAsia"/>
        </w:rPr>
      </w:pPr>
      <w:bookmarkStart w:id="64" w:name="_Toc18708"/>
      <w:r>
        <w:rPr>
          <w:rFonts w:hint="eastAsia"/>
        </w:rPr>
        <w:t>7.3.</w:t>
      </w:r>
      <w:r>
        <w:t>2</w:t>
      </w:r>
      <w:r>
        <w:rPr>
          <w:rFonts w:hint="eastAsia"/>
        </w:rPr>
        <w:t>.</w:t>
      </w:r>
      <w:r>
        <w:t>1</w:t>
      </w:r>
      <w:r>
        <w:rPr>
          <w:rFonts w:hint="eastAsia" w:asciiTheme="minorEastAsia" w:hAnsiTheme="minorEastAsia" w:cstheme="minorEastAsia"/>
        </w:rPr>
        <w:t xml:space="preserve"> </w:t>
      </w:r>
      <w:r>
        <w:rPr>
          <w:rFonts w:asciiTheme="minorEastAsia" w:hAnsiTheme="minorEastAsia" w:cstheme="minorEastAsia"/>
        </w:rPr>
        <w:t xml:space="preserve"> </w:t>
      </w:r>
      <w:r>
        <w:rPr>
          <w:rFonts w:hint="eastAsia" w:asciiTheme="minorEastAsia" w:hAnsiTheme="minorEastAsia" w:cstheme="minorEastAsia"/>
        </w:rPr>
        <w:t>基本公式</w:t>
      </w:r>
      <w:bookmarkEnd w:id="64"/>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以剩余法评估待开发土地价格应该按公式（</w:t>
      </w:r>
      <w:r>
        <w:rPr>
          <w:rFonts w:asciiTheme="minorEastAsia" w:hAnsiTheme="minorEastAsia" w:cstheme="minorEastAsia"/>
          <w:szCs w:val="21"/>
        </w:rPr>
        <w:t>3</w:t>
      </w:r>
      <w:r>
        <w:rPr>
          <w:rFonts w:hint="eastAsia" w:asciiTheme="minorEastAsia" w:hAnsiTheme="minorEastAsia" w:cstheme="minorEastAsia"/>
          <w:szCs w:val="21"/>
        </w:rPr>
        <w:t>）计算：</w:t>
      </w:r>
    </w:p>
    <w:p>
      <w:pPr>
        <w:widowControl/>
        <w:snapToGrid w:val="0"/>
        <w:ind w:firstLine="200"/>
        <w:jc w:val="center"/>
        <w:rPr>
          <w:rFonts w:asciiTheme="minorEastAsia" w:hAnsiTheme="minorEastAsia" w:eastAsiaTheme="minorEastAsia" w:cstheme="minorEastAsia"/>
          <w:szCs w:val="21"/>
        </w:rPr>
      </w:pPr>
      <m:oMath>
        <m:r>
          <m:rPr>
            <m:sty m:val="p"/>
          </m:rPr>
          <w:rPr>
            <w:rFonts w:hint="eastAsia" w:ascii="Cambria Math" w:hAnsi="Cambria Math" w:eastAsiaTheme="minorEastAsia"/>
            <w:szCs w:val="21"/>
          </w:rPr>
          <m:t>P=A</m:t>
        </m:r>
        <m:r>
          <m:rPr>
            <m:sty m:val="p"/>
          </m:rPr>
          <w:rPr>
            <w:rFonts w:hint="eastAsia" w:ascii="微软雅黑" w:hAnsi="微软雅黑" w:eastAsia="微软雅黑" w:cs="微软雅黑"/>
            <w:szCs w:val="21"/>
          </w:rPr>
          <m:t>−</m:t>
        </m:r>
        <m:r>
          <m:rPr>
            <m:sty m:val="p"/>
          </m:rPr>
          <w:rPr>
            <w:rFonts w:ascii="Cambria Math" w:hAnsi="Cambria Math" w:cs="微软雅黑" w:eastAsiaTheme="minorEastAsia"/>
            <w:szCs w:val="21"/>
          </w:rPr>
          <m:t>B−C</m:t>
        </m:r>
      </m:oMath>
      <w:r>
        <w:rPr>
          <w:rFonts w:hint="eastAsia" w:asciiTheme="minorEastAsia" w:hAnsiTheme="minorEastAsia" w:eastAsiaTheme="minorEastAsia"/>
          <w:szCs w:val="21"/>
        </w:rPr>
        <w:t xml:space="preserve"> </w:t>
      </w:r>
      <w:r>
        <w:rPr>
          <w:rFonts w:asciiTheme="minorEastAsia" w:hAnsiTheme="minorEastAsia" w:eastAsiaTheme="minorEastAsia"/>
          <w:szCs w:val="21"/>
        </w:rPr>
        <w:t xml:space="preserve">         </w:t>
      </w:r>
      <w:r>
        <w:rPr>
          <w:rFonts w:hint="eastAsia" w:asciiTheme="minorEastAsia" w:hAnsiTheme="minorEastAsia" w:eastAsiaTheme="minorEastAsia"/>
          <w:szCs w:val="21"/>
        </w:rPr>
        <w:t>………………（</w:t>
      </w:r>
      <w:r>
        <w:rPr>
          <w:rFonts w:asciiTheme="minorEastAsia" w:hAnsiTheme="minorEastAsia" w:eastAsiaTheme="minorEastAsia"/>
          <w:szCs w:val="21"/>
        </w:rPr>
        <w:t>3</w:t>
      </w:r>
      <w:r>
        <w:rPr>
          <w:rFonts w:hint="eastAsia" w:asciiTheme="minorEastAsia" w:hAnsiTheme="minorEastAsia" w:eastAsiaTheme="minorEastAsia"/>
          <w:szCs w:val="21"/>
        </w:rPr>
        <w:t>）</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式中：</w:t>
      </w:r>
    </w:p>
    <w:p>
      <w:pPr>
        <w:widowControl/>
        <w:snapToGrid w:val="0"/>
        <w:ind w:firstLine="420" w:firstLineChars="200"/>
        <w:rPr>
          <w:rFonts w:asciiTheme="minorEastAsia" w:hAnsiTheme="minorEastAsia" w:eastAsiaTheme="minorEastAsia" w:cstheme="minorEastAsia"/>
          <w:szCs w:val="21"/>
        </w:rPr>
      </w:pPr>
      <w:r>
        <w:rPr>
          <w:rFonts w:hint="eastAsia" w:ascii="Cambria Math" w:hAnsi="Cambria Math"/>
          <w:szCs w:val="21"/>
        </w:rPr>
        <w:t>P——</w:t>
      </w:r>
      <w:r>
        <w:rPr>
          <w:rFonts w:hint="eastAsia" w:asciiTheme="minorEastAsia" w:hAnsiTheme="minorEastAsia" w:eastAsiaTheme="minorEastAsia" w:cstheme="minorEastAsia"/>
          <w:szCs w:val="21"/>
        </w:rPr>
        <w:t>待估宗地价格；</w:t>
      </w:r>
    </w:p>
    <w:p>
      <w:pPr>
        <w:widowControl/>
        <w:snapToGrid w:val="0"/>
        <w:ind w:firstLine="420" w:firstLineChars="200"/>
        <w:rPr>
          <w:rFonts w:asciiTheme="minorEastAsia" w:hAnsiTheme="minorEastAsia" w:eastAsiaTheme="minorEastAsia" w:cstheme="minorEastAsia"/>
          <w:szCs w:val="21"/>
        </w:rPr>
      </w:pPr>
      <w:r>
        <w:rPr>
          <w:rFonts w:hint="eastAsia" w:ascii="Cambria Math" w:hAnsi="Cambria Math"/>
          <w:szCs w:val="21"/>
        </w:rPr>
        <w:t>A</w:t>
      </w:r>
      <w:r>
        <w:rPr>
          <w:rFonts w:hint="eastAsia" w:asciiTheme="minorEastAsia" w:hAnsiTheme="minorEastAsia" w:eastAsiaTheme="minorEastAsia" w:cstheme="minorEastAsia"/>
          <w:szCs w:val="21"/>
        </w:rPr>
        <w:t>——不动产总价；</w:t>
      </w:r>
    </w:p>
    <w:p>
      <w:pPr>
        <w:widowControl/>
        <w:snapToGrid w:val="0"/>
        <w:ind w:firstLine="420" w:firstLineChars="200"/>
        <w:rPr>
          <w:rFonts w:asciiTheme="minorEastAsia" w:hAnsiTheme="minorEastAsia" w:eastAsiaTheme="minorEastAsia" w:cstheme="minorEastAsia"/>
          <w:szCs w:val="21"/>
        </w:rPr>
      </w:pPr>
      <w:r>
        <w:rPr>
          <w:rFonts w:hint="eastAsia" w:ascii="Cambria Math" w:hAnsi="Cambria Math"/>
          <w:szCs w:val="21"/>
        </w:rPr>
        <w:t>B</w:t>
      </w:r>
      <w:r>
        <w:rPr>
          <w:rFonts w:hint="eastAsia" w:asciiTheme="minorEastAsia" w:hAnsiTheme="minorEastAsia" w:eastAsiaTheme="minorEastAsia" w:cstheme="minorEastAsia"/>
          <w:szCs w:val="21"/>
        </w:rPr>
        <w:t>——开发项目整体的开发成本；</w:t>
      </w:r>
    </w:p>
    <w:p>
      <w:pPr>
        <w:widowControl/>
        <w:snapToGrid w:val="0"/>
        <w:ind w:firstLine="420" w:firstLineChars="200"/>
        <w:rPr>
          <w:rFonts w:asciiTheme="minorEastAsia" w:hAnsiTheme="minorEastAsia" w:eastAsiaTheme="minorEastAsia" w:cstheme="minorEastAsia"/>
          <w:szCs w:val="21"/>
        </w:rPr>
      </w:pPr>
      <w:r>
        <w:rPr>
          <w:rFonts w:hint="eastAsia" w:ascii="Cambria Math" w:hAnsi="Cambria Math"/>
          <w:szCs w:val="21"/>
        </w:rPr>
        <w:t>C</w:t>
      </w:r>
      <w:r>
        <w:rPr>
          <w:rFonts w:hint="eastAsia" w:asciiTheme="minorEastAsia" w:hAnsiTheme="minorEastAsia" w:eastAsiaTheme="minorEastAsia" w:cstheme="minorEastAsia"/>
          <w:szCs w:val="21"/>
        </w:rPr>
        <w:t>——客观开发利润。</w:t>
      </w:r>
    </w:p>
    <w:p>
      <w:pPr>
        <w:pStyle w:val="260"/>
        <w:numPr>
          <w:ilvl w:val="0"/>
          <w:numId w:val="0"/>
        </w:numPr>
        <w:spacing w:before="120" w:after="120"/>
        <w:outlineLvl w:val="3"/>
      </w:pPr>
      <w:bookmarkStart w:id="65" w:name="_Toc24651"/>
      <w:r>
        <w:rPr>
          <w:rFonts w:hint="eastAsia"/>
        </w:rPr>
        <w:t>7.3.</w:t>
      </w:r>
      <w:r>
        <w:t>2</w:t>
      </w:r>
      <w:r>
        <w:rPr>
          <w:rFonts w:hint="eastAsia"/>
        </w:rPr>
        <w:t xml:space="preserve">.2 </w:t>
      </w:r>
      <w:r>
        <w:t xml:space="preserve"> </w:t>
      </w:r>
      <w:r>
        <w:rPr>
          <w:rFonts w:hint="eastAsia"/>
        </w:rPr>
        <w:t>评估程序</w:t>
      </w:r>
      <w:bookmarkEnd w:id="65"/>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以剩余法评估待开发土地价格的程序如下：</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a)</w:t>
      </w:r>
      <w:r>
        <w:rPr>
          <w:rFonts w:hint="eastAsia" w:asciiTheme="minorEastAsia" w:hAnsiTheme="minorEastAsia" w:cstheme="minorEastAsia"/>
          <w:szCs w:val="21"/>
        </w:rPr>
        <w:tab/>
      </w:r>
      <w:r>
        <w:rPr>
          <w:rFonts w:hint="eastAsia" w:asciiTheme="minorEastAsia" w:hAnsiTheme="minorEastAsia" w:cstheme="minorEastAsia"/>
          <w:szCs w:val="21"/>
        </w:rPr>
        <w:t>调查待估宗地的基本情况；</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b)</w:t>
      </w:r>
      <w:r>
        <w:rPr>
          <w:rFonts w:hint="eastAsia" w:asciiTheme="minorEastAsia" w:hAnsiTheme="minorEastAsia" w:cstheme="minorEastAsia"/>
          <w:szCs w:val="21"/>
        </w:rPr>
        <w:tab/>
      </w:r>
      <w:r>
        <w:rPr>
          <w:rFonts w:hint="eastAsia" w:asciiTheme="minorEastAsia" w:hAnsiTheme="minorEastAsia" w:cstheme="minorEastAsia"/>
          <w:szCs w:val="21"/>
        </w:rPr>
        <w:t>确定待估宗地的最有效利用方式；</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c)</w:t>
      </w:r>
      <w:r>
        <w:rPr>
          <w:rFonts w:hint="eastAsia" w:asciiTheme="minorEastAsia" w:hAnsiTheme="minorEastAsia" w:cstheme="minorEastAsia"/>
          <w:szCs w:val="21"/>
        </w:rPr>
        <w:tab/>
      </w:r>
      <w:r>
        <w:rPr>
          <w:rFonts w:hint="eastAsia" w:asciiTheme="minorEastAsia" w:hAnsiTheme="minorEastAsia" w:cstheme="minorEastAsia"/>
          <w:szCs w:val="21"/>
        </w:rPr>
        <w:t>测算完成开发后的土地或不动产总价；</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d)</w:t>
      </w:r>
      <w:r>
        <w:rPr>
          <w:rFonts w:hint="eastAsia" w:asciiTheme="minorEastAsia" w:hAnsiTheme="minorEastAsia" w:cstheme="minorEastAsia"/>
          <w:szCs w:val="21"/>
        </w:rPr>
        <w:tab/>
      </w:r>
      <w:r>
        <w:rPr>
          <w:rFonts w:hint="eastAsia" w:asciiTheme="minorEastAsia" w:hAnsiTheme="minorEastAsia" w:cstheme="minorEastAsia"/>
          <w:szCs w:val="21"/>
        </w:rPr>
        <w:t>预估开发建设周期和投资进度安排；</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e)</w:t>
      </w:r>
      <w:r>
        <w:rPr>
          <w:rFonts w:hint="eastAsia" w:asciiTheme="minorEastAsia" w:hAnsiTheme="minorEastAsia" w:cstheme="minorEastAsia"/>
          <w:szCs w:val="21"/>
        </w:rPr>
        <w:tab/>
      </w:r>
      <w:r>
        <w:rPr>
          <w:rFonts w:hint="eastAsia" w:asciiTheme="minorEastAsia" w:hAnsiTheme="minorEastAsia" w:cstheme="minorEastAsia"/>
          <w:szCs w:val="21"/>
        </w:rPr>
        <w:t>测算开发成本和开发商客观开发利润；</w:t>
      </w:r>
    </w:p>
    <w:p>
      <w:pPr>
        <w:widowControl/>
        <w:snapToGrid w:val="0"/>
        <w:ind w:firstLine="420" w:firstLineChars="200"/>
        <w:rPr>
          <w:rFonts w:asciiTheme="minorEastAsia" w:hAnsiTheme="minorEastAsia" w:cstheme="minorEastAsia"/>
          <w:szCs w:val="21"/>
        </w:rPr>
      </w:pPr>
      <w:r>
        <w:rPr>
          <w:rFonts w:hint="eastAsia" w:asciiTheme="minorEastAsia" w:hAnsiTheme="minorEastAsia" w:cstheme="minorEastAsia"/>
          <w:szCs w:val="21"/>
        </w:rPr>
        <w:t>f)</w:t>
      </w:r>
      <w:r>
        <w:rPr>
          <w:rFonts w:hint="eastAsia" w:asciiTheme="minorEastAsia" w:hAnsiTheme="minorEastAsia" w:cstheme="minorEastAsia"/>
          <w:szCs w:val="21"/>
        </w:rPr>
        <w:tab/>
      </w:r>
      <w:r>
        <w:rPr>
          <w:rFonts w:hint="eastAsia" w:asciiTheme="minorEastAsia" w:hAnsiTheme="minorEastAsia" w:cstheme="minorEastAsia"/>
          <w:szCs w:val="21"/>
        </w:rPr>
        <w:t>测算待估宗地价格。</w:t>
      </w:r>
    </w:p>
    <w:p>
      <w:pPr>
        <w:pStyle w:val="260"/>
        <w:numPr>
          <w:ilvl w:val="0"/>
          <w:numId w:val="0"/>
        </w:numPr>
        <w:spacing w:before="120" w:after="120"/>
        <w:outlineLvl w:val="3"/>
      </w:pPr>
      <w:bookmarkStart w:id="66" w:name="_Toc3358"/>
      <w:r>
        <w:rPr>
          <w:rFonts w:hint="eastAsia"/>
        </w:rPr>
        <w:t>7.3.</w:t>
      </w:r>
      <w:r>
        <w:t>2</w:t>
      </w:r>
      <w:r>
        <w:rPr>
          <w:rFonts w:hint="eastAsia"/>
        </w:rPr>
        <w:t xml:space="preserve">.3 </w:t>
      </w:r>
      <w:r>
        <w:t xml:space="preserve"> </w:t>
      </w:r>
      <w:r>
        <w:rPr>
          <w:rFonts w:hint="eastAsia"/>
        </w:rPr>
        <w:t>测算开发完成后的不动产总价</w:t>
      </w:r>
      <w:bookmarkEnd w:id="66"/>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根据待估宗地的最有效利用方式和当地不动产市场现状，采用市场比较法或趋势分析法确定其在评估期日的价值。对开发完成后拟采用出租或自营方式经营的土地或不动产价值，也可以根据同一市场状况采用收益还原法确定其价值。</w:t>
      </w:r>
    </w:p>
    <w:p>
      <w:pPr>
        <w:pStyle w:val="260"/>
        <w:numPr>
          <w:ilvl w:val="0"/>
          <w:numId w:val="0"/>
        </w:numPr>
        <w:spacing w:before="120" w:after="120"/>
        <w:outlineLvl w:val="3"/>
      </w:pPr>
      <w:bookmarkStart w:id="67" w:name="_Toc21295"/>
      <w:r>
        <w:rPr>
          <w:rFonts w:hint="eastAsia"/>
        </w:rPr>
        <w:t>7.3.</w:t>
      </w:r>
      <w:r>
        <w:t>2</w:t>
      </w:r>
      <w:r>
        <w:rPr>
          <w:rFonts w:hint="eastAsia"/>
        </w:rPr>
        <w:t xml:space="preserve">.4 </w:t>
      </w:r>
      <w:r>
        <w:t xml:space="preserve"> </w:t>
      </w:r>
      <w:r>
        <w:rPr>
          <w:rFonts w:hint="eastAsia"/>
        </w:rPr>
        <w:t>确定开发周期和投资进度安排</w:t>
      </w:r>
      <w:bookmarkEnd w:id="67"/>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参照类似房地产开发的开发过程进行确定。开发周期包含土地取得、前期工作、建设施工、竣工验收和报批所需时间，一般按合同开发周期取值：合同中开发周期小于3年的，按照合同取值；开发周期大于3年，则取3年。否则按下述标准确定：项目总建筑面积小于等于5万平方米，参考取值2年；总建筑面积大于5万平方米，参考取值3年。</w:t>
      </w:r>
    </w:p>
    <w:p>
      <w:pPr>
        <w:pStyle w:val="260"/>
        <w:numPr>
          <w:ilvl w:val="0"/>
          <w:numId w:val="0"/>
        </w:numPr>
        <w:spacing w:before="120" w:after="120"/>
        <w:outlineLvl w:val="3"/>
      </w:pPr>
      <w:bookmarkStart w:id="68" w:name="_Toc28565"/>
      <w:r>
        <w:rPr>
          <w:rFonts w:hint="eastAsia"/>
        </w:rPr>
        <w:t>7.3.</w:t>
      </w:r>
      <w:r>
        <w:t>2</w:t>
      </w:r>
      <w:r>
        <w:rPr>
          <w:rFonts w:hint="eastAsia"/>
        </w:rPr>
        <w:t>.5  测算开发成本</w:t>
      </w:r>
      <w:bookmarkEnd w:id="68"/>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开发成本是项目开发建设周期间所发生的客观费用的总和。</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在土地开发项目中，开发成本包括购地税费、将土地开发完成所需的开发费用、管理费用、投资利息和销售税费；在不动产开发项目中，开发成本包括购地税费、房屋建造成本、管理费用、投资利息和销售税费。</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其中，房屋建造成本是指在不动产开发过程中完成建筑物的直接成本。房屋建造成本取值可参考《2006深圳市建设工程技术经济指标》（参见附录A</w:t>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t>），并根据深圳市建设工程造价管理站公布价值时点的工程价格指数进行调整。估价实务中，估价师应根据估价对象实际情况确定。</w:t>
      </w:r>
    </w:p>
    <w:p>
      <w:pPr>
        <w:pStyle w:val="260"/>
        <w:numPr>
          <w:ilvl w:val="0"/>
          <w:numId w:val="0"/>
        </w:numPr>
        <w:spacing w:before="120" w:after="120"/>
        <w:outlineLvl w:val="3"/>
      </w:pPr>
      <w:bookmarkStart w:id="69" w:name="_Toc4612"/>
      <w:r>
        <w:rPr>
          <w:rFonts w:hint="eastAsia"/>
        </w:rPr>
        <w:t>7.3.</w:t>
      </w:r>
      <w:r>
        <w:t>2</w:t>
      </w:r>
      <w:r>
        <w:rPr>
          <w:rFonts w:hint="eastAsia"/>
        </w:rPr>
        <w:t xml:space="preserve">.6 </w:t>
      </w:r>
      <w:r>
        <w:t xml:space="preserve"> </w:t>
      </w:r>
      <w:r>
        <w:rPr>
          <w:rFonts w:hint="eastAsia"/>
        </w:rPr>
        <w:t>测算利息</w:t>
      </w:r>
      <w:bookmarkEnd w:id="69"/>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地价款、土地开发费用或房屋建造成本、管理费用和购地税费等全部预付资本应计算利息，销售税费不计利息。利息的计算应充分考虑资本投入的进度安排，按复利计算。</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利息率的选取参照估价时点的最新的基准利率。</w:t>
      </w:r>
    </w:p>
    <w:p>
      <w:pPr>
        <w:pStyle w:val="260"/>
        <w:numPr>
          <w:ilvl w:val="0"/>
          <w:numId w:val="0"/>
        </w:numPr>
        <w:spacing w:before="120" w:after="120"/>
        <w:outlineLvl w:val="3"/>
      </w:pPr>
      <w:bookmarkStart w:id="70" w:name="_Toc14722"/>
      <w:r>
        <w:rPr>
          <w:rFonts w:hint="eastAsia"/>
        </w:rPr>
        <w:t>7.3.</w:t>
      </w:r>
      <w:r>
        <w:t>2</w:t>
      </w:r>
      <w:r>
        <w:rPr>
          <w:rFonts w:hint="eastAsia"/>
        </w:rPr>
        <w:t xml:space="preserve">.7 </w:t>
      </w:r>
      <w:r>
        <w:t xml:space="preserve"> </w:t>
      </w:r>
      <w:r>
        <w:rPr>
          <w:rFonts w:hint="eastAsia"/>
        </w:rPr>
        <w:t>测算销售税费</w:t>
      </w:r>
      <w:bookmarkEnd w:id="70"/>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销售税费涉及增值税、城市维护建设税、教育费附加及地方教育费附加、土地增值税、印花税等。</w:t>
      </w:r>
    </w:p>
    <w:p>
      <w:pPr>
        <w:pStyle w:val="260"/>
        <w:numPr>
          <w:ilvl w:val="0"/>
          <w:numId w:val="0"/>
        </w:numPr>
        <w:spacing w:before="120" w:after="120"/>
        <w:outlineLvl w:val="3"/>
      </w:pPr>
      <w:bookmarkStart w:id="71" w:name="_Toc30102"/>
      <w:r>
        <w:rPr>
          <w:rFonts w:hint="eastAsia"/>
        </w:rPr>
        <w:t>7.3.</w:t>
      </w:r>
      <w:r>
        <w:t>2</w:t>
      </w:r>
      <w:r>
        <w:rPr>
          <w:rFonts w:hint="eastAsia"/>
        </w:rPr>
        <w:t>.8 测算利润</w:t>
      </w:r>
      <w:bookmarkEnd w:id="71"/>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开发项目客观利润一般以土地或不动产总价值或全部预付资本的一定比例计算。利润率宜采用同一市场上类似土地或不动产开发项目的平均利润率。</w:t>
      </w:r>
    </w:p>
    <w:p>
      <w:pPr>
        <w:pStyle w:val="260"/>
        <w:numPr>
          <w:ilvl w:val="0"/>
          <w:numId w:val="0"/>
        </w:numPr>
        <w:spacing w:before="120" w:after="120"/>
        <w:outlineLvl w:val="3"/>
      </w:pPr>
      <w:bookmarkStart w:id="72" w:name="_Toc19677"/>
      <w:r>
        <w:rPr>
          <w:rFonts w:hint="eastAsia"/>
        </w:rPr>
        <w:t>7.3.</w:t>
      </w:r>
      <w:r>
        <w:t>2</w:t>
      </w:r>
      <w:r>
        <w:rPr>
          <w:rFonts w:hint="eastAsia"/>
        </w:rPr>
        <w:t>.9 测算土地价格</w:t>
      </w:r>
      <w:bookmarkEnd w:id="72"/>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运用剩余法评估公式测算待开发土地的价格。</w:t>
      </w:r>
    </w:p>
    <w:p>
      <w:pPr>
        <w:pStyle w:val="260"/>
        <w:numPr>
          <w:ilvl w:val="0"/>
          <w:numId w:val="0"/>
        </w:numPr>
        <w:spacing w:before="120" w:after="120"/>
        <w:outlineLvl w:val="3"/>
      </w:pPr>
      <w:bookmarkStart w:id="73" w:name="_Toc4531"/>
      <w:r>
        <w:rPr>
          <w:rFonts w:hint="eastAsia"/>
        </w:rPr>
        <w:t>7.3.</w:t>
      </w:r>
      <w:r>
        <w:t>2</w:t>
      </w:r>
      <w:r>
        <w:rPr>
          <w:rFonts w:hint="eastAsia"/>
        </w:rPr>
        <w:t>.10 方法应用要求</w:t>
      </w:r>
      <w:bookmarkEnd w:id="73"/>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本方法适用于待开发样本宗地的地价评估。</w:t>
      </w:r>
    </w:p>
    <w:p>
      <w:pPr>
        <w:pStyle w:val="516"/>
        <w:numPr>
          <w:ilvl w:val="0"/>
          <w:numId w:val="11"/>
        </w:numPr>
        <w:tabs>
          <w:tab w:val="left" w:pos="2467"/>
        </w:tabs>
        <w:spacing w:before="240" w:after="240"/>
        <w:ind w:left="0"/>
        <w:rPr>
          <w:color w:val="000000" w:themeColor="text1"/>
          <w14:textFill>
            <w14:solidFill>
              <w14:schemeClr w14:val="tx1"/>
            </w14:solidFill>
          </w14:textFill>
        </w:rPr>
      </w:pPr>
      <w:bookmarkStart w:id="74" w:name="_Toc29803"/>
      <w:r>
        <w:rPr>
          <w:rFonts w:hint="eastAsia"/>
          <w:color w:val="000000" w:themeColor="text1"/>
          <w14:textFill>
            <w14:solidFill>
              <w14:schemeClr w14:val="tx1"/>
            </w14:solidFill>
          </w14:textFill>
        </w:rPr>
        <w:t>剩余法整体地价评估</w:t>
      </w:r>
      <w:bookmarkEnd w:id="74"/>
      <w:r>
        <w:rPr>
          <w:rFonts w:hint="eastAsia"/>
          <w:color w:val="000000" w:themeColor="text1"/>
          <w14:textFill>
            <w14:solidFill>
              <w14:schemeClr w14:val="tx1"/>
            </w14:solidFill>
          </w14:textFill>
        </w:rPr>
        <w:tab/>
      </w:r>
    </w:p>
    <w:p>
      <w:pPr>
        <w:pStyle w:val="518"/>
        <w:numPr>
          <w:ilvl w:val="1"/>
          <w:numId w:val="11"/>
        </w:numPr>
        <w:spacing w:before="120" w:after="120"/>
      </w:pPr>
      <w:bookmarkStart w:id="75" w:name="_Toc31081"/>
      <w:r>
        <w:rPr>
          <w:rFonts w:hint="eastAsia"/>
        </w:rPr>
        <w:t>样点地价标准化</w:t>
      </w:r>
      <w:bookmarkEnd w:id="75"/>
    </w:p>
    <w:p>
      <w:pPr>
        <w:widowControl/>
        <w:snapToGrid w:val="0"/>
        <w:ind w:firstLine="420" w:firstLineChars="200"/>
        <w:rPr>
          <w:rFonts w:asciiTheme="minorEastAsia" w:hAnsiTheme="minorEastAsia" w:eastAsiaTheme="minorEastAsia" w:cstheme="minorEastAsia"/>
          <w:szCs w:val="21"/>
        </w:rPr>
      </w:pPr>
      <w:r>
        <w:rPr>
          <w:rFonts w:hint="eastAsia" w:cs="Times New Roman"/>
          <w:lang w:val="en-US" w:eastAsia="zh-CN"/>
        </w:rPr>
        <w:t>评估出的</w:t>
      </w:r>
      <w:r>
        <w:rPr>
          <w:rFonts w:hint="eastAsia" w:hAnsi="Times New Roman" w:cs="Times New Roman"/>
          <w:lang w:val="en-US" w:eastAsia="zh-CN"/>
        </w:rPr>
        <w:t>样本宗地地价</w:t>
      </w:r>
      <w:r>
        <w:rPr>
          <w:rFonts w:hint="eastAsia" w:cs="Times New Roman"/>
          <w:lang w:val="en-US" w:eastAsia="zh-CN"/>
        </w:rPr>
        <w:t>已</w:t>
      </w:r>
      <w:r>
        <w:rPr>
          <w:rFonts w:hint="eastAsia" w:hAnsi="Times New Roman" w:cs="Times New Roman"/>
          <w:lang w:val="en-US" w:eastAsia="zh-CN"/>
        </w:rPr>
        <w:t>经过交易情况、估价期日、个别因素、土地使用年期等修正，</w:t>
      </w:r>
      <w:r>
        <w:rPr>
          <w:rFonts w:hint="eastAsia" w:asciiTheme="minorEastAsia" w:hAnsiTheme="minorEastAsia" w:eastAsiaTheme="minorEastAsia" w:cstheme="minorEastAsia"/>
          <w:szCs w:val="21"/>
        </w:rPr>
        <w:t>样点地价标准化</w:t>
      </w:r>
      <w:r>
        <w:rPr>
          <w:rFonts w:hint="eastAsia" w:asciiTheme="minorEastAsia" w:hAnsiTheme="minorEastAsia" w:eastAsiaTheme="minorEastAsia" w:cstheme="minorEastAsia"/>
          <w:szCs w:val="21"/>
          <w:lang w:val="en-US" w:eastAsia="zh-CN"/>
        </w:rPr>
        <w:t>只需</w:t>
      </w:r>
      <w:r>
        <w:rPr>
          <w:rFonts w:hint="eastAsia" w:asciiTheme="minorEastAsia" w:hAnsiTheme="minorEastAsia" w:eastAsiaTheme="minorEastAsia" w:cstheme="minorEastAsia"/>
          <w:szCs w:val="21"/>
        </w:rPr>
        <w:t>将剩余法评估出的现状容积率下的样本宗地地价，修正到设定容积率下宗地地价。通过样点地价标准化</w:t>
      </w:r>
      <w:r>
        <w:rPr>
          <w:rFonts w:hint="eastAsia" w:asciiTheme="minorEastAsia" w:hAnsiTheme="minorEastAsia" w:eastAsiaTheme="minorEastAsia" w:cstheme="minorEastAsia"/>
          <w:szCs w:val="21"/>
          <w:lang w:val="en-US" w:eastAsia="zh-CN"/>
        </w:rPr>
        <w:t>公式</w:t>
      </w:r>
      <w:r>
        <w:rPr>
          <w:rFonts w:hint="eastAsia" w:asciiTheme="minorEastAsia" w:hAnsiTheme="minorEastAsia" w:eastAsiaTheme="minorEastAsia" w:cstheme="minorEastAsia"/>
          <w:szCs w:val="21"/>
        </w:rPr>
        <w:t>可以得到标准容积率</w:t>
      </w:r>
      <w:r>
        <w:rPr>
          <w:rFonts w:hint="eastAsia" w:asciiTheme="minorEastAsia" w:hAnsiTheme="minorEastAsia" w:eastAsiaTheme="minorEastAsia" w:cstheme="minorEastAsia"/>
          <w:szCs w:val="21"/>
          <w:lang w:val="en-US" w:eastAsia="zh-CN"/>
        </w:rPr>
        <w:t>下</w:t>
      </w:r>
      <w:r>
        <w:rPr>
          <w:rFonts w:hint="eastAsia" w:asciiTheme="minorEastAsia" w:hAnsiTheme="minorEastAsia" w:eastAsiaTheme="minorEastAsia" w:cstheme="minorEastAsia"/>
          <w:szCs w:val="21"/>
        </w:rPr>
        <w:t>的价格。</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对于同一块宗地，在其他因素不变的情况下，将其他容积率水平下的楼面地价修正到标准容积率下的楼面地价，计算公式为：</w:t>
      </w:r>
    </w:p>
    <w:p>
      <w:pPr>
        <w:widowControl/>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标准容积率下的楼面地价=其他容积率下的楼面地价×容积率标准化系数</w:t>
      </w:r>
    </w:p>
    <w:p>
      <w:pPr>
        <w:snapToGrid w:val="0"/>
        <w:ind w:firstLine="441" w:firstLineChars="210"/>
        <w:rPr>
          <w:rFonts w:ascii="华文仿宋" w:hAnsi="华文仿宋" w:eastAsia="华文仿宋"/>
          <w:sz w:val="24"/>
        </w:rPr>
      </w:pPr>
      <w:r>
        <w:rPr>
          <w:rFonts w:hint="eastAsia" w:asciiTheme="minorEastAsia" w:hAnsiTheme="minorEastAsia" w:eastAsiaTheme="minorEastAsia" w:cstheme="minorEastAsia"/>
          <w:szCs w:val="21"/>
        </w:rPr>
        <w:t>其中，某用途容积率标准化系数为：</w:t>
      </w:r>
    </w:p>
    <w:p>
      <w:pPr>
        <w:widowControl/>
        <w:snapToGrid w:val="0"/>
        <w:ind w:firstLine="420" w:firstLineChars="200"/>
        <w:rPr>
          <w:rFonts w:asciiTheme="minorEastAsia" w:hAnsiTheme="minorEastAsia" w:eastAsiaTheme="minorEastAsia" w:cstheme="minorEastAsia"/>
        </w:rPr>
      </w:pPr>
      <m:oMathPara>
        <m:oMath>
          <m:sSub>
            <m:sSubPr>
              <m:ctrlPr>
                <w:rPr>
                  <w:rFonts w:ascii="Cambria Math" w:hAnsi="Cambria Math" w:eastAsiaTheme="minorEastAsia" w:cstheme="minorEastAsia"/>
                </w:rPr>
              </m:ctrlPr>
            </m:sSubPr>
            <m:e>
              <m:r>
                <m:rPr/>
                <w:rPr>
                  <w:rFonts w:hint="eastAsia" w:ascii="Cambria Math" w:hAnsi="Cambria Math" w:eastAsiaTheme="minorEastAsia" w:cstheme="minorEastAsia"/>
                </w:rPr>
                <m:t>K</m:t>
              </m:r>
              <m:ctrlPr>
                <w:rPr>
                  <w:rFonts w:ascii="Cambria Math" w:hAnsi="Cambria Math" w:eastAsiaTheme="minorEastAsia" w:cstheme="minorEastAsia"/>
                </w:rPr>
              </m:ctrlPr>
            </m:e>
            <m:sub>
              <m:r>
                <m:rPr/>
                <w:rPr>
                  <w:rFonts w:ascii="Cambria Math" w:hAnsi="Cambria Math" w:eastAsiaTheme="minorEastAsia" w:cstheme="minorEastAsia"/>
                </w:rPr>
                <m:t>r</m:t>
              </m:r>
              <m:ctrlPr>
                <w:rPr>
                  <w:rFonts w:ascii="Cambria Math" w:hAnsi="Cambria Math" w:eastAsiaTheme="minorEastAsia" w:cstheme="minorEastAsia"/>
                </w:rPr>
              </m:ctrlPr>
            </m:sub>
          </m:sSub>
          <m:r>
            <m:rPr/>
            <w:rPr>
              <w:rFonts w:ascii="Cambria Math" w:hAnsi="Cambria Math" w:eastAsiaTheme="minorEastAsia" w:cstheme="minorEastAsia"/>
            </w:rPr>
            <m:t>=</m:t>
          </m:r>
          <m:f>
            <m:fPr>
              <m:type m:val="lin"/>
              <m:ctrlPr>
                <w:rPr>
                  <w:rFonts w:ascii="Cambria Math" w:hAnsi="Cambria Math" w:eastAsiaTheme="minorEastAsia" w:cstheme="minorEastAsia"/>
                  <w:i/>
                </w:rPr>
              </m:ctrlPr>
            </m:fPr>
            <m:num>
              <m:sSub>
                <m:sSubPr>
                  <m:ctrlPr>
                    <w:rPr>
                      <w:rFonts w:ascii="Cambria Math" w:hAnsi="Cambria Math" w:eastAsiaTheme="minorEastAsia" w:cstheme="minorEastAsia"/>
                      <w:i/>
                    </w:rPr>
                  </m:ctrlPr>
                </m:sSubPr>
                <m:e>
                  <m:r>
                    <m:rPr/>
                    <w:rPr>
                      <w:rFonts w:ascii="Cambria Math" w:hAnsi="Cambria Math" w:eastAsiaTheme="minorEastAsia" w:cstheme="minorEastAsia"/>
                    </w:rPr>
                    <m:t>V</m:t>
                  </m:r>
                  <m:ctrlPr>
                    <w:rPr>
                      <w:rFonts w:ascii="Cambria Math" w:hAnsi="Cambria Math" w:eastAsiaTheme="minorEastAsia" w:cstheme="minorEastAsia"/>
                      <w:i/>
                    </w:rPr>
                  </m:ctrlPr>
                </m:e>
                <m:sub>
                  <m:r>
                    <m:rPr/>
                    <w:rPr>
                      <w:rFonts w:ascii="Cambria Math" w:hAnsi="Cambria Math" w:eastAsiaTheme="minorEastAsia" w:cstheme="minorEastAsia"/>
                    </w:rPr>
                    <m:t>is</m:t>
                  </m:r>
                  <m:ctrlPr>
                    <w:rPr>
                      <w:rFonts w:ascii="Cambria Math" w:hAnsi="Cambria Math" w:eastAsiaTheme="minorEastAsia" w:cstheme="minorEastAsia"/>
                      <w:i/>
                    </w:rPr>
                  </m:ctrlPr>
                </m:sub>
              </m:sSub>
              <m:ctrlPr>
                <w:rPr>
                  <w:rFonts w:ascii="Cambria Math" w:hAnsi="Cambria Math" w:eastAsiaTheme="minorEastAsia" w:cstheme="minorEastAsia"/>
                  <w:i/>
                </w:rPr>
              </m:ctrlPr>
            </m:num>
            <m:den>
              <m:sSub>
                <m:sSubPr>
                  <m:ctrlPr>
                    <w:rPr>
                      <w:rFonts w:ascii="Cambria Math" w:hAnsi="Cambria Math" w:eastAsiaTheme="minorEastAsia" w:cstheme="minorEastAsia"/>
                      <w:i/>
                    </w:rPr>
                  </m:ctrlPr>
                </m:sSubPr>
                <m:e>
                  <m:r>
                    <m:rPr/>
                    <w:rPr>
                      <w:rFonts w:ascii="Cambria Math" w:hAnsi="Cambria Math" w:eastAsiaTheme="minorEastAsia" w:cstheme="minorEastAsia"/>
                    </w:rPr>
                    <m:t>V</m:t>
                  </m:r>
                  <m:ctrlPr>
                    <w:rPr>
                      <w:rFonts w:ascii="Cambria Math" w:hAnsi="Cambria Math" w:eastAsiaTheme="minorEastAsia" w:cstheme="minorEastAsia"/>
                      <w:i/>
                    </w:rPr>
                  </m:ctrlPr>
                </m:e>
                <m:sub>
                  <m:r>
                    <m:rPr/>
                    <w:rPr>
                      <w:rFonts w:ascii="Cambria Math" w:hAnsi="Cambria Math" w:eastAsiaTheme="minorEastAsia" w:cstheme="minorEastAsia"/>
                    </w:rPr>
                    <m:t>i</m:t>
                  </m:r>
                  <m:ctrlPr>
                    <w:rPr>
                      <w:rFonts w:ascii="Cambria Math" w:hAnsi="Cambria Math" w:eastAsiaTheme="minorEastAsia" w:cstheme="minorEastAsia"/>
                      <w:i/>
                    </w:rPr>
                  </m:ctrlPr>
                </m:sub>
              </m:sSub>
              <m:ctrlPr>
                <w:rPr>
                  <w:rFonts w:ascii="Cambria Math" w:hAnsi="Cambria Math" w:eastAsiaTheme="minorEastAsia" w:cstheme="minorEastAsia"/>
                  <w:i/>
                </w:rPr>
              </m:ctrlPr>
            </m:den>
          </m:f>
        </m:oMath>
      </m:oMathPara>
    </w:p>
    <w:p>
      <w:pPr>
        <w:widowControl/>
        <w:snapToGrid w:val="0"/>
        <w:ind w:firstLine="420" w:firstLineChars="200"/>
      </w:pPr>
      <w:r>
        <w:rPr>
          <w:rFonts w:hint="eastAsia" w:asciiTheme="minorEastAsia" w:hAnsiTheme="minorEastAsia" w:eastAsiaTheme="minorEastAsia" w:cstheme="minorEastAsia"/>
        </w:rPr>
        <w:t>其中，</w:t>
      </w:r>
      <m:oMath>
        <m:sSub>
          <m:sSubPr>
            <m:ctrlPr>
              <w:rPr>
                <w:rFonts w:ascii="Cambria Math" w:hAnsi="Cambria Math" w:eastAsiaTheme="minorEastAsia" w:cstheme="minorEastAsia"/>
              </w:rPr>
            </m:ctrlPr>
          </m:sSubPr>
          <m:e>
            <m:r>
              <m:rPr/>
              <w:rPr>
                <w:rFonts w:ascii="Cambria Math" w:hAnsi="Cambria Math" w:eastAsiaTheme="minorEastAsia" w:cstheme="minorEastAsia"/>
              </w:rPr>
              <m:t>K</m:t>
            </m:r>
            <m:ctrlPr>
              <w:rPr>
                <w:rFonts w:ascii="Cambria Math" w:hAnsi="Cambria Math" w:eastAsiaTheme="minorEastAsia" w:cstheme="minorEastAsia"/>
              </w:rPr>
            </m:ctrlPr>
          </m:e>
          <m:sub>
            <m:r>
              <m:rPr/>
              <w:rPr>
                <w:rFonts w:ascii="Cambria Math" w:hAnsi="Cambria Math" w:eastAsiaTheme="minorEastAsia" w:cstheme="minorEastAsia"/>
              </w:rPr>
              <m:t>r</m:t>
            </m:r>
            <m:ctrlPr>
              <w:rPr>
                <w:rFonts w:ascii="Cambria Math" w:hAnsi="Cambria Math" w:eastAsiaTheme="minorEastAsia" w:cstheme="minorEastAsia"/>
              </w:rPr>
            </m:ctrlPr>
          </m:sub>
        </m:sSub>
      </m:oMath>
      <w:r>
        <w:rPr>
          <w:rFonts w:hint="eastAsia" w:asciiTheme="minorEastAsia" w:hAnsiTheme="minorEastAsia" w:eastAsiaTheme="minorEastAsia" w:cstheme="minorEastAsia"/>
        </w:rPr>
        <w:t>为容积率标准化系数；</w:t>
      </w:r>
      <m:oMath>
        <m:sSub>
          <m:sSubPr>
            <m:ctrlPr>
              <w:rPr>
                <w:rFonts w:ascii="Cambria Math" w:hAnsi="Cambria Math" w:eastAsiaTheme="minorEastAsia" w:cstheme="minorEastAsia"/>
                <w:i/>
              </w:rPr>
            </m:ctrlPr>
          </m:sSubPr>
          <m:e>
            <m:r>
              <m:rPr/>
              <w:rPr>
                <w:rFonts w:ascii="Cambria Math" w:hAnsi="Cambria Math" w:eastAsiaTheme="minorEastAsia" w:cstheme="minorEastAsia"/>
              </w:rPr>
              <m:t>V</m:t>
            </m:r>
            <m:ctrlPr>
              <w:rPr>
                <w:rFonts w:ascii="Cambria Math" w:hAnsi="Cambria Math" w:eastAsiaTheme="minorEastAsia" w:cstheme="minorEastAsia"/>
                <w:i/>
              </w:rPr>
            </m:ctrlPr>
          </m:e>
          <m:sub>
            <m:r>
              <m:rPr/>
              <w:rPr>
                <w:rFonts w:ascii="Cambria Math" w:hAnsi="Cambria Math" w:eastAsiaTheme="minorEastAsia" w:cstheme="minorEastAsia"/>
              </w:rPr>
              <m:t>is</m:t>
            </m:r>
            <m:ctrlPr>
              <w:rPr>
                <w:rFonts w:ascii="Cambria Math" w:hAnsi="Cambria Math" w:eastAsiaTheme="minorEastAsia" w:cstheme="minorEastAsia"/>
                <w:i/>
              </w:rPr>
            </m:ctrlPr>
          </m:sub>
        </m:sSub>
      </m:oMath>
      <w:r>
        <w:rPr>
          <w:rFonts w:hint="eastAsia" w:asciiTheme="minorEastAsia" w:hAnsiTheme="minorEastAsia" w:eastAsiaTheme="minorEastAsia" w:cstheme="minorEastAsia"/>
        </w:rPr>
        <w:t>为某一用途</w:t>
      </w:r>
      <w:r>
        <w:rPr>
          <w:rFonts w:hint="eastAsia" w:asciiTheme="minorEastAsia" w:hAnsiTheme="minorEastAsia" w:eastAsiaTheme="minorEastAsia" w:cstheme="minorEastAsia"/>
          <w:szCs w:val="21"/>
        </w:rPr>
        <w:t>设定</w:t>
      </w:r>
      <w:r>
        <w:rPr>
          <w:rFonts w:hint="eastAsia" w:asciiTheme="minorEastAsia" w:hAnsiTheme="minorEastAsia" w:eastAsiaTheme="minorEastAsia" w:cstheme="minorEastAsia"/>
        </w:rPr>
        <w:t>容积率下单位面积平均地价；</w:t>
      </w:r>
      <m:oMath>
        <m:sSub>
          <m:sSubPr>
            <m:ctrlPr>
              <w:rPr>
                <w:rFonts w:ascii="Cambria Math" w:hAnsi="Cambria Math" w:eastAsiaTheme="minorEastAsia" w:cstheme="minorEastAsia"/>
                <w:i/>
              </w:rPr>
            </m:ctrlPr>
          </m:sSubPr>
          <m:e>
            <m:r>
              <m:rPr/>
              <w:rPr>
                <w:rFonts w:ascii="Cambria Math" w:hAnsi="Cambria Math" w:eastAsiaTheme="minorEastAsia" w:cstheme="minorEastAsia"/>
              </w:rPr>
              <m:t>V</m:t>
            </m:r>
            <m:ctrlPr>
              <w:rPr>
                <w:rFonts w:ascii="Cambria Math" w:hAnsi="Cambria Math" w:eastAsiaTheme="minorEastAsia" w:cstheme="minorEastAsia"/>
                <w:i/>
              </w:rPr>
            </m:ctrlPr>
          </m:e>
          <m:sub>
            <m:r>
              <m:rPr/>
              <w:rPr>
                <w:rFonts w:ascii="Cambria Math" w:hAnsi="Cambria Math" w:eastAsiaTheme="minorEastAsia" w:cstheme="minorEastAsia"/>
              </w:rPr>
              <m:t>i</m:t>
            </m:r>
            <m:ctrlPr>
              <w:rPr>
                <w:rFonts w:ascii="Cambria Math" w:hAnsi="Cambria Math" w:eastAsiaTheme="minorEastAsia" w:cstheme="minorEastAsia"/>
                <w:i/>
              </w:rPr>
            </m:ctrlPr>
          </m:sub>
        </m:sSub>
      </m:oMath>
      <w:r>
        <w:rPr>
          <w:rFonts w:hint="eastAsia" w:asciiTheme="minorEastAsia" w:hAnsiTheme="minorEastAsia" w:eastAsiaTheme="minorEastAsia" w:cstheme="minorEastAsia"/>
        </w:rPr>
        <w:t>为某一用途在某一容积率时单位面积的平均地价。</w:t>
      </w:r>
    </w:p>
    <w:p>
      <w:pPr>
        <w:pStyle w:val="518"/>
        <w:numPr>
          <w:ilvl w:val="1"/>
          <w:numId w:val="11"/>
        </w:numPr>
        <w:spacing w:before="120" w:after="120"/>
      </w:pPr>
      <w:bookmarkStart w:id="76" w:name="_Toc15465"/>
      <w:r>
        <w:rPr>
          <w:rFonts w:hint="eastAsia"/>
        </w:rPr>
        <w:t>构建基于地价样点的空间插值模型</w:t>
      </w:r>
      <w:bookmarkEnd w:id="76"/>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在剩余法样本宗地地价评估的基础上，通过建立样本宗地空间分布与地价之间的数学关系模型，以一定空间距离为尺寸建立空间插值模型，可</w:t>
      </w:r>
      <w:r>
        <w:rPr>
          <w:rFonts w:hint="eastAsia" w:asciiTheme="minorEastAsia" w:hAnsiTheme="minorEastAsia" w:eastAsiaTheme="minorEastAsia" w:cstheme="minorEastAsia"/>
          <w:szCs w:val="21"/>
          <w:lang w:val="en-US" w:eastAsia="zh-CN"/>
        </w:rPr>
        <w:t>借鉴</w:t>
      </w:r>
      <w:r>
        <w:rPr>
          <w:rFonts w:hint="eastAsia" w:asciiTheme="minorEastAsia" w:hAnsiTheme="minorEastAsia" w:eastAsiaTheme="minorEastAsia" w:cstheme="minorEastAsia"/>
          <w:szCs w:val="21"/>
        </w:rPr>
        <w:t>数字高程模型的构建方法，建立数字地价模型，实现剩余法整体地价内插。数字地价模型是在一定范围内通过规则网格点描述地价信息的数据集，用于反应区域地价变化形态的空间分布。</w:t>
      </w:r>
      <w:bookmarkStart w:id="83" w:name="_GoBack"/>
      <w:bookmarkEnd w:id="83"/>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主要程序及要求如下：</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a）模型要求：选择插值样点拟合值偏离较小</w:t>
      </w:r>
      <w:r>
        <w:rPr>
          <w:rFonts w:hint="eastAsia" w:asciiTheme="minorEastAsia" w:hAnsiTheme="minorEastAsia" w:eastAsiaTheme="minorEastAsia" w:cstheme="minorEastAsia"/>
          <w:szCs w:val="21"/>
          <w:lang w:val="en-US" w:eastAsia="zh-CN"/>
        </w:rPr>
        <w:t>的空间插值模型</w:t>
      </w:r>
      <w:r>
        <w:rPr>
          <w:rFonts w:hint="eastAsia" w:asciiTheme="minorEastAsia" w:hAnsiTheme="minorEastAsia" w:eastAsiaTheme="minorEastAsia" w:cstheme="minorEastAsia"/>
          <w:szCs w:val="21"/>
        </w:rPr>
        <w:t>。</w:t>
      </w:r>
    </w:p>
    <w:p>
      <w:pPr>
        <w:widowControl/>
        <w:snapToGrid w:val="0"/>
        <w:ind w:firstLine="420" w:firstLineChars="200"/>
      </w:pPr>
      <w:r>
        <w:rPr>
          <w:rFonts w:hint="eastAsia" w:asciiTheme="minorEastAsia" w:hAnsiTheme="minorEastAsia" w:eastAsiaTheme="minorEastAsia" w:cstheme="minorEastAsia"/>
          <w:szCs w:val="21"/>
        </w:rPr>
        <w:t>b）插值模型参数设置：</w:t>
      </w:r>
      <w:r>
        <w:rPr>
          <w:rFonts w:hint="eastAsia"/>
        </w:rPr>
        <w:t>根据样本宗地地价最大值和最小值限制插值模型区间。</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c）成果参数设置：成果数据一般为栅格数据，栅格像元值为地价值，单个像元大小根据评估范围大小和精度确定，一般为</w:t>
      </w:r>
      <w:r>
        <w:rPr>
          <w:rFonts w:hint="eastAsia"/>
        </w:rPr>
        <w:t>1</w:t>
      </w:r>
      <w:r>
        <w:t>0</w:t>
      </w:r>
      <w:r>
        <w:rPr>
          <w:rFonts w:hint="eastAsia"/>
        </w:rPr>
        <w:t>~</w:t>
      </w:r>
      <w:r>
        <w:t>250</w:t>
      </w:r>
      <w:r>
        <w:rPr>
          <w:rFonts w:hint="eastAsia" w:asciiTheme="minorEastAsia" w:hAnsiTheme="minorEastAsia" w:eastAsiaTheme="minorEastAsia" w:cstheme="minorEastAsia"/>
          <w:szCs w:val="21"/>
        </w:rPr>
        <w:t>，通常设置为2</w:t>
      </w:r>
      <w:r>
        <w:rPr>
          <w:rFonts w:asciiTheme="minorEastAsia" w:hAnsiTheme="minorEastAsia" w:eastAsiaTheme="minorEastAsia" w:cstheme="minorEastAsia"/>
          <w:szCs w:val="21"/>
        </w:rPr>
        <w:t>0</w:t>
      </w:r>
      <w:r>
        <w:rPr>
          <w:rFonts w:hint="eastAsia" w:asciiTheme="minorEastAsia" w:hAnsiTheme="minorEastAsia" w:eastAsiaTheme="minorEastAsia" w:cstheme="minorEastAsia"/>
          <w:szCs w:val="21"/>
        </w:rPr>
        <w:t>。</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d）插值模型计算：将某一用途样本宗地地价作为输入，代入有关参数，生成该用途插值栅格成果。</w:t>
      </w:r>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e）成果生成：插值栅格成果按评估范围裁切后，输出最终插值成果。</w:t>
      </w:r>
    </w:p>
    <w:p>
      <w:pPr>
        <w:pStyle w:val="518"/>
        <w:numPr>
          <w:ilvl w:val="1"/>
          <w:numId w:val="11"/>
        </w:numPr>
        <w:spacing w:before="120" w:after="120"/>
      </w:pPr>
      <w:bookmarkStart w:id="77" w:name="_Toc12591"/>
      <w:r>
        <w:rPr>
          <w:rFonts w:hint="eastAsia"/>
        </w:rPr>
        <w:t>整体地价提取</w:t>
      </w:r>
      <w:bookmarkEnd w:id="77"/>
    </w:p>
    <w:p>
      <w:pPr>
        <w:widowControl/>
        <w:snapToGrid w:val="0"/>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以宗地中心点所在位置，叠加整体地价插值栅格成果数据，提取宗地中心点栅格像元值即为该宗地在设定容积率下的土地价格。</w:t>
      </w:r>
    </w:p>
    <w:p>
      <w:pPr>
        <w:widowControl/>
        <w:snapToGrid w:val="0"/>
        <w:spacing w:line="276" w:lineRule="auto"/>
        <w:ind w:firstLine="420" w:firstLineChars="200"/>
        <w:rPr>
          <w:rFonts w:asciiTheme="minorEastAsia" w:hAnsiTheme="minorEastAsia" w:eastAsiaTheme="minorEastAsia" w:cstheme="minorEastAsia"/>
          <w:szCs w:val="21"/>
        </w:rPr>
      </w:pPr>
    </w:p>
    <w:p>
      <w:pPr>
        <w:widowControl/>
        <w:snapToGrid w:val="0"/>
        <w:spacing w:line="360" w:lineRule="auto"/>
        <w:ind w:firstLine="420" w:firstLineChars="200"/>
        <w:rPr>
          <w:rFonts w:asciiTheme="minorEastAsia" w:hAnsiTheme="minorEastAsia" w:eastAsiaTheme="minorEastAsia" w:cstheme="minorEastAsia"/>
          <w:szCs w:val="21"/>
        </w:rPr>
      </w:pPr>
    </w:p>
    <w:p>
      <w:pPr>
        <w:widowControl/>
        <w:snapToGrid w:val="0"/>
        <w:spacing w:line="360" w:lineRule="auto"/>
        <w:ind w:firstLine="420" w:firstLineChars="200"/>
        <w:rPr>
          <w:rFonts w:asciiTheme="minorEastAsia" w:hAnsiTheme="minorEastAsia" w:eastAsiaTheme="minorEastAsia" w:cstheme="minorEastAsia"/>
          <w:szCs w:val="21"/>
        </w:rPr>
      </w:pPr>
    </w:p>
    <w:p>
      <w:pPr>
        <w:widowControl/>
        <w:snapToGrid w:val="0"/>
        <w:spacing w:line="360" w:lineRule="auto"/>
        <w:ind w:firstLine="420" w:firstLineChars="200"/>
        <w:rPr>
          <w:rFonts w:asciiTheme="minorEastAsia" w:hAnsiTheme="minorEastAsia" w:eastAsiaTheme="minorEastAsia" w:cstheme="minorEastAsia"/>
          <w:szCs w:val="21"/>
        </w:rPr>
      </w:pPr>
    </w:p>
    <w:p>
      <w:pPr>
        <w:pStyle w:val="258"/>
        <w:ind w:firstLine="0" w:firstLineChars="0"/>
        <w:rPr>
          <w:color w:val="000000" w:themeColor="text1"/>
          <w14:textFill>
            <w14:solidFill>
              <w14:schemeClr w14:val="tx1"/>
            </w14:solidFill>
          </w14:textFill>
        </w:rPr>
        <w:sectPr>
          <w:headerReference r:id="rId12" w:type="first"/>
          <w:footerReference r:id="rId14" w:type="first"/>
          <w:footerReference r:id="rId13" w:type="default"/>
          <w:pgSz w:w="11907" w:h="16839"/>
          <w:pgMar w:top="1418" w:right="1134" w:bottom="1134" w:left="1418" w:header="1418" w:footer="1134" w:gutter="0"/>
          <w:pgNumType w:start="1"/>
          <w:cols w:space="425" w:num="1"/>
          <w:docGrid w:linePitch="312" w:charSpace="0"/>
        </w:sectPr>
      </w:pPr>
    </w:p>
    <w:p>
      <w:pPr>
        <w:pStyle w:val="349"/>
        <w:rPr>
          <w:color w:val="000000" w:themeColor="text1"/>
          <w14:textFill>
            <w14:solidFill>
              <w14:schemeClr w14:val="tx1"/>
            </w14:solidFill>
          </w14:textFill>
        </w:rPr>
      </w:pPr>
      <w:bookmarkStart w:id="78" w:name="标准附录"/>
      <w:bookmarkEnd w:id="78"/>
    </w:p>
    <w:p>
      <w:pPr>
        <w:pStyle w:val="350"/>
        <w:rPr>
          <w:color w:val="000000" w:themeColor="text1"/>
          <w14:textFill>
            <w14:solidFill>
              <w14:schemeClr w14:val="tx1"/>
            </w14:solidFill>
          </w14:textFill>
        </w:rPr>
      </w:pPr>
    </w:p>
    <w:p>
      <w:pPr>
        <w:pStyle w:val="274"/>
        <w:spacing w:line="276" w:lineRule="auto"/>
        <w:rPr>
          <w:color w:val="000000" w:themeColor="text1"/>
          <w14:textFill>
            <w14:solidFill>
              <w14:schemeClr w14:val="tx1"/>
            </w14:solidFill>
          </w14:textFill>
        </w:rPr>
      </w:pPr>
      <w:bookmarkStart w:id="79" w:name="_Toc15998"/>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（资料性附录）</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深圳市建设工程技术经济指标及指标说明</w:t>
      </w:r>
      <w:bookmarkEnd w:id="79"/>
    </w:p>
    <w:p>
      <w:pPr>
        <w:pStyle w:val="276"/>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2006年深圳市建设工程技术经济指标</w:t>
      </w:r>
    </w:p>
    <w:p>
      <w:pPr>
        <w:spacing w:line="276" w:lineRule="auto"/>
        <w:jc w:val="center"/>
        <w:rPr>
          <w:rFonts w:ascii="黑体" w:eastAsia="黑体"/>
          <w:kern w:val="21"/>
          <w:szCs w:val="20"/>
        </w:rPr>
      </w:pPr>
      <w:r>
        <w:rPr>
          <w:rFonts w:hint="eastAsia" w:ascii="黑体" w:eastAsia="黑体"/>
          <w:kern w:val="21"/>
          <w:szCs w:val="20"/>
        </w:rPr>
        <w:t>表A</w:t>
      </w:r>
      <w:r>
        <w:rPr>
          <w:rFonts w:ascii="黑体" w:eastAsia="黑体"/>
          <w:kern w:val="21"/>
          <w:szCs w:val="20"/>
        </w:rPr>
        <w:t xml:space="preserve">.1  </w:t>
      </w:r>
      <w:r>
        <w:rPr>
          <w:rFonts w:hint="eastAsia" w:ascii="黑体" w:eastAsia="黑体"/>
          <w:kern w:val="21"/>
          <w:szCs w:val="20"/>
        </w:rPr>
        <w:t>2006年深圳市建设工程技术经济指标（基期：2006年5月）</w:t>
      </w:r>
    </w:p>
    <w:p>
      <w:pPr>
        <w:spacing w:line="276" w:lineRule="auto"/>
        <w:jc w:val="righ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单位：元/平方米</w:t>
      </w:r>
    </w:p>
    <w:tbl>
      <w:tblPr>
        <w:tblStyle w:val="88"/>
        <w:tblW w:w="9678" w:type="dxa"/>
        <w:jc w:val="center"/>
        <w:tblLayout w:type="fixed"/>
        <w:tblCellMar>
          <w:top w:w="0" w:type="dxa"/>
          <w:left w:w="108" w:type="dxa"/>
          <w:bottom w:w="0" w:type="dxa"/>
          <w:right w:w="108" w:type="dxa"/>
        </w:tblCellMar>
      </w:tblPr>
      <w:tblGrid>
        <w:gridCol w:w="471"/>
        <w:gridCol w:w="481"/>
        <w:gridCol w:w="854"/>
        <w:gridCol w:w="669"/>
        <w:gridCol w:w="1255"/>
        <w:gridCol w:w="489"/>
        <w:gridCol w:w="1062"/>
        <w:gridCol w:w="669"/>
        <w:gridCol w:w="1062"/>
        <w:gridCol w:w="1630"/>
        <w:gridCol w:w="1036"/>
      </w:tblGrid>
      <w:tr>
        <w:tblPrEx>
          <w:tblCellMar>
            <w:top w:w="0" w:type="dxa"/>
            <w:left w:w="108" w:type="dxa"/>
            <w:bottom w:w="0" w:type="dxa"/>
            <w:right w:w="108" w:type="dxa"/>
          </w:tblCellMar>
        </w:tblPrEx>
        <w:trPr>
          <w:trHeight w:val="622" w:hRule="atLeast"/>
          <w:tblHeader/>
          <w:jc w:val="center"/>
        </w:trPr>
        <w:tc>
          <w:tcPr>
            <w:tcW w:w="4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序号</w:t>
            </w: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项目</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住宅（层）</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办公（层）</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综合楼</w:t>
            </w:r>
          </w:p>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（公共建筑）</w:t>
            </w:r>
          </w:p>
        </w:tc>
        <w:tc>
          <w:tcPr>
            <w:tcW w:w="16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教学楼</w:t>
            </w:r>
          </w:p>
        </w:tc>
        <w:tc>
          <w:tcPr>
            <w:tcW w:w="10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b/>
                <w:bCs/>
                <w:color w:val="000000"/>
                <w:kern w:val="0"/>
                <w:sz w:val="18"/>
                <w:szCs w:val="18"/>
              </w:rPr>
            </w:pPr>
            <w:r>
              <w:rPr>
                <w:rFonts w:hint="eastAsia" w:cs="仿宋" w:asciiTheme="minorEastAsia" w:hAnsiTheme="minorEastAsia" w:eastAsiaTheme="minorEastAsia"/>
                <w:b/>
                <w:bCs/>
                <w:color w:val="000000"/>
                <w:kern w:val="0"/>
                <w:sz w:val="18"/>
                <w:szCs w:val="18"/>
              </w:rPr>
              <w:t>厂房</w:t>
            </w:r>
          </w:p>
        </w:tc>
      </w:tr>
      <w:tr>
        <w:tblPrEx>
          <w:tblCellMar>
            <w:top w:w="0" w:type="dxa"/>
            <w:left w:w="108" w:type="dxa"/>
            <w:bottom w:w="0" w:type="dxa"/>
            <w:right w:w="108" w:type="dxa"/>
          </w:tblCellMar>
        </w:tblPrEx>
        <w:trPr>
          <w:trHeight w:val="481"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w:t>
            </w:r>
          </w:p>
        </w:tc>
        <w:tc>
          <w:tcPr>
            <w:tcW w:w="13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土建</w:t>
            </w: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w:t>
            </w: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1065(中)，</w:t>
            </w:r>
          </w:p>
        </w:tc>
        <w:tc>
          <w:tcPr>
            <w:tcW w:w="48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1000(中)，</w:t>
            </w: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1100(中)，</w:t>
            </w:r>
          </w:p>
        </w:tc>
        <w:tc>
          <w:tcPr>
            <w:tcW w:w="163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1165(中)，1020—1310</w:t>
            </w:r>
          </w:p>
        </w:tc>
        <w:tc>
          <w:tcPr>
            <w:tcW w:w="10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965(中)，860—1070</w:t>
            </w: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950-1180</w:t>
            </w:r>
          </w:p>
        </w:tc>
        <w:tc>
          <w:tcPr>
            <w:tcW w:w="48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880-1120</w:t>
            </w: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960-1240</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7-14</w:t>
            </w: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1220(中)，</w:t>
            </w:r>
          </w:p>
        </w:tc>
        <w:tc>
          <w:tcPr>
            <w:tcW w:w="48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7-14</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1365(中)，</w:t>
            </w: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7-14</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1200(中)，</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1070-1370</w:t>
            </w:r>
          </w:p>
        </w:tc>
        <w:tc>
          <w:tcPr>
            <w:tcW w:w="48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1220-1510</w:t>
            </w: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1040-1360</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15-24</w:t>
            </w: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1405(中)，</w:t>
            </w:r>
          </w:p>
        </w:tc>
        <w:tc>
          <w:tcPr>
            <w:tcW w:w="48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15-24</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1500(中)，</w:t>
            </w: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15-24</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1500(中)，</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1250-1560</w:t>
            </w:r>
          </w:p>
        </w:tc>
        <w:tc>
          <w:tcPr>
            <w:tcW w:w="48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1360-1640</w:t>
            </w: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1320-1680</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25-34</w:t>
            </w: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1705(中)，</w:t>
            </w:r>
          </w:p>
        </w:tc>
        <w:tc>
          <w:tcPr>
            <w:tcW w:w="48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25-34</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1775(中)</w:t>
            </w:r>
          </w:p>
        </w:tc>
        <w:tc>
          <w:tcPr>
            <w:tcW w:w="669"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25-34</w:t>
            </w: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1750(中)，</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255"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1530-1880</w:t>
            </w:r>
          </w:p>
        </w:tc>
        <w:tc>
          <w:tcPr>
            <w:tcW w:w="48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1590-1960</w:t>
            </w:r>
          </w:p>
        </w:tc>
        <w:tc>
          <w:tcPr>
            <w:tcW w:w="669"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62"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1590-1910</w:t>
            </w:r>
          </w:p>
        </w:tc>
        <w:tc>
          <w:tcPr>
            <w:tcW w:w="1630"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w:t>
            </w:r>
          </w:p>
        </w:tc>
        <w:tc>
          <w:tcPr>
            <w:tcW w:w="13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给排水</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多层45(中)40-50；</w:t>
            </w:r>
          </w:p>
        </w:tc>
        <w:tc>
          <w:tcPr>
            <w:tcW w:w="15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多层30.2(中)，25.5-35；高层39.2(中)，34.5-44</w:t>
            </w:r>
          </w:p>
        </w:tc>
        <w:tc>
          <w:tcPr>
            <w:tcW w:w="17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多层27.8(中)，25-30.5；高层61.8(中)，57.5-66</w:t>
            </w:r>
          </w:p>
        </w:tc>
        <w:tc>
          <w:tcPr>
            <w:tcW w:w="1630"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0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10.5(中)，8—13.5</w:t>
            </w: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低密50；</w:t>
            </w:r>
          </w:p>
        </w:tc>
        <w:tc>
          <w:tcPr>
            <w:tcW w:w="15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7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630"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高层56(中)51-61</w:t>
            </w:r>
          </w:p>
        </w:tc>
        <w:tc>
          <w:tcPr>
            <w:tcW w:w="15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7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630"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928"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3</w:t>
            </w:r>
          </w:p>
        </w:tc>
        <w:tc>
          <w:tcPr>
            <w:tcW w:w="481"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强电</w:t>
            </w:r>
          </w:p>
        </w:tc>
        <w:tc>
          <w:tcPr>
            <w:tcW w:w="854"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变配电及发电机</w:t>
            </w:r>
          </w:p>
        </w:tc>
        <w:tc>
          <w:tcPr>
            <w:tcW w:w="1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多层25，低密25，高层35</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多层80，高层90</w:t>
            </w:r>
          </w:p>
        </w:tc>
        <w:tc>
          <w:tcPr>
            <w:tcW w:w="1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多层105，高层90</w:t>
            </w:r>
          </w:p>
        </w:tc>
        <w:tc>
          <w:tcPr>
            <w:tcW w:w="1630"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w:t>
            </w:r>
          </w:p>
        </w:tc>
        <w:tc>
          <w:tcPr>
            <w:tcW w:w="1036"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90</w:t>
            </w:r>
          </w:p>
        </w:tc>
      </w:tr>
      <w:tr>
        <w:tblPrEx>
          <w:tblCellMar>
            <w:top w:w="0" w:type="dxa"/>
            <w:left w:w="108" w:type="dxa"/>
            <w:bottom w:w="0" w:type="dxa"/>
            <w:right w:w="108" w:type="dxa"/>
          </w:tblCellMar>
        </w:tblPrEx>
        <w:trPr>
          <w:trHeight w:val="622"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其余部分</w:t>
            </w:r>
          </w:p>
        </w:tc>
        <w:tc>
          <w:tcPr>
            <w:tcW w:w="1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多层85，低密85，高层105</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多层80，高层110</w:t>
            </w:r>
          </w:p>
        </w:tc>
        <w:tc>
          <w:tcPr>
            <w:tcW w:w="1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多层60，高层110</w:t>
            </w:r>
          </w:p>
        </w:tc>
        <w:tc>
          <w:tcPr>
            <w:tcW w:w="1630"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95</w:t>
            </w:r>
          </w:p>
        </w:tc>
        <w:tc>
          <w:tcPr>
            <w:tcW w:w="1036"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60</w:t>
            </w:r>
          </w:p>
        </w:tc>
      </w:tr>
      <w:tr>
        <w:tblPrEx>
          <w:tblCellMar>
            <w:top w:w="0" w:type="dxa"/>
            <w:left w:w="108" w:type="dxa"/>
            <w:bottom w:w="0" w:type="dxa"/>
            <w:right w:w="108" w:type="dxa"/>
          </w:tblCellMar>
        </w:tblPrEx>
        <w:trPr>
          <w:trHeight w:val="622"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4</w:t>
            </w:r>
          </w:p>
        </w:tc>
        <w:tc>
          <w:tcPr>
            <w:tcW w:w="48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弱电</w:t>
            </w: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数据网络系统</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40.5</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40.5</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40.5</w:t>
            </w:r>
          </w:p>
        </w:tc>
        <w:tc>
          <w:tcPr>
            <w:tcW w:w="1630"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40.5</w:t>
            </w:r>
          </w:p>
        </w:tc>
        <w:tc>
          <w:tcPr>
            <w:tcW w:w="1036"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40.5</w:t>
            </w:r>
          </w:p>
        </w:tc>
      </w:tr>
      <w:tr>
        <w:tblPrEx>
          <w:tblCellMar>
            <w:top w:w="0" w:type="dxa"/>
            <w:left w:w="108" w:type="dxa"/>
            <w:bottom w:w="0" w:type="dxa"/>
            <w:right w:w="108" w:type="dxa"/>
          </w:tblCellMar>
        </w:tblPrEx>
        <w:trPr>
          <w:trHeight w:val="928"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对讲及保安监控系统</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18.5</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18.5</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18.5</w:t>
            </w:r>
          </w:p>
        </w:tc>
        <w:tc>
          <w:tcPr>
            <w:tcW w:w="1630"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18.5</w:t>
            </w:r>
          </w:p>
        </w:tc>
        <w:tc>
          <w:tcPr>
            <w:tcW w:w="1036"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18.5</w:t>
            </w:r>
          </w:p>
        </w:tc>
      </w:tr>
      <w:tr>
        <w:tblPrEx>
          <w:tblCellMar>
            <w:top w:w="0" w:type="dxa"/>
            <w:left w:w="108" w:type="dxa"/>
            <w:bottom w:w="0" w:type="dxa"/>
            <w:right w:w="108" w:type="dxa"/>
          </w:tblCellMar>
        </w:tblPrEx>
        <w:trPr>
          <w:trHeight w:val="622"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有线电视系统</w:t>
            </w:r>
          </w:p>
        </w:tc>
        <w:tc>
          <w:tcPr>
            <w:tcW w:w="1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w:t>
            </w:r>
          </w:p>
        </w:tc>
        <w:tc>
          <w:tcPr>
            <w:tcW w:w="1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w:t>
            </w:r>
          </w:p>
        </w:tc>
        <w:tc>
          <w:tcPr>
            <w:tcW w:w="1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w:t>
            </w:r>
          </w:p>
        </w:tc>
        <w:tc>
          <w:tcPr>
            <w:tcW w:w="1630"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w:t>
            </w:r>
          </w:p>
        </w:tc>
        <w:tc>
          <w:tcPr>
            <w:tcW w:w="1036"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w:t>
            </w:r>
          </w:p>
        </w:tc>
      </w:tr>
      <w:tr>
        <w:tblPrEx>
          <w:tblCellMar>
            <w:top w:w="0" w:type="dxa"/>
            <w:left w:w="108" w:type="dxa"/>
            <w:bottom w:w="0" w:type="dxa"/>
            <w:right w:w="108" w:type="dxa"/>
          </w:tblCellMar>
        </w:tblPrEx>
        <w:trPr>
          <w:trHeight w:val="928"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自来水煤气抄表系统</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7.3</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7.3</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7.3</w:t>
            </w:r>
          </w:p>
        </w:tc>
        <w:tc>
          <w:tcPr>
            <w:tcW w:w="1630"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7.3</w:t>
            </w:r>
          </w:p>
        </w:tc>
        <w:tc>
          <w:tcPr>
            <w:tcW w:w="1036"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7.3</w:t>
            </w:r>
          </w:p>
        </w:tc>
      </w:tr>
      <w:tr>
        <w:tblPrEx>
          <w:tblCellMar>
            <w:top w:w="0" w:type="dxa"/>
            <w:left w:w="108" w:type="dxa"/>
            <w:bottom w:w="0" w:type="dxa"/>
            <w:right w:w="108" w:type="dxa"/>
          </w:tblCellMar>
        </w:tblPrEx>
        <w:trPr>
          <w:trHeight w:val="928"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智能家居控制系统</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6.2</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630"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036"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r>
      <w:tr>
        <w:tblPrEx>
          <w:tblCellMar>
            <w:top w:w="0" w:type="dxa"/>
            <w:left w:w="108" w:type="dxa"/>
            <w:bottom w:w="0" w:type="dxa"/>
            <w:right w:w="108" w:type="dxa"/>
          </w:tblCellMar>
        </w:tblPrEx>
        <w:trPr>
          <w:trHeight w:val="622"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电话系统</w:t>
            </w:r>
          </w:p>
        </w:tc>
        <w:tc>
          <w:tcPr>
            <w:tcW w:w="1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2.5(中)1.9-3.1</w:t>
            </w:r>
          </w:p>
        </w:tc>
        <w:tc>
          <w:tcPr>
            <w:tcW w:w="1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2.5(中)1.9-3.1</w:t>
            </w:r>
          </w:p>
        </w:tc>
        <w:tc>
          <w:tcPr>
            <w:tcW w:w="1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2.5(中)1.9-3.1</w:t>
            </w:r>
          </w:p>
        </w:tc>
        <w:tc>
          <w:tcPr>
            <w:tcW w:w="1630"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2.5(中) 1.9-3.1</w:t>
            </w:r>
          </w:p>
        </w:tc>
        <w:tc>
          <w:tcPr>
            <w:tcW w:w="1036"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2.5(中) 1.9-3.1</w:t>
            </w:r>
          </w:p>
        </w:tc>
      </w:tr>
      <w:tr>
        <w:tblPrEx>
          <w:tblCellMar>
            <w:top w:w="0" w:type="dxa"/>
            <w:left w:w="108" w:type="dxa"/>
            <w:bottom w:w="0" w:type="dxa"/>
            <w:right w:w="108" w:type="dxa"/>
          </w:tblCellMar>
        </w:tblPrEx>
        <w:trPr>
          <w:trHeight w:val="622"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481" w:type="dxa"/>
            <w:vMerge w:val="continue"/>
            <w:tcBorders>
              <w:top w:val="nil"/>
              <w:left w:val="single" w:color="auto" w:sz="4" w:space="0"/>
              <w:bottom w:val="single" w:color="000000"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854"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停车场管理系统</w:t>
            </w:r>
          </w:p>
        </w:tc>
        <w:tc>
          <w:tcPr>
            <w:tcW w:w="19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3.75(中)3.2-4.3</w:t>
            </w:r>
          </w:p>
        </w:tc>
        <w:tc>
          <w:tcPr>
            <w:tcW w:w="15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3.75(中)3.2-4.3</w:t>
            </w:r>
          </w:p>
        </w:tc>
        <w:tc>
          <w:tcPr>
            <w:tcW w:w="17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3.75(中)3.2-4.3</w:t>
            </w:r>
          </w:p>
        </w:tc>
        <w:tc>
          <w:tcPr>
            <w:tcW w:w="1630"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3.75(中)3.2-4.3</w:t>
            </w:r>
          </w:p>
        </w:tc>
        <w:tc>
          <w:tcPr>
            <w:tcW w:w="1036"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3.75(中)3.2-4.3</w:t>
            </w:r>
          </w:p>
        </w:tc>
      </w:tr>
      <w:tr>
        <w:tblPrEx>
          <w:tblCellMar>
            <w:top w:w="0" w:type="dxa"/>
            <w:left w:w="108" w:type="dxa"/>
            <w:bottom w:w="0" w:type="dxa"/>
            <w:right w:w="108" w:type="dxa"/>
          </w:tblCellMar>
        </w:tblPrEx>
        <w:trPr>
          <w:trHeight w:val="316" w:hRule="atLeast"/>
          <w:jc w:val="center"/>
        </w:trPr>
        <w:tc>
          <w:tcPr>
            <w:tcW w:w="471"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5</w:t>
            </w:r>
          </w:p>
        </w:tc>
        <w:tc>
          <w:tcPr>
            <w:tcW w:w="13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消防</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多层21.5(中)，</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多层135(中)，</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多层135(中)，</w:t>
            </w:r>
          </w:p>
        </w:tc>
        <w:tc>
          <w:tcPr>
            <w:tcW w:w="1630"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036"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19-24；低密21.5；</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120-150；</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120-150；</w:t>
            </w:r>
          </w:p>
        </w:tc>
        <w:tc>
          <w:tcPr>
            <w:tcW w:w="1630"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高层56.5(中)，</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高层155(中)，</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高层155(中)，</w:t>
            </w:r>
          </w:p>
        </w:tc>
        <w:tc>
          <w:tcPr>
            <w:tcW w:w="1630"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3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50-63</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135-175</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135-175</w:t>
            </w:r>
          </w:p>
        </w:tc>
        <w:tc>
          <w:tcPr>
            <w:tcW w:w="1630"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c>
          <w:tcPr>
            <w:tcW w:w="1036" w:type="dxa"/>
            <w:vMerge w:val="continue"/>
            <w:tcBorders>
              <w:top w:val="nil"/>
              <w:left w:val="single" w:color="auto" w:sz="4" w:space="0"/>
              <w:bottom w:val="single" w:color="auto" w:sz="4" w:space="0"/>
              <w:right w:val="single" w:color="auto" w:sz="4" w:space="0"/>
            </w:tcBorders>
            <w:vAlign w:val="center"/>
          </w:tcPr>
          <w:p>
            <w:pPr>
              <w:widowControl/>
              <w:jc w:val="left"/>
              <w:rPr>
                <w:rFonts w:cs="仿宋" w:asciiTheme="minorEastAsia" w:hAnsiTheme="minorEastAsia" w:eastAsiaTheme="minorEastAsia"/>
                <w:color w:val="000000"/>
                <w:kern w:val="0"/>
                <w:sz w:val="18"/>
                <w:szCs w:val="18"/>
              </w:rPr>
            </w:pPr>
          </w:p>
        </w:tc>
      </w:tr>
      <w:tr>
        <w:tblPrEx>
          <w:tblCellMar>
            <w:top w:w="0" w:type="dxa"/>
            <w:left w:w="108" w:type="dxa"/>
            <w:bottom w:w="0" w:type="dxa"/>
            <w:right w:w="108" w:type="dxa"/>
          </w:tblCellMar>
        </w:tblPrEx>
        <w:trPr>
          <w:trHeight w:val="316"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w:t>
            </w: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燃气</w:t>
            </w:r>
          </w:p>
        </w:tc>
        <w:tc>
          <w:tcPr>
            <w:tcW w:w="1924"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25(中)，20-30</w:t>
            </w:r>
          </w:p>
        </w:tc>
        <w:tc>
          <w:tcPr>
            <w:tcW w:w="155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630"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036" w:type="dxa"/>
            <w:tcBorders>
              <w:top w:val="nil"/>
              <w:left w:val="nil"/>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r>
      <w:tr>
        <w:tblPrEx>
          <w:tblCellMar>
            <w:top w:w="0" w:type="dxa"/>
            <w:left w:w="108" w:type="dxa"/>
            <w:bottom w:w="0" w:type="dxa"/>
            <w:right w:w="108" w:type="dxa"/>
          </w:tblCellMar>
        </w:tblPrEx>
        <w:trPr>
          <w:trHeight w:val="613"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7</w:t>
            </w:r>
          </w:p>
        </w:tc>
        <w:tc>
          <w:tcPr>
            <w:tcW w:w="13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地下室车库</w:t>
            </w:r>
          </w:p>
        </w:tc>
        <w:tc>
          <w:tcPr>
            <w:tcW w:w="7872"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按地下停车库建筑面积单价2050（中）计算，1600-2500（设备、土方另计），低密单价2500。</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【1】以上汇总结果（覆盖全部建筑面积）</w:t>
            </w:r>
          </w:p>
        </w:tc>
      </w:tr>
      <w:tr>
        <w:tblPrEx>
          <w:tblCellMar>
            <w:top w:w="0" w:type="dxa"/>
            <w:left w:w="108" w:type="dxa"/>
            <w:bottom w:w="0" w:type="dxa"/>
            <w:right w:w="108" w:type="dxa"/>
          </w:tblCellMar>
        </w:tblPrEx>
        <w:trPr>
          <w:trHeight w:val="622"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8</w:t>
            </w:r>
          </w:p>
        </w:tc>
        <w:tc>
          <w:tcPr>
            <w:tcW w:w="13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电梯工程</w:t>
            </w:r>
          </w:p>
        </w:tc>
        <w:tc>
          <w:tcPr>
            <w:tcW w:w="19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130（中），120-140（≥8层）</w:t>
            </w:r>
          </w:p>
        </w:tc>
        <w:tc>
          <w:tcPr>
            <w:tcW w:w="15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162.5（中），140-185</w:t>
            </w:r>
          </w:p>
        </w:tc>
        <w:tc>
          <w:tcPr>
            <w:tcW w:w="173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162.5（中），140-185</w:t>
            </w:r>
          </w:p>
        </w:tc>
        <w:tc>
          <w:tcPr>
            <w:tcW w:w="1630" w:type="dxa"/>
            <w:tcBorders>
              <w:top w:val="nil"/>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w:t>
            </w:r>
          </w:p>
        </w:tc>
        <w:tc>
          <w:tcPr>
            <w:tcW w:w="1036" w:type="dxa"/>
            <w:tcBorders>
              <w:top w:val="nil"/>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60（中），45-75</w:t>
            </w:r>
          </w:p>
        </w:tc>
      </w:tr>
      <w:tr>
        <w:tblPrEx>
          <w:tblCellMar>
            <w:top w:w="0" w:type="dxa"/>
            <w:left w:w="108" w:type="dxa"/>
            <w:bottom w:w="0" w:type="dxa"/>
            <w:right w:w="108" w:type="dxa"/>
          </w:tblCellMar>
        </w:tblPrEx>
        <w:trPr>
          <w:trHeight w:val="316"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9</w:t>
            </w:r>
          </w:p>
        </w:tc>
        <w:tc>
          <w:tcPr>
            <w:tcW w:w="13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空调工程</w:t>
            </w:r>
          </w:p>
        </w:tc>
        <w:tc>
          <w:tcPr>
            <w:tcW w:w="19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视情形</w:t>
            </w:r>
          </w:p>
        </w:tc>
        <w:tc>
          <w:tcPr>
            <w:tcW w:w="15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277.5（中），230-325</w:t>
            </w:r>
          </w:p>
        </w:tc>
        <w:tc>
          <w:tcPr>
            <w:tcW w:w="173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视情形</w:t>
            </w:r>
          </w:p>
        </w:tc>
        <w:tc>
          <w:tcPr>
            <w:tcW w:w="1630" w:type="dxa"/>
            <w:tcBorders>
              <w:top w:val="nil"/>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视情形</w:t>
            </w:r>
          </w:p>
        </w:tc>
        <w:tc>
          <w:tcPr>
            <w:tcW w:w="1036" w:type="dxa"/>
            <w:tcBorders>
              <w:top w:val="nil"/>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视情形</w:t>
            </w:r>
          </w:p>
        </w:tc>
      </w:tr>
      <w:tr>
        <w:tblPrEx>
          <w:tblCellMar>
            <w:top w:w="0" w:type="dxa"/>
            <w:left w:w="108" w:type="dxa"/>
            <w:bottom w:w="0" w:type="dxa"/>
            <w:right w:w="108" w:type="dxa"/>
          </w:tblCellMar>
        </w:tblPrEx>
        <w:trPr>
          <w:trHeight w:val="622"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10</w:t>
            </w:r>
          </w:p>
        </w:tc>
        <w:tc>
          <w:tcPr>
            <w:tcW w:w="13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室外配套</w:t>
            </w:r>
          </w:p>
        </w:tc>
        <w:tc>
          <w:tcPr>
            <w:tcW w:w="19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低密140（中）；其它120（中）100-140</w:t>
            </w:r>
          </w:p>
        </w:tc>
        <w:tc>
          <w:tcPr>
            <w:tcW w:w="155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140</w:t>
            </w:r>
          </w:p>
        </w:tc>
        <w:tc>
          <w:tcPr>
            <w:tcW w:w="173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140</w:t>
            </w:r>
          </w:p>
        </w:tc>
        <w:tc>
          <w:tcPr>
            <w:tcW w:w="1630" w:type="dxa"/>
            <w:tcBorders>
              <w:top w:val="nil"/>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140</w:t>
            </w:r>
          </w:p>
        </w:tc>
        <w:tc>
          <w:tcPr>
            <w:tcW w:w="1036" w:type="dxa"/>
            <w:tcBorders>
              <w:top w:val="nil"/>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84（中）75-93</w:t>
            </w:r>
          </w:p>
        </w:tc>
      </w:tr>
      <w:tr>
        <w:tblPrEx>
          <w:tblCellMar>
            <w:top w:w="0" w:type="dxa"/>
            <w:left w:w="108" w:type="dxa"/>
            <w:bottom w:w="0" w:type="dxa"/>
            <w:right w:w="108" w:type="dxa"/>
          </w:tblCellMar>
        </w:tblPrEx>
        <w:trPr>
          <w:trHeight w:val="316"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11</w:t>
            </w:r>
          </w:p>
        </w:tc>
        <w:tc>
          <w:tcPr>
            <w:tcW w:w="13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其他工程</w:t>
            </w:r>
          </w:p>
        </w:tc>
        <w:tc>
          <w:tcPr>
            <w:tcW w:w="787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估价人员视情形确定</w:t>
            </w:r>
          </w:p>
        </w:tc>
      </w:tr>
      <w:tr>
        <w:tblPrEx>
          <w:tblCellMar>
            <w:top w:w="0" w:type="dxa"/>
            <w:left w:w="108" w:type="dxa"/>
            <w:bottom w:w="0" w:type="dxa"/>
            <w:right w:w="108" w:type="dxa"/>
          </w:tblCellMar>
        </w:tblPrEx>
        <w:trPr>
          <w:trHeight w:val="316"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w:t>
            </w:r>
          </w:p>
        </w:tc>
        <w:tc>
          <w:tcPr>
            <w:tcW w:w="13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玻璃幕墙</w:t>
            </w:r>
          </w:p>
        </w:tc>
        <w:tc>
          <w:tcPr>
            <w:tcW w:w="787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一般取明框标准，按建筑面积的1/3分摊，其它视情形</w:t>
            </w:r>
          </w:p>
        </w:tc>
      </w:tr>
      <w:tr>
        <w:tblPrEx>
          <w:tblCellMar>
            <w:top w:w="0" w:type="dxa"/>
            <w:left w:w="108" w:type="dxa"/>
            <w:bottom w:w="0" w:type="dxa"/>
            <w:right w:w="108" w:type="dxa"/>
          </w:tblCellMar>
        </w:tblPrEx>
        <w:trPr>
          <w:trHeight w:val="928"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13</w:t>
            </w:r>
          </w:p>
        </w:tc>
        <w:tc>
          <w:tcPr>
            <w:tcW w:w="133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室内装修</w:t>
            </w:r>
          </w:p>
        </w:tc>
        <w:tc>
          <w:tcPr>
            <w:tcW w:w="7872" w:type="dxa"/>
            <w:gridSpan w:val="8"/>
            <w:tcBorders>
              <w:top w:val="single" w:color="auto" w:sz="4" w:space="0"/>
              <w:left w:val="nil"/>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有规定的按规定：（1）住宅公共分摊50；（政策性住房全部装修185-325，中值255，其他视情形或根据项目要求）；（2）低密、办公、商业公共分摊150-200，中值175（其他视情形或根据项目要求）。</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【2】以上视具体情况单独计算——分摊单价汇总结果（分摊后，才覆盖全部面积）</w:t>
            </w:r>
          </w:p>
        </w:tc>
      </w:tr>
      <w:tr>
        <w:tblPrEx>
          <w:tblCellMar>
            <w:top w:w="0" w:type="dxa"/>
            <w:left w:w="108" w:type="dxa"/>
            <w:bottom w:w="0" w:type="dxa"/>
            <w:right w:w="108" w:type="dxa"/>
          </w:tblCellMar>
        </w:tblPrEx>
        <w:trPr>
          <w:trHeight w:val="928" w:hRule="atLeast"/>
          <w:jc w:val="center"/>
        </w:trPr>
        <w:tc>
          <w:tcPr>
            <w:tcW w:w="47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总计</w:t>
            </w:r>
          </w:p>
        </w:tc>
        <w:tc>
          <w:tcPr>
            <w:tcW w:w="9207" w:type="dxa"/>
            <w:gridSpan w:val="10"/>
            <w:tcBorders>
              <w:top w:val="single" w:color="auto" w:sz="4" w:space="0"/>
              <w:left w:val="nil"/>
              <w:bottom w:val="single" w:color="auto" w:sz="4" w:space="0"/>
              <w:right w:val="single" w:color="auto" w:sz="4" w:space="0"/>
            </w:tcBorders>
            <w:shd w:val="clear" w:color="auto" w:fill="auto"/>
            <w:vAlign w:val="center"/>
          </w:tcPr>
          <w:p>
            <w:pPr>
              <w:widowControl/>
              <w:jc w:val="left"/>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1】+【2】）*深圳市工程造价指数*全部建筑面积=项目建筑成本现值。其中，电梯、空调、幕墙已修正到2006年的价格水平，最终（1项+2项）进行估价时点的指数修正。其它视情形确定的项目应考虑时点修正到2006年的价格水平。</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土建，根据《2006年深圳市建设工程技术经济指标》综合单价，按总建筑面积平均造价。</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给排水，根据《2006年深圳市建设工程技术经济指标》单价，办公若考虑洁具费用可增加单价25-50元，37.5（中值）。</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强电，根据《2006年深圳市建设工程技术经济指标》单价，商场165，室外另计。</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弱电，包含网络、对讲保安监控、有线、水表气表、电话系统，根据《2006年深圳市建设工程技术经济指标》单价。</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消防，根据《2006年深圳市建设工程技术经济指标》单价，不含室外配套消防。</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燃气，根据《2006年深圳市建设工程技术经济指标》，每户1700-2000元。</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电梯，根据《2007年深圳市房地产年鉴》费用增加值。</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空调，根据《2007年深圳市房地产年鉴》费用增加值，8000-11000元/冷吨。</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室外配套，住宅小区基建费、非营业配套设施费，不含商业用房及地下停车场的建安费。</w:t>
            </w:r>
          </w:p>
        </w:tc>
      </w:tr>
      <w:tr>
        <w:tblPrEx>
          <w:tblCellMar>
            <w:top w:w="0" w:type="dxa"/>
            <w:left w:w="108" w:type="dxa"/>
            <w:bottom w:w="0" w:type="dxa"/>
            <w:right w:w="108" w:type="dxa"/>
          </w:tblCellMar>
        </w:tblPrEx>
        <w:trPr>
          <w:trHeight w:val="622"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玻璃幕墙，根据《2007年深圳市房地产年鉴》费用增加值，明框625（中）450-800，隐框1100（中）900-1300元/平方米。</w:t>
            </w:r>
          </w:p>
        </w:tc>
      </w:tr>
      <w:tr>
        <w:tblPrEx>
          <w:tblCellMar>
            <w:top w:w="0" w:type="dxa"/>
            <w:left w:w="108" w:type="dxa"/>
            <w:bottom w:w="0" w:type="dxa"/>
            <w:right w:w="108" w:type="dxa"/>
          </w:tblCellMar>
        </w:tblPrEx>
        <w:trPr>
          <w:trHeight w:val="31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室内装饰，主体内的公共部分。</w:t>
            </w:r>
          </w:p>
        </w:tc>
      </w:tr>
      <w:tr>
        <w:tblPrEx>
          <w:tblCellMar>
            <w:top w:w="0" w:type="dxa"/>
            <w:left w:w="108" w:type="dxa"/>
            <w:bottom w:w="0" w:type="dxa"/>
            <w:right w:w="108" w:type="dxa"/>
          </w:tblCellMar>
        </w:tblPrEx>
        <w:trPr>
          <w:trHeight w:val="622"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其他工程，指住宅小区内入户前泵房给排水工程、电气、强弱电工程、室外配套的消防工程、室外燃气管道配套工程，环保节能等工程发生的费用。</w:t>
            </w:r>
          </w:p>
        </w:tc>
      </w:tr>
      <w:tr>
        <w:tblPrEx>
          <w:tblCellMar>
            <w:top w:w="0" w:type="dxa"/>
            <w:left w:w="108" w:type="dxa"/>
            <w:bottom w:w="0" w:type="dxa"/>
            <w:right w:w="108" w:type="dxa"/>
          </w:tblCellMar>
        </w:tblPrEx>
        <w:trPr>
          <w:trHeight w:val="326" w:hRule="atLeast"/>
          <w:jc w:val="center"/>
        </w:trPr>
        <w:tc>
          <w:tcPr>
            <w:tcW w:w="9678"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cs="仿宋" w:asciiTheme="minorEastAsia" w:hAnsiTheme="minorEastAsia" w:eastAsiaTheme="minorEastAsia"/>
                <w:color w:val="000000"/>
                <w:kern w:val="0"/>
                <w:sz w:val="18"/>
                <w:szCs w:val="18"/>
              </w:rPr>
            </w:pPr>
            <w:r>
              <w:rPr>
                <w:rFonts w:hint="eastAsia" w:cs="仿宋" w:asciiTheme="minorEastAsia" w:hAnsiTheme="minorEastAsia" w:eastAsiaTheme="minorEastAsia"/>
                <w:color w:val="000000"/>
                <w:kern w:val="0"/>
                <w:sz w:val="18"/>
                <w:szCs w:val="18"/>
              </w:rPr>
              <w:t>一般情况下取中值，取其他值时需说明（宝安、龙岗、坪山和光明行政区，工业用途的房屋建筑成本取低值）。</w:t>
            </w:r>
          </w:p>
        </w:tc>
      </w:tr>
    </w:tbl>
    <w:p>
      <w:pPr>
        <w:pStyle w:val="276"/>
        <w:spacing w:before="120" w:after="120"/>
        <w:rPr>
          <w:color w:val="000000" w:themeColor="text1"/>
          <w14:textFill>
            <w14:solidFill>
              <w14:schemeClr w14:val="tx1"/>
            </w14:solidFill>
          </w14:textFill>
        </w:rPr>
      </w:pPr>
      <w:bookmarkStart w:id="80" w:name="_Toc21378"/>
      <w:r>
        <w:rPr>
          <w:rFonts w:hint="eastAsia"/>
          <w:color w:val="000000" w:themeColor="text1"/>
          <w14:textFill>
            <w14:solidFill>
              <w14:schemeClr w14:val="tx1"/>
            </w14:solidFill>
          </w14:textFill>
        </w:rPr>
        <w:t>2006年深圳市建设工程技术经济指标说明表</w:t>
      </w:r>
      <w:bookmarkEnd w:id="80"/>
    </w:p>
    <w:p>
      <w:pPr>
        <w:spacing w:line="276" w:lineRule="auto"/>
        <w:jc w:val="center"/>
        <w:rPr>
          <w:rFonts w:ascii="黑体" w:eastAsia="黑体"/>
          <w:kern w:val="21"/>
          <w:szCs w:val="20"/>
        </w:rPr>
      </w:pPr>
      <w:r>
        <w:rPr>
          <w:rFonts w:hint="eastAsia" w:ascii="黑体" w:eastAsia="黑体"/>
          <w:kern w:val="21"/>
          <w:szCs w:val="20"/>
        </w:rPr>
        <w:t>表A</w:t>
      </w:r>
      <w:r>
        <w:rPr>
          <w:rFonts w:ascii="黑体" w:eastAsia="黑体"/>
          <w:kern w:val="21"/>
          <w:szCs w:val="20"/>
        </w:rPr>
        <w:t xml:space="preserve">.2  </w:t>
      </w:r>
      <w:r>
        <w:rPr>
          <w:rFonts w:hint="eastAsia" w:ascii="黑体" w:eastAsia="黑体"/>
          <w:kern w:val="21"/>
          <w:szCs w:val="20"/>
        </w:rPr>
        <w:t>2006年深圳市建设工程技术经济指标说明表</w:t>
      </w:r>
    </w:p>
    <w:tbl>
      <w:tblPr>
        <w:tblStyle w:val="88"/>
        <w:tblW w:w="88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72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596" w:type="dxa"/>
            <w:tcBorders>
              <w:top w:val="single" w:color="auto" w:sz="8" w:space="0"/>
              <w:bottom w:val="single" w:color="auto" w:sz="8" w:space="0"/>
            </w:tcBorders>
            <w:shd w:val="clear" w:color="auto" w:fill="auto"/>
            <w:vAlign w:val="center"/>
          </w:tcPr>
          <w:p>
            <w:pPr>
              <w:jc w:val="center"/>
              <w:rPr>
                <w:rFonts w:cs="仿宋" w:asciiTheme="minorEastAsia" w:hAnsiTheme="minorEastAsia" w:eastAsiaTheme="minorEastAsia"/>
                <w:b/>
                <w:bCs/>
                <w:sz w:val="18"/>
                <w:szCs w:val="18"/>
              </w:rPr>
            </w:pPr>
            <w:r>
              <w:rPr>
                <w:rFonts w:hint="eastAsia" w:cs="仿宋" w:asciiTheme="minorEastAsia" w:hAnsiTheme="minorEastAsia" w:eastAsiaTheme="minorEastAsia"/>
                <w:b/>
                <w:bCs/>
                <w:sz w:val="18"/>
                <w:szCs w:val="18"/>
              </w:rPr>
              <w:t>建设工程</w:t>
            </w:r>
          </w:p>
        </w:tc>
        <w:tc>
          <w:tcPr>
            <w:tcW w:w="7282" w:type="dxa"/>
            <w:tcBorders>
              <w:top w:val="single" w:color="auto" w:sz="8" w:space="0"/>
              <w:bottom w:val="single" w:color="auto" w:sz="8" w:space="0"/>
            </w:tcBorders>
            <w:shd w:val="clear" w:color="auto" w:fill="auto"/>
            <w:vAlign w:val="center"/>
          </w:tcPr>
          <w:p>
            <w:pPr>
              <w:jc w:val="center"/>
              <w:rPr>
                <w:rFonts w:cs="仿宋" w:asciiTheme="minorEastAsia" w:hAnsiTheme="minorEastAsia" w:eastAsiaTheme="minorEastAsia"/>
                <w:b/>
                <w:bCs/>
                <w:sz w:val="18"/>
                <w:szCs w:val="18"/>
              </w:rPr>
            </w:pPr>
            <w:r>
              <w:rPr>
                <w:rFonts w:hint="eastAsia" w:cs="仿宋" w:asciiTheme="minorEastAsia" w:hAnsiTheme="minorEastAsia" w:eastAsiaTheme="minorEastAsia"/>
                <w:b/>
                <w:bCs/>
                <w:sz w:val="18"/>
                <w:szCs w:val="18"/>
              </w:rPr>
              <w:t>具体指标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96" w:type="dxa"/>
            <w:tcBorders>
              <w:top w:val="single" w:color="auto" w:sz="8"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建筑工程综合指标</w:t>
            </w:r>
          </w:p>
        </w:tc>
        <w:tc>
          <w:tcPr>
            <w:tcW w:w="7282" w:type="dxa"/>
            <w:tcBorders>
              <w:top w:val="single" w:color="auto" w:sz="8"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1.结构形式：框架剪力墙结构，采用商品混凝土；2.土方为三类土，运距10公里；3.装饰：粗装修，外墙贴瓷片，内墙水泥砂浆找平、乳胶漆；4.单位造价包括了基础，但不包括室外工程。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596" w:type="dxa"/>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安装-给排水工程综合指标</w:t>
            </w:r>
          </w:p>
        </w:tc>
        <w:tc>
          <w:tcPr>
            <w:tcW w:w="7282" w:type="dxa"/>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给水管道采用了一般的塑料管或复合塑料管；2.排水管道一般采用塑料排水管，高层建筑考虑部分采用柔性铸铁管；3.已综合了泵房安装工程的费用，但不包括室外工程；4.洁具及材料大部分为国产合格产品；5.洁具含量中包括了大便器、小便器、洗脸盆、淋浴盆等数量；6.住宅、办公楼指标按毛坯房情况考虑，办公楼如考虑洁具费用则每平方米可增加工程造价25-50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14" w:hRule="atLeast"/>
          <w:jc w:val="center"/>
        </w:trPr>
        <w:tc>
          <w:tcPr>
            <w:tcW w:w="1596" w:type="dxa"/>
            <w:tcBorders>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安装-强电工程综合指标</w:t>
            </w:r>
          </w:p>
        </w:tc>
        <w:tc>
          <w:tcPr>
            <w:tcW w:w="7282" w:type="dxa"/>
            <w:tcBorders>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变配电及发电机包括变配电房及发电机房内设备及出线电缆；其余部分指配电房出线电缆之后的电气安装部分。造价不包括室外部分，当设置为多栋楼房共用配电房时，建筑物之间的配电房出线电缆造价亦不在此计算；2.住宅考虑为毛坯房；3.办公楼考虑为简单装修，若商业办公楼不做室内装修（即只做到每层分配电箱）时，单价扣减20-30元/平方米；4.商场只做到每层分配电箱；5.变配电部分按目前规范条件下负荷密度考虑，若设计规范有调整时应做相应调整；6.不同功能建筑组合时，分别计算后相加；7.以上均不包括室外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96" w:type="dxa"/>
            <w:tcBorders>
              <w:top w:val="single" w:color="auto" w:sz="4" w:space="0"/>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安装电气-弱电工程综合指标</w:t>
            </w:r>
          </w:p>
        </w:tc>
        <w:tc>
          <w:tcPr>
            <w:tcW w:w="7282" w:type="dxa"/>
            <w:tcBorders>
              <w:top w:val="single" w:color="auto" w:sz="4" w:space="0"/>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1.包含设备，面积为建筑面积；2.国产设备材料；3.不包含室外部分。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96" w:type="dxa"/>
            <w:tcBorders>
              <w:top w:val="single" w:color="auto" w:sz="4" w:space="0"/>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安装-消防工程综合指标</w:t>
            </w:r>
          </w:p>
        </w:tc>
        <w:tc>
          <w:tcPr>
            <w:tcW w:w="7282" w:type="dxa"/>
            <w:tcBorders>
              <w:top w:val="single" w:color="auto" w:sz="4" w:space="0"/>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大部分采用国产设备材料；2.多层住宅仅考虑具备消防栓的情况，其它综合建筑考虑了根据工程需要设计具备的各种消防水、电和防排烟系统，其中变配电室采用气体消防的情况也已综合考虑；3.不包括室外配套的消防工程的费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596" w:type="dxa"/>
            <w:tcBorders>
              <w:top w:val="single" w:color="auto" w:sz="4" w:space="0"/>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安装-燃气工程综合指标</w:t>
            </w:r>
          </w:p>
        </w:tc>
        <w:tc>
          <w:tcPr>
            <w:tcW w:w="7282" w:type="dxa"/>
            <w:tcBorders>
              <w:top w:val="single" w:color="auto" w:sz="4" w:space="0"/>
              <w:bottom w:val="single" w:color="auto" w:sz="4" w:space="0"/>
            </w:tcBorders>
            <w:shd w:val="clear" w:color="auto" w:fill="auto"/>
            <w:vAlign w:val="center"/>
          </w:tcPr>
          <w:p>
            <w:pPr>
              <w:rPr>
                <w:rFonts w:cs="仿宋" w:asciiTheme="minorEastAsia" w:hAnsiTheme="minorEastAsia" w:eastAsiaTheme="minorEastAsia"/>
                <w:sz w:val="18"/>
                <w:szCs w:val="18"/>
              </w:rPr>
            </w:pPr>
            <w:r>
              <w:rPr>
                <w:rFonts w:hint="eastAsia" w:cs="仿宋" w:asciiTheme="minorEastAsia" w:hAnsiTheme="minorEastAsia" w:eastAsiaTheme="minorEastAsia"/>
                <w:sz w:val="18"/>
                <w:szCs w:val="18"/>
              </w:rPr>
              <w:t>1.阀门、煤气表、调压器外均为进口材料、设备；2.不包括室外燃气管道配套工程的费用；3.主要采用镀锌钢管；4.包括一般燃气泄露报警系统的费用。</w:t>
            </w:r>
          </w:p>
        </w:tc>
      </w:tr>
    </w:tbl>
    <w:p/>
    <w:p>
      <w:pPr>
        <w:spacing w:line="276" w:lineRule="auto"/>
        <w:jc w:val="left"/>
        <w:rPr>
          <w:rFonts w:ascii="宋体" w:hAnsi="宋体"/>
          <w:color w:val="000000" w:themeColor="text1"/>
          <w:szCs w:val="21"/>
          <w14:textFill>
            <w14:solidFill>
              <w14:schemeClr w14:val="tx1"/>
            </w14:solidFill>
          </w14:textFill>
        </w:rPr>
      </w:pPr>
    </w:p>
    <w:p>
      <w:pPr>
        <w:spacing w:line="276" w:lineRule="auto"/>
        <w:jc w:val="left"/>
        <w:rPr>
          <w:rFonts w:ascii="宋体" w:hAnsi="宋体"/>
          <w:color w:val="000000" w:themeColor="text1"/>
          <w:szCs w:val="21"/>
          <w14:textFill>
            <w14:solidFill>
              <w14:schemeClr w14:val="tx1"/>
            </w14:solidFill>
          </w14:textFill>
        </w:rPr>
      </w:pPr>
    </w:p>
    <w:p>
      <w:pPr>
        <w:spacing w:line="276" w:lineRule="auto"/>
        <w:jc w:val="left"/>
        <w:rPr>
          <w:rFonts w:ascii="宋体" w:hAnsi="宋体"/>
          <w:color w:val="000000" w:themeColor="text1"/>
          <w:szCs w:val="21"/>
          <w14:textFill>
            <w14:solidFill>
              <w14:schemeClr w14:val="tx1"/>
            </w14:solidFill>
          </w14:textFill>
        </w:rPr>
      </w:pPr>
    </w:p>
    <w:p>
      <w:pPr>
        <w:spacing w:line="276" w:lineRule="auto"/>
        <w:jc w:val="left"/>
        <w:rPr>
          <w:rFonts w:ascii="宋体" w:hAnsi="宋体"/>
          <w:color w:val="000000" w:themeColor="text1"/>
          <w:szCs w:val="21"/>
          <w14:textFill>
            <w14:solidFill>
              <w14:schemeClr w14:val="tx1"/>
            </w14:solidFill>
          </w14:textFill>
        </w:rPr>
      </w:pPr>
    </w:p>
    <w:p>
      <w:pPr>
        <w:widowControl/>
        <w:jc w:val="center"/>
        <w:rPr>
          <w:rFonts w:ascii="宋体"/>
          <w:kern w:val="0"/>
          <w:szCs w:val="20"/>
        </w:rPr>
      </w:pPr>
      <w:bookmarkStart w:id="81" w:name="BookMark8"/>
      <w:r>
        <w:rPr>
          <w:rFonts w:ascii="宋体"/>
          <w:kern w:val="0"/>
          <w:szCs w:val="20"/>
        </w:rPr>
        <w:drawing>
          <wp:inline distT="0" distB="0" distL="0" distR="0">
            <wp:extent cx="1485900" cy="317500"/>
            <wp:effectExtent l="0" t="0" r="0" b="6350"/>
            <wp:docPr id="953966247" name="图片 1"/>
            <wp:cNvGraphicFramePr/>
            <a:graphic xmlns:a="http://schemas.openxmlformats.org/drawingml/2006/main">
              <a:graphicData uri="http://schemas.openxmlformats.org/drawingml/2006/picture">
                <pic:pic xmlns:pic="http://schemas.openxmlformats.org/drawingml/2006/picture">
                  <pic:nvPicPr>
                    <pic:cNvPr id="953966247" name="图片 1"/>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85900" cy="317500"/>
                    </a:xfrm>
                    <a:prstGeom prst="rect">
                      <a:avLst/>
                    </a:prstGeom>
                    <a:noFill/>
                    <a:ln>
                      <a:noFill/>
                    </a:ln>
                  </pic:spPr>
                </pic:pic>
              </a:graphicData>
            </a:graphic>
          </wp:inline>
        </w:drawing>
      </w:r>
      <w:bookmarkEnd w:id="81"/>
    </w:p>
    <w:p>
      <w:pPr>
        <w:pStyle w:val="349"/>
        <w:numPr>
          <w:ilvl w:val="0"/>
          <w:numId w:val="0"/>
        </w:numPr>
        <w:jc w:val="both"/>
      </w:pPr>
      <w:bookmarkStart w:id="82" w:name="_Toc2098"/>
      <w:bookmarkEnd w:id="82"/>
    </w:p>
    <w:p>
      <w:pPr>
        <w:spacing w:line="276" w:lineRule="auto"/>
        <w:jc w:val="left"/>
        <w:rPr>
          <w:rFonts w:ascii="宋体" w:hAnsi="宋体"/>
          <w:color w:val="000000" w:themeColor="text1"/>
          <w:szCs w:val="21"/>
          <w14:textFill>
            <w14:solidFill>
              <w14:schemeClr w14:val="tx1"/>
            </w14:solidFill>
          </w14:textFill>
        </w:rPr>
      </w:pPr>
    </w:p>
    <w:p>
      <w:pPr>
        <w:spacing w:line="276" w:lineRule="auto"/>
        <w:jc w:val="left"/>
        <w:rPr>
          <w:rFonts w:ascii="宋体" w:hAnsi="宋体"/>
          <w:color w:val="000000" w:themeColor="text1"/>
          <w:szCs w:val="21"/>
          <w14:textFill>
            <w14:solidFill>
              <w14:schemeClr w14:val="tx1"/>
            </w14:solidFill>
          </w14:textFill>
        </w:rPr>
      </w:pPr>
    </w:p>
    <w:p>
      <w:pPr>
        <w:spacing w:line="276" w:lineRule="auto"/>
        <w:jc w:val="left"/>
        <w:rPr>
          <w:rFonts w:ascii="宋体" w:hAnsi="宋体"/>
          <w:color w:val="000000" w:themeColor="text1"/>
          <w:szCs w:val="21"/>
          <w14:textFill>
            <w14:solidFill>
              <w14:schemeClr w14:val="tx1"/>
            </w14:solidFill>
          </w14:textFill>
        </w:rPr>
      </w:pPr>
    </w:p>
    <w:p>
      <w:pPr>
        <w:pStyle w:val="258"/>
        <w:ind w:firstLine="420"/>
        <w:rPr>
          <w:color w:val="000000" w:themeColor="text1"/>
          <w14:textFill>
            <w14:solidFill>
              <w14:schemeClr w14:val="tx1"/>
            </w14:solidFill>
          </w14:textFill>
        </w:rPr>
      </w:pPr>
    </w:p>
    <w:p>
      <w:pPr>
        <w:pStyle w:val="349"/>
        <w:rPr>
          <w:rFonts w:hAnsi="宋体" w:cs="宋体"/>
          <w:color w:val="000000" w:themeColor="text1"/>
          <w14:textFill>
            <w14:solidFill>
              <w14:schemeClr w14:val="tx1"/>
            </w14:solidFill>
          </w14:textFill>
        </w:rPr>
      </w:pPr>
    </w:p>
    <w:sectPr>
      <w:pgSz w:w="11907" w:h="16839"/>
      <w:pgMar w:top="1418" w:right="1134" w:bottom="1134" w:left="1418" w:header="1418" w:footer="1134"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简体">
    <w:altName w:val="宋体"/>
    <w:panose1 w:val="03000509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Yu Gothic UI Semibold">
    <w:panose1 w:val="020B0700000000000000"/>
    <w:charset w:val="80"/>
    <w:family w:val="auto"/>
    <w:pitch w:val="default"/>
    <w:sig w:usb0="E00002FF" w:usb1="2AC7FDFF" w:usb2="00000016" w:usb3="00000000" w:csb0="2002009F" w:csb1="0000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pPr>
      <w:pStyle w:val="252"/>
      <w:ind w:right="360" w:firstLine="36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1"/>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10</w:t>
    </w:r>
    <w:r>
      <w:rPr>
        <w:rStyle w:val="234"/>
      </w:rPr>
      <w:fldChar w:fldCharType="end"/>
    </w:r>
  </w:p>
  <w:p>
    <w:pPr>
      <w:pStyle w:val="251"/>
      <w:ind w:right="360" w:firstLine="36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3</w:t>
    </w:r>
    <w:r>
      <w:rPr>
        <w:rStyle w:val="234"/>
      </w:rPr>
      <w:fldChar w:fldCharType="end"/>
    </w:r>
  </w:p>
  <w:p>
    <w:pPr>
      <w:pStyle w:val="252"/>
      <w:ind w:right="360" w:firstLine="360"/>
      <w:rPr>
        <w:rStyle w:val="234"/>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framePr w:wrap="around" w:vAnchor="text" w:hAnchor="margin" w:xAlign="outside" w:y="1"/>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pPr>
      <w:pStyle w:val="5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3"/>
    </w:pPr>
    <w:r>
      <w:rPr>
        <w:rFonts w:hint="eastAsia"/>
      </w:rPr>
      <w:t>T/XXX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4"/>
      <w:rPr>
        <w:rFonts w:ascii="黑体" w:hAnsi="黑体" w:eastAsia="黑体" w:cs="黑体"/>
      </w:rPr>
    </w:pPr>
    <w:r>
      <w:rPr>
        <w:rFonts w:hint="eastAsia" w:ascii="黑体" w:hAnsi="黑体" w:eastAsia="黑体" w:cs="黑体"/>
      </w:rPr>
      <w:t xml:space="preserve">T/SZS </w:t>
    </w:r>
    <w:r>
      <w:rPr>
        <w:rFonts w:hint="eastAsia" w:ascii="黑体" w:hAnsi="黑体" w:eastAsia="黑体" w:cs="黑体"/>
        <w:szCs w:val="15"/>
      </w:rPr>
      <w:t>XXX—2023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5"/>
      <w:rPr>
        <w:rFonts w:hAnsi="黑体" w:cs="黑体"/>
        <w:sz w:val="21"/>
        <w:szCs w:val="15"/>
      </w:rPr>
    </w:pPr>
    <w:r>
      <w:rPr>
        <w:rFonts w:hint="eastAsia" w:hAnsi="黑体" w:cs="黑体"/>
        <w:sz w:val="21"/>
        <w:szCs w:val="15"/>
      </w:rPr>
      <w:t>T/SZS XXX—2023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29F13DF"/>
    <w:multiLevelType w:val="multilevel"/>
    <w:tmpl w:val="029F13DF"/>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1844"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50"/>
      <w:suff w:val="space"/>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281"/>
      <w:suff w:val="nothing"/>
      <w:lvlText w:val="图%1.%2　"/>
      <w:lvlJc w:val="left"/>
      <w:pPr>
        <w:ind w:left="0" w:firstLine="0"/>
      </w:pPr>
      <w:rPr>
        <w:rFonts w:hint="eastAsia" w:eastAsia="黑体"/>
        <w:b w:val="0"/>
        <w:i w:val="0"/>
        <w:sz w:val="21"/>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34431F99"/>
    <w:multiLevelType w:val="multilevel"/>
    <w:tmpl w:val="34431F99"/>
    <w:lvl w:ilvl="0" w:tentative="0">
      <w:start w:val="1"/>
      <w:numFmt w:val="upperLetter"/>
      <w:pStyle w:val="511"/>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2"/>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9">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0">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2">
    <w:nsid w:val="60B55DC2"/>
    <w:multiLevelType w:val="multilevel"/>
    <w:tmpl w:val="60B55DC2"/>
    <w:lvl w:ilvl="0" w:tentative="0">
      <w:start w:val="1"/>
      <w:numFmt w:val="upperLetter"/>
      <w:pStyle w:val="349"/>
      <w:lvlText w:val="%1"/>
      <w:lvlJc w:val="left"/>
      <w:pPr>
        <w:tabs>
          <w:tab w:val="left" w:pos="0"/>
        </w:tabs>
        <w:ind w:left="0" w:firstLine="0"/>
      </w:pPr>
      <w:rPr>
        <w:rFonts w:hint="eastAsia"/>
        <w:color w:val="FFFFFF" w:themeColor="background1"/>
        <w:sz w:val="2"/>
        <w14:textFill>
          <w14:solidFill>
            <w14:schemeClr w14:val="bg1"/>
          </w14:solidFill>
        </w14:textFill>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3">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6">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23"/>
  </w:num>
  <w:num w:numId="13">
    <w:abstractNumId w:val="22"/>
  </w:num>
  <w:num w:numId="14">
    <w:abstractNumId w:val="16"/>
  </w:num>
  <w:num w:numId="15">
    <w:abstractNumId w:val="26"/>
  </w:num>
  <w:num w:numId="16">
    <w:abstractNumId w:val="13"/>
  </w:num>
  <w:num w:numId="17">
    <w:abstractNumId w:val="10"/>
  </w:num>
  <w:num w:numId="18">
    <w:abstractNumId w:val="21"/>
  </w:num>
  <w:num w:numId="19">
    <w:abstractNumId w:val="12"/>
  </w:num>
  <w:num w:numId="20">
    <w:abstractNumId w:val="20"/>
  </w:num>
  <w:num w:numId="21">
    <w:abstractNumId w:val="24"/>
  </w:num>
  <w:num w:numId="22">
    <w:abstractNumId w:val="11"/>
  </w:num>
  <w:num w:numId="23">
    <w:abstractNumId w:val="18"/>
  </w:num>
  <w:num w:numId="24">
    <w:abstractNumId w:val="19"/>
  </w:num>
  <w:num w:numId="25">
    <w:abstractNumId w:val="25"/>
  </w:num>
  <w:num w:numId="26">
    <w:abstractNumId w:val="1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evenAndOddHeaders w:val="1"/>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kYzZhNmFhYmQ1YTZmOTFlNzEyYzFhNjQwMTRjMDEifQ=="/>
    <w:docVar w:name="KSO_WPS_MARK_KEY" w:val="c9cdd859-5982-411e-a977-5134a119a05f"/>
  </w:docVars>
  <w:rsids>
    <w:rsidRoot w:val="426A64AE"/>
    <w:rsid w:val="00006548"/>
    <w:rsid w:val="00013F18"/>
    <w:rsid w:val="00027BD3"/>
    <w:rsid w:val="00031EEE"/>
    <w:rsid w:val="00035EC8"/>
    <w:rsid w:val="00036B39"/>
    <w:rsid w:val="000372EA"/>
    <w:rsid w:val="00040BBF"/>
    <w:rsid w:val="00043421"/>
    <w:rsid w:val="00050E91"/>
    <w:rsid w:val="00050F6D"/>
    <w:rsid w:val="00053469"/>
    <w:rsid w:val="00053FB5"/>
    <w:rsid w:val="00055DCF"/>
    <w:rsid w:val="00071D2E"/>
    <w:rsid w:val="00075DD9"/>
    <w:rsid w:val="00076F59"/>
    <w:rsid w:val="000911AC"/>
    <w:rsid w:val="00091897"/>
    <w:rsid w:val="0009271F"/>
    <w:rsid w:val="0009648F"/>
    <w:rsid w:val="000A568D"/>
    <w:rsid w:val="000A6E5F"/>
    <w:rsid w:val="000B6461"/>
    <w:rsid w:val="000B6ECB"/>
    <w:rsid w:val="000C21DC"/>
    <w:rsid w:val="000C2EFF"/>
    <w:rsid w:val="000D1BAB"/>
    <w:rsid w:val="000D2D03"/>
    <w:rsid w:val="000E2B29"/>
    <w:rsid w:val="000E7B1D"/>
    <w:rsid w:val="000F1341"/>
    <w:rsid w:val="000F2D82"/>
    <w:rsid w:val="000F3036"/>
    <w:rsid w:val="000F5570"/>
    <w:rsid w:val="001176FE"/>
    <w:rsid w:val="001203C6"/>
    <w:rsid w:val="00123BF9"/>
    <w:rsid w:val="00127602"/>
    <w:rsid w:val="00144633"/>
    <w:rsid w:val="001513D3"/>
    <w:rsid w:val="001517CF"/>
    <w:rsid w:val="00164C6D"/>
    <w:rsid w:val="0016622F"/>
    <w:rsid w:val="00170B1F"/>
    <w:rsid w:val="00172236"/>
    <w:rsid w:val="00172B29"/>
    <w:rsid w:val="001748CC"/>
    <w:rsid w:val="0017737E"/>
    <w:rsid w:val="001778F6"/>
    <w:rsid w:val="001830DE"/>
    <w:rsid w:val="0019780B"/>
    <w:rsid w:val="001A5BF9"/>
    <w:rsid w:val="001B69E3"/>
    <w:rsid w:val="001C2054"/>
    <w:rsid w:val="001C21BF"/>
    <w:rsid w:val="001D5AA4"/>
    <w:rsid w:val="001D71BA"/>
    <w:rsid w:val="001E25B3"/>
    <w:rsid w:val="001E51CA"/>
    <w:rsid w:val="001F0E09"/>
    <w:rsid w:val="001F0FB8"/>
    <w:rsid w:val="001F724D"/>
    <w:rsid w:val="00205B49"/>
    <w:rsid w:val="00213901"/>
    <w:rsid w:val="00216264"/>
    <w:rsid w:val="00217F8D"/>
    <w:rsid w:val="00223320"/>
    <w:rsid w:val="00227E52"/>
    <w:rsid w:val="002310FD"/>
    <w:rsid w:val="00231211"/>
    <w:rsid w:val="00235CB0"/>
    <w:rsid w:val="00241957"/>
    <w:rsid w:val="00246D93"/>
    <w:rsid w:val="00247E6D"/>
    <w:rsid w:val="002613FE"/>
    <w:rsid w:val="00267674"/>
    <w:rsid w:val="00271E30"/>
    <w:rsid w:val="00271F2B"/>
    <w:rsid w:val="00274D51"/>
    <w:rsid w:val="00275EAB"/>
    <w:rsid w:val="00277D91"/>
    <w:rsid w:val="00282FBE"/>
    <w:rsid w:val="0028334E"/>
    <w:rsid w:val="00285EC0"/>
    <w:rsid w:val="00287FD8"/>
    <w:rsid w:val="002917C0"/>
    <w:rsid w:val="00291A99"/>
    <w:rsid w:val="002A3BE2"/>
    <w:rsid w:val="002A3F36"/>
    <w:rsid w:val="002A4DD0"/>
    <w:rsid w:val="002A6B18"/>
    <w:rsid w:val="002B778D"/>
    <w:rsid w:val="002B7AC9"/>
    <w:rsid w:val="002C6C4A"/>
    <w:rsid w:val="002E08C1"/>
    <w:rsid w:val="002E5F3F"/>
    <w:rsid w:val="002F112C"/>
    <w:rsid w:val="002F1862"/>
    <w:rsid w:val="00303CA5"/>
    <w:rsid w:val="00305EB0"/>
    <w:rsid w:val="00315D3C"/>
    <w:rsid w:val="00316CBA"/>
    <w:rsid w:val="00317514"/>
    <w:rsid w:val="00324802"/>
    <w:rsid w:val="00326FEC"/>
    <w:rsid w:val="00337CA1"/>
    <w:rsid w:val="003401E8"/>
    <w:rsid w:val="00342BD4"/>
    <w:rsid w:val="00345A89"/>
    <w:rsid w:val="00347800"/>
    <w:rsid w:val="003529A7"/>
    <w:rsid w:val="0036358A"/>
    <w:rsid w:val="00366B99"/>
    <w:rsid w:val="00381D8C"/>
    <w:rsid w:val="00387979"/>
    <w:rsid w:val="00397925"/>
    <w:rsid w:val="003A4F7B"/>
    <w:rsid w:val="003B65E2"/>
    <w:rsid w:val="003C44DC"/>
    <w:rsid w:val="003C5C82"/>
    <w:rsid w:val="003D636C"/>
    <w:rsid w:val="003D678D"/>
    <w:rsid w:val="003E7CE2"/>
    <w:rsid w:val="003F1514"/>
    <w:rsid w:val="003F2DA8"/>
    <w:rsid w:val="003F3987"/>
    <w:rsid w:val="003F603C"/>
    <w:rsid w:val="003F764E"/>
    <w:rsid w:val="00405B77"/>
    <w:rsid w:val="00406CC1"/>
    <w:rsid w:val="0041025C"/>
    <w:rsid w:val="0041207A"/>
    <w:rsid w:val="00436ECC"/>
    <w:rsid w:val="004414E6"/>
    <w:rsid w:val="00447DDB"/>
    <w:rsid w:val="004548A9"/>
    <w:rsid w:val="004619AC"/>
    <w:rsid w:val="004628BA"/>
    <w:rsid w:val="00463A10"/>
    <w:rsid w:val="00465B7B"/>
    <w:rsid w:val="00466FF2"/>
    <w:rsid w:val="00467339"/>
    <w:rsid w:val="0047669D"/>
    <w:rsid w:val="00480041"/>
    <w:rsid w:val="004826C9"/>
    <w:rsid w:val="0048655E"/>
    <w:rsid w:val="0048668C"/>
    <w:rsid w:val="004872F1"/>
    <w:rsid w:val="00490088"/>
    <w:rsid w:val="004A3243"/>
    <w:rsid w:val="004B4DCA"/>
    <w:rsid w:val="004D0182"/>
    <w:rsid w:val="004F1F6E"/>
    <w:rsid w:val="004F3860"/>
    <w:rsid w:val="0050545B"/>
    <w:rsid w:val="0050647A"/>
    <w:rsid w:val="005134E3"/>
    <w:rsid w:val="00515AC9"/>
    <w:rsid w:val="005175BF"/>
    <w:rsid w:val="00517D40"/>
    <w:rsid w:val="00520768"/>
    <w:rsid w:val="00520DEA"/>
    <w:rsid w:val="00521E5A"/>
    <w:rsid w:val="00521E61"/>
    <w:rsid w:val="00526847"/>
    <w:rsid w:val="005272AE"/>
    <w:rsid w:val="005322CC"/>
    <w:rsid w:val="005326D9"/>
    <w:rsid w:val="00532D32"/>
    <w:rsid w:val="0053303D"/>
    <w:rsid w:val="00534928"/>
    <w:rsid w:val="00537C54"/>
    <w:rsid w:val="00553198"/>
    <w:rsid w:val="00562526"/>
    <w:rsid w:val="00573966"/>
    <w:rsid w:val="00573CAA"/>
    <w:rsid w:val="00584C5F"/>
    <w:rsid w:val="005965BA"/>
    <w:rsid w:val="00596BBE"/>
    <w:rsid w:val="00597CCC"/>
    <w:rsid w:val="005A35D5"/>
    <w:rsid w:val="005A406C"/>
    <w:rsid w:val="005B0B92"/>
    <w:rsid w:val="005D203A"/>
    <w:rsid w:val="005D5966"/>
    <w:rsid w:val="005D7181"/>
    <w:rsid w:val="005E789B"/>
    <w:rsid w:val="00601445"/>
    <w:rsid w:val="00605E3D"/>
    <w:rsid w:val="00607A56"/>
    <w:rsid w:val="00611BD0"/>
    <w:rsid w:val="0061695B"/>
    <w:rsid w:val="00616FA7"/>
    <w:rsid w:val="00623B21"/>
    <w:rsid w:val="00630366"/>
    <w:rsid w:val="00630EC5"/>
    <w:rsid w:val="0065094C"/>
    <w:rsid w:val="00663FB0"/>
    <w:rsid w:val="00674639"/>
    <w:rsid w:val="00677E34"/>
    <w:rsid w:val="00681844"/>
    <w:rsid w:val="0069120D"/>
    <w:rsid w:val="006A01D7"/>
    <w:rsid w:val="006B548A"/>
    <w:rsid w:val="006B5F94"/>
    <w:rsid w:val="006B643E"/>
    <w:rsid w:val="006D12A2"/>
    <w:rsid w:val="006D3EBC"/>
    <w:rsid w:val="006D6D2B"/>
    <w:rsid w:val="006E740A"/>
    <w:rsid w:val="006E7E4F"/>
    <w:rsid w:val="006F1FF9"/>
    <w:rsid w:val="007064A5"/>
    <w:rsid w:val="0071135B"/>
    <w:rsid w:val="007141B1"/>
    <w:rsid w:val="00715BD0"/>
    <w:rsid w:val="00722EC8"/>
    <w:rsid w:val="00725CB6"/>
    <w:rsid w:val="00727842"/>
    <w:rsid w:val="00730806"/>
    <w:rsid w:val="00743CC7"/>
    <w:rsid w:val="00745E54"/>
    <w:rsid w:val="0074732A"/>
    <w:rsid w:val="00754FB3"/>
    <w:rsid w:val="00763F34"/>
    <w:rsid w:val="00767B2F"/>
    <w:rsid w:val="00773A5E"/>
    <w:rsid w:val="00776408"/>
    <w:rsid w:val="0078233D"/>
    <w:rsid w:val="0079078F"/>
    <w:rsid w:val="00792DBE"/>
    <w:rsid w:val="00795E45"/>
    <w:rsid w:val="007B21AD"/>
    <w:rsid w:val="007B61A7"/>
    <w:rsid w:val="007B6E0C"/>
    <w:rsid w:val="007D2DB9"/>
    <w:rsid w:val="007D2FAA"/>
    <w:rsid w:val="007D57EF"/>
    <w:rsid w:val="007D6FC2"/>
    <w:rsid w:val="007E0206"/>
    <w:rsid w:val="007E3F4F"/>
    <w:rsid w:val="007F69B9"/>
    <w:rsid w:val="008058B2"/>
    <w:rsid w:val="00811C33"/>
    <w:rsid w:val="00815EA9"/>
    <w:rsid w:val="008215A3"/>
    <w:rsid w:val="00823038"/>
    <w:rsid w:val="00836D1D"/>
    <w:rsid w:val="00842394"/>
    <w:rsid w:val="00843023"/>
    <w:rsid w:val="00846D16"/>
    <w:rsid w:val="00850566"/>
    <w:rsid w:val="00852FD6"/>
    <w:rsid w:val="00853BA9"/>
    <w:rsid w:val="00854E15"/>
    <w:rsid w:val="00862997"/>
    <w:rsid w:val="0086521A"/>
    <w:rsid w:val="0086798F"/>
    <w:rsid w:val="00867FDA"/>
    <w:rsid w:val="008708A2"/>
    <w:rsid w:val="008708FD"/>
    <w:rsid w:val="00871E7D"/>
    <w:rsid w:val="00872A3C"/>
    <w:rsid w:val="0087768A"/>
    <w:rsid w:val="008950F1"/>
    <w:rsid w:val="008A0323"/>
    <w:rsid w:val="008A1537"/>
    <w:rsid w:val="008A21C9"/>
    <w:rsid w:val="008A2507"/>
    <w:rsid w:val="008B18D2"/>
    <w:rsid w:val="008C0296"/>
    <w:rsid w:val="008C5347"/>
    <w:rsid w:val="008D0AA6"/>
    <w:rsid w:val="008D16F6"/>
    <w:rsid w:val="008D2560"/>
    <w:rsid w:val="008D383F"/>
    <w:rsid w:val="008E1AE0"/>
    <w:rsid w:val="008E2D87"/>
    <w:rsid w:val="008E351F"/>
    <w:rsid w:val="008E4B06"/>
    <w:rsid w:val="008F7CEE"/>
    <w:rsid w:val="00901DA3"/>
    <w:rsid w:val="0091647A"/>
    <w:rsid w:val="0091784D"/>
    <w:rsid w:val="00917E12"/>
    <w:rsid w:val="00922662"/>
    <w:rsid w:val="0092664F"/>
    <w:rsid w:val="009355F1"/>
    <w:rsid w:val="009535DF"/>
    <w:rsid w:val="0095659D"/>
    <w:rsid w:val="00957EF8"/>
    <w:rsid w:val="00966751"/>
    <w:rsid w:val="009676B1"/>
    <w:rsid w:val="009721AF"/>
    <w:rsid w:val="00995610"/>
    <w:rsid w:val="009A0A4B"/>
    <w:rsid w:val="009A2C2B"/>
    <w:rsid w:val="009C0704"/>
    <w:rsid w:val="009C4135"/>
    <w:rsid w:val="009C682F"/>
    <w:rsid w:val="009C6CD4"/>
    <w:rsid w:val="009D19E4"/>
    <w:rsid w:val="009D5A11"/>
    <w:rsid w:val="009E0625"/>
    <w:rsid w:val="009E723F"/>
    <w:rsid w:val="009F7CDF"/>
    <w:rsid w:val="00A02324"/>
    <w:rsid w:val="00A045AB"/>
    <w:rsid w:val="00A22DE4"/>
    <w:rsid w:val="00A329C9"/>
    <w:rsid w:val="00A342E2"/>
    <w:rsid w:val="00A35C5B"/>
    <w:rsid w:val="00A36A65"/>
    <w:rsid w:val="00A40CF5"/>
    <w:rsid w:val="00A470A7"/>
    <w:rsid w:val="00A473CC"/>
    <w:rsid w:val="00A77C20"/>
    <w:rsid w:val="00A832D8"/>
    <w:rsid w:val="00A86AA9"/>
    <w:rsid w:val="00A87239"/>
    <w:rsid w:val="00A94542"/>
    <w:rsid w:val="00A97D41"/>
    <w:rsid w:val="00AA1AB6"/>
    <w:rsid w:val="00AA4903"/>
    <w:rsid w:val="00AA4BDA"/>
    <w:rsid w:val="00AB12B4"/>
    <w:rsid w:val="00AC06BB"/>
    <w:rsid w:val="00AC08B4"/>
    <w:rsid w:val="00AC16D1"/>
    <w:rsid w:val="00AC3ACC"/>
    <w:rsid w:val="00AD7ECC"/>
    <w:rsid w:val="00AE108D"/>
    <w:rsid w:val="00AE3A0E"/>
    <w:rsid w:val="00AE3FF9"/>
    <w:rsid w:val="00AE547B"/>
    <w:rsid w:val="00AF2B0D"/>
    <w:rsid w:val="00AF2DD6"/>
    <w:rsid w:val="00AF5E86"/>
    <w:rsid w:val="00B01D8B"/>
    <w:rsid w:val="00B0338D"/>
    <w:rsid w:val="00B0682B"/>
    <w:rsid w:val="00B06B22"/>
    <w:rsid w:val="00B06F9F"/>
    <w:rsid w:val="00B1096B"/>
    <w:rsid w:val="00B10FC0"/>
    <w:rsid w:val="00B13E76"/>
    <w:rsid w:val="00B226E1"/>
    <w:rsid w:val="00B23075"/>
    <w:rsid w:val="00B27CCA"/>
    <w:rsid w:val="00B316AC"/>
    <w:rsid w:val="00B37C0E"/>
    <w:rsid w:val="00B37F85"/>
    <w:rsid w:val="00B427F3"/>
    <w:rsid w:val="00B4465C"/>
    <w:rsid w:val="00B454CA"/>
    <w:rsid w:val="00B55871"/>
    <w:rsid w:val="00B565EB"/>
    <w:rsid w:val="00B56E6D"/>
    <w:rsid w:val="00B614B1"/>
    <w:rsid w:val="00B74D02"/>
    <w:rsid w:val="00B76D0D"/>
    <w:rsid w:val="00B807AF"/>
    <w:rsid w:val="00B8642D"/>
    <w:rsid w:val="00B90349"/>
    <w:rsid w:val="00BA2866"/>
    <w:rsid w:val="00BA58EA"/>
    <w:rsid w:val="00BC238E"/>
    <w:rsid w:val="00BC6C4C"/>
    <w:rsid w:val="00BC7468"/>
    <w:rsid w:val="00BE027D"/>
    <w:rsid w:val="00BE17E0"/>
    <w:rsid w:val="00BE77D1"/>
    <w:rsid w:val="00BF3DB8"/>
    <w:rsid w:val="00BF533F"/>
    <w:rsid w:val="00C0505A"/>
    <w:rsid w:val="00C12F1C"/>
    <w:rsid w:val="00C22264"/>
    <w:rsid w:val="00C231D9"/>
    <w:rsid w:val="00C24557"/>
    <w:rsid w:val="00C26FF1"/>
    <w:rsid w:val="00C60804"/>
    <w:rsid w:val="00C7099E"/>
    <w:rsid w:val="00C7294C"/>
    <w:rsid w:val="00C7721B"/>
    <w:rsid w:val="00C80B64"/>
    <w:rsid w:val="00C825D9"/>
    <w:rsid w:val="00C95227"/>
    <w:rsid w:val="00CA1496"/>
    <w:rsid w:val="00CA1B75"/>
    <w:rsid w:val="00CA612B"/>
    <w:rsid w:val="00CA680F"/>
    <w:rsid w:val="00CA6A4E"/>
    <w:rsid w:val="00CB5BB7"/>
    <w:rsid w:val="00CB64D3"/>
    <w:rsid w:val="00CC19EC"/>
    <w:rsid w:val="00CC69F3"/>
    <w:rsid w:val="00CE0378"/>
    <w:rsid w:val="00CF3BFA"/>
    <w:rsid w:val="00CF3DE3"/>
    <w:rsid w:val="00CF740D"/>
    <w:rsid w:val="00D043F9"/>
    <w:rsid w:val="00D10F52"/>
    <w:rsid w:val="00D20260"/>
    <w:rsid w:val="00D32102"/>
    <w:rsid w:val="00D35534"/>
    <w:rsid w:val="00D442C8"/>
    <w:rsid w:val="00D679FB"/>
    <w:rsid w:val="00D70E01"/>
    <w:rsid w:val="00D77681"/>
    <w:rsid w:val="00D81916"/>
    <w:rsid w:val="00D92267"/>
    <w:rsid w:val="00DC300E"/>
    <w:rsid w:val="00DC5920"/>
    <w:rsid w:val="00DC5FC6"/>
    <w:rsid w:val="00DE3C55"/>
    <w:rsid w:val="00DE6C5C"/>
    <w:rsid w:val="00DE79D1"/>
    <w:rsid w:val="00DF2649"/>
    <w:rsid w:val="00DF3719"/>
    <w:rsid w:val="00E05C6A"/>
    <w:rsid w:val="00E05E73"/>
    <w:rsid w:val="00E12E32"/>
    <w:rsid w:val="00E1549F"/>
    <w:rsid w:val="00E245C7"/>
    <w:rsid w:val="00E307EE"/>
    <w:rsid w:val="00E30917"/>
    <w:rsid w:val="00E328EB"/>
    <w:rsid w:val="00E33A22"/>
    <w:rsid w:val="00E355DE"/>
    <w:rsid w:val="00E376DF"/>
    <w:rsid w:val="00E558DE"/>
    <w:rsid w:val="00E6024E"/>
    <w:rsid w:val="00E63278"/>
    <w:rsid w:val="00E638E4"/>
    <w:rsid w:val="00E71488"/>
    <w:rsid w:val="00E73319"/>
    <w:rsid w:val="00E7722A"/>
    <w:rsid w:val="00E83142"/>
    <w:rsid w:val="00E87A23"/>
    <w:rsid w:val="00E96E93"/>
    <w:rsid w:val="00EA2E53"/>
    <w:rsid w:val="00EA6443"/>
    <w:rsid w:val="00ED1474"/>
    <w:rsid w:val="00ED51CE"/>
    <w:rsid w:val="00ED7098"/>
    <w:rsid w:val="00EE2D7B"/>
    <w:rsid w:val="00EE4858"/>
    <w:rsid w:val="00EE4A1A"/>
    <w:rsid w:val="00F12B11"/>
    <w:rsid w:val="00F15B4C"/>
    <w:rsid w:val="00F15FE5"/>
    <w:rsid w:val="00F172FB"/>
    <w:rsid w:val="00F17B6A"/>
    <w:rsid w:val="00F23786"/>
    <w:rsid w:val="00F252F0"/>
    <w:rsid w:val="00F25CA4"/>
    <w:rsid w:val="00F27B85"/>
    <w:rsid w:val="00F3590F"/>
    <w:rsid w:val="00F46909"/>
    <w:rsid w:val="00F626D1"/>
    <w:rsid w:val="00F663A1"/>
    <w:rsid w:val="00F66499"/>
    <w:rsid w:val="00F672B7"/>
    <w:rsid w:val="00F73EF2"/>
    <w:rsid w:val="00F743EA"/>
    <w:rsid w:val="00F8041E"/>
    <w:rsid w:val="00F863B5"/>
    <w:rsid w:val="00F868A3"/>
    <w:rsid w:val="00F95028"/>
    <w:rsid w:val="00FA72DB"/>
    <w:rsid w:val="00FA7C91"/>
    <w:rsid w:val="00FB1E3F"/>
    <w:rsid w:val="00FC4A2C"/>
    <w:rsid w:val="00FD6AE1"/>
    <w:rsid w:val="00FD74B3"/>
    <w:rsid w:val="00FE15CE"/>
    <w:rsid w:val="00FE2423"/>
    <w:rsid w:val="00FE443A"/>
    <w:rsid w:val="00FE6EC8"/>
    <w:rsid w:val="01017FB5"/>
    <w:rsid w:val="0155536B"/>
    <w:rsid w:val="016A6360"/>
    <w:rsid w:val="01894622"/>
    <w:rsid w:val="01D84795"/>
    <w:rsid w:val="023477EC"/>
    <w:rsid w:val="02824DFC"/>
    <w:rsid w:val="03172ADD"/>
    <w:rsid w:val="03903AE7"/>
    <w:rsid w:val="03A71B91"/>
    <w:rsid w:val="045651EB"/>
    <w:rsid w:val="05025EB0"/>
    <w:rsid w:val="05E85477"/>
    <w:rsid w:val="060A3D79"/>
    <w:rsid w:val="060B63F9"/>
    <w:rsid w:val="060E790E"/>
    <w:rsid w:val="06E03BD1"/>
    <w:rsid w:val="0730771D"/>
    <w:rsid w:val="074E7D0A"/>
    <w:rsid w:val="088038FF"/>
    <w:rsid w:val="094B5940"/>
    <w:rsid w:val="0990452D"/>
    <w:rsid w:val="0A886413"/>
    <w:rsid w:val="0AC91212"/>
    <w:rsid w:val="0ACA5A42"/>
    <w:rsid w:val="0B0373BC"/>
    <w:rsid w:val="0B744BD6"/>
    <w:rsid w:val="0C300E1D"/>
    <w:rsid w:val="0CD25E17"/>
    <w:rsid w:val="0DA61673"/>
    <w:rsid w:val="0DD42CAB"/>
    <w:rsid w:val="0E236E8B"/>
    <w:rsid w:val="0E2D4DCF"/>
    <w:rsid w:val="0E44458E"/>
    <w:rsid w:val="0E860CE1"/>
    <w:rsid w:val="0E8724AB"/>
    <w:rsid w:val="0EBF2140"/>
    <w:rsid w:val="0EC17841"/>
    <w:rsid w:val="0F212FFE"/>
    <w:rsid w:val="0F2631A7"/>
    <w:rsid w:val="0FA752BB"/>
    <w:rsid w:val="0FB71F81"/>
    <w:rsid w:val="0FC4616A"/>
    <w:rsid w:val="12674646"/>
    <w:rsid w:val="126B3331"/>
    <w:rsid w:val="128038B3"/>
    <w:rsid w:val="12EC4281"/>
    <w:rsid w:val="12F80A67"/>
    <w:rsid w:val="138A52B7"/>
    <w:rsid w:val="14717A98"/>
    <w:rsid w:val="14B50E3E"/>
    <w:rsid w:val="14B823E9"/>
    <w:rsid w:val="14E863A0"/>
    <w:rsid w:val="154746E9"/>
    <w:rsid w:val="15EE74FB"/>
    <w:rsid w:val="16111742"/>
    <w:rsid w:val="16F51CB1"/>
    <w:rsid w:val="17BC07FD"/>
    <w:rsid w:val="184F3317"/>
    <w:rsid w:val="187334AB"/>
    <w:rsid w:val="189D029A"/>
    <w:rsid w:val="18B43F14"/>
    <w:rsid w:val="18ED431E"/>
    <w:rsid w:val="19762565"/>
    <w:rsid w:val="19AE0774"/>
    <w:rsid w:val="1AAF4FFF"/>
    <w:rsid w:val="1ADE5C74"/>
    <w:rsid w:val="1B7C6CA6"/>
    <w:rsid w:val="1C807989"/>
    <w:rsid w:val="1C886AF0"/>
    <w:rsid w:val="1CA76C04"/>
    <w:rsid w:val="1D184415"/>
    <w:rsid w:val="1D2B3667"/>
    <w:rsid w:val="1D3E4BB1"/>
    <w:rsid w:val="1D59550D"/>
    <w:rsid w:val="1D925A2B"/>
    <w:rsid w:val="1EC01001"/>
    <w:rsid w:val="1ED02082"/>
    <w:rsid w:val="1EDF1700"/>
    <w:rsid w:val="1EEB082E"/>
    <w:rsid w:val="1FEA7C53"/>
    <w:rsid w:val="1FF32104"/>
    <w:rsid w:val="202F346E"/>
    <w:rsid w:val="20A5580B"/>
    <w:rsid w:val="20D72C73"/>
    <w:rsid w:val="20EC166A"/>
    <w:rsid w:val="210466A8"/>
    <w:rsid w:val="215574A2"/>
    <w:rsid w:val="219C389A"/>
    <w:rsid w:val="21AD4952"/>
    <w:rsid w:val="21CA447C"/>
    <w:rsid w:val="22327245"/>
    <w:rsid w:val="22DA4C08"/>
    <w:rsid w:val="23B02B18"/>
    <w:rsid w:val="23F30609"/>
    <w:rsid w:val="2432277C"/>
    <w:rsid w:val="25315A92"/>
    <w:rsid w:val="25556F4C"/>
    <w:rsid w:val="25870BB6"/>
    <w:rsid w:val="25D734E8"/>
    <w:rsid w:val="26EA7B96"/>
    <w:rsid w:val="2702378F"/>
    <w:rsid w:val="270E75A2"/>
    <w:rsid w:val="280F3131"/>
    <w:rsid w:val="282F02EA"/>
    <w:rsid w:val="288C5814"/>
    <w:rsid w:val="298869B1"/>
    <w:rsid w:val="29D357B2"/>
    <w:rsid w:val="2A3A313B"/>
    <w:rsid w:val="2B023C9F"/>
    <w:rsid w:val="2B7A5988"/>
    <w:rsid w:val="2BBE1E54"/>
    <w:rsid w:val="2BD046B7"/>
    <w:rsid w:val="2BE54292"/>
    <w:rsid w:val="2C7C7C88"/>
    <w:rsid w:val="2C801F12"/>
    <w:rsid w:val="2CBE62A5"/>
    <w:rsid w:val="2CC13CC3"/>
    <w:rsid w:val="2DF74890"/>
    <w:rsid w:val="2E051061"/>
    <w:rsid w:val="2E581E2C"/>
    <w:rsid w:val="2E863561"/>
    <w:rsid w:val="2EA47BF8"/>
    <w:rsid w:val="2EE74D6C"/>
    <w:rsid w:val="2F5C22BF"/>
    <w:rsid w:val="2FC92C23"/>
    <w:rsid w:val="301461DC"/>
    <w:rsid w:val="30F54260"/>
    <w:rsid w:val="31F77B64"/>
    <w:rsid w:val="322936D7"/>
    <w:rsid w:val="32655DBE"/>
    <w:rsid w:val="32CE54EA"/>
    <w:rsid w:val="32DE11BA"/>
    <w:rsid w:val="32E31C0C"/>
    <w:rsid w:val="33571047"/>
    <w:rsid w:val="342D0929"/>
    <w:rsid w:val="343637B7"/>
    <w:rsid w:val="35064D89"/>
    <w:rsid w:val="35C260DE"/>
    <w:rsid w:val="35F55D16"/>
    <w:rsid w:val="366A3757"/>
    <w:rsid w:val="36C7044C"/>
    <w:rsid w:val="37240259"/>
    <w:rsid w:val="378E5BC7"/>
    <w:rsid w:val="38983E4E"/>
    <w:rsid w:val="391066F6"/>
    <w:rsid w:val="392016C6"/>
    <w:rsid w:val="392E6561"/>
    <w:rsid w:val="39C24EFB"/>
    <w:rsid w:val="39D333EE"/>
    <w:rsid w:val="39D349ED"/>
    <w:rsid w:val="3A9D40B6"/>
    <w:rsid w:val="3BD17677"/>
    <w:rsid w:val="3C741ABD"/>
    <w:rsid w:val="3F08591C"/>
    <w:rsid w:val="3FB53F95"/>
    <w:rsid w:val="40624D42"/>
    <w:rsid w:val="4089050B"/>
    <w:rsid w:val="40903AFC"/>
    <w:rsid w:val="409A272E"/>
    <w:rsid w:val="40B46356"/>
    <w:rsid w:val="411360DB"/>
    <w:rsid w:val="41440B45"/>
    <w:rsid w:val="41871B55"/>
    <w:rsid w:val="41BE1336"/>
    <w:rsid w:val="421936BC"/>
    <w:rsid w:val="42292E1A"/>
    <w:rsid w:val="426A64AE"/>
    <w:rsid w:val="426D4B55"/>
    <w:rsid w:val="431B5DA8"/>
    <w:rsid w:val="43D43D91"/>
    <w:rsid w:val="447211D8"/>
    <w:rsid w:val="4511093D"/>
    <w:rsid w:val="458130E3"/>
    <w:rsid w:val="45B52AE9"/>
    <w:rsid w:val="45BA35EF"/>
    <w:rsid w:val="462D72B0"/>
    <w:rsid w:val="47143D2B"/>
    <w:rsid w:val="47737558"/>
    <w:rsid w:val="477C493B"/>
    <w:rsid w:val="478235A0"/>
    <w:rsid w:val="478430E5"/>
    <w:rsid w:val="47A04ACD"/>
    <w:rsid w:val="47CF1350"/>
    <w:rsid w:val="47FD65DB"/>
    <w:rsid w:val="487E57C4"/>
    <w:rsid w:val="48B43DFA"/>
    <w:rsid w:val="48C97EF9"/>
    <w:rsid w:val="49107A31"/>
    <w:rsid w:val="494D0152"/>
    <w:rsid w:val="49BD12A0"/>
    <w:rsid w:val="49E33EC9"/>
    <w:rsid w:val="4A547DF1"/>
    <w:rsid w:val="4A686320"/>
    <w:rsid w:val="4A7101BF"/>
    <w:rsid w:val="4AEC68F9"/>
    <w:rsid w:val="4B8A0F6C"/>
    <w:rsid w:val="4B8C348B"/>
    <w:rsid w:val="4CA13B0D"/>
    <w:rsid w:val="4D8C43D8"/>
    <w:rsid w:val="4DCD5EF0"/>
    <w:rsid w:val="4E0F4E9D"/>
    <w:rsid w:val="4E574397"/>
    <w:rsid w:val="4ED432AF"/>
    <w:rsid w:val="4F0E36D1"/>
    <w:rsid w:val="4F486951"/>
    <w:rsid w:val="4F74239C"/>
    <w:rsid w:val="4FCA09F6"/>
    <w:rsid w:val="503404A9"/>
    <w:rsid w:val="507F724A"/>
    <w:rsid w:val="512E2822"/>
    <w:rsid w:val="521D5B98"/>
    <w:rsid w:val="522F36E3"/>
    <w:rsid w:val="5264613C"/>
    <w:rsid w:val="53820B12"/>
    <w:rsid w:val="53A4782E"/>
    <w:rsid w:val="540E400A"/>
    <w:rsid w:val="545A2D73"/>
    <w:rsid w:val="54776AA0"/>
    <w:rsid w:val="5484673D"/>
    <w:rsid w:val="553B2061"/>
    <w:rsid w:val="55650480"/>
    <w:rsid w:val="55A52849"/>
    <w:rsid w:val="5665084A"/>
    <w:rsid w:val="56B241A9"/>
    <w:rsid w:val="577E025B"/>
    <w:rsid w:val="5789732C"/>
    <w:rsid w:val="57901281"/>
    <w:rsid w:val="579733E4"/>
    <w:rsid w:val="584E1940"/>
    <w:rsid w:val="58813D0B"/>
    <w:rsid w:val="58B06B3A"/>
    <w:rsid w:val="591946E0"/>
    <w:rsid w:val="591C7D2C"/>
    <w:rsid w:val="594F3935"/>
    <w:rsid w:val="595A2602"/>
    <w:rsid w:val="59822116"/>
    <w:rsid w:val="5A292701"/>
    <w:rsid w:val="5A987886"/>
    <w:rsid w:val="5AEB22B8"/>
    <w:rsid w:val="5B3D521F"/>
    <w:rsid w:val="5BD57CB7"/>
    <w:rsid w:val="5C2A7BDF"/>
    <w:rsid w:val="5C4437EE"/>
    <w:rsid w:val="5C8D2212"/>
    <w:rsid w:val="5C9127DF"/>
    <w:rsid w:val="5CC2663A"/>
    <w:rsid w:val="5D4443F0"/>
    <w:rsid w:val="5D787D9C"/>
    <w:rsid w:val="5E343D6A"/>
    <w:rsid w:val="5E700D05"/>
    <w:rsid w:val="5F351942"/>
    <w:rsid w:val="5FED41D0"/>
    <w:rsid w:val="60891AE7"/>
    <w:rsid w:val="60D72A67"/>
    <w:rsid w:val="60FD4C26"/>
    <w:rsid w:val="61B13F15"/>
    <w:rsid w:val="61D64494"/>
    <w:rsid w:val="62AA7F0E"/>
    <w:rsid w:val="633A63F6"/>
    <w:rsid w:val="634136E6"/>
    <w:rsid w:val="63CE6025"/>
    <w:rsid w:val="63D11CD0"/>
    <w:rsid w:val="64156F42"/>
    <w:rsid w:val="645B26F6"/>
    <w:rsid w:val="650A66F6"/>
    <w:rsid w:val="650C6EA7"/>
    <w:rsid w:val="66081D64"/>
    <w:rsid w:val="672D1356"/>
    <w:rsid w:val="67515045"/>
    <w:rsid w:val="684D6D2F"/>
    <w:rsid w:val="68580655"/>
    <w:rsid w:val="686900E4"/>
    <w:rsid w:val="687E1273"/>
    <w:rsid w:val="69393D31"/>
    <w:rsid w:val="696038C5"/>
    <w:rsid w:val="69676DA1"/>
    <w:rsid w:val="69980850"/>
    <w:rsid w:val="69AB2D6B"/>
    <w:rsid w:val="6A095303"/>
    <w:rsid w:val="6A0F7348"/>
    <w:rsid w:val="6A1011E7"/>
    <w:rsid w:val="6A34675E"/>
    <w:rsid w:val="6A7A5206"/>
    <w:rsid w:val="6B7C5862"/>
    <w:rsid w:val="6B903EDF"/>
    <w:rsid w:val="6C411AAB"/>
    <w:rsid w:val="6CF540C0"/>
    <w:rsid w:val="6CFF5543"/>
    <w:rsid w:val="6D0D6420"/>
    <w:rsid w:val="6D247B1F"/>
    <w:rsid w:val="6D4D3FA3"/>
    <w:rsid w:val="6DBE53FE"/>
    <w:rsid w:val="6DE91CB9"/>
    <w:rsid w:val="6E222A30"/>
    <w:rsid w:val="6E492F1A"/>
    <w:rsid w:val="6E725242"/>
    <w:rsid w:val="6EDB6CFD"/>
    <w:rsid w:val="6EE27C2F"/>
    <w:rsid w:val="6F2262E0"/>
    <w:rsid w:val="6F2375E4"/>
    <w:rsid w:val="6F450822"/>
    <w:rsid w:val="6F543924"/>
    <w:rsid w:val="6FE72F48"/>
    <w:rsid w:val="700A492A"/>
    <w:rsid w:val="702A6B12"/>
    <w:rsid w:val="70442AC6"/>
    <w:rsid w:val="704973C7"/>
    <w:rsid w:val="70A850C4"/>
    <w:rsid w:val="71334DC6"/>
    <w:rsid w:val="72443B13"/>
    <w:rsid w:val="72BC7EDB"/>
    <w:rsid w:val="731849DF"/>
    <w:rsid w:val="733F3BA1"/>
    <w:rsid w:val="73803813"/>
    <w:rsid w:val="74A33469"/>
    <w:rsid w:val="74A6057F"/>
    <w:rsid w:val="74BE16EF"/>
    <w:rsid w:val="75BD62D3"/>
    <w:rsid w:val="77C97D79"/>
    <w:rsid w:val="7A035633"/>
    <w:rsid w:val="7A3F5C83"/>
    <w:rsid w:val="7B3813B3"/>
    <w:rsid w:val="7B3A013A"/>
    <w:rsid w:val="7B4725CB"/>
    <w:rsid w:val="7B527EAD"/>
    <w:rsid w:val="7B5E7074"/>
    <w:rsid w:val="7C222082"/>
    <w:rsid w:val="7C417667"/>
    <w:rsid w:val="7C485BD5"/>
    <w:rsid w:val="7C5B6A84"/>
    <w:rsid w:val="7D070DD9"/>
    <w:rsid w:val="7D743AD3"/>
    <w:rsid w:val="7D807FDA"/>
    <w:rsid w:val="7D903E76"/>
    <w:rsid w:val="7DD84285"/>
    <w:rsid w:val="7DF24E2F"/>
    <w:rsid w:val="7EBF4F93"/>
    <w:rsid w:val="7F111831"/>
    <w:rsid w:val="7F5524F8"/>
    <w:rsid w:val="7FAD6382"/>
    <w:rsid w:val="7FFB4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3">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qFormat/>
    <w:uiPriority w:val="39"/>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link w:val="513"/>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pPr>
    <w:rPr>
      <w:rFonts w:ascii="黑体" w:eastAsia="黑体"/>
      <w:kern w:val="21"/>
      <w:szCs w:val="20"/>
    </w:rPr>
  </w:style>
  <w:style w:type="paragraph" w:customStyle="1" w:styleId="279">
    <w:name w:val="附录三级条标题"/>
    <w:basedOn w:val="278"/>
    <w:next w:val="258"/>
    <w:qFormat/>
    <w:uiPriority w:val="0"/>
    <w:pPr>
      <w:numPr>
        <w:ilvl w:val="4"/>
      </w:numPr>
    </w:pPr>
  </w:style>
  <w:style w:type="paragraph" w:customStyle="1" w:styleId="280">
    <w:name w:val="附录四级条标题"/>
    <w:basedOn w:val="279"/>
    <w:next w:val="258"/>
    <w:qFormat/>
    <w:uiPriority w:val="0"/>
    <w:pPr>
      <w:numPr>
        <w:ilvl w:val="5"/>
      </w:numPr>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hAnsi="Times New Roman" w:cs="Times New Roman" w:asciiTheme="minorEastAsia"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50" w:beforeLines="50" w:after="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0" w:beforeLines="0" w:after="0" w:afterLines="0"/>
    </w:pPr>
  </w:style>
  <w:style w:type="paragraph" w:customStyle="1" w:styleId="320">
    <w:name w:val="术语定义三级条标题"/>
    <w:basedOn w:val="290"/>
    <w:next w:val="258"/>
    <w:qFormat/>
    <w:uiPriority w:val="0"/>
    <w:pPr>
      <w:spacing w:before="0" w:beforeLines="0" w:after="0" w:afterLines="0"/>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0" w:beforeLines="0" w:after="0" w:afterLines="0"/>
    </w:pPr>
  </w:style>
  <w:style w:type="paragraph" w:customStyle="1" w:styleId="323">
    <w:name w:val="术语定义五级条标题"/>
    <w:basedOn w:val="300"/>
    <w:next w:val="258"/>
    <w:qFormat/>
    <w:uiPriority w:val="0"/>
    <w:pPr>
      <w:spacing w:before="0" w:beforeLines="0" w:after="0" w:afterLines="0"/>
    </w:pPr>
  </w:style>
  <w:style w:type="paragraph" w:customStyle="1" w:styleId="324">
    <w:name w:val="术语定义一级条标题"/>
    <w:basedOn w:val="260"/>
    <w:next w:val="258"/>
    <w:qFormat/>
    <w:uiPriority w:val="0"/>
    <w:pPr>
      <w:spacing w:before="0" w:beforeLines="0" w:after="0" w:afterLines="0"/>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0" w:beforeLines="0" w:after="0" w:afterLines="0"/>
    </w:pPr>
    <w:rPr>
      <w:rFonts w:asciiTheme="majorEastAsia" w:eastAsiaTheme="majorEastAsia"/>
    </w:rPr>
  </w:style>
  <w:style w:type="paragraph" w:customStyle="1" w:styleId="328">
    <w:name w:val="三级无标题条"/>
    <w:basedOn w:val="290"/>
    <w:qFormat/>
    <w:uiPriority w:val="0"/>
    <w:pPr>
      <w:spacing w:before="0" w:beforeLines="0" w:after="0" w:afterLines="0"/>
    </w:pPr>
    <w:rPr>
      <w:rFonts w:asciiTheme="majorEastAsia" w:eastAsiaTheme="majorEastAsia"/>
    </w:rPr>
  </w:style>
  <w:style w:type="paragraph" w:customStyle="1" w:styleId="329">
    <w:name w:val="四级无标题条"/>
    <w:basedOn w:val="295"/>
    <w:qFormat/>
    <w:uiPriority w:val="0"/>
    <w:pPr>
      <w:spacing w:before="0" w:beforeLines="0" w:after="0" w:afterLines="0"/>
    </w:pPr>
    <w:rPr>
      <w:rFonts w:asciiTheme="majorEastAsia" w:eastAsiaTheme="majorEastAsia"/>
    </w:rPr>
  </w:style>
  <w:style w:type="paragraph" w:customStyle="1" w:styleId="330">
    <w:name w:val="五级无标题条"/>
    <w:basedOn w:val="300"/>
    <w:qFormat/>
    <w:uiPriority w:val="0"/>
    <w:pPr>
      <w:spacing w:before="0" w:beforeLines="0" w:after="0" w:afterLines="0"/>
    </w:pPr>
    <w:rPr>
      <w:rFonts w:asciiTheme="majorEastAsia" w:eastAsiaTheme="majorEastAsia"/>
    </w:rPr>
  </w:style>
  <w:style w:type="paragraph" w:customStyle="1" w:styleId="331">
    <w:name w:val="一级无标题条"/>
    <w:basedOn w:val="260"/>
    <w:qFormat/>
    <w:uiPriority w:val="0"/>
    <w:pPr>
      <w:spacing w:before="0" w:beforeLines="0" w:after="0" w:afterLines="0"/>
    </w:pPr>
    <w:rPr>
      <w:rFonts w:asciiTheme="majorEastAsia"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字符"/>
    <w:basedOn w:val="23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284"/>
    </w:pPr>
    <w:rPr>
      <w:rFonts w:ascii="黑体" w:eastAsia="黑体"/>
      <w:kern w:val="3"/>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character" w:customStyle="1" w:styleId="338">
    <w:name w:val="标准称谓DB Char"/>
    <w:basedOn w:val="231"/>
    <w:link w:val="337"/>
    <w:qFormat/>
    <w:uiPriority w:val="0"/>
    <w:rPr>
      <w:rFonts w:ascii="Britannic Bold" w:hAnsi="Britannic Bold" w:eastAsia="黑体"/>
      <w:bCs/>
      <w:w w:val="135"/>
      <w:sz w:val="44"/>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3">
    <w:name w:val="发布部门QB"/>
    <w:next w:val="1"/>
    <w:qFormat/>
    <w:uiPriority w:val="0"/>
    <w:pPr>
      <w:snapToGrid w:val="0"/>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Times New Roman" w:hAnsi="Britannic Bold" w:eastAsia="Times New Roman" w:cs="Times New Roman"/>
      <w:b/>
      <w:w w:val="110"/>
      <w:kern w:val="2"/>
      <w:sz w:val="96"/>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Times New Roman" w:cs="Times New Roman"/>
      <w:b/>
      <w:w w:val="110"/>
      <w:kern w:val="2"/>
      <w:sz w:val="113"/>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58"/>
    <w:next w:val="293"/>
    <w:qFormat/>
    <w:uiPriority w:val="0"/>
    <w:rPr>
      <w:sz w:val="18"/>
    </w:rPr>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标题1"/>
    <w:basedOn w:val="4"/>
    <w:next w:val="1"/>
    <w:semiHidden/>
    <w:unhideWhenUsed/>
    <w:qFormat/>
    <w:uiPriority w:val="39"/>
    <w:pPr>
      <w:outlineLvl w:val="9"/>
    </w:pPr>
  </w:style>
  <w:style w:type="character" w:customStyle="1" w:styleId="354">
    <w:name w:val="不明显参考1"/>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不明显强调1"/>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字符"/>
    <w:basedOn w:val="231"/>
    <w:link w:val="36"/>
    <w:semiHidden/>
    <w:qFormat/>
    <w:uiPriority w:val="99"/>
    <w:rPr>
      <w:kern w:val="2"/>
      <w:sz w:val="21"/>
      <w:szCs w:val="24"/>
    </w:rPr>
  </w:style>
  <w:style w:type="character" w:customStyle="1" w:styleId="357">
    <w:name w:val="纯文本 字符"/>
    <w:basedOn w:val="231"/>
    <w:link w:val="49"/>
    <w:semiHidden/>
    <w:qFormat/>
    <w:uiPriority w:val="99"/>
    <w:rPr>
      <w:rFonts w:ascii="宋体" w:hAnsi="Courier New" w:cs="Courier New"/>
      <w:kern w:val="2"/>
      <w:sz w:val="21"/>
      <w:szCs w:val="21"/>
    </w:rPr>
  </w:style>
  <w:style w:type="character" w:customStyle="1" w:styleId="358">
    <w:name w:val="电子邮件签名 字符"/>
    <w:basedOn w:val="231"/>
    <w:link w:val="25"/>
    <w:semiHidden/>
    <w:qFormat/>
    <w:uiPriority w:val="99"/>
    <w:rPr>
      <w:kern w:val="2"/>
      <w:sz w:val="21"/>
      <w:szCs w:val="24"/>
    </w:rPr>
  </w:style>
  <w:style w:type="character" w:customStyle="1" w:styleId="359">
    <w:name w:val="副标题 字符"/>
    <w:basedOn w:val="231"/>
    <w:link w:val="66"/>
    <w:qFormat/>
    <w:uiPriority w:val="11"/>
    <w:rPr>
      <w:rFonts w:asciiTheme="majorHAnsi" w:hAnsiTheme="majorHAnsi" w:cstheme="majorBidi"/>
      <w:b/>
      <w:bCs/>
      <w:kern w:val="28"/>
      <w:sz w:val="32"/>
      <w:szCs w:val="32"/>
    </w:rPr>
  </w:style>
  <w:style w:type="character" w:customStyle="1" w:styleId="360">
    <w:name w:val="宏文本 字符"/>
    <w:basedOn w:val="231"/>
    <w:link w:val="3"/>
    <w:semiHidden/>
    <w:qFormat/>
    <w:uiPriority w:val="99"/>
    <w:rPr>
      <w:rFonts w:ascii="Courier New" w:hAnsi="Courier New" w:cs="Courier New"/>
      <w:kern w:val="2"/>
      <w:sz w:val="24"/>
      <w:szCs w:val="24"/>
    </w:rPr>
  </w:style>
  <w:style w:type="character" w:customStyle="1" w:styleId="361">
    <w:name w:val="结束语 字符"/>
    <w:basedOn w:val="23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明显参考1"/>
    <w:basedOn w:val="231"/>
    <w:qFormat/>
    <w:uiPriority w:val="32"/>
    <w:rPr>
      <w:b/>
      <w:bCs/>
      <w:smallCaps/>
      <w:color w:val="5B9BD5" w:themeColor="accent1"/>
      <w:spacing w:val="5"/>
      <w14:textFill>
        <w14:solidFill>
          <w14:schemeClr w14:val="accent1"/>
        </w14:solidFill>
      </w14:textFill>
    </w:rPr>
  </w:style>
  <w:style w:type="character" w:customStyle="1" w:styleId="364">
    <w:name w:val="明显强调1"/>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字符"/>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字符"/>
    <w:basedOn w:val="231"/>
    <w:link w:val="58"/>
    <w:semiHidden/>
    <w:qFormat/>
    <w:uiPriority w:val="99"/>
    <w:rPr>
      <w:kern w:val="2"/>
      <w:sz w:val="18"/>
      <w:szCs w:val="18"/>
    </w:rPr>
  </w:style>
  <w:style w:type="character" w:customStyle="1" w:styleId="368">
    <w:name w:val="批注文字 字符"/>
    <w:basedOn w:val="231"/>
    <w:link w:val="34"/>
    <w:semiHidden/>
    <w:qFormat/>
    <w:uiPriority w:val="99"/>
    <w:rPr>
      <w:kern w:val="2"/>
      <w:sz w:val="21"/>
      <w:szCs w:val="24"/>
    </w:rPr>
  </w:style>
  <w:style w:type="character" w:customStyle="1" w:styleId="369">
    <w:name w:val="批注主题 字符"/>
    <w:basedOn w:val="368"/>
    <w:link w:val="85"/>
    <w:semiHidden/>
    <w:qFormat/>
    <w:uiPriority w:val="99"/>
    <w:rPr>
      <w:b/>
      <w:bCs/>
      <w:kern w:val="2"/>
      <w:sz w:val="21"/>
      <w:szCs w:val="24"/>
    </w:rPr>
  </w:style>
  <w:style w:type="character" w:customStyle="1" w:styleId="370">
    <w:name w:val="签名 字符"/>
    <w:basedOn w:val="231"/>
    <w:link w:val="62"/>
    <w:semiHidden/>
    <w:qFormat/>
    <w:uiPriority w:val="99"/>
    <w:rPr>
      <w:kern w:val="2"/>
      <w:sz w:val="21"/>
      <w:szCs w:val="24"/>
    </w:rPr>
  </w:style>
  <w:style w:type="table" w:customStyle="1" w:styleId="371">
    <w:name w:val="清单表 1 浅色1"/>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清单表 1 浅色 - 着色 1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清单表 1 浅色 - 着色 21"/>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清单表 1 浅色 - 着色 31"/>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清单表 1 浅色 - 着色 41"/>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清单表 1 浅色 - 着色 51"/>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清单表 1 浅色 - 着色 61"/>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清单表 21"/>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清单表 2 - 着色 1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清单表 2 - 着色 21"/>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清单表 2 - 着色 31"/>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清单表 2 - 着色 41"/>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清单表 2 - 着色 51"/>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清单表 2 - 着色 61"/>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清单表 31"/>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清单表 3 - 着色 1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清单表 3 - 着色 21"/>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清单表 3 - 着色 31"/>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清单表 3 - 着色 41"/>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清单表 3 - 着色 51"/>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清单表 3 - 着色 61"/>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清单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清单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清单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清单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清单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清单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清单表 5 深色1"/>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1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21"/>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31"/>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41"/>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5 深色 - 着色 51"/>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清单表 5 深色 - 着色 61"/>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清单表 6 彩色1"/>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清单表 6 彩色 - 着色 1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清单表 6 彩色 - 着色 21"/>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清单表 6 彩色 - 着色 31"/>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清单表 6 彩色 - 着色 41"/>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清单表 6 彩色 - 着色 51"/>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清单表 6 彩色 - 着色 61"/>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清单表 7 彩色1"/>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1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21"/>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31"/>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41"/>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清单表 7 彩色 - 着色 51"/>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清单表 7 彩色 - 着色 61"/>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字符"/>
    <w:basedOn w:val="231"/>
    <w:link w:val="54"/>
    <w:semiHidden/>
    <w:qFormat/>
    <w:uiPriority w:val="99"/>
    <w:rPr>
      <w:kern w:val="2"/>
      <w:sz w:val="21"/>
      <w:szCs w:val="24"/>
    </w:rPr>
  </w:style>
  <w:style w:type="character" w:customStyle="1" w:styleId="421">
    <w:name w:val="书籍标题1"/>
    <w:basedOn w:val="231"/>
    <w:qFormat/>
    <w:uiPriority w:val="33"/>
    <w:rPr>
      <w:b/>
      <w:bCs/>
      <w:i/>
      <w:iCs/>
      <w:spacing w:val="5"/>
    </w:rPr>
  </w:style>
  <w:style w:type="paragraph" w:customStyle="1" w:styleId="422">
    <w:name w:val="书目1"/>
    <w:basedOn w:val="1"/>
    <w:next w:val="1"/>
    <w:semiHidden/>
    <w:unhideWhenUsed/>
    <w:qFormat/>
    <w:uiPriority w:val="37"/>
  </w:style>
  <w:style w:type="table" w:customStyle="1" w:styleId="423">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网格表 1 浅色 - 着色 1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网格表 1 浅色 - 着色 21"/>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网格表 1 浅色 - 着色 31"/>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网格表 1 浅色 - 着色 41"/>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网格表 1 浅色 - 着色 51"/>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网格表 1 浅色 - 着色 61"/>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网格表 21"/>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网格表 2 - 着色 1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网格表 2 - 着色 21"/>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网格表 2 - 着色 31"/>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网格表 2 - 着色 41"/>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网格表 2 - 着色 51"/>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网格表 2 - 着色 61"/>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网格表 31"/>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网格表 3 - 着色 1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网格表 3 - 着色 21"/>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网格表 3 - 着色 41"/>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网格表 3 - 着色 51"/>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网格表 3 - 着色 61"/>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网格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网格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网格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网格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网格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网格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网格表 5 深色 - 着色 1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网格表 5 深色 - 着色 2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网格表 5 深色 - 着色 4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网格表 5 深色 - 着色 6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网格表 6 彩色1"/>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网格表 6 彩色 - 着色 1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网格表 6 彩色 - 着色 21"/>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网格表 6 彩色 - 着色 31"/>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网格表 6 彩色 - 着色 41"/>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网格表 6 彩色 - 着色 51"/>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网格表 6 彩色 - 着色 61"/>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网格表 7 彩色1"/>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网格表 7 彩色 - 着色 1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网格表 7 彩色 - 着色 21"/>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网格表 7 彩色 - 着色 31"/>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网格表 7 彩色 - 着色 41"/>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网格表 7 彩色 - 着色 51"/>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网格表 7 彩色 - 着色 61"/>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字符"/>
    <w:basedOn w:val="231"/>
    <w:link w:val="56"/>
    <w:semiHidden/>
    <w:qFormat/>
    <w:uiPriority w:val="99"/>
    <w:rPr>
      <w:kern w:val="2"/>
      <w:sz w:val="21"/>
      <w:szCs w:val="24"/>
    </w:rPr>
  </w:style>
  <w:style w:type="character" w:customStyle="1" w:styleId="474">
    <w:name w:val="文档结构图 字符"/>
    <w:basedOn w:val="231"/>
    <w:link w:val="32"/>
    <w:semiHidden/>
    <w:qFormat/>
    <w:uiPriority w:val="99"/>
    <w:rPr>
      <w:rFonts w:ascii="Microsoft YaHei UI" w:eastAsia="Microsoft YaHei UI"/>
      <w:kern w:val="2"/>
      <w:sz w:val="18"/>
      <w:szCs w:val="18"/>
    </w:rPr>
  </w:style>
  <w:style w:type="table" w:customStyle="1" w:styleId="475">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无格式表格 21"/>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无格式表格 31"/>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无格式表格 41"/>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无格式表格 51"/>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字符"/>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字符"/>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文本首行缩进 字符"/>
    <w:basedOn w:val="333"/>
    <w:link w:val="86"/>
    <w:semiHidden/>
    <w:qFormat/>
    <w:uiPriority w:val="99"/>
    <w:rPr>
      <w:kern w:val="2"/>
      <w:sz w:val="21"/>
      <w:szCs w:val="24"/>
    </w:rPr>
  </w:style>
  <w:style w:type="character" w:customStyle="1" w:styleId="486">
    <w:name w:val="正文文本缩进 字符"/>
    <w:basedOn w:val="231"/>
    <w:link w:val="41"/>
    <w:semiHidden/>
    <w:qFormat/>
    <w:uiPriority w:val="99"/>
    <w:rPr>
      <w:kern w:val="2"/>
      <w:sz w:val="21"/>
      <w:szCs w:val="24"/>
    </w:rPr>
  </w:style>
  <w:style w:type="character" w:customStyle="1" w:styleId="487">
    <w:name w:val="正文文本首行缩进 2 字符"/>
    <w:basedOn w:val="486"/>
    <w:link w:val="87"/>
    <w:semiHidden/>
    <w:qFormat/>
    <w:uiPriority w:val="99"/>
    <w:rPr>
      <w:kern w:val="2"/>
      <w:sz w:val="21"/>
      <w:szCs w:val="24"/>
    </w:rPr>
  </w:style>
  <w:style w:type="character" w:customStyle="1" w:styleId="488">
    <w:name w:val="正文文本 2 字符"/>
    <w:basedOn w:val="231"/>
    <w:link w:val="76"/>
    <w:semiHidden/>
    <w:qFormat/>
    <w:uiPriority w:val="99"/>
    <w:rPr>
      <w:kern w:val="2"/>
      <w:sz w:val="21"/>
      <w:szCs w:val="24"/>
    </w:rPr>
  </w:style>
  <w:style w:type="character" w:customStyle="1" w:styleId="489">
    <w:name w:val="正文文本 3 字符"/>
    <w:basedOn w:val="231"/>
    <w:link w:val="37"/>
    <w:semiHidden/>
    <w:qFormat/>
    <w:uiPriority w:val="99"/>
    <w:rPr>
      <w:kern w:val="2"/>
      <w:sz w:val="16"/>
      <w:szCs w:val="16"/>
    </w:rPr>
  </w:style>
  <w:style w:type="character" w:customStyle="1" w:styleId="490">
    <w:name w:val="正文文本缩进 2 字符"/>
    <w:basedOn w:val="231"/>
    <w:link w:val="55"/>
    <w:semiHidden/>
    <w:qFormat/>
    <w:uiPriority w:val="99"/>
    <w:rPr>
      <w:kern w:val="2"/>
      <w:sz w:val="21"/>
      <w:szCs w:val="24"/>
    </w:rPr>
  </w:style>
  <w:style w:type="character" w:customStyle="1" w:styleId="491">
    <w:name w:val="正文文本缩进 3 字符"/>
    <w:basedOn w:val="231"/>
    <w:link w:val="71"/>
    <w:semiHidden/>
    <w:qFormat/>
    <w:uiPriority w:val="99"/>
    <w:rPr>
      <w:kern w:val="2"/>
      <w:sz w:val="16"/>
      <w:szCs w:val="16"/>
    </w:rPr>
  </w:style>
  <w:style w:type="character" w:customStyle="1" w:styleId="492">
    <w:name w:val="注释标题 字符"/>
    <w:basedOn w:val="231"/>
    <w:link w:val="22"/>
    <w:semiHidden/>
    <w:qFormat/>
    <w:uiPriority w:val="99"/>
    <w:rPr>
      <w:kern w:val="2"/>
      <w:sz w:val="21"/>
      <w:szCs w:val="24"/>
    </w:rPr>
  </w:style>
  <w:style w:type="paragraph" w:customStyle="1" w:styleId="493">
    <w:name w:val="附录无标题章"/>
    <w:basedOn w:val="276"/>
    <w:qFormat/>
    <w:uiPriority w:val="0"/>
    <w:pPr>
      <w:spacing w:before="0" w:beforeLines="0" w:after="0" w:afterLines="0"/>
    </w:pPr>
    <w:rPr>
      <w:rFonts w:asciiTheme="majorEastAsia" w:eastAsiaTheme="majorEastAsia"/>
    </w:rPr>
  </w:style>
  <w:style w:type="paragraph" w:customStyle="1" w:styleId="494">
    <w:name w:val="附录一级无标题条"/>
    <w:basedOn w:val="277"/>
    <w:qFormat/>
    <w:uiPriority w:val="0"/>
    <w:pPr>
      <w:spacing w:before="0" w:beforeLines="0" w:after="0" w:afterLines="0"/>
    </w:pPr>
    <w:rPr>
      <w:rFonts w:asciiTheme="majorEastAsia" w:eastAsiaTheme="majorEastAsia"/>
    </w:rPr>
  </w:style>
  <w:style w:type="paragraph" w:customStyle="1" w:styleId="495">
    <w:name w:val="附录二级无标题条"/>
    <w:basedOn w:val="278"/>
    <w:qFormat/>
    <w:uiPriority w:val="0"/>
    <w:pPr>
      <w:spacing w:before="0" w:beforeLines="0" w:after="0" w:afterLines="0"/>
    </w:pPr>
    <w:rPr>
      <w:rFonts w:asciiTheme="majorEastAsia" w:eastAsiaTheme="majorEastAsia"/>
    </w:rPr>
  </w:style>
  <w:style w:type="paragraph" w:customStyle="1" w:styleId="496">
    <w:name w:val="附录三级无标题条"/>
    <w:basedOn w:val="279"/>
    <w:qFormat/>
    <w:uiPriority w:val="0"/>
    <w:pPr>
      <w:spacing w:before="0" w:beforeLines="0" w:after="0" w:afterLines="0"/>
    </w:pPr>
    <w:rPr>
      <w:rFonts w:asciiTheme="majorEastAsia" w:eastAsiaTheme="majorEastAsia"/>
    </w:rPr>
  </w:style>
  <w:style w:type="paragraph" w:customStyle="1" w:styleId="497">
    <w:name w:val="附录四级无标题条"/>
    <w:basedOn w:val="280"/>
    <w:qFormat/>
    <w:uiPriority w:val="0"/>
    <w:pPr>
      <w:spacing w:before="0" w:beforeLines="0" w:after="0" w:afterLines="0"/>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eastAsia="Arial Unicode MS"/>
      <w:b/>
      <w:w w:val="13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hint="eastAsia" w:ascii="黑体" w:hAnsi="黑体" w:eastAsia="黑体" w:cs="黑体"/>
      <w:bCs/>
      <w:spacing w:val="40"/>
      <w:kern w:val="0"/>
      <w:sz w:val="72"/>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hint="eastAsia" w:ascii="黑体" w:hAnsi="黑体" w:eastAsia="黑体" w:cs="黑体"/>
      <w:spacing w:val="20"/>
      <w:w w:val="135"/>
      <w:kern w:val="0"/>
      <w:sz w:val="36"/>
      <w:szCs w:val="20"/>
    </w:rPr>
  </w:style>
  <w:style w:type="paragraph" w:customStyle="1" w:styleId="506">
    <w:name w:val="标准标志CEC"/>
    <w:basedOn w:val="1"/>
    <w:qFormat/>
    <w:uiPriority w:val="0"/>
    <w:pPr>
      <w:jc w:val="right"/>
    </w:pPr>
    <w:rPr>
      <w:rFonts w:eastAsia="Times New Roman"/>
      <w:b/>
      <w:sz w:val="96"/>
    </w:rPr>
  </w:style>
  <w:style w:type="paragraph" w:customStyle="1" w:styleId="507">
    <w:name w:val="标准称谓CEC"/>
    <w:basedOn w:val="1"/>
    <w:qFormat/>
    <w:uiPriority w:val="0"/>
    <w:pPr>
      <w:jc w:val="center"/>
    </w:pPr>
    <w:rPr>
      <w:rFonts w:eastAsia="黑体"/>
      <w:b/>
      <w:w w:val="132"/>
      <w:kern w:val="0"/>
      <w:sz w:val="52"/>
    </w:rPr>
  </w:style>
  <w:style w:type="paragraph" w:customStyle="1" w:styleId="508">
    <w:name w:val="发布CEC"/>
    <w:basedOn w:val="500"/>
    <w:qFormat/>
    <w:uiPriority w:val="0"/>
  </w:style>
  <w:style w:type="paragraph" w:customStyle="1" w:styleId="509">
    <w:name w:val="发布部门CEC"/>
    <w:basedOn w:val="1"/>
    <w:qFormat/>
    <w:uiPriority w:val="0"/>
    <w:pPr>
      <w:snapToGrid w:val="0"/>
    </w:pPr>
    <w:rPr>
      <w:b/>
      <w:w w:val="135"/>
      <w:kern w:val="0"/>
      <w:sz w:val="36"/>
    </w:rPr>
  </w:style>
  <w:style w:type="paragraph" w:customStyle="1" w:styleId="510">
    <w:name w:val="标准正文公式"/>
    <w:basedOn w:val="1"/>
    <w:next w:val="1"/>
    <w:qFormat/>
    <w:uiPriority w:val="0"/>
    <w:pPr>
      <w:tabs>
        <w:tab w:val="center" w:pos="4678"/>
        <w:tab w:val="right" w:leader="middleDot" w:pos="9356"/>
      </w:tabs>
      <w:adjustRightInd w:val="0"/>
    </w:pPr>
    <w:rPr>
      <w:rFonts w:ascii="宋体" w:hAnsi="宋体"/>
      <w:szCs w:val="21"/>
    </w:rPr>
  </w:style>
  <w:style w:type="paragraph" w:customStyle="1" w:styleId="511">
    <w:name w:val="附录公式标号"/>
    <w:basedOn w:val="362"/>
    <w:qFormat/>
    <w:uiPriority w:val="0"/>
    <w:pPr>
      <w:numPr>
        <w:ilvl w:val="0"/>
        <w:numId w:val="27"/>
      </w:numPr>
      <w:snapToGrid w:val="0"/>
      <w:spacing w:line="14" w:lineRule="atLeast"/>
      <w:ind w:firstLineChars="0"/>
    </w:pPr>
    <w:rPr>
      <w:color w:val="FFFFFF" w:themeColor="background1"/>
      <w:sz w:val="2"/>
      <w14:textFill>
        <w14:solidFill>
          <w14:schemeClr w14:val="bg1"/>
        </w14:solidFill>
      </w14:textFill>
    </w:rPr>
  </w:style>
  <w:style w:type="paragraph" w:customStyle="1" w:styleId="512">
    <w:name w:val="附录公式编号"/>
    <w:basedOn w:val="40"/>
    <w:qFormat/>
    <w:uiPriority w:val="0"/>
    <w:pPr>
      <w:numPr>
        <w:ilvl w:val="1"/>
        <w:numId w:val="27"/>
      </w:numPr>
    </w:pPr>
  </w:style>
  <w:style w:type="character" w:customStyle="1" w:styleId="513">
    <w:name w:val="段 Char"/>
    <w:link w:val="258"/>
    <w:qFormat/>
    <w:uiPriority w:val="0"/>
    <w:rPr>
      <w:rFonts w:ascii="宋体"/>
      <w:sz w:val="21"/>
    </w:rPr>
  </w:style>
  <w:style w:type="paragraph" w:customStyle="1" w:styleId="51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515">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516">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1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8">
    <w:name w:val="标准文件_一级条标题"/>
    <w:basedOn w:val="516"/>
    <w:next w:val="517"/>
    <w:qFormat/>
    <w:uiPriority w:val="0"/>
    <w:pPr>
      <w:spacing w:before="50" w:beforeLines="50" w:after="50" w:afterLines="50"/>
      <w:outlineLvl w:val="1"/>
    </w:pPr>
  </w:style>
  <w:style w:type="character" w:customStyle="1" w:styleId="519">
    <w:name w:val="tpc_content1"/>
    <w:qFormat/>
    <w:uiPriority w:val="0"/>
    <w:rPr>
      <w:sz w:val="20"/>
    </w:rPr>
  </w:style>
  <w:style w:type="paragraph" w:customStyle="1" w:styleId="520">
    <w:name w:val="标准文件_正文表标题"/>
    <w:next w:val="517"/>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w\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C365FC-9128-4CB9-BD5D-ADFB60F6A8F7}">
  <ds:schemaRefs/>
</ds:datastoreItem>
</file>

<file path=docProps/app.xml><?xml version="1.0" encoding="utf-8"?>
<Properties xmlns="http://schemas.openxmlformats.org/officeDocument/2006/extended-properties" xmlns:vt="http://schemas.openxmlformats.org/officeDocument/2006/docPropsVTypes">
  <Template>bzbx20</Template>
  <Pages>14</Pages>
  <Words>1607</Words>
  <Characters>9160</Characters>
  <Lines>76</Lines>
  <Paragraphs>21</Paragraphs>
  <TotalTime>2</TotalTime>
  <ScaleCrop>false</ScaleCrop>
  <LinksUpToDate>false</LinksUpToDate>
  <CharactersWithSpaces>10746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2023-08-03T07:32:00Z</dcterms:created>
  <dc:creator>苏巍</dc:creator>
  <cp:lastModifiedBy>szpgzx</cp:lastModifiedBy>
  <cp:lastPrinted>2023-10-27T07:34:00Z</cp:lastPrinted>
  <dcterms:modified xsi:type="dcterms:W3CDTF">2023-11-02T02:02:52Z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C25027C3C6F249D784998D083137434C</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 **</vt:lpwstr>
  </property>
  <property fmtid="{D5CDD505-2E9C-101B-9397-08002B2CF9AE}" pid="7" name="CCS" linkTarget="CCS">
    <vt:lpwstr>CCS **</vt:lpwstr>
  </property>
  <property fmtid="{D5CDD505-2E9C-101B-9397-08002B2CF9AE}" pid="8" name="BAH" linkTarget="BAH">
    <vt:lpwstr>备案号：</vt:lpwstr>
  </property>
  <property fmtid="{D5CDD505-2E9C-101B-9397-08002B2CF9AE}" pid="9" name="BT" linkTarget="BT">
    <vt:lpwstr>团    体    标    准</vt:lpwstr>
  </property>
  <property fmtid="{D5CDD505-2E9C-101B-9397-08002B2CF9AE}" pid="10" name="BZBH" linkTarget="BZBH">
    <vt:lpwstr>T/XXX</vt:lpwstr>
  </property>
  <property fmtid="{D5CDD505-2E9C-101B-9397-08002B2CF9AE}" pid="11" name="TDBH" linkTarget="TDBH">
    <vt:lpwstr>代替 T/XXX</vt:lpwstr>
  </property>
  <property fmtid="{D5CDD505-2E9C-101B-9397-08002B2CF9AE}" pid="12" name="BZMC" linkTarget="BZMC">
    <vt:lpwstr>优视摄影测量技术规范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（草案稿）</vt:lpwstr>
  </property>
  <property fmtid="{D5CDD505-2E9C-101B-9397-08002B2CF9AE}" pid="16" name="FBRQ" linkTarget="FBRQ">
    <vt:lpwstr>20XX—XX—XX</vt:lpwstr>
  </property>
  <property fmtid="{D5CDD505-2E9C-101B-9397-08002B2CF9AE}" pid="17" name="SSRQ" linkTarget="SSRQ">
    <vt:lpwstr>20XX—XX—XX</vt:lpwstr>
  </property>
  <property fmtid="{D5CDD505-2E9C-101B-9397-08002B2CF9AE}" pid="18" name="BZLX" linkTarget="BZLX">
    <vt:lpwstr>T/XXX</vt:lpwstr>
  </property>
  <property fmtid="{D5CDD505-2E9C-101B-9397-08002B2CF9AE}" pid="19" name="标准类型" linkTarget="标准类型">
    <vt:lpwstr>TB</vt:lpwstr>
  </property>
  <property fmtid="{D5CDD505-2E9C-101B-9397-08002B2CF9AE}" pid="20" name="FBDW" linkTarget="FBDW">
    <vt:lpwstr>深圳市深圳标准促进会</vt:lpwstr>
  </property>
  <property fmtid="{D5CDD505-2E9C-101B-9397-08002B2CF9AE}" pid="21" name="IMAGE" linkTarget="IMAGE">
    <vt:lpwstr/>
  </property>
  <property fmtid="{D5CDD505-2E9C-101B-9397-08002B2CF9AE}" pid="22" name="KSOProductBuildVer">
    <vt:lpwstr>2052-11.8.2.11716</vt:lpwstr>
  </property>
  <property fmtid="{D5CDD505-2E9C-101B-9397-08002B2CF9AE}" pid="23" name="GrammarlyDocumentId">
    <vt:lpwstr>7589da653afddb266f0a6590043759c56d36a4a29120087e7d72ee0d5f2a4cf3</vt:lpwstr>
  </property>
</Properties>
</file>