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 w:val="48"/>
          <w:szCs w:val="48"/>
        </w:rPr>
      </w:pPr>
    </w:p>
    <w:p>
      <w:pPr>
        <w:jc w:val="center"/>
        <w:rPr>
          <w:rFonts w:ascii="Times New Roman" w:hAnsi="Times New Roman"/>
          <w:b/>
          <w:sz w:val="48"/>
          <w:szCs w:val="48"/>
        </w:rPr>
      </w:pPr>
    </w:p>
    <w:p>
      <w:pPr>
        <w:jc w:val="center"/>
        <w:rPr>
          <w:rFonts w:ascii="Times New Roman" w:hAnsi="Times New Roman"/>
          <w:b/>
          <w:sz w:val="48"/>
          <w:szCs w:val="48"/>
        </w:rPr>
      </w:pPr>
    </w:p>
    <w:p>
      <w:pPr>
        <w:jc w:val="center"/>
        <w:rPr>
          <w:rFonts w:ascii="Times New Roman" w:hAnsi="Times New Roman"/>
          <w:b/>
          <w:sz w:val="48"/>
          <w:szCs w:val="48"/>
        </w:rPr>
      </w:pPr>
    </w:p>
    <w:p>
      <w:pPr>
        <w:jc w:val="center"/>
        <w:rPr>
          <w:rFonts w:ascii="Times New Roman" w:hAnsi="Times New Roman"/>
          <w:b/>
          <w:sz w:val="48"/>
          <w:szCs w:val="48"/>
        </w:rPr>
      </w:pPr>
    </w:p>
    <w:p>
      <w:pPr>
        <w:spacing w:line="800" w:lineRule="exact"/>
        <w:jc w:val="center"/>
        <w:rPr>
          <w:rFonts w:ascii="楷体" w:hAnsi="楷体" w:eastAsia="楷体" w:cs="黑体"/>
          <w:bCs/>
          <w:sz w:val="48"/>
          <w:szCs w:val="48"/>
          <w:lang w:eastAsia="zh-Hans"/>
        </w:rPr>
      </w:pPr>
      <w:r>
        <w:rPr>
          <w:rFonts w:hint="eastAsia" w:ascii="楷体" w:hAnsi="楷体" w:eastAsia="楷体" w:cs="黑体"/>
          <w:bCs/>
          <w:sz w:val="48"/>
          <w:szCs w:val="48"/>
        </w:rPr>
        <w:t>团体</w:t>
      </w:r>
      <w:r>
        <w:rPr>
          <w:rFonts w:hint="eastAsia" w:ascii="楷体" w:hAnsi="楷体" w:eastAsia="楷体" w:cs="黑体"/>
          <w:bCs/>
          <w:sz w:val="48"/>
          <w:szCs w:val="48"/>
          <w:lang w:eastAsia="zh-Hans"/>
        </w:rPr>
        <w:t>标准</w:t>
      </w:r>
    </w:p>
    <w:p>
      <w:pPr>
        <w:spacing w:line="800" w:lineRule="exact"/>
        <w:jc w:val="center"/>
        <w:rPr>
          <w:rFonts w:ascii="楷体" w:hAnsi="楷体" w:eastAsia="楷体" w:cs="黑体"/>
          <w:bCs/>
          <w:sz w:val="48"/>
          <w:szCs w:val="48"/>
          <w:lang w:eastAsia="zh-Hans"/>
        </w:rPr>
      </w:pPr>
      <w:r>
        <w:rPr>
          <w:rFonts w:hint="eastAsia" w:ascii="楷体" w:hAnsi="楷体" w:eastAsia="楷体" w:cs="黑体"/>
          <w:bCs/>
          <w:sz w:val="48"/>
          <w:szCs w:val="48"/>
          <w:lang w:eastAsia="zh-Hans"/>
        </w:rPr>
        <w:t>《</w:t>
      </w:r>
      <w:r>
        <w:rPr>
          <w:rFonts w:hint="eastAsia" w:ascii="楷体" w:hAnsi="楷体" w:eastAsia="楷体" w:cs="黑体"/>
          <w:bCs/>
          <w:sz w:val="48"/>
          <w:szCs w:val="48"/>
        </w:rPr>
        <w:t>高标准农田 标准体系</w:t>
      </w:r>
      <w:r>
        <w:rPr>
          <w:rFonts w:hint="eastAsia" w:ascii="楷体" w:hAnsi="楷体" w:eastAsia="楷体" w:cs="黑体"/>
          <w:bCs/>
          <w:sz w:val="48"/>
          <w:szCs w:val="48"/>
          <w:lang w:eastAsia="zh-Hans"/>
        </w:rPr>
        <w:t>》</w:t>
      </w:r>
    </w:p>
    <w:p>
      <w:pPr>
        <w:jc w:val="center"/>
        <w:rPr>
          <w:rFonts w:ascii="楷体" w:hAnsi="楷体" w:eastAsia="楷体" w:cs="黑体"/>
          <w:bCs/>
          <w:sz w:val="48"/>
          <w:szCs w:val="48"/>
        </w:rPr>
      </w:pPr>
    </w:p>
    <w:p>
      <w:pPr>
        <w:jc w:val="center"/>
        <w:rPr>
          <w:rFonts w:ascii="楷体" w:hAnsi="楷体" w:eastAsia="楷体" w:cs="黑体"/>
          <w:bCs/>
          <w:sz w:val="48"/>
          <w:szCs w:val="48"/>
        </w:rPr>
      </w:pPr>
    </w:p>
    <w:p>
      <w:pPr>
        <w:jc w:val="center"/>
        <w:rPr>
          <w:rFonts w:ascii="楷体" w:hAnsi="楷体" w:eastAsia="楷体" w:cs="黑体"/>
          <w:bCs/>
          <w:sz w:val="48"/>
          <w:szCs w:val="48"/>
        </w:rPr>
      </w:pPr>
      <w:r>
        <w:rPr>
          <w:rFonts w:hint="eastAsia" w:ascii="楷体" w:hAnsi="楷体" w:eastAsia="楷体" w:cs="黑体"/>
          <w:bCs/>
          <w:sz w:val="48"/>
          <w:szCs w:val="48"/>
        </w:rPr>
        <w:t>编制说明</w:t>
      </w:r>
    </w:p>
    <w:p>
      <w:pPr>
        <w:jc w:val="center"/>
        <w:rPr>
          <w:rFonts w:ascii="Times New Roman" w:hAnsi="Times New Roman"/>
          <w:b/>
          <w:sz w:val="48"/>
          <w:szCs w:val="48"/>
        </w:rPr>
      </w:pPr>
    </w:p>
    <w:p>
      <w:pPr>
        <w:jc w:val="center"/>
        <w:rPr>
          <w:rFonts w:ascii="Times New Roman" w:hAnsi="Times New Roman"/>
          <w:b/>
          <w:sz w:val="48"/>
          <w:szCs w:val="48"/>
        </w:rPr>
      </w:pPr>
    </w:p>
    <w:p>
      <w:pPr>
        <w:jc w:val="center"/>
        <w:rPr>
          <w:rFonts w:ascii="Times New Roman" w:hAnsi="Times New Roman"/>
          <w:b/>
          <w:sz w:val="48"/>
          <w:szCs w:val="48"/>
        </w:rPr>
      </w:pPr>
    </w:p>
    <w:p>
      <w:pPr>
        <w:jc w:val="center"/>
        <w:rPr>
          <w:rFonts w:ascii="Times New Roman" w:hAnsi="Times New Roman"/>
          <w:b/>
          <w:sz w:val="48"/>
          <w:szCs w:val="48"/>
        </w:rPr>
      </w:pPr>
    </w:p>
    <w:p>
      <w:pPr>
        <w:jc w:val="center"/>
        <w:rPr>
          <w:rFonts w:ascii="Times New Roman" w:hAnsi="Times New Roman"/>
          <w:b/>
          <w:sz w:val="48"/>
          <w:szCs w:val="48"/>
        </w:rPr>
      </w:pPr>
    </w:p>
    <w:p>
      <w:pPr>
        <w:jc w:val="center"/>
        <w:rPr>
          <w:rFonts w:ascii="Times New Roman" w:hAnsi="Times New Roman"/>
          <w:b/>
          <w:sz w:val="48"/>
          <w:szCs w:val="48"/>
        </w:rPr>
      </w:pPr>
    </w:p>
    <w:p>
      <w:pPr>
        <w:jc w:val="center"/>
        <w:rPr>
          <w:rFonts w:ascii="Times New Roman" w:hAnsi="Times New Roman"/>
          <w:b/>
          <w:sz w:val="48"/>
          <w:szCs w:val="48"/>
        </w:rPr>
      </w:pPr>
    </w:p>
    <w:p>
      <w:pPr>
        <w:rPr>
          <w:rFonts w:ascii="Times New Roman" w:hAnsi="Times New Roman"/>
          <w:b/>
          <w:sz w:val="48"/>
          <w:szCs w:val="48"/>
        </w:rPr>
      </w:pPr>
    </w:p>
    <w:p>
      <w:pPr>
        <w:spacing w:line="480" w:lineRule="exact"/>
        <w:jc w:val="center"/>
        <w:rPr>
          <w:rFonts w:ascii="Times New Roman" w:hAnsi="Times New Roman" w:eastAsia="仿宋_GB2312"/>
          <w:b/>
          <w:sz w:val="28"/>
          <w:szCs w:val="28"/>
        </w:rPr>
      </w:pPr>
      <w:r>
        <w:rPr>
          <w:rFonts w:ascii="Times New Roman" w:hAnsi="Times New Roman" w:eastAsia="仿宋_GB2312"/>
          <w:b/>
          <w:sz w:val="28"/>
          <w:szCs w:val="28"/>
        </w:rPr>
        <w:t>《</w:t>
      </w:r>
      <w:r>
        <w:rPr>
          <w:rFonts w:hint="eastAsia" w:ascii="Times New Roman" w:hAnsi="Times New Roman" w:eastAsia="仿宋_GB2312"/>
          <w:b/>
          <w:sz w:val="28"/>
          <w:szCs w:val="28"/>
        </w:rPr>
        <w:t>高标准农田建设 标准体系</w:t>
      </w:r>
      <w:r>
        <w:rPr>
          <w:rFonts w:ascii="Times New Roman" w:hAnsi="Times New Roman" w:eastAsia="仿宋_GB2312"/>
          <w:b/>
          <w:sz w:val="28"/>
          <w:szCs w:val="28"/>
        </w:rPr>
        <w:t>》</w:t>
      </w:r>
      <w:r>
        <w:rPr>
          <w:rFonts w:hint="eastAsia" w:ascii="Times New Roman" w:hAnsi="Times New Roman" w:eastAsia="仿宋_GB2312"/>
          <w:b/>
          <w:sz w:val="28"/>
          <w:szCs w:val="28"/>
        </w:rPr>
        <w:t>标准编制组</w:t>
      </w:r>
    </w:p>
    <w:p>
      <w:pPr>
        <w:spacing w:line="480" w:lineRule="exact"/>
        <w:jc w:val="center"/>
        <w:rPr>
          <w:rFonts w:ascii="Times New Roman" w:hAnsi="Times New Roman" w:eastAsia="仿宋_GB2312"/>
          <w:b/>
          <w:sz w:val="28"/>
          <w:szCs w:val="28"/>
        </w:rPr>
        <w:sectPr>
          <w:pgSz w:w="11906" w:h="16838"/>
          <w:pgMar w:top="1440" w:right="1800" w:bottom="1440" w:left="1800" w:header="851" w:footer="992" w:gutter="0"/>
          <w:cols w:space="720" w:num="1"/>
          <w:docGrid w:type="lines" w:linePitch="312" w:charSpace="0"/>
        </w:sectPr>
      </w:pPr>
      <w:r>
        <w:rPr>
          <w:rFonts w:ascii="Times New Roman" w:hAnsi="Times New Roman" w:eastAsia="仿宋_GB2312"/>
          <w:b/>
          <w:sz w:val="28"/>
          <w:szCs w:val="28"/>
        </w:rPr>
        <w:t>202</w:t>
      </w:r>
      <w:r>
        <w:rPr>
          <w:rFonts w:hint="eastAsia" w:ascii="Times New Roman" w:hAnsi="Times New Roman" w:eastAsia="仿宋_GB2312"/>
          <w:b/>
          <w:sz w:val="28"/>
          <w:szCs w:val="28"/>
          <w:lang w:val="en-US" w:eastAsia="zh-CN"/>
        </w:rPr>
        <w:t>3</w:t>
      </w:r>
      <w:r>
        <w:rPr>
          <w:rFonts w:hint="eastAsia" w:ascii="Times New Roman" w:hAnsi="Times New Roman" w:eastAsia="仿宋_GB2312"/>
          <w:b/>
          <w:sz w:val="28"/>
          <w:szCs w:val="28"/>
        </w:rPr>
        <w:t>年 月</w:t>
      </w:r>
    </w:p>
    <w:p>
      <w:pPr>
        <w:jc w:val="center"/>
        <w:rPr>
          <w:rFonts w:ascii="Times New Roman" w:hAnsi="Times New Roman" w:eastAsia="黑体" w:cs="黑体"/>
          <w:b/>
          <w:bCs/>
          <w:sz w:val="36"/>
          <w:szCs w:val="36"/>
        </w:rPr>
      </w:pPr>
      <w:r>
        <w:rPr>
          <w:rFonts w:hint="eastAsia" w:ascii="Times New Roman" w:hAnsi="Times New Roman" w:eastAsia="黑体" w:cs="黑体"/>
          <w:b/>
          <w:bCs/>
          <w:sz w:val="36"/>
          <w:szCs w:val="36"/>
        </w:rPr>
        <w:t>目  录</w:t>
      </w:r>
    </w:p>
    <w:p>
      <w:pPr>
        <w:pStyle w:val="14"/>
        <w:tabs>
          <w:tab w:val="right" w:leader="dot" w:pos="8306"/>
        </w:tabs>
      </w:pPr>
      <w:r>
        <w:rPr>
          <w:rFonts w:hint="eastAsia" w:ascii="Times New Roman" w:hAnsi="Times New Roman" w:eastAsia="仿宋_GB2312" w:cs="宋体"/>
          <w:color w:val="000000"/>
          <w:kern w:val="0"/>
          <w:sz w:val="32"/>
          <w:szCs w:val="32"/>
        </w:rPr>
        <w:fldChar w:fldCharType="begin"/>
      </w:r>
      <w:r>
        <w:rPr>
          <w:rFonts w:hint="eastAsia" w:ascii="Times New Roman" w:hAnsi="Times New Roman" w:eastAsia="仿宋_GB2312" w:cs="宋体"/>
          <w:color w:val="000000"/>
          <w:kern w:val="0"/>
          <w:sz w:val="32"/>
          <w:szCs w:val="32"/>
        </w:rPr>
        <w:instrText xml:space="preserve">TOC \o "1-2" \h \u </w:instrText>
      </w:r>
      <w:r>
        <w:rPr>
          <w:rFonts w:hint="eastAsia" w:ascii="Times New Roman" w:hAnsi="Times New Roman" w:eastAsia="仿宋_GB2312" w:cs="宋体"/>
          <w:color w:val="000000"/>
          <w:kern w:val="0"/>
          <w:sz w:val="32"/>
          <w:szCs w:val="32"/>
        </w:rPr>
        <w:fldChar w:fldCharType="separate"/>
      </w:r>
      <w:r>
        <w:fldChar w:fldCharType="begin"/>
      </w:r>
      <w:r>
        <w:instrText xml:space="preserve"> HYPERLINK \l "_Toc12788" </w:instrText>
      </w:r>
      <w:r>
        <w:fldChar w:fldCharType="separate"/>
      </w:r>
      <w:r>
        <w:rPr>
          <w:rFonts w:ascii="Times New Roman" w:hAnsi="Times New Roman" w:eastAsia="黑体"/>
          <w:szCs w:val="32"/>
        </w:rPr>
        <w:t xml:space="preserve">一、 </w:t>
      </w:r>
      <w:r>
        <w:rPr>
          <w:rFonts w:hint="eastAsia" w:ascii="Times New Roman" w:hAnsi="Times New Roman" w:eastAsia="黑体"/>
          <w:szCs w:val="32"/>
        </w:rPr>
        <w:t>任务来源</w:t>
      </w:r>
      <w:r>
        <w:tab/>
      </w:r>
      <w:r>
        <w:fldChar w:fldCharType="begin"/>
      </w:r>
      <w:r>
        <w:instrText xml:space="preserve"> PAGEREF _Toc12788 \h </w:instrText>
      </w:r>
      <w:r>
        <w:fldChar w:fldCharType="separate"/>
      </w:r>
      <w:r>
        <w:t>1</w:t>
      </w:r>
      <w:r>
        <w:fldChar w:fldCharType="end"/>
      </w:r>
      <w:r>
        <w:fldChar w:fldCharType="end"/>
      </w:r>
    </w:p>
    <w:p>
      <w:pPr>
        <w:pStyle w:val="14"/>
        <w:tabs>
          <w:tab w:val="right" w:leader="dot" w:pos="8306"/>
        </w:tabs>
      </w:pPr>
      <w:r>
        <w:fldChar w:fldCharType="begin"/>
      </w:r>
      <w:r>
        <w:instrText xml:space="preserve"> HYPERLINK \l "_Toc22082" </w:instrText>
      </w:r>
      <w:r>
        <w:fldChar w:fldCharType="separate"/>
      </w:r>
      <w:r>
        <w:rPr>
          <w:rFonts w:ascii="Times New Roman" w:hAnsi="Times New Roman" w:eastAsia="黑体"/>
          <w:szCs w:val="32"/>
        </w:rPr>
        <w:t xml:space="preserve">二、 </w:t>
      </w:r>
      <w:r>
        <w:rPr>
          <w:rFonts w:hint="eastAsia" w:ascii="Times New Roman" w:hAnsi="Times New Roman" w:eastAsia="黑体"/>
          <w:szCs w:val="32"/>
        </w:rPr>
        <w:t>立项的背景和意义</w:t>
      </w:r>
      <w:r>
        <w:tab/>
      </w:r>
      <w:r>
        <w:fldChar w:fldCharType="begin"/>
      </w:r>
      <w:r>
        <w:instrText xml:space="preserve"> PAGEREF _Toc22082 \h </w:instrText>
      </w:r>
      <w:r>
        <w:fldChar w:fldCharType="separate"/>
      </w:r>
      <w:r>
        <w:t>1</w:t>
      </w:r>
      <w:r>
        <w:fldChar w:fldCharType="end"/>
      </w:r>
      <w:r>
        <w:fldChar w:fldCharType="end"/>
      </w:r>
    </w:p>
    <w:p>
      <w:pPr>
        <w:pStyle w:val="14"/>
        <w:tabs>
          <w:tab w:val="right" w:leader="dot" w:pos="8306"/>
        </w:tabs>
      </w:pPr>
      <w:r>
        <w:fldChar w:fldCharType="begin"/>
      </w:r>
      <w:r>
        <w:instrText xml:space="preserve"> HYPERLINK \l "_Toc21016" </w:instrText>
      </w:r>
      <w:r>
        <w:fldChar w:fldCharType="separate"/>
      </w:r>
      <w:r>
        <w:rPr>
          <w:rFonts w:ascii="Times New Roman" w:hAnsi="Times New Roman" w:eastAsia="黑体"/>
          <w:szCs w:val="32"/>
        </w:rPr>
        <w:t xml:space="preserve">三、 </w:t>
      </w:r>
      <w:r>
        <w:rPr>
          <w:rFonts w:hint="eastAsia" w:ascii="Times New Roman" w:hAnsi="Times New Roman" w:eastAsia="黑体"/>
          <w:szCs w:val="32"/>
        </w:rPr>
        <w:t>制定原则</w:t>
      </w:r>
      <w:r>
        <w:tab/>
      </w:r>
      <w:r>
        <w:fldChar w:fldCharType="begin"/>
      </w:r>
      <w:r>
        <w:instrText xml:space="preserve"> PAGEREF _Toc21016 \h </w:instrText>
      </w:r>
      <w:r>
        <w:fldChar w:fldCharType="separate"/>
      </w:r>
      <w:r>
        <w:t>2</w:t>
      </w:r>
      <w:r>
        <w:fldChar w:fldCharType="end"/>
      </w:r>
      <w:r>
        <w:fldChar w:fldCharType="end"/>
      </w:r>
    </w:p>
    <w:p>
      <w:pPr>
        <w:pStyle w:val="15"/>
        <w:tabs>
          <w:tab w:val="right" w:leader="dot" w:pos="8306"/>
        </w:tabs>
      </w:pPr>
      <w:r>
        <w:fldChar w:fldCharType="begin"/>
      </w:r>
      <w:r>
        <w:instrText xml:space="preserve"> HYPERLINK \l "_Toc26050" </w:instrText>
      </w:r>
      <w:r>
        <w:fldChar w:fldCharType="separate"/>
      </w:r>
      <w:r>
        <w:rPr>
          <w:rFonts w:hint="eastAsia" w:ascii="Times New Roman" w:hAnsi="Times New Roman" w:eastAsia="楷体"/>
          <w:szCs w:val="32"/>
        </w:rPr>
        <w:t>（一）科学性原则</w:t>
      </w:r>
      <w:r>
        <w:tab/>
      </w:r>
      <w:r>
        <w:fldChar w:fldCharType="begin"/>
      </w:r>
      <w:r>
        <w:instrText xml:space="preserve"> PAGEREF _Toc26050 \h </w:instrText>
      </w:r>
      <w:r>
        <w:fldChar w:fldCharType="separate"/>
      </w:r>
      <w:r>
        <w:t>3</w:t>
      </w:r>
      <w:r>
        <w:fldChar w:fldCharType="end"/>
      </w:r>
      <w:r>
        <w:fldChar w:fldCharType="end"/>
      </w:r>
    </w:p>
    <w:p>
      <w:pPr>
        <w:pStyle w:val="15"/>
        <w:tabs>
          <w:tab w:val="right" w:leader="dot" w:pos="8306"/>
        </w:tabs>
      </w:pPr>
      <w:r>
        <w:fldChar w:fldCharType="begin"/>
      </w:r>
      <w:r>
        <w:instrText xml:space="preserve"> HYPERLINK \l "_Toc4338" </w:instrText>
      </w:r>
      <w:r>
        <w:fldChar w:fldCharType="separate"/>
      </w:r>
      <w:r>
        <w:rPr>
          <w:rFonts w:hint="eastAsia" w:ascii="Times New Roman" w:hAnsi="Times New Roman" w:eastAsia="楷体"/>
          <w:szCs w:val="32"/>
        </w:rPr>
        <w:t>（二）合理性原则</w:t>
      </w:r>
      <w:r>
        <w:tab/>
      </w:r>
      <w:r>
        <w:fldChar w:fldCharType="begin"/>
      </w:r>
      <w:r>
        <w:instrText xml:space="preserve"> PAGEREF _Toc4338 \h </w:instrText>
      </w:r>
      <w:r>
        <w:fldChar w:fldCharType="separate"/>
      </w:r>
      <w:r>
        <w:t>3</w:t>
      </w:r>
      <w:r>
        <w:fldChar w:fldCharType="end"/>
      </w:r>
      <w:r>
        <w:fldChar w:fldCharType="end"/>
      </w:r>
    </w:p>
    <w:p>
      <w:pPr>
        <w:pStyle w:val="15"/>
        <w:tabs>
          <w:tab w:val="right" w:leader="dot" w:pos="8306"/>
        </w:tabs>
      </w:pPr>
      <w:r>
        <w:fldChar w:fldCharType="begin"/>
      </w:r>
      <w:r>
        <w:instrText xml:space="preserve"> HYPERLINK \l "_Toc10696" </w:instrText>
      </w:r>
      <w:r>
        <w:fldChar w:fldCharType="separate"/>
      </w:r>
      <w:r>
        <w:rPr>
          <w:rFonts w:hint="eastAsia" w:ascii="Times New Roman" w:hAnsi="Times New Roman" w:eastAsia="楷体"/>
          <w:szCs w:val="32"/>
        </w:rPr>
        <w:t>（三）实用性原则</w:t>
      </w:r>
      <w:r>
        <w:tab/>
      </w:r>
      <w:r>
        <w:fldChar w:fldCharType="begin"/>
      </w:r>
      <w:r>
        <w:instrText xml:space="preserve"> PAGEREF _Toc10696 \h </w:instrText>
      </w:r>
      <w:r>
        <w:fldChar w:fldCharType="separate"/>
      </w:r>
      <w:r>
        <w:t>3</w:t>
      </w:r>
      <w:r>
        <w:fldChar w:fldCharType="end"/>
      </w:r>
      <w:r>
        <w:fldChar w:fldCharType="end"/>
      </w:r>
    </w:p>
    <w:p>
      <w:pPr>
        <w:pStyle w:val="14"/>
        <w:tabs>
          <w:tab w:val="right" w:leader="dot" w:pos="8306"/>
        </w:tabs>
      </w:pPr>
      <w:r>
        <w:fldChar w:fldCharType="begin"/>
      </w:r>
      <w:r>
        <w:instrText xml:space="preserve"> HYPERLINK \l "_Toc26951" </w:instrText>
      </w:r>
      <w:r>
        <w:fldChar w:fldCharType="separate"/>
      </w:r>
      <w:r>
        <w:rPr>
          <w:rFonts w:ascii="Times New Roman" w:hAnsi="Times New Roman" w:eastAsia="黑体"/>
          <w:szCs w:val="32"/>
        </w:rPr>
        <w:t xml:space="preserve">四、 </w:t>
      </w:r>
      <w:r>
        <w:rPr>
          <w:rFonts w:hint="eastAsia" w:ascii="Times New Roman" w:hAnsi="Times New Roman" w:eastAsia="黑体"/>
          <w:szCs w:val="32"/>
        </w:rPr>
        <w:t>制定依据</w:t>
      </w:r>
      <w:r>
        <w:tab/>
      </w:r>
      <w:r>
        <w:fldChar w:fldCharType="begin"/>
      </w:r>
      <w:r>
        <w:instrText xml:space="preserve"> PAGEREF _Toc26951 \h </w:instrText>
      </w:r>
      <w:r>
        <w:fldChar w:fldCharType="separate"/>
      </w:r>
      <w:r>
        <w:t>4</w:t>
      </w:r>
      <w:r>
        <w:fldChar w:fldCharType="end"/>
      </w:r>
      <w:r>
        <w:fldChar w:fldCharType="end"/>
      </w:r>
    </w:p>
    <w:p>
      <w:pPr>
        <w:pStyle w:val="14"/>
        <w:tabs>
          <w:tab w:val="right" w:leader="dot" w:pos="8306"/>
        </w:tabs>
      </w:pPr>
      <w:r>
        <w:fldChar w:fldCharType="begin"/>
      </w:r>
      <w:r>
        <w:instrText xml:space="preserve"> HYPERLINK \l "_Toc16692" </w:instrText>
      </w:r>
      <w:r>
        <w:fldChar w:fldCharType="separate"/>
      </w:r>
      <w:r>
        <w:rPr>
          <w:rFonts w:ascii="Times New Roman" w:hAnsi="Times New Roman" w:eastAsia="黑体"/>
          <w:szCs w:val="32"/>
        </w:rPr>
        <w:t xml:space="preserve">五、 </w:t>
      </w:r>
      <w:r>
        <w:rPr>
          <w:rFonts w:hint="eastAsia" w:ascii="Times New Roman" w:hAnsi="Times New Roman" w:eastAsia="黑体"/>
          <w:szCs w:val="32"/>
        </w:rPr>
        <w:t>主要编制过程</w:t>
      </w:r>
      <w:r>
        <w:tab/>
      </w:r>
      <w:r>
        <w:fldChar w:fldCharType="begin"/>
      </w:r>
      <w:r>
        <w:instrText xml:space="preserve"> PAGEREF _Toc16692 \h </w:instrText>
      </w:r>
      <w:r>
        <w:fldChar w:fldCharType="separate"/>
      </w:r>
      <w:r>
        <w:t>4</w:t>
      </w:r>
      <w:r>
        <w:fldChar w:fldCharType="end"/>
      </w:r>
      <w:r>
        <w:fldChar w:fldCharType="end"/>
      </w:r>
    </w:p>
    <w:p>
      <w:pPr>
        <w:pStyle w:val="15"/>
        <w:tabs>
          <w:tab w:val="right" w:leader="dot" w:pos="8306"/>
        </w:tabs>
      </w:pPr>
      <w:r>
        <w:fldChar w:fldCharType="begin"/>
      </w:r>
      <w:r>
        <w:instrText xml:space="preserve"> HYPERLINK \l "_Toc6371" </w:instrText>
      </w:r>
      <w:r>
        <w:fldChar w:fldCharType="separate"/>
      </w:r>
      <w:r>
        <w:rPr>
          <w:rFonts w:ascii="Times New Roman" w:hAnsi="Times New Roman" w:eastAsia="楷体"/>
          <w:szCs w:val="32"/>
        </w:rPr>
        <w:t>（</w:t>
      </w:r>
      <w:r>
        <w:rPr>
          <w:rFonts w:hint="eastAsia" w:ascii="Times New Roman" w:hAnsi="Times New Roman" w:eastAsia="楷体"/>
          <w:szCs w:val="32"/>
        </w:rPr>
        <w:t>一</w:t>
      </w:r>
      <w:r>
        <w:rPr>
          <w:rFonts w:ascii="Times New Roman" w:hAnsi="Times New Roman" w:eastAsia="楷体"/>
          <w:szCs w:val="32"/>
        </w:rPr>
        <w:t>）</w:t>
      </w:r>
      <w:r>
        <w:rPr>
          <w:rFonts w:hint="eastAsia" w:ascii="Times New Roman" w:hAnsi="Times New Roman" w:eastAsia="楷体"/>
          <w:szCs w:val="32"/>
        </w:rPr>
        <w:t>立项依据</w:t>
      </w:r>
      <w:r>
        <w:tab/>
      </w:r>
      <w:r>
        <w:fldChar w:fldCharType="begin"/>
      </w:r>
      <w:r>
        <w:instrText xml:space="preserve"> PAGEREF _Toc6371 \h </w:instrText>
      </w:r>
      <w:r>
        <w:fldChar w:fldCharType="separate"/>
      </w:r>
      <w:r>
        <w:t>4</w:t>
      </w:r>
      <w:r>
        <w:fldChar w:fldCharType="end"/>
      </w:r>
      <w:r>
        <w:fldChar w:fldCharType="end"/>
      </w:r>
    </w:p>
    <w:p>
      <w:pPr>
        <w:pStyle w:val="15"/>
        <w:tabs>
          <w:tab w:val="right" w:leader="dot" w:pos="8306"/>
        </w:tabs>
      </w:pPr>
      <w:r>
        <w:fldChar w:fldCharType="begin"/>
      </w:r>
      <w:r>
        <w:instrText xml:space="preserve"> HYPERLINK \l "_Toc19300" </w:instrText>
      </w:r>
      <w:r>
        <w:fldChar w:fldCharType="separate"/>
      </w:r>
      <w:r>
        <w:rPr>
          <w:rFonts w:hint="eastAsia" w:ascii="Times New Roman" w:hAnsi="Times New Roman" w:eastAsia="楷体" w:cs="宋体"/>
          <w:bCs/>
          <w:kern w:val="0"/>
          <w:szCs w:val="32"/>
        </w:rPr>
        <w:t>（二）成立标准起草工作组</w:t>
      </w:r>
      <w:r>
        <w:tab/>
      </w:r>
      <w:r>
        <w:fldChar w:fldCharType="begin"/>
      </w:r>
      <w:r>
        <w:instrText xml:space="preserve"> PAGEREF _Toc19300 \h </w:instrText>
      </w:r>
      <w:r>
        <w:fldChar w:fldCharType="separate"/>
      </w:r>
      <w:r>
        <w:t>4</w:t>
      </w:r>
      <w:r>
        <w:fldChar w:fldCharType="end"/>
      </w:r>
      <w:r>
        <w:fldChar w:fldCharType="end"/>
      </w:r>
    </w:p>
    <w:p>
      <w:pPr>
        <w:pStyle w:val="15"/>
        <w:tabs>
          <w:tab w:val="right" w:leader="dot" w:pos="8306"/>
        </w:tabs>
      </w:pPr>
      <w:r>
        <w:fldChar w:fldCharType="begin"/>
      </w:r>
      <w:r>
        <w:instrText xml:space="preserve"> HYPERLINK \l "_Toc16224" </w:instrText>
      </w:r>
      <w:r>
        <w:fldChar w:fldCharType="separate"/>
      </w:r>
      <w:r>
        <w:rPr>
          <w:rFonts w:hint="eastAsia" w:ascii="Times New Roman" w:hAnsi="Times New Roman" w:eastAsia="楷体" w:cs="宋体"/>
          <w:bCs/>
          <w:kern w:val="0"/>
          <w:szCs w:val="32"/>
        </w:rPr>
        <w:t>（三）标准草案编制</w:t>
      </w:r>
      <w:r>
        <w:tab/>
      </w:r>
      <w:r>
        <w:fldChar w:fldCharType="begin"/>
      </w:r>
      <w:r>
        <w:instrText xml:space="preserve"> PAGEREF _Toc16224 \h </w:instrText>
      </w:r>
      <w:r>
        <w:fldChar w:fldCharType="separate"/>
      </w:r>
      <w:r>
        <w:t>4</w:t>
      </w:r>
      <w:r>
        <w:fldChar w:fldCharType="end"/>
      </w:r>
      <w:r>
        <w:fldChar w:fldCharType="end"/>
      </w:r>
    </w:p>
    <w:p>
      <w:pPr>
        <w:pStyle w:val="15"/>
        <w:tabs>
          <w:tab w:val="right" w:leader="dot" w:pos="8306"/>
        </w:tabs>
      </w:pPr>
      <w:r>
        <w:fldChar w:fldCharType="begin"/>
      </w:r>
      <w:r>
        <w:instrText xml:space="preserve"> HYPERLINK \l "_Toc22624" </w:instrText>
      </w:r>
      <w:r>
        <w:fldChar w:fldCharType="separate"/>
      </w:r>
      <w:r>
        <w:rPr>
          <w:rFonts w:ascii="Times New Roman" w:hAnsi="Times New Roman" w:eastAsia="楷体" w:cs="宋体"/>
          <w:bCs/>
          <w:kern w:val="0"/>
          <w:szCs w:val="32"/>
        </w:rPr>
        <w:t>（</w:t>
      </w:r>
      <w:r>
        <w:rPr>
          <w:rFonts w:hint="eastAsia" w:ascii="Times New Roman" w:hAnsi="Times New Roman" w:eastAsia="楷体" w:cs="宋体"/>
          <w:bCs/>
          <w:kern w:val="0"/>
          <w:szCs w:val="32"/>
        </w:rPr>
        <w:t>四</w:t>
      </w:r>
      <w:r>
        <w:rPr>
          <w:rFonts w:ascii="Times New Roman" w:hAnsi="Times New Roman" w:eastAsia="楷体" w:cs="宋体"/>
          <w:bCs/>
          <w:kern w:val="0"/>
          <w:szCs w:val="32"/>
        </w:rPr>
        <w:t>）</w:t>
      </w:r>
      <w:r>
        <w:rPr>
          <w:rFonts w:hint="eastAsia" w:ascii="Times New Roman" w:hAnsi="Times New Roman" w:eastAsia="楷体" w:cs="宋体"/>
          <w:bCs/>
          <w:kern w:val="0"/>
          <w:szCs w:val="32"/>
        </w:rPr>
        <w:t>标准研讨修改</w:t>
      </w:r>
      <w:r>
        <w:tab/>
      </w:r>
      <w:r>
        <w:fldChar w:fldCharType="begin"/>
      </w:r>
      <w:r>
        <w:instrText xml:space="preserve"> PAGEREF _Toc22624 \h </w:instrText>
      </w:r>
      <w:r>
        <w:fldChar w:fldCharType="separate"/>
      </w:r>
      <w:r>
        <w:t>4</w:t>
      </w:r>
      <w:r>
        <w:fldChar w:fldCharType="end"/>
      </w:r>
      <w:r>
        <w:fldChar w:fldCharType="end"/>
      </w:r>
    </w:p>
    <w:p>
      <w:pPr>
        <w:pStyle w:val="15"/>
        <w:tabs>
          <w:tab w:val="right" w:leader="dot" w:pos="8306"/>
        </w:tabs>
      </w:pPr>
      <w:r>
        <w:fldChar w:fldCharType="begin"/>
      </w:r>
      <w:r>
        <w:instrText xml:space="preserve"> HYPERLINK \l "_Toc10295" </w:instrText>
      </w:r>
      <w:r>
        <w:fldChar w:fldCharType="separate"/>
      </w:r>
      <w:r>
        <w:rPr>
          <w:rFonts w:ascii="Times New Roman" w:hAnsi="Times New Roman" w:eastAsia="楷体" w:cs="宋体"/>
          <w:bCs/>
          <w:kern w:val="0"/>
          <w:szCs w:val="32"/>
        </w:rPr>
        <w:t>（</w:t>
      </w:r>
      <w:r>
        <w:rPr>
          <w:rFonts w:hint="eastAsia" w:ascii="Times New Roman" w:hAnsi="Times New Roman" w:eastAsia="楷体" w:cs="宋体"/>
          <w:bCs/>
          <w:kern w:val="0"/>
          <w:szCs w:val="32"/>
        </w:rPr>
        <w:t>五</w:t>
      </w:r>
      <w:r>
        <w:rPr>
          <w:rFonts w:ascii="Times New Roman" w:hAnsi="Times New Roman" w:eastAsia="楷体" w:cs="宋体"/>
          <w:bCs/>
          <w:kern w:val="0"/>
          <w:szCs w:val="32"/>
        </w:rPr>
        <w:t>）</w:t>
      </w:r>
      <w:r>
        <w:rPr>
          <w:rFonts w:hint="eastAsia" w:ascii="Times New Roman" w:hAnsi="Times New Roman" w:eastAsia="楷体" w:cs="宋体"/>
          <w:bCs/>
          <w:kern w:val="0"/>
          <w:szCs w:val="32"/>
        </w:rPr>
        <w:t>标准公开征集社会意见</w:t>
      </w:r>
      <w:r>
        <w:tab/>
      </w:r>
      <w:r>
        <w:fldChar w:fldCharType="begin"/>
      </w:r>
      <w:r>
        <w:instrText xml:space="preserve"> PAGEREF _Toc10295 \h </w:instrText>
      </w:r>
      <w:r>
        <w:fldChar w:fldCharType="separate"/>
      </w:r>
      <w:r>
        <w:t>4</w:t>
      </w:r>
      <w:r>
        <w:fldChar w:fldCharType="end"/>
      </w:r>
      <w:r>
        <w:fldChar w:fldCharType="end"/>
      </w:r>
    </w:p>
    <w:p>
      <w:pPr>
        <w:pStyle w:val="15"/>
        <w:tabs>
          <w:tab w:val="right" w:leader="dot" w:pos="8306"/>
        </w:tabs>
      </w:pPr>
      <w:r>
        <w:fldChar w:fldCharType="begin"/>
      </w:r>
      <w:r>
        <w:instrText xml:space="preserve"> HYPERLINK \l "_Toc15131" </w:instrText>
      </w:r>
      <w:r>
        <w:fldChar w:fldCharType="separate"/>
      </w:r>
      <w:r>
        <w:rPr>
          <w:rFonts w:hint="eastAsia" w:ascii="Times New Roman" w:hAnsi="Times New Roman" w:eastAsia="楷体" w:cs="宋体"/>
          <w:bCs/>
          <w:kern w:val="0"/>
          <w:szCs w:val="32"/>
        </w:rPr>
        <w:t>（六）标准技术审查</w:t>
      </w:r>
      <w:r>
        <w:tab/>
      </w:r>
      <w:r>
        <w:fldChar w:fldCharType="begin"/>
      </w:r>
      <w:r>
        <w:instrText xml:space="preserve"> PAGEREF _Toc15131 \h </w:instrText>
      </w:r>
      <w:r>
        <w:fldChar w:fldCharType="separate"/>
      </w:r>
      <w:r>
        <w:t>5</w:t>
      </w:r>
      <w:r>
        <w:fldChar w:fldCharType="end"/>
      </w:r>
      <w:r>
        <w:fldChar w:fldCharType="end"/>
      </w:r>
    </w:p>
    <w:p>
      <w:pPr>
        <w:pStyle w:val="15"/>
        <w:tabs>
          <w:tab w:val="right" w:leader="dot" w:pos="8306"/>
        </w:tabs>
      </w:pPr>
      <w:r>
        <w:fldChar w:fldCharType="begin"/>
      </w:r>
      <w:r>
        <w:instrText xml:space="preserve"> HYPERLINK \l "_Toc16998" </w:instrText>
      </w:r>
      <w:r>
        <w:fldChar w:fldCharType="separate"/>
      </w:r>
      <w:r>
        <w:rPr>
          <w:rFonts w:hint="eastAsia" w:ascii="Times New Roman" w:hAnsi="Times New Roman" w:eastAsia="楷体" w:cs="宋体"/>
          <w:bCs/>
          <w:kern w:val="0"/>
          <w:szCs w:val="32"/>
        </w:rPr>
        <w:t>（七）标准报批</w:t>
      </w:r>
      <w:r>
        <w:tab/>
      </w:r>
      <w:r>
        <w:fldChar w:fldCharType="begin"/>
      </w:r>
      <w:r>
        <w:instrText xml:space="preserve"> PAGEREF _Toc16998 \h </w:instrText>
      </w:r>
      <w:r>
        <w:fldChar w:fldCharType="separate"/>
      </w:r>
      <w:r>
        <w:t>5</w:t>
      </w:r>
      <w:r>
        <w:fldChar w:fldCharType="end"/>
      </w:r>
      <w:r>
        <w:fldChar w:fldCharType="end"/>
      </w:r>
    </w:p>
    <w:p>
      <w:pPr>
        <w:pStyle w:val="14"/>
        <w:tabs>
          <w:tab w:val="right" w:leader="dot" w:pos="8306"/>
        </w:tabs>
      </w:pPr>
      <w:r>
        <w:fldChar w:fldCharType="begin"/>
      </w:r>
      <w:r>
        <w:instrText xml:space="preserve"> HYPERLINK \l "_Toc22287" </w:instrText>
      </w:r>
      <w:r>
        <w:fldChar w:fldCharType="separate"/>
      </w:r>
      <w:r>
        <w:rPr>
          <w:rFonts w:hint="eastAsia" w:ascii="Times New Roman" w:hAnsi="Times New Roman" w:eastAsia="黑体"/>
          <w:szCs w:val="32"/>
        </w:rPr>
        <w:t>六、标准构成及主要技术指标依据</w:t>
      </w:r>
      <w:r>
        <w:tab/>
      </w:r>
      <w:r>
        <w:fldChar w:fldCharType="begin"/>
      </w:r>
      <w:r>
        <w:instrText xml:space="preserve"> PAGEREF _Toc22287 \h </w:instrText>
      </w:r>
      <w:r>
        <w:fldChar w:fldCharType="separate"/>
      </w:r>
      <w:r>
        <w:t>5</w:t>
      </w:r>
      <w:r>
        <w:fldChar w:fldCharType="end"/>
      </w:r>
      <w:r>
        <w:fldChar w:fldCharType="end"/>
      </w:r>
    </w:p>
    <w:p>
      <w:pPr>
        <w:pStyle w:val="15"/>
        <w:tabs>
          <w:tab w:val="right" w:leader="dot" w:pos="8306"/>
        </w:tabs>
      </w:pPr>
      <w:r>
        <w:fldChar w:fldCharType="begin"/>
      </w:r>
      <w:r>
        <w:instrText xml:space="preserve"> HYPERLINK \l "_Toc6697" </w:instrText>
      </w:r>
      <w:r>
        <w:fldChar w:fldCharType="separate"/>
      </w:r>
      <w:r>
        <w:rPr>
          <w:rFonts w:hint="eastAsia" w:ascii="Times New Roman" w:hAnsi="Times New Roman" w:eastAsia="楷体" w:cs="宋体"/>
          <w:bCs/>
          <w:kern w:val="0"/>
          <w:szCs w:val="32"/>
        </w:rPr>
        <w:t>（一）第一章：范围</w:t>
      </w:r>
      <w:r>
        <w:tab/>
      </w:r>
      <w:r>
        <w:fldChar w:fldCharType="begin"/>
      </w:r>
      <w:r>
        <w:instrText xml:space="preserve"> PAGEREF _Toc6697 \h </w:instrText>
      </w:r>
      <w:r>
        <w:fldChar w:fldCharType="separate"/>
      </w:r>
      <w:r>
        <w:t>5</w:t>
      </w:r>
      <w:r>
        <w:fldChar w:fldCharType="end"/>
      </w:r>
      <w:r>
        <w:fldChar w:fldCharType="end"/>
      </w:r>
    </w:p>
    <w:p>
      <w:pPr>
        <w:pStyle w:val="15"/>
        <w:tabs>
          <w:tab w:val="right" w:leader="dot" w:pos="8306"/>
        </w:tabs>
      </w:pPr>
      <w:r>
        <w:fldChar w:fldCharType="begin"/>
      </w:r>
      <w:r>
        <w:instrText xml:space="preserve"> HYPERLINK \l "_Toc2950" </w:instrText>
      </w:r>
      <w:r>
        <w:fldChar w:fldCharType="separate"/>
      </w:r>
      <w:r>
        <w:rPr>
          <w:rFonts w:hint="eastAsia" w:ascii="Times New Roman" w:hAnsi="Times New Roman" w:eastAsia="楷体" w:cs="宋体"/>
          <w:bCs/>
          <w:kern w:val="0"/>
          <w:szCs w:val="32"/>
        </w:rPr>
        <w:t>（二）第二章：规范性引用文件</w:t>
      </w:r>
      <w:r>
        <w:tab/>
      </w:r>
      <w:r>
        <w:fldChar w:fldCharType="begin"/>
      </w:r>
      <w:r>
        <w:instrText xml:space="preserve"> PAGEREF _Toc2950 \h </w:instrText>
      </w:r>
      <w:r>
        <w:fldChar w:fldCharType="separate"/>
      </w:r>
      <w:r>
        <w:t>6</w:t>
      </w:r>
      <w:r>
        <w:fldChar w:fldCharType="end"/>
      </w:r>
      <w:r>
        <w:fldChar w:fldCharType="end"/>
      </w:r>
    </w:p>
    <w:p>
      <w:pPr>
        <w:pStyle w:val="15"/>
        <w:tabs>
          <w:tab w:val="right" w:leader="dot" w:pos="8306"/>
        </w:tabs>
      </w:pPr>
      <w:r>
        <w:fldChar w:fldCharType="begin"/>
      </w:r>
      <w:r>
        <w:instrText xml:space="preserve"> HYPERLINK \l "_Toc3484" </w:instrText>
      </w:r>
      <w:r>
        <w:fldChar w:fldCharType="separate"/>
      </w:r>
      <w:r>
        <w:rPr>
          <w:rFonts w:hint="eastAsia" w:ascii="Times New Roman" w:hAnsi="Times New Roman" w:eastAsia="楷体" w:cs="宋体"/>
          <w:bCs/>
          <w:kern w:val="0"/>
          <w:szCs w:val="32"/>
        </w:rPr>
        <w:t>（三）第三章：术语和定义</w:t>
      </w:r>
      <w:r>
        <w:tab/>
      </w:r>
      <w:r>
        <w:fldChar w:fldCharType="begin"/>
      </w:r>
      <w:r>
        <w:instrText xml:space="preserve"> PAGEREF _Toc3484 \h </w:instrText>
      </w:r>
      <w:r>
        <w:fldChar w:fldCharType="separate"/>
      </w:r>
      <w:r>
        <w:t>6</w:t>
      </w:r>
      <w:r>
        <w:fldChar w:fldCharType="end"/>
      </w:r>
      <w:r>
        <w:fldChar w:fldCharType="end"/>
      </w:r>
    </w:p>
    <w:p>
      <w:pPr>
        <w:pStyle w:val="15"/>
        <w:tabs>
          <w:tab w:val="right" w:leader="dot" w:pos="8306"/>
        </w:tabs>
      </w:pPr>
      <w:r>
        <w:fldChar w:fldCharType="begin"/>
      </w:r>
      <w:r>
        <w:instrText xml:space="preserve"> HYPERLINK \l "_Toc12870" </w:instrText>
      </w:r>
      <w:r>
        <w:fldChar w:fldCharType="separate"/>
      </w:r>
      <w:r>
        <w:rPr>
          <w:rFonts w:hint="eastAsia" w:ascii="Times New Roman" w:hAnsi="Times New Roman" w:eastAsia="楷体" w:cs="宋体"/>
          <w:bCs/>
          <w:kern w:val="0"/>
          <w:szCs w:val="32"/>
        </w:rPr>
        <w:t>（四）第四章：高标准农田标准体系</w:t>
      </w:r>
      <w:r>
        <w:tab/>
      </w:r>
      <w:r>
        <w:fldChar w:fldCharType="begin"/>
      </w:r>
      <w:r>
        <w:instrText xml:space="preserve"> PAGEREF _Toc12870 \h </w:instrText>
      </w:r>
      <w:r>
        <w:fldChar w:fldCharType="separate"/>
      </w:r>
      <w:r>
        <w:t>6</w:t>
      </w:r>
      <w:r>
        <w:fldChar w:fldCharType="end"/>
      </w:r>
      <w:r>
        <w:fldChar w:fldCharType="end"/>
      </w:r>
    </w:p>
    <w:p>
      <w:pPr>
        <w:pStyle w:val="15"/>
        <w:tabs>
          <w:tab w:val="right" w:leader="dot" w:pos="8306"/>
        </w:tabs>
      </w:pPr>
      <w:r>
        <w:fldChar w:fldCharType="begin"/>
      </w:r>
      <w:r>
        <w:instrText xml:space="preserve"> HYPERLINK \l "_Toc31546" </w:instrText>
      </w:r>
      <w:r>
        <w:fldChar w:fldCharType="separate"/>
      </w:r>
      <w:r>
        <w:rPr>
          <w:rFonts w:hint="eastAsia" w:ascii="Times New Roman" w:hAnsi="Times New Roman" w:eastAsia="楷体" w:cs="宋体"/>
          <w:bCs/>
          <w:kern w:val="0"/>
          <w:szCs w:val="32"/>
        </w:rPr>
        <w:t>（五）第五章：高标准农田标准体系分体系</w:t>
      </w:r>
      <w:r>
        <w:tab/>
      </w:r>
      <w:r>
        <w:fldChar w:fldCharType="begin"/>
      </w:r>
      <w:r>
        <w:instrText xml:space="preserve"> PAGEREF _Toc31546 \h </w:instrText>
      </w:r>
      <w:r>
        <w:fldChar w:fldCharType="separate"/>
      </w:r>
      <w:r>
        <w:t>6</w:t>
      </w:r>
      <w:r>
        <w:fldChar w:fldCharType="end"/>
      </w:r>
      <w:r>
        <w:fldChar w:fldCharType="end"/>
      </w:r>
    </w:p>
    <w:p>
      <w:pPr>
        <w:pStyle w:val="14"/>
        <w:tabs>
          <w:tab w:val="right" w:leader="dot" w:pos="8306"/>
        </w:tabs>
      </w:pPr>
      <w:r>
        <w:fldChar w:fldCharType="begin"/>
      </w:r>
      <w:r>
        <w:instrText xml:space="preserve"> HYPERLINK \l "_Toc5240" </w:instrText>
      </w:r>
      <w:r>
        <w:fldChar w:fldCharType="separate"/>
      </w:r>
      <w:r>
        <w:rPr>
          <w:rFonts w:hint="eastAsia" w:ascii="Times New Roman" w:hAnsi="Times New Roman" w:eastAsia="黑体"/>
          <w:szCs w:val="32"/>
        </w:rPr>
        <w:t>七、主要分歧条款处理情况</w:t>
      </w:r>
      <w:r>
        <w:tab/>
      </w:r>
      <w:r>
        <w:fldChar w:fldCharType="begin"/>
      </w:r>
      <w:r>
        <w:instrText xml:space="preserve"> PAGEREF _Toc5240 \h </w:instrText>
      </w:r>
      <w:r>
        <w:fldChar w:fldCharType="separate"/>
      </w:r>
      <w:r>
        <w:t>6</w:t>
      </w:r>
      <w:r>
        <w:fldChar w:fldCharType="end"/>
      </w:r>
      <w:r>
        <w:fldChar w:fldCharType="end"/>
      </w:r>
    </w:p>
    <w:p>
      <w:pPr>
        <w:jc w:val="center"/>
        <w:rPr>
          <w:rFonts w:ascii="Times New Roman" w:hAnsi="Times New Roman" w:eastAsia="仿宋_GB2312" w:cs="宋体"/>
          <w:color w:val="000000"/>
          <w:kern w:val="0"/>
          <w:sz w:val="32"/>
          <w:szCs w:val="32"/>
        </w:rPr>
        <w:sectPr>
          <w:footerReference r:id="rId3" w:type="default"/>
          <w:pgSz w:w="11906" w:h="16838"/>
          <w:pgMar w:top="1440" w:right="1800" w:bottom="1440" w:left="1800" w:header="851" w:footer="992" w:gutter="0"/>
          <w:pgNumType w:fmt="upperRoman" w:start="1"/>
          <w:cols w:space="720" w:num="1"/>
          <w:docGrid w:type="lines" w:linePitch="312" w:charSpace="0"/>
        </w:sectPr>
      </w:pPr>
      <w:r>
        <w:rPr>
          <w:rFonts w:hint="eastAsia" w:ascii="Times New Roman" w:hAnsi="Times New Roman" w:eastAsia="仿宋_GB2312" w:cs="宋体"/>
          <w:color w:val="000000"/>
          <w:kern w:val="0"/>
          <w:szCs w:val="32"/>
        </w:rPr>
        <w:fldChar w:fldCharType="end"/>
      </w:r>
    </w:p>
    <w:p>
      <w:pPr>
        <w:pStyle w:val="31"/>
        <w:numPr>
          <w:ilvl w:val="0"/>
          <w:numId w:val="1"/>
        </w:numPr>
        <w:ind w:firstLineChars="0"/>
        <w:jc w:val="left"/>
        <w:outlineLvl w:val="0"/>
        <w:rPr>
          <w:rFonts w:ascii="Times New Roman" w:hAnsi="Times New Roman" w:eastAsia="黑体"/>
          <w:b/>
          <w:sz w:val="32"/>
          <w:szCs w:val="32"/>
        </w:rPr>
      </w:pPr>
      <w:bookmarkStart w:id="0" w:name="_Toc12788"/>
      <w:r>
        <w:rPr>
          <w:rFonts w:hint="eastAsia" w:ascii="Times New Roman" w:hAnsi="Times New Roman" w:eastAsia="黑体"/>
          <w:b/>
          <w:sz w:val="32"/>
          <w:szCs w:val="32"/>
        </w:rPr>
        <w:t>任务来源</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000000"/>
          <w:kern w:val="0"/>
          <w:sz w:val="32"/>
          <w:szCs w:val="32"/>
        </w:rPr>
      </w:pPr>
      <w:r>
        <w:rPr>
          <w:rFonts w:hint="default" w:ascii="Times New Roman" w:hAnsi="Times New Roman" w:eastAsia="仿宋" w:cs="Times New Roman"/>
          <w:b w:val="0"/>
          <w:bCs w:val="0"/>
          <w:color w:val="000000"/>
          <w:sz w:val="32"/>
          <w:szCs w:val="32"/>
          <w:lang w:val="en-US" w:eastAsia="zh-CN"/>
        </w:rPr>
        <w:t>2022年5月11日，深圳市市场监督管理局通过购买服务的方式启动基本农田标准化管理及维护巡视服务项目工作，开展基本农田建设与管理的顶层设计研究，搭建深圳市高标准农田标准体系，制定高标准农田相关系列标准。</w:t>
      </w:r>
    </w:p>
    <w:p>
      <w:pPr>
        <w:pStyle w:val="31"/>
        <w:numPr>
          <w:ilvl w:val="0"/>
          <w:numId w:val="1"/>
        </w:numPr>
        <w:ind w:firstLineChars="0"/>
        <w:jc w:val="left"/>
        <w:outlineLvl w:val="0"/>
        <w:rPr>
          <w:rFonts w:ascii="Times New Roman" w:hAnsi="Times New Roman" w:eastAsia="黑体"/>
          <w:b/>
          <w:sz w:val="32"/>
          <w:szCs w:val="32"/>
        </w:rPr>
      </w:pPr>
      <w:bookmarkStart w:id="1" w:name="_Toc22082"/>
      <w:r>
        <w:rPr>
          <w:rFonts w:hint="eastAsia" w:ascii="Times New Roman" w:hAnsi="Times New Roman" w:eastAsia="黑体"/>
          <w:b/>
          <w:sz w:val="32"/>
          <w:szCs w:val="32"/>
        </w:rPr>
        <w:t>立项的背景和意义</w:t>
      </w:r>
      <w:bookmarkEnd w:id="1"/>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2011年至2017年，全国已建设高标准农田约5.6亿亩，耕地质量大约提升一到两个等级，粮食产能大约提高10%至20%，为保障我国粮食安全做出了重要贡献。为深入推进高标准农田建设，提高粮食生产能力和效率、实施藏粮于地战略，确保“中国饭碗”装“中国粮食”。近年来，党中央、国务院对高标准农田建设作出了一系列新部署新要求。习近平总书记对高标准农田建设多次作出重要指示，反复强调要坚定不移抓好高标准农田建设。2022年中央一号文件明确强调，2022年要建设1亿亩旱涝保收、高产稳产高标准农田，《国务院办公厅关于切实加强高标准农田建设提升国家粮食安全保障能力的意见》（国办发〔2019〕50号）等文件也对做好高标准农田建设提出了明确要求。</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强化制度供给已经成为规范开展农田建设管理的重要基础。《国务院办公厅关于切实加强高标准农田建设提升国家粮食安全保障能力的意见》《农田建设项目管理办法》《农田建设补助资金管理办法》《高标准农田建设质量管理办法（试行）》等规章制度，为高标准农田建设搭建起“四梁八柱”的基础制度体系。结合高标准农田建设实际情况，广东省构建出了“1＋1＋1＋N”模式，即“1个地方政府规章广东省耕地质量管理规定＋1个省政府办公厅关于进一步加强高标准农田建设的通知＋1个农田建设项目管理实施办法＋N个配套制度办法的制度体系”，基本构建起广东省农田建设管理制度体系。同时，一系列国家、行业标准的出台，如《高标准农田建设评价规范》（GB/T 33130）、《高标准农田建设 通则》（GB/T 30600）、《高标准农田建设标准》（NY/T 2148）、《高标准农田建设技术规范》（NY/T 2949）为高标准农田建设提供了指引。</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作为高度城市化的深圳，拥有全市三万亩基本农田，提升建设高标准农田已成为一项持续推进的重要工作。为推动农田建设高质量发展，构建数量质量并重的高标准农田建设新格局，在确保完成既定数量目标任务的基础上，实现高质量建设、高效率管理、高水平利用，亟需在落实落细耕地保护、农田建设职责的同时，围绕高标准农田建设需要，对高标准农田实行精细化、科学化、现代化的管理。依据国家标准和行业标准，立足深圳实际，拟制定一系列的高标准农田相关标准，从高标准农田建设支撑、农田管护与利用、农业生产、农田信息等方面统一管理，确定关键环节质量管理措施和要求，指导和规范高标准农田管理工作，使高标准农田管理有章可循，确保高标准农田建设的有效管理、持续运营、长久发展，以标准化助力深圳市高标准农田建设全面提升。</w:t>
      </w:r>
    </w:p>
    <w:p>
      <w:pPr>
        <w:pStyle w:val="31"/>
        <w:numPr>
          <w:ilvl w:val="0"/>
          <w:numId w:val="1"/>
        </w:numPr>
        <w:ind w:firstLineChars="0"/>
        <w:jc w:val="left"/>
        <w:outlineLvl w:val="0"/>
        <w:rPr>
          <w:rFonts w:ascii="Times New Roman" w:hAnsi="Times New Roman" w:eastAsia="黑体"/>
          <w:b/>
          <w:sz w:val="32"/>
          <w:szCs w:val="32"/>
        </w:rPr>
      </w:pPr>
      <w:bookmarkStart w:id="2" w:name="_Toc21016"/>
      <w:r>
        <w:rPr>
          <w:rFonts w:hint="eastAsia" w:ascii="Times New Roman" w:hAnsi="Times New Roman" w:eastAsia="黑体"/>
          <w:b/>
          <w:sz w:val="32"/>
          <w:szCs w:val="32"/>
        </w:rPr>
        <w:t>制定原则</w:t>
      </w:r>
      <w:bookmarkEnd w:id="2"/>
    </w:p>
    <w:p>
      <w:pPr>
        <w:jc w:val="left"/>
        <w:outlineLvl w:val="1"/>
        <w:rPr>
          <w:rFonts w:ascii="Times New Roman" w:hAnsi="Times New Roman" w:eastAsia="楷体"/>
          <w:b/>
          <w:sz w:val="32"/>
          <w:szCs w:val="32"/>
        </w:rPr>
      </w:pPr>
      <w:bookmarkStart w:id="3" w:name="_Toc26050"/>
      <w:bookmarkStart w:id="4" w:name="_Toc425"/>
      <w:r>
        <w:rPr>
          <w:rFonts w:hint="eastAsia" w:ascii="Times New Roman" w:hAnsi="Times New Roman" w:eastAsia="楷体"/>
          <w:b/>
          <w:sz w:val="32"/>
          <w:szCs w:val="32"/>
        </w:rPr>
        <w:t>（一）科学性原则</w:t>
      </w:r>
      <w:bookmarkEnd w:id="3"/>
      <w:bookmarkEnd w:id="4"/>
      <w:r>
        <w:rPr>
          <w:rFonts w:hint="eastAsia" w:ascii="Times New Roman" w:hAnsi="Times New Roman" w:eastAsia="楷体"/>
          <w:b/>
          <w:sz w:val="32"/>
          <w:szCs w:val="32"/>
        </w:rPr>
        <w:t xml:space="preserve"> </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标准的编制应以标准化理论为指导，编制组通过深入研究国家和地方相关法律法规，以及深圳市多年高标准农田建设和管理的经验和相关文件，注重科学性，并以此作为标准编制的基础和依据，运用科学的方法建立标准。同时标准应符合国家有关法律法规、政策以及相关技术规范的要求，确保编制标准科学可行，具有一定的先进性和前瞻性，同时还需要保证标准适用于高标准农田规划、建设、验收、管理、评价与分级及安全生产工作的实际情况，简明易懂，有利于实施。</w:t>
      </w:r>
    </w:p>
    <w:p>
      <w:pPr>
        <w:jc w:val="left"/>
        <w:outlineLvl w:val="1"/>
        <w:rPr>
          <w:rFonts w:ascii="Times New Roman" w:hAnsi="Times New Roman" w:eastAsia="楷体"/>
          <w:b/>
          <w:sz w:val="32"/>
          <w:szCs w:val="32"/>
        </w:rPr>
      </w:pPr>
      <w:bookmarkStart w:id="5" w:name="_Toc30505"/>
      <w:bookmarkStart w:id="6" w:name="_Toc4338"/>
      <w:r>
        <w:rPr>
          <w:rFonts w:hint="eastAsia" w:ascii="Times New Roman" w:hAnsi="Times New Roman" w:eastAsia="楷体"/>
          <w:b/>
          <w:sz w:val="32"/>
          <w:szCs w:val="32"/>
        </w:rPr>
        <w:t>（二）合理性原则</w:t>
      </w:r>
      <w:bookmarkEnd w:id="5"/>
      <w:bookmarkEnd w:id="6"/>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标准的制定必须充分考虑全市高标准农田相关工作的需求及现状，所制定的标准应当满足各高标准农田的基本需求。深圳市乃至全国缺乏一个专门的针对农田或高标准农田的标准或规范，缺乏对高标准农田标准化和系统化管理。本标准参考目前深圳市高标准农田相关工作的实际情况，强调与相关国家标准协调一致的要求，在技术细节上做了诸多细化和协调统一，以保证标准的合理性。</w:t>
      </w:r>
    </w:p>
    <w:p>
      <w:pPr>
        <w:jc w:val="left"/>
        <w:outlineLvl w:val="1"/>
        <w:rPr>
          <w:rFonts w:ascii="Times New Roman" w:hAnsi="Times New Roman" w:eastAsia="楷体"/>
          <w:b/>
          <w:sz w:val="32"/>
          <w:szCs w:val="32"/>
        </w:rPr>
      </w:pPr>
      <w:bookmarkStart w:id="7" w:name="_Toc10696"/>
      <w:bookmarkStart w:id="8" w:name="_Toc29726"/>
      <w:r>
        <w:rPr>
          <w:rFonts w:hint="eastAsia" w:ascii="Times New Roman" w:hAnsi="Times New Roman" w:eastAsia="楷体"/>
          <w:b/>
          <w:sz w:val="32"/>
          <w:szCs w:val="32"/>
        </w:rPr>
        <w:t>（三）实用性原则</w:t>
      </w:r>
      <w:bookmarkEnd w:id="7"/>
      <w:bookmarkEnd w:id="8"/>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本标准结构清晰，逻辑顺畅，可操作性强。规范所涉及到的各条规定，均通过专业机构的审核和论证，描述专业清晰，参考限定数据科学合理，便于市内各高标准农田进行建设和管理操作实践。</w:t>
      </w:r>
    </w:p>
    <w:p>
      <w:pPr>
        <w:pStyle w:val="31"/>
        <w:numPr>
          <w:ilvl w:val="0"/>
          <w:numId w:val="1"/>
        </w:numPr>
        <w:ind w:firstLineChars="0"/>
        <w:jc w:val="left"/>
        <w:outlineLvl w:val="0"/>
        <w:rPr>
          <w:rFonts w:ascii="Times New Roman" w:hAnsi="Times New Roman" w:eastAsia="黑体"/>
          <w:b/>
          <w:sz w:val="32"/>
          <w:szCs w:val="32"/>
        </w:rPr>
      </w:pPr>
      <w:bookmarkStart w:id="9" w:name="_Toc26951"/>
      <w:r>
        <w:rPr>
          <w:rFonts w:hint="eastAsia" w:ascii="Times New Roman" w:hAnsi="Times New Roman" w:eastAsia="黑体"/>
          <w:b/>
          <w:sz w:val="32"/>
          <w:szCs w:val="32"/>
        </w:rPr>
        <w:t>制定依据</w:t>
      </w:r>
      <w:bookmarkEnd w:id="9"/>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本标准依据GB/T 1.1—2020《标准化工作导则 第1部分：标准化文件的结构和起草规则》和GB/T 13016-2018《标准体系构建原则和要求》的要求进行编写。</w:t>
      </w:r>
    </w:p>
    <w:p>
      <w:pPr>
        <w:pStyle w:val="31"/>
        <w:numPr>
          <w:ilvl w:val="0"/>
          <w:numId w:val="1"/>
        </w:numPr>
        <w:ind w:firstLineChars="0"/>
        <w:jc w:val="left"/>
        <w:outlineLvl w:val="0"/>
        <w:rPr>
          <w:rFonts w:ascii="Times New Roman" w:hAnsi="Times New Roman" w:eastAsia="黑体"/>
          <w:b/>
          <w:sz w:val="32"/>
          <w:szCs w:val="32"/>
        </w:rPr>
      </w:pPr>
      <w:bookmarkStart w:id="10" w:name="_Toc16692"/>
      <w:r>
        <w:rPr>
          <w:rFonts w:hint="eastAsia" w:ascii="Times New Roman" w:hAnsi="Times New Roman" w:eastAsia="黑体"/>
          <w:b/>
          <w:sz w:val="32"/>
          <w:szCs w:val="32"/>
        </w:rPr>
        <w:t>主要编制过程</w:t>
      </w:r>
      <w:bookmarkEnd w:id="10"/>
    </w:p>
    <w:p>
      <w:pPr>
        <w:jc w:val="left"/>
        <w:outlineLvl w:val="1"/>
        <w:rPr>
          <w:rFonts w:ascii="Times New Roman" w:hAnsi="Times New Roman" w:eastAsia="楷体"/>
          <w:b/>
          <w:sz w:val="32"/>
          <w:szCs w:val="32"/>
        </w:rPr>
      </w:pPr>
      <w:bookmarkStart w:id="11" w:name="_Toc10320"/>
      <w:bookmarkStart w:id="12" w:name="_Toc6371"/>
      <w:r>
        <w:rPr>
          <w:rFonts w:hint="eastAsia" w:ascii="Times New Roman" w:hAnsi="Times New Roman" w:eastAsia="楷体"/>
          <w:b/>
          <w:sz w:val="32"/>
          <w:szCs w:val="32"/>
        </w:rPr>
        <w:t>（一）立项依据</w:t>
      </w:r>
      <w:bookmarkEnd w:id="11"/>
      <w:bookmarkEnd w:id="12"/>
      <w:r>
        <w:rPr>
          <w:rFonts w:hint="eastAsia" w:ascii="Times New Roman" w:hAnsi="Times New Roman" w:eastAsia="楷体"/>
          <w:b/>
          <w:sz w:val="32"/>
          <w:szCs w:val="32"/>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pPr>
      <w:r>
        <w:rPr>
          <w:rFonts w:hint="default" w:ascii="Times New Roman" w:hAnsi="Times New Roman" w:eastAsia="仿宋" w:cs="Times New Roman"/>
          <w:b w:val="0"/>
          <w:bCs w:val="0"/>
          <w:color w:val="000000"/>
          <w:sz w:val="32"/>
          <w:szCs w:val="32"/>
          <w:lang w:val="en-US" w:eastAsia="zh-CN"/>
        </w:rPr>
        <w:t>2022年9月，团体标准《高标准农田</w:t>
      </w:r>
      <w:r>
        <w:rPr>
          <w:rFonts w:hint="eastAsia" w:ascii="Times New Roman" w:hAnsi="Times New Roman" w:eastAsia="仿宋" w:cs="Times New Roman"/>
          <w:b w:val="0"/>
          <w:bCs w:val="0"/>
          <w:color w:val="000000"/>
          <w:sz w:val="32"/>
          <w:szCs w:val="32"/>
          <w:lang w:val="en-US" w:eastAsia="zh-CN"/>
        </w:rPr>
        <w:t xml:space="preserve"> 标准体系</w:t>
      </w:r>
      <w:r>
        <w:rPr>
          <w:rFonts w:hint="default" w:ascii="Times New Roman" w:hAnsi="Times New Roman" w:eastAsia="仿宋" w:cs="Times New Roman"/>
          <w:b w:val="0"/>
          <w:bCs w:val="0"/>
          <w:color w:val="000000"/>
          <w:sz w:val="32"/>
          <w:szCs w:val="32"/>
          <w:lang w:val="en-US" w:eastAsia="zh-CN"/>
        </w:rPr>
        <w:t>》完成立项工作。</w:t>
      </w:r>
    </w:p>
    <w:p>
      <w:pPr>
        <w:outlineLvl w:val="1"/>
        <w:rPr>
          <w:rFonts w:ascii="Times New Roman" w:hAnsi="Times New Roman" w:eastAsia="楷体" w:cs="宋体"/>
          <w:b/>
          <w:bCs/>
          <w:color w:val="000000"/>
          <w:kern w:val="0"/>
          <w:sz w:val="32"/>
          <w:szCs w:val="32"/>
        </w:rPr>
      </w:pPr>
      <w:bookmarkStart w:id="13" w:name="_Toc17446"/>
      <w:bookmarkStart w:id="14" w:name="_Toc19300"/>
      <w:r>
        <w:rPr>
          <w:rFonts w:hint="eastAsia" w:ascii="Times New Roman" w:hAnsi="Times New Roman" w:eastAsia="楷体" w:cs="宋体"/>
          <w:b/>
          <w:bCs/>
          <w:color w:val="000000"/>
          <w:kern w:val="0"/>
          <w:sz w:val="32"/>
          <w:szCs w:val="32"/>
        </w:rPr>
        <w:t>（二）成立标准起草工作组</w:t>
      </w:r>
      <w:bookmarkEnd w:id="13"/>
      <w:bookmarkEnd w:id="14"/>
      <w:r>
        <w:rPr>
          <w:rFonts w:hint="eastAsia" w:ascii="Times New Roman" w:hAnsi="Times New Roman" w:eastAsia="楷体" w:cs="宋体"/>
          <w:b/>
          <w:bCs/>
          <w:color w:val="000000"/>
          <w:kern w:val="0"/>
          <w:sz w:val="32"/>
          <w:szCs w:val="32"/>
        </w:rPr>
        <w:t xml:space="preserve"> </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本文件是由深圳市深圳标准促进会提出并归口。深圳市标准技术研究院为标准研制牵头单位</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联合成立标准起草组，并召开标准讨论会，开始标准的正式研制工作。</w:t>
      </w:r>
    </w:p>
    <w:p>
      <w:pPr>
        <w:outlineLvl w:val="1"/>
        <w:rPr>
          <w:rFonts w:ascii="Times New Roman" w:hAnsi="Times New Roman" w:cs="宋体"/>
          <w:kern w:val="0"/>
          <w:sz w:val="24"/>
          <w:szCs w:val="24"/>
        </w:rPr>
      </w:pPr>
      <w:bookmarkStart w:id="15" w:name="_Toc19395"/>
      <w:bookmarkStart w:id="16" w:name="_Toc16224"/>
      <w:r>
        <w:rPr>
          <w:rFonts w:hint="eastAsia" w:ascii="Times New Roman" w:hAnsi="Times New Roman" w:eastAsia="楷体" w:cs="宋体"/>
          <w:b/>
          <w:bCs/>
          <w:color w:val="000000"/>
          <w:kern w:val="0"/>
          <w:sz w:val="32"/>
          <w:szCs w:val="32"/>
        </w:rPr>
        <w:t>（三）标准草案编制</w:t>
      </w:r>
      <w:bookmarkEnd w:id="15"/>
      <w:bookmarkEnd w:id="16"/>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2022</w:t>
      </w:r>
      <w:r>
        <w:rPr>
          <w:rFonts w:hint="eastAsia" w:ascii="仿宋" w:hAnsi="仿宋" w:eastAsia="仿宋" w:cs="仿宋"/>
          <w:color w:val="000000"/>
          <w:kern w:val="0"/>
          <w:sz w:val="32"/>
          <w:szCs w:val="32"/>
        </w:rPr>
        <w:t>年</w:t>
      </w:r>
      <w:r>
        <w:rPr>
          <w:rFonts w:hint="eastAsia" w:ascii="仿宋" w:hAnsi="仿宋" w:eastAsia="仿宋" w:cs="仿宋"/>
          <w:color w:val="000000"/>
          <w:kern w:val="0"/>
          <w:sz w:val="32"/>
          <w:szCs w:val="32"/>
          <w:lang w:val="en-US" w:eastAsia="zh-CN"/>
        </w:rPr>
        <w:t>7</w:t>
      </w:r>
      <w:r>
        <w:rPr>
          <w:rFonts w:hint="eastAsia" w:ascii="仿宋" w:hAnsi="仿宋" w:eastAsia="仿宋" w:cs="仿宋"/>
          <w:color w:val="000000"/>
          <w:kern w:val="0"/>
          <w:sz w:val="32"/>
          <w:szCs w:val="32"/>
        </w:rPr>
        <w:t>月，工作组确定了《高标准农田建设 标准体系》基本框架，并编制形成了标准的草案稿。</w:t>
      </w:r>
    </w:p>
    <w:p>
      <w:pPr>
        <w:outlineLvl w:val="1"/>
        <w:rPr>
          <w:rFonts w:ascii="Times New Roman" w:hAnsi="Times New Roman" w:eastAsia="楷体" w:cs="宋体"/>
          <w:b/>
          <w:bCs/>
          <w:color w:val="000000"/>
          <w:kern w:val="0"/>
          <w:sz w:val="32"/>
          <w:szCs w:val="32"/>
        </w:rPr>
      </w:pPr>
      <w:bookmarkStart w:id="17" w:name="_Toc22624"/>
      <w:r>
        <w:rPr>
          <w:rFonts w:ascii="Times New Roman" w:hAnsi="Times New Roman" w:eastAsia="楷体" w:cs="宋体"/>
          <w:b/>
          <w:bCs/>
          <w:color w:val="000000"/>
          <w:kern w:val="0"/>
          <w:sz w:val="32"/>
          <w:szCs w:val="32"/>
        </w:rPr>
        <w:t>（</w:t>
      </w:r>
      <w:r>
        <w:rPr>
          <w:rFonts w:hint="eastAsia" w:ascii="Times New Roman" w:hAnsi="Times New Roman" w:eastAsia="楷体" w:cs="宋体"/>
          <w:b/>
          <w:bCs/>
          <w:color w:val="000000"/>
          <w:kern w:val="0"/>
          <w:sz w:val="32"/>
          <w:szCs w:val="32"/>
        </w:rPr>
        <w:t>四</w:t>
      </w:r>
      <w:r>
        <w:rPr>
          <w:rFonts w:ascii="Times New Roman" w:hAnsi="Times New Roman" w:eastAsia="楷体" w:cs="宋体"/>
          <w:b/>
          <w:bCs/>
          <w:color w:val="000000"/>
          <w:kern w:val="0"/>
          <w:sz w:val="32"/>
          <w:szCs w:val="32"/>
        </w:rPr>
        <w:t>）</w:t>
      </w:r>
      <w:r>
        <w:rPr>
          <w:rFonts w:hint="eastAsia" w:ascii="Times New Roman" w:hAnsi="Times New Roman" w:eastAsia="楷体" w:cs="宋体"/>
          <w:b/>
          <w:bCs/>
          <w:color w:val="000000"/>
          <w:kern w:val="0"/>
          <w:sz w:val="32"/>
          <w:szCs w:val="32"/>
        </w:rPr>
        <w:t>标准研讨修改</w:t>
      </w:r>
      <w:bookmarkEnd w:id="17"/>
    </w:p>
    <w:p>
      <w:pPr>
        <w:ind w:firstLine="640"/>
        <w:rPr>
          <w:rFonts w:hint="default" w:ascii="Times New Roman" w:hAnsi="Times New Roman" w:eastAsia="仿宋" w:cs="Times New Roman"/>
          <w:color w:val="000000"/>
          <w:kern w:val="0"/>
          <w:sz w:val="32"/>
          <w:szCs w:val="32"/>
        </w:rPr>
      </w:pPr>
      <w:r>
        <w:rPr>
          <w:rFonts w:hint="eastAsia" w:ascii="Times New Roman" w:hAnsi="Times New Roman" w:eastAsia="仿宋" w:cs="Times New Roman"/>
          <w:color w:val="000000"/>
          <w:kern w:val="0"/>
          <w:sz w:val="32"/>
          <w:szCs w:val="32"/>
          <w:lang w:val="en-US" w:eastAsia="zh-CN"/>
        </w:rPr>
        <w:t>2023</w:t>
      </w:r>
      <w:r>
        <w:rPr>
          <w:rFonts w:hint="default" w:ascii="Times New Roman" w:hAnsi="Times New Roman" w:eastAsia="仿宋" w:cs="Times New Roman"/>
          <w:color w:val="000000"/>
          <w:kern w:val="0"/>
          <w:sz w:val="32"/>
          <w:szCs w:val="32"/>
        </w:rPr>
        <w:t>年</w:t>
      </w:r>
      <w:r>
        <w:rPr>
          <w:rFonts w:hint="eastAsia" w:ascii="Times New Roman" w:hAnsi="Times New Roman" w:eastAsia="仿宋" w:cs="Times New Roman"/>
          <w:color w:val="000000"/>
          <w:kern w:val="0"/>
          <w:sz w:val="32"/>
          <w:szCs w:val="32"/>
          <w:lang w:val="en-US" w:eastAsia="zh-CN"/>
        </w:rPr>
        <w:t>8</w:t>
      </w:r>
      <w:r>
        <w:rPr>
          <w:rFonts w:hint="default" w:ascii="Times New Roman" w:hAnsi="Times New Roman" w:eastAsia="仿宋" w:cs="Times New Roman"/>
          <w:color w:val="000000"/>
          <w:kern w:val="0"/>
          <w:sz w:val="32"/>
          <w:szCs w:val="32"/>
        </w:rPr>
        <w:t>月</w:t>
      </w:r>
      <w:r>
        <w:rPr>
          <w:rFonts w:hint="eastAsia" w:ascii="Times New Roman" w:hAnsi="Times New Roman" w:eastAsia="仿宋" w:cs="Times New Roman"/>
          <w:color w:val="000000"/>
          <w:kern w:val="0"/>
          <w:sz w:val="32"/>
          <w:szCs w:val="32"/>
          <w:lang w:val="en-US" w:eastAsia="zh-CN"/>
        </w:rPr>
        <w:t>18</w:t>
      </w:r>
      <w:r>
        <w:rPr>
          <w:rFonts w:hint="default" w:ascii="Times New Roman" w:hAnsi="Times New Roman" w:eastAsia="仿宋" w:cs="Times New Roman"/>
          <w:color w:val="000000"/>
          <w:kern w:val="0"/>
          <w:sz w:val="32"/>
          <w:szCs w:val="32"/>
        </w:rPr>
        <w:t>日，工作组开展专家</w:t>
      </w:r>
      <w:r>
        <w:rPr>
          <w:rFonts w:hint="eastAsia" w:ascii="Times New Roman" w:hAnsi="Times New Roman" w:eastAsia="仿宋" w:cs="Times New Roman"/>
          <w:color w:val="000000"/>
          <w:kern w:val="0"/>
          <w:sz w:val="32"/>
          <w:szCs w:val="32"/>
          <w:lang w:val="en-US" w:eastAsia="zh-CN"/>
        </w:rPr>
        <w:t>线上函审</w:t>
      </w:r>
      <w:r>
        <w:rPr>
          <w:rFonts w:hint="default" w:ascii="Times New Roman" w:hAnsi="Times New Roman" w:eastAsia="仿宋" w:cs="Times New Roman"/>
          <w:color w:val="000000"/>
          <w:kern w:val="0"/>
          <w:sz w:val="32"/>
          <w:szCs w:val="32"/>
        </w:rPr>
        <w:t>，充分征求来自相关行业专家以及参编单位的意见，共同论证标准的科学性和适用性。</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形成的修改意见及修改情况汇总如下表1所示。</w:t>
      </w:r>
    </w:p>
    <w:p>
      <w:pPr>
        <w:jc w:val="center"/>
        <w:rPr>
          <w:rFonts w:ascii="Times New Roman" w:hAnsi="Times New Roman" w:eastAsia="仿宋_GB2312"/>
          <w:sz w:val="24"/>
          <w:szCs w:val="24"/>
        </w:rPr>
      </w:pPr>
      <w:r>
        <w:rPr>
          <w:rFonts w:hint="eastAsia" w:ascii="Times New Roman" w:hAnsi="Times New Roman" w:eastAsia="仿宋_GB2312" w:cs="宋体"/>
          <w:bCs/>
          <w:color w:val="000000"/>
          <w:kern w:val="0"/>
          <w:sz w:val="24"/>
          <w:szCs w:val="24"/>
        </w:rPr>
        <w:t>表1</w:t>
      </w:r>
      <w:r>
        <w:rPr>
          <w:rFonts w:hint="eastAsia" w:ascii="Times New Roman" w:hAnsi="Times New Roman" w:eastAsia="仿宋_GB2312"/>
          <w:sz w:val="24"/>
          <w:szCs w:val="24"/>
        </w:rPr>
        <w:t>标准研讨修改情况汇总处理表</w:t>
      </w:r>
    </w:p>
    <w:tbl>
      <w:tblPr>
        <w:tblStyle w:val="18"/>
        <w:tblW w:w="0" w:type="auto"/>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5"/>
        <w:gridCol w:w="1304"/>
        <w:gridCol w:w="1850"/>
        <w:gridCol w:w="1502"/>
        <w:gridCol w:w="1618"/>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71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Arial"/>
                <w:sz w:val="24"/>
              </w:rPr>
            </w:pPr>
            <w:r>
              <w:rPr>
                <w:rFonts w:hint="eastAsia" w:ascii="宋体" w:hAnsi="宋体" w:cs="Arial"/>
                <w:sz w:val="24"/>
              </w:rPr>
              <w:t>序号</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Arial"/>
                <w:sz w:val="24"/>
              </w:rPr>
            </w:pPr>
            <w:r>
              <w:rPr>
                <w:rFonts w:hint="eastAsia" w:ascii="宋体" w:hAnsi="宋体" w:cs="Arial"/>
                <w:sz w:val="24"/>
              </w:rPr>
              <w:t>章条编号</w:t>
            </w:r>
          </w:p>
        </w:tc>
        <w:tc>
          <w:tcPr>
            <w:tcW w:w="185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Arial"/>
                <w:sz w:val="24"/>
              </w:rPr>
            </w:pPr>
            <w:r>
              <w:rPr>
                <w:rFonts w:hint="eastAsia" w:ascii="宋体" w:hAnsi="宋体" w:cs="Arial"/>
                <w:sz w:val="24"/>
              </w:rPr>
              <w:t>意见内容</w:t>
            </w:r>
          </w:p>
        </w:tc>
        <w:tc>
          <w:tcPr>
            <w:tcW w:w="150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Arial"/>
                <w:color w:val="FF0000"/>
                <w:sz w:val="24"/>
              </w:rPr>
            </w:pPr>
            <w:r>
              <w:rPr>
                <w:rFonts w:hint="eastAsia" w:ascii="宋体" w:hAnsi="宋体" w:cs="Arial"/>
                <w:sz w:val="24"/>
              </w:rPr>
              <w:t>提出单位</w:t>
            </w:r>
          </w:p>
        </w:tc>
        <w:tc>
          <w:tcPr>
            <w:tcW w:w="161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Arial"/>
                <w:sz w:val="24"/>
              </w:rPr>
            </w:pPr>
            <w:r>
              <w:rPr>
                <w:rFonts w:hint="eastAsia" w:ascii="宋体" w:hAnsi="宋体" w:cs="Arial"/>
                <w:sz w:val="24"/>
              </w:rPr>
              <w:t>处理意见</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Arial"/>
                <w:sz w:val="24"/>
              </w:rPr>
            </w:pPr>
            <w:r>
              <w:rPr>
                <w:rFonts w:hint="eastAsia" w:ascii="宋体" w:hAnsi="宋体" w:cs="Arial"/>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trPr>
        <w:tc>
          <w:tcPr>
            <w:tcW w:w="71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p>
        </w:tc>
        <w:tc>
          <w:tcPr>
            <w:tcW w:w="185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color w:val="auto"/>
                <w:kern w:val="0"/>
                <w:sz w:val="24"/>
                <w:szCs w:val="24"/>
                <w:u w:val="none"/>
                <w:shd w:val="clear" w:color="auto" w:fill="auto"/>
                <w:lang w:val="en-US" w:eastAsia="zh-CN" w:bidi="ar-SA"/>
              </w:rPr>
              <w:t>补充高标准农田与海绵农田和都市农田的对比分析;</w:t>
            </w:r>
          </w:p>
        </w:tc>
        <w:tc>
          <w:tcPr>
            <w:tcW w:w="150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rPr>
              <w:t>同济大学规划院大湾区事业部</w:t>
            </w:r>
            <w:r>
              <w:rPr>
                <w:rFonts w:hint="eastAsia" w:ascii="宋体" w:hAnsi="宋体" w:eastAsia="宋体" w:cs="宋体"/>
                <w:sz w:val="24"/>
                <w:szCs w:val="24"/>
                <w:lang w:val="en-US" w:eastAsia="zh-CN"/>
              </w:rPr>
              <w:t xml:space="preserve"> </w:t>
            </w:r>
          </w:p>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杨和平</w:t>
            </w:r>
          </w:p>
        </w:tc>
        <w:tc>
          <w:tcPr>
            <w:tcW w:w="161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不采纳</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高标农田标准体系的制定不涉及</w:t>
            </w:r>
            <w:r>
              <w:rPr>
                <w:rFonts w:hint="eastAsia" w:ascii="宋体" w:hAnsi="宋体" w:eastAsia="宋体" w:cs="宋体"/>
                <w:color w:val="auto"/>
                <w:kern w:val="0"/>
                <w:sz w:val="24"/>
                <w:szCs w:val="24"/>
                <w:u w:val="none"/>
                <w:shd w:val="clear" w:color="auto" w:fill="auto"/>
                <w:lang w:val="en-US" w:eastAsia="zh-CN" w:bidi="ar-SA"/>
              </w:rPr>
              <w:t>海绵农田和都市农田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1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rPr>
            </w:pPr>
          </w:p>
        </w:tc>
        <w:tc>
          <w:tcPr>
            <w:tcW w:w="1850"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sz w:val="24"/>
                <w:szCs w:val="24"/>
                <w:lang w:eastAsia="zh-CN"/>
              </w:rPr>
            </w:pPr>
            <w:r>
              <w:rPr>
                <w:rFonts w:hint="eastAsia" w:ascii="Times New Roman"/>
                <w:sz w:val="24"/>
                <w:szCs w:val="24"/>
              </w:rPr>
              <w:t>建议进一步加强与农业农村部、广东省农业农村厅等相关主管部门对接，做好国家、省厅及地方标准体系对接，提升标准的规范性、系统性和落地性。</w:t>
            </w:r>
          </w:p>
        </w:tc>
        <w:tc>
          <w:tcPr>
            <w:tcW w:w="150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生态环境部土壤与农业农村生态环境监管技术中心</w:t>
            </w:r>
          </w:p>
          <w:p>
            <w:pPr>
              <w:jc w:val="center"/>
              <w:rPr>
                <w:rFonts w:hint="eastAsia" w:ascii="宋体" w:hAnsi="宋体" w:eastAsia="宋体" w:cs="宋体"/>
                <w:sz w:val="24"/>
                <w:szCs w:val="24"/>
              </w:rPr>
            </w:pPr>
            <w:r>
              <w:rPr>
                <w:rFonts w:hint="eastAsia" w:ascii="宋体" w:hAnsi="宋体" w:cs="宋体"/>
                <w:sz w:val="24"/>
                <w:szCs w:val="24"/>
                <w:lang w:val="en-US" w:eastAsia="zh-CN"/>
              </w:rPr>
              <w:t>李松</w:t>
            </w:r>
          </w:p>
        </w:tc>
        <w:tc>
          <w:tcPr>
            <w:tcW w:w="161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采纳</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本标准体系的撰写参考了2021年农业农村部发布的《全国高标准农田建设规划</w:t>
            </w:r>
          </w:p>
          <w:p>
            <w:pPr>
              <w:jc w:val="center"/>
              <w:rPr>
                <w:rFonts w:hint="default"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(2021-2030 年)》等文件，具体见编制说明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71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color w:val="000000"/>
                <w:kern w:val="0"/>
                <w:sz w:val="24"/>
                <w:szCs w:val="24"/>
                <w:highlight w:val="none"/>
                <w:lang w:val="en-US" w:eastAsia="zh-CN" w:bidi="ar-SA"/>
              </w:rPr>
            </w:pPr>
          </w:p>
        </w:tc>
        <w:tc>
          <w:tcPr>
            <w:tcW w:w="1850" w:type="dxa"/>
            <w:tcBorders>
              <w:top w:val="single" w:color="auto" w:sz="4" w:space="0"/>
              <w:left w:val="single" w:color="auto" w:sz="4" w:space="0"/>
              <w:bottom w:val="single" w:color="auto" w:sz="4" w:space="0"/>
              <w:right w:val="single" w:color="auto" w:sz="4" w:space="0"/>
            </w:tcBorders>
            <w:noWrap w:val="0"/>
            <w:vAlign w:val="center"/>
          </w:tcPr>
          <w:p>
            <w:pPr>
              <w:pStyle w:val="8"/>
              <w:rPr>
                <w:rFonts w:hint="eastAsia" w:ascii="宋体" w:hAnsi="宋体" w:eastAsia="宋体" w:cs="宋体"/>
                <w:color w:val="auto"/>
                <w:kern w:val="0"/>
                <w:sz w:val="24"/>
                <w:szCs w:val="24"/>
                <w:u w:val="none"/>
                <w:shd w:val="clear" w:color="auto" w:fill="auto"/>
                <w:lang w:val="en-US" w:eastAsia="zh-CN" w:bidi="ar-SA"/>
              </w:rPr>
            </w:pPr>
            <w:r>
              <w:rPr>
                <w:rFonts w:hint="eastAsia" w:ascii="宋体" w:hAnsi="宋体" w:eastAsia="宋体" w:cs="宋体"/>
                <w:color w:val="auto"/>
                <w:kern w:val="0"/>
                <w:sz w:val="24"/>
                <w:szCs w:val="24"/>
                <w:u w:val="none"/>
                <w:shd w:val="clear" w:color="auto" w:fill="auto"/>
                <w:lang w:val="en-US" w:eastAsia="zh-CN" w:bidi="ar-SA"/>
              </w:rPr>
              <w:t>“目录”改为“目次”，结构图逻辑不清晰，需要重新绘制。</w:t>
            </w:r>
          </w:p>
        </w:tc>
        <w:tc>
          <w:tcPr>
            <w:tcW w:w="150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广东省科学院生态环境与土壤研究所</w:t>
            </w:r>
          </w:p>
          <w:p>
            <w:pPr>
              <w:jc w:val="center"/>
              <w:rPr>
                <w:rFonts w:hint="eastAsia" w:ascii="宋体" w:hAnsi="宋体" w:eastAsia="宋体" w:cs="宋体"/>
                <w:sz w:val="24"/>
                <w:szCs w:val="24"/>
              </w:rPr>
            </w:pPr>
            <w:r>
              <w:rPr>
                <w:rFonts w:hint="eastAsia" w:ascii="宋体" w:hAnsi="宋体" w:cs="宋体"/>
                <w:sz w:val="24"/>
                <w:szCs w:val="24"/>
                <w:lang w:val="en-US" w:eastAsia="zh-CN"/>
              </w:rPr>
              <w:t>崔江虎</w:t>
            </w:r>
          </w:p>
        </w:tc>
        <w:tc>
          <w:tcPr>
            <w:tcW w:w="1618"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采纳</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p>
        </w:tc>
      </w:tr>
    </w:tbl>
    <w:p>
      <w:pPr>
        <w:rPr>
          <w:rFonts w:hint="eastAsia" w:ascii="宋体" w:hAnsi="宋体" w:eastAsia="宋体" w:cs="宋体"/>
          <w:sz w:val="24"/>
          <w:szCs w:val="24"/>
        </w:rPr>
      </w:pPr>
      <w:bookmarkStart w:id="35" w:name="_GoBack"/>
      <w:bookmarkEnd w:id="35"/>
    </w:p>
    <w:p>
      <w:pPr>
        <w:jc w:val="center"/>
        <w:rPr>
          <w:rFonts w:ascii="Times New Roman" w:hAnsi="Times New Roman" w:eastAsia="仿宋_GB2312" w:cs="宋体"/>
          <w:bCs/>
          <w:color w:val="000000"/>
          <w:kern w:val="0"/>
          <w:sz w:val="24"/>
          <w:szCs w:val="24"/>
        </w:rPr>
      </w:pPr>
    </w:p>
    <w:p>
      <w:pPr>
        <w:outlineLvl w:val="1"/>
        <w:rPr>
          <w:rFonts w:ascii="Times New Roman" w:hAnsi="Times New Roman" w:eastAsia="楷体" w:cs="宋体"/>
          <w:b/>
          <w:bCs/>
          <w:color w:val="000000"/>
          <w:kern w:val="0"/>
          <w:sz w:val="32"/>
          <w:szCs w:val="32"/>
        </w:rPr>
      </w:pPr>
      <w:bookmarkStart w:id="18" w:name="_Toc10295"/>
      <w:r>
        <w:rPr>
          <w:rFonts w:ascii="Times New Roman" w:hAnsi="Times New Roman" w:eastAsia="楷体" w:cs="宋体"/>
          <w:b/>
          <w:bCs/>
          <w:color w:val="000000"/>
          <w:kern w:val="0"/>
          <w:sz w:val="32"/>
          <w:szCs w:val="32"/>
        </w:rPr>
        <w:t>（</w:t>
      </w:r>
      <w:r>
        <w:rPr>
          <w:rFonts w:hint="eastAsia" w:ascii="Times New Roman" w:hAnsi="Times New Roman" w:eastAsia="楷体" w:cs="宋体"/>
          <w:b/>
          <w:bCs/>
          <w:color w:val="000000"/>
          <w:kern w:val="0"/>
          <w:sz w:val="32"/>
          <w:szCs w:val="32"/>
        </w:rPr>
        <w:t>五</w:t>
      </w:r>
      <w:r>
        <w:rPr>
          <w:rFonts w:ascii="Times New Roman" w:hAnsi="Times New Roman" w:eastAsia="楷体" w:cs="宋体"/>
          <w:b/>
          <w:bCs/>
          <w:color w:val="000000"/>
          <w:kern w:val="0"/>
          <w:sz w:val="32"/>
          <w:szCs w:val="32"/>
        </w:rPr>
        <w:t>）</w:t>
      </w:r>
      <w:r>
        <w:rPr>
          <w:rFonts w:hint="eastAsia" w:ascii="Times New Roman" w:hAnsi="Times New Roman" w:eastAsia="楷体" w:cs="宋体"/>
          <w:b/>
          <w:bCs/>
          <w:color w:val="000000"/>
          <w:kern w:val="0"/>
          <w:sz w:val="32"/>
          <w:szCs w:val="32"/>
        </w:rPr>
        <w:t>标准公开征集社会意见</w:t>
      </w:r>
      <w:bookmarkEnd w:id="18"/>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    年  月  日，通过  ，广泛向社会公开征求意见，截至征集意见结束，未收到进一步修改意见。</w:t>
      </w:r>
    </w:p>
    <w:p>
      <w:pPr>
        <w:outlineLvl w:val="1"/>
        <w:rPr>
          <w:rFonts w:ascii="Times New Roman" w:hAnsi="Times New Roman" w:eastAsia="楷体" w:cs="宋体"/>
          <w:b/>
          <w:bCs/>
          <w:color w:val="000000"/>
          <w:kern w:val="0"/>
          <w:sz w:val="32"/>
          <w:szCs w:val="32"/>
        </w:rPr>
      </w:pPr>
      <w:bookmarkStart w:id="19" w:name="_Toc15131"/>
      <w:r>
        <w:rPr>
          <w:rFonts w:hint="eastAsia" w:ascii="Times New Roman" w:hAnsi="Times New Roman" w:eastAsia="楷体" w:cs="宋体"/>
          <w:b/>
          <w:bCs/>
          <w:color w:val="000000"/>
          <w:kern w:val="0"/>
          <w:sz w:val="32"/>
          <w:szCs w:val="32"/>
        </w:rPr>
        <w:t>（六）标准技术审查</w:t>
      </w:r>
      <w:bookmarkEnd w:id="19"/>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    年  月  日，   组织召开《高标准农田 标准体系》专家评审会，来自    担任标准的技术审查专家。评审会共计收到专家  条修改建议。会后，项目组根据专家意见对标准文本修改完善，其中采纳  条形成标准报批稿。高标准农田安全生产专家意见汇总表如下表2所示。</w:t>
      </w:r>
    </w:p>
    <w:p>
      <w:pPr>
        <w:ind w:firstLine="640"/>
      </w:pPr>
    </w:p>
    <w:p>
      <w:pPr>
        <w:ind w:firstLine="640"/>
        <w:jc w:val="center"/>
        <w:rPr>
          <w:rFonts w:ascii="仿宋_GB2312" w:hAnsi="仿宋_GB2312" w:eastAsia="仿宋_GB2312" w:cs="仿宋_GB2312"/>
          <w:sz w:val="32"/>
          <w:szCs w:val="32"/>
        </w:rPr>
      </w:pPr>
      <w:r>
        <w:rPr>
          <w:rFonts w:hint="eastAsia" w:ascii="Times New Roman" w:hAnsi="Times New Roman" w:eastAsia="仿宋_GB2312" w:cs="宋体"/>
          <w:bCs/>
          <w:color w:val="000000"/>
          <w:kern w:val="0"/>
          <w:sz w:val="24"/>
          <w:szCs w:val="24"/>
        </w:rPr>
        <w:t>表2高标准农田标准体系专家意见汇总表</w:t>
      </w:r>
    </w:p>
    <w:p>
      <w:pPr>
        <w:jc w:val="center"/>
        <w:rPr>
          <w:rFonts w:ascii="Times New Roman" w:hAnsi="Times New Roman" w:eastAsia="仿宋_GB2312" w:cs="宋体"/>
          <w:bCs/>
          <w:color w:val="000000"/>
          <w:kern w:val="0"/>
          <w:sz w:val="24"/>
          <w:szCs w:val="24"/>
        </w:rPr>
      </w:pPr>
    </w:p>
    <w:p>
      <w:pPr>
        <w:outlineLvl w:val="1"/>
        <w:rPr>
          <w:rFonts w:ascii="Times New Roman" w:hAnsi="Times New Roman" w:eastAsia="楷体" w:cs="宋体"/>
          <w:b/>
          <w:bCs/>
          <w:color w:val="000000"/>
          <w:kern w:val="0"/>
          <w:sz w:val="32"/>
          <w:szCs w:val="32"/>
        </w:rPr>
      </w:pPr>
      <w:bookmarkStart w:id="20" w:name="_Toc65846822"/>
      <w:bookmarkStart w:id="21" w:name="_Toc16998"/>
      <w:bookmarkStart w:id="22" w:name="_Toc66195425"/>
      <w:r>
        <w:rPr>
          <w:rFonts w:hint="eastAsia" w:ascii="Times New Roman" w:hAnsi="Times New Roman" w:eastAsia="楷体" w:cs="宋体"/>
          <w:b/>
          <w:bCs/>
          <w:color w:val="000000"/>
          <w:kern w:val="0"/>
          <w:sz w:val="32"/>
          <w:szCs w:val="32"/>
        </w:rPr>
        <w:t>（七）标准报批</w:t>
      </w:r>
      <w:bookmarkEnd w:id="20"/>
      <w:bookmarkEnd w:id="21"/>
      <w:bookmarkEnd w:id="22"/>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    年  月，工作组根据评审专家意见进一步修改完善标准，并发至  位专家再次审阅确认，最终形成标准报批稿并提交至行业主管部门，经由行业主管部门报送至市市场监督管理局批准发布。</w:t>
      </w:r>
    </w:p>
    <w:p>
      <w:pPr>
        <w:pStyle w:val="31"/>
        <w:ind w:firstLine="0" w:firstLineChars="0"/>
        <w:jc w:val="left"/>
        <w:outlineLvl w:val="0"/>
        <w:rPr>
          <w:rFonts w:ascii="Times New Roman" w:hAnsi="Times New Roman" w:eastAsia="黑体"/>
          <w:b/>
          <w:sz w:val="32"/>
          <w:szCs w:val="32"/>
        </w:rPr>
      </w:pPr>
      <w:bookmarkStart w:id="23" w:name="_Toc22287"/>
      <w:r>
        <w:rPr>
          <w:rFonts w:hint="eastAsia" w:ascii="Times New Roman" w:hAnsi="Times New Roman" w:eastAsia="黑体"/>
          <w:b/>
          <w:sz w:val="32"/>
          <w:szCs w:val="32"/>
        </w:rPr>
        <w:t>六、标准构成及主要技术指标依据</w:t>
      </w:r>
      <w:bookmarkEnd w:id="23"/>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《高标准农田 标准体系》为团体标准，标准结构包括5个章节。</w:t>
      </w:r>
    </w:p>
    <w:p>
      <w:pPr>
        <w:widowControl/>
        <w:jc w:val="left"/>
        <w:outlineLvl w:val="1"/>
        <w:rPr>
          <w:rFonts w:ascii="Times New Roman" w:hAnsi="Times New Roman" w:cs="宋体"/>
          <w:kern w:val="0"/>
          <w:sz w:val="24"/>
          <w:szCs w:val="24"/>
        </w:rPr>
      </w:pPr>
      <w:bookmarkStart w:id="24" w:name="_Toc6697"/>
      <w:bookmarkStart w:id="25" w:name="_Toc16369"/>
      <w:r>
        <w:rPr>
          <w:rFonts w:hint="eastAsia" w:ascii="Times New Roman" w:hAnsi="Times New Roman" w:eastAsia="楷体" w:cs="宋体"/>
          <w:b/>
          <w:bCs/>
          <w:color w:val="000000"/>
          <w:kern w:val="0"/>
          <w:sz w:val="32"/>
          <w:szCs w:val="32"/>
        </w:rPr>
        <w:t>（一）第一章：范围</w:t>
      </w:r>
      <w:bookmarkEnd w:id="24"/>
      <w:bookmarkEnd w:id="25"/>
    </w:p>
    <w:p>
      <w:pPr>
        <w:ind w:firstLine="640" w:firstLineChars="200"/>
        <w:rPr>
          <w:rFonts w:hint="eastAsia" w:ascii="仿宋" w:hAnsi="仿宋" w:eastAsia="仿宋" w:cs="仿宋"/>
          <w:color w:val="000000"/>
          <w:kern w:val="0"/>
          <w:sz w:val="32"/>
          <w:szCs w:val="32"/>
        </w:rPr>
      </w:pPr>
      <w:bookmarkStart w:id="26" w:name="_Toc18163"/>
      <w:r>
        <w:rPr>
          <w:rFonts w:hint="eastAsia" w:ascii="仿宋" w:hAnsi="仿宋" w:eastAsia="仿宋" w:cs="仿宋"/>
          <w:color w:val="000000"/>
          <w:kern w:val="0"/>
          <w:sz w:val="32"/>
          <w:szCs w:val="32"/>
        </w:rPr>
        <w:t>本标准规定了高标准农田标准体系建设涉及的术语和定义、高标准农田标准体系建立、高标准农田基础标准子体系、规划标准子体系、建设标准子体系、验收标准子体系、管理标准子体系、评价与分级标准子体系的标准搭建。</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本标准适用于深圳市区域内高标准农田标准体系建设工作。各主管单位、企业可根据自身的高标准农田相关具体工作需求，在实际工作中进行剪裁或增补。</w:t>
      </w:r>
    </w:p>
    <w:p>
      <w:pPr>
        <w:widowControl/>
        <w:outlineLvl w:val="1"/>
        <w:rPr>
          <w:rFonts w:ascii="Times New Roman" w:hAnsi="Times New Roman" w:cs="宋体"/>
          <w:kern w:val="0"/>
          <w:sz w:val="24"/>
          <w:szCs w:val="24"/>
        </w:rPr>
      </w:pPr>
      <w:bookmarkStart w:id="27" w:name="_Toc2950"/>
      <w:r>
        <w:rPr>
          <w:rFonts w:hint="eastAsia" w:ascii="Times New Roman" w:hAnsi="Times New Roman" w:eastAsia="楷体" w:cs="宋体"/>
          <w:b/>
          <w:bCs/>
          <w:color w:val="000000"/>
          <w:kern w:val="0"/>
          <w:sz w:val="32"/>
          <w:szCs w:val="32"/>
        </w:rPr>
        <w:t>（二）第二章：规范性引用文件</w:t>
      </w:r>
      <w:bookmarkEnd w:id="26"/>
      <w:bookmarkEnd w:id="27"/>
      <w:r>
        <w:rPr>
          <w:rFonts w:hint="eastAsia" w:ascii="Times New Roman" w:hAnsi="Times New Roman" w:eastAsia="楷体" w:cs="宋体"/>
          <w:b/>
          <w:bCs/>
          <w:color w:val="000000"/>
          <w:kern w:val="0"/>
          <w:sz w:val="32"/>
          <w:szCs w:val="32"/>
        </w:rPr>
        <w:t xml:space="preserve"> </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本章节给出了标准编制过程中引用的相关文件，包括GB/T 1.1—2020《标准化工作导则 第1部分：标准化文件的结构和起草规则》和GB/T 13016-2018《标准体系构建原则和要求》。</w:t>
      </w:r>
    </w:p>
    <w:p>
      <w:pPr>
        <w:widowControl/>
        <w:jc w:val="left"/>
        <w:outlineLvl w:val="1"/>
        <w:rPr>
          <w:rFonts w:ascii="Times New Roman" w:hAnsi="Times New Roman" w:cs="宋体"/>
          <w:kern w:val="0"/>
          <w:sz w:val="24"/>
          <w:szCs w:val="24"/>
        </w:rPr>
      </w:pPr>
      <w:bookmarkStart w:id="28" w:name="_Toc19863"/>
      <w:bookmarkStart w:id="29" w:name="_Toc3484"/>
      <w:r>
        <w:rPr>
          <w:rFonts w:hint="eastAsia" w:ascii="Times New Roman" w:hAnsi="Times New Roman" w:eastAsia="楷体" w:cs="宋体"/>
          <w:b/>
          <w:bCs/>
          <w:color w:val="000000"/>
          <w:kern w:val="0"/>
          <w:sz w:val="32"/>
          <w:szCs w:val="32"/>
        </w:rPr>
        <w:t>（三）第三章：术语和定义</w:t>
      </w:r>
      <w:bookmarkEnd w:id="28"/>
      <w:bookmarkEnd w:id="29"/>
      <w:r>
        <w:rPr>
          <w:rFonts w:hint="eastAsia" w:ascii="Times New Roman" w:hAnsi="Times New Roman" w:eastAsia="楷体" w:cs="宋体"/>
          <w:b/>
          <w:bCs/>
          <w:color w:val="000000"/>
          <w:kern w:val="0"/>
          <w:sz w:val="32"/>
          <w:szCs w:val="32"/>
        </w:rPr>
        <w:t xml:space="preserve"> </w:t>
      </w:r>
    </w:p>
    <w:p>
      <w:pPr>
        <w:ind w:firstLine="640" w:firstLineChars="200"/>
        <w:rPr>
          <w:rFonts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GB/T 1.1-2020和GB/T 13016-2018中界定的术语和定义适用于本文件</w:t>
      </w:r>
      <w:r>
        <w:rPr>
          <w:rFonts w:ascii="Times New Roman" w:hAnsi="Times New Roman" w:eastAsia="仿宋_GB2312" w:cs="宋体"/>
          <w:color w:val="000000"/>
          <w:kern w:val="0"/>
          <w:sz w:val="32"/>
          <w:szCs w:val="32"/>
        </w:rPr>
        <w:t>。</w:t>
      </w:r>
    </w:p>
    <w:p>
      <w:pPr>
        <w:outlineLvl w:val="1"/>
        <w:rPr>
          <w:rFonts w:ascii="Times New Roman" w:hAnsi="Times New Roman" w:eastAsia="楷体" w:cs="宋体"/>
          <w:kern w:val="0"/>
          <w:sz w:val="24"/>
          <w:szCs w:val="24"/>
        </w:rPr>
      </w:pPr>
      <w:bookmarkStart w:id="30" w:name="_Toc29153"/>
      <w:bookmarkStart w:id="31" w:name="_Toc12870"/>
      <w:r>
        <w:rPr>
          <w:rFonts w:hint="eastAsia" w:ascii="Times New Roman" w:hAnsi="Times New Roman" w:eastAsia="楷体" w:cs="宋体"/>
          <w:b/>
          <w:bCs/>
          <w:color w:val="000000"/>
          <w:kern w:val="0"/>
          <w:sz w:val="32"/>
          <w:szCs w:val="32"/>
        </w:rPr>
        <w:t>（四）第四章：</w:t>
      </w:r>
      <w:bookmarkEnd w:id="30"/>
      <w:r>
        <w:rPr>
          <w:rFonts w:hint="eastAsia" w:ascii="Times New Roman" w:hAnsi="Times New Roman" w:eastAsia="楷体" w:cs="宋体"/>
          <w:b/>
          <w:bCs/>
          <w:color w:val="000000"/>
          <w:kern w:val="0"/>
          <w:sz w:val="32"/>
          <w:szCs w:val="32"/>
        </w:rPr>
        <w:t>高标准农田标准体系</w:t>
      </w:r>
      <w:bookmarkEnd w:id="31"/>
      <w:r>
        <w:rPr>
          <w:rFonts w:hint="eastAsia" w:ascii="Times New Roman" w:hAnsi="Times New Roman" w:eastAsia="楷体" w:cs="宋体"/>
          <w:b/>
          <w:bCs/>
          <w:color w:val="000000"/>
          <w:kern w:val="0"/>
          <w:sz w:val="32"/>
          <w:szCs w:val="32"/>
        </w:rPr>
        <w:t xml:space="preserve"> </w:t>
      </w:r>
    </w:p>
    <w:p>
      <w:pPr>
        <w:ind w:firstLine="640" w:firstLineChars="200"/>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本章节给出了标准体系的组成和逻辑结构。</w:t>
      </w:r>
    </w:p>
    <w:p>
      <w:pPr>
        <w:outlineLvl w:val="1"/>
        <w:rPr>
          <w:rFonts w:ascii="Times New Roman" w:hAnsi="Times New Roman" w:eastAsia="楷体" w:cs="宋体"/>
          <w:b/>
          <w:bCs/>
          <w:color w:val="000000"/>
          <w:kern w:val="0"/>
          <w:sz w:val="32"/>
          <w:szCs w:val="32"/>
        </w:rPr>
      </w:pPr>
      <w:bookmarkStart w:id="32" w:name="_Toc31443"/>
      <w:bookmarkStart w:id="33" w:name="_Toc31546"/>
      <w:r>
        <w:rPr>
          <w:rFonts w:hint="eastAsia" w:ascii="Times New Roman" w:hAnsi="Times New Roman" w:eastAsia="楷体" w:cs="宋体"/>
          <w:b/>
          <w:bCs/>
          <w:color w:val="000000"/>
          <w:kern w:val="0"/>
          <w:sz w:val="32"/>
          <w:szCs w:val="32"/>
        </w:rPr>
        <w:t>（五）第五章：</w:t>
      </w:r>
      <w:bookmarkEnd w:id="32"/>
      <w:r>
        <w:rPr>
          <w:rFonts w:hint="eastAsia" w:ascii="Times New Roman" w:hAnsi="Times New Roman" w:eastAsia="楷体" w:cs="宋体"/>
          <w:b/>
          <w:bCs/>
          <w:color w:val="000000"/>
          <w:kern w:val="0"/>
          <w:sz w:val="32"/>
          <w:szCs w:val="32"/>
        </w:rPr>
        <w:t>高标准农田标准体系分体系</w:t>
      </w:r>
      <w:bookmarkEnd w:id="33"/>
    </w:p>
    <w:p>
      <w:pPr>
        <w:ind w:firstLine="640" w:firstLineChars="200"/>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本章节给出了高标准农田建设标准体系分体系的相关内容，包括基础标准分体系、高标准农田规划分体系、高标准农田建设分体系、高标准农田验收分体系、高标准农田管理分体系、高标准农田评价与分级分体系、安全生产分体系等。</w:t>
      </w:r>
    </w:p>
    <w:p>
      <w:pPr>
        <w:pStyle w:val="31"/>
        <w:tabs>
          <w:tab w:val="left" w:pos="697"/>
        </w:tabs>
        <w:ind w:firstLine="0" w:firstLineChars="0"/>
        <w:outlineLvl w:val="0"/>
        <w:rPr>
          <w:rFonts w:ascii="Times New Roman" w:hAnsi="Times New Roman" w:eastAsia="黑体"/>
          <w:b/>
          <w:sz w:val="32"/>
          <w:szCs w:val="32"/>
        </w:rPr>
      </w:pPr>
      <w:bookmarkStart w:id="34" w:name="_Toc5240"/>
      <w:r>
        <w:rPr>
          <w:rFonts w:hint="eastAsia" w:ascii="Times New Roman" w:hAnsi="Times New Roman" w:eastAsia="黑体"/>
          <w:b/>
          <w:sz w:val="32"/>
          <w:szCs w:val="32"/>
        </w:rPr>
        <w:t>七、主要分歧条款处理情况</w:t>
      </w:r>
      <w:bookmarkEnd w:id="34"/>
    </w:p>
    <w:p>
      <w:pPr>
        <w:ind w:firstLine="640" w:firstLineChars="200"/>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该标准编制过程暂无分歧意见。</w:t>
      </w:r>
    </w:p>
    <w:sectPr>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r>
                            <w:fldChar w:fldCharType="begin"/>
                          </w:r>
                          <w:r>
                            <w:instrText xml:space="preserve"> PAGE  \* MERGEFORMAT </w:instrText>
                          </w:r>
                          <w:r>
                            <w:fldChar w:fldCharType="separate"/>
                          </w:r>
                          <w:r>
                            <w:t>I</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7F1E87"/>
    <w:multiLevelType w:val="multilevel"/>
    <w:tmpl w:val="437F1E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3MzdiMjg4ODZiMzAwZGJlNTMxYzFlYWZjMzRjYmIifQ=="/>
  </w:docVars>
  <w:rsids>
    <w:rsidRoot w:val="004B2355"/>
    <w:rsid w:val="00014D68"/>
    <w:rsid w:val="00030B1B"/>
    <w:rsid w:val="00051CA7"/>
    <w:rsid w:val="00060CD6"/>
    <w:rsid w:val="0006299D"/>
    <w:rsid w:val="00077173"/>
    <w:rsid w:val="000F094B"/>
    <w:rsid w:val="001066EC"/>
    <w:rsid w:val="00140BD0"/>
    <w:rsid w:val="001600D5"/>
    <w:rsid w:val="00163528"/>
    <w:rsid w:val="001A2D7E"/>
    <w:rsid w:val="001D40B0"/>
    <w:rsid w:val="00234ED8"/>
    <w:rsid w:val="00274865"/>
    <w:rsid w:val="00285C03"/>
    <w:rsid w:val="00295CC0"/>
    <w:rsid w:val="002B15C6"/>
    <w:rsid w:val="002B67F6"/>
    <w:rsid w:val="002C0D56"/>
    <w:rsid w:val="002D3E71"/>
    <w:rsid w:val="00366A50"/>
    <w:rsid w:val="003A6F10"/>
    <w:rsid w:val="003B3E78"/>
    <w:rsid w:val="003B5901"/>
    <w:rsid w:val="003D6AC3"/>
    <w:rsid w:val="003E5472"/>
    <w:rsid w:val="003E6F12"/>
    <w:rsid w:val="00415DA3"/>
    <w:rsid w:val="00416A1E"/>
    <w:rsid w:val="00443794"/>
    <w:rsid w:val="00455679"/>
    <w:rsid w:val="004B2355"/>
    <w:rsid w:val="004D1C6C"/>
    <w:rsid w:val="00554A5D"/>
    <w:rsid w:val="005804FE"/>
    <w:rsid w:val="005827E9"/>
    <w:rsid w:val="005A2237"/>
    <w:rsid w:val="005B7E09"/>
    <w:rsid w:val="005C56CC"/>
    <w:rsid w:val="005E54A4"/>
    <w:rsid w:val="00643047"/>
    <w:rsid w:val="006532B5"/>
    <w:rsid w:val="006639EB"/>
    <w:rsid w:val="00692C37"/>
    <w:rsid w:val="006B2EE7"/>
    <w:rsid w:val="006C7484"/>
    <w:rsid w:val="006D5548"/>
    <w:rsid w:val="006E42D0"/>
    <w:rsid w:val="00720E30"/>
    <w:rsid w:val="00746361"/>
    <w:rsid w:val="00746725"/>
    <w:rsid w:val="00793887"/>
    <w:rsid w:val="007A0E89"/>
    <w:rsid w:val="008409D7"/>
    <w:rsid w:val="00844F91"/>
    <w:rsid w:val="00876038"/>
    <w:rsid w:val="008B40F6"/>
    <w:rsid w:val="008B644D"/>
    <w:rsid w:val="008D0D89"/>
    <w:rsid w:val="008E2F69"/>
    <w:rsid w:val="0094016D"/>
    <w:rsid w:val="009508DF"/>
    <w:rsid w:val="009677D3"/>
    <w:rsid w:val="009A5C44"/>
    <w:rsid w:val="009C2D27"/>
    <w:rsid w:val="00A31E2F"/>
    <w:rsid w:val="00A5326D"/>
    <w:rsid w:val="00A62EDC"/>
    <w:rsid w:val="00AC03F0"/>
    <w:rsid w:val="00AD5EE9"/>
    <w:rsid w:val="00AF3CEA"/>
    <w:rsid w:val="00B25A68"/>
    <w:rsid w:val="00B460DA"/>
    <w:rsid w:val="00B52454"/>
    <w:rsid w:val="00B63A83"/>
    <w:rsid w:val="00BD2ED9"/>
    <w:rsid w:val="00BD66F5"/>
    <w:rsid w:val="00C07C83"/>
    <w:rsid w:val="00C4751F"/>
    <w:rsid w:val="00C739EF"/>
    <w:rsid w:val="00CB60A2"/>
    <w:rsid w:val="00CE6468"/>
    <w:rsid w:val="00D16D2A"/>
    <w:rsid w:val="00D50DE4"/>
    <w:rsid w:val="00D535AB"/>
    <w:rsid w:val="00D81366"/>
    <w:rsid w:val="00D84A56"/>
    <w:rsid w:val="00D93ADC"/>
    <w:rsid w:val="00DA6E80"/>
    <w:rsid w:val="00DC4E48"/>
    <w:rsid w:val="00DC616D"/>
    <w:rsid w:val="00DE0650"/>
    <w:rsid w:val="00DE28A2"/>
    <w:rsid w:val="00E06C9B"/>
    <w:rsid w:val="00E82AF6"/>
    <w:rsid w:val="00EA0DE5"/>
    <w:rsid w:val="00EC6C0A"/>
    <w:rsid w:val="00EF1628"/>
    <w:rsid w:val="00F357CA"/>
    <w:rsid w:val="00F51074"/>
    <w:rsid w:val="00FC41A8"/>
    <w:rsid w:val="00FD4038"/>
    <w:rsid w:val="00FE08CF"/>
    <w:rsid w:val="02065AE0"/>
    <w:rsid w:val="05B86B84"/>
    <w:rsid w:val="08D119D4"/>
    <w:rsid w:val="0A840B84"/>
    <w:rsid w:val="0F743EC8"/>
    <w:rsid w:val="11582E5C"/>
    <w:rsid w:val="137A30F1"/>
    <w:rsid w:val="15F07B9A"/>
    <w:rsid w:val="17D564CD"/>
    <w:rsid w:val="1C1B3B00"/>
    <w:rsid w:val="1D49785D"/>
    <w:rsid w:val="20B07112"/>
    <w:rsid w:val="243B27DC"/>
    <w:rsid w:val="28B7337B"/>
    <w:rsid w:val="28C159CC"/>
    <w:rsid w:val="2F607093"/>
    <w:rsid w:val="32605871"/>
    <w:rsid w:val="33F7207F"/>
    <w:rsid w:val="350B3399"/>
    <w:rsid w:val="3BDA5E9B"/>
    <w:rsid w:val="3D487D90"/>
    <w:rsid w:val="3E936D86"/>
    <w:rsid w:val="3FF84AD9"/>
    <w:rsid w:val="43345C07"/>
    <w:rsid w:val="442C2C34"/>
    <w:rsid w:val="45026234"/>
    <w:rsid w:val="48FC1592"/>
    <w:rsid w:val="4E915BC0"/>
    <w:rsid w:val="560B3EB0"/>
    <w:rsid w:val="570A2D1B"/>
    <w:rsid w:val="58041A8A"/>
    <w:rsid w:val="5AF710E2"/>
    <w:rsid w:val="5D3E7060"/>
    <w:rsid w:val="5F636330"/>
    <w:rsid w:val="60625600"/>
    <w:rsid w:val="61A61555"/>
    <w:rsid w:val="64DF002D"/>
    <w:rsid w:val="6BBE622E"/>
    <w:rsid w:val="6C0668E0"/>
    <w:rsid w:val="6DFC26FE"/>
    <w:rsid w:val="70FA147B"/>
    <w:rsid w:val="732644F7"/>
    <w:rsid w:val="74960236"/>
    <w:rsid w:val="74AF70D9"/>
    <w:rsid w:val="758005FB"/>
    <w:rsid w:val="75CE5488"/>
    <w:rsid w:val="76813A73"/>
    <w:rsid w:val="76FC1D7F"/>
    <w:rsid w:val="7E1A0A47"/>
    <w:rsid w:val="7ECA60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qFormat="1" w:unhideWhenUsed="0" w:uiPriority="0" w:semiHidden="0"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link w:val="22"/>
    <w:qFormat/>
    <w:uiPriority w:val="9"/>
    <w:pPr>
      <w:keepNext/>
      <w:keepLines/>
      <w:spacing w:before="340" w:after="330" w:line="576" w:lineRule="auto"/>
      <w:outlineLvl w:val="0"/>
    </w:pPr>
    <w:rPr>
      <w:b/>
      <w:kern w:val="44"/>
      <w:sz w:val="44"/>
    </w:rPr>
  </w:style>
  <w:style w:type="paragraph" w:styleId="5">
    <w:name w:val="heading 2"/>
    <w:basedOn w:val="1"/>
    <w:next w:val="1"/>
    <w:link w:val="23"/>
    <w:qFormat/>
    <w:uiPriority w:val="9"/>
    <w:pPr>
      <w:keepNext/>
      <w:keepLines/>
      <w:spacing w:before="260" w:after="260" w:line="413" w:lineRule="auto"/>
      <w:outlineLvl w:val="1"/>
    </w:pPr>
    <w:rPr>
      <w:rFonts w:ascii="Arial" w:hAnsi="Arial" w:eastAsia="黑体"/>
      <w:b/>
      <w:sz w:val="32"/>
    </w:rPr>
  </w:style>
  <w:style w:type="paragraph" w:styleId="6">
    <w:name w:val="heading 3"/>
    <w:basedOn w:val="1"/>
    <w:next w:val="1"/>
    <w:qFormat/>
    <w:uiPriority w:val="9"/>
    <w:pPr>
      <w:keepNext/>
      <w:keepLines/>
      <w:spacing w:before="120" w:after="120"/>
      <w:outlineLvl w:val="2"/>
    </w:pPr>
    <w:rPr>
      <w:rFonts w:eastAsia="楷体_GB2312"/>
      <w:bCs/>
      <w:szCs w:val="3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index heading"/>
    <w:basedOn w:val="1"/>
    <w:next w:val="3"/>
    <w:qFormat/>
    <w:uiPriority w:val="0"/>
    <w:rPr>
      <w:rFonts w:ascii="Arial" w:hAnsi="Arial"/>
      <w:b/>
    </w:rPr>
  </w:style>
  <w:style w:type="paragraph" w:styleId="3">
    <w:name w:val="index 1"/>
    <w:basedOn w:val="1"/>
    <w:next w:val="1"/>
    <w:qFormat/>
    <w:uiPriority w:val="0"/>
  </w:style>
  <w:style w:type="paragraph" w:styleId="7">
    <w:name w:val="Normal Indent"/>
    <w:basedOn w:val="1"/>
    <w:unhideWhenUsed/>
    <w:qFormat/>
    <w:uiPriority w:val="99"/>
    <w:pPr>
      <w:ind w:firstLine="420" w:firstLineChars="200"/>
    </w:pPr>
  </w:style>
  <w:style w:type="paragraph" w:styleId="8">
    <w:name w:val="annotation text"/>
    <w:basedOn w:val="1"/>
    <w:link w:val="24"/>
    <w:unhideWhenUsed/>
    <w:qFormat/>
    <w:uiPriority w:val="99"/>
    <w:pPr>
      <w:jc w:val="left"/>
    </w:pPr>
  </w:style>
  <w:style w:type="paragraph" w:styleId="9">
    <w:name w:val="Body Text"/>
    <w:basedOn w:val="1"/>
    <w:next w:val="1"/>
    <w:unhideWhenUsed/>
    <w:qFormat/>
    <w:uiPriority w:val="99"/>
    <w:pPr>
      <w:spacing w:after="120"/>
    </w:pPr>
  </w:style>
  <w:style w:type="paragraph" w:styleId="10">
    <w:name w:val="Date"/>
    <w:basedOn w:val="1"/>
    <w:next w:val="1"/>
    <w:link w:val="25"/>
    <w:unhideWhenUsed/>
    <w:qFormat/>
    <w:uiPriority w:val="99"/>
    <w:pPr>
      <w:ind w:left="100" w:leftChars="2500"/>
    </w:pPr>
  </w:style>
  <w:style w:type="paragraph" w:styleId="11">
    <w:name w:val="Balloon Text"/>
    <w:basedOn w:val="1"/>
    <w:link w:val="26"/>
    <w:unhideWhenUsed/>
    <w:qFormat/>
    <w:uiPriority w:val="99"/>
    <w:rPr>
      <w:sz w:val="18"/>
      <w:szCs w:val="18"/>
    </w:rPr>
  </w:style>
  <w:style w:type="paragraph" w:styleId="12">
    <w:name w:val="footer"/>
    <w:basedOn w:val="1"/>
    <w:link w:val="27"/>
    <w:unhideWhenUsed/>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style>
  <w:style w:type="paragraph" w:styleId="15">
    <w:name w:val="toc 2"/>
    <w:basedOn w:val="1"/>
    <w:next w:val="1"/>
    <w:unhideWhenUsed/>
    <w:qFormat/>
    <w:uiPriority w:val="39"/>
    <w:pPr>
      <w:ind w:left="420" w:leftChars="200"/>
    </w:pPr>
  </w:style>
  <w:style w:type="paragraph" w:styleId="16">
    <w:name w:val="annotation subject"/>
    <w:basedOn w:val="8"/>
    <w:next w:val="8"/>
    <w:link w:val="29"/>
    <w:unhideWhenUsed/>
    <w:qFormat/>
    <w:uiPriority w:val="99"/>
    <w:rPr>
      <w:b/>
      <w:bCs/>
    </w:rPr>
  </w:style>
  <w:style w:type="paragraph" w:styleId="17">
    <w:name w:val="Body Text First Indent"/>
    <w:basedOn w:val="9"/>
    <w:qFormat/>
    <w:uiPriority w:val="0"/>
    <w:pPr>
      <w:ind w:firstLine="420" w:firstLineChars="100"/>
    </w:pPr>
  </w:style>
  <w:style w:type="character" w:styleId="20">
    <w:name w:val="Hyperlink"/>
    <w:unhideWhenUsed/>
    <w:qFormat/>
    <w:uiPriority w:val="99"/>
    <w:rPr>
      <w:color w:val="0563C1"/>
      <w:u w:val="single"/>
    </w:rPr>
  </w:style>
  <w:style w:type="character" w:styleId="21">
    <w:name w:val="annotation reference"/>
    <w:unhideWhenUsed/>
    <w:qFormat/>
    <w:uiPriority w:val="99"/>
    <w:rPr>
      <w:sz w:val="21"/>
      <w:szCs w:val="21"/>
    </w:rPr>
  </w:style>
  <w:style w:type="character" w:customStyle="1" w:styleId="22">
    <w:name w:val="标题 1 Char"/>
    <w:link w:val="4"/>
    <w:qFormat/>
    <w:uiPriority w:val="0"/>
    <w:rPr>
      <w:b/>
      <w:kern w:val="44"/>
      <w:sz w:val="44"/>
    </w:rPr>
  </w:style>
  <w:style w:type="character" w:customStyle="1" w:styleId="23">
    <w:name w:val="标题 2 Char"/>
    <w:link w:val="5"/>
    <w:qFormat/>
    <w:uiPriority w:val="0"/>
    <w:rPr>
      <w:rFonts w:ascii="Arial" w:hAnsi="Arial" w:eastAsia="黑体"/>
      <w:b/>
      <w:sz w:val="32"/>
    </w:rPr>
  </w:style>
  <w:style w:type="character" w:customStyle="1" w:styleId="24">
    <w:name w:val="批注文字 Char"/>
    <w:link w:val="8"/>
    <w:semiHidden/>
    <w:qFormat/>
    <w:uiPriority w:val="99"/>
    <w:rPr>
      <w:kern w:val="2"/>
      <w:sz w:val="21"/>
      <w:szCs w:val="22"/>
    </w:rPr>
  </w:style>
  <w:style w:type="character" w:customStyle="1" w:styleId="25">
    <w:name w:val="日期 Char"/>
    <w:link w:val="10"/>
    <w:semiHidden/>
    <w:qFormat/>
    <w:uiPriority w:val="99"/>
  </w:style>
  <w:style w:type="character" w:customStyle="1" w:styleId="26">
    <w:name w:val="批注框文本 Char"/>
    <w:link w:val="11"/>
    <w:semiHidden/>
    <w:qFormat/>
    <w:uiPriority w:val="99"/>
    <w:rPr>
      <w:kern w:val="2"/>
      <w:sz w:val="18"/>
      <w:szCs w:val="18"/>
    </w:rPr>
  </w:style>
  <w:style w:type="character" w:customStyle="1" w:styleId="27">
    <w:name w:val="页脚 Char"/>
    <w:link w:val="12"/>
    <w:qFormat/>
    <w:uiPriority w:val="99"/>
    <w:rPr>
      <w:kern w:val="2"/>
      <w:sz w:val="18"/>
      <w:szCs w:val="18"/>
    </w:rPr>
  </w:style>
  <w:style w:type="character" w:customStyle="1" w:styleId="28">
    <w:name w:val="页眉 Char"/>
    <w:link w:val="13"/>
    <w:qFormat/>
    <w:uiPriority w:val="99"/>
    <w:rPr>
      <w:kern w:val="2"/>
      <w:sz w:val="18"/>
      <w:szCs w:val="18"/>
    </w:rPr>
  </w:style>
  <w:style w:type="character" w:customStyle="1" w:styleId="29">
    <w:name w:val="批注主题 Char"/>
    <w:link w:val="16"/>
    <w:semiHidden/>
    <w:qFormat/>
    <w:uiPriority w:val="99"/>
    <w:rPr>
      <w:b/>
      <w:bCs/>
      <w:kern w:val="2"/>
      <w:sz w:val="21"/>
      <w:szCs w:val="22"/>
    </w:rPr>
  </w:style>
  <w:style w:type="paragraph" w:customStyle="1" w:styleId="30">
    <w:name w:val="Plain Text1"/>
    <w:basedOn w:val="1"/>
    <w:qFormat/>
    <w:uiPriority w:val="0"/>
    <w:rPr>
      <w:rFonts w:ascii="宋体" w:hAnsi="Courier New" w:cs="宋体"/>
      <w:sz w:val="30"/>
      <w:szCs w:val="21"/>
    </w:rPr>
  </w:style>
  <w:style w:type="paragraph" w:styleId="31">
    <w:name w:val="List Paragraph"/>
    <w:basedOn w:val="1"/>
    <w:qFormat/>
    <w:uiPriority w:val="34"/>
    <w:pPr>
      <w:ind w:firstLine="420" w:firstLineChars="200"/>
    </w:pPr>
  </w:style>
  <w:style w:type="paragraph" w:customStyle="1" w:styleId="32">
    <w:name w:val="WPSOffice手动目录 1"/>
    <w:qFormat/>
    <w:uiPriority w:val="0"/>
    <w:rPr>
      <w:rFonts w:ascii="Calibri" w:hAnsi="Calibri" w:eastAsia="宋体" w:cs="Times New Roman"/>
      <w:lang w:val="en-US" w:eastAsia="zh-CN" w:bidi="ar-SA"/>
    </w:rPr>
  </w:style>
  <w:style w:type="paragraph" w:customStyle="1" w:styleId="33">
    <w:name w:val="WPSOffice手动目录 2"/>
    <w:qFormat/>
    <w:uiPriority w:val="0"/>
    <w:pPr>
      <w:ind w:left="200" w:leftChars="200"/>
    </w:pPr>
    <w:rPr>
      <w:rFonts w:ascii="Calibri" w:hAnsi="Calibri" w:eastAsia="宋体" w:cs="Times New Roman"/>
      <w:lang w:val="en-US" w:eastAsia="zh-CN" w:bidi="ar-SA"/>
    </w:rPr>
  </w:style>
  <w:style w:type="paragraph" w:customStyle="1" w:styleId="34">
    <w:name w:val="_Style 30"/>
    <w:unhideWhenUsed/>
    <w:qFormat/>
    <w:uiPriority w:val="99"/>
    <w:rPr>
      <w:rFonts w:ascii="Calibri" w:hAnsi="Calibri" w:eastAsia="宋体" w:cs="Times New Roman"/>
      <w:kern w:val="2"/>
      <w:sz w:val="21"/>
      <w:szCs w:val="22"/>
      <w:lang w:val="en-US" w:eastAsia="zh-CN" w:bidi="ar-SA"/>
    </w:rPr>
  </w:style>
  <w:style w:type="paragraph" w:customStyle="1" w:styleId="3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ITianKong.Com</Company>
  <Pages>8</Pages>
  <Words>656</Words>
  <Characters>3740</Characters>
  <Lines>31</Lines>
  <Paragraphs>8</Paragraphs>
  <TotalTime>0</TotalTime>
  <ScaleCrop>false</ScaleCrop>
  <LinksUpToDate>false</LinksUpToDate>
  <CharactersWithSpaces>4388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2021-10-22T06:32:00Z</dcterms:created>
  <dc:creator>蒋青青</dc:creator>
  <cp:lastModifiedBy>段萤雪</cp:lastModifiedBy>
  <cp:lastPrinted>2021-11-26T09:09:00Z</cp:lastPrinted>
  <dcterms:modified xsi:type="dcterms:W3CDTF">2023-09-22T03:23:04Z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7DC446E2E8D84FE78C611AA78AE45AC8_13</vt:lpwstr>
  </property>
</Properties>
</file>