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hint="default" w:ascii="Times New Roman" w:hAnsi="Times New Roman" w:eastAsia="仿宋_GB2312" w:cs="Times New Roman"/>
          <w:b/>
          <w:sz w:val="48"/>
          <w:szCs w:val="48"/>
          <w:lang w:eastAsia="zh-Hans"/>
        </w:rPr>
      </w:pPr>
    </w:p>
    <w:p>
      <w:pPr>
        <w:spacing w:line="800" w:lineRule="exact"/>
        <w:jc w:val="center"/>
        <w:rPr>
          <w:rFonts w:hint="default" w:ascii="Times New Roman" w:hAnsi="Times New Roman" w:eastAsia="仿宋_GB2312" w:cs="Times New Roman"/>
          <w:b/>
          <w:sz w:val="48"/>
          <w:szCs w:val="48"/>
          <w:lang w:eastAsia="zh-Hans"/>
        </w:rPr>
      </w:pPr>
    </w:p>
    <w:p>
      <w:pPr>
        <w:spacing w:line="800" w:lineRule="exact"/>
        <w:jc w:val="center"/>
        <w:rPr>
          <w:rFonts w:hint="default" w:ascii="Times New Roman" w:hAnsi="Times New Roman" w:eastAsia="仿宋_GB2312" w:cs="Times New Roman"/>
          <w:b/>
          <w:sz w:val="48"/>
          <w:szCs w:val="48"/>
          <w:lang w:eastAsia="zh-Hans"/>
        </w:rPr>
      </w:pPr>
    </w:p>
    <w:p>
      <w:pPr>
        <w:spacing w:line="800" w:lineRule="exact"/>
        <w:jc w:val="center"/>
        <w:rPr>
          <w:rFonts w:hint="default" w:ascii="Times New Roman" w:hAnsi="Times New Roman" w:eastAsia="仿宋_GB2312" w:cs="Times New Roman"/>
          <w:b/>
          <w:sz w:val="48"/>
          <w:szCs w:val="48"/>
        </w:rPr>
      </w:pPr>
      <w:r>
        <w:rPr>
          <w:rFonts w:hint="default" w:ascii="Times New Roman" w:hAnsi="Times New Roman" w:eastAsia="仿宋_GB2312" w:cs="Times New Roman"/>
          <w:b/>
          <w:sz w:val="48"/>
          <w:szCs w:val="48"/>
          <w:lang w:eastAsia="zh-Hans"/>
        </w:rPr>
        <w:t>《高标准农田规划和建设》</w:t>
      </w:r>
    </w:p>
    <w:p>
      <w:pPr>
        <w:jc w:val="center"/>
        <w:rPr>
          <w:rFonts w:hint="default" w:ascii="Times New Roman" w:hAnsi="Times New Roman" w:eastAsia="仿宋_GB2312" w:cs="Times New Roman"/>
          <w:b/>
          <w:sz w:val="48"/>
          <w:szCs w:val="48"/>
        </w:rPr>
      </w:pPr>
    </w:p>
    <w:p>
      <w:pPr>
        <w:jc w:val="center"/>
        <w:rPr>
          <w:rFonts w:hint="default" w:ascii="Times New Roman" w:hAnsi="Times New Roman" w:eastAsia="仿宋_GB2312" w:cs="Times New Roman"/>
          <w:b/>
          <w:sz w:val="48"/>
          <w:szCs w:val="48"/>
        </w:rPr>
      </w:pPr>
    </w:p>
    <w:p>
      <w:pPr>
        <w:jc w:val="center"/>
        <w:rPr>
          <w:rFonts w:hint="default" w:ascii="Times New Roman" w:hAnsi="Times New Roman" w:cs="Times New Roman"/>
          <w:b/>
          <w:sz w:val="48"/>
          <w:szCs w:val="48"/>
        </w:rPr>
      </w:pPr>
      <w:r>
        <w:rPr>
          <w:rFonts w:hint="default" w:ascii="Times New Roman" w:hAnsi="Times New Roman" w:eastAsia="仿宋_GB2312" w:cs="Times New Roman"/>
          <w:b/>
          <w:sz w:val="48"/>
          <w:szCs w:val="48"/>
          <w:lang w:val="en-US" w:eastAsia="zh-CN"/>
        </w:rPr>
        <w:t>团体标准</w:t>
      </w:r>
      <w:r>
        <w:rPr>
          <w:rFonts w:hint="eastAsia" w:ascii="Times New Roman" w:hAnsi="Times New Roman" w:eastAsia="仿宋_GB2312" w:cs="Times New Roman"/>
          <w:b/>
          <w:sz w:val="48"/>
          <w:szCs w:val="48"/>
          <w:lang w:val="en-US" w:eastAsia="zh-CN"/>
        </w:rPr>
        <w:t xml:space="preserve"> </w:t>
      </w:r>
      <w:r>
        <w:rPr>
          <w:rFonts w:hint="default" w:ascii="Times New Roman" w:hAnsi="Times New Roman" w:eastAsia="仿宋_GB2312" w:cs="Times New Roman"/>
          <w:b/>
          <w:sz w:val="48"/>
          <w:szCs w:val="48"/>
        </w:rPr>
        <w:t>编制说明</w:t>
      </w:r>
    </w:p>
    <w:p>
      <w:pPr>
        <w:spacing w:line="360" w:lineRule="auto"/>
        <w:ind w:firstLine="720"/>
        <w:jc w:val="center"/>
        <w:rPr>
          <w:rFonts w:hint="default" w:ascii="Times New Roman" w:hAnsi="Times New Roman" w:eastAsia="黑体" w:cs="Times New Roman"/>
          <w:sz w:val="36"/>
          <w:szCs w:val="36"/>
        </w:rPr>
      </w:pPr>
    </w:p>
    <w:p>
      <w:pPr>
        <w:spacing w:line="360" w:lineRule="auto"/>
        <w:ind w:firstLine="720"/>
        <w:jc w:val="center"/>
        <w:rPr>
          <w:rFonts w:hint="default" w:ascii="Times New Roman" w:hAnsi="Times New Roman" w:eastAsia="黑体" w:cs="Times New Roman"/>
          <w:sz w:val="36"/>
          <w:szCs w:val="36"/>
        </w:rPr>
      </w:pPr>
    </w:p>
    <w:p>
      <w:pPr>
        <w:jc w:val="center"/>
        <w:rPr>
          <w:rFonts w:hint="default" w:ascii="Times New Roman" w:hAnsi="Times New Roman" w:cs="Times New Roman"/>
          <w:b/>
          <w:sz w:val="48"/>
          <w:szCs w:val="48"/>
        </w:rPr>
      </w:pPr>
    </w:p>
    <w:p>
      <w:pPr>
        <w:jc w:val="center"/>
        <w:rPr>
          <w:rFonts w:hint="default" w:ascii="Times New Roman" w:hAnsi="Times New Roman" w:cs="Times New Roman"/>
          <w:b/>
          <w:sz w:val="48"/>
          <w:szCs w:val="48"/>
        </w:rPr>
      </w:pPr>
    </w:p>
    <w:p>
      <w:pPr>
        <w:pStyle w:val="7"/>
        <w:rPr>
          <w:rFonts w:hint="default" w:ascii="Times New Roman" w:hAnsi="Times New Roman" w:cs="Times New Roman"/>
          <w:b/>
          <w:sz w:val="48"/>
          <w:szCs w:val="48"/>
        </w:rPr>
      </w:pPr>
    </w:p>
    <w:p>
      <w:pPr>
        <w:pStyle w:val="7"/>
        <w:rPr>
          <w:rFonts w:hint="default" w:ascii="Times New Roman" w:hAnsi="Times New Roman" w:cs="Times New Roman"/>
          <w:b/>
          <w:sz w:val="48"/>
          <w:szCs w:val="48"/>
        </w:rPr>
      </w:pPr>
    </w:p>
    <w:p>
      <w:pPr>
        <w:pStyle w:val="7"/>
        <w:rPr>
          <w:rFonts w:hint="default" w:ascii="Times New Roman" w:hAnsi="Times New Roman" w:cs="Times New Roman"/>
          <w:b/>
          <w:sz w:val="48"/>
          <w:szCs w:val="48"/>
        </w:rPr>
      </w:pPr>
    </w:p>
    <w:p>
      <w:pPr>
        <w:pStyle w:val="7"/>
        <w:rPr>
          <w:rFonts w:hint="default" w:ascii="Times New Roman" w:hAnsi="Times New Roman" w:cs="Times New Roman"/>
          <w:b/>
          <w:sz w:val="48"/>
          <w:szCs w:val="48"/>
        </w:rPr>
      </w:pPr>
    </w:p>
    <w:p>
      <w:pPr>
        <w:pStyle w:val="7"/>
        <w:rPr>
          <w:rFonts w:hint="default" w:ascii="Times New Roman" w:hAnsi="Times New Roman" w:cs="Times New Roman"/>
          <w:b/>
          <w:sz w:val="48"/>
          <w:szCs w:val="48"/>
        </w:rPr>
      </w:pPr>
    </w:p>
    <w:p>
      <w:pPr>
        <w:ind w:firstLine="643"/>
        <w:jc w:val="center"/>
        <w:rPr>
          <w:rFonts w:hint="default" w:ascii="Times New Roman" w:hAnsi="Times New Roman" w:cs="Times New Roman"/>
          <w:b/>
          <w:szCs w:val="32"/>
        </w:rPr>
      </w:pPr>
    </w:p>
    <w:p>
      <w:pPr>
        <w:spacing w:line="480" w:lineRule="exact"/>
        <w:jc w:val="center"/>
        <w:rPr>
          <w:rFonts w:hint="default" w:ascii="Times New Roman" w:hAnsi="Times New Roman" w:eastAsia="仿宋_GB2312" w:cs="Times New Roman"/>
          <w:b/>
          <w:sz w:val="28"/>
          <w:szCs w:val="28"/>
          <w:lang w:val="en-US" w:eastAsia="zh-CN"/>
        </w:rPr>
      </w:pPr>
      <w:r>
        <w:rPr>
          <w:rFonts w:hint="default" w:ascii="Times New Roman" w:hAnsi="Times New Roman" w:eastAsia="仿宋_GB2312" w:cs="Times New Roman"/>
          <w:b/>
          <w:sz w:val="28"/>
          <w:szCs w:val="28"/>
          <w:lang w:val="en-US" w:eastAsia="zh-CN"/>
        </w:rPr>
        <w:t>《高标准农田</w:t>
      </w:r>
      <w:r>
        <w:rPr>
          <w:rFonts w:hint="eastAsia" w:ascii="Times New Roman" w:hAnsi="Times New Roman" w:eastAsia="仿宋_GB2312" w:cs="Times New Roman"/>
          <w:b/>
          <w:sz w:val="28"/>
          <w:szCs w:val="28"/>
          <w:lang w:val="en-US" w:eastAsia="zh-CN"/>
        </w:rPr>
        <w:t xml:space="preserve"> </w:t>
      </w:r>
      <w:r>
        <w:rPr>
          <w:rFonts w:hint="default" w:ascii="Times New Roman" w:hAnsi="Times New Roman" w:eastAsia="仿宋_GB2312" w:cs="Times New Roman"/>
          <w:b/>
          <w:sz w:val="28"/>
          <w:szCs w:val="28"/>
          <w:lang w:val="en-US" w:eastAsia="zh-CN"/>
        </w:rPr>
        <w:t>规划和建设》标准编制组</w:t>
      </w:r>
    </w:p>
    <w:p>
      <w:pPr>
        <w:spacing w:line="480" w:lineRule="exact"/>
        <w:jc w:val="center"/>
        <w:rPr>
          <w:rFonts w:hint="default" w:ascii="Times New Roman" w:hAnsi="Times New Roman" w:cs="Times New Roman"/>
          <w:b/>
          <w:szCs w:val="32"/>
        </w:rPr>
      </w:pPr>
      <w:r>
        <w:rPr>
          <w:rFonts w:hint="default" w:ascii="Times New Roman" w:hAnsi="Times New Roman" w:eastAsia="仿宋_GB2312" w:cs="Times New Roman"/>
          <w:b/>
          <w:sz w:val="28"/>
          <w:szCs w:val="28"/>
          <w:lang w:val="en-US" w:eastAsia="zh-CN"/>
        </w:rPr>
        <w:t>2023年</w:t>
      </w:r>
      <w:r>
        <w:rPr>
          <w:rFonts w:hint="eastAsia" w:ascii="Times New Roman" w:hAnsi="Times New Roman" w:eastAsia="仿宋_GB2312" w:cs="Times New Roman"/>
          <w:b/>
          <w:sz w:val="28"/>
          <w:szCs w:val="28"/>
          <w:lang w:val="en-US" w:eastAsia="zh-CN"/>
        </w:rPr>
        <w:t>9</w:t>
      </w:r>
      <w:r>
        <w:rPr>
          <w:rFonts w:hint="default" w:ascii="Times New Roman" w:hAnsi="Times New Roman" w:eastAsia="仿宋_GB2312" w:cs="Times New Roman"/>
          <w:b/>
          <w:sz w:val="28"/>
          <w:szCs w:val="28"/>
          <w:lang w:val="en-US" w:eastAsia="zh-CN"/>
        </w:rPr>
        <w:t>月</w:t>
      </w:r>
    </w:p>
    <w:p>
      <w:pPr>
        <w:rPr>
          <w:rFonts w:hint="default" w:ascii="Times New Roman" w:hAnsi="Times New Roman" w:cs="Times New Roman"/>
          <w:b/>
          <w:szCs w:val="32"/>
        </w:rPr>
      </w:pPr>
    </w:p>
    <w:p>
      <w:pPr>
        <w:spacing w:line="480" w:lineRule="exact"/>
        <w:jc w:val="center"/>
        <w:rPr>
          <w:rFonts w:hint="default" w:ascii="Times New Roman" w:hAnsi="Times New Roman" w:eastAsia="黑体" w:cs="Times New Roman"/>
          <w:sz w:val="32"/>
          <w:szCs w:val="32"/>
        </w:rPr>
        <w:sectPr>
          <w:pgSz w:w="11906" w:h="16838"/>
          <w:pgMar w:top="1440" w:right="1800" w:bottom="1440" w:left="1800" w:header="851" w:footer="992" w:gutter="0"/>
          <w:cols w:space="425" w:num="1"/>
          <w:docGrid w:type="lines" w:linePitch="312" w:charSpace="0"/>
        </w:sectPr>
      </w:pPr>
    </w:p>
    <w:p>
      <w:pPr>
        <w:spacing w:before="0" w:beforeLines="0" w:after="0" w:afterLines="0" w:line="240" w:lineRule="auto"/>
        <w:ind w:left="0" w:leftChars="0" w:right="0" w:rightChars="0" w:firstLine="0" w:firstLineChars="0"/>
        <w:jc w:val="center"/>
        <w:rPr>
          <w:rFonts w:hint="eastAsia" w:ascii="黑体" w:hAnsi="黑体" w:eastAsia="黑体" w:cs="黑体"/>
          <w:b w:val="0"/>
          <w:bCs w:val="0"/>
          <w:sz w:val="36"/>
          <w:szCs w:val="36"/>
        </w:rPr>
      </w:pPr>
      <w:r>
        <w:rPr>
          <w:rFonts w:hint="eastAsia" w:ascii="黑体" w:hAnsi="黑体" w:eastAsia="黑体" w:cs="黑体"/>
          <w:b w:val="0"/>
          <w:bCs w:val="0"/>
          <w:sz w:val="36"/>
          <w:szCs w:val="36"/>
        </w:rPr>
        <w:t>目</w:t>
      </w:r>
      <w:r>
        <w:rPr>
          <w:rFonts w:hint="eastAsia" w:ascii="黑体" w:hAnsi="黑体" w:eastAsia="黑体" w:cs="黑体"/>
          <w:b w:val="0"/>
          <w:bCs w:val="0"/>
          <w:sz w:val="36"/>
          <w:szCs w:val="36"/>
          <w:lang w:val="en-US" w:eastAsia="zh-CN"/>
        </w:rPr>
        <w:t xml:space="preserve">  </w:t>
      </w:r>
      <w:r>
        <w:rPr>
          <w:rFonts w:hint="eastAsia" w:ascii="黑体" w:hAnsi="黑体" w:eastAsia="黑体" w:cs="黑体"/>
          <w:b w:val="0"/>
          <w:bCs w:val="0"/>
          <w:sz w:val="36"/>
          <w:szCs w:val="36"/>
        </w:rPr>
        <w:t>录</w:t>
      </w:r>
    </w:p>
    <w:p>
      <w:pPr>
        <w:pStyle w:val="12"/>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TOC \o "1-2" \h \u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_Toc1302 </w:instrText>
      </w:r>
      <w:r>
        <w:rPr>
          <w:rFonts w:hint="default" w:ascii="Times New Roman" w:hAnsi="Times New Roman" w:cs="Times New Roman"/>
          <w:sz w:val="28"/>
          <w:szCs w:val="28"/>
        </w:rPr>
        <w:fldChar w:fldCharType="separate"/>
      </w:r>
      <w:r>
        <w:rPr>
          <w:rFonts w:hint="default" w:ascii="Times New Roman" w:hAnsi="Times New Roman" w:eastAsia="黑体" w:cs="Times New Roman"/>
          <w:sz w:val="28"/>
          <w:szCs w:val="28"/>
        </w:rPr>
        <w:t>一、项目背景</w:t>
      </w:r>
      <w:r>
        <w:rPr>
          <w:rFonts w:hint="default" w:ascii="Times New Roman" w:hAnsi="Times New Roman" w:eastAsia="黑体" w:cs="Times New Roman"/>
          <w:sz w:val="28"/>
          <w:szCs w:val="28"/>
          <w:lang w:eastAsia="zh-CN"/>
        </w:rPr>
        <w:t>和意义</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_Toc1302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2"/>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_Toc1221 </w:instrText>
      </w:r>
      <w:r>
        <w:rPr>
          <w:rFonts w:hint="default" w:ascii="Times New Roman" w:hAnsi="Times New Roman" w:cs="Times New Roman"/>
          <w:sz w:val="28"/>
          <w:szCs w:val="28"/>
        </w:rPr>
        <w:fldChar w:fldCharType="separate"/>
      </w:r>
      <w:r>
        <w:rPr>
          <w:rFonts w:hint="default" w:ascii="Times New Roman" w:hAnsi="Times New Roman" w:eastAsia="黑体" w:cs="Times New Roman"/>
          <w:sz w:val="28"/>
          <w:szCs w:val="28"/>
        </w:rPr>
        <w:t>二、指导思想和编制原则</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_Toc1221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3"/>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_Toc11710 </w:instrText>
      </w:r>
      <w:r>
        <w:rPr>
          <w:rFonts w:hint="default" w:ascii="Times New Roman" w:hAnsi="Times New Roman" w:cs="Times New Roman"/>
          <w:sz w:val="28"/>
          <w:szCs w:val="28"/>
        </w:rPr>
        <w:fldChar w:fldCharType="separate"/>
      </w:r>
      <w:r>
        <w:rPr>
          <w:rFonts w:hint="default" w:ascii="Times New Roman" w:hAnsi="Times New Roman" w:eastAsia="楷体" w:cs="Times New Roman"/>
          <w:bCs w:val="0"/>
          <w:sz w:val="28"/>
          <w:szCs w:val="28"/>
          <w:lang w:eastAsia="zh-CN"/>
        </w:rPr>
        <w:t>（一）指导思想</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_Toc11710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3"/>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_Toc16499 </w:instrText>
      </w:r>
      <w:r>
        <w:rPr>
          <w:rFonts w:hint="default" w:ascii="Times New Roman" w:hAnsi="Times New Roman" w:cs="Times New Roman"/>
          <w:sz w:val="28"/>
          <w:szCs w:val="28"/>
        </w:rPr>
        <w:fldChar w:fldCharType="separate"/>
      </w:r>
      <w:r>
        <w:rPr>
          <w:rFonts w:hint="default" w:ascii="Times New Roman" w:hAnsi="Times New Roman" w:eastAsia="楷体" w:cs="Times New Roman"/>
          <w:bCs w:val="0"/>
          <w:sz w:val="28"/>
          <w:szCs w:val="28"/>
          <w:lang w:eastAsia="zh-CN"/>
        </w:rPr>
        <w:t>（</w:t>
      </w:r>
      <w:r>
        <w:rPr>
          <w:rFonts w:hint="default" w:ascii="Times New Roman" w:hAnsi="Times New Roman" w:eastAsia="楷体" w:cs="Times New Roman"/>
          <w:bCs w:val="0"/>
          <w:sz w:val="28"/>
          <w:szCs w:val="28"/>
          <w:lang w:val="en-US" w:eastAsia="zh-CN"/>
        </w:rPr>
        <w:t>二</w:t>
      </w:r>
      <w:r>
        <w:rPr>
          <w:rFonts w:hint="default" w:ascii="Times New Roman" w:hAnsi="Times New Roman" w:eastAsia="楷体" w:cs="Times New Roman"/>
          <w:bCs w:val="0"/>
          <w:sz w:val="28"/>
          <w:szCs w:val="28"/>
          <w:lang w:eastAsia="zh-CN"/>
        </w:rPr>
        <w:t>）编制原则</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_Toc16499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2"/>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_Toc3686 </w:instrText>
      </w:r>
      <w:r>
        <w:rPr>
          <w:rFonts w:hint="default" w:ascii="Times New Roman" w:hAnsi="Times New Roman" w:cs="Times New Roman"/>
          <w:sz w:val="28"/>
          <w:szCs w:val="28"/>
        </w:rPr>
        <w:fldChar w:fldCharType="separate"/>
      </w:r>
      <w:r>
        <w:rPr>
          <w:rFonts w:hint="default" w:ascii="Times New Roman" w:hAnsi="Times New Roman" w:eastAsia="黑体" w:cs="Times New Roman"/>
          <w:sz w:val="28"/>
          <w:szCs w:val="28"/>
          <w:lang w:val="en-US" w:eastAsia="zh-CN"/>
        </w:rPr>
        <w:t>三、编制简况</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_Toc3686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4</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3"/>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_Toc17797 </w:instrText>
      </w:r>
      <w:r>
        <w:rPr>
          <w:rFonts w:hint="default" w:ascii="Times New Roman" w:hAnsi="Times New Roman" w:cs="Times New Roman"/>
          <w:sz w:val="28"/>
          <w:szCs w:val="28"/>
        </w:rPr>
        <w:fldChar w:fldCharType="separate"/>
      </w:r>
      <w:r>
        <w:rPr>
          <w:rFonts w:hint="default" w:ascii="Times New Roman" w:hAnsi="Times New Roman" w:eastAsia="楷体" w:cs="Times New Roman"/>
          <w:bCs w:val="0"/>
          <w:sz w:val="28"/>
          <w:szCs w:val="28"/>
          <w:lang w:eastAsia="zh-CN"/>
        </w:rPr>
        <w:t>（一）任务来源</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_Toc17797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4</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3"/>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_Toc25524 </w:instrText>
      </w:r>
      <w:r>
        <w:rPr>
          <w:rFonts w:hint="default" w:ascii="Times New Roman" w:hAnsi="Times New Roman" w:cs="Times New Roman"/>
          <w:sz w:val="28"/>
          <w:szCs w:val="28"/>
        </w:rPr>
        <w:fldChar w:fldCharType="separate"/>
      </w:r>
      <w:r>
        <w:rPr>
          <w:rFonts w:hint="default" w:ascii="Times New Roman" w:hAnsi="Times New Roman" w:eastAsia="楷体" w:cs="Times New Roman"/>
          <w:bCs w:val="0"/>
          <w:sz w:val="28"/>
          <w:szCs w:val="28"/>
          <w:lang w:val="en-US" w:eastAsia="zh-CN"/>
        </w:rPr>
        <w:t>（二）起草单位情况</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_Toc25524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4</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3"/>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_Toc2868 </w:instrText>
      </w:r>
      <w:r>
        <w:rPr>
          <w:rFonts w:hint="default" w:ascii="Times New Roman" w:hAnsi="Times New Roman" w:cs="Times New Roman"/>
          <w:sz w:val="28"/>
          <w:szCs w:val="28"/>
        </w:rPr>
        <w:fldChar w:fldCharType="separate"/>
      </w:r>
      <w:r>
        <w:rPr>
          <w:rFonts w:hint="default" w:ascii="Times New Roman" w:hAnsi="Times New Roman" w:eastAsia="楷体" w:cs="Times New Roman"/>
          <w:bCs w:val="0"/>
          <w:sz w:val="28"/>
          <w:szCs w:val="28"/>
          <w:lang w:val="en-US" w:eastAsia="zh-CN"/>
        </w:rPr>
        <w:t>（三）主要编制过程</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_Toc2868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4</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2"/>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_Toc26747 </w:instrText>
      </w:r>
      <w:r>
        <w:rPr>
          <w:rFonts w:hint="default" w:ascii="Times New Roman" w:hAnsi="Times New Roman" w:cs="Times New Roman"/>
          <w:sz w:val="28"/>
          <w:szCs w:val="28"/>
        </w:rPr>
        <w:fldChar w:fldCharType="separate"/>
      </w:r>
      <w:r>
        <w:rPr>
          <w:rFonts w:hint="default" w:ascii="Times New Roman" w:hAnsi="Times New Roman" w:eastAsia="黑体" w:cs="Times New Roman"/>
          <w:sz w:val="28"/>
          <w:szCs w:val="28"/>
          <w:lang w:eastAsia="zh-CN"/>
        </w:rPr>
        <w:t>四</w:t>
      </w:r>
      <w:r>
        <w:rPr>
          <w:rFonts w:hint="default" w:ascii="Times New Roman" w:hAnsi="Times New Roman" w:eastAsia="黑体" w:cs="Times New Roman"/>
          <w:sz w:val="28"/>
          <w:szCs w:val="28"/>
        </w:rPr>
        <w:t>、标准主要内容</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_Toc26747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6</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3"/>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_Toc1921 </w:instrText>
      </w:r>
      <w:r>
        <w:rPr>
          <w:rFonts w:hint="default" w:ascii="Times New Roman" w:hAnsi="Times New Roman" w:cs="Times New Roman"/>
          <w:sz w:val="28"/>
          <w:szCs w:val="28"/>
        </w:rPr>
        <w:fldChar w:fldCharType="separate"/>
      </w:r>
      <w:r>
        <w:rPr>
          <w:rFonts w:hint="default" w:ascii="Times New Roman" w:hAnsi="Times New Roman" w:eastAsia="楷体" w:cs="Times New Roman"/>
          <w:bCs w:val="0"/>
          <w:sz w:val="28"/>
          <w:szCs w:val="28"/>
          <w:lang w:val="en-US" w:eastAsia="zh-CN"/>
        </w:rPr>
        <w:t>（一）范围</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_Toc1921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6</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3"/>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_Toc12110 </w:instrText>
      </w:r>
      <w:r>
        <w:rPr>
          <w:rFonts w:hint="default" w:ascii="Times New Roman" w:hAnsi="Times New Roman" w:cs="Times New Roman"/>
          <w:sz w:val="28"/>
          <w:szCs w:val="28"/>
        </w:rPr>
        <w:fldChar w:fldCharType="separate"/>
      </w:r>
      <w:r>
        <w:rPr>
          <w:rFonts w:hint="default" w:ascii="Times New Roman" w:hAnsi="Times New Roman" w:eastAsia="楷体" w:cs="Times New Roman"/>
          <w:bCs w:val="0"/>
          <w:sz w:val="28"/>
          <w:szCs w:val="28"/>
          <w:lang w:val="en-US" w:eastAsia="zh-CN"/>
        </w:rPr>
        <w:t>（二）规范性引用文件</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_Toc12110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6</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3"/>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_Toc27903 </w:instrText>
      </w:r>
      <w:r>
        <w:rPr>
          <w:rFonts w:hint="default" w:ascii="Times New Roman" w:hAnsi="Times New Roman" w:cs="Times New Roman"/>
          <w:sz w:val="28"/>
          <w:szCs w:val="28"/>
        </w:rPr>
        <w:fldChar w:fldCharType="separate"/>
      </w:r>
      <w:r>
        <w:rPr>
          <w:rFonts w:hint="default" w:ascii="Times New Roman" w:hAnsi="Times New Roman" w:eastAsia="楷体" w:cs="Times New Roman"/>
          <w:bCs w:val="0"/>
          <w:sz w:val="28"/>
          <w:szCs w:val="28"/>
          <w:lang w:val="en-US" w:eastAsia="zh-CN"/>
        </w:rPr>
        <w:t>（三）术语和定义</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_Toc27903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7</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3"/>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_Toc2450 </w:instrText>
      </w:r>
      <w:r>
        <w:rPr>
          <w:rFonts w:hint="default" w:ascii="Times New Roman" w:hAnsi="Times New Roman" w:cs="Times New Roman"/>
          <w:sz w:val="28"/>
          <w:szCs w:val="28"/>
        </w:rPr>
        <w:fldChar w:fldCharType="separate"/>
      </w:r>
      <w:r>
        <w:rPr>
          <w:rFonts w:hint="default" w:ascii="Times New Roman" w:hAnsi="Times New Roman" w:eastAsia="楷体" w:cs="Times New Roman"/>
          <w:bCs w:val="0"/>
          <w:sz w:val="28"/>
          <w:szCs w:val="28"/>
          <w:lang w:val="en-US" w:eastAsia="zh-CN"/>
        </w:rPr>
        <w:t>（四）规划与建设总则</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_Toc2450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7</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3"/>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_Toc5142 </w:instrText>
      </w:r>
      <w:r>
        <w:rPr>
          <w:rFonts w:hint="default" w:ascii="Times New Roman" w:hAnsi="Times New Roman" w:cs="Times New Roman"/>
          <w:sz w:val="28"/>
          <w:szCs w:val="28"/>
        </w:rPr>
        <w:fldChar w:fldCharType="separate"/>
      </w:r>
      <w:r>
        <w:rPr>
          <w:rFonts w:hint="default" w:ascii="Times New Roman" w:hAnsi="Times New Roman" w:eastAsia="楷体" w:cs="Times New Roman"/>
          <w:bCs w:val="0"/>
          <w:sz w:val="28"/>
          <w:szCs w:val="28"/>
          <w:lang w:val="en-US" w:eastAsia="zh-CN"/>
        </w:rPr>
        <w:t>（五）规划要求</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_Toc5142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7</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3"/>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_Toc28741 </w:instrText>
      </w:r>
      <w:r>
        <w:rPr>
          <w:rFonts w:hint="default" w:ascii="Times New Roman" w:hAnsi="Times New Roman" w:cs="Times New Roman"/>
          <w:sz w:val="28"/>
          <w:szCs w:val="28"/>
        </w:rPr>
        <w:fldChar w:fldCharType="separate"/>
      </w:r>
      <w:r>
        <w:rPr>
          <w:rFonts w:hint="default" w:ascii="Times New Roman" w:hAnsi="Times New Roman" w:eastAsia="楷体" w:cs="Times New Roman"/>
          <w:bCs w:val="0"/>
          <w:sz w:val="28"/>
          <w:szCs w:val="28"/>
          <w:lang w:val="en-US" w:eastAsia="zh-CN"/>
        </w:rPr>
        <w:t>（六）建设内容</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_Toc28741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8</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3"/>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_Toc21303 </w:instrText>
      </w:r>
      <w:r>
        <w:rPr>
          <w:rFonts w:hint="default" w:ascii="Times New Roman" w:hAnsi="Times New Roman" w:cs="Times New Roman"/>
          <w:sz w:val="28"/>
          <w:szCs w:val="28"/>
        </w:rPr>
        <w:fldChar w:fldCharType="separate"/>
      </w:r>
      <w:r>
        <w:rPr>
          <w:rFonts w:hint="default" w:ascii="Times New Roman" w:hAnsi="Times New Roman" w:eastAsia="楷体" w:cs="Times New Roman"/>
          <w:bCs w:val="0"/>
          <w:sz w:val="28"/>
          <w:szCs w:val="28"/>
          <w:lang w:val="en-US" w:eastAsia="zh-CN"/>
        </w:rPr>
        <w:t>（七）建设监管</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_Toc21303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8</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3"/>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_Toc17363 </w:instrText>
      </w:r>
      <w:r>
        <w:rPr>
          <w:rFonts w:hint="default" w:ascii="Times New Roman" w:hAnsi="Times New Roman" w:cs="Times New Roman"/>
          <w:sz w:val="28"/>
          <w:szCs w:val="28"/>
        </w:rPr>
        <w:fldChar w:fldCharType="separate"/>
      </w:r>
      <w:r>
        <w:rPr>
          <w:rFonts w:hint="default" w:ascii="Times New Roman" w:hAnsi="Times New Roman" w:eastAsia="楷体" w:cs="Times New Roman"/>
          <w:bCs w:val="0"/>
          <w:sz w:val="28"/>
          <w:szCs w:val="28"/>
          <w:lang w:val="en-US" w:eastAsia="zh-CN"/>
        </w:rPr>
        <w:t>（八）建后管护与利用</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_Toc17363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8</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3"/>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_Toc26073 </w:instrText>
      </w:r>
      <w:r>
        <w:rPr>
          <w:rFonts w:hint="default" w:ascii="Times New Roman" w:hAnsi="Times New Roman" w:cs="Times New Roman"/>
          <w:sz w:val="28"/>
          <w:szCs w:val="28"/>
        </w:rPr>
        <w:fldChar w:fldCharType="separate"/>
      </w:r>
      <w:r>
        <w:rPr>
          <w:rFonts w:hint="default" w:ascii="Times New Roman" w:hAnsi="Times New Roman" w:eastAsia="楷体" w:cs="Times New Roman"/>
          <w:bCs w:val="0"/>
          <w:sz w:val="28"/>
          <w:szCs w:val="28"/>
          <w:lang w:val="en-US" w:eastAsia="zh-CN"/>
        </w:rPr>
        <w:t>（九）实施保障</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_Toc26073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9</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3"/>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_Toc9130 </w:instrText>
      </w:r>
      <w:r>
        <w:rPr>
          <w:rFonts w:hint="default" w:ascii="Times New Roman" w:hAnsi="Times New Roman" w:cs="Times New Roman"/>
          <w:sz w:val="28"/>
          <w:szCs w:val="28"/>
        </w:rPr>
        <w:fldChar w:fldCharType="separate"/>
      </w:r>
      <w:r>
        <w:rPr>
          <w:rFonts w:hint="default" w:ascii="Times New Roman" w:hAnsi="Times New Roman" w:eastAsia="楷体" w:cs="Times New Roman"/>
          <w:bCs w:val="0"/>
          <w:sz w:val="28"/>
          <w:szCs w:val="28"/>
          <w:lang w:val="en-US" w:eastAsia="zh-CN"/>
        </w:rPr>
        <w:t>（十）参考文献</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_Toc9130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9</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2"/>
        <w:tabs>
          <w:tab w:val="right" w:leader="dot" w:pos="8306"/>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_Toc16440 </w:instrText>
      </w:r>
      <w:r>
        <w:rPr>
          <w:rFonts w:hint="default" w:ascii="Times New Roman" w:hAnsi="Times New Roman" w:cs="Times New Roman"/>
          <w:sz w:val="28"/>
          <w:szCs w:val="28"/>
        </w:rPr>
        <w:fldChar w:fldCharType="separate"/>
      </w:r>
      <w:r>
        <w:rPr>
          <w:rFonts w:hint="default" w:ascii="Times New Roman" w:hAnsi="Times New Roman" w:eastAsia="黑体" w:cs="Times New Roman"/>
          <w:sz w:val="28"/>
          <w:szCs w:val="28"/>
        </w:rPr>
        <w:t>五、重大分歧意见的处理经过和依据</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_Toc16440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9</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2"/>
        <w:tabs>
          <w:tab w:val="right" w:leader="dot" w:pos="8306"/>
        </w:tabs>
        <w:rPr>
          <w:rFonts w:hint="default" w:ascii="Times New Roman" w:hAnsi="Times New Roman" w:cs="Times New Roman"/>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_Toc25464 </w:instrText>
      </w:r>
      <w:r>
        <w:rPr>
          <w:rFonts w:hint="default" w:ascii="Times New Roman" w:hAnsi="Times New Roman" w:cs="Times New Roman"/>
          <w:sz w:val="28"/>
          <w:szCs w:val="28"/>
        </w:rPr>
        <w:fldChar w:fldCharType="separate"/>
      </w:r>
      <w:r>
        <w:rPr>
          <w:rFonts w:hint="default" w:ascii="Times New Roman" w:hAnsi="Times New Roman" w:eastAsia="黑体" w:cs="Times New Roman"/>
          <w:sz w:val="28"/>
          <w:szCs w:val="28"/>
          <w:lang w:eastAsia="zh-CN"/>
        </w:rPr>
        <w:t>六</w:t>
      </w:r>
      <w:r>
        <w:rPr>
          <w:rFonts w:hint="default" w:ascii="Times New Roman" w:hAnsi="Times New Roman" w:eastAsia="黑体" w:cs="Times New Roman"/>
          <w:sz w:val="28"/>
          <w:szCs w:val="28"/>
        </w:rPr>
        <w:t>、对规范性质的建议</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_Toc25464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10</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rPr>
          <w:rFonts w:hint="default" w:ascii="Times New Roman" w:hAnsi="Times New Roman" w:cs="Times New Roman"/>
          <w:szCs w:val="36"/>
        </w:rPr>
        <w:sectPr>
          <w:footerReference r:id="rId3" w:type="default"/>
          <w:pgSz w:w="11906" w:h="16838"/>
          <w:pgMar w:top="1440" w:right="1800" w:bottom="1440" w:left="1800" w:header="851" w:footer="992" w:gutter="0"/>
          <w:pgNumType w:fmt="upperRoman" w:start="1"/>
          <w:cols w:space="425" w:num="1"/>
          <w:docGrid w:type="lines" w:linePitch="312" w:charSpace="0"/>
        </w:sectPr>
      </w:pPr>
    </w:p>
    <w:p>
      <w:pPr>
        <w:pStyle w:val="4"/>
        <w:spacing w:line="560" w:lineRule="exact"/>
        <w:ind w:firstLine="0" w:firstLineChars="0"/>
        <w:rPr>
          <w:rFonts w:hint="default" w:ascii="Times New Roman" w:hAnsi="Times New Roman" w:eastAsia="黑体" w:cs="Times New Roman"/>
          <w:sz w:val="32"/>
          <w:szCs w:val="32"/>
          <w:lang w:eastAsia="zh-CN"/>
        </w:rPr>
      </w:pPr>
      <w:r>
        <w:rPr>
          <w:rFonts w:hint="default" w:ascii="Times New Roman" w:hAnsi="Times New Roman" w:cs="Times New Roman"/>
          <w:szCs w:val="36"/>
        </w:rPr>
        <w:fldChar w:fldCharType="end"/>
      </w:r>
      <w:bookmarkStart w:id="0" w:name="_Toc29657"/>
      <w:bookmarkStart w:id="1" w:name="_Toc1302"/>
      <w:r>
        <w:rPr>
          <w:rFonts w:hint="default" w:ascii="Times New Roman" w:hAnsi="Times New Roman" w:eastAsia="黑体" w:cs="Times New Roman"/>
          <w:sz w:val="32"/>
          <w:szCs w:val="32"/>
        </w:rPr>
        <w:t>一、项目背景</w:t>
      </w:r>
      <w:r>
        <w:rPr>
          <w:rFonts w:hint="default" w:ascii="Times New Roman" w:hAnsi="Times New Roman" w:eastAsia="黑体" w:cs="Times New Roman"/>
          <w:sz w:val="32"/>
          <w:szCs w:val="32"/>
          <w:lang w:eastAsia="zh-CN"/>
        </w:rPr>
        <w:t>和意义</w:t>
      </w:r>
      <w:bookmarkEnd w:id="0"/>
      <w:bookmarkEnd w:id="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2011年至2017年，全国已建设高标准农田约5.6亿亩，耕地质量大约提升一到两个等级，粮食产能大约提高10%至20%，为保障我国粮食安全做出了重要贡献。为深入推进高标准农田建设，提高粮食生产能力和效率、实施藏粮于地战略，确保“中国饭碗”装“中国粮食”。近年来，党中央、国务院对高标准农田建设作出了一系列新部署新要求。习近平总书记对高标准农田建设多次作出重要指示，反复强调要坚定不移抓好高标准农田建设。2021年中央一号文件明确强调，2021年要建设1亿亩旱涝保收、高产稳产高标准农田，《国务院办公厅关于切实加强高标准农田建设提升国家粮食安全保障能力的意见》（国办发〔2019〕50号）也对做好高标准农田建设提出了明确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强化制度供给已经成为规范开展农田建设管理的重要基础。《国务院办公厅关于切实加强高标准农田建设提升国家粮食安全保障能力的意见》《农田建设项目管理办法》《农田建设补助资金管理办法》《高标准农田建设质量管理办法（试行）》等规章制度，为高标准农田建设搭建起“四梁八柱”的基础制度体系。结合高标准农田建设实际情况，广东省构建出了“1＋1＋1＋N”模式，即“1个地方政府规章广东省耕地质量管理规定＋1个省政府办公厅关于进一步加强高标准农田建设的通知＋1个农田建设项目管理实施办法＋N个配套制度办法的制度体系”，基本构建起广东省农田建设管理制度体系。同时，一系列国家、行业标准的出台，如《高标准农田建设评价规范》（GB/T 33130）、《高标准农田建设 通则》（GB/T 30600）、《高标准农田建设标准》（NY/T 2148）、《高标准农田建设技术规范》（NY/T 2949）为高标准农田建设提供了指引。</w:t>
      </w:r>
    </w:p>
    <w:p>
      <w:pPr>
        <w:ind w:firstLine="640" w:firstLineChars="200"/>
        <w:jc w:val="both"/>
        <w:rPr>
          <w:rFonts w:hint="default" w:ascii="Times New Roman" w:hAnsi="Times New Roman" w:eastAsia="仿宋_GB2312" w:cs="Times New Roman"/>
          <w:sz w:val="32"/>
          <w:szCs w:val="32"/>
          <w:lang w:eastAsia="zh-CN"/>
        </w:rPr>
      </w:pPr>
      <w:r>
        <w:rPr>
          <w:rFonts w:hint="default" w:ascii="Times New Roman" w:hAnsi="Times New Roman" w:eastAsia="仿宋" w:cs="Times New Roman"/>
          <w:color w:val="000000"/>
          <w:kern w:val="0"/>
          <w:sz w:val="32"/>
          <w:szCs w:val="32"/>
        </w:rPr>
        <w:t>为全面掌握深圳市基本农田现状，高质量制定高标准农田相关标准，更好建设和管护已有基本农田，深圳市市场监督管理局开展</w:t>
      </w:r>
      <w:r>
        <w:rPr>
          <w:rFonts w:hint="default" w:ascii="Times New Roman" w:hAnsi="Times New Roman" w:eastAsia="仿宋" w:cs="Times New Roman"/>
          <w:color w:val="000000"/>
          <w:kern w:val="0"/>
          <w:sz w:val="32"/>
          <w:szCs w:val="32"/>
          <w:lang w:eastAsia="zh-CN"/>
        </w:rPr>
        <w:t>了</w:t>
      </w:r>
      <w:r>
        <w:rPr>
          <w:rFonts w:hint="default" w:ascii="Times New Roman" w:hAnsi="Times New Roman" w:eastAsia="仿宋" w:cs="Times New Roman"/>
          <w:color w:val="000000"/>
          <w:kern w:val="0"/>
          <w:sz w:val="32"/>
          <w:szCs w:val="32"/>
        </w:rPr>
        <w:t>深圳市基本农田标准化管理及维护巡视</w:t>
      </w:r>
      <w:r>
        <w:rPr>
          <w:rFonts w:hint="default" w:ascii="Times New Roman" w:hAnsi="Times New Roman" w:eastAsia="仿宋" w:cs="Times New Roman"/>
          <w:color w:val="000000"/>
          <w:kern w:val="0"/>
          <w:sz w:val="32"/>
          <w:szCs w:val="32"/>
          <w:lang w:eastAsia="zh-CN"/>
        </w:rPr>
        <w:t>工作，制定基本农田相关文件、系列标准和规范是该项工作的重要组成部分。</w:t>
      </w:r>
      <w:r>
        <w:rPr>
          <w:rFonts w:hint="default" w:ascii="Times New Roman" w:hAnsi="Times New Roman" w:eastAsia="仿宋" w:cs="Times New Roman"/>
          <w:b w:val="0"/>
          <w:bCs w:val="0"/>
          <w:color w:val="000000"/>
          <w:sz w:val="32"/>
          <w:szCs w:val="32"/>
          <w:lang w:val="en-US" w:eastAsia="zh-CN"/>
        </w:rPr>
        <w:t>编制深圳市高标准农田规划和建设标准，是贯彻落实党中央、国务院关于“推进农村土地整治，加快农村土地整理复垦，着力提高耕地质量建设，大规模建设涝保收高标准农田，夯实农业现代化基础”要求的重要举措；是高质量完成国家、省下达深圳市高标准农田建设任务，通过持续改造提升，进一步提高高标准农田建设质量，不断夯实粮食安全保障基础的具体要求；是结合深圳发展实际、自然禀赋、农业农田现状，高标准要求、高起点规划、高质量推进深圳市高标准农田规划和建设工作的迫切需求，使得深圳市高标准农田规划和建设有标准可循、有标准可参考，指导和规范各部门、项目管理人员及时准确地掌握相关要求，提升科学管理水平有序推进农田建设管理工作。</w:t>
      </w:r>
    </w:p>
    <w:p>
      <w:pPr>
        <w:pStyle w:val="4"/>
        <w:spacing w:line="560" w:lineRule="exact"/>
        <w:ind w:firstLine="161" w:firstLineChars="50"/>
        <w:rPr>
          <w:rFonts w:hint="default" w:ascii="Times New Roman" w:hAnsi="Times New Roman" w:eastAsia="黑体" w:cs="Times New Roman"/>
          <w:sz w:val="32"/>
          <w:szCs w:val="32"/>
        </w:rPr>
      </w:pPr>
      <w:bookmarkStart w:id="2" w:name="_Toc15943"/>
      <w:bookmarkStart w:id="3" w:name="_Toc1221"/>
      <w:r>
        <w:rPr>
          <w:rFonts w:hint="default" w:ascii="Times New Roman" w:hAnsi="Times New Roman" w:eastAsia="黑体" w:cs="Times New Roman"/>
          <w:sz w:val="32"/>
          <w:szCs w:val="32"/>
        </w:rPr>
        <w:t>二、指导思想和编制原则</w:t>
      </w:r>
      <w:bookmarkEnd w:id="2"/>
      <w:bookmarkEnd w:id="3"/>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default" w:ascii="Times New Roman" w:hAnsi="Times New Roman" w:eastAsia="楷体" w:cs="Times New Roman"/>
          <w:b w:val="0"/>
          <w:bCs w:val="0"/>
          <w:sz w:val="32"/>
          <w:lang w:eastAsia="zh-CN"/>
        </w:rPr>
      </w:pPr>
      <w:bookmarkStart w:id="4" w:name="_Toc11710"/>
      <w:bookmarkStart w:id="5" w:name="_Toc183"/>
      <w:bookmarkStart w:id="6" w:name="_Toc6108"/>
      <w:r>
        <w:rPr>
          <w:rFonts w:hint="default" w:ascii="Times New Roman" w:hAnsi="Times New Roman" w:eastAsia="楷体" w:cs="Times New Roman"/>
          <w:b w:val="0"/>
          <w:bCs w:val="0"/>
          <w:sz w:val="32"/>
          <w:lang w:eastAsia="zh-CN"/>
        </w:rPr>
        <w:t>（一）指导思想</w:t>
      </w:r>
      <w:bookmarkEnd w:id="4"/>
      <w:bookmarkEnd w:id="5"/>
      <w:bookmarkEnd w:id="6"/>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以习近平新时代中国特色社会主义思想为指导，全面贯彻党的十九大和十九届二中、三中、四中全会精神，紧紧围绕实施乡村振兴战略，按照农业高质量发展要求，以提升粮食产能为首要目标，突出抓好耕地保护、地力提升和农田管理，大力推进高标准农田建设，提升高标准农田管理水平，提高水土资源利用效率，切实增强农田防灾抗灾减灾能力，为保障国家粮食安全提供坚实基础。</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default" w:ascii="Times New Roman" w:hAnsi="Times New Roman" w:eastAsia="楷体" w:cs="Times New Roman"/>
          <w:b w:val="0"/>
          <w:bCs w:val="0"/>
          <w:sz w:val="32"/>
          <w:lang w:eastAsia="zh-CN"/>
        </w:rPr>
      </w:pPr>
      <w:bookmarkStart w:id="7" w:name="_Toc12727"/>
      <w:bookmarkStart w:id="8" w:name="_Toc16499"/>
      <w:bookmarkStart w:id="9" w:name="_Toc17971"/>
      <w:r>
        <w:rPr>
          <w:rFonts w:hint="default" w:ascii="Times New Roman" w:hAnsi="Times New Roman" w:eastAsia="楷体" w:cs="Times New Roman"/>
          <w:b w:val="0"/>
          <w:bCs w:val="0"/>
          <w:sz w:val="32"/>
          <w:lang w:eastAsia="zh-CN"/>
        </w:rPr>
        <w:t>（</w:t>
      </w:r>
      <w:r>
        <w:rPr>
          <w:rFonts w:hint="default" w:ascii="Times New Roman" w:hAnsi="Times New Roman" w:eastAsia="楷体" w:cs="Times New Roman"/>
          <w:b w:val="0"/>
          <w:bCs w:val="0"/>
          <w:sz w:val="32"/>
          <w:lang w:val="en-US" w:eastAsia="zh-CN"/>
        </w:rPr>
        <w:t>二</w:t>
      </w:r>
      <w:r>
        <w:rPr>
          <w:rFonts w:hint="default" w:ascii="Times New Roman" w:hAnsi="Times New Roman" w:eastAsia="楷体" w:cs="Times New Roman"/>
          <w:b w:val="0"/>
          <w:bCs w:val="0"/>
          <w:sz w:val="32"/>
          <w:lang w:eastAsia="zh-CN"/>
        </w:rPr>
        <w:t>）编制原则</w:t>
      </w:r>
      <w:bookmarkEnd w:id="7"/>
      <w:bookmarkEnd w:id="8"/>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本标准制定遵循以下原则：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——科学性原则。本标准的制定需要从内在规律出发，充分遵照国内相关法律法规，发展规划文件，标准主要内容和各项指标力求科学合理。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——协调一致原则。本标准参考目前广东省高标准农田发展实际，标准内容与关键指标要与国家标准、行业标准、规章制度等协调一致，确保标准的统一性、协调性。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——可操作性原则。本标准确定的关键指标应符合广东省的实际发展情况，不宜过高也不宜过低，在做到适度的前性的基础上，体现出可操作性原则。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——体现深圳特色原则。本标准的制定必须适应深圳市高标准农田建设的发展要求，体现深圳特色，为高标准农田规划和建设提供指导作用。</w:t>
      </w:r>
    </w:p>
    <w:p>
      <w:pPr>
        <w:pStyle w:val="4"/>
        <w:spacing w:line="560" w:lineRule="exact"/>
        <w:ind w:firstLine="161" w:firstLineChars="50"/>
        <w:rPr>
          <w:rFonts w:hint="default" w:ascii="Times New Roman" w:hAnsi="Times New Roman" w:eastAsia="黑体" w:cs="Times New Roman"/>
          <w:sz w:val="32"/>
          <w:szCs w:val="32"/>
        </w:rPr>
      </w:pPr>
      <w:bookmarkStart w:id="10" w:name="_Toc6362"/>
      <w:bookmarkStart w:id="11" w:name="_Toc3686"/>
      <w:r>
        <w:rPr>
          <w:rFonts w:hint="default" w:ascii="Times New Roman" w:hAnsi="Times New Roman" w:eastAsia="黑体" w:cs="Times New Roman"/>
          <w:sz w:val="32"/>
          <w:szCs w:val="32"/>
          <w:lang w:val="en-US" w:eastAsia="zh-CN"/>
        </w:rPr>
        <w:t>三、编制简况</w:t>
      </w:r>
      <w:bookmarkEnd w:id="10"/>
      <w:bookmarkEnd w:id="11"/>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default" w:ascii="Times New Roman" w:hAnsi="Times New Roman" w:eastAsia="楷体" w:cs="Times New Roman"/>
          <w:b w:val="0"/>
          <w:bCs w:val="0"/>
          <w:sz w:val="32"/>
          <w:lang w:eastAsia="zh-CN"/>
        </w:rPr>
      </w:pPr>
      <w:bookmarkStart w:id="12" w:name="_Toc17797"/>
      <w:bookmarkStart w:id="13" w:name="_Toc6930"/>
      <w:r>
        <w:rPr>
          <w:rFonts w:hint="default" w:ascii="Times New Roman" w:hAnsi="Times New Roman" w:eastAsia="楷体" w:cs="Times New Roman"/>
          <w:b w:val="0"/>
          <w:bCs w:val="0"/>
          <w:sz w:val="32"/>
          <w:lang w:eastAsia="zh-CN"/>
        </w:rPr>
        <w:t>（一）任务来源</w:t>
      </w:r>
      <w:bookmarkEnd w:id="12"/>
      <w:bookmarkEnd w:id="13"/>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2022年5月11日，深圳市市场监督管理局通过购买服务的方式启动基本农田标准化管理及维护巡视服务项目工作，开展基本农田建设与管理的顶层设计研究，搭建深圳市高标准农田标准体系，制定高标准农田相关系列标准。</w:t>
      </w:r>
    </w:p>
    <w:p>
      <w:pPr>
        <w:pStyle w:val="5"/>
        <w:keepNext/>
        <w:keepLines/>
        <w:pageBreakBefore w:val="0"/>
        <w:widowControl w:val="0"/>
        <w:numPr>
          <w:ilvl w:val="0"/>
          <w:numId w:val="1"/>
        </w:numPr>
        <w:kinsoku/>
        <w:wordWrap/>
        <w:overflowPunct/>
        <w:topLinePunct w:val="0"/>
        <w:autoSpaceDE/>
        <w:autoSpaceDN/>
        <w:bidi w:val="0"/>
        <w:adjustRightInd/>
        <w:snapToGrid/>
        <w:spacing w:before="157" w:beforeLines="50" w:after="157" w:afterLines="50" w:line="240" w:lineRule="auto"/>
        <w:textAlignment w:val="auto"/>
        <w:rPr>
          <w:rFonts w:hint="default" w:ascii="Times New Roman" w:hAnsi="Times New Roman" w:eastAsia="楷体" w:cs="Times New Roman"/>
          <w:b w:val="0"/>
          <w:bCs w:val="0"/>
          <w:sz w:val="32"/>
          <w:lang w:val="en-US" w:eastAsia="zh-CN"/>
        </w:rPr>
      </w:pPr>
      <w:bookmarkStart w:id="14" w:name="_Toc11342"/>
      <w:bookmarkStart w:id="15" w:name="_Toc25524"/>
      <w:bookmarkStart w:id="16" w:name="_Toc18826"/>
      <w:r>
        <w:rPr>
          <w:rFonts w:hint="default" w:ascii="Times New Roman" w:hAnsi="Times New Roman" w:eastAsia="楷体" w:cs="Times New Roman"/>
          <w:b w:val="0"/>
          <w:bCs w:val="0"/>
          <w:sz w:val="32"/>
          <w:lang w:val="en-US" w:eastAsia="zh-CN"/>
        </w:rPr>
        <w:t>起草单位情况</w:t>
      </w:r>
      <w:bookmarkEnd w:id="14"/>
      <w:bookmarkEnd w:id="15"/>
      <w:bookmarkEnd w:id="16"/>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2022年6月2日，深圳市标准技术研究院通过公开招投标的方式成功中标《基本农田标准化管理及维护巡视服务项目》，具体承担制定基本农田相关文件、系列标准和规范等系列工作任务。</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default" w:ascii="Times New Roman" w:hAnsi="Times New Roman" w:eastAsia="楷体" w:cs="Times New Roman"/>
          <w:b w:val="0"/>
          <w:bCs w:val="0"/>
          <w:sz w:val="32"/>
          <w:lang w:val="en-US" w:eastAsia="zh-CN"/>
        </w:rPr>
      </w:pPr>
      <w:bookmarkStart w:id="17" w:name="_Toc23969"/>
      <w:bookmarkStart w:id="18" w:name="_Toc4451"/>
      <w:bookmarkStart w:id="19" w:name="_Toc2868"/>
      <w:r>
        <w:rPr>
          <w:rFonts w:hint="default" w:ascii="Times New Roman" w:hAnsi="Times New Roman" w:eastAsia="楷体" w:cs="Times New Roman"/>
          <w:b w:val="0"/>
          <w:bCs w:val="0"/>
          <w:sz w:val="32"/>
          <w:lang w:val="en-US" w:eastAsia="zh-CN"/>
        </w:rPr>
        <w:t>（三）主要编制过程</w:t>
      </w:r>
      <w:bookmarkEnd w:id="17"/>
      <w:bookmarkEnd w:id="18"/>
      <w:bookmarkEnd w:id="1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bookmarkStart w:id="20" w:name="_Toc508095739"/>
      <w:r>
        <w:rPr>
          <w:rFonts w:hint="default" w:ascii="Times New Roman" w:hAnsi="Times New Roman" w:eastAsia="仿宋" w:cs="Times New Roman"/>
          <w:b w:val="0"/>
          <w:bCs w:val="0"/>
          <w:color w:val="000000"/>
          <w:sz w:val="32"/>
          <w:szCs w:val="32"/>
          <w:lang w:val="en-US" w:eastAsia="zh-CN"/>
        </w:rPr>
        <w:t>在中标《基本农田标准化管理及维护巡视服务项目》后，深圳市标准技术研究院组成《高标准农田</w:t>
      </w:r>
      <w:r>
        <w:rPr>
          <w:rFonts w:hint="eastAsia" w:ascii="Times New Roman" w:hAnsi="Times New Roman" w:eastAsia="仿宋" w:cs="Times New Roman"/>
          <w:b w:val="0"/>
          <w:bCs w:val="0"/>
          <w:color w:val="000000"/>
          <w:sz w:val="32"/>
          <w:szCs w:val="32"/>
          <w:lang w:val="en-US" w:eastAsia="zh-CN"/>
        </w:rPr>
        <w:t xml:space="preserve"> </w:t>
      </w:r>
      <w:r>
        <w:rPr>
          <w:rFonts w:hint="default" w:ascii="Times New Roman" w:hAnsi="Times New Roman" w:eastAsia="仿宋" w:cs="Times New Roman"/>
          <w:b w:val="0"/>
          <w:bCs w:val="0"/>
          <w:color w:val="000000"/>
          <w:sz w:val="32"/>
          <w:szCs w:val="32"/>
          <w:lang w:val="en-US" w:eastAsia="zh-CN"/>
        </w:rPr>
        <w:t>规划和建设》编</w:t>
      </w:r>
      <w:bookmarkStart w:id="57" w:name="_GoBack"/>
      <w:bookmarkEnd w:id="57"/>
      <w:r>
        <w:rPr>
          <w:rFonts w:hint="default" w:ascii="Times New Roman" w:hAnsi="Times New Roman" w:eastAsia="仿宋" w:cs="Times New Roman"/>
          <w:b w:val="0"/>
          <w:bCs w:val="0"/>
          <w:color w:val="000000"/>
          <w:sz w:val="32"/>
          <w:szCs w:val="32"/>
          <w:lang w:val="en-US" w:eastAsia="zh-CN"/>
        </w:rPr>
        <w:t xml:space="preserve">写小组，在深圳市市场监督管理局的大力支持下，开展了资料收集、条款分析、实地调研、内部研讨等相关工作。 </w:t>
      </w:r>
    </w:p>
    <w:p>
      <w:pPr>
        <w:keepNext w:val="0"/>
        <w:keepLines w:val="0"/>
        <w:widowControl/>
        <w:suppressLineNumbers w:val="0"/>
        <w:jc w:val="left"/>
        <w:rPr>
          <w:rFonts w:hint="default" w:ascii="Times New Roman" w:hAnsi="Times New Roman" w:eastAsia="仿宋_GB2312" w:cs="Times New Roman"/>
          <w:b/>
          <w:bCs/>
          <w:color w:val="000000"/>
          <w:kern w:val="0"/>
          <w:sz w:val="31"/>
          <w:szCs w:val="31"/>
          <w:highlight w:val="none"/>
          <w:lang w:val="en-US" w:eastAsia="zh-CN" w:bidi="ar"/>
        </w:rPr>
      </w:pPr>
      <w:r>
        <w:rPr>
          <w:rFonts w:hint="default" w:ascii="Times New Roman" w:hAnsi="Times New Roman" w:eastAsia="仿宋_GB2312" w:cs="Times New Roman"/>
          <w:b/>
          <w:bCs/>
          <w:color w:val="000000"/>
          <w:kern w:val="0"/>
          <w:sz w:val="31"/>
          <w:szCs w:val="31"/>
          <w:highlight w:val="none"/>
          <w:lang w:val="en-US" w:eastAsia="zh-CN" w:bidi="ar"/>
        </w:rPr>
        <w:t>1.立项</w:t>
      </w:r>
      <w:bookmarkEnd w:id="20"/>
      <w:r>
        <w:rPr>
          <w:rFonts w:hint="default" w:ascii="Times New Roman" w:hAnsi="Times New Roman" w:eastAsia="仿宋_GB2312" w:cs="Times New Roman"/>
          <w:b/>
          <w:bCs/>
          <w:color w:val="000000"/>
          <w:kern w:val="0"/>
          <w:sz w:val="31"/>
          <w:szCs w:val="31"/>
          <w:highlight w:val="none"/>
          <w:lang w:val="en-US" w:eastAsia="zh-CN" w:bidi="ar"/>
        </w:rPr>
        <w:t>阶段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2022年9月，团体标准《高标准农田管理规范》完成立项工作。</w:t>
      </w:r>
    </w:p>
    <w:p>
      <w:pPr>
        <w:keepNext w:val="0"/>
        <w:keepLines w:val="0"/>
        <w:widowControl/>
        <w:numPr>
          <w:ilvl w:val="0"/>
          <w:numId w:val="2"/>
        </w:numPr>
        <w:suppressLineNumbers w:val="0"/>
        <w:jc w:val="left"/>
        <w:rPr>
          <w:rFonts w:hint="default" w:ascii="Times New Roman" w:hAnsi="Times New Roman" w:eastAsia="仿宋_GB2312" w:cs="Times New Roman"/>
          <w:b/>
          <w:bCs/>
          <w:color w:val="000000"/>
          <w:kern w:val="0"/>
          <w:sz w:val="31"/>
          <w:szCs w:val="31"/>
          <w:highlight w:val="none"/>
          <w:lang w:val="en-US" w:eastAsia="zh-CN" w:bidi="ar"/>
        </w:rPr>
      </w:pPr>
      <w:r>
        <w:rPr>
          <w:rFonts w:hint="default" w:ascii="Times New Roman" w:hAnsi="Times New Roman" w:eastAsia="仿宋_GB2312" w:cs="Times New Roman"/>
          <w:b/>
          <w:bCs/>
          <w:color w:val="000000"/>
          <w:kern w:val="0"/>
          <w:sz w:val="31"/>
          <w:szCs w:val="31"/>
          <w:highlight w:val="none"/>
          <w:lang w:val="en-US" w:eastAsia="zh-CN" w:bidi="ar"/>
        </w:rPr>
        <w:t>资料收集与分析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 xml:space="preserve">编写小组系统收集了与高标准农田规划和建设管理相关的法律法规、政策制度、标准等。主要包括国内相关法规政策，如汇总整理《基本农田保护条例》《自然资源部农业农村部关于加强和改进永久基本农田保护工作的通知》《全国高标准农田建设规划》；系统收集和梳理与高标准农田管理有关的国家、行业、地方标准制修订和应用情况。编制小组对收集的相关法律法规、标准等资料进行了系统分析，初步确定《高标准农田规划和建设》编制的关键环节、基本思路和内容。 </w:t>
      </w:r>
    </w:p>
    <w:p>
      <w:pPr>
        <w:keepNext w:val="0"/>
        <w:keepLines w:val="0"/>
        <w:widowControl/>
        <w:numPr>
          <w:ilvl w:val="0"/>
          <w:numId w:val="2"/>
        </w:numPr>
        <w:suppressLineNumbers w:val="0"/>
        <w:ind w:left="0" w:leftChars="0" w:firstLine="0" w:firstLineChars="0"/>
        <w:jc w:val="left"/>
        <w:rPr>
          <w:rFonts w:hint="default" w:ascii="Times New Roman" w:hAnsi="Times New Roman" w:eastAsia="仿宋_GB2312" w:cs="Times New Roman"/>
          <w:b/>
          <w:bCs/>
          <w:color w:val="000000"/>
          <w:kern w:val="0"/>
          <w:sz w:val="31"/>
          <w:szCs w:val="31"/>
          <w:highlight w:val="none"/>
          <w:lang w:val="en-US" w:eastAsia="zh-CN" w:bidi="ar"/>
        </w:rPr>
      </w:pPr>
      <w:r>
        <w:rPr>
          <w:rFonts w:hint="default" w:ascii="Times New Roman" w:hAnsi="Times New Roman" w:eastAsia="仿宋_GB2312" w:cs="Times New Roman"/>
          <w:b/>
          <w:bCs/>
          <w:color w:val="000000"/>
          <w:kern w:val="0"/>
          <w:sz w:val="31"/>
          <w:szCs w:val="31"/>
          <w:highlight w:val="none"/>
          <w:lang w:val="en-US" w:eastAsia="zh-CN" w:bidi="ar"/>
        </w:rPr>
        <w:t>标准草案编制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 xml:space="preserve">2022年6月，成立标准编制组，初步构建标准草案的框架，明确任务和分工。 </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2022年7-8月，通过实地调研、文献资料研究，组织起草形成标准工作讨论稿；开展多次内部讨论，完善草案。</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2022年9月中旬，标准编制组以函审的方式组织来自相关领域专家，对标准草案科学性、规范性、适用性提出完善建议。</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default" w:ascii="Times New Roman" w:hAnsi="Times New Roman" w:eastAsia="楷体" w:cs="Times New Roman"/>
          <w:b w:val="0"/>
          <w:bCs w:val="0"/>
          <w:sz w:val="32"/>
          <w:lang w:val="en-US" w:eastAsia="zh-CN"/>
        </w:rPr>
      </w:pPr>
      <w:r>
        <w:rPr>
          <w:rFonts w:hint="default" w:ascii="Times New Roman" w:hAnsi="Times New Roman" w:eastAsia="楷体" w:cs="Times New Roman"/>
          <w:b w:val="0"/>
          <w:bCs w:val="0"/>
          <w:sz w:val="32"/>
          <w:lang w:val="en-US" w:eastAsia="zh-CN"/>
        </w:rPr>
        <w:t>（四）标准意见征集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2023年4月至6月，编制组通过函审和专题研讨会，对《</w:t>
      </w:r>
      <w:r>
        <w:rPr>
          <w:rFonts w:hint="default" w:ascii="Times New Roman" w:hAnsi="Times New Roman" w:eastAsia="仿宋" w:cs="Times New Roman"/>
          <w:b w:val="0"/>
          <w:bCs w:val="0"/>
          <w:color w:val="000000"/>
          <w:sz w:val="32"/>
          <w:szCs w:val="32"/>
          <w:lang w:val="en-US" w:eastAsia="zh-Hans"/>
        </w:rPr>
        <w:t>高标准农田</w:t>
      </w:r>
      <w:r>
        <w:rPr>
          <w:rFonts w:hint="default" w:ascii="Times New Roman" w:hAnsi="Times New Roman" w:eastAsia="仿宋" w:cs="Times New Roman"/>
          <w:b w:val="0"/>
          <w:bCs w:val="0"/>
          <w:color w:val="000000"/>
          <w:sz w:val="32"/>
          <w:szCs w:val="32"/>
          <w:lang w:val="en-US" w:eastAsia="zh-CN"/>
        </w:rPr>
        <w:t xml:space="preserve"> </w:t>
      </w:r>
      <w:r>
        <w:rPr>
          <w:rFonts w:hint="default" w:ascii="Times New Roman" w:hAnsi="Times New Roman" w:eastAsia="仿宋" w:cs="Times New Roman"/>
          <w:b w:val="0"/>
          <w:bCs w:val="0"/>
          <w:color w:val="000000"/>
          <w:sz w:val="32"/>
          <w:szCs w:val="32"/>
          <w:lang w:val="en-US" w:eastAsia="zh-Hans"/>
        </w:rPr>
        <w:t xml:space="preserve"> 土壤质量提升</w:t>
      </w:r>
      <w:r>
        <w:rPr>
          <w:rFonts w:hint="default" w:ascii="Times New Roman" w:hAnsi="Times New Roman" w:eastAsia="仿宋" w:cs="Times New Roman"/>
          <w:b w:val="0"/>
          <w:bCs w:val="0"/>
          <w:color w:val="000000"/>
          <w:sz w:val="32"/>
          <w:szCs w:val="32"/>
          <w:lang w:val="en-US" w:eastAsia="zh-CN"/>
        </w:rPr>
        <w:t>》草案进行意见征集与修改，相关意见汇总处理见下表。</w:t>
      </w:r>
    </w:p>
    <w:p>
      <w:pPr>
        <w:widowControl w:val="0"/>
        <w:spacing w:after="120" w:afterLines="0" w:afterAutospacing="0" w:line="560" w:lineRule="exact"/>
        <w:ind w:left="0" w:leftChars="0" w:firstLine="0" w:firstLineChars="0"/>
        <w:jc w:val="center"/>
        <w:rPr>
          <w:rFonts w:hint="default" w:ascii="Times New Roman" w:hAnsi="Times New Roman" w:eastAsia="黑体" w:cs="Times New Roman"/>
          <w:kern w:val="2"/>
          <w:sz w:val="28"/>
          <w:szCs w:val="21"/>
          <w:lang w:val="en-US" w:eastAsia="zh-CN" w:bidi="ar-SA"/>
        </w:rPr>
      </w:pPr>
      <w:r>
        <w:rPr>
          <w:rFonts w:hint="default" w:ascii="Times New Roman" w:hAnsi="Times New Roman" w:eastAsia="黑体" w:cs="Times New Roman"/>
          <w:kern w:val="2"/>
          <w:sz w:val="28"/>
          <w:szCs w:val="21"/>
          <w:lang w:val="en-US" w:eastAsia="zh-CN" w:bidi="ar-SA"/>
        </w:rPr>
        <w:t>表1 征求意见汇总表</w:t>
      </w:r>
    </w:p>
    <w:tbl>
      <w:tblPr>
        <w:tblStyle w:val="15"/>
        <w:tblW w:w="0" w:type="auto"/>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8"/>
        <w:gridCol w:w="1380"/>
        <w:gridCol w:w="2126"/>
        <w:gridCol w:w="1594"/>
        <w:gridCol w:w="1808"/>
        <w:gridCol w:w="759"/>
      </w:tblGrid>
      <w:tr>
        <w:tblPrEx>
          <w:tblCellMar>
            <w:top w:w="0" w:type="dxa"/>
            <w:left w:w="108" w:type="dxa"/>
            <w:bottom w:w="0" w:type="dxa"/>
            <w:right w:w="108" w:type="dxa"/>
          </w:tblCellMar>
        </w:tblPrEx>
        <w:trPr>
          <w:trHeight w:val="489"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序号</w:t>
            </w: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章条编号</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意见内容</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FF0000"/>
                <w:sz w:val="24"/>
              </w:rPr>
            </w:pPr>
            <w:r>
              <w:rPr>
                <w:rFonts w:hint="default" w:ascii="Times New Roman" w:hAnsi="Times New Roman" w:cs="Times New Roman"/>
                <w:sz w:val="24"/>
              </w:rPr>
              <w:t>提出单位</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处理意见</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r>
              <w:rPr>
                <w:rFonts w:hint="default" w:ascii="Times New Roman" w:hAnsi="Times New Roman" w:cs="Times New Roman"/>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lang w:val="en-US"/>
              </w:rPr>
            </w:pPr>
            <w:r>
              <w:rPr>
                <w:rFonts w:hint="default" w:ascii="Times New Roman" w:hAnsi="Times New Roman" w:eastAsia="黑体" w:cs="Times New Roman"/>
                <w:kern w:val="0"/>
                <w:sz w:val="21"/>
                <w:szCs w:val="21"/>
                <w:lang w:val="en-US" w:eastAsia="zh-CN" w:bidi="ar-SA"/>
              </w:rPr>
              <w:t>4.2</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建议修改为“高标准农田规划和建设应符合GB/T 30600、TD/T 1033、NY/T 2148、NY/T 2247、NY/T 2949的规定。应提出符合国家法律法规、全面规划、综合治理和利用、因地制宜、突出重点、注重实效、可持续发展、经济合理等方面的原则。”</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FF0000"/>
                <w:sz w:val="24"/>
                <w:szCs w:val="24"/>
              </w:rPr>
            </w:pPr>
            <w:r>
              <w:rPr>
                <w:rFonts w:hint="eastAsia" w:ascii="宋体" w:hAnsi="宋体" w:eastAsia="宋体" w:cs="宋体"/>
                <w:sz w:val="24"/>
                <w:szCs w:val="24"/>
              </w:rPr>
              <w:t>黑龙江省农业科学院</w:t>
            </w:r>
            <w:r>
              <w:rPr>
                <w:rFonts w:hint="eastAsia" w:ascii="宋体" w:hAnsi="宋体" w:eastAsia="宋体" w:cs="宋体"/>
                <w:sz w:val="24"/>
                <w:szCs w:val="24"/>
                <w:lang w:val="en-US" w:eastAsia="zh-CN"/>
              </w:rPr>
              <w:t xml:space="preserve"> 毕影东</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CN"/>
              </w:rPr>
              <w:t>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8"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r>
              <w:rPr>
                <w:rFonts w:hint="default" w:ascii="Times New Roman" w:hAnsi="Times New Roman" w:eastAsia="黑体" w:cs="Times New Roman"/>
                <w:kern w:val="0"/>
                <w:sz w:val="21"/>
                <w:szCs w:val="21"/>
                <w:lang w:val="en-US" w:eastAsia="zh-CN" w:bidi="ar-SA"/>
              </w:rPr>
              <w:t>4.7</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充分尊重农民意愿，维护土地权利人合法权益</w:t>
            </w:r>
            <w:r>
              <w:rPr>
                <w:rFonts w:hint="eastAsia" w:ascii="宋体" w:hAnsi="宋体" w:eastAsia="宋体" w:cs="宋体"/>
                <w:sz w:val="24"/>
                <w:szCs w:val="24"/>
                <w:lang w:eastAsia="zh-CN"/>
              </w:rPr>
              <w:t>”</w:t>
            </w:r>
            <w:r>
              <w:rPr>
                <w:rFonts w:hint="eastAsia" w:ascii="宋体" w:hAnsi="宋体" w:eastAsia="宋体" w:cs="宋体"/>
                <w:sz w:val="24"/>
                <w:szCs w:val="24"/>
              </w:rPr>
              <w:t>建议结合深圳市农田的使用主体进行表述。</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深圳市农业科技促进中心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杨晓怀</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采纳。见“4.6  完善土地权属调整，保持项目区土地权属的完整性。”</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8"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kern w:val="0"/>
                <w:sz w:val="21"/>
                <w:szCs w:val="21"/>
                <w:lang w:val="en-US" w:eastAsia="zh-CN" w:bidi="ar-SA"/>
              </w:rPr>
            </w:pPr>
            <w:r>
              <w:rPr>
                <w:rFonts w:hint="default" w:ascii="Times New Roman" w:hAnsi="Times New Roman" w:eastAsia="黑体" w:cs="Times New Roman"/>
                <w:kern w:val="0"/>
                <w:sz w:val="21"/>
                <w:szCs w:val="21"/>
                <w:lang w:val="en-US" w:eastAsia="zh-CN" w:bidi="ar-SA"/>
              </w:rPr>
              <w:t>4.7</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建议修改为“完善土地权属调整，保持项目区土地权属的完整性。”</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黑龙江省农业科学院</w:t>
            </w:r>
            <w:r>
              <w:rPr>
                <w:rFonts w:hint="eastAsia" w:ascii="宋体" w:hAnsi="宋体" w:eastAsia="宋体" w:cs="宋体"/>
                <w:sz w:val="24"/>
                <w:szCs w:val="24"/>
                <w:lang w:val="en-US" w:eastAsia="zh-CN"/>
              </w:rPr>
              <w:t xml:space="preserve"> 毕影东</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采纳。见“4.6  完善土地权属调整，保持项目区土地权属的完整性。”</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8"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kern w:val="0"/>
                <w:sz w:val="21"/>
                <w:szCs w:val="21"/>
                <w:lang w:val="en-US" w:eastAsia="zh-CN" w:bidi="ar-SA"/>
              </w:rPr>
            </w:pPr>
            <w:r>
              <w:rPr>
                <w:rFonts w:hint="default" w:ascii="Times New Roman" w:hAnsi="Times New Roman" w:eastAsia="黑体" w:cs="Times New Roman"/>
                <w:kern w:val="0"/>
                <w:sz w:val="21"/>
                <w:szCs w:val="21"/>
                <w:lang w:val="en-US" w:eastAsia="zh-CN" w:bidi="ar-SA"/>
              </w:rPr>
              <w:t>4.8</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建议修改为“应明确分工，建立协调机制，互相配合，促进信息和资源共享，形成合力。”</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黑龙江省农业科学院</w:t>
            </w:r>
            <w:r>
              <w:rPr>
                <w:rFonts w:hint="eastAsia" w:ascii="宋体" w:hAnsi="宋体" w:eastAsia="宋体" w:cs="宋体"/>
                <w:sz w:val="24"/>
                <w:szCs w:val="24"/>
                <w:lang w:val="en-US" w:eastAsia="zh-CN"/>
              </w:rPr>
              <w:t xml:space="preserve"> 毕影东</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采纳。见4.</w:t>
            </w:r>
            <w:r>
              <w:rPr>
                <w:rFonts w:hint="eastAsia" w:ascii="宋体" w:hAnsi="宋体" w:eastAsia="宋体" w:cs="宋体"/>
                <w:sz w:val="24"/>
                <w:szCs w:val="24"/>
                <w:lang w:val="en-US" w:eastAsia="zh-CN"/>
              </w:rPr>
              <w:t>7</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8"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kern w:val="0"/>
                <w:sz w:val="21"/>
                <w:szCs w:val="21"/>
                <w:lang w:val="en-US" w:eastAsia="zh-CN" w:bidi="ar-SA"/>
              </w:rPr>
            </w:pPr>
            <w:r>
              <w:rPr>
                <w:rFonts w:hint="default" w:ascii="Times New Roman" w:hAnsi="Times New Roman" w:eastAsia="黑体" w:cs="Times New Roman"/>
                <w:kern w:val="0"/>
                <w:sz w:val="21"/>
                <w:szCs w:val="21"/>
                <w:lang w:val="en-US" w:eastAsia="zh-CN" w:bidi="ar-SA"/>
              </w:rPr>
              <w:t>5.4</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建议删除</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黑龙江省农业科学院</w:t>
            </w:r>
            <w:r>
              <w:rPr>
                <w:rFonts w:hint="eastAsia" w:ascii="宋体" w:hAnsi="宋体" w:eastAsia="宋体" w:cs="宋体"/>
                <w:sz w:val="24"/>
                <w:szCs w:val="24"/>
                <w:lang w:val="en-US" w:eastAsia="zh-CN"/>
              </w:rPr>
              <w:t xml:space="preserve"> 毕影东</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采纳。内容已整合至4.2 </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8"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kern w:val="0"/>
                <w:sz w:val="21"/>
                <w:szCs w:val="21"/>
                <w:lang w:val="en-US" w:eastAsia="zh-CN" w:bidi="ar-SA"/>
              </w:rPr>
            </w:pPr>
            <w:r>
              <w:rPr>
                <w:rFonts w:hint="default" w:ascii="Times New Roman" w:hAnsi="Times New Roman" w:eastAsia="黑体" w:cs="Times New Roman"/>
                <w:kern w:val="0"/>
                <w:sz w:val="21"/>
                <w:szCs w:val="21"/>
                <w:lang w:val="en-US" w:eastAsia="zh-CN" w:bidi="ar-SA"/>
              </w:rPr>
              <w:t xml:space="preserve">5.6 </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建议修改为“</w:t>
            </w:r>
            <w:r>
              <w:rPr>
                <w:rFonts w:hint="eastAsia" w:ascii="宋体" w:hAnsi="宋体" w:eastAsia="宋体" w:cs="宋体"/>
                <w:color w:val="0C0C0C"/>
                <w:kern w:val="2"/>
                <w:sz w:val="24"/>
                <w:szCs w:val="24"/>
                <w:highlight w:val="none"/>
                <w:lang w:eastAsia="zh-CN"/>
              </w:rPr>
              <w:t>在</w:t>
            </w:r>
            <w:r>
              <w:rPr>
                <w:rFonts w:hint="eastAsia" w:ascii="宋体" w:hAnsi="宋体" w:eastAsia="宋体" w:cs="宋体"/>
                <w:color w:val="0C0C0C"/>
                <w:sz w:val="24"/>
                <w:szCs w:val="24"/>
                <w:highlight w:val="none"/>
              </w:rPr>
              <w:t>分析总结经验教训和存在问题的基础上，研究确定农田建设的原则、标准和任务，提出农田建设的目标和总体规划方案。</w:t>
            </w:r>
            <w:r>
              <w:rPr>
                <w:rFonts w:hint="eastAsia" w:ascii="宋体" w:hAnsi="宋体" w:eastAsia="宋体" w:cs="宋体"/>
                <w:color w:val="0C0C0C"/>
                <w:sz w:val="24"/>
                <w:szCs w:val="24"/>
                <w:highlight w:val="none"/>
                <w:lang w:eastAsia="zh-CN"/>
              </w:rPr>
              <w:t>”</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黑龙江省农业科学院</w:t>
            </w:r>
            <w:r>
              <w:rPr>
                <w:rFonts w:hint="eastAsia" w:ascii="宋体" w:hAnsi="宋体" w:eastAsia="宋体" w:cs="宋体"/>
                <w:sz w:val="24"/>
                <w:szCs w:val="24"/>
                <w:lang w:val="en-US" w:eastAsia="zh-CN"/>
              </w:rPr>
              <w:t xml:space="preserve"> 毕影东</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采纳。见</w:t>
            </w:r>
            <w:r>
              <w:rPr>
                <w:rFonts w:hint="eastAsia" w:ascii="宋体" w:hAnsi="宋体" w:eastAsia="宋体" w:cs="宋体"/>
                <w:sz w:val="24"/>
                <w:szCs w:val="24"/>
                <w:lang w:val="en-US" w:eastAsia="zh-CN"/>
              </w:rPr>
              <w:t>5.5</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r>
              <w:rPr>
                <w:rFonts w:hint="default" w:ascii="Times New Roman" w:hAnsi="Times New Roman" w:eastAsia="黑体" w:cs="Times New Roman"/>
                <w:kern w:val="0"/>
                <w:sz w:val="21"/>
                <w:szCs w:val="21"/>
                <w:lang w:val="en-US" w:eastAsia="zh-CN" w:bidi="ar-SA"/>
              </w:rPr>
              <w:t>6.2.1</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rPr>
              <w:t>应因地制宜地进行耕作田块布置，合理规划</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具体深圳地块有何特点？建议本标准充分结合深圳地形、地块、水源等分布特点。</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深圳市农业科技促进中心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杨晓怀</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CN"/>
              </w:rPr>
              <w:t>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kern w:val="0"/>
                <w:sz w:val="21"/>
                <w:szCs w:val="21"/>
                <w:lang w:val="en-US" w:eastAsia="zh-CN" w:bidi="ar-SA"/>
              </w:rPr>
            </w:pPr>
            <w:r>
              <w:rPr>
                <w:rFonts w:hint="default" w:ascii="Times New Roman" w:hAnsi="Times New Roman" w:eastAsia="黑体" w:cs="Times New Roman"/>
                <w:kern w:val="0"/>
                <w:sz w:val="21"/>
                <w:szCs w:val="21"/>
                <w:lang w:val="en-US" w:eastAsia="zh-CN" w:bidi="ar-SA"/>
              </w:rPr>
              <w:t>6.2.1</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sz w:val="24"/>
                <w:szCs w:val="24"/>
                <w:lang w:eastAsia="zh-CN"/>
              </w:rPr>
            </w:pPr>
            <w:r>
              <w:rPr>
                <w:rFonts w:hint="eastAsia" w:ascii="宋体" w:hAnsi="宋体" w:eastAsia="宋体" w:cs="宋体"/>
                <w:sz w:val="24"/>
                <w:szCs w:val="24"/>
                <w:lang w:eastAsia="zh-CN"/>
              </w:rPr>
              <w:t>建议删除</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黑龙江省农业科学院</w:t>
            </w:r>
            <w:r>
              <w:rPr>
                <w:rFonts w:hint="eastAsia" w:ascii="宋体" w:hAnsi="宋体" w:eastAsia="宋体" w:cs="宋体"/>
                <w:sz w:val="24"/>
                <w:szCs w:val="24"/>
                <w:lang w:val="en-US" w:eastAsia="zh-CN"/>
              </w:rPr>
              <w:t xml:space="preserve"> 毕影东</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kern w:val="0"/>
                <w:sz w:val="21"/>
                <w:szCs w:val="21"/>
                <w:lang w:val="en-US" w:eastAsia="zh-CN" w:bidi="ar-SA"/>
              </w:rPr>
            </w:pPr>
            <w:r>
              <w:rPr>
                <w:rFonts w:hint="default" w:ascii="Times New Roman" w:hAnsi="Times New Roman" w:eastAsia="黑体" w:cs="Times New Roman"/>
                <w:color w:val="0C0C0C"/>
                <w:szCs w:val="21"/>
                <w:highlight w:val="none"/>
              </w:rPr>
              <w:t>6.6</w:t>
            </w:r>
            <w:r>
              <w:rPr>
                <w:rFonts w:hint="default" w:ascii="Times New Roman" w:hAnsi="Times New Roman" w:eastAsia="黑体" w:cs="Times New Roman"/>
                <w:color w:val="0C0C0C"/>
                <w:szCs w:val="21"/>
                <w:highlight w:val="none"/>
                <w:lang w:eastAsia="zh-Hans"/>
              </w:rPr>
              <w:t>.1</w:t>
            </w:r>
            <w:r>
              <w:rPr>
                <w:rFonts w:hint="default" w:ascii="Times New Roman" w:hAnsi="Times New Roman" w:eastAsia="黑体" w:cs="Times New Roman"/>
                <w:color w:val="0C0C0C"/>
                <w:szCs w:val="21"/>
                <w:highlight w:val="none"/>
              </w:rPr>
              <w:t xml:space="preserve"> </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sz w:val="24"/>
                <w:szCs w:val="24"/>
                <w:lang w:eastAsia="zh-CN"/>
              </w:rPr>
            </w:pPr>
            <w:r>
              <w:rPr>
                <w:rFonts w:hint="eastAsia" w:ascii="宋体" w:hAnsi="宋体" w:eastAsia="宋体" w:cs="宋体"/>
                <w:sz w:val="24"/>
                <w:szCs w:val="24"/>
                <w:lang w:eastAsia="zh-CN"/>
              </w:rPr>
              <w:t>建议删除</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黑龙江省农业科学院</w:t>
            </w:r>
            <w:r>
              <w:rPr>
                <w:rFonts w:hint="eastAsia" w:ascii="宋体" w:hAnsi="宋体" w:eastAsia="宋体" w:cs="宋体"/>
                <w:sz w:val="24"/>
                <w:szCs w:val="24"/>
                <w:lang w:val="en-US" w:eastAsia="zh-CN"/>
              </w:rPr>
              <w:t xml:space="preserve"> 毕影东</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8"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sz w:val="24"/>
                <w:lang w:val="en-US" w:eastAsia="zh-CN"/>
              </w:rPr>
            </w:pPr>
            <w:r>
              <w:rPr>
                <w:rFonts w:hint="default" w:ascii="Times New Roman" w:hAnsi="Times New Roman" w:cs="Times New Roman"/>
                <w:sz w:val="24"/>
                <w:lang w:val="en-US" w:eastAsia="zh-CN"/>
              </w:rPr>
              <w:t>2</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19"/>
              <w:numPr>
                <w:ilvl w:val="0"/>
                <w:numId w:val="0"/>
              </w:numPr>
              <w:spacing w:before="312" w:after="312"/>
              <w:ind w:leftChars="0"/>
              <w:outlineLvl w:val="0"/>
              <w:rPr>
                <w:rFonts w:hint="eastAsia" w:ascii="宋体" w:hAnsi="宋体" w:eastAsia="宋体" w:cs="宋体"/>
                <w:sz w:val="24"/>
                <w:szCs w:val="24"/>
              </w:rPr>
            </w:pPr>
            <w:bookmarkStart w:id="21" w:name="_Toc14004"/>
            <w:bookmarkStart w:id="22" w:name="_Toc66883218"/>
            <w:bookmarkStart w:id="23" w:name="_Toc11027"/>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规范性引用文件</w:t>
            </w:r>
            <w:bookmarkEnd w:id="21"/>
            <w:bookmarkEnd w:id="22"/>
            <w:bookmarkEnd w:id="23"/>
            <w:r>
              <w:rPr>
                <w:rFonts w:hint="eastAsia" w:ascii="宋体" w:hAnsi="宋体" w:eastAsia="宋体" w:cs="宋体"/>
                <w:sz w:val="24"/>
                <w:szCs w:val="24"/>
                <w:lang w:eastAsia="zh-CN"/>
              </w:rPr>
              <w:t>”</w:t>
            </w:r>
            <w:r>
              <w:rPr>
                <w:rFonts w:hint="eastAsia" w:ascii="宋体" w:hAnsi="宋体" w:eastAsia="宋体" w:cs="宋体"/>
                <w:kern w:val="2"/>
                <w:sz w:val="24"/>
                <w:szCs w:val="24"/>
                <w:lang w:val="en-US" w:eastAsia="zh-CN" w:bidi="ar-SA"/>
              </w:rPr>
              <w:t>GB和GB/T单独按顺序排列</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姚珏君</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不采纳。排序按照GB/T 1.1《标准化工作导则 第1部分：标准化文件的结构和起草规则》要求排好。</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sz w:val="24"/>
                <w:lang w:val="en-US" w:eastAsia="zh-CN"/>
              </w:rPr>
            </w:pPr>
            <w:r>
              <w:rPr>
                <w:rFonts w:hint="default" w:ascii="Times New Roman" w:hAnsi="Times New Roman" w:cs="Times New Roman"/>
                <w:sz w:val="24"/>
                <w:lang w:val="en-US" w:eastAsia="zh-CN"/>
              </w:rPr>
              <w:t>4</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sz w:val="24"/>
                <w:szCs w:val="24"/>
                <w:lang w:eastAsia="zh-CN"/>
              </w:rPr>
            </w:pPr>
            <w:r>
              <w:rPr>
                <w:rFonts w:hint="eastAsia" w:ascii="宋体" w:hAnsi="宋体" w:eastAsia="宋体" w:cs="宋体"/>
                <w:color w:val="000000"/>
                <w:sz w:val="24"/>
                <w:szCs w:val="24"/>
                <w:lang w:val="en-US" w:eastAsia="zh-CN"/>
              </w:rPr>
              <w:t>“规划与建设</w:t>
            </w:r>
            <w:r>
              <w:rPr>
                <w:rFonts w:hint="eastAsia" w:ascii="宋体" w:hAnsi="宋体" w:eastAsia="宋体" w:cs="宋体"/>
                <w:color w:val="000000"/>
                <w:sz w:val="24"/>
                <w:szCs w:val="24"/>
              </w:rPr>
              <w:t>总则</w:t>
            </w:r>
            <w:r>
              <w:rPr>
                <w:rFonts w:hint="eastAsia" w:ascii="宋体" w:hAnsi="宋体" w:eastAsia="宋体" w:cs="宋体"/>
                <w:color w:val="000000"/>
                <w:sz w:val="24"/>
                <w:szCs w:val="24"/>
                <w:lang w:eastAsia="zh-CN"/>
              </w:rPr>
              <w:t>”</w:t>
            </w:r>
            <w:r>
              <w:rPr>
                <w:rFonts w:hint="eastAsia" w:ascii="宋体" w:hAnsi="宋体" w:eastAsia="宋体" w:cs="宋体"/>
                <w:sz w:val="24"/>
                <w:szCs w:val="24"/>
                <w:lang w:val="en-US" w:eastAsia="zh-CN"/>
              </w:rPr>
              <w:t>这个章节与第5章关系不清晰，主要内容界定不明确；谈一下个人的理解：高标准农田规划与建设是2件事，规划是一个文本，不是标准，而建设可以写成标准类，而从第6章开始写的都是建设相关内容，因此建议去掉规划，重新梳理一下思路</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姚珏君</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5.8</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“农田建设规划一般包括耕作田块规划”农田建设规划与农田规划有何区别？</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姚珏君</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已统一为农田建设规划</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6.1.2</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color w:val="000000"/>
                <w:sz w:val="24"/>
                <w:szCs w:val="24"/>
                <w:lang w:val="en-US" w:eastAsia="zh-CN"/>
              </w:rPr>
            </w:pPr>
            <w:r>
              <w:rPr>
                <w:rFonts w:hint="eastAsia" w:ascii="宋体" w:hAnsi="宋体" w:eastAsia="宋体" w:cs="宋体"/>
                <w:sz w:val="24"/>
                <w:szCs w:val="24"/>
              </w:rPr>
              <w:t>通过高标准农田建设,促进耕地集中连片,提升耕地质量,稳定或增加有效耕地面积</w:t>
            </w:r>
            <w:r>
              <w:rPr>
                <w:rFonts w:hint="eastAsia" w:ascii="宋体" w:hAnsi="宋体" w:eastAsia="宋体" w:cs="宋体"/>
                <w:sz w:val="24"/>
                <w:szCs w:val="24"/>
                <w:lang w:eastAsia="zh-CN"/>
              </w:rPr>
              <w:t>；</w:t>
            </w:r>
            <w:r>
              <w:rPr>
                <w:rFonts w:hint="eastAsia" w:ascii="宋体" w:hAnsi="宋体" w:eastAsia="宋体" w:cs="宋体"/>
                <w:sz w:val="24"/>
                <w:szCs w:val="24"/>
              </w:rPr>
              <w:t>优化土地利用结构与布局,实现节约集约利用和规模效益</w:t>
            </w:r>
            <w:r>
              <w:rPr>
                <w:rFonts w:hint="eastAsia" w:ascii="宋体" w:hAnsi="宋体" w:eastAsia="宋体" w:cs="宋体"/>
                <w:sz w:val="24"/>
                <w:szCs w:val="24"/>
                <w:lang w:eastAsia="zh-CN"/>
              </w:rPr>
              <w:t>；</w:t>
            </w:r>
            <w:r>
              <w:rPr>
                <w:rFonts w:hint="eastAsia" w:ascii="宋体" w:hAnsi="宋体" w:eastAsia="宋体" w:cs="宋体"/>
                <w:sz w:val="24"/>
                <w:szCs w:val="24"/>
              </w:rPr>
              <w:t>完善基础设施</w:t>
            </w:r>
            <w:r>
              <w:rPr>
                <w:rFonts w:hint="eastAsia" w:ascii="宋体" w:hAnsi="宋体" w:eastAsia="宋体" w:cs="宋体"/>
                <w:sz w:val="24"/>
                <w:szCs w:val="24"/>
                <w:lang w:eastAsia="zh-CN"/>
              </w:rPr>
              <w:t>，</w:t>
            </w:r>
            <w:r>
              <w:rPr>
                <w:rFonts w:hint="eastAsia" w:ascii="宋体" w:hAnsi="宋体" w:eastAsia="宋体" w:cs="宋体"/>
                <w:sz w:val="24"/>
                <w:szCs w:val="24"/>
              </w:rPr>
              <w:t>改善农业生产条件</w:t>
            </w:r>
            <w:r>
              <w:rPr>
                <w:rFonts w:hint="eastAsia" w:ascii="宋体" w:hAnsi="宋体" w:eastAsia="宋体" w:cs="宋体"/>
                <w:sz w:val="24"/>
                <w:szCs w:val="24"/>
                <w:lang w:eastAsia="zh-CN"/>
              </w:rPr>
              <w:t>，</w:t>
            </w:r>
            <w:r>
              <w:rPr>
                <w:rFonts w:hint="eastAsia" w:ascii="宋体" w:hAnsi="宋体" w:eastAsia="宋体" w:cs="宋体"/>
                <w:sz w:val="24"/>
                <w:szCs w:val="24"/>
              </w:rPr>
              <w:t>提高机械化作业水平</w:t>
            </w:r>
            <w:r>
              <w:rPr>
                <w:rFonts w:hint="eastAsia" w:ascii="宋体" w:hAnsi="宋体" w:eastAsia="宋体" w:cs="宋体"/>
                <w:sz w:val="24"/>
                <w:szCs w:val="24"/>
                <w:lang w:eastAsia="zh-CN"/>
              </w:rPr>
              <w:t>，</w:t>
            </w:r>
            <w:r>
              <w:rPr>
                <w:rFonts w:hint="eastAsia" w:ascii="宋体" w:hAnsi="宋体" w:eastAsia="宋体" w:cs="宋体"/>
                <w:sz w:val="24"/>
                <w:szCs w:val="24"/>
              </w:rPr>
              <w:t>增强防灾减灾能力</w:t>
            </w:r>
            <w:r>
              <w:rPr>
                <w:rFonts w:hint="eastAsia" w:ascii="宋体" w:hAnsi="宋体" w:eastAsia="宋体" w:cs="宋体"/>
                <w:sz w:val="24"/>
                <w:szCs w:val="24"/>
                <w:lang w:eastAsia="zh-CN"/>
              </w:rPr>
              <w:t>；</w:t>
            </w:r>
            <w:r>
              <w:rPr>
                <w:rFonts w:hint="eastAsia" w:ascii="宋体" w:hAnsi="宋体" w:eastAsia="宋体" w:cs="宋体"/>
                <w:sz w:val="24"/>
                <w:szCs w:val="24"/>
              </w:rPr>
              <w:t>加强农田生态建设和环境保护</w:t>
            </w:r>
            <w:r>
              <w:rPr>
                <w:rFonts w:hint="eastAsia" w:ascii="宋体" w:hAnsi="宋体" w:eastAsia="宋体" w:cs="宋体"/>
                <w:sz w:val="24"/>
                <w:szCs w:val="24"/>
                <w:lang w:eastAsia="zh-CN"/>
              </w:rPr>
              <w:t>，</w:t>
            </w:r>
            <w:r>
              <w:rPr>
                <w:rFonts w:hint="eastAsia" w:ascii="宋体" w:hAnsi="宋体" w:eastAsia="宋体" w:cs="宋体"/>
                <w:sz w:val="24"/>
                <w:szCs w:val="24"/>
              </w:rPr>
              <w:t>实现农业生产和生态保护相协调</w:t>
            </w:r>
            <w:r>
              <w:rPr>
                <w:rFonts w:hint="eastAsia" w:ascii="宋体" w:hAnsi="宋体" w:eastAsia="宋体" w:cs="宋体"/>
                <w:sz w:val="24"/>
                <w:szCs w:val="24"/>
                <w:lang w:eastAsia="zh-CN"/>
              </w:rPr>
              <w:t>；</w:t>
            </w:r>
            <w:r>
              <w:rPr>
                <w:rFonts w:hint="eastAsia" w:ascii="宋体" w:hAnsi="宋体" w:eastAsia="宋体" w:cs="宋体"/>
                <w:sz w:val="24"/>
                <w:szCs w:val="24"/>
              </w:rPr>
              <w:t>建立监测、评价和管护体系</w:t>
            </w:r>
            <w:r>
              <w:rPr>
                <w:rFonts w:hint="eastAsia" w:ascii="宋体" w:hAnsi="宋体" w:eastAsia="宋体" w:cs="宋体"/>
                <w:sz w:val="24"/>
                <w:szCs w:val="24"/>
                <w:lang w:eastAsia="zh-CN"/>
              </w:rPr>
              <w:t>，</w:t>
            </w:r>
            <w:r>
              <w:rPr>
                <w:rFonts w:hint="eastAsia" w:ascii="宋体" w:hAnsi="宋体" w:eastAsia="宋体" w:cs="宋体"/>
                <w:sz w:val="24"/>
                <w:szCs w:val="24"/>
              </w:rPr>
              <w:t>实现持续高效利用。</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姚珏君</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不采纳，此条来源依据《高标准农田建设 通则》</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lang w:val="en-US" w:eastAsia="zh-CN"/>
              </w:rPr>
            </w:pPr>
            <w:r>
              <w:rPr>
                <w:rFonts w:hint="default" w:ascii="Times New Roman" w:hAnsi="Times New Roman" w:cs="Times New Roman"/>
                <w:color w:val="000000"/>
                <w:lang w:val="en-US" w:eastAsia="zh-CN"/>
              </w:rPr>
              <w:t>6</w:t>
            </w:r>
            <w:r>
              <w:rPr>
                <w:rFonts w:hint="default" w:ascii="Times New Roman" w:hAnsi="Times New Roman" w:cs="Times New Roman"/>
                <w:color w:val="000000"/>
              </w:rPr>
              <w:t>.2</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22"/>
              <w:spacing w:before="156" w:after="156"/>
              <w:outlineLvl w:val="1"/>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田块整治</w:t>
            </w:r>
          </w:p>
          <w:p>
            <w:pPr>
              <w:pStyle w:val="8"/>
              <w:rPr>
                <w:rFonts w:hint="eastAsia" w:ascii="宋体" w:hAnsi="宋体" w:eastAsia="宋体" w:cs="宋体"/>
                <w:sz w:val="24"/>
                <w:szCs w:val="24"/>
              </w:rPr>
            </w:pP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姚珏君</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lang w:val="en-US" w:eastAsia="zh-CN"/>
              </w:rPr>
            </w:pPr>
            <w:r>
              <w:rPr>
                <w:rFonts w:hint="default" w:ascii="Times New Roman" w:hAnsi="Times New Roman" w:eastAsia="黑体" w:cs="Times New Roman"/>
                <w:kern w:val="0"/>
                <w:sz w:val="21"/>
                <w:szCs w:val="21"/>
                <w:lang w:val="en-US" w:eastAsia="zh-CN" w:bidi="ar-SA"/>
              </w:rPr>
              <w:t>6.2.1</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sz w:val="24"/>
                <w:szCs w:val="24"/>
              </w:rPr>
            </w:pPr>
            <w:r>
              <w:rPr>
                <w:rFonts w:hint="eastAsia" w:ascii="宋体" w:hAnsi="宋体" w:eastAsia="宋体" w:cs="宋体"/>
                <w:sz w:val="24"/>
                <w:szCs w:val="24"/>
              </w:rPr>
              <w:t>应因地制宜地进行耕作田块布置，合理规划，提高田块归并程度，实现耕作田块相对集中。</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姚珏君</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kern w:val="0"/>
                <w:sz w:val="21"/>
                <w:szCs w:val="21"/>
                <w:lang w:val="en-US" w:eastAsia="zh-CN" w:bidi="ar-SA"/>
              </w:rPr>
            </w:pPr>
            <w:r>
              <w:rPr>
                <w:rFonts w:hint="default" w:ascii="Times New Roman" w:hAnsi="Times New Roman" w:cs="Times New Roman"/>
                <w:color w:val="000000"/>
                <w:lang w:val="en-US" w:eastAsia="zh-CN"/>
              </w:rPr>
              <w:t>6</w:t>
            </w:r>
            <w:r>
              <w:rPr>
                <w:rFonts w:hint="default" w:ascii="Times New Roman" w:hAnsi="Times New Roman" w:cs="Times New Roman"/>
                <w:color w:val="000000"/>
              </w:rPr>
              <w:t>.3</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22"/>
              <w:spacing w:before="156" w:after="156"/>
              <w:outlineLvl w:val="1"/>
              <w:rPr>
                <w:rFonts w:hint="eastAsia" w:ascii="宋体" w:hAnsi="宋体" w:eastAsia="宋体" w:cs="宋体"/>
                <w:b/>
                <w:bCs/>
                <w:sz w:val="24"/>
                <w:szCs w:val="24"/>
              </w:rPr>
            </w:pPr>
            <w:r>
              <w:rPr>
                <w:rFonts w:hint="eastAsia" w:ascii="宋体" w:hAnsi="宋体" w:eastAsia="宋体" w:cs="宋体"/>
                <w:color w:val="000000"/>
                <w:sz w:val="24"/>
                <w:szCs w:val="24"/>
              </w:rPr>
              <w:t>土壤改良</w:t>
            </w:r>
          </w:p>
          <w:p>
            <w:pPr>
              <w:pStyle w:val="8"/>
              <w:rPr>
                <w:rFonts w:hint="eastAsia" w:ascii="宋体" w:hAnsi="宋体" w:eastAsia="宋体" w:cs="宋体"/>
                <w:sz w:val="24"/>
                <w:szCs w:val="24"/>
              </w:rPr>
            </w:pP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姚珏君</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kern w:val="0"/>
                <w:sz w:val="21"/>
                <w:szCs w:val="21"/>
                <w:lang w:val="en-US" w:eastAsia="zh-CN" w:bidi="ar-SA"/>
              </w:rPr>
            </w:pPr>
            <w:r>
              <w:rPr>
                <w:rFonts w:hint="default" w:ascii="Times New Roman" w:hAnsi="Times New Roman" w:eastAsia="黑体" w:cs="Times New Roman"/>
                <w:szCs w:val="21"/>
                <w:lang w:val="en-US" w:eastAsia="zh-CN"/>
              </w:rPr>
              <w:t>6</w:t>
            </w:r>
            <w:r>
              <w:rPr>
                <w:rFonts w:hint="default" w:ascii="Times New Roman" w:hAnsi="Times New Roman" w:eastAsia="黑体" w:cs="Times New Roman"/>
                <w:szCs w:val="21"/>
              </w:rPr>
              <w:t>.3</w:t>
            </w:r>
            <w:r>
              <w:rPr>
                <w:rFonts w:hint="default" w:ascii="Times New Roman" w:hAnsi="Times New Roman" w:eastAsia="黑体" w:cs="Times New Roman"/>
                <w:szCs w:val="21"/>
                <w:lang w:eastAsia="zh-Hans"/>
              </w:rPr>
              <w:t>.3</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rPr>
              <w:t>覆盖率应达到95%以上。</w:t>
            </w:r>
          </w:p>
          <w:p>
            <w:pPr>
              <w:pStyle w:val="8"/>
              <w:rPr>
                <w:rFonts w:hint="eastAsia" w:ascii="宋体" w:hAnsi="宋体" w:eastAsia="宋体" w:cs="宋体"/>
                <w:sz w:val="24"/>
                <w:szCs w:val="24"/>
              </w:rPr>
            </w:pPr>
            <w:r>
              <w:rPr>
                <w:rFonts w:hint="eastAsia" w:ascii="宋体" w:hAnsi="宋体" w:eastAsia="宋体" w:cs="宋体"/>
                <w:sz w:val="24"/>
                <w:szCs w:val="24"/>
                <w:lang w:val="en-US" w:eastAsia="zh-CN"/>
              </w:rPr>
              <w:t>好像不是建设内容</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姚珏君</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已进行修改，见6.3.3</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r>
              <w:rPr>
                <w:rFonts w:hint="default" w:ascii="Times New Roman" w:hAnsi="Times New Roman" w:eastAsia="黑体" w:cs="Times New Roman"/>
                <w:szCs w:val="21"/>
              </w:rPr>
              <w:t xml:space="preserve"> </w:t>
            </w: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kern w:val="0"/>
                <w:sz w:val="21"/>
                <w:szCs w:val="21"/>
                <w:lang w:val="en-US" w:eastAsia="zh-CN" w:bidi="ar-SA"/>
              </w:rPr>
            </w:pPr>
            <w:r>
              <w:rPr>
                <w:rFonts w:hint="default" w:ascii="Times New Roman" w:hAnsi="Times New Roman" w:eastAsia="黑体" w:cs="Times New Roman"/>
                <w:szCs w:val="21"/>
                <w:lang w:val="en-US" w:eastAsia="zh-CN"/>
              </w:rPr>
              <w:t>6</w:t>
            </w:r>
            <w:r>
              <w:rPr>
                <w:rFonts w:hint="default" w:ascii="Times New Roman" w:hAnsi="Times New Roman" w:eastAsia="黑体" w:cs="Times New Roman"/>
                <w:szCs w:val="21"/>
              </w:rPr>
              <w:t>.4</w:t>
            </w:r>
            <w:r>
              <w:rPr>
                <w:rFonts w:hint="default" w:ascii="Times New Roman" w:hAnsi="Times New Roman" w:eastAsia="黑体" w:cs="Times New Roman"/>
                <w:szCs w:val="21"/>
                <w:lang w:eastAsia="zh-Hans"/>
              </w:rPr>
              <w:t>.1</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sz w:val="24"/>
                <w:szCs w:val="24"/>
              </w:rPr>
              <w:t xml:space="preserve"> </w:t>
            </w:r>
            <w:r>
              <w:rPr>
                <w:rFonts w:hint="eastAsia" w:ascii="宋体" w:hAnsi="宋体" w:eastAsia="宋体" w:cs="宋体"/>
                <w:kern w:val="0"/>
                <w:sz w:val="24"/>
                <w:szCs w:val="24"/>
              </w:rPr>
              <w:t>应按照旱、涝、渍和盐碱综合治理的要求，结合田、路、林、电，科学规划建设田间灌排工程，加强田间灌排工程与灌区骨干工程的衔接配套，形成从水源到田间完整的灌排体系。</w:t>
            </w:r>
          </w:p>
          <w:p>
            <w:pPr>
              <w:pStyle w:val="8"/>
              <w:rPr>
                <w:rFonts w:hint="eastAsia" w:ascii="宋体" w:hAnsi="宋体" w:eastAsia="宋体" w:cs="宋体"/>
                <w:sz w:val="24"/>
                <w:szCs w:val="24"/>
              </w:rPr>
            </w:pP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rPr>
              <w:t>姚珏君</w:t>
            </w:r>
            <w:r>
              <w:rPr>
                <w:rFonts w:hint="eastAsia" w:ascii="宋体" w:hAnsi="宋体" w:eastAsia="宋体" w:cs="宋体"/>
                <w:sz w:val="24"/>
                <w:szCs w:val="24"/>
                <w:lang w:val="en-US" w:eastAsia="zh-CN"/>
              </w:rPr>
              <w:t xml:space="preserve">                                                                                                                                                                                                                                                                                                                                                                                                                                                                                                                                                                                                                                                                                                                       </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不采纳，此条来源依据《高标准农田建设 通则》</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kern w:val="0"/>
                <w:sz w:val="21"/>
                <w:szCs w:val="21"/>
                <w:lang w:val="en-US" w:eastAsia="zh-CN" w:bidi="ar-SA"/>
              </w:rPr>
            </w:pPr>
            <w:r>
              <w:rPr>
                <w:rFonts w:hint="default" w:ascii="Times New Roman" w:hAnsi="Times New Roman" w:eastAsia="黑体" w:cs="Times New Roman"/>
                <w:szCs w:val="21"/>
                <w:lang w:val="en-US" w:eastAsia="zh-CN"/>
              </w:rPr>
              <w:t>6</w:t>
            </w:r>
            <w:r>
              <w:rPr>
                <w:rFonts w:hint="default" w:ascii="Times New Roman" w:hAnsi="Times New Roman" w:eastAsia="黑体" w:cs="Times New Roman"/>
                <w:szCs w:val="21"/>
              </w:rPr>
              <w:t>.4</w:t>
            </w:r>
            <w:r>
              <w:rPr>
                <w:rFonts w:hint="default" w:ascii="Times New Roman" w:hAnsi="Times New Roman" w:eastAsia="黑体" w:cs="Times New Roman"/>
                <w:szCs w:val="21"/>
                <w:lang w:eastAsia="zh-Hans"/>
              </w:rPr>
              <w:t>.2</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应按照旱、涝、渍和盐碱综合治理的要求，结合田、路、林、电，科学规划建设田间灌排工程，加强田间灌排工程与灌区骨干工程的衔接配套，形成从水源到田间完整的灌排体系。</w:t>
            </w:r>
          </w:p>
          <w:p>
            <w:pPr>
              <w:pStyle w:val="7"/>
              <w:ind w:firstLine="0" w:firstLineChars="0"/>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.4</w:t>
            </w:r>
            <w:r>
              <w:rPr>
                <w:rFonts w:hint="eastAsia" w:ascii="宋体" w:hAnsi="宋体" w:eastAsia="宋体" w:cs="宋体"/>
                <w:sz w:val="24"/>
                <w:szCs w:val="24"/>
                <w:lang w:eastAsia="zh-Hans"/>
              </w:rPr>
              <w:t>.2</w:t>
            </w:r>
            <w:r>
              <w:rPr>
                <w:rFonts w:hint="eastAsia" w:ascii="宋体" w:hAnsi="宋体" w:eastAsia="宋体" w:cs="宋体"/>
                <w:sz w:val="24"/>
                <w:szCs w:val="24"/>
              </w:rPr>
              <w:t xml:space="preserve">  应选用能满足灌溉用水要求的水源，水质应符合GB 5084的规定。水源配置应考虑地形条件、水源特点等因素，合理选用蓄、引、提或组合的方式。</w:t>
            </w:r>
          </w:p>
          <w:p>
            <w:pPr>
              <w:pStyle w:val="8"/>
              <w:rPr>
                <w:rFonts w:hint="eastAsia" w:ascii="宋体" w:hAnsi="宋体" w:eastAsia="宋体" w:cs="宋体"/>
                <w:sz w:val="24"/>
                <w:szCs w:val="24"/>
              </w:rPr>
            </w:pP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姚珏君</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不采纳，此条来源依据《高标准农田建设 通则》</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szCs w:val="21"/>
                <w:lang w:val="en-US" w:eastAsia="zh-CN"/>
              </w:rPr>
            </w:pPr>
            <w:r>
              <w:rPr>
                <w:rFonts w:hint="default" w:ascii="Times New Roman" w:hAnsi="Times New Roman" w:cs="Times New Roman"/>
                <w:color w:val="000000"/>
                <w:lang w:val="en-US" w:eastAsia="zh-CN"/>
              </w:rPr>
              <w:t>7</w:t>
            </w:r>
            <w:r>
              <w:rPr>
                <w:rFonts w:hint="default" w:ascii="Times New Roman" w:hAnsi="Times New Roman" w:cs="Times New Roman"/>
                <w:color w:val="000000"/>
              </w:rPr>
              <w:t xml:space="preserve">.1 </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sz w:val="24"/>
                <w:szCs w:val="24"/>
              </w:rPr>
            </w:pPr>
            <w:r>
              <w:rPr>
                <w:rFonts w:hint="eastAsia" w:ascii="宋体" w:hAnsi="宋体" w:eastAsia="宋体" w:cs="宋体"/>
                <w:color w:val="000000"/>
                <w:sz w:val="24"/>
                <w:szCs w:val="24"/>
              </w:rPr>
              <w:t>质量</w:t>
            </w:r>
            <w:r>
              <w:rPr>
                <w:rFonts w:hint="eastAsia" w:ascii="宋体" w:hAnsi="宋体" w:eastAsia="宋体" w:cs="宋体"/>
                <w:color w:val="000000"/>
                <w:sz w:val="24"/>
                <w:szCs w:val="24"/>
                <w:lang w:eastAsia="zh-Hans"/>
              </w:rPr>
              <w:t>管理</w:t>
            </w:r>
          </w:p>
          <w:p>
            <w:pPr>
              <w:pStyle w:val="8"/>
              <w:rPr>
                <w:rFonts w:hint="eastAsia" w:ascii="宋体" w:hAnsi="宋体" w:eastAsia="宋体" w:cs="宋体"/>
                <w:sz w:val="24"/>
                <w:szCs w:val="24"/>
              </w:rPr>
            </w:pPr>
            <w:r>
              <w:rPr>
                <w:rFonts w:hint="eastAsia" w:ascii="宋体" w:hAnsi="宋体" w:eastAsia="宋体" w:cs="宋体"/>
                <w:sz w:val="24"/>
                <w:szCs w:val="24"/>
                <w:lang w:val="en-US" w:eastAsia="zh-CN"/>
              </w:rPr>
              <w:t>下面3条建议明确主语</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姚珏君</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采纳。见</w:t>
            </w:r>
            <w:r>
              <w:rPr>
                <w:rFonts w:hint="eastAsia" w:ascii="宋体" w:hAnsi="宋体" w:eastAsia="宋体" w:cs="宋体"/>
                <w:sz w:val="24"/>
                <w:szCs w:val="24"/>
                <w:lang w:val="en-US" w:eastAsia="zh-CN"/>
              </w:rPr>
              <w:t>7.1</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szCs w:val="21"/>
                <w:lang w:val="en-US" w:eastAsia="zh-CN"/>
              </w:rPr>
            </w:pPr>
            <w:r>
              <w:rPr>
                <w:rFonts w:hint="default" w:ascii="Times New Roman" w:hAnsi="Times New Roman" w:eastAsia="黑体" w:cs="Times New Roman"/>
                <w:szCs w:val="21"/>
                <w:lang w:val="en-US" w:eastAsia="zh-CN"/>
              </w:rPr>
              <w:t>8</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19"/>
              <w:spacing w:before="312" w:after="312"/>
              <w:outlineLvl w:val="0"/>
              <w:rPr>
                <w:rFonts w:hint="eastAsia" w:ascii="宋体" w:hAnsi="宋体" w:eastAsia="宋体" w:cs="宋体"/>
                <w:color w:val="000000"/>
                <w:sz w:val="24"/>
                <w:szCs w:val="24"/>
              </w:rPr>
            </w:pPr>
            <w:bookmarkStart w:id="24" w:name="_Toc25237"/>
            <w:r>
              <w:rPr>
                <w:rFonts w:hint="eastAsia" w:ascii="宋体" w:hAnsi="宋体" w:eastAsia="宋体" w:cs="宋体"/>
                <w:color w:val="000000"/>
                <w:sz w:val="24"/>
                <w:szCs w:val="24"/>
              </w:rPr>
              <w:t>建后管护与利用</w:t>
            </w:r>
            <w:bookmarkEnd w:id="24"/>
          </w:p>
          <w:p>
            <w:pPr>
              <w:pStyle w:val="8"/>
              <w:rPr>
                <w:rFonts w:hint="eastAsia" w:ascii="宋体" w:hAnsi="宋体" w:eastAsia="宋体" w:cs="宋体"/>
                <w:sz w:val="24"/>
                <w:szCs w:val="24"/>
              </w:rPr>
            </w:pPr>
            <w:r>
              <w:rPr>
                <w:rFonts w:hint="eastAsia" w:ascii="宋体" w:hAnsi="宋体" w:eastAsia="宋体" w:cs="宋体"/>
                <w:sz w:val="24"/>
                <w:szCs w:val="24"/>
                <w:lang w:val="en-US" w:eastAsia="zh-CN"/>
              </w:rPr>
              <w:t>一是下设2级标题之间有何关联性；二是未体现利用</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姚珏君</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不采纳，整体按照广东省高标准农田建设规划（2021—2030年）要求</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szCs w:val="21"/>
                <w:lang w:val="en-US" w:eastAsia="zh-CN"/>
              </w:rPr>
            </w:pPr>
            <w:r>
              <w:rPr>
                <w:rFonts w:hint="default" w:ascii="Times New Roman" w:hAnsi="Times New Roman" w:cs="Times New Roman"/>
                <w:color w:val="000000"/>
                <w:lang w:val="en-US" w:eastAsia="zh-CN"/>
              </w:rPr>
              <w:t>8</w:t>
            </w:r>
            <w:r>
              <w:rPr>
                <w:rFonts w:hint="default" w:ascii="Times New Roman" w:hAnsi="Times New Roman" w:cs="Times New Roman"/>
                <w:color w:val="000000"/>
              </w:rPr>
              <w:t>.1</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22"/>
              <w:spacing w:before="156" w:after="156"/>
              <w:outlineLvl w:val="1"/>
              <w:rPr>
                <w:rFonts w:hint="eastAsia" w:ascii="宋体" w:hAnsi="宋体" w:eastAsia="宋体" w:cs="宋体"/>
                <w:color w:val="000000"/>
                <w:sz w:val="24"/>
                <w:szCs w:val="24"/>
              </w:rPr>
            </w:pPr>
            <w:r>
              <w:rPr>
                <w:rFonts w:hint="eastAsia" w:ascii="宋体" w:hAnsi="宋体" w:eastAsia="宋体" w:cs="宋体"/>
                <w:color w:val="000000"/>
                <w:sz w:val="24"/>
                <w:szCs w:val="24"/>
              </w:rPr>
              <w:t>基本农田划定与保护</w:t>
            </w:r>
          </w:p>
          <w:p>
            <w:pPr>
              <w:pStyle w:val="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下面3级标题没说如何保护</w:t>
            </w:r>
          </w:p>
          <w:p>
            <w:pPr>
              <w:pStyle w:val="8"/>
              <w:rPr>
                <w:rFonts w:hint="eastAsia" w:ascii="宋体" w:hAnsi="宋体" w:eastAsia="宋体" w:cs="宋体"/>
                <w:sz w:val="24"/>
                <w:szCs w:val="24"/>
              </w:rPr>
            </w:pP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姚珏君</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9</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19"/>
              <w:numPr>
                <w:ilvl w:val="0"/>
                <w:numId w:val="0"/>
              </w:numPr>
              <w:spacing w:before="312" w:after="312"/>
              <w:ind w:leftChars="0"/>
              <w:outlineLvl w:val="0"/>
              <w:rPr>
                <w:rFonts w:hint="eastAsia" w:ascii="宋体" w:hAnsi="宋体" w:eastAsia="宋体" w:cs="宋体"/>
                <w:color w:val="000000"/>
                <w:sz w:val="24"/>
                <w:szCs w:val="24"/>
              </w:rPr>
            </w:pPr>
            <w:bookmarkStart w:id="25" w:name="_Toc17754"/>
            <w:r>
              <w:rPr>
                <w:rFonts w:hint="eastAsia" w:ascii="宋体" w:hAnsi="宋体" w:eastAsia="宋体" w:cs="宋体"/>
                <w:color w:val="000000"/>
                <w:sz w:val="24"/>
                <w:szCs w:val="24"/>
              </w:rPr>
              <w:t>实施保障</w:t>
            </w:r>
            <w:bookmarkEnd w:id="25"/>
          </w:p>
          <w:p>
            <w:pPr>
              <w:pStyle w:val="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规划会有这个章节，但标准没有，建议结合前面修改内容进行完善</w:t>
            </w:r>
          </w:p>
          <w:p>
            <w:pPr>
              <w:pStyle w:val="8"/>
              <w:rPr>
                <w:rFonts w:hint="eastAsia" w:ascii="宋体" w:hAnsi="宋体" w:eastAsia="宋体" w:cs="宋体"/>
                <w:sz w:val="24"/>
                <w:szCs w:val="24"/>
              </w:rPr>
            </w:pP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姚珏君</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采纳。删除本节内容</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9</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sz w:val="24"/>
                <w:szCs w:val="24"/>
                <w:lang w:eastAsia="zh-CN"/>
              </w:rPr>
            </w:pPr>
            <w:r>
              <w:rPr>
                <w:rFonts w:hint="eastAsia" w:ascii="宋体" w:hAnsi="宋体" w:eastAsia="宋体" w:cs="宋体"/>
                <w:sz w:val="24"/>
                <w:szCs w:val="24"/>
                <w:lang w:eastAsia="zh-CN"/>
              </w:rPr>
              <w:t>建议删除</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黑龙江省农业科学院</w:t>
            </w:r>
            <w:r>
              <w:rPr>
                <w:rFonts w:hint="eastAsia" w:ascii="宋体" w:hAnsi="宋体" w:eastAsia="宋体" w:cs="宋体"/>
                <w:sz w:val="24"/>
                <w:szCs w:val="24"/>
                <w:lang w:val="en-US" w:eastAsia="zh-CN"/>
              </w:rPr>
              <w:t xml:space="preserve"> 毕影东</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CN"/>
              </w:rPr>
              <w:t>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sz w:val="24"/>
                <w:szCs w:val="24"/>
              </w:rPr>
            </w:pPr>
            <w:r>
              <w:rPr>
                <w:rFonts w:hint="eastAsia" w:ascii="宋体" w:hAnsi="宋体" w:eastAsia="宋体" w:cs="宋体"/>
                <w:sz w:val="24"/>
                <w:szCs w:val="24"/>
              </w:rPr>
              <w:t>建议增加引用规范，且前面提到的规范性引用文件，在正文中均要引用。</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rPr>
              <w:t>黑龙江省农业科学院</w:t>
            </w:r>
            <w:r>
              <w:rPr>
                <w:rFonts w:hint="eastAsia" w:ascii="宋体" w:hAnsi="宋体" w:eastAsia="宋体" w:cs="宋体"/>
                <w:sz w:val="24"/>
                <w:szCs w:val="24"/>
                <w:lang w:val="en-US" w:eastAsia="zh-CN"/>
              </w:rPr>
              <w:t xml:space="preserve"> 毕影东</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CN"/>
              </w:rPr>
              <w:t>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sz w:val="24"/>
                <w:szCs w:val="24"/>
              </w:rPr>
            </w:pPr>
            <w:r>
              <w:rPr>
                <w:rFonts w:hint="eastAsia" w:ascii="宋体" w:hAnsi="宋体" w:eastAsia="宋体" w:cs="宋体"/>
                <w:sz w:val="24"/>
                <w:szCs w:val="24"/>
              </w:rPr>
              <w:t>建议要精简部分描述性表述，对于统一的技术流程等不必过多赘述，做到精炼准确</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黑龙江省农业科学院</w:t>
            </w:r>
            <w:r>
              <w:rPr>
                <w:rFonts w:hint="eastAsia" w:ascii="宋体" w:hAnsi="宋体" w:eastAsia="宋体" w:cs="宋体"/>
                <w:sz w:val="24"/>
                <w:szCs w:val="24"/>
                <w:lang w:val="en-US" w:eastAsia="zh-CN"/>
              </w:rPr>
              <w:t xml:space="preserve"> 毕影东</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CN"/>
              </w:rPr>
              <w:t>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sz w:val="24"/>
                <w:szCs w:val="24"/>
              </w:rPr>
            </w:pPr>
            <w:r>
              <w:rPr>
                <w:rFonts w:hint="eastAsia" w:ascii="宋体" w:hAnsi="宋体" w:eastAsia="宋体" w:cs="宋体"/>
                <w:sz w:val="24"/>
                <w:szCs w:val="24"/>
              </w:rPr>
              <w:t>规范标准格式，统一符号、计量单位等</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黑龙江省农业科学院</w:t>
            </w:r>
            <w:r>
              <w:rPr>
                <w:rFonts w:hint="eastAsia" w:ascii="宋体" w:hAnsi="宋体" w:eastAsia="宋体" w:cs="宋体"/>
                <w:sz w:val="24"/>
                <w:szCs w:val="24"/>
                <w:lang w:val="en-US" w:eastAsia="zh-CN"/>
              </w:rPr>
              <w:t xml:space="preserve"> 毕影东</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CN"/>
              </w:rPr>
              <w:t>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21"/>
              <w:tabs>
                <w:tab w:val="center" w:pos="4201"/>
                <w:tab w:val="right" w:leader="dot" w:pos="9298"/>
              </w:tabs>
              <w:ind w:firstLine="480"/>
              <w:rPr>
                <w:rFonts w:hint="eastAsia" w:ascii="宋体" w:hAnsi="宋体" w:eastAsia="宋体" w:cs="宋体"/>
                <w:sz w:val="24"/>
                <w:szCs w:val="24"/>
              </w:rPr>
            </w:pPr>
            <w:r>
              <w:rPr>
                <w:rFonts w:hint="eastAsia" w:ascii="宋体" w:hAnsi="宋体" w:eastAsia="宋体" w:cs="宋体"/>
                <w:sz w:val="24"/>
                <w:szCs w:val="24"/>
              </w:rPr>
              <w:t>请在全文和编制说明中，统一标准名称，建议修改为《深圳市高标准农田 规划和建设》。</w:t>
            </w:r>
          </w:p>
          <w:p>
            <w:pPr>
              <w:pStyle w:val="8"/>
              <w:rPr>
                <w:rFonts w:hint="eastAsia" w:ascii="宋体" w:hAnsi="宋体" w:eastAsia="宋体" w:cs="宋体"/>
                <w:sz w:val="24"/>
                <w:szCs w:val="24"/>
              </w:rPr>
            </w:pP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rPr>
              <w:t>生态环境部土壤与农业农村生态环境监管技术中心</w:t>
            </w:r>
            <w:r>
              <w:rPr>
                <w:rFonts w:hint="eastAsia" w:ascii="宋体" w:hAnsi="宋体" w:eastAsia="宋体" w:cs="宋体"/>
                <w:sz w:val="24"/>
                <w:szCs w:val="24"/>
                <w:lang w:val="en-US" w:eastAsia="zh-CN"/>
              </w:rPr>
              <w:t xml:space="preserve"> 秦晓鹏</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CN"/>
              </w:rPr>
              <w:t>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sz w:val="24"/>
                <w:szCs w:val="24"/>
              </w:rPr>
            </w:pPr>
            <w:r>
              <w:rPr>
                <w:rFonts w:hint="eastAsia" w:ascii="宋体" w:hAnsi="宋体" w:eastAsia="宋体" w:cs="宋体"/>
                <w:sz w:val="24"/>
                <w:szCs w:val="24"/>
              </w:rPr>
              <w:t>2022年6月，广东省农业农村厅发布了《广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东省高标准农田建设规划（2021—2030年）》，其中明确了近年来深圳市的高标准农田、高效节水灌溉建设等任务，建议将以上具体任务补充到本标准中，并在编制说明中引用该规划。</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生态环境部土壤与农业农村生态环境监管技术中心</w:t>
            </w:r>
            <w:r>
              <w:rPr>
                <w:rFonts w:hint="eastAsia" w:ascii="宋体" w:hAnsi="宋体" w:eastAsia="宋体" w:cs="宋体"/>
                <w:sz w:val="24"/>
                <w:szCs w:val="24"/>
                <w:lang w:val="en-US" w:eastAsia="zh-CN"/>
              </w:rPr>
              <w:t xml:space="preserve"> 秦晓鹏</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部分采纳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r>
              <w:rPr>
                <w:rFonts w:hint="default" w:ascii="Times New Roman" w:hAnsi="Times New Roman" w:cs="Times New Roman"/>
                <w:sz w:val="24"/>
                <w:szCs w:val="24"/>
              </w:rPr>
              <w:t>6.2.6</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21"/>
              <w:tabs>
                <w:tab w:val="center" w:pos="4201"/>
                <w:tab w:val="right" w:leader="dot" w:pos="9298"/>
              </w:tabs>
              <w:ind w:firstLine="480"/>
              <w:rPr>
                <w:rFonts w:hint="eastAsia" w:ascii="宋体" w:hAnsi="宋体" w:eastAsia="宋体" w:cs="宋体"/>
                <w:sz w:val="24"/>
                <w:szCs w:val="24"/>
              </w:rPr>
            </w:pPr>
            <w:r>
              <w:rPr>
                <w:rFonts w:hint="eastAsia" w:ascii="宋体" w:hAnsi="宋体" w:eastAsia="宋体" w:cs="宋体"/>
                <w:sz w:val="24"/>
                <w:szCs w:val="24"/>
              </w:rPr>
              <w:t>请明确“长度宜为100～600米，宽度宜为50～300m”、“长度宜为100m～200m”的依据；另外，请统一所以标准中的计量单位。</w:t>
            </w:r>
          </w:p>
          <w:p>
            <w:pPr>
              <w:pStyle w:val="8"/>
              <w:rPr>
                <w:rFonts w:hint="eastAsia" w:ascii="宋体" w:hAnsi="宋体" w:eastAsia="宋体" w:cs="宋体"/>
                <w:sz w:val="24"/>
                <w:szCs w:val="24"/>
              </w:rPr>
            </w:pP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生态环境部土壤与农业农村生态环境监管技术中心</w:t>
            </w:r>
            <w:r>
              <w:rPr>
                <w:rFonts w:hint="eastAsia" w:ascii="宋体" w:hAnsi="宋体" w:eastAsia="宋体" w:cs="宋体"/>
                <w:sz w:val="24"/>
                <w:szCs w:val="24"/>
                <w:lang w:val="en-US" w:eastAsia="zh-CN"/>
              </w:rPr>
              <w:t xml:space="preserve"> 秦晓鹏</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CN"/>
              </w:rPr>
              <w:t>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r>
              <w:rPr>
                <w:rFonts w:hint="default" w:ascii="Times New Roman" w:hAnsi="Times New Roman" w:cs="Times New Roman"/>
                <w:sz w:val="24"/>
                <w:szCs w:val="24"/>
              </w:rPr>
              <w:t>6.2.9</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sz w:val="24"/>
                <w:szCs w:val="24"/>
              </w:rPr>
            </w:pPr>
            <w:r>
              <w:rPr>
                <w:rFonts w:hint="eastAsia" w:ascii="宋体" w:hAnsi="宋体" w:eastAsia="宋体" w:cs="宋体"/>
                <w:sz w:val="24"/>
                <w:szCs w:val="24"/>
              </w:rPr>
              <w:t>建议将6.2.9内容修改为“农田土体厚度宜达到50cm以上，水田耕作层厚度宜在20cm以上，水浇地和旱地耕作层厚度宜在25cm以上，山地丘陵区梯田化率宜达到90%以上，田间基础设施占地率一般不超过8%”，与《广东省高标准农田建设规划（2021—2030年）》保持一致。</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生态环境部土壤与农业农村生态环境监管技术中心</w:t>
            </w:r>
            <w:r>
              <w:rPr>
                <w:rFonts w:hint="eastAsia" w:ascii="宋体" w:hAnsi="宋体" w:eastAsia="宋体" w:cs="宋体"/>
                <w:sz w:val="24"/>
                <w:szCs w:val="24"/>
                <w:lang w:val="en-US" w:eastAsia="zh-CN"/>
              </w:rPr>
              <w:t xml:space="preserve"> 秦晓鹏</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r>
              <w:rPr>
                <w:rFonts w:hint="default" w:ascii="Times New Roman" w:hAnsi="Times New Roman" w:cs="Times New Roman"/>
                <w:sz w:val="24"/>
                <w:szCs w:val="24"/>
              </w:rPr>
              <w:t>6.3.4</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21"/>
              <w:tabs>
                <w:tab w:val="center" w:pos="4201"/>
                <w:tab w:val="right" w:leader="dot" w:pos="9298"/>
              </w:tabs>
              <w:ind w:firstLine="480"/>
              <w:rPr>
                <w:rFonts w:hint="eastAsia" w:ascii="宋体" w:hAnsi="宋体" w:eastAsia="宋体" w:cs="宋体"/>
                <w:sz w:val="24"/>
                <w:szCs w:val="24"/>
              </w:rPr>
            </w:pPr>
            <w:r>
              <w:rPr>
                <w:rFonts w:hint="eastAsia" w:ascii="宋体" w:hAnsi="宋体" w:eastAsia="宋体" w:cs="宋体"/>
                <w:sz w:val="24"/>
                <w:szCs w:val="24"/>
              </w:rPr>
              <w:t>请补充“改良后土壤pH应达到5.5以上至中性”；为确保施加的石灰质物质、土壤调理剂不对土壤造成污染，请补充对石灰质物质、土壤调理剂中重金属等污染的含量限值，具体可参考肥料标准、农用地标准、深圳市土壤背景值等；另外，盐度对于农作物生长影响较大，建议补充改良后土壤的盐分含量限值，具体可参考国家相关标准、深圳市农用地土壤盐度分布情况等。</w:t>
            </w:r>
          </w:p>
          <w:p>
            <w:pPr>
              <w:pStyle w:val="8"/>
              <w:rPr>
                <w:rFonts w:hint="eastAsia" w:ascii="宋体" w:hAnsi="宋体" w:eastAsia="宋体" w:cs="宋体"/>
                <w:sz w:val="24"/>
                <w:szCs w:val="24"/>
              </w:rPr>
            </w:pP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生态环境部土壤与农业农村生态环境监管技术中心</w:t>
            </w:r>
            <w:r>
              <w:rPr>
                <w:rFonts w:hint="eastAsia" w:ascii="宋体" w:hAnsi="宋体" w:eastAsia="宋体" w:cs="宋体"/>
                <w:sz w:val="24"/>
                <w:szCs w:val="24"/>
                <w:lang w:val="en-US" w:eastAsia="zh-CN"/>
              </w:rPr>
              <w:t xml:space="preserve"> 秦晓鹏</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部分采纳</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p>
        </w:tc>
        <w:tc>
          <w:tcPr>
            <w:tcW w:w="13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lang w:val="en-US" w:eastAsia="zh-CN"/>
              </w:rPr>
            </w:pPr>
            <w:r>
              <w:rPr>
                <w:rFonts w:hint="default" w:ascii="Times New Roman" w:hAnsi="Times New Roman" w:cs="Times New Roman"/>
                <w:sz w:val="24"/>
                <w:szCs w:val="24"/>
              </w:rPr>
              <w:t xml:space="preserve">6.3 </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pStyle w:val="21"/>
              <w:tabs>
                <w:tab w:val="center" w:pos="4201"/>
                <w:tab w:val="right" w:leader="dot" w:pos="9298"/>
              </w:tabs>
              <w:ind w:firstLine="480"/>
              <w:rPr>
                <w:rFonts w:hint="eastAsia" w:ascii="宋体" w:hAnsi="宋体" w:eastAsia="宋体" w:cs="宋体"/>
                <w:sz w:val="24"/>
                <w:szCs w:val="24"/>
              </w:rPr>
            </w:pPr>
            <w:r>
              <w:rPr>
                <w:rFonts w:hint="eastAsia" w:ascii="宋体" w:hAnsi="宋体" w:eastAsia="宋体" w:cs="宋体"/>
                <w:sz w:val="24"/>
                <w:szCs w:val="24"/>
              </w:rPr>
              <w:t>新增一条内容（其他内容顺延）：6.3.5  盐碱土壤可采用工程排盐、施用土壤调理剂和有机肥等措施进行改良，改良后的土壤盐分含量应低于0.3%，土壤pH应达到8.5以下至中性。</w:t>
            </w:r>
          </w:p>
          <w:p>
            <w:pPr>
              <w:pStyle w:val="8"/>
              <w:rPr>
                <w:rFonts w:hint="eastAsia" w:ascii="宋体" w:hAnsi="宋体" w:eastAsia="宋体" w:cs="宋体"/>
                <w:sz w:val="24"/>
                <w:szCs w:val="24"/>
              </w:rPr>
            </w:pP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生态环境部土壤与农业农村生态环境监管技术中心</w:t>
            </w:r>
            <w:r>
              <w:rPr>
                <w:rFonts w:hint="eastAsia" w:ascii="宋体" w:hAnsi="宋体" w:eastAsia="宋体" w:cs="宋体"/>
                <w:sz w:val="24"/>
                <w:szCs w:val="24"/>
                <w:lang w:val="en-US" w:eastAsia="zh-CN"/>
              </w:rPr>
              <w:t xml:space="preserve"> 秦晓鹏</w:t>
            </w:r>
          </w:p>
        </w:tc>
        <w:tc>
          <w:tcPr>
            <w:tcW w:w="180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部分采纳，整体按照广东省高标准农田建设规划（2021—2030年）要求</w:t>
            </w:r>
          </w:p>
        </w:tc>
        <w:tc>
          <w:tcPr>
            <w:tcW w:w="7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6" w:hRule="atLeast"/>
        </w:trPr>
        <w:tc>
          <w:tcPr>
            <w:tcW w:w="8405"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rPr>
                <w:rFonts w:hint="default" w:ascii="Times New Roman" w:hAnsi="Times New Roman" w:cs="Times New Roman"/>
                <w:sz w:val="24"/>
              </w:rPr>
            </w:pPr>
            <w:r>
              <w:rPr>
                <w:rFonts w:hint="default" w:ascii="Times New Roman" w:hAnsi="Times New Roman" w:cs="Times New Roman"/>
                <w:sz w:val="24"/>
              </w:rPr>
              <w:t xml:space="preserve"> 说明：1.征求意见应采用网络、电话、书面以及会议相结合的方式，时间一般不少于1个月。</w:t>
            </w:r>
          </w:p>
          <w:p>
            <w:pPr>
              <w:adjustRightInd w:val="0"/>
              <w:snapToGrid w:val="0"/>
              <w:spacing w:line="300" w:lineRule="auto"/>
              <w:ind w:firstLine="840" w:firstLineChars="350"/>
              <w:rPr>
                <w:rFonts w:hint="default" w:ascii="Times New Roman" w:hAnsi="Times New Roman" w:cs="Times New Roman"/>
                <w:sz w:val="24"/>
              </w:rPr>
            </w:pPr>
            <w:r>
              <w:rPr>
                <w:rFonts w:hint="default" w:ascii="Times New Roman" w:hAnsi="Times New Roman" w:cs="Times New Roman"/>
                <w:sz w:val="24"/>
              </w:rPr>
              <w:t>2.处理意见分为“采纳”或者“不采纳”，对于不采纳的，应当在“备注”栏注明原因。</w:t>
            </w:r>
          </w:p>
          <w:p>
            <w:pPr>
              <w:adjustRightInd w:val="0"/>
              <w:snapToGrid w:val="0"/>
              <w:spacing w:line="300" w:lineRule="auto"/>
              <w:ind w:firstLine="4410" w:firstLineChars="2100"/>
              <w:rPr>
                <w:rFonts w:hint="default" w:ascii="Times New Roman" w:hAnsi="Times New Roman" w:cs="Times New Roman"/>
                <w:sz w:val="24"/>
              </w:rPr>
            </w:pPr>
            <w:r>
              <w:rPr>
                <w:rFonts w:hint="default" w:ascii="Times New Roman" w:hAnsi="Times New Roman" w:cs="Times New Roman"/>
              </w:rPr>
              <w:t>（注：上述说明附在最后一页下面）</w:t>
            </w:r>
          </w:p>
        </w:tc>
      </w:tr>
    </w:tbl>
    <w:p>
      <w:pPr>
        <w:ind w:firstLine="640" w:firstLineChars="200"/>
        <w:rPr>
          <w:rFonts w:hint="default" w:ascii="Times New Roman" w:hAnsi="Times New Roman" w:eastAsia="仿宋" w:cs="Times New Roman"/>
          <w:b w:val="0"/>
          <w:bCs w:val="0"/>
          <w:color w:val="000000"/>
          <w:sz w:val="32"/>
          <w:szCs w:val="32"/>
          <w:lang w:val="en-US" w:eastAsia="zh-CN"/>
        </w:rPr>
      </w:pPr>
    </w:p>
    <w:p>
      <w:pPr>
        <w:ind w:firstLine="640" w:firstLineChars="200"/>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2023年</w:t>
      </w:r>
      <w:r>
        <w:rPr>
          <w:rFonts w:hint="eastAsia" w:ascii="Times New Roman" w:hAnsi="Times New Roman" w:eastAsia="仿宋" w:cs="Times New Roman"/>
          <w:b w:val="0"/>
          <w:bCs w:val="0"/>
          <w:color w:val="000000"/>
          <w:sz w:val="32"/>
          <w:szCs w:val="32"/>
          <w:lang w:val="en-US" w:eastAsia="zh-CN"/>
        </w:rPr>
        <w:t>8</w:t>
      </w:r>
      <w:r>
        <w:rPr>
          <w:rFonts w:hint="default" w:ascii="Times New Roman" w:hAnsi="Times New Roman" w:eastAsia="仿宋" w:cs="Times New Roman"/>
          <w:b w:val="0"/>
          <w:bCs w:val="0"/>
          <w:color w:val="000000"/>
          <w:sz w:val="32"/>
          <w:szCs w:val="32"/>
          <w:lang w:val="en-US" w:eastAsia="zh-CN"/>
        </w:rPr>
        <w:t>月，编制组</w:t>
      </w:r>
      <w:r>
        <w:rPr>
          <w:rFonts w:hint="eastAsia" w:ascii="Times New Roman" w:hAnsi="Times New Roman" w:eastAsia="仿宋" w:cs="Times New Roman"/>
          <w:b w:val="0"/>
          <w:bCs w:val="0"/>
          <w:color w:val="000000"/>
          <w:sz w:val="32"/>
          <w:szCs w:val="32"/>
          <w:lang w:val="en-US" w:eastAsia="zh-CN"/>
        </w:rPr>
        <w:t>再次</w:t>
      </w:r>
      <w:r>
        <w:rPr>
          <w:rFonts w:hint="default" w:ascii="Times New Roman" w:hAnsi="Times New Roman" w:eastAsia="仿宋" w:cs="Times New Roman"/>
          <w:b w:val="0"/>
          <w:bCs w:val="0"/>
          <w:color w:val="000000"/>
          <w:sz w:val="32"/>
          <w:szCs w:val="32"/>
          <w:lang w:val="en-US" w:eastAsia="zh-CN"/>
        </w:rPr>
        <w:t>通过函审，对《</w:t>
      </w:r>
      <w:r>
        <w:rPr>
          <w:rFonts w:hint="default" w:ascii="Times New Roman" w:hAnsi="Times New Roman" w:eastAsia="仿宋" w:cs="Times New Roman"/>
          <w:b w:val="0"/>
          <w:bCs w:val="0"/>
          <w:color w:val="000000"/>
          <w:sz w:val="32"/>
          <w:szCs w:val="32"/>
          <w:lang w:val="en-US" w:eastAsia="zh-Hans"/>
        </w:rPr>
        <w:t>高标准农田</w:t>
      </w:r>
      <w:r>
        <w:rPr>
          <w:rFonts w:hint="default" w:ascii="Times New Roman" w:hAnsi="Times New Roman" w:eastAsia="仿宋" w:cs="Times New Roman"/>
          <w:b w:val="0"/>
          <w:bCs w:val="0"/>
          <w:color w:val="000000"/>
          <w:sz w:val="32"/>
          <w:szCs w:val="32"/>
          <w:lang w:val="en-US" w:eastAsia="zh-CN"/>
        </w:rPr>
        <w:t xml:space="preserve"> </w:t>
      </w:r>
      <w:r>
        <w:rPr>
          <w:rFonts w:hint="default" w:ascii="Times New Roman" w:hAnsi="Times New Roman" w:eastAsia="仿宋" w:cs="Times New Roman"/>
          <w:b w:val="0"/>
          <w:bCs w:val="0"/>
          <w:color w:val="000000"/>
          <w:sz w:val="32"/>
          <w:szCs w:val="32"/>
          <w:lang w:val="en-US" w:eastAsia="zh-Hans"/>
        </w:rPr>
        <w:t xml:space="preserve"> 土壤质量提升</w:t>
      </w:r>
      <w:r>
        <w:rPr>
          <w:rFonts w:hint="default" w:ascii="Times New Roman" w:hAnsi="Times New Roman" w:eastAsia="仿宋" w:cs="Times New Roman"/>
          <w:b w:val="0"/>
          <w:bCs w:val="0"/>
          <w:color w:val="000000"/>
          <w:sz w:val="32"/>
          <w:szCs w:val="32"/>
          <w:lang w:val="en-US" w:eastAsia="zh-CN"/>
        </w:rPr>
        <w:t>》草案进行意见征集与修改，相关意见汇总处理见下表。</w:t>
      </w:r>
    </w:p>
    <w:p>
      <w:pPr>
        <w:widowControl w:val="0"/>
        <w:spacing w:after="120" w:afterLines="0" w:afterAutospacing="0" w:line="560" w:lineRule="exact"/>
        <w:ind w:left="0" w:leftChars="0" w:firstLine="0" w:firstLineChars="0"/>
        <w:jc w:val="center"/>
        <w:rPr>
          <w:rFonts w:hint="default" w:ascii="Times New Roman" w:hAnsi="Times New Roman" w:eastAsia="黑体" w:cs="Times New Roman"/>
          <w:kern w:val="2"/>
          <w:sz w:val="28"/>
          <w:szCs w:val="21"/>
          <w:lang w:val="en-US" w:eastAsia="zh-CN" w:bidi="ar-SA"/>
        </w:rPr>
      </w:pPr>
      <w:r>
        <w:rPr>
          <w:rFonts w:hint="default" w:ascii="Times New Roman" w:hAnsi="Times New Roman" w:eastAsia="黑体" w:cs="Times New Roman"/>
          <w:kern w:val="2"/>
          <w:sz w:val="28"/>
          <w:szCs w:val="21"/>
          <w:lang w:val="en-US" w:eastAsia="zh-CN" w:bidi="ar-SA"/>
        </w:rPr>
        <w:t>表</w:t>
      </w:r>
      <w:r>
        <w:rPr>
          <w:rFonts w:hint="eastAsia" w:ascii="Times New Roman" w:hAnsi="Times New Roman" w:eastAsia="黑体" w:cs="Times New Roman"/>
          <w:kern w:val="2"/>
          <w:sz w:val="28"/>
          <w:szCs w:val="21"/>
          <w:lang w:val="en-US" w:eastAsia="zh-CN" w:bidi="ar-SA"/>
        </w:rPr>
        <w:t>2</w:t>
      </w:r>
      <w:r>
        <w:rPr>
          <w:rFonts w:hint="default" w:ascii="Times New Roman" w:hAnsi="Times New Roman" w:eastAsia="黑体" w:cs="Times New Roman"/>
          <w:kern w:val="2"/>
          <w:sz w:val="28"/>
          <w:szCs w:val="21"/>
          <w:lang w:val="en-US" w:eastAsia="zh-CN" w:bidi="ar-SA"/>
        </w:rPr>
        <w:t xml:space="preserve"> </w:t>
      </w:r>
      <w:r>
        <w:rPr>
          <w:rFonts w:hint="eastAsia" w:ascii="Times New Roman" w:hAnsi="Times New Roman" w:eastAsia="黑体" w:cs="Times New Roman"/>
          <w:kern w:val="2"/>
          <w:sz w:val="28"/>
          <w:szCs w:val="21"/>
          <w:lang w:val="en-US" w:eastAsia="zh-CN" w:bidi="ar-SA"/>
        </w:rPr>
        <w:t>函审</w:t>
      </w:r>
      <w:r>
        <w:rPr>
          <w:rFonts w:hint="default" w:ascii="Times New Roman" w:hAnsi="Times New Roman" w:eastAsia="黑体" w:cs="Times New Roman"/>
          <w:kern w:val="2"/>
          <w:sz w:val="28"/>
          <w:szCs w:val="21"/>
          <w:lang w:val="en-US" w:eastAsia="zh-CN" w:bidi="ar-SA"/>
        </w:rPr>
        <w:t>意见汇总表</w:t>
      </w:r>
    </w:p>
    <w:tbl>
      <w:tblPr>
        <w:tblStyle w:val="15"/>
        <w:tblW w:w="0" w:type="auto"/>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1048"/>
        <w:gridCol w:w="2080"/>
        <w:gridCol w:w="1478"/>
        <w:gridCol w:w="1562"/>
        <w:gridCol w:w="1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序号</w:t>
            </w:r>
          </w:p>
        </w:tc>
        <w:tc>
          <w:tcPr>
            <w:tcW w:w="10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章条编号</w:t>
            </w:r>
          </w:p>
        </w:tc>
        <w:tc>
          <w:tcPr>
            <w:tcW w:w="20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意见内容</w:t>
            </w:r>
          </w:p>
        </w:tc>
        <w:tc>
          <w:tcPr>
            <w:tcW w:w="14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FF0000"/>
                <w:sz w:val="24"/>
                <w:szCs w:val="24"/>
              </w:rPr>
            </w:pPr>
            <w:r>
              <w:rPr>
                <w:rFonts w:hint="eastAsia" w:ascii="宋体" w:hAnsi="宋体" w:eastAsia="宋体" w:cs="宋体"/>
                <w:sz w:val="24"/>
                <w:szCs w:val="24"/>
              </w:rPr>
              <w:t>提出单位</w:t>
            </w:r>
          </w:p>
        </w:tc>
        <w:tc>
          <w:tcPr>
            <w:tcW w:w="1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处理意见</w:t>
            </w:r>
          </w:p>
        </w:tc>
        <w:tc>
          <w:tcPr>
            <w:tcW w:w="153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8" w:hRule="atLeast"/>
        </w:trPr>
        <w:tc>
          <w:tcPr>
            <w:tcW w:w="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0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p>
        </w:tc>
        <w:tc>
          <w:tcPr>
            <w:tcW w:w="20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color w:val="auto"/>
                <w:kern w:val="0"/>
                <w:sz w:val="24"/>
                <w:szCs w:val="24"/>
                <w:u w:val="none"/>
                <w:shd w:val="clear" w:color="auto" w:fill="auto"/>
                <w:lang w:val="en-US" w:eastAsia="zh-CN" w:bidi="ar-SA"/>
              </w:rPr>
              <w:t>建议区分深圳主城区和深汕合作区进行规划建设条件的论述;</w:t>
            </w:r>
          </w:p>
        </w:tc>
        <w:tc>
          <w:tcPr>
            <w:tcW w:w="14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rPr>
              <w:t>同济大学规划院大湾区事业部</w:t>
            </w:r>
            <w:r>
              <w:rPr>
                <w:rFonts w:hint="eastAsia" w:ascii="宋体" w:hAnsi="宋体" w:eastAsia="宋体" w:cs="宋体"/>
                <w:sz w:val="24"/>
                <w:szCs w:val="24"/>
                <w:lang w:val="en-US" w:eastAsia="zh-CN"/>
              </w:rPr>
              <w:t xml:space="preserve"> </w:t>
            </w:r>
          </w:p>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杨和平</w:t>
            </w:r>
          </w:p>
        </w:tc>
        <w:tc>
          <w:tcPr>
            <w:tcW w:w="1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不采纳</w:t>
            </w:r>
          </w:p>
        </w:tc>
        <w:tc>
          <w:tcPr>
            <w:tcW w:w="153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依照《深圳市高标准农田建设规划</w:t>
            </w:r>
          </w:p>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（2021-2030年）》，本标准文件不含深汕地区高标农田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0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rPr>
            </w:pPr>
            <w:r>
              <w:rPr>
                <w:rFonts w:hint="eastAsia" w:ascii="宋体" w:hAnsi="宋体" w:eastAsia="宋体" w:cs="宋体"/>
                <w:color w:val="000000"/>
                <w:kern w:val="0"/>
                <w:sz w:val="24"/>
                <w:szCs w:val="24"/>
                <w:highlight w:val="none"/>
                <w:lang w:val="en-US" w:eastAsia="zh-CN" w:bidi="ar-SA"/>
              </w:rPr>
              <w:t>2.</w:t>
            </w:r>
            <w:r>
              <w:rPr>
                <w:rFonts w:hint="eastAsia" w:ascii="宋体" w:hAnsi="宋体" w:eastAsia="宋体" w:cs="宋体"/>
                <w:color w:val="auto"/>
                <w:kern w:val="0"/>
                <w:sz w:val="24"/>
                <w:szCs w:val="24"/>
                <w:u w:val="none"/>
                <w:shd w:val="clear" w:color="auto" w:fill="auto"/>
                <w:lang w:val="en-US" w:eastAsia="zh-CN" w:bidi="ar-SA"/>
              </w:rPr>
              <w:t>规范性引用文件</w:t>
            </w:r>
          </w:p>
        </w:tc>
        <w:tc>
          <w:tcPr>
            <w:tcW w:w="2080"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sz w:val="24"/>
                <w:szCs w:val="24"/>
                <w:lang w:eastAsia="zh-CN"/>
              </w:rPr>
            </w:pPr>
            <w:r>
              <w:rPr>
                <w:rFonts w:hint="eastAsia" w:ascii="宋体" w:hAnsi="宋体" w:eastAsia="宋体" w:cs="宋体"/>
                <w:color w:val="auto"/>
                <w:kern w:val="0"/>
                <w:sz w:val="24"/>
                <w:szCs w:val="24"/>
                <w:u w:val="none"/>
                <w:shd w:val="clear" w:color="auto" w:fill="auto"/>
                <w:lang w:val="en-US" w:eastAsia="zh-CN" w:bidi="ar-SA"/>
              </w:rPr>
              <w:t>建议增加机耕道、农业机械化等相关规范和依据文件，并调整依据文件的列序;</w:t>
            </w:r>
          </w:p>
        </w:tc>
        <w:tc>
          <w:tcPr>
            <w:tcW w:w="14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rPr>
              <w:t>同济大学规划院大湾区事业部</w:t>
            </w:r>
            <w:r>
              <w:rPr>
                <w:rFonts w:hint="eastAsia" w:ascii="宋体" w:hAnsi="宋体" w:eastAsia="宋体" w:cs="宋体"/>
                <w:sz w:val="24"/>
                <w:szCs w:val="24"/>
                <w:lang w:val="en-US" w:eastAsia="zh-CN"/>
              </w:rPr>
              <w:t xml:space="preserve"> </w:t>
            </w:r>
          </w:p>
          <w:p>
            <w:pPr>
              <w:jc w:val="center"/>
              <w:rPr>
                <w:rFonts w:hint="eastAsia" w:ascii="宋体" w:hAnsi="宋体" w:eastAsia="宋体" w:cs="宋体"/>
                <w:sz w:val="24"/>
                <w:szCs w:val="24"/>
              </w:rPr>
            </w:pPr>
            <w:r>
              <w:rPr>
                <w:rFonts w:hint="eastAsia" w:ascii="宋体" w:hAnsi="宋体" w:eastAsia="宋体" w:cs="宋体"/>
                <w:sz w:val="24"/>
                <w:szCs w:val="24"/>
                <w:lang w:val="en-US" w:eastAsia="zh-CN"/>
              </w:rPr>
              <w:t>杨和平</w:t>
            </w:r>
          </w:p>
        </w:tc>
        <w:tc>
          <w:tcPr>
            <w:tcW w:w="1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部分采纳</w:t>
            </w:r>
          </w:p>
        </w:tc>
        <w:tc>
          <w:tcPr>
            <w:tcW w:w="153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机耕道已有内容，农业机械化不属于高标准农田建设规划范围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10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6.4.9</w:t>
            </w:r>
          </w:p>
        </w:tc>
        <w:tc>
          <w:tcPr>
            <w:tcW w:w="2080"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color w:val="auto"/>
                <w:kern w:val="0"/>
                <w:sz w:val="24"/>
                <w:szCs w:val="24"/>
                <w:u w:val="none"/>
                <w:shd w:val="clear" w:color="auto" w:fill="auto"/>
                <w:lang w:val="en-US" w:eastAsia="zh-CN" w:bidi="ar-SA"/>
              </w:rPr>
            </w:pPr>
            <w:r>
              <w:rPr>
                <w:rFonts w:hint="eastAsia" w:ascii="宋体" w:hAnsi="宋体" w:eastAsia="宋体" w:cs="宋体"/>
                <w:sz w:val="24"/>
                <w:szCs w:val="24"/>
              </w:rPr>
              <w:t>核实是否还有留用和建设渡槽等类似设施的必要</w:t>
            </w:r>
          </w:p>
        </w:tc>
        <w:tc>
          <w:tcPr>
            <w:tcW w:w="14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rPr>
              <w:t>同济大学规划院大湾区事业部</w:t>
            </w:r>
            <w:r>
              <w:rPr>
                <w:rFonts w:hint="eastAsia" w:ascii="宋体" w:hAnsi="宋体" w:eastAsia="宋体" w:cs="宋体"/>
                <w:sz w:val="24"/>
                <w:szCs w:val="24"/>
                <w:lang w:val="en-US" w:eastAsia="zh-CN"/>
              </w:rPr>
              <w:t xml:space="preserve"> </w:t>
            </w:r>
          </w:p>
          <w:p>
            <w:pPr>
              <w:jc w:val="center"/>
              <w:rPr>
                <w:rFonts w:hint="eastAsia" w:ascii="宋体" w:hAnsi="宋体" w:eastAsia="宋体" w:cs="宋体"/>
                <w:sz w:val="24"/>
                <w:szCs w:val="24"/>
              </w:rPr>
            </w:pPr>
            <w:r>
              <w:rPr>
                <w:rFonts w:hint="eastAsia" w:ascii="宋体" w:hAnsi="宋体" w:eastAsia="宋体" w:cs="宋体"/>
                <w:sz w:val="24"/>
                <w:szCs w:val="24"/>
                <w:lang w:val="en-US" w:eastAsia="zh-CN"/>
              </w:rPr>
              <w:t>杨和平</w:t>
            </w:r>
          </w:p>
        </w:tc>
        <w:tc>
          <w:tcPr>
            <w:tcW w:w="1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采纳</w:t>
            </w:r>
          </w:p>
        </w:tc>
        <w:tc>
          <w:tcPr>
            <w:tcW w:w="153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10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kern w:val="0"/>
                <w:sz w:val="24"/>
                <w:szCs w:val="24"/>
                <w:highlight w:val="none"/>
                <w:lang w:val="en-US" w:eastAsia="zh-CN" w:bidi="ar-SA"/>
              </w:rPr>
            </w:pPr>
          </w:p>
        </w:tc>
        <w:tc>
          <w:tcPr>
            <w:tcW w:w="2080"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color w:val="auto"/>
                <w:kern w:val="0"/>
                <w:sz w:val="24"/>
                <w:szCs w:val="24"/>
                <w:u w:val="none"/>
                <w:shd w:val="clear" w:color="auto" w:fill="auto"/>
                <w:lang w:val="en-US" w:eastAsia="zh-CN" w:bidi="ar-SA"/>
              </w:rPr>
            </w:pPr>
            <w:r>
              <w:rPr>
                <w:rFonts w:hint="eastAsia" w:ascii="宋体" w:hAnsi="宋体" w:eastAsia="宋体" w:cs="宋体"/>
                <w:sz w:val="24"/>
                <w:szCs w:val="24"/>
              </w:rPr>
              <w:t>补充对无人机、农业机械、新型农业配套设施的规划建设要求;</w:t>
            </w:r>
          </w:p>
        </w:tc>
        <w:tc>
          <w:tcPr>
            <w:tcW w:w="14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rPr>
              <w:t>同济大学规划院大湾区事业部</w:t>
            </w:r>
            <w:r>
              <w:rPr>
                <w:rFonts w:hint="eastAsia" w:ascii="宋体" w:hAnsi="宋体" w:eastAsia="宋体" w:cs="宋体"/>
                <w:sz w:val="24"/>
                <w:szCs w:val="24"/>
                <w:lang w:val="en-US" w:eastAsia="zh-CN"/>
              </w:rPr>
              <w:t xml:space="preserve"> </w:t>
            </w:r>
          </w:p>
          <w:p>
            <w:pPr>
              <w:jc w:val="center"/>
              <w:rPr>
                <w:rFonts w:hint="eastAsia" w:ascii="宋体" w:hAnsi="宋体" w:eastAsia="宋体" w:cs="宋体"/>
                <w:sz w:val="24"/>
                <w:szCs w:val="24"/>
              </w:rPr>
            </w:pPr>
            <w:r>
              <w:rPr>
                <w:rFonts w:hint="eastAsia" w:ascii="宋体" w:hAnsi="宋体" w:eastAsia="宋体" w:cs="宋体"/>
                <w:sz w:val="24"/>
                <w:szCs w:val="24"/>
                <w:lang w:val="en-US" w:eastAsia="zh-CN"/>
              </w:rPr>
              <w:t>杨和平</w:t>
            </w:r>
          </w:p>
        </w:tc>
        <w:tc>
          <w:tcPr>
            <w:tcW w:w="1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不采纳</w:t>
            </w:r>
          </w:p>
        </w:tc>
        <w:tc>
          <w:tcPr>
            <w:tcW w:w="153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rPr>
            </w:pPr>
            <w:r>
              <w:rPr>
                <w:rFonts w:hint="eastAsia" w:ascii="宋体" w:hAnsi="宋体" w:eastAsia="宋体" w:cs="宋体"/>
                <w:sz w:val="24"/>
                <w:szCs w:val="24"/>
                <w:lang w:val="en-US" w:eastAsia="zh-CN"/>
              </w:rPr>
              <w:t>深圳高标农田处于基础建设阶段，暂未涉及智慧农田生产方向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10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3术语</w:t>
            </w:r>
          </w:p>
        </w:tc>
        <w:tc>
          <w:tcPr>
            <w:tcW w:w="2080" w:type="dxa"/>
            <w:tcBorders>
              <w:top w:val="single" w:color="auto" w:sz="4" w:space="0"/>
              <w:left w:val="single" w:color="auto" w:sz="4" w:space="0"/>
              <w:bottom w:val="single" w:color="auto" w:sz="4" w:space="0"/>
              <w:right w:val="single" w:color="auto" w:sz="4" w:space="0"/>
            </w:tcBorders>
            <w:noWrap w:val="0"/>
            <w:vAlign w:val="center"/>
          </w:tcPr>
          <w:p>
            <w:pPr>
              <w:pStyle w:val="21"/>
              <w:tabs>
                <w:tab w:val="center" w:pos="4201"/>
                <w:tab w:val="right" w:leader="dot" w:pos="9298"/>
              </w:tabs>
              <w:spacing w:line="360" w:lineRule="auto"/>
              <w:ind w:firstLine="480"/>
              <w:rPr>
                <w:rFonts w:hint="eastAsia" w:ascii="宋体" w:hAnsi="宋体" w:eastAsia="宋体" w:cs="宋体"/>
                <w:color w:val="auto"/>
                <w:kern w:val="0"/>
                <w:sz w:val="24"/>
                <w:szCs w:val="24"/>
                <w:u w:val="none"/>
                <w:shd w:val="clear" w:color="auto" w:fill="auto"/>
                <w:lang w:val="en-US" w:eastAsia="zh-CN" w:bidi="ar-SA"/>
              </w:rPr>
            </w:pPr>
            <w:r>
              <w:rPr>
                <w:rFonts w:hint="eastAsia" w:ascii="宋体" w:hAnsi="宋体" w:eastAsia="宋体" w:cs="宋体"/>
                <w:kern w:val="2"/>
                <w:sz w:val="24"/>
                <w:szCs w:val="24"/>
                <w:lang w:val="en-US" w:eastAsia="zh-CN" w:bidi="ar-SA"/>
              </w:rPr>
              <w:t>建议针对P1页术语和定义目前仅1项术语，建议适当增加重要术语和定义，如土壤改良、田块整治等；</w:t>
            </w:r>
          </w:p>
        </w:tc>
        <w:tc>
          <w:tcPr>
            <w:tcW w:w="14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生态环境部土壤与农业农村生态环境监管技术中心</w:t>
            </w:r>
          </w:p>
          <w:p>
            <w:pPr>
              <w:pStyle w:val="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李松</w:t>
            </w:r>
          </w:p>
        </w:tc>
        <w:tc>
          <w:tcPr>
            <w:tcW w:w="1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采纳</w:t>
            </w:r>
          </w:p>
        </w:tc>
        <w:tc>
          <w:tcPr>
            <w:tcW w:w="153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10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252525"/>
                <w:spacing w:val="0"/>
                <w:w w:val="100"/>
                <w:kern w:val="2"/>
                <w:position w:val="0"/>
                <w:sz w:val="24"/>
                <w:szCs w:val="24"/>
                <w:u w:val="none"/>
                <w:shd w:val="clear" w:color="auto" w:fill="auto"/>
                <w:lang w:val="en-US" w:eastAsia="en-US" w:bidi="en-US"/>
              </w:rPr>
            </w:pPr>
          </w:p>
        </w:tc>
        <w:tc>
          <w:tcPr>
            <w:tcW w:w="2080"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color w:val="252525"/>
                <w:spacing w:val="0"/>
                <w:w w:val="100"/>
                <w:kern w:val="2"/>
                <w:position w:val="0"/>
                <w:sz w:val="24"/>
                <w:szCs w:val="24"/>
                <w:u w:val="none"/>
                <w:shd w:val="clear" w:color="auto" w:fill="auto"/>
                <w:lang w:val="zh-TW" w:eastAsia="zh-TW" w:bidi="zh-TW"/>
              </w:rPr>
            </w:pPr>
            <w:r>
              <w:rPr>
                <w:rFonts w:hint="eastAsia" w:ascii="宋体" w:hAnsi="宋体" w:eastAsia="宋体" w:cs="宋体"/>
                <w:sz w:val="24"/>
                <w:szCs w:val="24"/>
              </w:rPr>
              <w:t xml:space="preserve"> P2页4建设总则目前内容分散且条理性不强，建议进一步梳理整合，从总体原则、项目选址、分工协作等方面进行阐述，如4.1与4.2内容可以合并；</w:t>
            </w:r>
          </w:p>
        </w:tc>
        <w:tc>
          <w:tcPr>
            <w:tcW w:w="14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生态环境部土壤与农业农村生态环境监管技术中心</w:t>
            </w:r>
          </w:p>
          <w:p>
            <w:pPr>
              <w:jc w:val="center"/>
              <w:rPr>
                <w:rFonts w:hint="eastAsia" w:ascii="宋体" w:hAnsi="宋体" w:eastAsia="宋体" w:cs="宋体"/>
                <w:sz w:val="24"/>
                <w:szCs w:val="24"/>
              </w:rPr>
            </w:pPr>
            <w:r>
              <w:rPr>
                <w:rFonts w:hint="eastAsia" w:ascii="宋体" w:hAnsi="宋体" w:eastAsia="宋体" w:cs="宋体"/>
                <w:sz w:val="24"/>
                <w:szCs w:val="24"/>
                <w:lang w:val="en-US" w:eastAsia="zh-CN"/>
              </w:rPr>
              <w:t>李松</w:t>
            </w:r>
          </w:p>
        </w:tc>
        <w:tc>
          <w:tcPr>
            <w:tcW w:w="1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部分采纳</w:t>
            </w:r>
          </w:p>
        </w:tc>
        <w:tc>
          <w:tcPr>
            <w:tcW w:w="153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10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252525"/>
                <w:spacing w:val="0"/>
                <w:w w:val="100"/>
                <w:kern w:val="2"/>
                <w:position w:val="0"/>
                <w:sz w:val="24"/>
                <w:szCs w:val="24"/>
                <w:u w:val="none"/>
                <w:shd w:val="clear" w:color="auto" w:fill="auto"/>
                <w:lang w:val="en-US" w:eastAsia="en-US" w:bidi="en-US"/>
              </w:rPr>
            </w:pPr>
          </w:p>
        </w:tc>
        <w:tc>
          <w:tcPr>
            <w:tcW w:w="2080"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color w:val="252525"/>
                <w:spacing w:val="0"/>
                <w:w w:val="100"/>
                <w:kern w:val="2"/>
                <w:position w:val="0"/>
                <w:sz w:val="24"/>
                <w:szCs w:val="24"/>
                <w:u w:val="none"/>
                <w:shd w:val="clear" w:color="auto" w:fill="auto"/>
                <w:lang w:val="zh-TW" w:eastAsia="zh-TW" w:bidi="zh-TW"/>
              </w:rPr>
            </w:pPr>
            <w:r>
              <w:rPr>
                <w:rFonts w:hint="eastAsia" w:ascii="宋体" w:hAnsi="宋体" w:eastAsia="宋体" w:cs="宋体"/>
                <w:sz w:val="24"/>
                <w:szCs w:val="24"/>
              </w:rPr>
              <w:t>P3页6.2.5 土地平坦区域的耕地宜修筑条田，长度宜为100m～600m，宽度宜为50 m～300m，且宜为机械作业宽度的倍数；地面坡度为5～25° 的坡耕地应改造成水平梯田，梯田长不超过200m，并配套坡面防护设施，田面长边宜平行等高线布置，长度宜为100m～200m，田面宽度应便于机械作业和田间管理；地面坡度大于25°的坡耕地应退耕还林、还草等涉及建设参数的相关内容应明确其出处依据，明确具体引用哪个标准、规范、指南、导则、办法等，如渠系建筑物指斗渠（含）以下渠道的建筑物的工程建设应满足SL 482的规定，增加说服力；其他类似内容也需要明确；</w:t>
            </w:r>
          </w:p>
        </w:tc>
        <w:tc>
          <w:tcPr>
            <w:tcW w:w="14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生态环境部土壤与农业农村生态环境监管技术中心</w:t>
            </w:r>
          </w:p>
          <w:p>
            <w:pPr>
              <w:jc w:val="center"/>
              <w:rPr>
                <w:rFonts w:hint="eastAsia" w:ascii="宋体" w:hAnsi="宋体" w:eastAsia="宋体" w:cs="宋体"/>
                <w:sz w:val="24"/>
                <w:szCs w:val="24"/>
              </w:rPr>
            </w:pPr>
            <w:r>
              <w:rPr>
                <w:rFonts w:hint="eastAsia" w:ascii="宋体" w:hAnsi="宋体" w:eastAsia="宋体" w:cs="宋体"/>
                <w:sz w:val="24"/>
                <w:szCs w:val="24"/>
                <w:lang w:val="en-US" w:eastAsia="zh-CN"/>
              </w:rPr>
              <w:t>李松</w:t>
            </w:r>
          </w:p>
        </w:tc>
        <w:tc>
          <w:tcPr>
            <w:tcW w:w="1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采纳</w:t>
            </w:r>
          </w:p>
        </w:tc>
        <w:tc>
          <w:tcPr>
            <w:tcW w:w="153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10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252525"/>
                <w:spacing w:val="0"/>
                <w:w w:val="100"/>
                <w:kern w:val="2"/>
                <w:position w:val="0"/>
                <w:sz w:val="24"/>
                <w:szCs w:val="24"/>
                <w:u w:val="none"/>
                <w:shd w:val="clear" w:color="auto" w:fill="auto"/>
                <w:lang w:val="en-US" w:eastAsia="zh-CN" w:bidi="en-US"/>
              </w:rPr>
            </w:pPr>
            <w:r>
              <w:rPr>
                <w:rFonts w:hint="eastAsia" w:ascii="宋体" w:hAnsi="宋体" w:eastAsia="宋体" w:cs="宋体"/>
                <w:color w:val="252525"/>
                <w:spacing w:val="0"/>
                <w:w w:val="100"/>
                <w:kern w:val="2"/>
                <w:position w:val="0"/>
                <w:sz w:val="24"/>
                <w:szCs w:val="24"/>
                <w:u w:val="none"/>
                <w:shd w:val="clear" w:color="auto" w:fill="auto"/>
                <w:lang w:val="en-US" w:eastAsia="zh-CN" w:bidi="en-US"/>
              </w:rPr>
              <w:t>6.6</w:t>
            </w:r>
          </w:p>
        </w:tc>
        <w:tc>
          <w:tcPr>
            <w:tcW w:w="2080" w:type="dxa"/>
            <w:tcBorders>
              <w:top w:val="single" w:color="auto" w:sz="4" w:space="0"/>
              <w:left w:val="single" w:color="auto" w:sz="4" w:space="0"/>
              <w:bottom w:val="single" w:color="auto" w:sz="4" w:space="0"/>
              <w:right w:val="single" w:color="auto" w:sz="4" w:space="0"/>
            </w:tcBorders>
            <w:noWrap w:val="0"/>
            <w:vAlign w:val="center"/>
          </w:tcPr>
          <w:p>
            <w:pPr>
              <w:pStyle w:val="21"/>
              <w:tabs>
                <w:tab w:val="center" w:pos="4201"/>
                <w:tab w:val="right" w:leader="dot" w:pos="9298"/>
              </w:tabs>
              <w:spacing w:line="360" w:lineRule="auto"/>
              <w:ind w:firstLineChars="175"/>
              <w:rPr>
                <w:rFonts w:hint="eastAsia" w:ascii="宋体" w:hAnsi="宋体" w:eastAsia="宋体" w:cs="宋体"/>
                <w:color w:val="252525"/>
                <w:spacing w:val="0"/>
                <w:w w:val="100"/>
                <w:kern w:val="2"/>
                <w:position w:val="0"/>
                <w:sz w:val="24"/>
                <w:szCs w:val="24"/>
                <w:u w:val="none"/>
                <w:shd w:val="clear" w:color="auto" w:fill="auto"/>
                <w:lang w:val="en-US" w:eastAsia="zh-CN" w:bidi="zh-TW"/>
              </w:rPr>
            </w:pPr>
            <w:r>
              <w:rPr>
                <w:rFonts w:hint="eastAsia" w:ascii="宋体" w:hAnsi="宋体" w:eastAsia="宋体" w:cs="宋体"/>
                <w:sz w:val="24"/>
                <w:szCs w:val="24"/>
              </w:rPr>
              <w:t>建议在P5页6.6 农田防护和生态环境保护中增加高标准农田规划和建设中生物病虫害防治、微污染土壤防治、提升土壤地力等生态环境保护相关内容；</w:t>
            </w:r>
          </w:p>
        </w:tc>
        <w:tc>
          <w:tcPr>
            <w:tcW w:w="14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生态环境部土壤与农业农村生态环境监管技术中心</w:t>
            </w:r>
          </w:p>
          <w:p>
            <w:pPr>
              <w:jc w:val="center"/>
              <w:rPr>
                <w:rFonts w:hint="eastAsia" w:ascii="宋体" w:hAnsi="宋体" w:eastAsia="宋体" w:cs="宋体"/>
                <w:sz w:val="24"/>
                <w:szCs w:val="24"/>
              </w:rPr>
            </w:pPr>
            <w:r>
              <w:rPr>
                <w:rFonts w:hint="eastAsia" w:ascii="宋体" w:hAnsi="宋体" w:eastAsia="宋体" w:cs="宋体"/>
                <w:sz w:val="24"/>
                <w:szCs w:val="24"/>
                <w:lang w:val="en-US" w:eastAsia="zh-CN"/>
              </w:rPr>
              <w:t>李松</w:t>
            </w:r>
          </w:p>
        </w:tc>
        <w:tc>
          <w:tcPr>
            <w:tcW w:w="1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不采纳</w:t>
            </w:r>
          </w:p>
        </w:tc>
        <w:tc>
          <w:tcPr>
            <w:tcW w:w="153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该标准为高标准农田建设规划标准，不涉及</w:t>
            </w:r>
            <w:r>
              <w:rPr>
                <w:rFonts w:hint="eastAsia" w:ascii="宋体" w:hAnsi="宋体" w:eastAsia="宋体" w:cs="宋体"/>
                <w:sz w:val="24"/>
                <w:szCs w:val="24"/>
              </w:rPr>
              <w:t>生物病虫害防治、微污染土壤防治、提升土壤地力等</w:t>
            </w:r>
            <w:r>
              <w:rPr>
                <w:rFonts w:hint="eastAsia" w:ascii="宋体" w:hAnsi="宋体" w:eastAsia="宋体" w:cs="宋体"/>
                <w:sz w:val="24"/>
                <w:szCs w:val="24"/>
                <w:lang w:val="en-US" w:eastAsia="zh-CN"/>
              </w:rPr>
              <w:t>方面，该部分内容另有标准规定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p>
        </w:tc>
        <w:tc>
          <w:tcPr>
            <w:tcW w:w="10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252525"/>
                <w:spacing w:val="0"/>
                <w:w w:val="100"/>
                <w:kern w:val="2"/>
                <w:position w:val="0"/>
                <w:sz w:val="24"/>
                <w:szCs w:val="24"/>
                <w:u w:val="none"/>
                <w:shd w:val="clear" w:color="auto" w:fill="auto"/>
                <w:lang w:val="en-US" w:eastAsia="zh-CN" w:bidi="en-US"/>
              </w:rPr>
            </w:pPr>
            <w:r>
              <w:rPr>
                <w:rFonts w:hint="eastAsia" w:ascii="宋体" w:hAnsi="宋体" w:eastAsia="宋体" w:cs="宋体"/>
                <w:color w:val="252525"/>
                <w:spacing w:val="0"/>
                <w:w w:val="100"/>
                <w:kern w:val="2"/>
                <w:position w:val="0"/>
                <w:sz w:val="24"/>
                <w:szCs w:val="24"/>
                <w:u w:val="none"/>
                <w:shd w:val="clear" w:color="auto" w:fill="auto"/>
                <w:lang w:val="en-US" w:eastAsia="zh-CN" w:bidi="en-US"/>
              </w:rPr>
              <w:t>7.2</w:t>
            </w:r>
          </w:p>
        </w:tc>
        <w:tc>
          <w:tcPr>
            <w:tcW w:w="2080" w:type="dxa"/>
            <w:tcBorders>
              <w:top w:val="single" w:color="auto" w:sz="4" w:space="0"/>
              <w:left w:val="single" w:color="auto" w:sz="4" w:space="0"/>
              <w:bottom w:val="single" w:color="auto" w:sz="4" w:space="0"/>
              <w:right w:val="single" w:color="auto" w:sz="4" w:space="0"/>
            </w:tcBorders>
            <w:noWrap w:val="0"/>
            <w:vAlign w:val="center"/>
          </w:tcPr>
          <w:p>
            <w:pPr>
              <w:pStyle w:val="21"/>
              <w:tabs>
                <w:tab w:val="center" w:pos="4201"/>
                <w:tab w:val="right" w:leader="dot" w:pos="9298"/>
              </w:tabs>
              <w:ind w:firstLine="480"/>
              <w:rPr>
                <w:rFonts w:hint="eastAsia" w:ascii="宋体" w:hAnsi="宋体" w:eastAsia="宋体" w:cs="宋体"/>
                <w:color w:val="252525"/>
                <w:spacing w:val="0"/>
                <w:w w:val="100"/>
                <w:kern w:val="2"/>
                <w:position w:val="0"/>
                <w:sz w:val="24"/>
                <w:szCs w:val="24"/>
                <w:u w:val="none"/>
                <w:shd w:val="clear" w:color="auto" w:fill="auto"/>
                <w:lang w:val="zh-TW" w:eastAsia="zh-TW" w:bidi="zh-TW"/>
              </w:rPr>
            </w:pPr>
            <w:r>
              <w:rPr>
                <w:rFonts w:hint="eastAsia" w:ascii="宋体" w:hAnsi="宋体" w:eastAsia="宋体" w:cs="宋体"/>
                <w:sz w:val="24"/>
                <w:szCs w:val="24"/>
              </w:rPr>
              <w:t>鉴于规划和建设各环节都涉及到档案信息管理相关内容，建议将本标准7.2和8.5及其他地方涉及的档案信息管理相关内容梳理整合合并为一节或一章档案信息管理。</w:t>
            </w:r>
          </w:p>
        </w:tc>
        <w:tc>
          <w:tcPr>
            <w:tcW w:w="14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生态环境部土壤与农业农村生态环境监管技术中心</w:t>
            </w:r>
          </w:p>
          <w:p>
            <w:pPr>
              <w:jc w:val="center"/>
              <w:rPr>
                <w:rFonts w:hint="eastAsia" w:ascii="宋体" w:hAnsi="宋体" w:eastAsia="宋体" w:cs="宋体"/>
                <w:sz w:val="24"/>
                <w:szCs w:val="24"/>
              </w:rPr>
            </w:pPr>
            <w:r>
              <w:rPr>
                <w:rFonts w:hint="eastAsia" w:ascii="宋体" w:hAnsi="宋体" w:eastAsia="宋体" w:cs="宋体"/>
                <w:sz w:val="24"/>
                <w:szCs w:val="24"/>
                <w:lang w:val="en-US" w:eastAsia="zh-CN"/>
              </w:rPr>
              <w:t>李松</w:t>
            </w:r>
          </w:p>
        </w:tc>
        <w:tc>
          <w:tcPr>
            <w:tcW w:w="1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不采纳</w:t>
            </w:r>
          </w:p>
        </w:tc>
        <w:tc>
          <w:tcPr>
            <w:tcW w:w="153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标准中提到的档案为高标准农田建设规划过程中不同环节使用的档案，不宜合并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p>
        </w:tc>
        <w:tc>
          <w:tcPr>
            <w:tcW w:w="10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252525"/>
                <w:spacing w:val="0"/>
                <w:w w:val="100"/>
                <w:kern w:val="2"/>
                <w:position w:val="0"/>
                <w:sz w:val="24"/>
                <w:szCs w:val="24"/>
                <w:u w:val="none"/>
                <w:shd w:val="clear" w:color="auto" w:fill="auto"/>
                <w:lang w:val="en-US" w:eastAsia="en-US" w:bidi="en-US"/>
              </w:rPr>
            </w:pPr>
            <w:r>
              <w:rPr>
                <w:rFonts w:hint="eastAsia" w:ascii="宋体" w:hAnsi="宋体" w:eastAsia="宋体" w:cs="宋体"/>
                <w:color w:val="auto"/>
                <w:sz w:val="24"/>
                <w:szCs w:val="24"/>
                <w:lang w:val="en-US" w:eastAsia="zh-CN" w:bidi="ar-SA"/>
              </w:rPr>
              <w:t>目录</w:t>
            </w:r>
          </w:p>
        </w:tc>
        <w:tc>
          <w:tcPr>
            <w:tcW w:w="2080" w:type="dxa"/>
            <w:tcBorders>
              <w:top w:val="single" w:color="auto" w:sz="4" w:space="0"/>
              <w:left w:val="single" w:color="auto" w:sz="4" w:space="0"/>
              <w:bottom w:val="single" w:color="auto" w:sz="4" w:space="0"/>
              <w:right w:val="single" w:color="auto" w:sz="4" w:space="0"/>
            </w:tcBorders>
            <w:noWrap w:val="0"/>
            <w:vAlign w:val="center"/>
          </w:tcPr>
          <w:p>
            <w:pPr>
              <w:pStyle w:val="21"/>
              <w:tabs>
                <w:tab w:val="center" w:pos="4201"/>
                <w:tab w:val="right" w:leader="dot" w:pos="9298"/>
              </w:tabs>
              <w:ind w:firstLine="480"/>
              <w:rPr>
                <w:rFonts w:hint="eastAsia" w:ascii="宋体" w:hAnsi="宋体" w:eastAsia="宋体" w:cs="宋体"/>
                <w:color w:val="252525"/>
                <w:spacing w:val="0"/>
                <w:w w:val="100"/>
                <w:kern w:val="2"/>
                <w:position w:val="0"/>
                <w:sz w:val="24"/>
                <w:szCs w:val="24"/>
                <w:u w:val="none"/>
                <w:shd w:val="clear" w:color="auto" w:fill="auto"/>
                <w:lang w:val="zh-TW" w:eastAsia="zh-TW" w:bidi="zh-TW"/>
              </w:rPr>
            </w:pPr>
            <w:r>
              <w:rPr>
                <w:rFonts w:hint="eastAsia" w:ascii="宋体" w:hAnsi="宋体" w:eastAsia="宋体" w:cs="宋体"/>
                <w:color w:val="252525"/>
                <w:spacing w:val="0"/>
                <w:w w:val="100"/>
                <w:kern w:val="2"/>
                <w:position w:val="0"/>
                <w:sz w:val="24"/>
                <w:szCs w:val="24"/>
                <w:u w:val="none"/>
                <w:shd w:val="clear" w:color="auto" w:fill="auto"/>
                <w:lang w:val="en-US" w:eastAsia="zh-CN" w:bidi="zh-TW"/>
              </w:rPr>
              <w:t>“目录”改为“目次”，目次内容“深圳市高标准农规划和建设等”需要删除，目次内容和格式需要认真核对。</w:t>
            </w:r>
          </w:p>
        </w:tc>
        <w:tc>
          <w:tcPr>
            <w:tcW w:w="14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广东省科学院生态环境与土壤研究所</w:t>
            </w:r>
          </w:p>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崔江虎</w:t>
            </w:r>
          </w:p>
        </w:tc>
        <w:tc>
          <w:tcPr>
            <w:tcW w:w="1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采纳</w:t>
            </w:r>
          </w:p>
        </w:tc>
        <w:tc>
          <w:tcPr>
            <w:tcW w:w="153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w:t>
            </w:r>
          </w:p>
        </w:tc>
        <w:tc>
          <w:tcPr>
            <w:tcW w:w="10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 w:val="24"/>
                <w:szCs w:val="24"/>
                <w:lang w:val="en-US" w:eastAsia="zh-CN" w:bidi="ar-SA"/>
              </w:rPr>
            </w:pPr>
            <w:r>
              <w:rPr>
                <w:rFonts w:hint="eastAsia" w:ascii="宋体" w:hAnsi="宋体" w:eastAsia="宋体" w:cs="宋体"/>
                <w:color w:val="000000" w:themeColor="text1"/>
                <w:sz w:val="24"/>
                <w:szCs w:val="24"/>
                <w:lang w:val="en-US" w:eastAsia="zh-CN"/>
                <w14:textFill>
                  <w14:solidFill>
                    <w14:schemeClr w14:val="tx1"/>
                  </w14:solidFill>
                </w14:textFill>
              </w:rPr>
              <w:t>3.1</w:t>
            </w:r>
            <w:r>
              <w:rPr>
                <w:rFonts w:hint="eastAsia" w:ascii="宋体" w:hAnsi="宋体" w:eastAsia="宋体" w:cs="宋体"/>
                <w:sz w:val="24"/>
                <w:szCs w:val="24"/>
              </w:rPr>
              <w:t xml:space="preserve"> </w:t>
            </w:r>
          </w:p>
        </w:tc>
        <w:tc>
          <w:tcPr>
            <w:tcW w:w="2080" w:type="dxa"/>
            <w:tcBorders>
              <w:top w:val="single" w:color="auto" w:sz="4" w:space="0"/>
              <w:left w:val="single" w:color="auto" w:sz="4" w:space="0"/>
              <w:bottom w:val="single" w:color="auto" w:sz="4" w:space="0"/>
              <w:right w:val="single" w:color="auto" w:sz="4" w:space="0"/>
            </w:tcBorders>
            <w:noWrap w:val="0"/>
            <w:vAlign w:val="center"/>
          </w:tcPr>
          <w:p>
            <w:pPr>
              <w:pStyle w:val="21"/>
              <w:tabs>
                <w:tab w:val="center" w:pos="4201"/>
                <w:tab w:val="right" w:leader="dot" w:pos="9298"/>
              </w:tabs>
              <w:ind w:firstLine="480"/>
              <w:rPr>
                <w:rFonts w:hint="eastAsia" w:ascii="宋体" w:hAnsi="宋体" w:eastAsia="宋体" w:cs="宋体"/>
                <w:color w:val="252525"/>
                <w:spacing w:val="0"/>
                <w:w w:val="100"/>
                <w:kern w:val="2"/>
                <w:position w:val="0"/>
                <w:sz w:val="24"/>
                <w:szCs w:val="24"/>
                <w:u w:val="none"/>
                <w:shd w:val="clear" w:color="auto" w:fill="auto"/>
                <w:lang w:val="zh-TW" w:eastAsia="zh-CN" w:bidi="zh-TW"/>
              </w:rPr>
            </w:pPr>
            <w:r>
              <w:rPr>
                <w:rFonts w:hint="eastAsia" w:ascii="宋体" w:hAnsi="宋体" w:eastAsia="宋体" w:cs="宋体"/>
                <w:color w:val="252525"/>
                <w:spacing w:val="0"/>
                <w:w w:val="100"/>
                <w:kern w:val="2"/>
                <w:position w:val="0"/>
                <w:sz w:val="24"/>
                <w:szCs w:val="24"/>
                <w:u w:val="none"/>
                <w:shd w:val="clear" w:color="auto" w:fill="auto"/>
                <w:lang w:val="en-US" w:eastAsia="zh-CN" w:bidi="zh-TW"/>
              </w:rPr>
              <w:t>高标准农田建设内容(田块整治、灌溉与排水、田间道路、农田防护与生态环境保护、农田输配电及其他工程)，应依据 GB/T 30600-2022 内容。</w:t>
            </w:r>
          </w:p>
        </w:tc>
        <w:tc>
          <w:tcPr>
            <w:tcW w:w="14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广东省科学院生态环境与土壤研究所</w:t>
            </w:r>
          </w:p>
          <w:p>
            <w:pPr>
              <w:jc w:val="center"/>
              <w:rPr>
                <w:rFonts w:hint="eastAsia" w:ascii="宋体" w:hAnsi="宋体" w:eastAsia="宋体" w:cs="宋体"/>
                <w:sz w:val="24"/>
                <w:szCs w:val="24"/>
              </w:rPr>
            </w:pPr>
            <w:r>
              <w:rPr>
                <w:rFonts w:hint="eastAsia" w:ascii="宋体" w:hAnsi="宋体" w:eastAsia="宋体" w:cs="宋体"/>
                <w:sz w:val="24"/>
                <w:szCs w:val="24"/>
                <w:lang w:val="en-US" w:eastAsia="zh-CN"/>
              </w:rPr>
              <w:t>崔江虎</w:t>
            </w:r>
          </w:p>
        </w:tc>
        <w:tc>
          <w:tcPr>
            <w:tcW w:w="1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采纳</w:t>
            </w:r>
          </w:p>
        </w:tc>
        <w:tc>
          <w:tcPr>
            <w:tcW w:w="153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本标准已依据</w:t>
            </w:r>
            <w:r>
              <w:rPr>
                <w:rFonts w:hint="eastAsia" w:ascii="宋体" w:hAnsi="宋体" w:eastAsia="宋体" w:cs="宋体"/>
                <w:color w:val="252525"/>
                <w:spacing w:val="0"/>
                <w:w w:val="100"/>
                <w:kern w:val="2"/>
                <w:position w:val="0"/>
                <w:sz w:val="24"/>
                <w:szCs w:val="24"/>
                <w:u w:val="none"/>
                <w:shd w:val="clear" w:color="auto" w:fill="auto"/>
                <w:lang w:val="en-US" w:eastAsia="zh-CN" w:bidi="zh-TW"/>
              </w:rPr>
              <w:t>GB/T 30600-2022 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w:t>
            </w:r>
          </w:p>
        </w:tc>
        <w:tc>
          <w:tcPr>
            <w:tcW w:w="10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 w:val="24"/>
                <w:szCs w:val="24"/>
                <w:lang w:val="en-US" w:eastAsia="zh-CN" w:bidi="ar-SA"/>
              </w:rPr>
            </w:pPr>
            <w:r>
              <w:rPr>
                <w:rFonts w:hint="eastAsia" w:ascii="宋体" w:hAnsi="宋体" w:eastAsia="宋体" w:cs="宋体"/>
                <w:color w:val="000000"/>
                <w:sz w:val="24"/>
                <w:szCs w:val="24"/>
                <w:lang w:val="en-US" w:eastAsia="zh-CN"/>
              </w:rPr>
              <w:t>6.4.12</w:t>
            </w:r>
          </w:p>
        </w:tc>
        <w:tc>
          <w:tcPr>
            <w:tcW w:w="2080"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color w:val="252525"/>
                <w:spacing w:val="0"/>
                <w:w w:val="100"/>
                <w:kern w:val="2"/>
                <w:position w:val="0"/>
                <w:sz w:val="24"/>
                <w:szCs w:val="24"/>
                <w:u w:val="none"/>
                <w:shd w:val="clear" w:color="auto" w:fill="auto"/>
                <w:lang w:val="zh-TW" w:eastAsia="zh-TW" w:bidi="zh-TW"/>
              </w:rPr>
            </w:pPr>
            <w:r>
              <w:rPr>
                <w:rFonts w:hint="eastAsia" w:ascii="宋体" w:hAnsi="宋体" w:eastAsia="宋体" w:cs="宋体"/>
                <w:sz w:val="24"/>
                <w:szCs w:val="24"/>
              </w:rPr>
              <w:t>内容需要认真检查和核实，如6.412排水工程设计标准应符合下列规定:早作区农田排水设计暴雨重现期宜采用 5a~10a 一遇、水稻区农田排水设计暴雨重现期宜采用 10a 一遇”，应为 10 年~5年、10年。</w:t>
            </w:r>
          </w:p>
        </w:tc>
        <w:tc>
          <w:tcPr>
            <w:tcW w:w="14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广东省科学院生态环境与土壤研究所</w:t>
            </w:r>
          </w:p>
          <w:p>
            <w:pPr>
              <w:jc w:val="center"/>
              <w:rPr>
                <w:rFonts w:hint="eastAsia" w:ascii="宋体" w:hAnsi="宋体" w:eastAsia="宋体" w:cs="宋体"/>
                <w:sz w:val="24"/>
                <w:szCs w:val="24"/>
              </w:rPr>
            </w:pPr>
            <w:r>
              <w:rPr>
                <w:rFonts w:hint="eastAsia" w:ascii="宋体" w:hAnsi="宋体" w:eastAsia="宋体" w:cs="宋体"/>
                <w:sz w:val="24"/>
                <w:szCs w:val="24"/>
                <w:lang w:val="en-US" w:eastAsia="zh-CN"/>
              </w:rPr>
              <w:t>崔江虎</w:t>
            </w:r>
          </w:p>
        </w:tc>
        <w:tc>
          <w:tcPr>
            <w:tcW w:w="1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采纳</w:t>
            </w:r>
          </w:p>
        </w:tc>
        <w:tc>
          <w:tcPr>
            <w:tcW w:w="153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w:t>
            </w:r>
          </w:p>
        </w:tc>
        <w:tc>
          <w:tcPr>
            <w:tcW w:w="10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6.3.5</w:t>
            </w:r>
          </w:p>
        </w:tc>
        <w:tc>
          <w:tcPr>
            <w:tcW w:w="2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252525"/>
                <w:spacing w:val="0"/>
                <w:w w:val="100"/>
                <w:kern w:val="2"/>
                <w:position w:val="0"/>
                <w:sz w:val="24"/>
                <w:szCs w:val="24"/>
                <w:u w:val="none"/>
                <w:shd w:val="clear" w:color="auto" w:fill="auto"/>
                <w:lang w:val="zh-TW" w:eastAsia="zh-TW" w:bidi="zh-TW"/>
              </w:rPr>
            </w:pPr>
            <w:r>
              <w:rPr>
                <w:rFonts w:hint="eastAsia" w:ascii="宋体" w:hAnsi="宋体" w:eastAsia="宋体" w:cs="宋体"/>
                <w:sz w:val="24"/>
                <w:szCs w:val="24"/>
                <w:lang w:val="en-US" w:eastAsia="zh-CN"/>
              </w:rPr>
              <w:t>改良后土壤pH值宜在5.5～7.5，土壤的有机质含量、容重、阳离子交换量、有效磷、速效钾、微生物碳量等其他物理、化学、生物指标达到本地自然条件和种植水平下的中上等水平。建议：中上等水平的表述模糊，是否改为具体指标要求？</w:t>
            </w:r>
          </w:p>
        </w:tc>
        <w:tc>
          <w:tcPr>
            <w:tcW w:w="14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深圳市质量安全检验检测研究院</w:t>
            </w:r>
          </w:p>
          <w:p>
            <w:pPr>
              <w:jc w:val="center"/>
              <w:rPr>
                <w:rFonts w:hint="eastAsia" w:ascii="宋体" w:hAnsi="宋体" w:eastAsia="宋体" w:cs="宋体"/>
                <w:sz w:val="24"/>
                <w:szCs w:val="24"/>
              </w:rPr>
            </w:pPr>
            <w:r>
              <w:rPr>
                <w:rFonts w:hint="eastAsia" w:ascii="宋体" w:hAnsi="宋体" w:eastAsia="宋体" w:cs="宋体"/>
                <w:sz w:val="24"/>
                <w:szCs w:val="24"/>
                <w:lang w:val="en-US" w:eastAsia="zh-CN"/>
              </w:rPr>
              <w:t>胡祥娜</w:t>
            </w:r>
          </w:p>
        </w:tc>
        <w:tc>
          <w:tcPr>
            <w:tcW w:w="1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部分采纳</w:t>
            </w:r>
          </w:p>
        </w:tc>
        <w:tc>
          <w:tcPr>
            <w:tcW w:w="153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rPr>
            </w:pPr>
            <w:r>
              <w:rPr>
                <w:rFonts w:hint="eastAsia" w:ascii="宋体" w:hAnsi="宋体" w:eastAsia="宋体" w:cs="宋体"/>
                <w:sz w:val="24"/>
                <w:szCs w:val="24"/>
                <w:lang w:val="en-US" w:eastAsia="zh-CN"/>
              </w:rPr>
              <w:t>《广东省高标准农田建设规划》《深圳市高标准农田建设规划》对土壤容重、阳离子交换量、有效磷、速效钾、微生物碳量等其他物理、化学、生物指标无具体质标要求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6" w:hRule="atLeast"/>
        </w:trPr>
        <w:tc>
          <w:tcPr>
            <w:tcW w:w="8405"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rPr>
                <w:rFonts w:hint="eastAsia" w:ascii="宋体" w:hAnsi="宋体" w:eastAsia="宋体" w:cs="宋体"/>
                <w:sz w:val="24"/>
                <w:szCs w:val="24"/>
              </w:rPr>
            </w:pPr>
            <w:r>
              <w:rPr>
                <w:rFonts w:hint="eastAsia" w:ascii="宋体" w:hAnsi="宋体" w:eastAsia="宋体" w:cs="宋体"/>
                <w:sz w:val="24"/>
                <w:szCs w:val="24"/>
              </w:rPr>
              <w:t xml:space="preserve"> 说明：1.征求意见应采用网络、电话、书面以及会议相结合的方式，时间一般不少于1个月。</w:t>
            </w:r>
          </w:p>
          <w:p>
            <w:pPr>
              <w:adjustRightInd w:val="0"/>
              <w:snapToGrid w:val="0"/>
              <w:spacing w:line="300" w:lineRule="auto"/>
              <w:ind w:firstLine="840" w:firstLineChars="350"/>
              <w:rPr>
                <w:rFonts w:hint="eastAsia" w:ascii="宋体" w:hAnsi="宋体" w:eastAsia="宋体" w:cs="宋体"/>
                <w:sz w:val="24"/>
                <w:szCs w:val="24"/>
              </w:rPr>
            </w:pPr>
            <w:r>
              <w:rPr>
                <w:rFonts w:hint="eastAsia" w:ascii="宋体" w:hAnsi="宋体" w:eastAsia="宋体" w:cs="宋体"/>
                <w:sz w:val="24"/>
                <w:szCs w:val="24"/>
              </w:rPr>
              <w:t>2.处理意见分为“采纳”或者“不采纳”，对于不采纳的，应当在“备注”栏注明原因。</w:t>
            </w:r>
          </w:p>
          <w:p>
            <w:pPr>
              <w:adjustRightInd w:val="0"/>
              <w:snapToGrid w:val="0"/>
              <w:spacing w:line="300" w:lineRule="auto"/>
              <w:ind w:firstLine="5040" w:firstLineChars="2100"/>
              <w:rPr>
                <w:rFonts w:hint="eastAsia" w:ascii="宋体" w:hAnsi="宋体" w:eastAsia="宋体" w:cs="宋体"/>
                <w:sz w:val="24"/>
                <w:szCs w:val="24"/>
              </w:rPr>
            </w:pPr>
            <w:r>
              <w:rPr>
                <w:rFonts w:hint="eastAsia" w:ascii="宋体" w:hAnsi="宋体" w:eastAsia="宋体" w:cs="宋体"/>
                <w:sz w:val="24"/>
                <w:szCs w:val="24"/>
              </w:rPr>
              <w:t>（注：上述说明附在最后一页下面）</w:t>
            </w:r>
          </w:p>
        </w:tc>
      </w:tr>
    </w:tbl>
    <w:p>
      <w:pPr>
        <w:pStyle w:val="7"/>
        <w:rPr>
          <w:rFonts w:hint="default"/>
          <w:lang w:val="en-US" w:eastAsia="zh-CN"/>
        </w:rPr>
      </w:pPr>
    </w:p>
    <w:p>
      <w:pPr>
        <w:pStyle w:val="4"/>
        <w:spacing w:line="560" w:lineRule="exact"/>
        <w:rPr>
          <w:rFonts w:hint="default" w:ascii="Times New Roman" w:hAnsi="Times New Roman" w:eastAsia="黑体" w:cs="Times New Roman"/>
          <w:sz w:val="32"/>
          <w:szCs w:val="32"/>
        </w:rPr>
      </w:pPr>
      <w:bookmarkStart w:id="26" w:name="_Toc21639"/>
      <w:bookmarkStart w:id="27" w:name="_Toc26747"/>
      <w:r>
        <w:rPr>
          <w:rFonts w:hint="default" w:ascii="Times New Roman" w:hAnsi="Times New Roman" w:eastAsia="黑体" w:cs="Times New Roman"/>
          <w:sz w:val="32"/>
          <w:szCs w:val="32"/>
          <w:lang w:eastAsia="zh-CN"/>
        </w:rPr>
        <w:t>四</w:t>
      </w:r>
      <w:r>
        <w:rPr>
          <w:rFonts w:hint="default" w:ascii="Times New Roman" w:hAnsi="Times New Roman" w:eastAsia="黑体" w:cs="Times New Roman"/>
          <w:sz w:val="32"/>
          <w:szCs w:val="32"/>
        </w:rPr>
        <w:t>、标准主要内容</w:t>
      </w:r>
      <w:bookmarkEnd w:id="26"/>
      <w:bookmarkEnd w:id="27"/>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default" w:ascii="Times New Roman" w:hAnsi="Times New Roman" w:eastAsia="楷体" w:cs="Times New Roman"/>
          <w:b w:val="0"/>
          <w:bCs w:val="0"/>
          <w:sz w:val="32"/>
          <w:lang w:val="en-US" w:eastAsia="zh-CN"/>
        </w:rPr>
      </w:pPr>
      <w:bookmarkStart w:id="28" w:name="_Toc31884"/>
      <w:bookmarkStart w:id="29" w:name="_Toc1921"/>
      <w:bookmarkStart w:id="30" w:name="_Toc24935"/>
      <w:r>
        <w:rPr>
          <w:rFonts w:hint="default" w:ascii="Times New Roman" w:hAnsi="Times New Roman" w:eastAsia="楷体" w:cs="Times New Roman"/>
          <w:b w:val="0"/>
          <w:bCs w:val="0"/>
          <w:sz w:val="32"/>
          <w:lang w:val="en-US" w:eastAsia="zh-CN"/>
        </w:rPr>
        <w:t>（一）范围</w:t>
      </w:r>
      <w:bookmarkEnd w:id="28"/>
      <w:bookmarkEnd w:id="29"/>
      <w:bookmarkEnd w:id="3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本文件规定了深圳市高标准农田规划和建设的总则、规划要求、建设内容、建设监管、建后管护与利用和实施保障。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本文件适用于深圳市高标准农田规划以及（包括新建和改造提升）建设活动。</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default" w:ascii="Times New Roman" w:hAnsi="Times New Roman" w:eastAsia="楷体" w:cs="Times New Roman"/>
          <w:b w:val="0"/>
          <w:bCs w:val="0"/>
          <w:sz w:val="32"/>
          <w:lang w:val="en-US" w:eastAsia="zh-CN"/>
        </w:rPr>
      </w:pPr>
      <w:bookmarkStart w:id="31" w:name="_Toc12110"/>
      <w:bookmarkStart w:id="32" w:name="_Toc30644"/>
      <w:bookmarkStart w:id="33" w:name="_Toc28542"/>
      <w:r>
        <w:rPr>
          <w:rFonts w:hint="default" w:ascii="Times New Roman" w:hAnsi="Times New Roman" w:eastAsia="楷体" w:cs="Times New Roman"/>
          <w:b w:val="0"/>
          <w:bCs w:val="0"/>
          <w:sz w:val="32"/>
          <w:lang w:val="en-US" w:eastAsia="zh-CN"/>
        </w:rPr>
        <w:t>（二）规范性引用文件</w:t>
      </w:r>
      <w:bookmarkEnd w:id="31"/>
      <w:bookmarkEnd w:id="32"/>
      <w:bookmarkEnd w:id="33"/>
      <w:r>
        <w:rPr>
          <w:rFonts w:hint="default" w:ascii="Times New Roman" w:hAnsi="Times New Roman" w:eastAsia="楷体" w:cs="Times New Roman"/>
          <w:b w:val="0"/>
          <w:bCs w:val="0"/>
          <w:sz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bookmarkStart w:id="34" w:name="_Toc5636"/>
      <w:r>
        <w:rPr>
          <w:rFonts w:hint="default" w:ascii="Times New Roman" w:hAnsi="Times New Roman" w:eastAsia="仿宋" w:cs="Times New Roman"/>
          <w:b w:val="0"/>
          <w:bCs w:val="0"/>
          <w:color w:val="000000"/>
          <w:sz w:val="32"/>
          <w:szCs w:val="32"/>
          <w:lang w:val="en-US" w:eastAsia="zh-CN"/>
        </w:rPr>
        <w:t>本文件规范性引用了以下文件：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GB/T 1179  圆线同心绞架空导线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GB 5084  农田灌溉水质标准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GB/T 12527  额定电压1kV及以下架空绝缘电缆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GB/T 14049  额定电压10kV架空绝缘电缆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GB/T 16453.4  水土保持综合治理技术规范  小型蓄排引水工程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GB/T 20203  农田低压管道输水灌溉工程技术规范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GB/T 33469  耕地质量等级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GB 50053  20kV及以下变电所设计规范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GB/T 50085  喷灌工程技术规范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GB 50265  泵站设计规范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GB 50288  灌溉与排水工程设计标准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GB/T 50363  节水灌溉工程技术规范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GB/T 50485  微灌工程技术标准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GB/T 50600  渠道防渗衬砌工程技术标准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GB 50707  河道整治设计规范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GB/T 50817  农田防护林工程设计规范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SL 482  灌溉与排水渠系建筑物设计规范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TD/T 1032  基本农田划定技术规程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NY/T 2247  农田建设规划编制规程</w:t>
      </w:r>
    </w:p>
    <w:p>
      <w:pPr>
        <w:pStyle w:val="5"/>
        <w:keepNext/>
        <w:keepLines/>
        <w:pageBreakBefore w:val="0"/>
        <w:widowControl w:val="0"/>
        <w:numPr>
          <w:ilvl w:val="0"/>
          <w:numId w:val="1"/>
        </w:numPr>
        <w:kinsoku/>
        <w:wordWrap/>
        <w:overflowPunct/>
        <w:topLinePunct w:val="0"/>
        <w:autoSpaceDE/>
        <w:autoSpaceDN/>
        <w:bidi w:val="0"/>
        <w:adjustRightInd/>
        <w:snapToGrid/>
        <w:spacing w:before="157" w:beforeLines="50" w:after="157" w:afterLines="50" w:line="240" w:lineRule="auto"/>
        <w:ind w:left="0" w:leftChars="0" w:firstLine="0" w:firstLineChars="0"/>
        <w:textAlignment w:val="auto"/>
        <w:rPr>
          <w:rFonts w:hint="default" w:ascii="Times New Roman" w:hAnsi="Times New Roman" w:eastAsia="楷体" w:cs="Times New Roman"/>
          <w:b w:val="0"/>
          <w:bCs w:val="0"/>
          <w:sz w:val="32"/>
          <w:lang w:val="en-US" w:eastAsia="zh-CN"/>
        </w:rPr>
      </w:pPr>
      <w:bookmarkStart w:id="35" w:name="_Toc27903"/>
      <w:bookmarkStart w:id="36" w:name="_Toc19146"/>
      <w:r>
        <w:rPr>
          <w:rFonts w:hint="default" w:ascii="Times New Roman" w:hAnsi="Times New Roman" w:eastAsia="楷体" w:cs="Times New Roman"/>
          <w:b w:val="0"/>
          <w:bCs w:val="0"/>
          <w:sz w:val="32"/>
          <w:lang w:val="en-US" w:eastAsia="zh-CN"/>
        </w:rPr>
        <w:t>术语和定义</w:t>
      </w:r>
      <w:bookmarkEnd w:id="34"/>
      <w:bookmarkEnd w:id="35"/>
      <w:bookmarkEnd w:id="36"/>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NY/T 2247中界定的术语和定义适用于本文件。</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default" w:ascii="Times New Roman" w:hAnsi="Times New Roman" w:eastAsia="楷体" w:cs="Times New Roman"/>
          <w:b w:val="0"/>
          <w:bCs w:val="0"/>
          <w:sz w:val="32"/>
          <w:lang w:val="en-US" w:eastAsia="zh-CN"/>
        </w:rPr>
      </w:pPr>
      <w:bookmarkStart w:id="37" w:name="_Toc32036"/>
      <w:bookmarkStart w:id="38" w:name="_Toc2450"/>
      <w:r>
        <w:rPr>
          <w:rFonts w:hint="default" w:ascii="Times New Roman" w:hAnsi="Times New Roman" w:eastAsia="楷体" w:cs="Times New Roman"/>
          <w:b w:val="0"/>
          <w:bCs w:val="0"/>
          <w:sz w:val="32"/>
          <w:lang w:val="en-US" w:eastAsia="zh-CN"/>
        </w:rPr>
        <w:t>（四）</w:t>
      </w:r>
      <w:bookmarkStart w:id="39" w:name="_Toc113639052"/>
      <w:r>
        <w:rPr>
          <w:rFonts w:hint="default" w:ascii="Times New Roman" w:hAnsi="Times New Roman" w:eastAsia="楷体" w:cs="Times New Roman"/>
          <w:b w:val="0"/>
          <w:bCs w:val="0"/>
          <w:sz w:val="32"/>
          <w:lang w:val="en-US" w:eastAsia="zh-CN"/>
        </w:rPr>
        <w:t xml:space="preserve"> </w:t>
      </w:r>
      <w:bookmarkEnd w:id="39"/>
      <w:r>
        <w:rPr>
          <w:rFonts w:hint="default" w:ascii="Times New Roman" w:hAnsi="Times New Roman" w:eastAsia="楷体" w:cs="Times New Roman"/>
          <w:b w:val="0"/>
          <w:bCs w:val="0"/>
          <w:sz w:val="32"/>
          <w:lang w:val="en-US" w:eastAsia="zh-CN"/>
        </w:rPr>
        <w:t>规划与建设总则</w:t>
      </w:r>
      <w:bookmarkEnd w:id="37"/>
      <w:bookmarkEnd w:id="38"/>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主要规定了高标准农田规划和建设应遵循的原则，坚持“田、水、路、林、村”统一规划、全面协调、综合整治，兼顾社会效益、经济效益和生态效益。通过工程建设和农田地力提升,稳定或增加高标准农田面积,持续提高耕地质量,节约集约利用耕地。</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default" w:ascii="Times New Roman" w:hAnsi="Times New Roman" w:eastAsia="楷体" w:cs="Times New Roman"/>
          <w:b w:val="0"/>
          <w:bCs w:val="0"/>
          <w:sz w:val="32"/>
          <w:lang w:val="en-US" w:eastAsia="zh-CN"/>
        </w:rPr>
      </w:pPr>
      <w:bookmarkStart w:id="40" w:name="_Toc23177"/>
      <w:bookmarkStart w:id="41" w:name="_Toc5142"/>
      <w:r>
        <w:rPr>
          <w:rFonts w:hint="default" w:ascii="Times New Roman" w:hAnsi="Times New Roman" w:eastAsia="楷体" w:cs="Times New Roman"/>
          <w:b w:val="0"/>
          <w:bCs w:val="0"/>
          <w:sz w:val="32"/>
          <w:lang w:val="en-US" w:eastAsia="zh-CN"/>
        </w:rPr>
        <w:t>（五）规划要求</w:t>
      </w:r>
      <w:bookmarkEnd w:id="40"/>
      <w:bookmarkEnd w:id="4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主要规定了高标准农田建设规划中的依据、指导思想、原则、规划目标、总体布局以及具体建设内容规划以及投资及效益分析等要求。</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default" w:ascii="Times New Roman" w:hAnsi="Times New Roman" w:eastAsia="楷体" w:cs="Times New Roman"/>
          <w:b w:val="0"/>
          <w:bCs w:val="0"/>
          <w:sz w:val="32"/>
          <w:lang w:val="en-US" w:eastAsia="zh-CN"/>
        </w:rPr>
      </w:pPr>
      <w:bookmarkStart w:id="42" w:name="_Toc28741"/>
      <w:bookmarkStart w:id="43" w:name="_Toc24941"/>
      <w:r>
        <w:rPr>
          <w:rFonts w:hint="default" w:ascii="Times New Roman" w:hAnsi="Times New Roman" w:eastAsia="楷体" w:cs="Times New Roman"/>
          <w:b w:val="0"/>
          <w:bCs w:val="0"/>
          <w:sz w:val="32"/>
          <w:lang w:val="en-US" w:eastAsia="zh-CN"/>
        </w:rPr>
        <w:t>（六）建设内容</w:t>
      </w:r>
      <w:bookmarkEnd w:id="42"/>
      <w:bookmarkEnd w:id="43"/>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主要规定了包括田块整治、灌溉与排水、田间道路、农田防护与生态环境保护、农田输配电及其他工程建设的相关要求，促进耕地集中连片,提升耕地质量,稳定或增加有效耕地面积;优化土地利用结构与布局,实现节约集约利用和规模效益;完善基础设施,改善农业生产条件,提高机械化作业水平,增强防灾减灾能力;加强农田生态建设和环境保护,实现农业生产和生态保护相协调;建立监测、评价和管护体系,实现持续高效利用。</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default" w:ascii="Times New Roman" w:hAnsi="Times New Roman" w:eastAsia="楷体" w:cs="Times New Roman"/>
          <w:b w:val="0"/>
          <w:bCs w:val="0"/>
          <w:sz w:val="32"/>
          <w:lang w:val="en-US" w:eastAsia="zh-CN"/>
        </w:rPr>
      </w:pPr>
      <w:bookmarkStart w:id="44" w:name="_Toc14904"/>
      <w:bookmarkStart w:id="45" w:name="_Toc21303"/>
      <w:r>
        <w:rPr>
          <w:rFonts w:hint="default" w:ascii="Times New Roman" w:hAnsi="Times New Roman" w:eastAsia="楷体" w:cs="Times New Roman"/>
          <w:b w:val="0"/>
          <w:bCs w:val="0"/>
          <w:sz w:val="32"/>
          <w:lang w:val="en-US" w:eastAsia="zh-CN"/>
        </w:rPr>
        <w:t>（七）建设监管</w:t>
      </w:r>
      <w:bookmarkEnd w:id="44"/>
      <w:bookmarkEnd w:id="45"/>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主要对质量管理、上图入库、竣工验收等方面的要求进行界定、明确。要求项目精细化管理，严格执行相关建设标准和规范，落实工程质量管理责任，确保建设质量。高标准农田建设项目的立项、实施、验收、使用等各阶段信息应及时上图入库。开展项目竣工验收和监督抽查，核发竣工验收合格证书，做好项目档案的收集、整理、组卷、存档工作</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default" w:ascii="Times New Roman" w:hAnsi="Times New Roman" w:eastAsia="楷体" w:cs="Times New Roman"/>
          <w:b w:val="0"/>
          <w:bCs w:val="0"/>
          <w:sz w:val="32"/>
          <w:lang w:val="en-US" w:eastAsia="zh-CN"/>
        </w:rPr>
      </w:pPr>
      <w:bookmarkStart w:id="46" w:name="_Toc18274"/>
      <w:bookmarkStart w:id="47" w:name="_Toc17363"/>
      <w:r>
        <w:rPr>
          <w:rFonts w:hint="default" w:ascii="Times New Roman" w:hAnsi="Times New Roman" w:eastAsia="楷体" w:cs="Times New Roman"/>
          <w:b w:val="0"/>
          <w:bCs w:val="0"/>
          <w:sz w:val="32"/>
          <w:lang w:val="en-US" w:eastAsia="zh-CN"/>
        </w:rPr>
        <w:t>（八）建后管护与利用</w:t>
      </w:r>
      <w:bookmarkEnd w:id="46"/>
      <w:bookmarkEnd w:id="4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主要规定了基本农田划定与保护、土壤培肥、农业科技配套与应用、工程管护、信息报备与档案管理等相关要求。</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default" w:ascii="Times New Roman" w:hAnsi="Times New Roman" w:eastAsia="楷体" w:cs="Times New Roman"/>
          <w:b w:val="0"/>
          <w:bCs w:val="0"/>
          <w:sz w:val="32"/>
          <w:lang w:val="en-US" w:eastAsia="zh-CN"/>
        </w:rPr>
      </w:pPr>
      <w:bookmarkStart w:id="48" w:name="_Toc26073"/>
      <w:bookmarkStart w:id="49" w:name="_Toc16642"/>
      <w:bookmarkStart w:id="50" w:name="_Toc31094"/>
      <w:bookmarkStart w:id="51" w:name="_Toc113639071"/>
      <w:r>
        <w:rPr>
          <w:rFonts w:hint="default" w:ascii="Times New Roman" w:hAnsi="Times New Roman" w:eastAsia="楷体" w:cs="Times New Roman"/>
          <w:b w:val="0"/>
          <w:bCs w:val="0"/>
          <w:sz w:val="32"/>
          <w:lang w:val="en-US" w:eastAsia="zh-CN"/>
        </w:rPr>
        <w:t>（九）实施保障</w:t>
      </w:r>
      <w:bookmarkEnd w:id="48"/>
      <w:bookmarkEnd w:id="49"/>
      <w:bookmarkEnd w:id="50"/>
      <w:bookmarkEnd w:id="5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主要对组织领导、资金保障、科技支撑、监督考核等保障措施进行了要求，内容涉及行业管理、队伍建设、政府投入保障、多元化筹资、统筹整合资金、完善机制、科技示范、激励考核、动员群众。</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default" w:ascii="Times New Roman" w:hAnsi="Times New Roman" w:eastAsia="楷体" w:cs="Times New Roman"/>
          <w:b w:val="0"/>
          <w:bCs w:val="0"/>
          <w:sz w:val="32"/>
          <w:lang w:val="en-US" w:eastAsia="zh-CN"/>
        </w:rPr>
      </w:pPr>
      <w:bookmarkStart w:id="52" w:name="_Toc9130"/>
      <w:r>
        <w:rPr>
          <w:rFonts w:hint="default" w:ascii="Times New Roman" w:hAnsi="Times New Roman" w:eastAsia="楷体" w:cs="Times New Roman"/>
          <w:b w:val="0"/>
          <w:bCs w:val="0"/>
          <w:sz w:val="32"/>
          <w:lang w:val="en-US" w:eastAsia="zh-CN"/>
        </w:rPr>
        <w:t>（十）参考文献</w:t>
      </w:r>
      <w:bookmarkEnd w:id="52"/>
    </w:p>
    <w:p>
      <w:pPr>
        <w:ind w:firstLine="64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[1]  GB/T 30600—20</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22</w:t>
      </w:r>
      <w:r>
        <w:rPr>
          <w:rFonts w:hint="default" w:ascii="Times New Roman" w:hAnsi="Times New Roman" w:eastAsia="仿宋_GB2312" w:cs="Times New Roman"/>
          <w:color w:val="000000" w:themeColor="text1"/>
          <w:sz w:val="32"/>
          <w:szCs w:val="32"/>
          <w14:textFill>
            <w14:solidFill>
              <w14:schemeClr w14:val="tx1"/>
            </w14:solidFill>
          </w14:textFill>
        </w:rPr>
        <w:t xml:space="preserve">  高标准农田建设  通则</w:t>
      </w:r>
    </w:p>
    <w:p>
      <w:pPr>
        <w:ind w:firstLine="64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  GB/T 33130—2016  高标准农田建设评价规范</w:t>
      </w:r>
    </w:p>
    <w:p>
      <w:pPr>
        <w:ind w:firstLine="64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[3]  NY/T 2148—2012  高标准农田建设标准</w:t>
      </w:r>
    </w:p>
    <w:p>
      <w:pPr>
        <w:ind w:firstLine="64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[4]  NY/T 2949—2016  高标准农田建设技术规范</w:t>
      </w:r>
    </w:p>
    <w:p>
      <w:pPr>
        <w:ind w:firstLine="64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  全国高标准农田建设规划（2021—2023年）</w:t>
      </w:r>
    </w:p>
    <w:p>
      <w:pPr>
        <w:ind w:firstLine="64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  农田建设项目管理办法</w:t>
      </w:r>
    </w:p>
    <w:p>
      <w:pPr>
        <w:ind w:firstLine="64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7</w:t>
      </w:r>
      <w:r>
        <w:rPr>
          <w:rFonts w:hint="default" w:ascii="Times New Roman" w:hAnsi="Times New Roman" w:eastAsia="仿宋_GB2312" w:cs="Times New Roman"/>
          <w:color w:val="000000" w:themeColor="text1"/>
          <w:sz w:val="32"/>
          <w:szCs w:val="32"/>
          <w14:textFill>
            <w14:solidFill>
              <w14:schemeClr w14:val="tx1"/>
            </w14:solidFill>
          </w14:textFill>
        </w:rPr>
        <w:t>]  广东省耕地质量管理规定</w:t>
      </w:r>
    </w:p>
    <w:p>
      <w:pPr>
        <w:ind w:firstLine="64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8</w:t>
      </w:r>
      <w:r>
        <w:rPr>
          <w:rFonts w:hint="default" w:ascii="Times New Roman" w:hAnsi="Times New Roman" w:eastAsia="仿宋_GB2312" w:cs="Times New Roman"/>
          <w:color w:val="000000" w:themeColor="text1"/>
          <w:sz w:val="32"/>
          <w:szCs w:val="32"/>
          <w14:textFill>
            <w14:solidFill>
              <w14:schemeClr w14:val="tx1"/>
            </w14:solidFill>
          </w14:textFill>
        </w:rPr>
        <w:t>]  广东省人民政府办公厅关于进一步加强高标准农田建设的通知（粤办函〔2020〕63号）</w:t>
      </w:r>
    </w:p>
    <w:p>
      <w:pPr>
        <w:ind w:firstLine="640"/>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9</w:t>
      </w:r>
      <w:r>
        <w:rPr>
          <w:rFonts w:hint="default" w:ascii="Times New Roman" w:hAnsi="Times New Roman" w:eastAsia="仿宋_GB2312" w:cs="Times New Roman"/>
          <w:color w:val="000000" w:themeColor="text1"/>
          <w:sz w:val="32"/>
          <w:szCs w:val="32"/>
          <w14:textFill>
            <w14:solidFill>
              <w14:schemeClr w14:val="tx1"/>
            </w14:solidFill>
          </w14:textFill>
        </w:rPr>
        <w:t>]  关于印发《广东省高标准农田建设项目工作流程指引》和《广东省高标准农田建设项目工作时段分布指引》的通知（粤农农函〔2019〕379号）</w:t>
      </w:r>
    </w:p>
    <w:p>
      <w:pPr>
        <w:pStyle w:val="4"/>
        <w:numPr>
          <w:ilvl w:val="0"/>
          <w:numId w:val="3"/>
        </w:numPr>
        <w:spacing w:line="560" w:lineRule="exact"/>
        <w:rPr>
          <w:rFonts w:hint="default" w:ascii="Times New Roman" w:hAnsi="Times New Roman" w:eastAsia="黑体" w:cs="Times New Roman"/>
          <w:sz w:val="32"/>
          <w:szCs w:val="32"/>
        </w:rPr>
      </w:pPr>
      <w:bookmarkStart w:id="53" w:name="_Toc13814"/>
      <w:bookmarkStart w:id="54" w:name="_Toc16440"/>
      <w:r>
        <w:rPr>
          <w:rFonts w:hint="default" w:ascii="Times New Roman" w:hAnsi="Times New Roman" w:eastAsia="黑体" w:cs="Times New Roman"/>
          <w:sz w:val="32"/>
          <w:szCs w:val="32"/>
        </w:rPr>
        <w:t>重大分歧意见的处理经过和依据</w:t>
      </w:r>
      <w:bookmarkEnd w:id="53"/>
      <w:bookmarkEnd w:id="5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无。</w:t>
      </w:r>
    </w:p>
    <w:p>
      <w:pPr>
        <w:pStyle w:val="4"/>
        <w:spacing w:line="560" w:lineRule="exact"/>
        <w:rPr>
          <w:rFonts w:hint="default" w:ascii="Times New Roman" w:hAnsi="Times New Roman" w:eastAsia="黑体" w:cs="Times New Roman"/>
          <w:sz w:val="32"/>
          <w:szCs w:val="32"/>
        </w:rPr>
      </w:pPr>
      <w:bookmarkStart w:id="55" w:name="_Toc25464"/>
      <w:bookmarkStart w:id="56" w:name="_Toc10736"/>
      <w:r>
        <w:rPr>
          <w:rFonts w:hint="default" w:ascii="Times New Roman" w:hAnsi="Times New Roman" w:eastAsia="黑体" w:cs="Times New Roman"/>
          <w:sz w:val="32"/>
          <w:szCs w:val="32"/>
          <w:lang w:eastAsia="zh-CN"/>
        </w:rPr>
        <w:t>六</w:t>
      </w:r>
      <w:r>
        <w:rPr>
          <w:rFonts w:hint="default" w:ascii="Times New Roman" w:hAnsi="Times New Roman" w:eastAsia="黑体" w:cs="Times New Roman"/>
          <w:sz w:val="32"/>
          <w:szCs w:val="32"/>
        </w:rPr>
        <w:t>、对规范性质的建议</w:t>
      </w:r>
      <w:bookmarkEnd w:id="55"/>
      <w:bookmarkEnd w:id="56"/>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b w:val="0"/>
          <w:bCs w:val="0"/>
          <w:color w:val="000000"/>
          <w:sz w:val="32"/>
          <w:szCs w:val="32"/>
          <w:lang w:val="en-US" w:eastAsia="zh-CN"/>
        </w:rPr>
      </w:pPr>
      <w:r>
        <w:rPr>
          <w:rFonts w:hint="default" w:ascii="Times New Roman" w:hAnsi="Times New Roman" w:eastAsia="仿宋" w:cs="Times New Roman"/>
          <w:b w:val="0"/>
          <w:bCs w:val="0"/>
          <w:color w:val="000000"/>
          <w:sz w:val="32"/>
          <w:szCs w:val="32"/>
          <w:lang w:val="en-US" w:eastAsia="zh-CN"/>
        </w:rPr>
        <w:t>建议本标准作为推荐性团体标准发布。</w:t>
      </w:r>
    </w:p>
    <w:p>
      <w:pPr>
        <w:bidi w:val="0"/>
        <w:rPr>
          <w:rFonts w:hint="default" w:ascii="Times New Roman" w:hAnsi="Times New Roman" w:cs="Times New Roman" w:eastAsiaTheme="minorEastAsia"/>
          <w:kern w:val="2"/>
          <w:sz w:val="21"/>
          <w:szCs w:val="22"/>
          <w:lang w:val="en-US" w:eastAsia="zh-CN" w:bidi="ar-SA"/>
        </w:rPr>
      </w:pPr>
    </w:p>
    <w:p>
      <w:pPr>
        <w:bidi w:val="0"/>
        <w:ind w:firstLine="457" w:firstLineChars="0"/>
        <w:jc w:val="left"/>
        <w:rPr>
          <w:rFonts w:hint="default" w:ascii="Times New Roman" w:hAnsi="Times New Roman" w:cs="Times New Roman"/>
          <w:lang w:val="en-US" w:eastAsia="zh-CN"/>
        </w:rPr>
      </w:pPr>
    </w:p>
    <w:p>
      <w:pPr>
        <w:bidi w:val="0"/>
        <w:ind w:firstLine="457" w:firstLineChars="0"/>
        <w:jc w:val="left"/>
        <w:rPr>
          <w:rFonts w:hint="default" w:ascii="Times New Roman" w:hAnsi="Times New Roman" w:cs="Times New Roman"/>
          <w:lang w:val="en-US" w:eastAsia="zh-CN"/>
        </w:rPr>
      </w:pPr>
    </w:p>
    <w:p>
      <w:pPr>
        <w:bidi w:val="0"/>
        <w:ind w:firstLine="457" w:firstLineChars="0"/>
        <w:jc w:val="left"/>
        <w:rPr>
          <w:rFonts w:hint="default" w:ascii="Times New Roman" w:hAnsi="Times New Roman" w:cs="Times New Roman"/>
          <w:lang w:val="en-US" w:eastAsia="zh-CN"/>
        </w:rPr>
      </w:pPr>
    </w:p>
    <w:p>
      <w:pPr>
        <w:bidi w:val="0"/>
        <w:ind w:firstLine="457" w:firstLineChars="0"/>
        <w:jc w:val="right"/>
        <w:rPr>
          <w:rFonts w:hint="default" w:ascii="Times New Roman" w:hAnsi="Times New Roman" w:eastAsia="仿宋_GB2312" w:cs="Times New Roman"/>
          <w:sz w:val="28"/>
          <w:szCs w:val="32"/>
          <w:lang w:val="en-US" w:eastAsia="zh-CN"/>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99EC23"/>
    <w:multiLevelType w:val="singleLevel"/>
    <w:tmpl w:val="8299EC23"/>
    <w:lvl w:ilvl="0" w:tentative="0">
      <w:start w:val="5"/>
      <w:numFmt w:val="chineseCounting"/>
      <w:suff w:val="nothing"/>
      <w:lvlText w:val="%1、"/>
      <w:lvlJc w:val="left"/>
      <w:rPr>
        <w:rFonts w:hint="eastAsia"/>
      </w:rPr>
    </w:lvl>
  </w:abstractNum>
  <w:abstractNum w:abstractNumId="1">
    <w:nsid w:val="8C0F1F5D"/>
    <w:multiLevelType w:val="singleLevel"/>
    <w:tmpl w:val="8C0F1F5D"/>
    <w:lvl w:ilvl="0" w:tentative="0">
      <w:start w:val="2"/>
      <w:numFmt w:val="chineseCounting"/>
      <w:suff w:val="nothing"/>
      <w:lvlText w:val="（%1）"/>
      <w:lvlJc w:val="left"/>
      <w:rPr>
        <w:rFonts w:hint="eastAsia"/>
      </w:rPr>
    </w:lvl>
  </w:abstractNum>
  <w:abstractNum w:abstractNumId="2">
    <w:nsid w:val="228F6165"/>
    <w:multiLevelType w:val="singleLevel"/>
    <w:tmpl w:val="228F6165"/>
    <w:lvl w:ilvl="0" w:tentative="0">
      <w:start w:val="3"/>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3ODlmZjIyZDdjMWY2YWY0NDRhOTA5ODU4MjU0MzUifQ=="/>
  </w:docVars>
  <w:rsids>
    <w:rsidRoot w:val="00000000"/>
    <w:rsid w:val="09475A3C"/>
    <w:rsid w:val="0A4D2669"/>
    <w:rsid w:val="0ABD4256"/>
    <w:rsid w:val="0C2F1549"/>
    <w:rsid w:val="0E887B41"/>
    <w:rsid w:val="11E6604F"/>
    <w:rsid w:val="16153950"/>
    <w:rsid w:val="1CB02232"/>
    <w:rsid w:val="2D5B6923"/>
    <w:rsid w:val="356D1AB8"/>
    <w:rsid w:val="40A22A61"/>
    <w:rsid w:val="46584905"/>
    <w:rsid w:val="486A4AEF"/>
    <w:rsid w:val="4A593D30"/>
    <w:rsid w:val="4C7022CD"/>
    <w:rsid w:val="51575139"/>
    <w:rsid w:val="5B2F6D27"/>
    <w:rsid w:val="66232189"/>
    <w:rsid w:val="6E05719D"/>
    <w:rsid w:val="6F094457"/>
    <w:rsid w:val="718843CF"/>
    <w:rsid w:val="7D451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9"/>
    <w:pPr>
      <w:keepNext/>
      <w:keepLines/>
      <w:spacing w:before="340" w:after="330" w:line="578" w:lineRule="auto"/>
      <w:outlineLvl w:val="0"/>
    </w:pPr>
    <w:rPr>
      <w:rFonts w:ascii="Calibri" w:hAnsi="Calibri" w:eastAsia="宋体" w:cs="Times New Roman"/>
      <w:b/>
      <w:bCs/>
      <w:kern w:val="44"/>
      <w:sz w:val="44"/>
      <w:szCs w:val="44"/>
    </w:rPr>
  </w:style>
  <w:style w:type="paragraph" w:styleId="5">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unhideWhenUsed/>
    <w:qFormat/>
    <w:uiPriority w:val="0"/>
    <w:pPr>
      <w:keepNext/>
      <w:keepLines/>
      <w:spacing w:before="260" w:after="260" w:line="416" w:lineRule="auto"/>
      <w:outlineLvl w:val="2"/>
    </w:pPr>
    <w:rPr>
      <w:b/>
      <w:sz w:val="32"/>
      <w:szCs w:val="32"/>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index heading"/>
    <w:basedOn w:val="1"/>
    <w:next w:val="3"/>
    <w:qFormat/>
    <w:uiPriority w:val="0"/>
    <w:rPr>
      <w:rFonts w:ascii="Arial" w:hAnsi="Arial"/>
      <w:b/>
    </w:rPr>
  </w:style>
  <w:style w:type="paragraph" w:styleId="3">
    <w:name w:val="index 1"/>
    <w:basedOn w:val="1"/>
    <w:next w:val="1"/>
    <w:qFormat/>
    <w:uiPriority w:val="0"/>
  </w:style>
  <w:style w:type="paragraph" w:styleId="7">
    <w:name w:val="Normal Indent"/>
    <w:basedOn w:val="1"/>
    <w:unhideWhenUsed/>
    <w:qFormat/>
    <w:uiPriority w:val="99"/>
    <w:pPr>
      <w:ind w:firstLine="420" w:firstLineChars="200"/>
    </w:pPr>
  </w:style>
  <w:style w:type="paragraph" w:styleId="8">
    <w:name w:val="annotation text"/>
    <w:basedOn w:val="1"/>
    <w:qFormat/>
    <w:uiPriority w:val="0"/>
    <w:pPr>
      <w:jc w:val="left"/>
    </w:pPr>
  </w:style>
  <w:style w:type="paragraph" w:styleId="9">
    <w:name w:val="Body Text"/>
    <w:basedOn w:val="1"/>
    <w:next w:val="1"/>
    <w:unhideWhenUsed/>
    <w:qFormat/>
    <w:uiPriority w:val="99"/>
    <w:pPr>
      <w:spacing w:after="120"/>
    </w:p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Body Text First Indent"/>
    <w:basedOn w:val="9"/>
    <w:qFormat/>
    <w:uiPriority w:val="0"/>
    <w:pPr>
      <w:ind w:firstLine="420" w:firstLineChars="100"/>
    </w:pPr>
  </w:style>
  <w:style w:type="paragraph" w:customStyle="1" w:styleId="17">
    <w:name w:val="智慧农贸"/>
    <w:basedOn w:val="1"/>
    <w:next w:val="1"/>
    <w:qFormat/>
    <w:uiPriority w:val="0"/>
    <w:pPr>
      <w:keepNext/>
      <w:keepLines/>
      <w:spacing w:before="340" w:beforeLines="0" w:after="330" w:afterLines="0" w:line="576" w:lineRule="auto"/>
      <w:outlineLvl w:val="0"/>
    </w:pPr>
    <w:rPr>
      <w:rFonts w:eastAsia="仿宋_GB2312" w:asciiTheme="minorAscii" w:hAnsiTheme="minorAscii"/>
      <w:b/>
      <w:kern w:val="44"/>
      <w:sz w:val="28"/>
    </w:rPr>
  </w:style>
  <w:style w:type="paragraph" w:customStyle="1" w:styleId="1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9">
    <w:name w:val="章标题"/>
    <w:next w:val="20"/>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0">
    <w:name w:val="段(正文）"/>
    <w:qFormat/>
    <w:uiPriority w:val="0"/>
    <w:pPr>
      <w:autoSpaceDE w:val="0"/>
      <w:autoSpaceDN w:val="0"/>
      <w:ind w:firstLine="420"/>
      <w:jc w:val="both"/>
    </w:pPr>
    <w:rPr>
      <w:rFonts w:ascii="宋体" w:hAnsi="Times New Roman" w:eastAsia="宋体" w:cs="Times New Roman"/>
      <w:sz w:val="21"/>
      <w:lang w:val="en-US" w:eastAsia="zh-CN" w:bidi="ar-SA"/>
    </w:rPr>
  </w:style>
  <w:style w:type="paragraph" w:customStyle="1" w:styleId="21">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2">
    <w:name w:val="一级条标题"/>
    <w:next w:val="21"/>
    <w:qFormat/>
    <w:uiPriority w:val="0"/>
    <w:pPr>
      <w:spacing w:beforeLines="50" w:afterLines="50"/>
    </w:pPr>
    <w:rPr>
      <w:rFonts w:ascii="黑体" w:hAnsi="Times New Roman" w:eastAsia="黑体" w:cs="Times New Roman"/>
      <w:sz w:val="21"/>
      <w:szCs w:val="21"/>
      <w:lang w:val="en-US" w:eastAsia="zh-CN" w:bidi="ar-SA"/>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paragraph" w:customStyle="1" w:styleId="24">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3817</Words>
  <Characters>4093</Characters>
  <Lines>0</Lines>
  <Paragraphs>0</Paragraphs>
  <TotalTime>3</TotalTime>
  <ScaleCrop>false</ScaleCrop>
  <LinksUpToDate>false</LinksUpToDate>
  <CharactersWithSpaces>4218</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2021-08-12T08:39:00Z</dcterms:created>
  <dc:creator>huangheling</dc:creator>
  <cp:lastModifiedBy>JQQ</cp:lastModifiedBy>
  <dcterms:modified xsi:type="dcterms:W3CDTF">2023-09-22T02:43:36Z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9DB97B6CB6AF4BD68B8E5C35D46C348F_13</vt:lpwstr>
  </property>
</Properties>
</file>