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48"/>
          <w:szCs w:val="48"/>
        </w:rPr>
      </w:pPr>
    </w:p>
    <w:p>
      <w:pPr>
        <w:pStyle w:val="2"/>
        <w:rPr>
          <w:rFonts w:ascii="Times New Roman" w:hAnsi="Times New Roman"/>
          <w:b/>
          <w:sz w:val="48"/>
          <w:szCs w:val="48"/>
        </w:rPr>
      </w:pPr>
    </w:p>
    <w:p>
      <w:pPr>
        <w:pStyle w:val="2"/>
        <w:rPr>
          <w:rFonts w:ascii="Times New Roman" w:hAnsi="Times New Roman"/>
          <w:b/>
          <w:sz w:val="48"/>
          <w:szCs w:val="48"/>
        </w:rPr>
      </w:pPr>
    </w:p>
    <w:p>
      <w:pPr>
        <w:jc w:val="center"/>
        <w:rPr>
          <w:rFonts w:hint="eastAsia" w:ascii="Times New Roman" w:hAnsi="Times New Roman" w:eastAsia="黑体" w:cs="黑体"/>
          <w:bCs/>
          <w:sz w:val="48"/>
          <w:szCs w:val="48"/>
        </w:rPr>
      </w:pPr>
      <w:r>
        <w:rPr>
          <w:rFonts w:hint="eastAsia" w:ascii="Times New Roman" w:hAnsi="Times New Roman" w:eastAsia="黑体" w:cs="黑体"/>
          <w:bCs/>
          <w:sz w:val="48"/>
          <w:szCs w:val="48"/>
          <w:lang w:eastAsia="zh-Hans"/>
        </w:rPr>
        <w:t>《高标准农田</w:t>
      </w:r>
      <w:r>
        <w:rPr>
          <w:rFonts w:hint="eastAsia" w:ascii="Times New Roman" w:hAnsi="Times New Roman" w:eastAsia="黑体" w:cs="黑体"/>
          <w:bCs/>
          <w:sz w:val="48"/>
          <w:szCs w:val="48"/>
          <w:lang w:val="en-US" w:eastAsia="zh-CN"/>
        </w:rPr>
        <w:t xml:space="preserve">  </w:t>
      </w:r>
      <w:r>
        <w:rPr>
          <w:rFonts w:hint="eastAsia" w:ascii="Times New Roman" w:hAnsi="Times New Roman" w:eastAsia="黑体" w:cs="黑体"/>
          <w:bCs/>
          <w:sz w:val="48"/>
          <w:szCs w:val="48"/>
          <w:lang w:eastAsia="zh-Hans"/>
        </w:rPr>
        <w:t>验收</w:t>
      </w:r>
      <w:r>
        <w:rPr>
          <w:rFonts w:hint="eastAsia" w:ascii="Times New Roman" w:hAnsi="Times New Roman" w:eastAsia="黑体" w:cs="黑体"/>
          <w:bCs/>
          <w:sz w:val="48"/>
          <w:szCs w:val="48"/>
          <w:lang w:val="en-US" w:eastAsia="zh-CN"/>
        </w:rPr>
        <w:t>规范</w:t>
      </w:r>
      <w:r>
        <w:rPr>
          <w:rFonts w:hint="eastAsia" w:ascii="Times New Roman" w:hAnsi="Times New Roman" w:eastAsia="黑体" w:cs="黑体"/>
          <w:bCs/>
          <w:sz w:val="48"/>
          <w:szCs w:val="48"/>
          <w:lang w:eastAsia="zh-Hans"/>
        </w:rPr>
        <w:t>》</w:t>
      </w:r>
    </w:p>
    <w:p>
      <w:pPr>
        <w:jc w:val="center"/>
        <w:rPr>
          <w:rFonts w:hint="eastAsia" w:ascii="Times New Roman" w:hAnsi="Times New Roman" w:eastAsia="黑体" w:cs="黑体"/>
          <w:bCs/>
          <w:sz w:val="48"/>
          <w:szCs w:val="48"/>
        </w:rPr>
      </w:pPr>
    </w:p>
    <w:p>
      <w:pPr>
        <w:jc w:val="center"/>
        <w:rPr>
          <w:rFonts w:hint="eastAsia" w:ascii="Times New Roman" w:hAnsi="Times New Roman" w:eastAsia="黑体" w:cs="黑体"/>
          <w:bCs/>
          <w:sz w:val="48"/>
          <w:szCs w:val="48"/>
        </w:rPr>
      </w:pPr>
      <w:r>
        <w:rPr>
          <w:rFonts w:hint="eastAsia" w:ascii="Times New Roman" w:hAnsi="Times New Roman" w:eastAsia="黑体" w:cs="黑体"/>
          <w:bCs/>
          <w:sz w:val="48"/>
          <w:szCs w:val="48"/>
        </w:rPr>
        <w:t>编制说明</w:t>
      </w: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rPr>
          <w:rFonts w:hint="eastAsia" w:ascii="Times New Roman" w:hAnsi="Times New Roman"/>
          <w:b/>
          <w:sz w:val="48"/>
          <w:szCs w:val="48"/>
        </w:rPr>
      </w:pPr>
    </w:p>
    <w:p>
      <w:pPr>
        <w:spacing w:line="480" w:lineRule="exact"/>
        <w:jc w:val="center"/>
        <w:outlineLvl w:val="0"/>
        <w:rPr>
          <w:rFonts w:ascii="Times New Roman" w:hAnsi="Times New Roman" w:eastAsia="仿宋_GB2312"/>
          <w:b/>
          <w:sz w:val="28"/>
          <w:szCs w:val="28"/>
        </w:rPr>
      </w:pPr>
      <w:bookmarkStart w:id="0" w:name="_Toc2565"/>
      <w:bookmarkStart w:id="1" w:name="_Toc13507"/>
      <w:r>
        <w:rPr>
          <w:rFonts w:ascii="Times New Roman" w:hAnsi="Times New Roman" w:eastAsia="仿宋_GB2312"/>
          <w:b/>
          <w:sz w:val="28"/>
          <w:szCs w:val="28"/>
        </w:rPr>
        <w:t>《</w:t>
      </w:r>
      <w:r>
        <w:rPr>
          <w:rFonts w:hint="eastAsia" w:ascii="Times New Roman" w:hAnsi="Times New Roman" w:eastAsia="仿宋_GB2312"/>
          <w:b/>
          <w:sz w:val="28"/>
          <w:szCs w:val="28"/>
        </w:rPr>
        <w:t>高标准农田</w:t>
      </w:r>
      <w:r>
        <w:rPr>
          <w:rFonts w:hint="eastAsia" w:ascii="Times New Roman" w:hAnsi="Times New Roman" w:eastAsia="仿宋_GB2312"/>
          <w:b/>
          <w:sz w:val="28"/>
          <w:szCs w:val="28"/>
          <w:lang w:val="en-US" w:eastAsia="zh-CN"/>
        </w:rPr>
        <w:t xml:space="preserve"> </w:t>
      </w:r>
      <w:r>
        <w:rPr>
          <w:rFonts w:hint="eastAsia" w:ascii="Times New Roman" w:hAnsi="Times New Roman" w:eastAsia="仿宋_GB2312"/>
          <w:b/>
          <w:sz w:val="28"/>
          <w:szCs w:val="28"/>
        </w:rPr>
        <w:t>验收</w:t>
      </w:r>
      <w:r>
        <w:rPr>
          <w:rFonts w:hint="eastAsia" w:ascii="Times New Roman" w:hAnsi="Times New Roman" w:eastAsia="仿宋_GB2312"/>
          <w:b/>
          <w:sz w:val="28"/>
          <w:szCs w:val="28"/>
          <w:lang w:val="en-US" w:eastAsia="zh-CN"/>
        </w:rPr>
        <w:t>规范</w:t>
      </w:r>
      <w:r>
        <w:rPr>
          <w:rFonts w:ascii="Times New Roman" w:hAnsi="Times New Roman" w:eastAsia="仿宋_GB2312"/>
          <w:b/>
          <w:sz w:val="28"/>
          <w:szCs w:val="28"/>
        </w:rPr>
        <w:t>》</w:t>
      </w:r>
      <w:r>
        <w:rPr>
          <w:rFonts w:hint="eastAsia" w:ascii="Times New Roman" w:hAnsi="Times New Roman" w:eastAsia="仿宋_GB2312"/>
          <w:b/>
          <w:sz w:val="28"/>
          <w:szCs w:val="28"/>
        </w:rPr>
        <w:t>标准编制组</w:t>
      </w:r>
      <w:bookmarkEnd w:id="0"/>
      <w:bookmarkEnd w:id="1"/>
    </w:p>
    <w:p>
      <w:pPr>
        <w:spacing w:line="480" w:lineRule="exact"/>
        <w:jc w:val="center"/>
        <w:rPr>
          <w:rFonts w:hint="eastAsia" w:ascii="Times New Roman" w:hAnsi="Times New Roman" w:eastAsia="仿宋_GB2312"/>
          <w:b/>
          <w:sz w:val="28"/>
          <w:szCs w:val="28"/>
          <w:highlight w:val="none"/>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b/>
          <w:sz w:val="28"/>
          <w:szCs w:val="28"/>
          <w:highlight w:val="none"/>
        </w:rPr>
        <w:t>20</w:t>
      </w:r>
      <w:r>
        <w:rPr>
          <w:rFonts w:hint="eastAsia" w:ascii="Times New Roman" w:hAnsi="Times New Roman" w:eastAsia="仿宋_GB2312"/>
          <w:b/>
          <w:sz w:val="28"/>
          <w:szCs w:val="28"/>
          <w:highlight w:val="none"/>
          <w:lang w:eastAsia="zh-CN"/>
        </w:rPr>
        <w:t>2</w:t>
      </w:r>
      <w:r>
        <w:rPr>
          <w:rFonts w:hint="eastAsia" w:ascii="Times New Roman" w:hAnsi="Times New Roman" w:eastAsia="仿宋_GB2312"/>
          <w:b/>
          <w:sz w:val="28"/>
          <w:szCs w:val="28"/>
          <w:highlight w:val="none"/>
          <w:lang w:val="en-US" w:eastAsia="zh-CN"/>
        </w:rPr>
        <w:t>3</w:t>
      </w:r>
      <w:r>
        <w:rPr>
          <w:rFonts w:hint="eastAsia" w:ascii="Times New Roman" w:hAnsi="Times New Roman" w:eastAsia="仿宋_GB2312"/>
          <w:b/>
          <w:sz w:val="28"/>
          <w:szCs w:val="28"/>
          <w:highlight w:val="none"/>
        </w:rPr>
        <w:t>年</w:t>
      </w:r>
      <w:r>
        <w:rPr>
          <w:rFonts w:hint="eastAsia" w:ascii="Times New Roman" w:hAnsi="Times New Roman" w:eastAsia="仿宋_GB2312"/>
          <w:b/>
          <w:sz w:val="28"/>
          <w:szCs w:val="28"/>
          <w:highlight w:val="none"/>
          <w:lang w:val="en-US" w:eastAsia="zh-CN"/>
        </w:rPr>
        <w:t>9</w:t>
      </w:r>
      <w:r>
        <w:rPr>
          <w:rFonts w:hint="eastAsia" w:ascii="Times New Roman" w:hAnsi="Times New Roman" w:eastAsia="仿宋_GB2312"/>
          <w:b/>
          <w:sz w:val="28"/>
          <w:szCs w:val="28"/>
          <w:highlight w:val="none"/>
        </w:rPr>
        <w:t>月</w:t>
      </w:r>
    </w:p>
    <w:sdt>
      <w:sdtPr>
        <w:rPr>
          <w:rFonts w:ascii="宋体" w:hAnsi="宋体" w:eastAsia="宋体" w:cstheme="minorBidi"/>
          <w:kern w:val="2"/>
          <w:sz w:val="21"/>
          <w:szCs w:val="22"/>
          <w:lang w:val="en-US" w:eastAsia="zh-CN" w:bidi="ar-SA"/>
        </w:rPr>
        <w:id w:val="147460778"/>
        <w15:color w:val="DBDBDB"/>
        <w:docPartObj>
          <w:docPartGallery w:val="Table of Contents"/>
          <w:docPartUnique/>
        </w:docPartObj>
      </w:sdtPr>
      <w:sdtEndPr>
        <w:rPr>
          <w:rFonts w:hint="eastAsia" w:ascii="Times New Roman" w:hAnsi="Times New Roman" w:eastAsia="仿宋_GB2312" w:cstheme="minorBidi"/>
          <w:b/>
          <w:kern w:val="2"/>
          <w:sz w:val="21"/>
          <w:szCs w:val="28"/>
          <w:lang w:val="en-US" w:eastAsia="zh-CN" w:bidi="ar-SA"/>
        </w:rPr>
      </w:sdtEndPr>
      <w:sdtContent>
        <w:p>
          <w:pPr>
            <w:spacing w:before="0" w:beforeLines="0" w:after="0" w:afterLines="0" w:line="240" w:lineRule="auto"/>
            <w:ind w:left="0" w:leftChars="0" w:right="0" w:rightChars="0" w:firstLine="0" w:firstLineChars="0"/>
            <w:jc w:val="center"/>
            <w:rPr>
              <w:rFonts w:hint="eastAsia" w:ascii="Times New Roman" w:hAnsi="Times New Roman" w:eastAsia="黑体" w:cs="黑体"/>
              <w:b/>
              <w:bCs/>
              <w:sz w:val="36"/>
              <w:szCs w:val="36"/>
            </w:rPr>
          </w:pPr>
          <w:r>
            <w:rPr>
              <w:rFonts w:hint="eastAsia" w:ascii="Times New Roman" w:hAnsi="Times New Roman" w:eastAsia="黑体" w:cs="黑体"/>
              <w:b/>
              <w:bCs/>
              <w:sz w:val="36"/>
              <w:szCs w:val="36"/>
            </w:rPr>
            <w:t>目录</w:t>
          </w:r>
        </w:p>
        <w:p>
          <w:pPr>
            <w:pStyle w:val="5"/>
            <w:tabs>
              <w:tab w:val="right" w:leader="dot" w:pos="8306"/>
            </w:tabs>
          </w:pPr>
          <w:r>
            <w:rPr>
              <w:rFonts w:hint="eastAsia" w:ascii="Times New Roman" w:hAnsi="Times New Roman" w:eastAsia="仿宋_GB2312"/>
              <w:b/>
              <w:sz w:val="28"/>
              <w:szCs w:val="28"/>
            </w:rPr>
            <w:fldChar w:fldCharType="begin"/>
          </w:r>
          <w:r>
            <w:rPr>
              <w:rFonts w:hint="eastAsia" w:ascii="Times New Roman" w:hAnsi="Times New Roman" w:eastAsia="仿宋_GB2312"/>
              <w:b/>
              <w:sz w:val="28"/>
              <w:szCs w:val="28"/>
            </w:rPr>
            <w:instrText xml:space="preserve">TOC \o "1-2" \h \u </w:instrText>
          </w:r>
          <w:r>
            <w:rPr>
              <w:rFonts w:hint="eastAsia" w:ascii="Times New Roman" w:hAnsi="Times New Roman" w:eastAsia="仿宋_GB2312"/>
              <w:b/>
              <w:sz w:val="28"/>
              <w:szCs w:val="28"/>
            </w:rPr>
            <w:fldChar w:fldCharType="separate"/>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_Toc1527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一、项目背景和意义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_Toc1527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_Toc13097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二、任务来源和起草单位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_Toc13097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_Toc19447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三、制定原则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_Toc19447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_Toc29775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z w:val="32"/>
              <w:szCs w:val="32"/>
            </w:rPr>
            <w:t>（一）科学性原则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_Toc29775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_Toc26413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z w:val="32"/>
              <w:szCs w:val="32"/>
            </w:rPr>
            <w:t>（二）合理性原则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_Toc26413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_Toc15954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z w:val="32"/>
              <w:szCs w:val="32"/>
            </w:rPr>
            <w:t>（三）实用性原则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_Toc15954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_Toc3930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四、制定依据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_Toc3930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_Toc10188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五、标准编制过程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_Toc10188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_Toc20229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（一）立项阶段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_Toc20229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_Toc3612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（二）成立标准</w:t>
          </w:r>
          <w:r>
            <w:rPr>
              <w:rFonts w:hint="eastAsia" w:ascii="仿宋_GB2312" w:hAnsi="仿宋_GB2312" w:eastAsia="仿宋_GB2312" w:cs="仿宋_GB2312"/>
              <w:sz w:val="32"/>
              <w:szCs w:val="32"/>
              <w:lang w:val="en-US" w:eastAsia="zh-CN"/>
            </w:rPr>
            <w:t>编制</w:t>
          </w:r>
          <w:r>
            <w:rPr>
              <w:rFonts w:hint="eastAsia" w:ascii="仿宋_GB2312" w:hAnsi="仿宋_GB2312" w:eastAsia="仿宋_GB2312" w:cs="仿宋_GB2312"/>
              <w:sz w:val="32"/>
              <w:szCs w:val="32"/>
            </w:rPr>
            <w:t>工作组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_Toc3612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_Toc24382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（三）标准草案编制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_Toc24382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_Toc31382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六、标准主要内容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_Toc31382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_Toc3713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主要内容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_Toc3713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6"/>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_Toc10838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（二）规范性引用文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_Toc10838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_Toc29639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七、重大分歧意见的处理经过和依据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_Toc29639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5"/>
            <w:tabs>
              <w:tab w:val="right" w:leader="dot" w:pos="8306"/>
            </w:tabs>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_Toc5523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rPr>
            <w:t>性质的建议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_Toc5523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spacing w:line="480" w:lineRule="exact"/>
            <w:rPr>
              <w:rFonts w:hint="eastAsia" w:ascii="Times New Roman" w:hAnsi="Times New Roman" w:eastAsia="仿宋_GB2312"/>
              <w:b/>
              <w:sz w:val="28"/>
              <w:szCs w:val="28"/>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b/>
              <w:szCs w:val="28"/>
            </w:rPr>
            <w:fldChar w:fldCharType="end"/>
          </w:r>
        </w:p>
      </w:sdtContent>
    </w:sdt>
    <w:p>
      <w:pPr>
        <w:jc w:val="center"/>
        <w:outlineLvl w:val="0"/>
        <w:rPr>
          <w:rFonts w:ascii="华文中宋" w:hAnsi="华文中宋" w:eastAsia="华文中宋" w:cs="华文中宋"/>
          <w:b/>
          <w:bCs/>
          <w:sz w:val="44"/>
          <w:szCs w:val="44"/>
        </w:rPr>
      </w:pPr>
      <w:bookmarkStart w:id="2" w:name="_Toc12840"/>
      <w:bookmarkStart w:id="3" w:name="_Toc18630"/>
      <w:r>
        <w:rPr>
          <w:rFonts w:ascii="华文中宋" w:hAnsi="华文中宋" w:eastAsia="华文中宋" w:cs="华文中宋"/>
          <w:b/>
          <w:bCs/>
          <w:sz w:val="44"/>
          <w:szCs w:val="44"/>
        </w:rPr>
        <w:t>《</w:t>
      </w:r>
      <w:r>
        <w:rPr>
          <w:rFonts w:hint="eastAsia" w:ascii="华文中宋" w:hAnsi="华文中宋" w:eastAsia="华文中宋" w:cs="华文中宋"/>
          <w:b/>
          <w:bCs/>
          <w:sz w:val="44"/>
          <w:szCs w:val="44"/>
        </w:rPr>
        <w:t>高标准农田</w:t>
      </w:r>
      <w:r>
        <w:rPr>
          <w:rFonts w:hint="eastAsia" w:ascii="华文中宋" w:hAnsi="华文中宋" w:eastAsia="华文中宋" w:cs="华文中宋"/>
          <w:b/>
          <w:bCs/>
          <w:sz w:val="44"/>
          <w:szCs w:val="44"/>
          <w:lang w:val="en-US" w:eastAsia="zh-CN"/>
        </w:rPr>
        <w:t xml:space="preserve">  </w:t>
      </w:r>
      <w:r>
        <w:rPr>
          <w:rFonts w:hint="eastAsia" w:ascii="华文中宋" w:hAnsi="华文中宋" w:eastAsia="华文中宋" w:cs="华文中宋"/>
          <w:b/>
          <w:bCs/>
          <w:sz w:val="44"/>
          <w:szCs w:val="44"/>
        </w:rPr>
        <w:t>验收</w:t>
      </w:r>
      <w:r>
        <w:rPr>
          <w:rFonts w:hint="eastAsia" w:ascii="华文中宋" w:hAnsi="华文中宋" w:eastAsia="华文中宋" w:cs="华文中宋"/>
          <w:b/>
          <w:bCs/>
          <w:sz w:val="44"/>
          <w:szCs w:val="44"/>
          <w:lang w:val="en-US" w:eastAsia="zh-CN"/>
        </w:rPr>
        <w:t>规范</w:t>
      </w:r>
      <w:r>
        <w:rPr>
          <w:rFonts w:ascii="华文中宋" w:hAnsi="华文中宋" w:eastAsia="华文中宋" w:cs="华文中宋"/>
          <w:b/>
          <w:bCs/>
          <w:sz w:val="44"/>
          <w:szCs w:val="44"/>
        </w:rPr>
        <w:t>》</w:t>
      </w:r>
      <w:r>
        <w:rPr>
          <w:rFonts w:hint="eastAsia" w:ascii="华文中宋" w:hAnsi="华文中宋" w:eastAsia="华文中宋" w:cs="华文中宋"/>
          <w:b/>
          <w:bCs/>
          <w:sz w:val="44"/>
          <w:szCs w:val="44"/>
        </w:rPr>
        <w:t>编制说明</w:t>
      </w:r>
      <w:bookmarkEnd w:id="2"/>
      <w:bookmarkEnd w:id="3"/>
    </w:p>
    <w:p>
      <w:pPr>
        <w:pStyle w:val="3"/>
        <w:spacing w:line="560" w:lineRule="exact"/>
        <w:ind w:firstLine="161" w:firstLineChars="50"/>
        <w:rPr>
          <w:rFonts w:ascii="黑体" w:hAnsi="黑体" w:eastAsia="黑体"/>
          <w:sz w:val="32"/>
          <w:szCs w:val="32"/>
        </w:rPr>
      </w:pPr>
      <w:bookmarkStart w:id="4" w:name="_Toc1527"/>
      <w:bookmarkStart w:id="5" w:name="_Toc9165"/>
      <w:r>
        <w:rPr>
          <w:rFonts w:hint="eastAsia" w:ascii="黑体" w:hAnsi="黑体" w:eastAsia="黑体"/>
          <w:sz w:val="32"/>
          <w:szCs w:val="32"/>
        </w:rPr>
        <w:t>一、项目背景和意义</w:t>
      </w:r>
      <w:bookmarkEnd w:id="4"/>
      <w:bookmarkEnd w:id="5"/>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耕地是粮食安全的命根子，高标准农田建设是全面落实藏粮于地战略的重要抓手和关键举措。党中央、国务院高度重视农田建设</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加强规划引领</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强化政策支持</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不断加大投入</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持续改善农业生产条件。</w:t>
      </w:r>
    </w:p>
    <w:p>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2021年6月，由广东省农业农村厅、广东省发展和改革委员会、广东省财政厅、广东省自然资源厅/广东省农垦总局联合印发《广东省农田整治提升行动方案（2021-2025年）》指出“落实最严格的耕地保护制度，完善高标准农田建后管护机制，确保长期发挥效益。”</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“建设一批集中连片、旱涝保收、节水高效、稳产高产、生态友好、宜机作业的高标准农田，探索可复制推广的高质量建设新模式。”</w:t>
      </w:r>
    </w:p>
    <w:p>
      <w:pPr>
        <w:ind w:firstLine="640" w:firstLineChars="2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基于此，根据国家及省市文件要求，在广泛学习和借鉴其他地区高标准农田建设和管理经验的基础上深圳市市场监督管理局（以下简称市市场监管局）立足深圳实际制定《深圳市高标准农田验收标准》，以切实加强深圳市高标准基本农田建设项目实施管理，规范相关工程竣工验收，确保验收工作的规范化和制度化。</w:t>
      </w:r>
    </w:p>
    <w:p>
      <w:pPr>
        <w:pStyle w:val="3"/>
        <w:bidi w:val="0"/>
      </w:pPr>
      <w:bookmarkStart w:id="6" w:name="_Toc19299"/>
      <w:bookmarkStart w:id="7" w:name="_Toc13097"/>
      <w:r>
        <w:rPr>
          <w:rFonts w:hint="eastAsia" w:ascii="黑体" w:hAnsi="黑体" w:eastAsia="黑体"/>
          <w:sz w:val="32"/>
          <w:szCs w:val="32"/>
        </w:rPr>
        <w:t>二、任务来源和起草单位</w:t>
      </w:r>
      <w:bookmarkEnd w:id="6"/>
      <w:bookmarkEnd w:id="7"/>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耕地是我国最为宝贵的资源，习近平总书记在2020年12月中央农村工作会议上指出各地要“采取长牙齿的硬措施，落实最</w:t>
      </w:r>
      <w:bookmarkStart w:id="41" w:name="_GoBack"/>
      <w:bookmarkEnd w:id="41"/>
      <w:r>
        <w:rPr>
          <w:rFonts w:hint="eastAsia" w:ascii="Times New Roman" w:hAnsi="Times New Roman" w:eastAsia="仿宋" w:cs="Times New Roman"/>
          <w:sz w:val="32"/>
          <w:szCs w:val="32"/>
        </w:rPr>
        <w:t>严格的耕地保护制度”。《关于加强和改进永久基本农田保护工作的通知》（自然资规〔2019〕1号）、《国务院办公厅关于坚决制止耕地“非农化”行为的通知》</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《国务院办公厅关于防止耕地“非粮化”稳定粮食生产的意见》</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关于加快推进永久性基本农田核实整改补足及城镇开发边界划定工作的函》（自然资源空间规划函〔2021〕121号）、《转发农业农村厅关于加快构建高标准农田建设规划体系的通知》（粤农农办〔2021〕148号）、《深圳市进一步加强永久基本农田整改补足工作方案》（深规划资源〔2021〕284号）等一系列文件，也提出要采取有力措施，强化监督管理，科学合理利用耕地资源，开展耕地调查，加强建后管护，实施最严格的耕地保护制度，坚决制止各类耕地“非农化”行为，坚决守住耕地红线。</w:t>
      </w:r>
    </w:p>
    <w:p>
      <w:pPr>
        <w:ind w:firstLine="640" w:firstLineChars="200"/>
        <w:jc w:val="left"/>
        <w:rPr>
          <w:rFonts w:hint="default" w:ascii="Times New Roman" w:hAnsi="Times New Roman" w:eastAsia="仿宋" w:cs="Times New Roman"/>
          <w:sz w:val="32"/>
          <w:szCs w:val="32"/>
          <w:highlight w:val="none"/>
          <w:lang w:val="en-US" w:eastAsia="zh-CN"/>
        </w:rPr>
      </w:pPr>
      <w:r>
        <w:rPr>
          <w:rFonts w:hint="eastAsia" w:ascii="Times New Roman" w:hAnsi="Times New Roman" w:eastAsia="仿宋" w:cs="Times New Roman"/>
          <w:sz w:val="32"/>
          <w:szCs w:val="32"/>
          <w:lang w:val="en-US" w:eastAsia="zh-CN"/>
        </w:rPr>
        <w:t>根据以上文件要求，</w:t>
      </w:r>
      <w:r>
        <w:rPr>
          <w:rFonts w:hint="eastAsia" w:ascii="Times New Roman" w:hAnsi="Times New Roman" w:eastAsia="仿宋" w:cs="Times New Roman"/>
          <w:sz w:val="32"/>
          <w:szCs w:val="32"/>
        </w:rPr>
        <w:t>为全面掌握深圳市基本农田现状，高质量制定高标准农田相关标准，更好建设和管护已有基本农田，</w:t>
      </w:r>
      <w:r>
        <w:rPr>
          <w:rFonts w:hint="eastAsia" w:ascii="Times New Roman" w:hAnsi="Times New Roman" w:eastAsia="仿宋" w:cs="Times New Roman"/>
          <w:sz w:val="32"/>
          <w:szCs w:val="32"/>
          <w:lang w:val="en-US" w:eastAsia="zh-CN"/>
        </w:rPr>
        <w:t>市市场监管局</w:t>
      </w:r>
      <w:r>
        <w:rPr>
          <w:rFonts w:hint="eastAsia" w:ascii="Times New Roman" w:hAnsi="Times New Roman" w:eastAsia="仿宋" w:cs="Times New Roman"/>
          <w:sz w:val="32"/>
          <w:szCs w:val="32"/>
        </w:rPr>
        <w:t>拟</w:t>
      </w:r>
      <w:r>
        <w:rPr>
          <w:rFonts w:hint="eastAsia" w:ascii="Times New Roman" w:hAnsi="Times New Roman" w:eastAsia="仿宋" w:cs="Times New Roman"/>
          <w:sz w:val="32"/>
          <w:szCs w:val="32"/>
          <w:lang w:val="en-US" w:eastAsia="zh-CN"/>
        </w:rPr>
        <w:t>开展</w:t>
      </w:r>
      <w:r>
        <w:rPr>
          <w:rFonts w:hint="eastAsia" w:ascii="Times New Roman" w:hAnsi="Times New Roman" w:eastAsia="仿宋" w:cs="Times New Roman"/>
          <w:sz w:val="32"/>
          <w:szCs w:val="32"/>
        </w:rPr>
        <w:t>深圳市基本农田标准化管理及维护巡视</w:t>
      </w:r>
      <w:r>
        <w:rPr>
          <w:rFonts w:hint="eastAsia" w:ascii="Times New Roman" w:hAnsi="Times New Roman" w:eastAsia="仿宋" w:cs="Times New Roman"/>
          <w:sz w:val="32"/>
          <w:szCs w:val="32"/>
          <w:lang w:val="en-US" w:eastAsia="zh-CN"/>
        </w:rPr>
        <w:t>项目</w:t>
      </w:r>
      <w:r>
        <w:rPr>
          <w:rFonts w:hint="eastAsia"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《深圳市高标准农田验收标准》编制作为项目主要内容之一由市市场监管局委托深圳市标准技术研究院进行，标准起草工</w:t>
      </w:r>
      <w:r>
        <w:rPr>
          <w:rFonts w:hint="eastAsia" w:ascii="Times New Roman" w:hAnsi="Times New Roman" w:eastAsia="仿宋" w:cs="Times New Roman"/>
          <w:sz w:val="32"/>
          <w:szCs w:val="32"/>
          <w:highlight w:val="none"/>
          <w:lang w:val="en-US" w:eastAsia="zh-CN"/>
        </w:rPr>
        <w:t>作于2022年9月开展，计划于两年完成完成。</w:t>
      </w:r>
    </w:p>
    <w:p>
      <w:pPr>
        <w:pStyle w:val="3"/>
        <w:spacing w:line="560" w:lineRule="exact"/>
        <w:rPr>
          <w:rFonts w:ascii="黑体" w:hAnsi="黑体" w:eastAsia="黑体"/>
          <w:sz w:val="32"/>
          <w:szCs w:val="32"/>
        </w:rPr>
      </w:pPr>
      <w:bookmarkStart w:id="8" w:name="_Toc508095733"/>
      <w:bookmarkStart w:id="9" w:name="_Toc19447"/>
      <w:bookmarkStart w:id="10" w:name="_Toc28423"/>
      <w:r>
        <w:rPr>
          <w:rFonts w:ascii="黑体" w:hAnsi="黑体" w:eastAsia="黑体"/>
          <w:sz w:val="32"/>
          <w:szCs w:val="32"/>
        </w:rPr>
        <w:t>三、制定</w:t>
      </w:r>
      <w:bookmarkEnd w:id="8"/>
      <w:r>
        <w:rPr>
          <w:rFonts w:ascii="黑体" w:hAnsi="黑体" w:eastAsia="黑体"/>
          <w:sz w:val="32"/>
          <w:szCs w:val="32"/>
        </w:rPr>
        <w:t>原则</w:t>
      </w:r>
      <w:bookmarkEnd w:id="9"/>
      <w:bookmarkEnd w:id="10"/>
    </w:p>
    <w:p>
      <w:pPr>
        <w:pStyle w:val="4"/>
        <w:bidi w:val="0"/>
        <w:rPr>
          <w:rFonts w:hint="eastAsia" w:ascii="楷体_GB2312" w:hAnsi="楷体_GB2312" w:eastAsia="楷体_GB2312" w:cs="楷体_GB2312"/>
          <w:b w:val="0"/>
          <w:bCs w:val="0"/>
        </w:rPr>
      </w:pPr>
      <w:bookmarkStart w:id="11" w:name="_Toc29775"/>
      <w:bookmarkStart w:id="12" w:name="_Toc17687"/>
      <w:r>
        <w:rPr>
          <w:rFonts w:hint="eastAsia" w:ascii="楷体_GB2312" w:hAnsi="楷体_GB2312" w:eastAsia="楷体_GB2312" w:cs="楷体_GB2312"/>
          <w:b w:val="0"/>
          <w:bCs w:val="0"/>
        </w:rPr>
        <w:t>（一）科学性原则</w:t>
      </w:r>
      <w:bookmarkEnd w:id="11"/>
      <w:bookmarkEnd w:id="12"/>
    </w:p>
    <w:p>
      <w:pPr>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rPr>
        <w:t>标准的编制应以标准化理论为指导，编制组通过深入研究国家和地方相关法律法规，以及深圳市高标准农田提升建设需求，注重科学性，并以此作为标准编制的基础和依据，运用科学的方法建立规范。</w:t>
      </w:r>
    </w:p>
    <w:p>
      <w:pPr>
        <w:pStyle w:val="4"/>
        <w:bidi w:val="0"/>
        <w:rPr>
          <w:rFonts w:hint="eastAsia" w:ascii="楷体_GB2312" w:hAnsi="楷体_GB2312" w:eastAsia="楷体_GB2312" w:cs="楷体_GB2312"/>
          <w:b w:val="0"/>
          <w:bCs w:val="0"/>
        </w:rPr>
      </w:pPr>
      <w:bookmarkStart w:id="13" w:name="_Toc26413"/>
      <w:bookmarkStart w:id="14" w:name="_Toc3937"/>
      <w:r>
        <w:rPr>
          <w:rFonts w:hint="eastAsia" w:ascii="楷体_GB2312" w:hAnsi="楷体_GB2312" w:eastAsia="楷体_GB2312" w:cs="楷体_GB2312"/>
          <w:b w:val="0"/>
          <w:bCs w:val="0"/>
        </w:rPr>
        <w:t>（二）合理性原则</w:t>
      </w:r>
      <w:bookmarkEnd w:id="13"/>
      <w:bookmarkEnd w:id="14"/>
    </w:p>
    <w:p>
      <w:pPr>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rPr>
        <w:t>本规范参考目前</w:t>
      </w:r>
      <w:r>
        <w:rPr>
          <w:rFonts w:hint="eastAsia" w:ascii="Times New Roman" w:hAnsi="Times New Roman" w:eastAsia="仿宋" w:cs="Times New Roman"/>
          <w:sz w:val="32"/>
          <w:szCs w:val="32"/>
          <w:lang w:val="en-US" w:eastAsia="zh-CN"/>
        </w:rPr>
        <w:t>深圳市基本</w:t>
      </w:r>
      <w:r>
        <w:rPr>
          <w:rFonts w:hint="eastAsia" w:ascii="Times New Roman" w:hAnsi="Times New Roman" w:eastAsia="仿宋" w:cs="Times New Roman"/>
          <w:sz w:val="32"/>
          <w:szCs w:val="32"/>
        </w:rPr>
        <w:t>农田实际，结合</w:t>
      </w:r>
      <w:r>
        <w:rPr>
          <w:rFonts w:hint="eastAsia" w:ascii="Times New Roman" w:hAnsi="Times New Roman" w:eastAsia="仿宋" w:cs="Times New Roman"/>
          <w:sz w:val="32"/>
          <w:szCs w:val="32"/>
          <w:lang w:val="en-US" w:eastAsia="zh-CN"/>
        </w:rPr>
        <w:t>深圳市</w:t>
      </w:r>
      <w:r>
        <w:rPr>
          <w:rFonts w:hint="eastAsia" w:ascii="Times New Roman" w:hAnsi="Times New Roman" w:eastAsia="仿宋" w:cs="Times New Roman"/>
          <w:sz w:val="32"/>
          <w:szCs w:val="32"/>
        </w:rPr>
        <w:t>高标准基本农田提升目标，强调与相关政策标准协调一致，在技术细节上做了诸多细化和协调统一，以保证规范的合理性。</w:t>
      </w:r>
    </w:p>
    <w:p>
      <w:pPr>
        <w:pStyle w:val="4"/>
        <w:bidi w:val="0"/>
        <w:rPr>
          <w:rFonts w:hint="eastAsia" w:ascii="楷体_GB2312" w:hAnsi="楷体_GB2312" w:eastAsia="楷体_GB2312" w:cs="楷体_GB2312"/>
          <w:b w:val="0"/>
          <w:bCs w:val="0"/>
        </w:rPr>
      </w:pPr>
      <w:bookmarkStart w:id="15" w:name="_Toc23753"/>
      <w:bookmarkStart w:id="16" w:name="_Toc15954"/>
      <w:r>
        <w:rPr>
          <w:rFonts w:hint="eastAsia" w:ascii="楷体_GB2312" w:hAnsi="楷体_GB2312" w:eastAsia="楷体_GB2312" w:cs="楷体_GB2312"/>
          <w:b w:val="0"/>
          <w:bCs w:val="0"/>
        </w:rPr>
        <w:t>（三）实用性原则</w:t>
      </w:r>
      <w:bookmarkEnd w:id="15"/>
      <w:bookmarkEnd w:id="16"/>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本规范所涉及到的各条规定，描述清晰，参考限定科学合理，便于操作实践。</w:t>
      </w:r>
    </w:p>
    <w:p>
      <w:pPr>
        <w:pStyle w:val="3"/>
        <w:spacing w:line="560" w:lineRule="exact"/>
        <w:ind w:firstLine="161" w:firstLineChars="50"/>
        <w:rPr>
          <w:rFonts w:ascii="黑体" w:hAnsi="黑体" w:eastAsia="黑体"/>
          <w:sz w:val="32"/>
          <w:szCs w:val="32"/>
        </w:rPr>
      </w:pPr>
      <w:bookmarkStart w:id="17" w:name="_Toc31407"/>
      <w:bookmarkStart w:id="18" w:name="_Toc3930"/>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制定</w:t>
      </w:r>
      <w:r>
        <w:rPr>
          <w:rFonts w:ascii="黑体" w:hAnsi="黑体" w:eastAsia="黑体"/>
          <w:sz w:val="32"/>
          <w:szCs w:val="32"/>
        </w:rPr>
        <w:t>依据</w:t>
      </w:r>
      <w:bookmarkEnd w:id="17"/>
      <w:bookmarkEnd w:id="18"/>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本标准根据</w:t>
      </w:r>
      <w:r>
        <w:rPr>
          <w:rFonts w:hint="default" w:ascii="Times New Roman" w:hAnsi="Times New Roman" w:eastAsia="仿宋" w:cs="Times New Roman"/>
          <w:sz w:val="32"/>
          <w:szCs w:val="32"/>
        </w:rPr>
        <w:t>GB/T 1.1—2020</w:t>
      </w:r>
      <w:r>
        <w:rPr>
          <w:rFonts w:hint="eastAsia" w:ascii="Times New Roman" w:hAnsi="Times New Roman" w:eastAsia="仿宋" w:cs="Times New Roman"/>
          <w:sz w:val="32"/>
          <w:szCs w:val="32"/>
        </w:rPr>
        <w:t>《标准化工作导则第</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rPr>
        <w:t>部分：标准化文件的结构和起草规则》规定的格式编写。在制定标准过程中，主要参考标准及</w:t>
      </w:r>
      <w:r>
        <w:rPr>
          <w:rFonts w:hint="eastAsia" w:ascii="Times New Roman" w:hAnsi="Times New Roman" w:eastAsia="仿宋" w:cs="Times New Roman"/>
          <w:sz w:val="32"/>
          <w:szCs w:val="32"/>
          <w:lang w:val="en-US" w:eastAsia="zh-CN"/>
        </w:rPr>
        <w:t>相关规定为</w:t>
      </w:r>
      <w:r>
        <w:rPr>
          <w:rFonts w:hint="eastAsia" w:ascii="Times New Roman" w:hAnsi="Times New Roman" w:eastAsia="仿宋" w:cs="Times New Roman"/>
          <w:sz w:val="32"/>
          <w:szCs w:val="32"/>
        </w:rPr>
        <w:t>：</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GB/T 30600  高标准农田建设通则</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TD/T 1033  高标准基本农田建设标准</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TD/T 1034  市（地）级土地整治规划编制规程</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TD/T 1035  县级土地整治规划编制规程</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TD/T 1041  土地整治工程质量检验与评定规程</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NY/T 1717  农业建设项目验收技术规程</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NY/T 2247  农田建设规划编制规程</w:t>
      </w:r>
    </w:p>
    <w:p>
      <w:pPr>
        <w:ind w:firstLine="640" w:firstLineChars="200"/>
        <w:jc w:val="left"/>
        <w:rPr>
          <w:rFonts w:hint="eastAsia" w:ascii="Times New Roman" w:hAnsi="Times New Roman" w:eastAsia="仿宋" w:cs="Times New Roman"/>
          <w:sz w:val="32"/>
          <w:szCs w:val="32"/>
        </w:rPr>
      </w:pPr>
      <w:bookmarkStart w:id="19" w:name="_Toc11730"/>
      <w:r>
        <w:rPr>
          <w:rFonts w:hint="eastAsia" w:ascii="Times New Roman" w:hAnsi="Times New Roman" w:eastAsia="仿宋" w:cs="Times New Roman"/>
          <w:sz w:val="32"/>
          <w:szCs w:val="32"/>
        </w:rPr>
        <w:t>高标准农田建设项目竣工验收办法</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广东省农业农村厅农田建设项目管理实施办法</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广东省高标准基本农田建设项目验收规程（试行）</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广东省农业农村厅关于明确农田建设项目竣工验收工作事项的通知》</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中山市高标准农田建设项目验收规程（试行）</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云南省农田建设项目竣工验收规定（试行）</w:t>
      </w:r>
    </w:p>
    <w:bookmarkEnd w:id="19"/>
    <w:p>
      <w:pPr>
        <w:pStyle w:val="3"/>
        <w:spacing w:line="560" w:lineRule="exact"/>
        <w:ind w:firstLine="0" w:firstLineChars="0"/>
        <w:rPr>
          <w:rFonts w:ascii="黑体" w:hAnsi="黑体" w:eastAsia="黑体"/>
          <w:sz w:val="32"/>
          <w:szCs w:val="32"/>
        </w:rPr>
      </w:pPr>
      <w:bookmarkStart w:id="20" w:name="_Toc10188"/>
      <w:bookmarkStart w:id="21" w:name="_Toc20566"/>
      <w:r>
        <w:rPr>
          <w:rFonts w:hint="eastAsia" w:ascii="黑体" w:hAnsi="黑体" w:eastAsia="黑体"/>
          <w:sz w:val="32"/>
          <w:szCs w:val="32"/>
        </w:rPr>
        <w:t>五、标准编制过程</w:t>
      </w:r>
      <w:bookmarkEnd w:id="20"/>
      <w:bookmarkEnd w:id="21"/>
    </w:p>
    <w:p>
      <w:pPr>
        <w:pStyle w:val="4"/>
        <w:rPr>
          <w:rFonts w:ascii="楷体" w:hAnsi="楷体" w:eastAsia="楷体"/>
        </w:rPr>
      </w:pPr>
      <w:bookmarkStart w:id="22" w:name="_Toc508095739"/>
      <w:bookmarkStart w:id="23" w:name="_Toc19887"/>
      <w:bookmarkStart w:id="24" w:name="_Toc20229"/>
      <w:r>
        <w:rPr>
          <w:rFonts w:ascii="楷体" w:hAnsi="楷体" w:eastAsia="楷体"/>
        </w:rPr>
        <w:t>（</w:t>
      </w:r>
      <w:r>
        <w:rPr>
          <w:rFonts w:hint="eastAsia" w:ascii="楷体" w:hAnsi="楷体" w:eastAsia="楷体"/>
        </w:rPr>
        <w:t>一</w:t>
      </w:r>
      <w:r>
        <w:rPr>
          <w:rFonts w:ascii="楷体" w:hAnsi="楷体" w:eastAsia="楷体"/>
        </w:rPr>
        <w:t>）立项</w:t>
      </w:r>
      <w:bookmarkEnd w:id="22"/>
      <w:r>
        <w:rPr>
          <w:rFonts w:ascii="楷体" w:hAnsi="楷体" w:eastAsia="楷体"/>
        </w:rPr>
        <w:t>阶段</w:t>
      </w:r>
      <w:bookmarkEnd w:id="23"/>
      <w:bookmarkEnd w:id="24"/>
    </w:p>
    <w:p>
      <w:pPr>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为</w:t>
      </w:r>
      <w:r>
        <w:rPr>
          <w:rFonts w:hint="eastAsia" w:ascii="Times New Roman" w:hAnsi="Times New Roman" w:eastAsia="仿宋" w:cs="Times New Roman"/>
          <w:sz w:val="32"/>
          <w:szCs w:val="32"/>
        </w:rPr>
        <w:t>助力推动高标准农田建设成为深圳市基本农田提升工作的新亮点，促进基本农田管护升级和农业产业创新发展。</w:t>
      </w:r>
      <w:r>
        <w:rPr>
          <w:rFonts w:hint="eastAsia" w:ascii="Times New Roman" w:hAnsi="Times New Roman" w:eastAsia="仿宋" w:cs="Times New Roman"/>
          <w:sz w:val="32"/>
          <w:szCs w:val="32"/>
          <w:lang w:val="en-US" w:eastAsia="zh-CN"/>
        </w:rPr>
        <w:t>2022年5月，市市场监管局针对《深圳市高标准农田验收标准》进行采购</w:t>
      </w:r>
      <w:r>
        <w:rPr>
          <w:rFonts w:hint="eastAsia" w:ascii="Times New Roman" w:hAnsi="Times New Roman" w:eastAsia="仿宋" w:cs="Times New Roman"/>
          <w:sz w:val="32"/>
          <w:szCs w:val="32"/>
        </w:rPr>
        <w:t>服务，委托深圳市标准技术研究院起草该</w:t>
      </w:r>
      <w:r>
        <w:rPr>
          <w:rFonts w:hint="eastAsia" w:ascii="Times New Roman" w:hAnsi="Times New Roman" w:eastAsia="仿宋" w:cs="Times New Roman"/>
          <w:sz w:val="32"/>
          <w:szCs w:val="32"/>
          <w:lang w:val="en-US" w:eastAsia="zh-CN"/>
        </w:rPr>
        <w:t>标准</w:t>
      </w:r>
      <w:r>
        <w:rPr>
          <w:rFonts w:hint="eastAsia" w:ascii="Times New Roman" w:hAnsi="Times New Roman" w:eastAsia="仿宋" w:cs="Times New Roman"/>
          <w:sz w:val="32"/>
          <w:szCs w:val="32"/>
        </w:rPr>
        <w:t>。</w:t>
      </w:r>
    </w:p>
    <w:p>
      <w:pPr>
        <w:pStyle w:val="4"/>
        <w:rPr>
          <w:rFonts w:ascii="楷体" w:hAnsi="楷体" w:eastAsia="楷体"/>
        </w:rPr>
      </w:pPr>
      <w:bookmarkStart w:id="25" w:name="_Toc3612"/>
      <w:bookmarkStart w:id="26" w:name="_Toc7399"/>
      <w:bookmarkStart w:id="27" w:name="_Toc508095740"/>
      <w:r>
        <w:rPr>
          <w:rFonts w:ascii="楷体" w:hAnsi="楷体" w:eastAsia="楷体"/>
        </w:rPr>
        <w:t>（</w:t>
      </w:r>
      <w:r>
        <w:rPr>
          <w:rFonts w:hint="eastAsia" w:ascii="楷体" w:hAnsi="楷体" w:eastAsia="楷体"/>
        </w:rPr>
        <w:t>二</w:t>
      </w:r>
      <w:r>
        <w:rPr>
          <w:rFonts w:ascii="楷体" w:hAnsi="楷体" w:eastAsia="楷体"/>
        </w:rPr>
        <w:t>）成立标准</w:t>
      </w:r>
      <w:r>
        <w:rPr>
          <w:rFonts w:hint="eastAsia" w:ascii="楷体" w:hAnsi="楷体" w:eastAsia="楷体"/>
          <w:lang w:val="en-US" w:eastAsia="zh-CN"/>
        </w:rPr>
        <w:t>编制</w:t>
      </w:r>
      <w:r>
        <w:rPr>
          <w:rFonts w:hint="eastAsia" w:ascii="楷体" w:hAnsi="楷体" w:eastAsia="楷体"/>
        </w:rPr>
        <w:t>工作</w:t>
      </w:r>
      <w:r>
        <w:rPr>
          <w:rFonts w:ascii="楷体" w:hAnsi="楷体" w:eastAsia="楷体"/>
        </w:rPr>
        <w:t>组</w:t>
      </w:r>
      <w:bookmarkEnd w:id="25"/>
      <w:bookmarkEnd w:id="26"/>
      <w:bookmarkEnd w:id="27"/>
    </w:p>
    <w:p>
      <w:pPr>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标准立项后</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rPr>
        <w:t>深圳市标准技术研究院</w:t>
      </w:r>
      <w:r>
        <w:rPr>
          <w:rFonts w:hint="default" w:ascii="Times New Roman" w:hAnsi="Times New Roman" w:eastAsia="仿宋" w:cs="Times New Roman"/>
          <w:sz w:val="32"/>
          <w:szCs w:val="32"/>
        </w:rPr>
        <w:t>成立了标准</w:t>
      </w:r>
      <w:r>
        <w:rPr>
          <w:rFonts w:hint="eastAsia" w:ascii="Times New Roman" w:hAnsi="Times New Roman" w:eastAsia="仿宋" w:cs="Times New Roman"/>
          <w:sz w:val="32"/>
          <w:szCs w:val="32"/>
          <w:lang w:val="en-US" w:eastAsia="zh-CN"/>
        </w:rPr>
        <w:t>编制工作</w:t>
      </w:r>
      <w:r>
        <w:rPr>
          <w:rFonts w:hint="default" w:ascii="Times New Roman" w:hAnsi="Times New Roman" w:eastAsia="仿宋" w:cs="Times New Roman"/>
          <w:sz w:val="32"/>
          <w:szCs w:val="32"/>
        </w:rPr>
        <w:t>组，并召开标准讨论会，开始标准的正式研制工作。</w:t>
      </w:r>
    </w:p>
    <w:p>
      <w:pPr>
        <w:pStyle w:val="4"/>
        <w:rPr>
          <w:rFonts w:ascii="楷体" w:hAnsi="楷体" w:eastAsia="楷体"/>
        </w:rPr>
      </w:pPr>
      <w:bookmarkStart w:id="28" w:name="_Toc508095741"/>
      <w:bookmarkStart w:id="29" w:name="_Toc14248"/>
      <w:bookmarkStart w:id="30" w:name="_Toc24382"/>
      <w:r>
        <w:rPr>
          <w:rFonts w:ascii="楷体" w:hAnsi="楷体" w:eastAsia="楷体"/>
        </w:rPr>
        <w:t>（</w:t>
      </w:r>
      <w:r>
        <w:rPr>
          <w:rFonts w:hint="eastAsia" w:ascii="楷体" w:hAnsi="楷体" w:eastAsia="楷体"/>
        </w:rPr>
        <w:t>三</w:t>
      </w:r>
      <w:r>
        <w:rPr>
          <w:rFonts w:ascii="楷体" w:hAnsi="楷体" w:eastAsia="楷体"/>
        </w:rPr>
        <w:t>）标准草案编制</w:t>
      </w:r>
      <w:bookmarkEnd w:id="28"/>
      <w:bookmarkEnd w:id="29"/>
      <w:bookmarkEnd w:id="30"/>
    </w:p>
    <w:p>
      <w:pPr>
        <w:ind w:firstLine="640" w:firstLineChars="200"/>
        <w:jc w:val="left"/>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自2022</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标准编制组</w:t>
      </w:r>
      <w:r>
        <w:rPr>
          <w:rFonts w:hint="eastAsia" w:ascii="Times New Roman" w:hAnsi="Times New Roman" w:eastAsia="仿宋" w:cs="Times New Roman"/>
          <w:sz w:val="32"/>
          <w:szCs w:val="32"/>
        </w:rPr>
        <w:t>调研、收集、整理了国内、省内基本农田和高标准农田建设和管理相关的文件、标准等资料，在认真分析、比对研究的基础上，初步确定</w:t>
      </w:r>
      <w:r>
        <w:rPr>
          <w:rFonts w:hint="default" w:ascii="Times New Roman" w:hAnsi="Times New Roman" w:eastAsia="仿宋" w:cs="Times New Roman"/>
          <w:sz w:val="32"/>
          <w:szCs w:val="32"/>
        </w:rPr>
        <w:t>了</w:t>
      </w:r>
      <w:r>
        <w:rPr>
          <w:rFonts w:hint="eastAsia" w:ascii="Times New Roman" w:hAnsi="Times New Roman" w:eastAsia="仿宋" w:cs="Times New Roman"/>
          <w:sz w:val="32"/>
          <w:szCs w:val="32"/>
          <w:lang w:val="en-US" w:eastAsia="zh-CN"/>
        </w:rPr>
        <w:t>《深圳市高标准农田验收标准》</w:t>
      </w:r>
      <w:r>
        <w:rPr>
          <w:rFonts w:hint="default" w:ascii="Times New Roman" w:hAnsi="Times New Roman" w:eastAsia="仿宋" w:cs="Times New Roman"/>
          <w:sz w:val="32"/>
          <w:szCs w:val="32"/>
        </w:rPr>
        <w:t>基本框架，并</w:t>
      </w:r>
      <w:r>
        <w:rPr>
          <w:rFonts w:hint="eastAsia" w:ascii="Times New Roman" w:hAnsi="Times New Roman" w:eastAsia="仿宋" w:cs="Times New Roman"/>
          <w:sz w:val="32"/>
          <w:szCs w:val="32"/>
        </w:rPr>
        <w:t>编制</w:t>
      </w:r>
      <w:r>
        <w:rPr>
          <w:rFonts w:hint="default" w:ascii="Times New Roman" w:hAnsi="Times New Roman" w:eastAsia="仿宋" w:cs="Times New Roman"/>
          <w:sz w:val="32"/>
          <w:szCs w:val="32"/>
        </w:rPr>
        <w:t>形成了</w:t>
      </w:r>
      <w:r>
        <w:rPr>
          <w:rFonts w:hint="eastAsia" w:ascii="Times New Roman" w:hAnsi="Times New Roman" w:eastAsia="仿宋" w:cs="Times New Roman"/>
          <w:sz w:val="32"/>
          <w:szCs w:val="32"/>
        </w:rPr>
        <w:t>规范的草案</w:t>
      </w:r>
      <w:r>
        <w:rPr>
          <w:rFonts w:hint="default" w:ascii="Times New Roman" w:hAnsi="Times New Roman" w:eastAsia="仿宋" w:cs="Times New Roman"/>
          <w:sz w:val="32"/>
          <w:szCs w:val="32"/>
        </w:rPr>
        <w:t>。</w:t>
      </w:r>
    </w:p>
    <w:p>
      <w:pPr>
        <w:pStyle w:val="3"/>
        <w:spacing w:line="560" w:lineRule="exact"/>
        <w:rPr>
          <w:rFonts w:ascii="黑体" w:hAnsi="黑体" w:eastAsia="黑体"/>
          <w:sz w:val="32"/>
          <w:szCs w:val="32"/>
        </w:rPr>
      </w:pPr>
      <w:bookmarkStart w:id="31" w:name="_Toc31382"/>
      <w:bookmarkStart w:id="32" w:name="_Toc29589"/>
      <w:r>
        <w:rPr>
          <w:rFonts w:hint="eastAsia" w:ascii="黑体" w:hAnsi="黑体" w:eastAsia="黑体"/>
          <w:sz w:val="32"/>
          <w:szCs w:val="32"/>
        </w:rPr>
        <w:t>六、标准主要内容</w:t>
      </w:r>
      <w:bookmarkEnd w:id="31"/>
      <w:bookmarkEnd w:id="32"/>
    </w:p>
    <w:p>
      <w:pPr>
        <w:pStyle w:val="4"/>
        <w:rPr>
          <w:rFonts w:hint="eastAsia" w:ascii="楷体" w:hAnsi="楷体" w:eastAsia="楷体"/>
          <w:lang w:eastAsia="zh-CN"/>
        </w:rPr>
      </w:pPr>
      <w:bookmarkStart w:id="33" w:name="_Toc27374"/>
      <w:bookmarkStart w:id="34" w:name="_Toc3713"/>
      <w:r>
        <w:rPr>
          <w:rFonts w:hint="eastAsia" w:ascii="楷体" w:hAnsi="楷体" w:eastAsia="楷体"/>
          <w:lang w:eastAsia="zh-CN"/>
        </w:rPr>
        <w:t>（</w:t>
      </w:r>
      <w:r>
        <w:rPr>
          <w:rFonts w:hint="eastAsia" w:ascii="楷体" w:hAnsi="楷体" w:eastAsia="楷体"/>
          <w:lang w:val="en-US" w:eastAsia="zh-CN"/>
        </w:rPr>
        <w:t>一</w:t>
      </w:r>
      <w:r>
        <w:rPr>
          <w:rFonts w:hint="eastAsia" w:ascii="楷体" w:hAnsi="楷体" w:eastAsia="楷体"/>
          <w:lang w:eastAsia="zh-CN"/>
        </w:rPr>
        <w:t>）</w:t>
      </w:r>
      <w:r>
        <w:rPr>
          <w:rFonts w:hint="eastAsia" w:ascii="楷体" w:hAnsi="楷体" w:eastAsia="楷体"/>
          <w:lang w:val="en-US" w:eastAsia="zh-CN"/>
        </w:rPr>
        <w:t>主要内容</w:t>
      </w:r>
      <w:bookmarkEnd w:id="33"/>
      <w:bookmarkEnd w:id="34"/>
    </w:p>
    <w:p>
      <w:pPr>
        <w:ind w:firstLine="640" w:firstLineChars="200"/>
        <w:jc w:val="left"/>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rPr>
        <w:t>本文件规定了深圳市高标准农田验收工作的验收依据及程序、单项工程、初步及竣工验收标准、监督管理和项目技术档案要求等。</w:t>
      </w:r>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本文件适用于本标准适用于深圳市范围内高标准农田验收工作。</w:t>
      </w:r>
    </w:p>
    <w:p>
      <w:pPr>
        <w:pStyle w:val="4"/>
        <w:rPr>
          <w:rFonts w:hint="default" w:ascii="楷体" w:hAnsi="楷体" w:eastAsia="楷体"/>
          <w:lang w:val="en-US" w:eastAsia="zh-CN"/>
        </w:rPr>
      </w:pPr>
      <w:bookmarkStart w:id="35" w:name="_Toc21621"/>
      <w:bookmarkStart w:id="36" w:name="_Toc10838"/>
      <w:r>
        <w:rPr>
          <w:rFonts w:hint="eastAsia" w:ascii="楷体" w:hAnsi="楷体" w:eastAsia="楷体"/>
          <w:lang w:val="en-US" w:eastAsia="zh-CN"/>
        </w:rPr>
        <w:t>（二）规范性引用文</w:t>
      </w:r>
      <w:bookmarkEnd w:id="35"/>
      <w:bookmarkEnd w:id="36"/>
      <w:r>
        <w:rPr>
          <w:rFonts w:hint="eastAsia" w:ascii="楷体" w:hAnsi="楷体" w:eastAsia="楷体"/>
          <w:lang w:val="en-US" w:eastAsia="zh-CN"/>
        </w:rPr>
        <w:t>件</w:t>
      </w:r>
    </w:p>
    <w:p>
      <w:p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GB/T 30600  高标准农田建设通则</w:t>
      </w:r>
    </w:p>
    <w:p>
      <w:p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TD/T 1033  高标准基本农田建设标准</w:t>
      </w:r>
    </w:p>
    <w:p>
      <w:p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TD/T 1034  市（地）级土地整治规划编制规程</w:t>
      </w:r>
    </w:p>
    <w:p>
      <w:p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TD/T 1035  县级土地整治规划编制规程</w:t>
      </w:r>
    </w:p>
    <w:p>
      <w:p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TD/T 1041  土地整治工程质量检验与评定规程</w:t>
      </w:r>
    </w:p>
    <w:p>
      <w:pPr>
        <w:spacing w:line="560" w:lineRule="exact"/>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NY/T 1717  农业建设项目验收技术规程</w:t>
      </w:r>
    </w:p>
    <w:p>
      <w:pPr>
        <w:spacing w:line="56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NY/T 2247  农田建设规划编制规程</w:t>
      </w:r>
      <w:bookmarkStart w:id="37" w:name="_Toc30299"/>
    </w:p>
    <w:p>
      <w:pPr>
        <w:pStyle w:val="3"/>
        <w:spacing w:line="560" w:lineRule="exact"/>
        <w:rPr>
          <w:rFonts w:hint="eastAsia" w:ascii="黑体" w:hAnsi="黑体" w:eastAsia="黑体"/>
          <w:sz w:val="32"/>
          <w:szCs w:val="32"/>
        </w:rPr>
      </w:pPr>
      <w:bookmarkStart w:id="38" w:name="_Toc29639"/>
      <w:r>
        <w:rPr>
          <w:rFonts w:hint="eastAsia" w:ascii="黑体" w:hAnsi="黑体" w:eastAsia="黑体"/>
          <w:sz w:val="32"/>
          <w:szCs w:val="32"/>
        </w:rPr>
        <w:t>七、重大分歧意见的处理经过和依据</w:t>
      </w:r>
      <w:bookmarkEnd w:id="37"/>
      <w:bookmarkEnd w:id="38"/>
    </w:p>
    <w:p>
      <w:pPr>
        <w:ind w:firstLine="640" w:firstLineChars="200"/>
        <w:jc w:val="left"/>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无。</w:t>
      </w:r>
    </w:p>
    <w:p>
      <w:pPr>
        <w:pStyle w:val="3"/>
        <w:spacing w:line="560" w:lineRule="exact"/>
        <w:rPr>
          <w:rFonts w:hint="eastAsia" w:ascii="黑体" w:hAnsi="黑体" w:eastAsia="黑体"/>
          <w:sz w:val="32"/>
          <w:szCs w:val="32"/>
          <w:lang w:eastAsia="zh-CN"/>
        </w:rPr>
      </w:pPr>
      <w:bookmarkStart w:id="39" w:name="_Toc19880"/>
      <w:bookmarkStart w:id="40" w:name="_Toc5523"/>
      <w:r>
        <w:rPr>
          <w:rFonts w:hint="eastAsia" w:ascii="黑体" w:hAnsi="黑体" w:eastAsia="黑体"/>
          <w:sz w:val="32"/>
          <w:szCs w:val="32"/>
          <w:lang w:val="en-US" w:eastAsia="zh-CN"/>
        </w:rPr>
        <w:t>八、</w:t>
      </w:r>
      <w:r>
        <w:rPr>
          <w:rFonts w:hint="eastAsia" w:ascii="黑体" w:hAnsi="黑体" w:eastAsia="黑体"/>
          <w:sz w:val="32"/>
          <w:szCs w:val="32"/>
        </w:rPr>
        <w:t>对</w:t>
      </w:r>
      <w:r>
        <w:rPr>
          <w:rFonts w:hint="eastAsia" w:ascii="黑体" w:hAnsi="黑体" w:eastAsia="黑体"/>
          <w:sz w:val="32"/>
          <w:szCs w:val="32"/>
          <w:lang w:val="en-US" w:eastAsia="zh-CN"/>
        </w:rPr>
        <w:t>标准</w:t>
      </w:r>
      <w:r>
        <w:rPr>
          <w:rFonts w:hint="eastAsia" w:ascii="黑体" w:hAnsi="黑体" w:eastAsia="黑体"/>
          <w:sz w:val="32"/>
          <w:szCs w:val="32"/>
        </w:rPr>
        <w:t>性质的建议</w:t>
      </w:r>
      <w:bookmarkEnd w:id="39"/>
      <w:bookmarkEnd w:id="40"/>
    </w:p>
    <w:p>
      <w:pPr>
        <w:widowControl/>
        <w:numPr>
          <w:ilvl w:val="-1"/>
          <w:numId w:val="0"/>
        </w:numPr>
        <w:ind w:firstLine="640" w:firstLineChars="200"/>
        <w:jc w:val="lef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建议以团体标准发布。</w:t>
      </w:r>
    </w:p>
    <w:p>
      <w:pPr>
        <w:widowControl w:val="0"/>
        <w:numPr>
          <w:ilvl w:val="0"/>
          <w:numId w:val="0"/>
        </w:numPr>
        <w:jc w:val="both"/>
        <w:rPr>
          <w:rFonts w:hint="eastAsia" w:eastAsiaTheme="minorEastAsia"/>
          <w:lang w:eastAsia="zh-CN"/>
        </w:rPr>
      </w:pPr>
    </w:p>
    <w:p>
      <w:pPr>
        <w:widowControl w:val="0"/>
        <w:numPr>
          <w:ilvl w:val="0"/>
          <w:numId w:val="0"/>
        </w:numPr>
        <w:jc w:val="both"/>
        <w:rPr>
          <w:rFonts w:hint="eastAsia" w:eastAsiaTheme="minorEastAsia"/>
          <w:lang w:eastAsia="zh-CN"/>
        </w:rPr>
      </w:pPr>
    </w:p>
    <w:p>
      <w:pPr>
        <w:widowControl w:val="0"/>
        <w:numPr>
          <w:ilvl w:val="0"/>
          <w:numId w:val="0"/>
        </w:numPr>
        <w:jc w:val="both"/>
        <w:rPr>
          <w:rFonts w:hint="eastAsia" w:eastAsiaTheme="minorEastAsia"/>
          <w:lang w:eastAsia="zh-CN"/>
        </w:rPr>
      </w:pPr>
    </w:p>
    <w:p>
      <w:pPr>
        <w:ind w:firstLine="640" w:firstLineChars="200"/>
        <w:jc w:val="right"/>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 《高标准农田 验收规范》</w:t>
      </w:r>
      <w:r>
        <w:rPr>
          <w:rFonts w:hint="eastAsia" w:ascii="Times New Roman" w:hAnsi="Times New Roman" w:eastAsia="仿宋" w:cs="Times New Roman"/>
          <w:sz w:val="32"/>
          <w:szCs w:val="32"/>
        </w:rPr>
        <w:t>编写小组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MWExMGYxMTE4NzdlZWY3NGQwNWMyZWYzZWFlMjkifQ=="/>
  </w:docVars>
  <w:rsids>
    <w:rsidRoot w:val="42A30981"/>
    <w:rsid w:val="0103164E"/>
    <w:rsid w:val="04771054"/>
    <w:rsid w:val="07964300"/>
    <w:rsid w:val="1B8A1417"/>
    <w:rsid w:val="1B95222F"/>
    <w:rsid w:val="1D786210"/>
    <w:rsid w:val="1E795006"/>
    <w:rsid w:val="23511791"/>
    <w:rsid w:val="255F7C52"/>
    <w:rsid w:val="27E05D32"/>
    <w:rsid w:val="2A4B17EC"/>
    <w:rsid w:val="2B6401EE"/>
    <w:rsid w:val="3568135F"/>
    <w:rsid w:val="3BE14DE7"/>
    <w:rsid w:val="41254874"/>
    <w:rsid w:val="42A30981"/>
    <w:rsid w:val="450F75AA"/>
    <w:rsid w:val="47A5260A"/>
    <w:rsid w:val="4D66020B"/>
    <w:rsid w:val="53F22DF4"/>
    <w:rsid w:val="56984898"/>
    <w:rsid w:val="609551D7"/>
    <w:rsid w:val="62FF50D5"/>
    <w:rsid w:val="630748F0"/>
    <w:rsid w:val="64E20E23"/>
    <w:rsid w:val="6DB14A8F"/>
    <w:rsid w:val="6F061C4E"/>
    <w:rsid w:val="6F2F5BD1"/>
    <w:rsid w:val="77EA5156"/>
    <w:rsid w:val="7B497A36"/>
    <w:rsid w:val="7C57581E"/>
    <w:rsid w:val="7DBA1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Plain Text1"/>
    <w:basedOn w:val="1"/>
    <w:qFormat/>
    <w:uiPriority w:val="0"/>
    <w:rPr>
      <w:rFonts w:ascii="宋体" w:hAnsi="Courier New" w:cs="宋体"/>
      <w:sz w:val="30"/>
      <w:szCs w:val="21"/>
    </w:rPr>
  </w:style>
  <w:style w:type="paragraph" w:styleId="5">
    <w:name w:val="toc 1"/>
    <w:basedOn w:val="1"/>
    <w:next w:val="1"/>
    <w:unhideWhenUsed/>
    <w:qFormat/>
    <w:uiPriority w:val="39"/>
  </w:style>
  <w:style w:type="paragraph" w:styleId="6">
    <w:name w:val="toc 2"/>
    <w:basedOn w:val="1"/>
    <w:next w:val="1"/>
    <w:unhideWhenUsed/>
    <w:qFormat/>
    <w:uiPriority w:val="39"/>
    <w:pPr>
      <w:ind w:left="420" w:leftChars="200"/>
    </w:pPr>
  </w:style>
  <w:style w:type="paragraph" w:customStyle="1" w:styleId="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 w:type="paragraph" w:customStyle="1" w:styleId="11">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2193</Words>
  <Characters>2454</Characters>
  <Lines>0</Lines>
  <Paragraphs>0</Paragraphs>
  <TotalTime>3</TotalTime>
  <ScaleCrop>false</ScaleCrop>
  <LinksUpToDate>false</LinksUpToDate>
  <CharactersWithSpaces>2518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2022-09-09T10:49:00Z</dcterms:created>
  <dc:creator>123</dc:creator>
  <cp:lastModifiedBy>123</cp:lastModifiedBy>
  <dcterms:modified xsi:type="dcterms:W3CDTF">2023-09-22T03:53:16Z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5AA89BCFC09C4C24A81DEBD97F1A0E35_13</vt:lpwstr>
  </property>
</Properties>
</file>