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1"/>
        <w:framePr w:wrap="around"/>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ICS</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67</w:t>
      </w:r>
      <w:r>
        <w:rPr>
          <w:rFonts w:ascii="Times New Roman"/>
          <w:color w:val="0D0D0D" w:themeColor="text1" w:themeTint="F2"/>
          <w:highlight w:val="none"/>
          <w14:textFill>
            <w14:solidFill>
              <w14:schemeClr w14:val="tx1">
                <w14:lumMod w14:val="95000"/>
                <w14:lumOff w14:val="5000"/>
              </w14:schemeClr>
            </w14:solidFill>
          </w14:textFill>
        </w:rPr>
        <w:t>.</w:t>
      </w:r>
      <w:r>
        <w:rPr>
          <w:rFonts w:hint="default" w:ascii="Times New Roman"/>
          <w:color w:val="0D0D0D" w:themeColor="text1" w:themeTint="F2"/>
          <w:highlight w:val="none"/>
          <w14:textFill>
            <w14:solidFill>
              <w14:schemeClr w14:val="tx1">
                <w14:lumMod w14:val="95000"/>
                <w14:lumOff w14:val="5000"/>
              </w14:schemeClr>
            </w14:solidFill>
          </w14:textFill>
        </w:rPr>
        <w:t>230</w:t>
      </w:r>
    </w:p>
    <w:tbl>
      <w:tblPr>
        <w:tblStyle w:val="37"/>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31"/>
              <w:framePr w:wrap="around"/>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ascii="Times New Roman"/>
                <w:color w:val="0D0D0D" w:themeColor="text1" w:themeTint="F2"/>
                <w:highlight w:val="none"/>
                <w14:textFill>
                  <w14:solidFill>
                    <w14:schemeClr w14:val="tx1">
                      <w14:lumMod w14:val="95000"/>
                      <w14:lumOff w14:val="5000"/>
                    </w14:schemeClr>
                  </w14:solidFill>
                </w14:textFill>
              </w:rPr>
              <w:t>X</w:t>
            </w:r>
            <w:r>
              <w:rPr>
                <w:rFonts w:hint="default" w:ascii="Times New Roman"/>
                <w:color w:val="0D0D0D" w:themeColor="text1" w:themeTint="F2"/>
                <w:highlight w:val="none"/>
                <w14:textFill>
                  <w14:solidFill>
                    <w14:schemeClr w14:val="tx1">
                      <w14:lumMod w14:val="95000"/>
                      <w14:lumOff w14:val="5000"/>
                    </w14:schemeClr>
                  </w14:solidFill>
                </w14:textFill>
              </w:rPr>
              <w:t xml:space="preserve"> 10</w:t>
            </w:r>
          </w:p>
        </w:tc>
      </w:tr>
    </w:tbl>
    <w:p>
      <w:pPr>
        <w:rPr>
          <w:color w:val="0D0D0D" w:themeColor="text1" w:themeTint="F2"/>
          <w:highlight w:val="none"/>
          <w14:textFill>
            <w14:solidFill>
              <w14:schemeClr w14:val="tx1">
                <w14:lumMod w14:val="95000"/>
                <w14:lumOff w14:val="5000"/>
              </w14:schemeClr>
            </w14:solidFill>
          </w14:textFill>
        </w:rPr>
      </w:pPr>
    </w:p>
    <w:p>
      <w:pPr>
        <w:pStyle w:val="75"/>
        <w:framePr w:wrap="around" w:x="1203" w:y="5521"/>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高标准农田 规划和建设</w:t>
      </w:r>
    </w:p>
    <w:p>
      <w:pPr>
        <w:pStyle w:val="74"/>
        <w:framePr w:wrap="around" w:x="1203" w:y="5521"/>
        <w:rPr>
          <w:rFonts w:ascii="Times New Roman" w:hAnsi="Times New Roman"/>
          <w:color w:val="0D0D0D" w:themeColor="text1" w:themeTint="F2"/>
          <w:highlight w:val="none"/>
          <w14:textFill>
            <w14:solidFill>
              <w14:schemeClr w14:val="tx1">
                <w14:lumMod w14:val="95000"/>
                <w14:lumOff w14:val="5000"/>
              </w14:schemeClr>
            </w14:solidFill>
          </w14:textFill>
        </w:rPr>
      </w:pPr>
    </w:p>
    <w:p>
      <w:pPr>
        <w:pStyle w:val="73"/>
        <w:framePr w:wrap="around" w:x="1203" w:y="5521"/>
        <w:rPr>
          <w:rFonts w:ascii="Times New Roman"/>
          <w:b/>
          <w:color w:val="0D0D0D" w:themeColor="text1" w:themeTint="F2"/>
          <w:highlight w:val="none"/>
          <w14:textFill>
            <w14:solidFill>
              <w14:schemeClr w14:val="tx1">
                <w14:lumMod w14:val="95000"/>
                <w14:lumOff w14:val="5000"/>
              </w14:schemeClr>
            </w14:solidFill>
          </w14:textFill>
        </w:rPr>
      </w:pPr>
    </w:p>
    <w:p>
      <w:pPr>
        <w:pStyle w:val="73"/>
        <w:framePr w:wrap="around" w:x="1203" w:y="5521"/>
        <w:rPr>
          <w:rFonts w:ascii="Times New Roman"/>
          <w:b/>
          <w:color w:val="0D0D0D" w:themeColor="text1" w:themeTint="F2"/>
          <w:highlight w:val="none"/>
          <w14:textFill>
            <w14:solidFill>
              <w14:schemeClr w14:val="tx1">
                <w14:lumMod w14:val="95000"/>
                <w14:lumOff w14:val="5000"/>
              </w14:schemeClr>
            </w14:solidFill>
          </w14:textFill>
        </w:rPr>
      </w:pPr>
      <w:r>
        <w:rPr>
          <w:rFonts w:hint="default" w:ascii="Times New Roman"/>
          <w:b/>
          <w:color w:val="0D0D0D" w:themeColor="text1" w:themeTint="F2"/>
          <w:highlight w:val="none"/>
          <w14:textFill>
            <w14:solidFill>
              <w14:schemeClr w14:val="tx1">
                <w14:lumMod w14:val="95000"/>
                <w14:lumOff w14:val="5000"/>
              </w14:schemeClr>
            </w14:solidFill>
          </w14:textFill>
        </w:rPr>
        <w:t>（草案）</w:t>
      </w:r>
    </w:p>
    <w:tbl>
      <w:tblPr>
        <w:tblStyle w:val="37"/>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p>
            <w:pPr>
              <w:pStyle w:val="82"/>
              <w:framePr w:wrap="around" w:x="1203" w:y="5521"/>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w:rPr>
                <w:rFonts w:ascii="Times New Roman"/>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24"/>
              <w:framePr w:wrap="around" w:x="1203" w:y="5521"/>
              <w:rPr>
                <w:rFonts w:ascii="Times New Roman"/>
                <w:color w:val="0D0D0D" w:themeColor="text1" w:themeTint="F2"/>
                <w:highlight w:val="none"/>
                <w14:textFill>
                  <w14:solidFill>
                    <w14:schemeClr w14:val="tx1">
                      <w14:lumMod w14:val="95000"/>
                      <w14:lumOff w14:val="5000"/>
                    </w14:schemeClr>
                  </w14:solidFill>
                </w14:textFill>
              </w:rPr>
            </w:pPr>
          </w:p>
        </w:tc>
      </w:tr>
    </w:tbl>
    <w:p>
      <w:pPr>
        <w:pStyle w:val="80"/>
        <w:framePr w:wrap="around" w:hAnchor="page" w:x="1186" w:y="14071"/>
        <w:rPr>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202</w:t>
      </w:r>
      <w:r>
        <w:rPr>
          <w:rFonts w:hint="eastAsia"/>
          <w:color w:val="0D0D0D" w:themeColor="text1" w:themeTint="F2"/>
          <w:highlight w:val="none"/>
          <w:lang w:val="en-US" w:eastAsia="zh-CN"/>
          <w14:textFill>
            <w14:solidFill>
              <w14:schemeClr w14:val="tx1">
                <w14:lumMod w14:val="95000"/>
                <w14:lumOff w14:val="5000"/>
              </w14:schemeClr>
            </w14:solidFill>
          </w14:textFill>
        </w:rPr>
        <w:t>3</w:t>
      </w:r>
      <w:r>
        <w:rPr>
          <w:color w:val="0D0D0D" w:themeColor="text1" w:themeTint="F2"/>
          <w:highlight w:val="none"/>
          <w14:textFill>
            <w14:solidFill>
              <w14:schemeClr w14:val="tx1">
                <w14:lumMod w14:val="95000"/>
                <w14:lumOff w14:val="5000"/>
              </w14:schemeClr>
            </w14:solidFill>
          </w14:textFill>
        </w:rPr>
        <w:t xml:space="preserve"> </w:t>
      </w:r>
      <w:r>
        <w:rPr>
          <w:rFonts w:ascii="Times New Roman"/>
          <w:color w:val="0D0D0D" w:themeColor="text1" w:themeTint="F2"/>
          <w:highlight w:val="none"/>
          <w14:textFill>
            <w14:solidFill>
              <w14:schemeClr w14:val="tx1">
                <w14:lumMod w14:val="95000"/>
                <w14:lumOff w14:val="5000"/>
              </w14:schemeClr>
            </w14:solidFill>
          </w14:textFill>
        </w:rPr>
        <w:t>-</w:t>
      </w:r>
      <w:r>
        <w:rPr>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 xml:space="preserve">XX </w:t>
      </w:r>
      <w:r>
        <w:rPr>
          <w:rFonts w:ascii="Times New Roman"/>
          <w:color w:val="0D0D0D" w:themeColor="text1" w:themeTint="F2"/>
          <w:highlight w:val="none"/>
          <w14:textFill>
            <w14:solidFill>
              <w14:schemeClr w14:val="tx1">
                <w14:lumMod w14:val="95000"/>
                <w14:lumOff w14:val="5000"/>
              </w14:schemeClr>
            </w14:solidFill>
          </w14:textFill>
        </w:rPr>
        <w:t>-</w:t>
      </w:r>
      <w:r>
        <w:rPr>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XX</w:t>
      </w:r>
      <w:r>
        <w:rPr>
          <w:rFonts w:hint="eastAsia"/>
          <w:color w:val="0D0D0D" w:themeColor="text1" w:themeTint="F2"/>
          <w:highlight w:val="none"/>
          <w14:textFill>
            <w14:solidFill>
              <w14:schemeClr w14:val="tx1">
                <w14:lumMod w14:val="95000"/>
                <w14:lumOff w14:val="5000"/>
              </w14:schemeClr>
            </w14:solidFill>
          </w14:textFill>
        </w:rPr>
        <w:t>发布</w:t>
      </w: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95"/>
        <w:framePr w:wrap="around" w:hAnchor="page" w:x="6946" w:y="14086"/>
        <w:rPr>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202</w:t>
      </w:r>
      <w:r>
        <w:rPr>
          <w:rFonts w:hint="eastAsia"/>
          <w:color w:val="0D0D0D" w:themeColor="text1" w:themeTint="F2"/>
          <w:highlight w:val="none"/>
          <w:lang w:val="en-US" w:eastAsia="zh-CN"/>
          <w14:textFill>
            <w14:solidFill>
              <w14:schemeClr w14:val="tx1">
                <w14:lumMod w14:val="95000"/>
                <w14:lumOff w14:val="5000"/>
              </w14:schemeClr>
            </w14:solidFill>
          </w14:textFill>
        </w:rPr>
        <w:t>3</w:t>
      </w:r>
      <w:r>
        <w:rPr>
          <w:color w:val="0D0D0D" w:themeColor="text1" w:themeTint="F2"/>
          <w:highlight w:val="none"/>
          <w14:textFill>
            <w14:solidFill>
              <w14:schemeClr w14:val="tx1">
                <w14:lumMod w14:val="95000"/>
                <w14:lumOff w14:val="5000"/>
              </w14:schemeClr>
            </w14:solidFill>
          </w14:textFill>
        </w:rPr>
        <w:t xml:space="preserve"> </w:t>
      </w:r>
      <w:r>
        <w:rPr>
          <w:rFonts w:ascii="Times New Roman"/>
          <w:color w:val="0D0D0D" w:themeColor="text1" w:themeTint="F2"/>
          <w:highlight w:val="none"/>
          <w14:textFill>
            <w14:solidFill>
              <w14:schemeClr w14:val="tx1">
                <w14:lumMod w14:val="95000"/>
                <w14:lumOff w14:val="5000"/>
              </w14:schemeClr>
            </w14:solidFill>
          </w14:textFill>
        </w:rPr>
        <w:t>-</w:t>
      </w:r>
      <w:r>
        <w:rPr>
          <w:rFonts w:hint="default" w:ascii="Times New Roman"/>
          <w:color w:val="0D0D0D" w:themeColor="text1" w:themeTint="F2"/>
          <w:highlight w:val="none"/>
          <w14:textFill>
            <w14:solidFill>
              <w14:schemeClr w14:val="tx1">
                <w14:lumMod w14:val="95000"/>
                <w14:lumOff w14:val="5000"/>
              </w14:schemeClr>
            </w14:solidFill>
          </w14:textFill>
        </w:rPr>
        <w:t xml:space="preserve"> XX</w:t>
      </w:r>
      <w:r>
        <w:rPr>
          <w:color w:val="0D0D0D" w:themeColor="text1" w:themeTint="F2"/>
          <w:highlight w:val="none"/>
          <w14:textFill>
            <w14:solidFill>
              <w14:schemeClr w14:val="tx1">
                <w14:lumMod w14:val="95000"/>
                <w14:lumOff w14:val="5000"/>
              </w14:schemeClr>
            </w14:solidFill>
          </w14:textFill>
        </w:rPr>
        <w:t xml:space="preserve"> </w:t>
      </w:r>
      <w:r>
        <w:rPr>
          <w:rFonts w:ascii="Times New Roman"/>
          <w:color w:val="0D0D0D" w:themeColor="text1" w:themeTint="F2"/>
          <w:highlight w:val="none"/>
          <w14:textFill>
            <w14:solidFill>
              <w14:schemeClr w14:val="tx1">
                <w14:lumMod w14:val="95000"/>
                <w14:lumOff w14:val="5000"/>
              </w14:schemeClr>
            </w14:solidFill>
          </w14:textFill>
        </w:rPr>
        <w:t>-</w:t>
      </w:r>
      <w:r>
        <w:rPr>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XX</w:t>
      </w:r>
      <w:r>
        <w:rPr>
          <w:rFonts w:hint="eastAsia"/>
          <w:color w:val="0D0D0D" w:themeColor="text1" w:themeTint="F2"/>
          <w:highlight w:val="none"/>
          <w14:textFill>
            <w14:solidFill>
              <w14:schemeClr w14:val="tx1">
                <w14:lumMod w14:val="95000"/>
                <w14:lumOff w14:val="5000"/>
              </w14:schemeClr>
            </w14:solidFill>
          </w14:textFill>
        </w:rPr>
        <w:t>实施</w:t>
      </w:r>
    </w:p>
    <w:p>
      <w:pPr>
        <w:pStyle w:val="92"/>
        <w:framePr w:w="7886" w:wrap="around"/>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b/>
          <w:color w:val="0D0D0D" w:themeColor="text1" w:themeTint="F2"/>
          <w:highlight w:val="none"/>
          <w14:textFill>
            <w14:solidFill>
              <w14:schemeClr w14:val="tx1">
                <w14:lumMod w14:val="95000"/>
                <w14:lumOff w14:val="5000"/>
              </w14:schemeClr>
            </w14:solidFill>
          </w14:textFill>
        </w:rPr>
        <w:t>深圳市</w:t>
      </w:r>
      <w:r>
        <w:rPr>
          <w:rFonts w:hint="default" w:ascii="Times New Roman"/>
          <w:b/>
          <w:color w:val="0D0D0D" w:themeColor="text1" w:themeTint="F2"/>
          <w:highlight w:val="none"/>
          <w14:textFill>
            <w14:solidFill>
              <w14:schemeClr w14:val="tx1">
                <w14:lumMod w14:val="95000"/>
                <w14:lumOff w14:val="5000"/>
              </w14:schemeClr>
            </w14:solidFill>
          </w14:textFill>
        </w:rPr>
        <w:t>深圳标准</w:t>
      </w:r>
      <w:r>
        <w:rPr>
          <w:rFonts w:ascii="Times New Roman"/>
          <w:b/>
          <w:color w:val="0D0D0D" w:themeColor="text1" w:themeTint="F2"/>
          <w:highlight w:val="none"/>
          <w14:textFill>
            <w14:solidFill>
              <w14:schemeClr w14:val="tx1">
                <w14:lumMod w14:val="95000"/>
                <w14:lumOff w14:val="5000"/>
              </w14:schemeClr>
            </w14:solidFill>
          </w14:textFill>
        </w:rPr>
        <w:t>促进会</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发布</w:t>
      </w:r>
    </w:p>
    <w:p>
      <w:pPr>
        <w:pStyle w:val="105"/>
        <w:framePr w:w="8058" w:wrap="around" w:x="2115" w:y="2131"/>
        <w:rPr>
          <w:rFonts w:ascii="Times New Roman" w:hAnsi="Times New Roman"/>
          <w:b/>
          <w:color w:val="0D0D0D" w:themeColor="text1" w:themeTint="F2"/>
          <w:sz w:val="72"/>
          <w:highlight w:val="none"/>
          <w14:textFill>
            <w14:solidFill>
              <w14:schemeClr w14:val="tx1">
                <w14:lumMod w14:val="95000"/>
                <w14:lumOff w14:val="5000"/>
              </w14:schemeClr>
            </w14:solidFill>
          </w14:textFill>
        </w:rPr>
      </w:pPr>
      <w:r>
        <w:rPr>
          <w:rFonts w:hint="default" w:ascii="Times New Roman" w:hAnsi="Times New Roman"/>
          <w:b/>
          <w:color w:val="0D0D0D" w:themeColor="text1" w:themeTint="F2"/>
          <w:sz w:val="96"/>
          <w:highlight w:val="none"/>
          <w14:textFill>
            <w14:solidFill>
              <w14:schemeClr w14:val="tx1">
                <w14:lumMod w14:val="95000"/>
                <w14:lumOff w14:val="5000"/>
              </w14:schemeClr>
            </w14:solidFill>
          </w14:textFill>
        </w:rPr>
        <w:t>团体标准</w:t>
      </w:r>
    </w:p>
    <w:p>
      <w:pPr>
        <w:pStyle w:val="126"/>
        <w:framePr w:wrap="around" w:x="1667" w:y="3151"/>
        <w:rPr>
          <w:rFonts w:hint="eastAsia" w:ascii="Times New Roman" w:hAnsi="Times New Roman" w:eastAsia="黑体" w:cs="Times New Roman"/>
          <w:color w:val="0D0D0D" w:themeColor="text1" w:themeTint="F2"/>
          <w:highlight w:val="none"/>
          <w:lang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T/SZS XXXX—202</w:t>
      </w:r>
      <w:r>
        <w:rPr>
          <w:rFonts w:hint="eastAsia" w:ascii="Times New Roman" w:cs="Times New Roman"/>
          <w:color w:val="0D0D0D" w:themeColor="text1" w:themeTint="F2"/>
          <w:highlight w:val="none"/>
          <w:lang w:val="en-US" w:eastAsia="zh-CN"/>
          <w14:textFill>
            <w14:solidFill>
              <w14:schemeClr w14:val="tx1">
                <w14:lumMod w14:val="95000"/>
                <w14:lumOff w14:val="5000"/>
              </w14:schemeClr>
            </w14:solidFill>
          </w14:textFill>
        </w:rPr>
        <w:t>3</w:t>
      </w:r>
    </w:p>
    <w:p>
      <w:pPr>
        <w:pStyle w:val="126"/>
        <w:framePr w:wrap="around" w:x="1667" w:y="3151"/>
        <w:rPr>
          <w:rFonts w:ascii="Times New Roman" w:hAnsi="Times New Roman"/>
          <w:color w:val="0D0D0D" w:themeColor="text1" w:themeTint="F2"/>
          <w:highlight w:val="none"/>
          <w14:textFill>
            <w14:solidFill>
              <w14:schemeClr w14:val="tx1">
                <w14:lumMod w14:val="95000"/>
                <w14:lumOff w14:val="5000"/>
              </w14:schemeClr>
            </w14:solidFill>
          </w14:textFill>
        </w:rPr>
      </w:pPr>
    </w:p>
    <w:p>
      <w:pPr>
        <w:pStyle w:val="126"/>
        <w:framePr w:wrap="around" w:x="1667" w:y="3151"/>
        <w:rPr>
          <w:rFonts w:ascii="Times New Roman" w:hAnsi="Times New Roman"/>
          <w:color w:val="0D0D0D" w:themeColor="text1" w:themeTint="F2"/>
          <w:highlight w:val="none"/>
          <w14:textFill>
            <w14:solidFill>
              <w14:schemeClr w14:val="tx1">
                <w14:lumMod w14:val="95000"/>
                <w14:lumOff w14:val="5000"/>
              </w14:schemeClr>
            </w14:solidFill>
          </w14:textFill>
        </w:rPr>
      </w:pPr>
    </w:p>
    <w:p>
      <w:pPr>
        <w:pStyle w:val="27"/>
        <w:ind w:left="-140" w:leftChars="-67" w:firstLine="0" w:firstLineChars="0"/>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Pr>
        <w:rPr>
          <w:color w:val="0D0D0D" w:themeColor="text1" w:themeTint="F2"/>
          <w:highlight w:val="none"/>
          <w14:textFill>
            <w14:solidFill>
              <w14:schemeClr w14:val="tx1">
                <w14:lumMod w14:val="95000"/>
                <w14:lumOff w14:val="5000"/>
              </w14:schemeClr>
            </w14:solidFill>
          </w14:textFill>
        </w:rPr>
      </w:pPr>
    </w:p>
    <w:p>
      <w:pPr>
        <w:rPr>
          <w:color w:val="0D0D0D" w:themeColor="text1" w:themeTint="F2"/>
          <w:highlight w:val="none"/>
          <w14:textFill>
            <w14:solidFill>
              <w14:schemeClr w14:val="tx1">
                <w14:lumMod w14:val="95000"/>
                <w14:lumOff w14:val="5000"/>
              </w14:schemeClr>
            </w14:solidFill>
          </w14:textFill>
        </w:rPr>
      </w:pPr>
    </w:p>
    <w:p>
      <w:pPr>
        <w:rPr>
          <w:color w:val="0D0D0D" w:themeColor="text1" w:themeTint="F2"/>
          <w:highlight w:val="none"/>
          <w14:textFill>
            <w14:solidFill>
              <w14:schemeClr w14:val="tx1">
                <w14:lumMod w14:val="95000"/>
                <w14:lumOff w14:val="5000"/>
              </w14:schemeClr>
            </w14:solidFill>
          </w14:textFill>
        </w:rPr>
      </w:pPr>
    </w:p>
    <w:p>
      <w:pPr>
        <w:rPr>
          <w:color w:val="0D0D0D" w:themeColor="text1" w:themeTint="F2"/>
          <w:highlight w:val="none"/>
          <w14:textFill>
            <w14:solidFill>
              <w14:schemeClr w14:val="tx1">
                <w14:lumMod w14:val="95000"/>
                <w14:lumOff w14:val="5000"/>
              </w14:schemeClr>
            </w14:solidFill>
          </w14:textFill>
        </w:rPr>
      </w:pPr>
    </w:p>
    <w:p>
      <w:pPr>
        <w:tabs>
          <w:tab w:val="left" w:pos="1153"/>
        </w:tabs>
        <w:jc w:val="left"/>
        <w:rPr>
          <w:color w:val="0D0D0D" w:themeColor="text1" w:themeTint="F2"/>
          <w:highlight w:val="none"/>
          <w14:textFill>
            <w14:solidFill>
              <w14:schemeClr w14:val="tx1">
                <w14:lumMod w14:val="95000"/>
                <w14:lumOff w14:val="5000"/>
              </w14:schemeClr>
            </w14:solidFill>
          </w14:textFill>
        </w:rPr>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NumType w:start="1"/>
          <w:cols w:space="720" w:num="1"/>
          <w:formProt w:val="0"/>
          <w:titlePg/>
          <w:docGrid w:type="linesAndChars" w:linePitch="312" w:charSpace="0"/>
        </w:sectPr>
      </w:pPr>
      <w:r>
        <w:rPr>
          <w:color w:val="0D0D0D" w:themeColor="text1" w:themeTint="F2"/>
          <w:highlight w:val="none"/>
          <w14:textFill>
            <w14:solidFill>
              <w14:schemeClr w14:val="tx1">
                <w14:lumMod w14:val="95000"/>
                <w14:lumOff w14:val="5000"/>
              </w14:schemeClr>
            </w14:solidFill>
          </w14:textFill>
        </w:rPr>
        <w:tab/>
      </w:r>
    </w:p>
    <w:p>
      <w:pPr>
        <w:pStyle w:val="112"/>
        <w:outlineLvl w:val="9"/>
        <w:rPr>
          <w:rFonts w:ascii="Times New Roman"/>
          <w:color w:val="0D0D0D" w:themeColor="text1" w:themeTint="F2"/>
          <w:highlight w:val="none"/>
          <w14:textFill>
            <w14:solidFill>
              <w14:schemeClr w14:val="tx1">
                <w14:lumMod w14:val="95000"/>
                <w14:lumOff w14:val="5000"/>
              </w14:schemeClr>
            </w14:solidFill>
          </w14:textFill>
        </w:rPr>
        <w:sectPr>
          <w:headerReference r:id="rId10" w:type="first"/>
          <w:headerReference r:id="rId8" w:type="default"/>
          <w:footerReference r:id="rId11" w:type="default"/>
          <w:headerReference r:id="rId9" w:type="even"/>
          <w:footerReference r:id="rId12" w:type="even"/>
          <w:pgSz w:w="11906" w:h="16838"/>
          <w:pgMar w:top="567" w:right="1134" w:bottom="1134" w:left="1418" w:header="1418" w:footer="1134" w:gutter="0"/>
          <w:pgNumType w:fmt="upperRoman" w:start="1"/>
          <w:cols w:space="720" w:num="1"/>
          <w:formProt w:val="0"/>
          <w:docGrid w:type="lines" w:linePitch="312" w:charSpace="0"/>
        </w:sectPr>
      </w:pPr>
    </w:p>
    <w:sdt>
      <w:sdtPr>
        <w:rPr>
          <w:rFonts w:ascii="Times New Roman" w:hAnsi="Times New Roman"/>
          <w:color w:val="0D0D0D" w:themeColor="text1" w:themeTint="F2"/>
          <w:highlight w:val="none"/>
          <w14:textFill>
            <w14:solidFill>
              <w14:schemeClr w14:val="tx1">
                <w14:lumMod w14:val="95000"/>
                <w14:lumOff w14:val="5000"/>
              </w14:schemeClr>
            </w14:solidFill>
          </w14:textFill>
        </w:rPr>
        <w:id w:val="147482088"/>
        <w15:color w:val="DBDBDB"/>
        <w:docPartObj>
          <w:docPartGallery w:val="Table of Contents"/>
          <w:docPartUnique/>
        </w:docPartObj>
      </w:sdtPr>
      <w:sdtEndPr>
        <w:rPr>
          <w:rFonts w:ascii="Times New Roman" w:hAnsi="Times New Roman"/>
          <w:color w:val="0D0D0D" w:themeColor="text1" w:themeTint="F2"/>
          <w:highlight w:val="none"/>
          <w14:textFill>
            <w14:solidFill>
              <w14:schemeClr w14:val="tx1">
                <w14:lumMod w14:val="95000"/>
                <w14:lumOff w14:val="5000"/>
              </w14:schemeClr>
            </w14:solidFill>
          </w14:textFill>
        </w:rPr>
      </w:sdtEndPr>
      <w:sdtContent>
        <w:p>
          <w:pPr>
            <w:jc w:val="center"/>
            <w:rPr>
              <w:rFonts w:hint="eastAsia" w:eastAsia="黑体"/>
              <w:color w:val="0D0D0D" w:themeColor="text1" w:themeTint="F2"/>
              <w:highlight w:val="none"/>
              <w:lang w:val="zh-CN" w:eastAsia="zh-CN"/>
              <w14:textFill>
                <w14:solidFill>
                  <w14:schemeClr w14:val="tx1">
                    <w14:lumMod w14:val="95000"/>
                    <w14:lumOff w14:val="5000"/>
                  </w14:schemeClr>
                </w14:solidFill>
              </w14:textFill>
            </w:rPr>
          </w:pPr>
          <w:r>
            <w:rPr>
              <w:rFonts w:hint="default" w:ascii="Times New Roman" w:eastAsia="黑体"/>
              <w:color w:val="0D0D0D" w:themeColor="text1" w:themeTint="F2"/>
              <w:kern w:val="0"/>
              <w:sz w:val="32"/>
              <w:szCs w:val="20"/>
              <w:highlight w:val="none"/>
              <w:lang w:val="zh-CN"/>
              <w14:textFill>
                <w14:solidFill>
                  <w14:schemeClr w14:val="tx1">
                    <w14:lumMod w14:val="95000"/>
                    <w14:lumOff w14:val="5000"/>
                  </w14:schemeClr>
                </w14:solidFill>
              </w14:textFill>
            </w:rPr>
            <w:t>目</w:t>
          </w:r>
          <w:r>
            <w:rPr>
              <w:rFonts w:hint="default" w:ascii="Times New Roman" w:eastAsia="黑体"/>
              <w:color w:val="0D0D0D" w:themeColor="text1" w:themeTint="F2"/>
              <w:kern w:val="0"/>
              <w:sz w:val="32"/>
              <w:szCs w:val="20"/>
              <w:highlight w:val="none"/>
              <w14:textFill>
                <w14:solidFill>
                  <w14:schemeClr w14:val="tx1">
                    <w14:lumMod w14:val="95000"/>
                    <w14:lumOff w14:val="5000"/>
                  </w14:schemeClr>
                </w14:solidFill>
              </w14:textFill>
            </w:rPr>
            <w:t xml:space="preserve">    </w:t>
          </w:r>
          <w:r>
            <w:rPr>
              <w:rFonts w:hint="eastAsia" w:eastAsia="黑体"/>
              <w:color w:val="0D0D0D" w:themeColor="text1" w:themeTint="F2"/>
              <w:kern w:val="0"/>
              <w:sz w:val="32"/>
              <w:szCs w:val="20"/>
              <w:highlight w:val="none"/>
              <w:lang w:val="en-US" w:eastAsia="zh-CN"/>
              <w14:textFill>
                <w14:solidFill>
                  <w14:schemeClr w14:val="tx1">
                    <w14:lumMod w14:val="95000"/>
                    <w14:lumOff w14:val="5000"/>
                  </w14:schemeClr>
                </w14:solidFill>
              </w14:textFill>
            </w:rPr>
            <w:t>次</w:t>
          </w:r>
        </w:p>
        <w:p>
          <w:pPr>
            <w:pStyle w:val="16"/>
            <w:tabs>
              <w:tab w:val="right" w:leader="dot" w:pos="9354"/>
              <w:tab w:val="clear" w:pos="9242"/>
            </w:tabs>
            <w:rPr>
              <w:color w:val="000000" w:themeColor="text1"/>
              <w14:textFill>
                <w14:solidFill>
                  <w14:schemeClr w14:val="tx1"/>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fldChar w:fldCharType="begin"/>
          </w:r>
          <w:r>
            <w:rPr>
              <w:rFonts w:hint="default" w:ascii="Times New Roman"/>
              <w:color w:val="0D0D0D" w:themeColor="text1" w:themeTint="F2"/>
              <w:highlight w:val="none"/>
              <w14:textFill>
                <w14:solidFill>
                  <w14:schemeClr w14:val="tx1">
                    <w14:lumMod w14:val="95000"/>
                    <w14:lumOff w14:val="5000"/>
                  </w14:schemeClr>
                </w14:solidFill>
              </w14:textFill>
            </w:rPr>
            <w:instrText xml:space="preserve">TOC \o "1-2" \h \u </w:instrText>
          </w:r>
          <w:r>
            <w:rPr>
              <w:rFonts w:hint="default" w:ascii="Times New Roman"/>
              <w:color w:val="0D0D0D" w:themeColor="text1" w:themeTint="F2"/>
              <w:highlight w:val="none"/>
              <w14:textFill>
                <w14:solidFill>
                  <w14:schemeClr w14:val="tx1">
                    <w14:lumMod w14:val="95000"/>
                    <w14:lumOff w14:val="5000"/>
                  </w14:schemeClr>
                </w14:solidFill>
              </w14:textFill>
            </w:rPr>
            <w:fldChar w:fldCharType="separate"/>
          </w:r>
          <w:r>
            <w:rPr>
              <w:rFonts w:hint="default" w:ascii="Times New Roman"/>
              <w:color w:val="000000" w:themeColor="text1"/>
              <w:highlight w:val="none"/>
              <w14:textFill>
                <w14:solidFill>
                  <w14:schemeClr w14:val="tx1"/>
                </w14:solidFill>
              </w14:textFill>
            </w:rPr>
            <w:fldChar w:fldCharType="begin"/>
          </w:r>
          <w:r>
            <w:rPr>
              <w:rFonts w:hint="default" w:ascii="Times New Roman"/>
              <w:color w:val="000000" w:themeColor="text1"/>
              <w:highlight w:val="none"/>
              <w14:textFill>
                <w14:solidFill>
                  <w14:schemeClr w14:val="tx1"/>
                </w14:solidFill>
              </w14:textFill>
            </w:rPr>
            <w:instrText xml:space="preserve"> HYPERLINK \l _Toc9894 </w:instrText>
          </w:r>
          <w:r>
            <w:rPr>
              <w:rFonts w:hint="default" w:ascii="Times New Roman"/>
              <w:color w:val="000000" w:themeColor="text1"/>
              <w:highlight w:val="none"/>
              <w14:textFill>
                <w14:solidFill>
                  <w14:schemeClr w14:val="tx1"/>
                </w14:solidFill>
              </w14:textFill>
            </w:rPr>
            <w:fldChar w:fldCharType="separate"/>
          </w:r>
          <w:r>
            <w:rPr>
              <w:rFonts w:hint="default" w:ascii="Times New Roman"/>
              <w:color w:val="000000" w:themeColor="text1"/>
              <w:highlight w:val="none"/>
              <w14:textFill>
                <w14:solidFill>
                  <w14:schemeClr w14:val="tx1"/>
                </w14:solidFill>
              </w14:textFill>
            </w:rPr>
            <w:t>前言</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_Toc9894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II</w:t>
          </w:r>
          <w:r>
            <w:rPr>
              <w:color w:val="000000" w:themeColor="text1"/>
              <w14:textFill>
                <w14:solidFill>
                  <w14:schemeClr w14:val="tx1"/>
                </w14:solidFill>
              </w14:textFill>
            </w:rPr>
            <w:fldChar w:fldCharType="end"/>
          </w:r>
          <w:r>
            <w:rPr>
              <w:rFonts w:hint="default" w:ascii="Times New Roman"/>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_Toc5951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1 </w:t>
          </w:r>
          <w:r>
            <w:rPr>
              <w:rFonts w:hint="default" w:ascii="Times New Roman"/>
              <w:color w:val="000000" w:themeColor="text1"/>
              <w:highlight w:val="none"/>
              <w14:textFill>
                <w14:solidFill>
                  <w14:schemeClr w14:val="tx1"/>
                </w14:solidFill>
              </w14:textFill>
            </w:rPr>
            <w:t>范围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_Toc5951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_Toc15835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2 </w:t>
          </w:r>
          <w:r>
            <w:rPr>
              <w:rFonts w:hint="default" w:ascii="Times New Roman"/>
              <w:color w:val="000000" w:themeColor="text1"/>
              <w:highlight w:val="none"/>
              <w14:textFill>
                <w14:solidFill>
                  <w14:schemeClr w14:val="tx1"/>
                </w14:solidFill>
              </w14:textFill>
            </w:rPr>
            <w:t>规范性引用文件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_Toc15835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_Toc16940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3 </w:t>
          </w:r>
          <w:r>
            <w:rPr>
              <w:rFonts w:hint="default" w:ascii="Times New Roman" w:hAnsi="Times New Roman"/>
              <w:color w:val="000000" w:themeColor="text1"/>
              <w:szCs w:val="21"/>
              <w:highlight w:val="none"/>
              <w14:textFill>
                <w14:solidFill>
                  <w14:schemeClr w14:val="tx1"/>
                </w14:solidFill>
              </w14:textFill>
            </w:rPr>
            <w:t>术语</w:t>
          </w:r>
          <w:r>
            <w:rPr>
              <w:rFonts w:ascii="Times New Roman" w:hAnsi="Times New Roman"/>
              <w:color w:val="000000" w:themeColor="text1"/>
              <w:szCs w:val="21"/>
              <w:highlight w:val="none"/>
              <w14:textFill>
                <w14:solidFill>
                  <w14:schemeClr w14:val="tx1"/>
                </w14:solidFill>
              </w14:textFill>
            </w:rPr>
            <w:t>和定义</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_Toc16940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_Toc6395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4 </w:t>
          </w:r>
          <w:r>
            <w:rPr>
              <w:rFonts w:hint="default" w:ascii="Times New Roman" w:hAnsi="Times New Roman"/>
              <w:color w:val="000000" w:themeColor="text1"/>
              <w:szCs w:val="21"/>
              <w:highlight w:val="none"/>
              <w14:textFill>
                <w14:solidFill>
                  <w14:schemeClr w14:val="tx1"/>
                </w14:solidFill>
              </w14:textFill>
            </w:rPr>
            <w:t>建设总则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_Toc6395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_Toc17597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5 </w:t>
          </w:r>
          <w:r>
            <w:rPr>
              <w:rFonts w:hint="default" w:ascii="Times New Roman" w:hAnsi="Times New Roman"/>
              <w:color w:val="000000" w:themeColor="text1"/>
              <w:szCs w:val="21"/>
              <w:highlight w:val="none"/>
              <w14:textFill>
                <w14:solidFill>
                  <w14:schemeClr w14:val="tx1"/>
                </w14:solidFill>
              </w14:textFill>
            </w:rPr>
            <w:t>规划</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_Toc17597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_Toc24215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6 </w:t>
          </w:r>
          <w:r>
            <w:rPr>
              <w:rFonts w:hint="default" w:ascii="Times New Roman" w:hAnsi="Times New Roman"/>
              <w:color w:val="000000" w:themeColor="text1"/>
              <w:szCs w:val="21"/>
              <w:highlight w:val="none"/>
              <w14:textFill>
                <w14:solidFill>
                  <w14:schemeClr w14:val="tx1"/>
                </w14:solidFill>
              </w14:textFill>
            </w:rPr>
            <w:t>建设</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_Toc24215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_Toc31707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7 </w:t>
          </w:r>
          <w:r>
            <w:rPr>
              <w:rFonts w:hint="default" w:ascii="Times New Roman" w:hAnsi="Times New Roman"/>
              <w:color w:val="000000" w:themeColor="text1"/>
              <w:szCs w:val="21"/>
              <w:highlight w:val="none"/>
              <w14:textFill>
                <w14:solidFill>
                  <w14:schemeClr w14:val="tx1"/>
                </w14:solidFill>
              </w14:textFill>
            </w:rPr>
            <w:t>建设监管</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_Toc31707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5"/>
            <w:tabs>
              <w:tab w:val="right" w:leader="dot" w:pos="9354"/>
              <w:tab w:val="clear" w:pos="9242"/>
            </w:tabs>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_Toc7918 </w:instrText>
          </w:r>
          <w:r>
            <w:rPr>
              <w:rFonts w:hint="eastAsia"/>
              <w:color w:val="000000" w:themeColor="text1"/>
              <w:highlight w:val="none"/>
              <w14:textFill>
                <w14:solidFill>
                  <w14:schemeClr w14:val="tx1"/>
                </w14:solidFill>
              </w14:textFill>
            </w:rPr>
            <w:fldChar w:fldCharType="separate"/>
          </w:r>
          <w:r>
            <w:rPr>
              <w:rFonts w:hint="eastAsia" w:ascii="黑体" w:hAnsi="Times New Roman" w:eastAsia="黑体"/>
              <w:i w:val="0"/>
              <w:color w:val="000000" w:themeColor="text1"/>
              <w:szCs w:val="21"/>
              <w14:textFill>
                <w14:solidFill>
                  <w14:schemeClr w14:val="tx1"/>
                </w14:solidFill>
              </w14:textFill>
            </w:rPr>
            <w:t xml:space="preserve">8 </w:t>
          </w:r>
          <w:r>
            <w:rPr>
              <w:rFonts w:hint="default" w:ascii="Times New Roman" w:hAnsi="Times New Roman"/>
              <w:color w:val="000000" w:themeColor="text1"/>
              <w:szCs w:val="21"/>
              <w:highlight w:val="none"/>
              <w14:textFill>
                <w14:solidFill>
                  <w14:schemeClr w14:val="tx1"/>
                </w14:solidFill>
              </w14:textFill>
            </w:rPr>
            <w:t>维护</w:t>
          </w:r>
          <w:r>
            <w:rPr>
              <w:rFonts w:ascii="Times New Roman" w:hAnsi="Times New Roman"/>
              <w:color w:val="000000" w:themeColor="text1"/>
              <w:szCs w:val="21"/>
              <w:highlight w:val="none"/>
              <w14:textFill>
                <w14:solidFill>
                  <w14:schemeClr w14:val="tx1"/>
                </w14:solidFill>
              </w14:textFill>
            </w:rPr>
            <w:t>与利用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_Toc7918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16"/>
            <w:tabs>
              <w:tab w:val="right" w:leader="dot" w:pos="9354"/>
              <w:tab w:val="clear" w:pos="9242"/>
            </w:tabs>
          </w:pP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\l _Toc17481 </w:instrText>
          </w:r>
          <w:r>
            <w:rPr>
              <w:rFonts w:hint="eastAsia"/>
              <w:color w:val="000000" w:themeColor="text1"/>
              <w:highlight w:val="none"/>
              <w14:textFill>
                <w14:solidFill>
                  <w14:schemeClr w14:val="tx1"/>
                </w14:solidFill>
              </w14:textFill>
            </w:rPr>
            <w:fldChar w:fldCharType="separate"/>
          </w:r>
          <w:r>
            <w:rPr>
              <w:rFonts w:hint="default" w:ascii="Times New Roman"/>
              <w:color w:val="000000" w:themeColor="text1"/>
              <w:highlight w:val="none"/>
              <w14:textFill>
                <w14:solidFill>
                  <w14:schemeClr w14:val="tx1"/>
                </w14:solidFill>
              </w14:textFill>
            </w:rPr>
            <w:t>参  考  文  献</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_Toc17481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color w:val="000000" w:themeColor="text1"/>
              <w:highlight w:val="none"/>
              <w14:textFill>
                <w14:solidFill>
                  <w14:schemeClr w14:val="tx1"/>
                </w14:solidFill>
              </w14:textFill>
            </w:rPr>
            <w:fldChar w:fldCharType="end"/>
          </w:r>
        </w:p>
        <w:p>
          <w:pPr>
            <w:pStyle w:val="2"/>
            <w:ind w:firstLine="422"/>
            <w:rPr>
              <w:color w:val="0D0D0D" w:themeColor="text1" w:themeTint="F2"/>
              <w:highlight w:val="none"/>
              <w14:textFill>
                <w14:solidFill>
                  <w14:schemeClr w14:val="tx1">
                    <w14:lumMod w14:val="95000"/>
                    <w14:lumOff w14:val="5000"/>
                  </w14:schemeClr>
                </w14:solidFill>
              </w14:textFill>
            </w:rPr>
            <w:sectPr>
              <w:footerReference r:id="rId13" w:type="default"/>
              <w:footerReference r:id="rId14" w:type="even"/>
              <w:pgSz w:w="11906" w:h="16838"/>
              <w:pgMar w:top="567" w:right="1134" w:bottom="1134" w:left="1418" w:header="1418" w:footer="1134" w:gutter="0"/>
              <w:pgNumType w:fmt="upperRoman" w:start="1"/>
              <w:cols w:space="720" w:num="1"/>
              <w:formProt w:val="0"/>
              <w:docGrid w:type="lines" w:linePitch="312" w:charSpace="0"/>
            </w:sectPr>
          </w:pPr>
          <w:r>
            <w:rPr>
              <w:rFonts w:hint="eastAsia"/>
              <w:color w:val="0D0D0D" w:themeColor="text1" w:themeTint="F2"/>
              <w:highlight w:val="none"/>
              <w14:textFill>
                <w14:solidFill>
                  <w14:schemeClr w14:val="tx1">
                    <w14:lumMod w14:val="95000"/>
                    <w14:lumOff w14:val="5000"/>
                  </w14:schemeClr>
                </w14:solidFill>
              </w14:textFill>
            </w:rPr>
            <w:fldChar w:fldCharType="end"/>
          </w:r>
        </w:p>
      </w:sdtContent>
    </w:sdt>
    <w:p>
      <w:pPr>
        <w:pStyle w:val="59"/>
        <w:rPr>
          <w:rFonts w:ascii="Times New Roman"/>
          <w:color w:val="0D0D0D" w:themeColor="text1" w:themeTint="F2"/>
          <w:highlight w:val="none"/>
          <w14:textFill>
            <w14:solidFill>
              <w14:schemeClr w14:val="tx1">
                <w14:lumMod w14:val="95000"/>
                <w14:lumOff w14:val="5000"/>
              </w14:schemeClr>
            </w14:solidFill>
          </w14:textFill>
        </w:rPr>
      </w:pPr>
      <w:bookmarkStart w:id="0" w:name="_Toc9894"/>
      <w:bookmarkStart w:id="1" w:name="_Toc3023"/>
      <w:bookmarkStart w:id="2" w:name="_Toc66883216"/>
      <w:r>
        <w:rPr>
          <w:rFonts w:hint="default" w:ascii="Times New Roman"/>
          <w:color w:val="0D0D0D" w:themeColor="text1" w:themeTint="F2"/>
          <w:highlight w:val="none"/>
          <w14:textFill>
            <w14:solidFill>
              <w14:schemeClr w14:val="tx1">
                <w14:lumMod w14:val="95000"/>
                <w14:lumOff w14:val="5000"/>
              </w14:schemeClr>
            </w14:solidFill>
          </w14:textFill>
        </w:rPr>
        <w:t>前    言</w:t>
      </w:r>
      <w:bookmarkEnd w:id="0"/>
      <w:bookmarkEnd w:id="1"/>
      <w:bookmarkEnd w:id="2"/>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本</w:t>
      </w:r>
      <w:r>
        <w:rPr>
          <w:rFonts w:ascii="Times New Roman" w:eastAsiaTheme="minorEastAsia"/>
          <w:color w:val="0D0D0D" w:themeColor="text1" w:themeTint="F2"/>
          <w:highlight w:val="none"/>
          <w14:textFill>
            <w14:solidFill>
              <w14:schemeClr w14:val="tx1">
                <w14:lumMod w14:val="95000"/>
                <w14:lumOff w14:val="5000"/>
              </w14:schemeClr>
            </w14:solidFill>
          </w14:textFill>
        </w:rPr>
        <w:t>文件按照</w:t>
      </w:r>
      <w:r>
        <w:rPr>
          <w:rFonts w:ascii="Times New Roman" w:hAnsi="Times New Roman"/>
          <w:color w:val="0D0D0D" w:themeColor="text1" w:themeTint="F2"/>
          <w:highlight w:val="none"/>
          <w14:textFill>
            <w14:solidFill>
              <w14:schemeClr w14:val="tx1">
                <w14:lumMod w14:val="95000"/>
                <w14:lumOff w14:val="5000"/>
              </w14:schemeClr>
            </w14:solidFill>
          </w14:textFill>
        </w:rPr>
        <w:t>GB/T</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highlight w:val="none"/>
          <w14:textFill>
            <w14:solidFill>
              <w14:schemeClr w14:val="tx1">
                <w14:lumMod w14:val="95000"/>
                <w14:lumOff w14:val="5000"/>
              </w14:schemeClr>
            </w14:solidFill>
          </w14:textFill>
        </w:rPr>
        <w:t>1.1</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w:t>
      </w:r>
      <w:r>
        <w:rPr>
          <w:rFonts w:ascii="Times New Roman" w:hAnsi="Times New Roman"/>
          <w:color w:val="0D0D0D" w:themeColor="text1" w:themeTint="F2"/>
          <w:highlight w:val="none"/>
          <w14:textFill>
            <w14:solidFill>
              <w14:schemeClr w14:val="tx1">
                <w14:lumMod w14:val="95000"/>
                <w14:lumOff w14:val="5000"/>
              </w14:schemeClr>
            </w14:solidFill>
          </w14:textFill>
        </w:rPr>
        <w:t>2020《标准化工作导则 第1部</w:t>
      </w:r>
      <w:r>
        <w:rPr>
          <w:rFonts w:ascii="Times New Roman" w:eastAsiaTheme="minorEastAsia"/>
          <w:color w:val="0D0D0D" w:themeColor="text1" w:themeTint="F2"/>
          <w:highlight w:val="none"/>
          <w14:textFill>
            <w14:solidFill>
              <w14:schemeClr w14:val="tx1">
                <w14:lumMod w14:val="95000"/>
                <w14:lumOff w14:val="5000"/>
              </w14:schemeClr>
            </w14:solidFill>
          </w14:textFill>
        </w:rPr>
        <w:t>分：标准化文件的结构和起草规则》</w:t>
      </w:r>
      <w:r>
        <w:rPr>
          <w:rFonts w:ascii="Times New Roman"/>
          <w:color w:val="0D0D0D" w:themeColor="text1" w:themeTint="F2"/>
          <w:highlight w:val="none"/>
          <w14:textFill>
            <w14:solidFill>
              <w14:schemeClr w14:val="tx1">
                <w14:lumMod w14:val="95000"/>
                <w14:lumOff w14:val="5000"/>
              </w14:schemeClr>
            </w14:solidFill>
          </w14:textFill>
        </w:rPr>
        <w:t>的规定起草。</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eastAsia" w:ascii="Times New Roman"/>
          <w:color w:val="0D0D0D" w:themeColor="text1" w:themeTint="F2"/>
          <w:highlight w:val="none"/>
          <w14:textFill>
            <w14:solidFill>
              <w14:schemeClr w14:val="tx1">
                <w14:lumMod w14:val="95000"/>
                <w14:lumOff w14:val="5000"/>
              </w14:schemeClr>
            </w14:solidFill>
          </w14:textFill>
        </w:rPr>
        <w:t>请注意本文件的某些内容可能涉及专利。本文件的发布机构不承担识别专利的责任。</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本文件由</w:t>
      </w:r>
      <w:r>
        <w:rPr>
          <w:rFonts w:ascii="Times New Roman"/>
          <w:color w:val="0D0D0D" w:themeColor="text1" w:themeTint="F2"/>
          <w:highlight w:val="none"/>
          <w14:textFill>
            <w14:solidFill>
              <w14:schemeClr w14:val="tx1">
                <w14:lumMod w14:val="95000"/>
                <w14:lumOff w14:val="5000"/>
              </w14:schemeClr>
            </w14:solidFill>
          </w14:textFill>
        </w:rPr>
        <w:t>XXXX</w:t>
      </w:r>
      <w:r>
        <w:rPr>
          <w:rFonts w:hint="default" w:ascii="Times New Roman"/>
          <w:color w:val="0D0D0D" w:themeColor="text1" w:themeTint="F2"/>
          <w:highlight w:val="none"/>
          <w14:textFill>
            <w14:solidFill>
              <w14:schemeClr w14:val="tx1">
                <w14:lumMod w14:val="95000"/>
                <w14:lumOff w14:val="5000"/>
              </w14:schemeClr>
            </w14:solidFill>
          </w14:textFill>
        </w:rPr>
        <w:t>提出并归口。</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本文件起草单位：XXXXXXXXXXXXXXXXX。</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本文件主要起草人：XXXXXXXXXXXXXXXXX。</w:t>
      </w:r>
    </w:p>
    <w:p>
      <w:pPr>
        <w:pStyle w:val="27"/>
        <w:rPr>
          <w:rFonts w:ascii="Times New Roman"/>
          <w:color w:val="0D0D0D" w:themeColor="text1" w:themeTint="F2"/>
          <w:highlight w:val="none"/>
          <w14:textFill>
            <w14:solidFill>
              <w14:schemeClr w14:val="tx1">
                <w14:lumMod w14:val="95000"/>
                <w14:lumOff w14:val="5000"/>
              </w14:schemeClr>
            </w14:solidFill>
          </w14:textFill>
        </w:rPr>
      </w:pPr>
    </w:p>
    <w:p>
      <w:pPr>
        <w:pStyle w:val="27"/>
        <w:rPr>
          <w:rFonts w:ascii="Times New Roman"/>
          <w:color w:val="0D0D0D" w:themeColor="text1" w:themeTint="F2"/>
          <w:highlight w:val="none"/>
          <w14:textFill>
            <w14:solidFill>
              <w14:schemeClr w14:val="tx1">
                <w14:lumMod w14:val="95000"/>
                <w14:lumOff w14:val="5000"/>
              </w14:schemeClr>
            </w14:solidFill>
          </w14:textFill>
        </w:rPr>
        <w:sectPr>
          <w:pgSz w:w="11907" w:h="16839"/>
          <w:pgMar w:top="1417" w:right="1134" w:bottom="1134" w:left="1417" w:header="1417" w:footer="1134" w:gutter="0"/>
          <w:pgNumType w:fmt="upperRoman"/>
          <w:cols w:space="425" w:num="1"/>
          <w:docGrid w:type="lines" w:linePitch="312" w:charSpace="0"/>
        </w:sectPr>
      </w:pPr>
    </w:p>
    <w:p>
      <w:pPr>
        <w:pStyle w:val="179"/>
        <w:outlineLvl w:val="0"/>
        <w:rPr>
          <w:rFonts w:ascii="Times New Roman"/>
          <w:color w:val="0D0D0D" w:themeColor="text1" w:themeTint="F2"/>
          <w:highlight w:val="none"/>
          <w14:textFill>
            <w14:solidFill>
              <w14:schemeClr w14:val="tx1">
                <w14:lumMod w14:val="95000"/>
                <w14:lumOff w14:val="5000"/>
              </w14:schemeClr>
            </w14:solidFill>
          </w14:textFill>
        </w:rPr>
      </w:pPr>
      <w:bookmarkStart w:id="3" w:name="标准内容"/>
      <w:bookmarkEnd w:id="3"/>
      <w:bookmarkStart w:id="4" w:name="_Toc21198"/>
      <w:bookmarkStart w:id="5" w:name="_Toc16420"/>
      <w:r>
        <w:rPr>
          <w:rFonts w:hint="default" w:ascii="Times New Roman"/>
          <w:color w:val="0D0D0D" w:themeColor="text1" w:themeTint="F2"/>
          <w:highlight w:val="none"/>
          <w14:textFill>
            <w14:solidFill>
              <w14:schemeClr w14:val="tx1">
                <w14:lumMod w14:val="95000"/>
                <w14:lumOff w14:val="5000"/>
              </w14:schemeClr>
            </w14:solidFill>
          </w14:textFill>
        </w:rPr>
        <w:t>高标准农田 规划和建设</w:t>
      </w:r>
      <w:bookmarkEnd w:id="4"/>
      <w:bookmarkEnd w:id="5"/>
    </w:p>
    <w:p>
      <w:pPr>
        <w:pStyle w:val="100"/>
        <w:spacing w:before="240" w:after="240"/>
        <w:outlineLvl w:val="0"/>
        <w:rPr>
          <w:rFonts w:ascii="Times New Roman"/>
          <w:color w:val="0D0D0D" w:themeColor="text1" w:themeTint="F2"/>
          <w:highlight w:val="none"/>
          <w14:textFill>
            <w14:solidFill>
              <w14:schemeClr w14:val="tx1">
                <w14:lumMod w14:val="95000"/>
                <w14:lumOff w14:val="5000"/>
              </w14:schemeClr>
            </w14:solidFill>
          </w14:textFill>
        </w:rPr>
      </w:pPr>
      <w:bookmarkStart w:id="6" w:name="_Toc46933216"/>
      <w:bookmarkStart w:id="7" w:name="_Toc25222517"/>
      <w:bookmarkStart w:id="8" w:name="_Toc66883217"/>
      <w:bookmarkStart w:id="9" w:name="_Toc11403759"/>
      <w:bookmarkStart w:id="10" w:name="_Toc11397980"/>
      <w:bookmarkStart w:id="11" w:name="_Toc10885"/>
      <w:bookmarkStart w:id="12" w:name="_Toc5951"/>
      <w:bookmarkStart w:id="13" w:name="_Toc11405055"/>
      <w:bookmarkStart w:id="14" w:name="_Toc62137909"/>
      <w:bookmarkStart w:id="15" w:name="_Toc11405788"/>
      <w:bookmarkStart w:id="16" w:name="_Toc11403974"/>
      <w:bookmarkStart w:id="17" w:name="_Toc11403841"/>
      <w:r>
        <w:rPr>
          <w:rFonts w:hint="default" w:ascii="Times New Roman"/>
          <w:color w:val="0D0D0D" w:themeColor="text1" w:themeTint="F2"/>
          <w:highlight w:val="none"/>
          <w14:textFill>
            <w14:solidFill>
              <w14:schemeClr w14:val="tx1">
                <w14:lumMod w14:val="95000"/>
                <w14:lumOff w14:val="5000"/>
              </w14:schemeClr>
            </w14:solidFill>
          </w14:textFill>
        </w:rPr>
        <w:t>范围</w:t>
      </w:r>
      <w:bookmarkEnd w:id="6"/>
      <w:bookmarkEnd w:id="7"/>
      <w:bookmarkEnd w:id="8"/>
      <w:bookmarkEnd w:id="9"/>
      <w:bookmarkEnd w:id="10"/>
      <w:bookmarkEnd w:id="11"/>
      <w:bookmarkEnd w:id="12"/>
      <w:bookmarkEnd w:id="13"/>
      <w:bookmarkEnd w:id="14"/>
      <w:bookmarkEnd w:id="15"/>
      <w:bookmarkEnd w:id="16"/>
      <w:bookmarkEnd w:id="17"/>
    </w:p>
    <w:p>
      <w:pPr>
        <w:ind w:firstLine="420" w:firstLineChars="20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18" w:name="_Toc62137910"/>
      <w:bookmarkStart w:id="19" w:name="_Toc46933217"/>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本文件规定了深圳市高标准农田</w:t>
      </w:r>
      <w:r>
        <w:rPr>
          <w:rFonts w:hint="default" w:ascii="Times New Roman" w:hAnsi="Times New Roman"/>
          <w:color w:val="0D0D0D" w:themeColor="text1" w:themeTint="F2"/>
          <w:szCs w:val="21"/>
          <w:highlight w:val="none"/>
          <w:lang w:eastAsia="zh-CN"/>
          <w14:textFill>
            <w14:solidFill>
              <w14:schemeClr w14:val="tx1">
                <w14:lumMod w14:val="95000"/>
                <w14:lumOff w14:val="5000"/>
              </w14:schemeClr>
            </w14:solidFill>
          </w14:textFill>
        </w:rPr>
        <w:t>建设</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规划</w:t>
      </w:r>
      <w:r>
        <w:rPr>
          <w:rFonts w:hint="eastAsia"/>
          <w:color w:val="0D0D0D" w:themeColor="text1" w:themeTint="F2"/>
          <w:highlight w:val="none"/>
          <w14:textFill>
            <w14:solidFill>
              <w14:schemeClr w14:val="tx1">
                <w14:lumMod w14:val="95000"/>
                <w14:lumOff w14:val="5000"/>
              </w14:schemeClr>
            </w14:solidFill>
          </w14:textFill>
        </w:rPr>
        <w:t>和建设的总则</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、规划要求、建设内容、建设监管、</w:t>
      </w:r>
      <w:r>
        <w:rPr>
          <w:rFonts w:hAnsi="Times New Roman"/>
          <w:color w:val="0D0D0D" w:themeColor="text1" w:themeTint="F2"/>
          <w:szCs w:val="21"/>
          <w:highlight w:val="none"/>
          <w14:textFill>
            <w14:solidFill>
              <w14:schemeClr w14:val="tx1">
                <w14:lumMod w14:val="95000"/>
                <w14:lumOff w14:val="5000"/>
              </w14:schemeClr>
            </w14:solidFill>
          </w14:textFill>
        </w:rPr>
        <w:t>建后管护利用</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和实施保障。</w:t>
      </w:r>
    </w:p>
    <w:p>
      <w:pPr>
        <w:ind w:firstLine="420" w:firstLineChars="20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本文件适用于深圳市高标准农田</w:t>
      </w:r>
      <w:r>
        <w:rPr>
          <w:rFonts w:hint="default" w:ascii="Times New Roman" w:hAnsi="Times New Roman"/>
          <w:color w:val="0D0D0D" w:themeColor="text1" w:themeTint="F2"/>
          <w:szCs w:val="21"/>
          <w:highlight w:val="none"/>
          <w:lang w:eastAsia="zh-CN"/>
          <w14:textFill>
            <w14:solidFill>
              <w14:schemeClr w14:val="tx1">
                <w14:lumMod w14:val="95000"/>
                <w14:lumOff w14:val="5000"/>
              </w14:schemeClr>
            </w14:solidFill>
          </w14:textFill>
        </w:rPr>
        <w:t>建设</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规划以及（包括新建和改造提升）建设活动。</w:t>
      </w:r>
    </w:p>
    <w:p>
      <w:pPr>
        <w:pStyle w:val="100"/>
        <w:spacing w:before="240" w:after="240"/>
        <w:outlineLvl w:val="0"/>
        <w:rPr>
          <w:rFonts w:ascii="Times New Roman"/>
          <w:color w:val="0D0D0D" w:themeColor="text1" w:themeTint="F2"/>
          <w:highlight w:val="none"/>
          <w14:textFill>
            <w14:solidFill>
              <w14:schemeClr w14:val="tx1">
                <w14:lumMod w14:val="95000"/>
                <w14:lumOff w14:val="5000"/>
              </w14:schemeClr>
            </w14:solidFill>
          </w14:textFill>
        </w:rPr>
      </w:pPr>
      <w:bookmarkStart w:id="20" w:name="_Toc14004"/>
      <w:bookmarkStart w:id="21" w:name="_Toc66883218"/>
      <w:bookmarkStart w:id="22" w:name="_Toc15835"/>
      <w:r>
        <w:rPr>
          <w:rFonts w:hint="default" w:ascii="Times New Roman"/>
          <w:color w:val="0D0D0D" w:themeColor="text1" w:themeTint="F2"/>
          <w:highlight w:val="none"/>
          <w14:textFill>
            <w14:solidFill>
              <w14:schemeClr w14:val="tx1">
                <w14:lumMod w14:val="95000"/>
                <w14:lumOff w14:val="5000"/>
              </w14:schemeClr>
            </w14:solidFill>
          </w14:textFill>
        </w:rPr>
        <w:t>规范性引用文件</w:t>
      </w:r>
      <w:bookmarkEnd w:id="18"/>
      <w:bookmarkEnd w:id="19"/>
      <w:bookmarkEnd w:id="20"/>
      <w:bookmarkEnd w:id="21"/>
      <w:bookmarkEnd w:id="22"/>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下列文件中的</w:t>
      </w:r>
      <w:r>
        <w:rPr>
          <w:rFonts w:ascii="Times New Roman"/>
          <w:color w:val="0D0D0D" w:themeColor="text1" w:themeTint="F2"/>
          <w:highlight w:val="none"/>
          <w14:textFill>
            <w14:solidFill>
              <w14:schemeClr w14:val="tx1">
                <w14:lumMod w14:val="95000"/>
                <w14:lumOff w14:val="5000"/>
              </w14:schemeClr>
            </w14:solidFill>
          </w14:textFill>
        </w:rPr>
        <w:t>内容通过文中</w:t>
      </w:r>
      <w:r>
        <w:rPr>
          <w:rFonts w:hint="default" w:ascii="Times New Roman"/>
          <w:color w:val="0D0D0D" w:themeColor="text1" w:themeTint="F2"/>
          <w:highlight w:val="none"/>
          <w14:textFill>
            <w14:solidFill>
              <w14:schemeClr w14:val="tx1">
                <w14:lumMod w14:val="95000"/>
                <w14:lumOff w14:val="5000"/>
              </w14:schemeClr>
            </w14:solidFill>
          </w14:textFill>
        </w:rPr>
        <w:t>的</w:t>
      </w:r>
      <w:r>
        <w:rPr>
          <w:rFonts w:ascii="Times New Roman"/>
          <w:color w:val="0D0D0D" w:themeColor="text1" w:themeTint="F2"/>
          <w:highlight w:val="none"/>
          <w14:textFill>
            <w14:solidFill>
              <w14:schemeClr w14:val="tx1">
                <w14:lumMod w14:val="95000"/>
                <w14:lumOff w14:val="5000"/>
              </w14:schemeClr>
            </w14:solidFill>
          </w14:textFill>
        </w:rPr>
        <w:t>规范性引用而构成本文件必不可少的条款。其中</w:t>
      </w:r>
      <w:r>
        <w:rPr>
          <w:rFonts w:hint="default" w:ascii="Times New Roman"/>
          <w:color w:val="0D0D0D" w:themeColor="text1" w:themeTint="F2"/>
          <w:highlight w:val="none"/>
          <w14:textFill>
            <w14:solidFill>
              <w14:schemeClr w14:val="tx1">
                <w14:lumMod w14:val="95000"/>
                <w14:lumOff w14:val="5000"/>
              </w14:schemeClr>
            </w14:solidFill>
          </w14:textFill>
        </w:rPr>
        <w:t>，</w:t>
      </w:r>
      <w:r>
        <w:rPr>
          <w:rFonts w:ascii="Times New Roman"/>
          <w:color w:val="0D0D0D" w:themeColor="text1" w:themeTint="F2"/>
          <w:highlight w:val="none"/>
          <w14:textFill>
            <w14:solidFill>
              <w14:schemeClr w14:val="tx1">
                <w14:lumMod w14:val="95000"/>
                <w14:lumOff w14:val="5000"/>
              </w14:schemeClr>
            </w14:solidFill>
          </w14:textFill>
        </w:rPr>
        <w:t>注日期的引用文件，</w:t>
      </w:r>
      <w:r>
        <w:rPr>
          <w:rFonts w:hint="default" w:ascii="Times New Roman"/>
          <w:color w:val="0D0D0D" w:themeColor="text1" w:themeTint="F2"/>
          <w:highlight w:val="none"/>
          <w14:textFill>
            <w14:solidFill>
              <w14:schemeClr w14:val="tx1">
                <w14:lumMod w14:val="95000"/>
                <w14:lumOff w14:val="5000"/>
              </w14:schemeClr>
            </w14:solidFill>
          </w14:textFill>
        </w:rPr>
        <w:t>仅</w:t>
      </w:r>
      <w:r>
        <w:rPr>
          <w:rFonts w:ascii="Times New Roman"/>
          <w:color w:val="0D0D0D" w:themeColor="text1" w:themeTint="F2"/>
          <w:highlight w:val="none"/>
          <w14:textFill>
            <w14:solidFill>
              <w14:schemeClr w14:val="tx1">
                <w14:lumMod w14:val="95000"/>
                <w14:lumOff w14:val="5000"/>
              </w14:schemeClr>
            </w14:solidFill>
          </w14:textFill>
        </w:rPr>
        <w:t>该日期对应的版本</w:t>
      </w:r>
      <w:r>
        <w:rPr>
          <w:rFonts w:hint="default" w:ascii="Times New Roman"/>
          <w:color w:val="0D0D0D" w:themeColor="text1" w:themeTint="F2"/>
          <w:highlight w:val="none"/>
          <w14:textFill>
            <w14:solidFill>
              <w14:schemeClr w14:val="tx1">
                <w14:lumMod w14:val="95000"/>
                <w14:lumOff w14:val="5000"/>
              </w14:schemeClr>
            </w14:solidFill>
          </w14:textFill>
        </w:rPr>
        <w:t>适用</w:t>
      </w:r>
      <w:r>
        <w:rPr>
          <w:rFonts w:ascii="Times New Roman"/>
          <w:color w:val="0D0D0D" w:themeColor="text1" w:themeTint="F2"/>
          <w:highlight w:val="none"/>
          <w14:textFill>
            <w14:solidFill>
              <w14:schemeClr w14:val="tx1">
                <w14:lumMod w14:val="95000"/>
                <w14:lumOff w14:val="5000"/>
              </w14:schemeClr>
            </w14:solidFill>
          </w14:textFill>
        </w:rPr>
        <w:t>于本文件；不注日期的引用文件，其最新版本（</w:t>
      </w:r>
      <w:r>
        <w:rPr>
          <w:rFonts w:hint="default" w:ascii="Times New Roman"/>
          <w:color w:val="0D0D0D" w:themeColor="text1" w:themeTint="F2"/>
          <w:highlight w:val="none"/>
          <w14:textFill>
            <w14:solidFill>
              <w14:schemeClr w14:val="tx1">
                <w14:lumMod w14:val="95000"/>
                <w14:lumOff w14:val="5000"/>
              </w14:schemeClr>
            </w14:solidFill>
          </w14:textFill>
        </w:rPr>
        <w:t>包括</w:t>
      </w:r>
      <w:r>
        <w:rPr>
          <w:rFonts w:ascii="Times New Roman"/>
          <w:color w:val="0D0D0D" w:themeColor="text1" w:themeTint="F2"/>
          <w:highlight w:val="none"/>
          <w14:textFill>
            <w14:solidFill>
              <w14:schemeClr w14:val="tx1">
                <w14:lumMod w14:val="95000"/>
                <w14:lumOff w14:val="5000"/>
              </w14:schemeClr>
            </w14:solidFill>
          </w14:textFill>
        </w:rPr>
        <w:t>所有的修改单）</w:t>
      </w:r>
      <w:r>
        <w:rPr>
          <w:rFonts w:hint="default" w:ascii="Times New Roman"/>
          <w:color w:val="0D0D0D" w:themeColor="text1" w:themeTint="F2"/>
          <w:highlight w:val="none"/>
          <w14:textFill>
            <w14:solidFill>
              <w14:schemeClr w14:val="tx1">
                <w14:lumMod w14:val="95000"/>
                <w14:lumOff w14:val="5000"/>
              </w14:schemeClr>
            </w14:solidFill>
          </w14:textFill>
        </w:rPr>
        <w:t>适用</w:t>
      </w:r>
      <w:r>
        <w:rPr>
          <w:rFonts w:ascii="Times New Roman"/>
          <w:color w:val="0D0D0D" w:themeColor="text1" w:themeTint="F2"/>
          <w:highlight w:val="none"/>
          <w14:textFill>
            <w14:solidFill>
              <w14:schemeClr w14:val="tx1">
                <w14:lumMod w14:val="95000"/>
                <w14:lumOff w14:val="5000"/>
              </w14:schemeClr>
            </w14:solidFill>
          </w14:textFill>
        </w:rPr>
        <w:t>于本文件</w:t>
      </w:r>
      <w:r>
        <w:rPr>
          <w:rFonts w:hint="default" w:ascii="Times New Roman"/>
          <w:color w:val="0D0D0D" w:themeColor="text1" w:themeTint="F2"/>
          <w:highlight w:val="none"/>
          <w14:textFill>
            <w14:solidFill>
              <w14:schemeClr w14:val="tx1">
                <w14:lumMod w14:val="95000"/>
                <w14:lumOff w14:val="5000"/>
              </w14:schemeClr>
            </w14:solidFill>
          </w14:textFill>
        </w:rPr>
        <w:t>。</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1179  圆线同心绞架空导线</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 5084  农田灌溉水质标准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12527  额定电压1kV及以下架空绝缘电缆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14049  额定电压10kV架空绝缘电缆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16453.4  水土保持综合治理技术规范  小型蓄排引水工程</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20203  农田低压管道输水灌溉工程技术规范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30600 高标准农田建设 通则</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33130 高标准农田建设评价规范GB/T 33469  耕地质量等级</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 50053  20kV及以下变电所设计规范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50085  喷灌工程技术规范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 50265  泵站设计规范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 50288  灌溉与排水工程设计标准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50363  节水灌溉工程技术规范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50485  微灌工程技术标准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50600  渠道防渗衬砌工程技术标准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 50707  河道整治设计规范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GB/T 50817  农田防护林工程设计规范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SL 482  灌溉与排水渠系建筑物设计规范</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TD/T 1032  基本农田划定技术规程</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TD/T 1033 高标准基本农田建设标准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NY/T 2148 高标准农田建设标准</w:t>
      </w:r>
    </w:p>
    <w:p>
      <w:pPr>
        <w:ind w:firstLine="420" w:firstLineChars="200"/>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NY/T 2247  农田建设规划编制规程</w:t>
      </w:r>
    </w:p>
    <w:p>
      <w:pPr>
        <w:pStyle w:val="2"/>
        <w:ind w:firstLine="420" w:firstLineChars="200"/>
        <w:rPr>
          <w:rFonts w:hint="default" w:ascii="Times New Roman" w:hAnsi="Times New Roman"/>
          <w:color w:val="0D0D0D" w:themeColor="text1" w:themeTint="F2"/>
          <w:szCs w:val="24"/>
          <w:highlight w:val="none"/>
          <w14:textFill>
            <w14:solidFill>
              <w14:schemeClr w14:val="tx1">
                <w14:lumMod w14:val="95000"/>
                <w14:lumOff w14:val="5000"/>
              </w14:schemeClr>
            </w14:solidFill>
          </w14:textFill>
        </w:rPr>
      </w:pP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NY/T 2949 高标准农田建设技术规范</w:t>
      </w:r>
    </w:p>
    <w:p>
      <w:pPr>
        <w:pStyle w:val="100"/>
        <w:spacing w:before="240" w:after="240"/>
        <w:outlineLvl w:val="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23" w:name="_Toc16940"/>
      <w:bookmarkStart w:id="24" w:name="_Toc32549"/>
      <w:bookmarkStart w:id="25" w:name="_Toc66883219"/>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术语</w:t>
      </w:r>
      <w:r>
        <w:rPr>
          <w:rFonts w:ascii="Times New Roman" w:hAnsi="Times New Roman"/>
          <w:color w:val="0D0D0D" w:themeColor="text1" w:themeTint="F2"/>
          <w:szCs w:val="21"/>
          <w:highlight w:val="none"/>
          <w14:textFill>
            <w14:solidFill>
              <w14:schemeClr w14:val="tx1">
                <w14:lumMod w14:val="95000"/>
                <w14:lumOff w14:val="5000"/>
              </w14:schemeClr>
            </w14:solidFill>
          </w14:textFill>
        </w:rPr>
        <w:t>和定义</w:t>
      </w:r>
      <w:bookmarkEnd w:id="23"/>
      <w:bookmarkEnd w:id="24"/>
      <w:bookmarkEnd w:id="25"/>
    </w:p>
    <w:p>
      <w:pPr>
        <w:ind w:firstLine="420" w:firstLineChars="20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color w:val="0D0D0D" w:themeColor="text1" w:themeTint="F2"/>
          <w:highlight w:val="none"/>
          <w14:textFill>
            <w14:solidFill>
              <w14:schemeClr w14:val="tx1">
                <w14:lumMod w14:val="95000"/>
                <w14:lumOff w14:val="5000"/>
              </w14:schemeClr>
            </w14:solidFill>
          </w14:textFill>
        </w:rPr>
        <w:t>NY/T 2247</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中界定的术语和定义适用于本文件</w:t>
      </w:r>
      <w:r>
        <w:rPr>
          <w:rFonts w:ascii="Times New Roman" w:hAnsi="Times New Roman"/>
          <w:color w:val="0D0D0D" w:themeColor="text1" w:themeTint="F2"/>
          <w:szCs w:val="21"/>
          <w:highlight w:val="none"/>
          <w14:textFill>
            <w14:solidFill>
              <w14:schemeClr w14:val="tx1">
                <w14:lumMod w14:val="95000"/>
                <w14:lumOff w14:val="5000"/>
              </w14:schemeClr>
            </w14:solidFill>
          </w14:textFill>
        </w:rPr>
        <w:t>。</w:t>
      </w:r>
      <w:bookmarkStart w:id="26" w:name="_Toc59800316"/>
      <w:bookmarkEnd w:id="26"/>
      <w:bookmarkStart w:id="27" w:name="_Toc497384499"/>
      <w:bookmarkEnd w:id="27"/>
      <w:bookmarkStart w:id="28" w:name="_Toc6499874"/>
      <w:bookmarkEnd w:id="28"/>
      <w:bookmarkStart w:id="29" w:name="_Toc60306682"/>
      <w:bookmarkEnd w:id="29"/>
      <w:bookmarkStart w:id="30" w:name="_Toc499560405"/>
      <w:bookmarkEnd w:id="30"/>
      <w:bookmarkStart w:id="31" w:name="_Toc59201090"/>
      <w:bookmarkEnd w:id="31"/>
      <w:bookmarkStart w:id="32" w:name="_Toc499112643"/>
      <w:bookmarkEnd w:id="32"/>
      <w:bookmarkStart w:id="33" w:name="_Toc497305348"/>
      <w:bookmarkEnd w:id="33"/>
      <w:bookmarkStart w:id="34" w:name="_Toc59782182"/>
      <w:bookmarkEnd w:id="34"/>
      <w:bookmarkStart w:id="35" w:name="_Toc59373589"/>
      <w:bookmarkEnd w:id="35"/>
      <w:bookmarkStart w:id="36" w:name="_Toc59373495"/>
      <w:bookmarkEnd w:id="36"/>
    </w:p>
    <w:p>
      <w:pPr>
        <w:pStyle w:val="2"/>
        <w:ind w:firstLine="0" w:firstLineChars="0"/>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3.1</w:t>
      </w:r>
    </w:p>
    <w:p>
      <w:pPr>
        <w:pStyle w:val="2"/>
        <w:ind w:firstLine="420" w:firstLineChars="200"/>
        <w:rPr>
          <w:rFonts w:hint="eastAsia" w:ascii="黑体" w:hAnsi="黑体" w:eastAsia="黑体" w:cs="黑体"/>
          <w:color w:val="0D0D0D" w:themeColor="text1" w:themeTint="F2"/>
          <w:kern w:val="0"/>
          <w:szCs w:val="20"/>
          <w:highlight w:val="none"/>
          <w:lang w:val="en-US"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0"/>
          <w:highlight w:val="none"/>
          <w14:textFill>
            <w14:solidFill>
              <w14:schemeClr w14:val="tx1">
                <w14:lumMod w14:val="95000"/>
                <w14:lumOff w14:val="5000"/>
              </w14:schemeClr>
            </w14:solidFill>
          </w14:textFill>
        </w:rPr>
        <w:t>农田基础设施建设工程使用年限</w:t>
      </w:r>
      <w:r>
        <w:rPr>
          <w:rFonts w:hint="eastAsia" w:ascii="黑体" w:hAnsi="黑体" w:eastAsia="黑体" w:cs="黑体"/>
          <w:color w:val="0D0D0D" w:themeColor="text1" w:themeTint="F2"/>
          <w:kern w:val="0"/>
          <w:szCs w:val="20"/>
          <w:highlight w:val="none"/>
          <w:lang w:val="en-US" w:eastAsia="zh-CN"/>
          <w14:textFill>
            <w14:solidFill>
              <w14:schemeClr w14:val="tx1">
                <w14:lumMod w14:val="95000"/>
                <w14:lumOff w14:val="5000"/>
              </w14:schemeClr>
            </w14:solidFill>
          </w14:textFill>
        </w:rPr>
        <w:t xml:space="preserve"> service life period of farmland infrastructure construction projects </w:t>
      </w:r>
    </w:p>
    <w:p>
      <w:pPr>
        <w:pStyle w:val="2"/>
        <w:ind w:firstLine="420" w:firstLineChars="20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color w:val="0D0D0D" w:themeColor="text1" w:themeTint="F2"/>
          <w:highlight w:val="none"/>
          <w14:textFill>
            <w14:solidFill>
              <w14:schemeClr w14:val="tx1">
                <w14:lumMod w14:val="95000"/>
                <w14:lumOff w14:val="5000"/>
              </w14:schemeClr>
            </w14:solidFill>
          </w14:textFill>
        </w:rPr>
        <w:t>指高标准农田各项工程设施按设计标准建成后，在常规维护条件下能够正常发挥效益的最低年限。</w:t>
      </w:r>
    </w:p>
    <w:p>
      <w:pPr>
        <w:pStyle w:val="2"/>
        <w:ind w:firstLine="0" w:firstLineChars="0"/>
        <w:rPr>
          <w:rFonts w:hint="eastAsia" w:ascii="黑体" w:hAnsi="黑体" w:eastAsia="黑体" w:cs="黑体"/>
          <w:color w:val="0D0D0D" w:themeColor="text1" w:themeTint="F2"/>
          <w:highlight w:val="none"/>
          <w:lang w:val="en-US"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3.</w:t>
      </w:r>
      <w:r>
        <w:rPr>
          <w:rFonts w:hint="eastAsia" w:ascii="黑体" w:hAnsi="黑体" w:eastAsia="黑体" w:cs="黑体"/>
          <w:color w:val="0D0D0D" w:themeColor="text1" w:themeTint="F2"/>
          <w:highlight w:val="none"/>
          <w:lang w:val="en-US" w:eastAsia="zh-CN"/>
          <w14:textFill>
            <w14:solidFill>
              <w14:schemeClr w14:val="tx1">
                <w14:lumMod w14:val="95000"/>
                <w14:lumOff w14:val="5000"/>
              </w14:schemeClr>
            </w14:solidFill>
          </w14:textFill>
        </w:rPr>
        <w:t>2</w:t>
      </w:r>
    </w:p>
    <w:p>
      <w:pPr>
        <w:pStyle w:val="2"/>
        <w:rPr>
          <w:rFonts w:hint="eastAsia"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土壤改良 soil reclamation</w:t>
      </w:r>
    </w:p>
    <w:p>
      <w:pPr>
        <w:pStyle w:val="2"/>
        <w:ind w:firstLine="420" w:firstLineChars="200"/>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通过一定技术和生物措施，改变和防治土壤盐遗化和沼化，提高和恢土复壤肥力的过程。</w:t>
      </w:r>
    </w:p>
    <w:p>
      <w:pPr>
        <w:pStyle w:val="2"/>
        <w:ind w:firstLine="0" w:firstLineChars="0"/>
        <w:rPr>
          <w:rFonts w:hint="eastAsia" w:ascii="黑体" w:hAnsi="黑体" w:eastAsia="黑体" w:cs="黑体"/>
          <w:color w:val="0D0D0D" w:themeColor="text1" w:themeTint="F2"/>
          <w:highlight w:val="none"/>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3.</w:t>
      </w:r>
      <w:r>
        <w:rPr>
          <w:rFonts w:hint="eastAsia" w:ascii="黑体" w:hAnsi="黑体" w:eastAsia="黑体" w:cs="黑体"/>
          <w:color w:val="0D0D0D" w:themeColor="text1" w:themeTint="F2"/>
          <w:highlight w:val="none"/>
          <w:lang w:val="en-US" w:eastAsia="zh-CN"/>
          <w14:textFill>
            <w14:solidFill>
              <w14:schemeClr w14:val="tx1">
                <w14:lumMod w14:val="95000"/>
                <w14:lumOff w14:val="5000"/>
              </w14:schemeClr>
            </w14:solidFill>
          </w14:textFill>
        </w:rPr>
        <w:t>3</w:t>
      </w:r>
    </w:p>
    <w:p>
      <w:pPr>
        <w:pStyle w:val="2"/>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pPr>
      <w:r>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田块整治工程 field consolidation engineering</w:t>
      </w:r>
    </w:p>
    <w:p>
      <w:pPr>
        <w:pStyle w:val="2"/>
        <w:ind w:firstLine="420" w:firstLineChars="200"/>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为满足农田耕作、灌溉与排水、水土保持等需要而采取的田块修筑和耕地地力保持指施。</w:t>
      </w:r>
    </w:p>
    <w:p>
      <w:pPr>
        <w:pStyle w:val="2"/>
        <w:ind w:firstLine="420" w:firstLineChars="200"/>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注：包括耕作田块修筑工程和耕作层地力保持工程。</w:t>
      </w:r>
    </w:p>
    <w:p>
      <w:pPr>
        <w:pStyle w:val="2"/>
        <w:ind w:firstLine="0" w:firstLineChars="0"/>
        <w:rPr>
          <w:rFonts w:hint="eastAsia" w:ascii="黑体" w:hAnsi="黑体" w:eastAsia="黑体" w:cs="黑体"/>
          <w:color w:val="0D0D0D" w:themeColor="text1" w:themeTint="F2"/>
          <w:highlight w:val="none"/>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3.</w:t>
      </w:r>
      <w:r>
        <w:rPr>
          <w:rFonts w:hint="eastAsia" w:ascii="黑体" w:hAnsi="黑体" w:eastAsia="黑体" w:cs="黑体"/>
          <w:color w:val="0D0D0D" w:themeColor="text1" w:themeTint="F2"/>
          <w:highlight w:val="none"/>
          <w:lang w:val="en-US" w:eastAsia="zh-CN"/>
          <w14:textFill>
            <w14:solidFill>
              <w14:schemeClr w14:val="tx1">
                <w14:lumMod w14:val="95000"/>
                <w14:lumOff w14:val="5000"/>
              </w14:schemeClr>
            </w14:solidFill>
          </w14:textFill>
        </w:rPr>
        <w:t>4</w:t>
      </w:r>
    </w:p>
    <w:p>
      <w:pPr>
        <w:pStyle w:val="2"/>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pPr>
      <w:r>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土壤有机质 soil organi</w:t>
      </w:r>
      <w:r>
        <w:rPr>
          <w:rFonts w:hint="eastAsia"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c</w:t>
      </w:r>
      <w:r>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 xml:space="preserve"> matter</w:t>
      </w:r>
    </w:p>
    <w:p>
      <w:pPr>
        <w:pStyle w:val="2"/>
        <w:ind w:firstLine="420" w:firstLineChars="200"/>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土壤中形成的和外加人的所有动植物残体不同阶段的各种分解产物和合成产物的总称</w:t>
      </w:r>
      <w: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w:t>
      </w:r>
    </w:p>
    <w:p>
      <w:pPr>
        <w:pStyle w:val="2"/>
        <w:ind w:firstLine="420" w:firstLineChars="200"/>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注:包括高度</w:t>
      </w:r>
      <w: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腐解</w:t>
      </w: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的腐殖物质、解剂结构尚可辨认的有机残体和各种微生物体。</w:t>
      </w:r>
    </w:p>
    <w:p>
      <w:pPr>
        <w:pStyle w:val="2"/>
        <w:ind w:firstLine="420" w:firstLineChars="200"/>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[来源</w:t>
      </w:r>
      <w: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w:t>
      </w: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GB/T 33469一2016,3.9,有修改]</w:t>
      </w:r>
    </w:p>
    <w:p>
      <w:pPr>
        <w:pStyle w:val="2"/>
        <w:ind w:firstLine="0" w:firstLineChars="0"/>
        <w:rPr>
          <w:rFonts w:hint="eastAsia" w:ascii="黑体" w:hAnsi="黑体" w:eastAsia="黑体" w:cs="黑体"/>
          <w:color w:val="0D0D0D" w:themeColor="text1" w:themeTint="F2"/>
          <w:highlight w:val="none"/>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3.</w:t>
      </w:r>
      <w:r>
        <w:rPr>
          <w:rFonts w:hint="eastAsia" w:ascii="黑体" w:hAnsi="黑体" w:eastAsia="黑体" w:cs="黑体"/>
          <w:color w:val="0D0D0D" w:themeColor="text1" w:themeTint="F2"/>
          <w:highlight w:val="none"/>
          <w:lang w:val="en-US" w:eastAsia="zh-CN"/>
          <w14:textFill>
            <w14:solidFill>
              <w14:schemeClr w14:val="tx1">
                <w14:lumMod w14:val="95000"/>
                <w14:lumOff w14:val="5000"/>
              </w14:schemeClr>
            </w14:solidFill>
          </w14:textFill>
        </w:rPr>
        <w:t>5</w:t>
      </w:r>
    </w:p>
    <w:p>
      <w:pPr>
        <w:pStyle w:val="2"/>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pPr>
      <w:r>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有效土层厚度 effective soil layer thickness</w:t>
      </w:r>
    </w:p>
    <w:p>
      <w:pPr>
        <w:pStyle w:val="2"/>
        <w:ind w:firstLine="420" w:firstLineChars="200"/>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作物能够利用的母质层以上的体总度，当有障碍层时为障层以上的层厚度</w:t>
      </w:r>
      <w: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w:t>
      </w:r>
    </w:p>
    <w:p>
      <w:pPr>
        <w:pStyle w:val="2"/>
        <w:ind w:firstLine="420" w:firstLineChars="200"/>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[来源:GB/T33469-2016,3.14]</w:t>
      </w:r>
    </w:p>
    <w:p>
      <w:pPr>
        <w:pStyle w:val="2"/>
        <w:ind w:firstLine="0" w:firstLineChars="0"/>
        <w:rPr>
          <w:rFonts w:hint="eastAsia" w:ascii="黑体" w:hAnsi="黑体" w:eastAsia="黑体" w:cs="黑体"/>
          <w:color w:val="0D0D0D" w:themeColor="text1" w:themeTint="F2"/>
          <w:highlight w:val="none"/>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3.</w:t>
      </w:r>
      <w:r>
        <w:rPr>
          <w:rFonts w:hint="eastAsia" w:ascii="黑体" w:hAnsi="黑体" w:eastAsia="黑体" w:cs="黑体"/>
          <w:color w:val="0D0D0D" w:themeColor="text1" w:themeTint="F2"/>
          <w:highlight w:val="none"/>
          <w:lang w:val="en-US" w:eastAsia="zh-CN"/>
          <w14:textFill>
            <w14:solidFill>
              <w14:schemeClr w14:val="tx1">
                <w14:lumMod w14:val="95000"/>
                <w14:lumOff w14:val="5000"/>
              </w14:schemeClr>
            </w14:solidFill>
          </w14:textFill>
        </w:rPr>
        <w:t>6</w:t>
      </w:r>
    </w:p>
    <w:p>
      <w:pPr>
        <w:pStyle w:val="2"/>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pPr>
      <w:r>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耕层厚度 plough layer thickness</w:t>
      </w:r>
    </w:p>
    <w:p>
      <w:pPr>
        <w:pStyle w:val="2"/>
        <w:ind w:firstLine="420" w:firstLineChars="200"/>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经耕种熟化而形成的土壤表土层厚度。</w:t>
      </w:r>
    </w:p>
    <w:p>
      <w:pPr>
        <w:pStyle w:val="2"/>
        <w:ind w:firstLine="420" w:firstLineChars="200"/>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[来源;GB/T 33469一2016,3.15]</w:t>
      </w:r>
    </w:p>
    <w:p>
      <w:pPr>
        <w:pStyle w:val="2"/>
        <w:ind w:firstLine="0" w:firstLineChars="0"/>
        <w:rPr>
          <w:rFonts w:hint="eastAsia" w:ascii="黑体" w:hAnsi="黑体" w:eastAsia="黑体" w:cs="黑体"/>
          <w:color w:val="0D0D0D" w:themeColor="text1" w:themeTint="F2"/>
          <w:highlight w:val="none"/>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3.</w:t>
      </w:r>
      <w:r>
        <w:rPr>
          <w:rFonts w:hint="eastAsia" w:ascii="黑体" w:hAnsi="黑体" w:eastAsia="黑体" w:cs="黑体"/>
          <w:color w:val="0D0D0D" w:themeColor="text1" w:themeTint="F2"/>
          <w:highlight w:val="none"/>
          <w:lang w:val="en-US" w:eastAsia="zh-CN"/>
          <w14:textFill>
            <w14:solidFill>
              <w14:schemeClr w14:val="tx1">
                <w14:lumMod w14:val="95000"/>
                <w14:lumOff w14:val="5000"/>
              </w14:schemeClr>
            </w14:solidFill>
          </w14:textFill>
        </w:rPr>
        <w:t>7</w:t>
      </w:r>
    </w:p>
    <w:p>
      <w:pPr>
        <w:pStyle w:val="2"/>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pPr>
      <w:r>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耕地质量</w:t>
      </w:r>
      <w:r>
        <w:rPr>
          <w:rFonts w:hint="eastAsia"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 xml:space="preserve"> </w:t>
      </w:r>
      <w:r>
        <w:rPr>
          <w:rFonts w:hint="default" w:ascii="黑体" w:hAnsi="黑体" w:eastAsia="黑体" w:cs="黑体"/>
          <w:color w:val="0D0D0D" w:themeColor="text1" w:themeTint="F2"/>
          <w:kern w:val="0"/>
          <w:sz w:val="21"/>
          <w:szCs w:val="20"/>
          <w:highlight w:val="none"/>
          <w:lang w:val="en-US" w:eastAsia="zh-CN" w:bidi="ar-SA"/>
          <w14:textFill>
            <w14:solidFill>
              <w14:schemeClr w14:val="tx1">
                <w14:lumMod w14:val="95000"/>
                <w14:lumOff w14:val="5000"/>
              </w14:schemeClr>
            </w14:solidFill>
          </w14:textFill>
        </w:rPr>
        <w:t>cultivated land quality</w:t>
      </w:r>
    </w:p>
    <w:p>
      <w:pPr>
        <w:pStyle w:val="2"/>
        <w:ind w:firstLine="420" w:firstLineChars="200"/>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t>由耕地地力、土壤健康状况和田间基础设施构成的满足农产品持续产出和质量安全的能力。</w:t>
      </w:r>
    </w:p>
    <w:p>
      <w:pPr>
        <w:pStyle w:val="100"/>
        <w:spacing w:before="240" w:after="240"/>
        <w:outlineLvl w:val="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37" w:name="_Toc6395"/>
      <w:bookmarkStart w:id="38" w:name="_Toc66883220"/>
      <w:bookmarkStart w:id="39" w:name="_Toc65135844"/>
      <w:bookmarkStart w:id="40" w:name="_Toc11527"/>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建设总则</w:t>
      </w:r>
      <w:bookmarkEnd w:id="37"/>
    </w:p>
    <w:p>
      <w:pPr>
        <w:pStyle w:val="27"/>
        <w:keepNext w:val="0"/>
        <w:keepLines w:val="0"/>
        <w:pageBreakBefore w:val="0"/>
        <w:widowControl/>
        <w:kinsoku/>
        <w:wordWrap/>
        <w:overflowPunct/>
        <w:topLinePunct w:val="0"/>
        <w:autoSpaceDE w:val="0"/>
        <w:autoSpaceDN w:val="0"/>
        <w:bidi w:val="0"/>
        <w:adjustRightInd/>
        <w:snapToGrid/>
        <w:ind w:firstLine="0" w:firstLineChars="0"/>
        <w:textAlignment w:val="auto"/>
        <w:outlineLvl w:val="9"/>
        <w:rPr>
          <w:rFonts w:ascii="Times New Roman" w:hAnsi="Times New Roman" w:eastAsia="黑体"/>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4.1</w:t>
      </w:r>
      <w:r>
        <w:rPr>
          <w:rFonts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坚持</w:t>
      </w:r>
      <w:r>
        <w:rPr>
          <w:rFonts w:hint="eastAsia" w:ascii="Times New Roman"/>
          <w:color w:val="0D0D0D" w:themeColor="text1" w:themeTint="F2"/>
          <w:szCs w:val="21"/>
          <w:highlight w:val="none"/>
          <w:lang w:eastAsia="zh-CN"/>
          <w14:textFill>
            <w14:solidFill>
              <w14:schemeClr w14:val="tx1">
                <w14:lumMod w14:val="95000"/>
                <w14:lumOff w14:val="5000"/>
              </w14:schemeClr>
            </w14:solidFill>
          </w14:textFill>
        </w:rPr>
        <w:t>“</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十分珍惜、合理利用土地和切实保护耕地</w:t>
      </w:r>
      <w:r>
        <w:rPr>
          <w:rFonts w:hint="eastAsia" w:ascii="Times New Roman"/>
          <w:color w:val="0D0D0D" w:themeColor="text1" w:themeTint="F2"/>
          <w:szCs w:val="21"/>
          <w:highlight w:val="none"/>
          <w:lang w:eastAsia="zh-CN"/>
          <w14:textFill>
            <w14:solidFill>
              <w14:schemeClr w14:val="tx1">
                <w14:lumMod w14:val="95000"/>
                <w14:lumOff w14:val="5000"/>
              </w14:schemeClr>
            </w14:solidFill>
          </w14:textFill>
        </w:rPr>
        <w:t>”</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的</w:t>
      </w:r>
      <w:r>
        <w:rPr>
          <w:rFonts w:hint="eastAsia" w:ascii="Times New Roman"/>
          <w:color w:val="0D0D0D" w:themeColor="text1" w:themeTint="F2"/>
          <w:szCs w:val="21"/>
          <w:highlight w:val="none"/>
          <w:lang w:val="en-US" w:eastAsia="zh-CN"/>
          <w14:textFill>
            <w14:solidFill>
              <w14:schemeClr w14:val="tx1">
                <w14:lumMod w14:val="95000"/>
                <w14:lumOff w14:val="5000"/>
              </w14:schemeClr>
            </w14:solidFill>
          </w14:textFill>
        </w:rPr>
        <w:t>基本国策，规范开展高标准农田建设</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w:t>
      </w:r>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4.2</w:t>
      </w:r>
      <w:r>
        <w:rPr>
          <w:rFonts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ascii="Times New Roman" w:hAnsi="Times New Roman" w:eastAsia="宋体" w:cs="Times New Roman"/>
          <w:color w:val="0D0D0D" w:themeColor="text1" w:themeTint="F2"/>
          <w:szCs w:val="21"/>
          <w:highlight w:val="none"/>
          <w:lang w:val="en-US" w:eastAsia="zh-CN"/>
          <w14:textFill>
            <w14:solidFill>
              <w14:schemeClr w14:val="tx1">
                <w14:lumMod w14:val="95000"/>
                <w14:lumOff w14:val="5000"/>
              </w14:schemeClr>
            </w14:solidFill>
          </w14:textFill>
        </w:rPr>
        <w:t>坚持规划引导，</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高标准农田</w:t>
      </w:r>
      <w:r>
        <w:rPr>
          <w:rFonts w:hint="default" w:ascii="Times New Roman" w:hAnsi="Times New Roman"/>
          <w:color w:val="0D0D0D" w:themeColor="text1" w:themeTint="F2"/>
          <w:szCs w:val="21"/>
          <w:highlight w:val="none"/>
          <w:lang w:eastAsia="zh-CN"/>
          <w14:textFill>
            <w14:solidFill>
              <w14:schemeClr w14:val="tx1">
                <w14:lumMod w14:val="95000"/>
                <w14:lumOff w14:val="5000"/>
              </w14:schemeClr>
            </w14:solidFill>
          </w14:textFill>
        </w:rPr>
        <w:t>建设规划</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应符合</w:t>
      </w:r>
      <w:r>
        <w:rPr>
          <w:rFonts w:hint="eastAsia" w:ascii="宋体" w:hAnsi="宋体" w:cs="宋体"/>
          <w:color w:val="0D0D0D" w:themeColor="text1" w:themeTint="F2"/>
          <w:szCs w:val="21"/>
          <w:highlight w:val="none"/>
          <w14:textFill>
            <w14:solidFill>
              <w14:schemeClr w14:val="tx1">
                <w14:lumMod w14:val="95000"/>
                <w14:lumOff w14:val="5000"/>
              </w14:schemeClr>
            </w14:solidFill>
          </w14:textFill>
        </w:rPr>
        <w:t>GB/T 30600、TD/T 1033、NY/T 2148、NY/T 2247、NY/T 2949</w:t>
      </w:r>
      <w:r>
        <w:rPr>
          <w:rFonts w:hint="eastAsia" w:ascii="Times New Roman"/>
          <w:color w:val="0D0D0D" w:themeColor="text1" w:themeTint="F2"/>
          <w:szCs w:val="21"/>
          <w:highlight w:val="none"/>
          <w14:textFill>
            <w14:solidFill>
              <w14:schemeClr w14:val="tx1">
                <w14:lumMod w14:val="95000"/>
                <w14:lumOff w14:val="5000"/>
              </w14:schemeClr>
            </w14:solidFill>
          </w14:textFill>
        </w:rPr>
        <w:t>的</w:t>
      </w:r>
      <w:r>
        <w:rPr>
          <w:rFonts w:ascii="Times New Roman"/>
          <w:color w:val="0D0D0D" w:themeColor="text1" w:themeTint="F2"/>
          <w:szCs w:val="21"/>
          <w:highlight w:val="none"/>
          <w14:textFill>
            <w14:solidFill>
              <w14:schemeClr w14:val="tx1">
                <w14:lumMod w14:val="95000"/>
                <w14:lumOff w14:val="5000"/>
              </w14:schemeClr>
            </w14:solidFill>
          </w14:textFill>
        </w:rPr>
        <w:t>规定。</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应提出符合国家法律法规、全面规划、综合治理和利用、因地制宜、突出重点、注重实效、可持续发展、经济合理等方面的原则。</w:t>
      </w:r>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4.3</w:t>
      </w:r>
      <w:r>
        <w:rPr>
          <w:rFonts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Cs w:val="21"/>
          <w:highlight w:val="none"/>
          <w:lang w:val="en-US" w:eastAsia="zh-CN"/>
          <w14:textFill>
            <w14:solidFill>
              <w14:schemeClr w14:val="tx1">
                <w14:lumMod w14:val="95000"/>
                <w14:lumOff w14:val="5000"/>
              </w14:schemeClr>
            </w14:solidFill>
          </w14:textFill>
        </w:rPr>
        <w:t>坚</w:t>
      </w:r>
      <w:r>
        <w:rPr>
          <w:rFonts w:hint="eastAsia" w:ascii="Times New Roman" w:hAnsi="Times New Roman" w:eastAsia="宋体" w:cs="Times New Roman"/>
          <w:color w:val="0D0D0D" w:themeColor="text1" w:themeTint="F2"/>
          <w:szCs w:val="21"/>
          <w:highlight w:val="none"/>
          <w:lang w:val="en-US" w:eastAsia="zh-CN"/>
          <w14:textFill>
            <w14:solidFill>
              <w14:schemeClr w14:val="tx1">
                <w14:lumMod w14:val="95000"/>
                <w14:lumOff w14:val="5000"/>
              </w14:schemeClr>
            </w14:solidFill>
          </w14:textFill>
        </w:rPr>
        <w:t>持因地制宜，</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项目选址以流域、水系或灌区为基础，与当地已经实施或正在实施的农业、水利、交通等重大工程相衔接；充分考虑乡、村行政界限，相对集中连片，尽量做到整村推进。</w:t>
      </w:r>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4.4</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坚持“田、水、路、林、村”统一规划、全面协调、综合整治，兼顾社会效益、经济效益和生态效益。</w:t>
      </w:r>
    </w:p>
    <w:p>
      <w:pPr>
        <w:autoSpaceDE w:val="0"/>
        <w:autoSpaceDN w:val="0"/>
        <w:adjustRightInd w:val="0"/>
        <w:ind w:firstLine="0" w:firstLineChars="0"/>
        <w:jc w:val="left"/>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4.5</w:t>
      </w:r>
      <w:r>
        <w:rPr>
          <w:rFonts w:hint="default" w:ascii="Times New Roman" w:hAnsi="Times New Roman" w:eastAsia="黑体"/>
          <w:color w:val="0D0D0D" w:themeColor="text1" w:themeTint="F2"/>
          <w:kern w:val="0"/>
          <w:szCs w:val="21"/>
          <w:highlight w:val="none"/>
          <w:lang w:val="en-US" w:eastAsia="zh-CN"/>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坚持科学性和技术进步</w:t>
      </w:r>
      <w:r>
        <w:rPr>
          <w:rFonts w:hint="eastAsia"/>
          <w:color w:val="0D0D0D" w:themeColor="text1" w:themeTint="F2"/>
          <w:highlight w:val="none"/>
          <w:lang w:eastAsia="zh-CN"/>
          <w14:textFill>
            <w14:solidFill>
              <w14:schemeClr w14:val="tx1">
                <w14:lumMod w14:val="95000"/>
                <w14:lumOff w14:val="5000"/>
              </w14:schemeClr>
            </w14:solidFill>
          </w14:textFill>
        </w:rPr>
        <w:t>，</w:t>
      </w:r>
      <w:r>
        <w:rPr>
          <w:rFonts w:hint="eastAsia"/>
          <w:color w:val="0D0D0D" w:themeColor="text1" w:themeTint="F2"/>
          <w:highlight w:val="none"/>
          <w14:textFill>
            <w14:solidFill>
              <w14:schemeClr w14:val="tx1">
                <w14:lumMod w14:val="95000"/>
                <w14:lumOff w14:val="5000"/>
              </w14:schemeClr>
            </w14:solidFill>
          </w14:textFill>
        </w:rPr>
        <w:t>要采用新技术、新工艺和新材料，便于实施。鼓励应用绿色材料和工艺减少对农田环境的不利影响。</w:t>
      </w:r>
    </w:p>
    <w:p>
      <w:pPr>
        <w:pStyle w:val="2"/>
        <w:ind w:firstLine="0" w:firstLineChars="0"/>
        <w:rPr>
          <w:rFonts w:hint="eastAsia"/>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4.6</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完善土地权属调整，保持项目区土地权属的完整性。</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4.7</w:t>
      </w:r>
      <w:r>
        <w:rPr>
          <w:rFonts w:hint="default" w:ascii="Times New Roman" w:hAnsi="Times New Roman" w:eastAsia="黑体"/>
          <w:color w:val="0D0D0D" w:themeColor="text1" w:themeTint="F2"/>
          <w:kern w:val="0"/>
          <w:szCs w:val="21"/>
          <w:highlight w:val="none"/>
          <w:lang w:val="en-US" w:eastAsia="zh-CN"/>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应明确分工，建立协调机制，互相配合，促进信息和资源共享，形成合力。</w:t>
      </w:r>
    </w:p>
    <w:p>
      <w:pPr>
        <w:pStyle w:val="100"/>
        <w:spacing w:before="240" w:after="240"/>
        <w:outlineLvl w:val="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41" w:name="_Toc17597"/>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规划</w:t>
      </w:r>
      <w:bookmarkEnd w:id="41"/>
    </w:p>
    <w:p>
      <w:pPr>
        <w:pStyle w:val="2"/>
        <w:ind w:firstLine="0" w:firstLineChars="0"/>
        <w:rPr>
          <w:rFonts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5.1</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default" w:hAnsi="Times New Roman"/>
          <w:color w:val="0D0D0D" w:themeColor="text1" w:themeTint="F2"/>
          <w:szCs w:val="21"/>
          <w:highlight w:val="none"/>
          <w14:textFill>
            <w14:solidFill>
              <w14:schemeClr w14:val="tx1">
                <w14:lumMod w14:val="95000"/>
                <w14:lumOff w14:val="5000"/>
              </w14:schemeClr>
            </w14:solidFill>
          </w14:textFill>
        </w:rPr>
        <w:t>高标准农田</w:t>
      </w:r>
      <w:r>
        <w:rPr>
          <w:rFonts w:hint="default" w:hAnsi="Times New Roman"/>
          <w:color w:val="0D0D0D" w:themeColor="text1" w:themeTint="F2"/>
          <w:szCs w:val="21"/>
          <w:highlight w:val="none"/>
          <w:lang w:eastAsia="zh-CN"/>
          <w14:textFill>
            <w14:solidFill>
              <w14:schemeClr w14:val="tx1">
                <w14:lumMod w14:val="95000"/>
                <w14:lumOff w14:val="5000"/>
              </w14:schemeClr>
            </w14:solidFill>
          </w14:textFill>
        </w:rPr>
        <w:t>建设</w:t>
      </w:r>
      <w:r>
        <w:rPr>
          <w:rFonts w:hint="default" w:hAnsi="Times New Roman"/>
          <w:color w:val="0D0D0D" w:themeColor="text1" w:themeTint="F2"/>
          <w:szCs w:val="21"/>
          <w:highlight w:val="none"/>
          <w14:textFill>
            <w14:solidFill>
              <w14:schemeClr w14:val="tx1">
                <w14:lumMod w14:val="95000"/>
                <w14:lumOff w14:val="5000"/>
              </w14:schemeClr>
            </w14:solidFill>
          </w14:textFill>
        </w:rPr>
        <w:t>规划构成</w:t>
      </w:r>
      <w:r>
        <w:rPr>
          <w:rFonts w:hint="eastAsia"/>
          <w:color w:val="0D0D0D" w:themeColor="text1" w:themeTint="F2"/>
          <w:szCs w:val="21"/>
          <w:highlight w:val="none"/>
          <w:lang w:val="en-US" w:eastAsia="zh-CN"/>
          <w14:textFill>
            <w14:solidFill>
              <w14:schemeClr w14:val="tx1">
                <w14:lumMod w14:val="95000"/>
                <w14:lumOff w14:val="5000"/>
              </w14:schemeClr>
            </w14:solidFill>
          </w14:textFill>
        </w:rPr>
        <w:t>应</w:t>
      </w:r>
      <w:r>
        <w:rPr>
          <w:rFonts w:hint="default" w:hAnsi="Times New Roman"/>
          <w:color w:val="0D0D0D" w:themeColor="text1" w:themeTint="F2"/>
          <w:szCs w:val="21"/>
          <w:highlight w:val="none"/>
          <w14:textFill>
            <w14:solidFill>
              <w14:schemeClr w14:val="tx1">
                <w14:lumMod w14:val="95000"/>
                <w14:lumOff w14:val="5000"/>
              </w14:schemeClr>
            </w14:solidFill>
          </w14:textFill>
        </w:rPr>
        <w:t>包括规划依据、指导思想、原则、规划目标、总体布局以及具体建设内容规划以及投资及效益分析等。</w:t>
      </w: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outlineLvl w:val="9"/>
        <w:rPr>
          <w:rFonts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5.2</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default" w:hAnsi="Times New Roman"/>
          <w:color w:val="0D0D0D" w:themeColor="text1" w:themeTint="F2"/>
          <w:szCs w:val="21"/>
          <w:highlight w:val="none"/>
          <w14:textFill>
            <w14:solidFill>
              <w14:schemeClr w14:val="tx1">
                <w14:lumMod w14:val="95000"/>
                <w14:lumOff w14:val="5000"/>
              </w14:schemeClr>
            </w14:solidFill>
          </w14:textFill>
        </w:rPr>
        <w:t>规划依据</w:t>
      </w:r>
      <w:r>
        <w:rPr>
          <w:rFonts w:hint="eastAsia"/>
          <w:color w:val="0D0D0D" w:themeColor="text1" w:themeTint="F2"/>
          <w:szCs w:val="21"/>
          <w:highlight w:val="none"/>
          <w:lang w:val="en-US" w:eastAsia="zh-CN"/>
          <w14:textFill>
            <w14:solidFill>
              <w14:schemeClr w14:val="tx1">
                <w14:lumMod w14:val="95000"/>
                <w14:lumOff w14:val="5000"/>
              </w14:schemeClr>
            </w14:solidFill>
          </w14:textFill>
        </w:rPr>
        <w:t>应</w:t>
      </w:r>
      <w:r>
        <w:rPr>
          <w:rFonts w:hint="default" w:hAnsi="Times New Roman"/>
          <w:color w:val="0D0D0D" w:themeColor="text1" w:themeTint="F2"/>
          <w:szCs w:val="21"/>
          <w:highlight w:val="none"/>
          <w14:textFill>
            <w14:solidFill>
              <w14:schemeClr w14:val="tx1">
                <w14:lumMod w14:val="95000"/>
                <w14:lumOff w14:val="5000"/>
              </w14:schemeClr>
            </w14:solidFill>
          </w14:textFill>
        </w:rPr>
        <w:t>包括法律、法规、政策、标准以及主要技术文件资料等。</w:t>
      </w:r>
    </w:p>
    <w:p>
      <w:pPr>
        <w:pStyle w:val="2"/>
        <w:ind w:firstLine="0" w:firstLineChars="0"/>
        <w:rPr>
          <w:rFonts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5.3</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default" w:hAnsi="Times New Roman"/>
          <w:color w:val="0D0D0D" w:themeColor="text1" w:themeTint="F2"/>
          <w:szCs w:val="21"/>
          <w:highlight w:val="none"/>
          <w14:textFill>
            <w14:solidFill>
              <w14:schemeClr w14:val="tx1">
                <w14:lumMod w14:val="95000"/>
                <w14:lumOff w14:val="5000"/>
              </w14:schemeClr>
            </w14:solidFill>
          </w14:textFill>
        </w:rPr>
        <w:t>指导思想应体现国家对农田</w:t>
      </w:r>
      <w:r>
        <w:rPr>
          <w:rFonts w:hint="default" w:hAnsi="Times New Roman"/>
          <w:color w:val="0D0D0D" w:themeColor="text1" w:themeTint="F2"/>
          <w:szCs w:val="21"/>
          <w:highlight w:val="none"/>
          <w:lang w:eastAsia="zh-CN"/>
          <w14:textFill>
            <w14:solidFill>
              <w14:schemeClr w14:val="tx1">
                <w14:lumMod w14:val="95000"/>
                <w14:lumOff w14:val="5000"/>
              </w14:schemeClr>
            </w14:solidFill>
          </w14:textFill>
        </w:rPr>
        <w:t>建设</w:t>
      </w:r>
      <w:r>
        <w:rPr>
          <w:rFonts w:hint="default" w:hAnsi="Times New Roman"/>
          <w:color w:val="0D0D0D" w:themeColor="text1" w:themeTint="F2"/>
          <w:szCs w:val="21"/>
          <w:highlight w:val="none"/>
          <w14:textFill>
            <w14:solidFill>
              <w14:schemeClr w14:val="tx1">
                <w14:lumMod w14:val="95000"/>
                <w14:lumOff w14:val="5000"/>
              </w14:schemeClr>
            </w14:solidFill>
          </w14:textFill>
        </w:rPr>
        <w:t>规划方面的最新要求，提出方向性意见，达到加强农田水利建设、田块整治、提高耕地质量、农业综合生产能力和防灾减灾能力的目的。</w:t>
      </w:r>
    </w:p>
    <w:p>
      <w:pPr>
        <w:pStyle w:val="2"/>
        <w:ind w:firstLine="0" w:firstLineChars="0"/>
        <w:rPr>
          <w:rFonts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5.4</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default" w:hAnsi="Times New Roman"/>
          <w:color w:val="0D0D0D" w:themeColor="text1" w:themeTint="F2"/>
          <w:szCs w:val="21"/>
          <w:highlight w:val="none"/>
          <w14:textFill>
            <w14:solidFill>
              <w14:schemeClr w14:val="tx1">
                <w14:lumMod w14:val="95000"/>
                <w14:lumOff w14:val="5000"/>
              </w14:schemeClr>
            </w14:solidFill>
          </w14:textFill>
        </w:rPr>
        <w:t>各方面条件应综合考虑，结合农田建设任务的轻重缓急，充分分析论证拟定农田建设规划应达到的总体目标。</w:t>
      </w:r>
    </w:p>
    <w:p>
      <w:pPr>
        <w:pStyle w:val="2"/>
        <w:ind w:firstLine="0" w:firstLineChars="0"/>
        <w:rPr>
          <w:rFonts w:hint="default"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5.</w:t>
      </w:r>
      <w:r>
        <w:rPr>
          <w:rFonts w:hint="eastAsia" w:ascii="黑体" w:hAnsi="黑体" w:eastAsia="黑体" w:cs="黑体"/>
          <w:color w:val="0D0D0D" w:themeColor="text1" w:themeTint="F2"/>
          <w:kern w:val="0"/>
          <w:szCs w:val="21"/>
          <w:highlight w:val="none"/>
          <w:lang w:val="en-US" w:eastAsia="zh-CN"/>
          <w14:textFill>
            <w14:solidFill>
              <w14:schemeClr w14:val="tx1">
                <w14:lumMod w14:val="95000"/>
                <w14:lumOff w14:val="5000"/>
              </w14:schemeClr>
            </w14:solidFill>
          </w14:textFill>
        </w:rPr>
        <w:t>5</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default" w:ascii="Times New Roman" w:hAnsi="Times New Roman" w:eastAsia="宋体"/>
          <w:color w:val="0D0D0D" w:themeColor="text1" w:themeTint="F2"/>
          <w:kern w:val="2"/>
          <w:szCs w:val="21"/>
          <w:highlight w:val="none"/>
          <w:lang w:eastAsia="zh-CN"/>
          <w14:textFill>
            <w14:solidFill>
              <w14:schemeClr w14:val="tx1">
                <w14:lumMod w14:val="95000"/>
                <w14:lumOff w14:val="5000"/>
              </w14:schemeClr>
            </w14:solidFill>
          </w14:textFill>
        </w:rPr>
        <w:t>在</w:t>
      </w:r>
      <w:r>
        <w:rPr>
          <w:rFonts w:hint="default" w:hAnsi="Times New Roman"/>
          <w:color w:val="0D0D0D" w:themeColor="text1" w:themeTint="F2"/>
          <w:szCs w:val="21"/>
          <w:highlight w:val="none"/>
          <w14:textFill>
            <w14:solidFill>
              <w14:schemeClr w14:val="tx1">
                <w14:lumMod w14:val="95000"/>
                <w14:lumOff w14:val="5000"/>
              </w14:schemeClr>
            </w14:solidFill>
          </w14:textFill>
        </w:rPr>
        <w:t>分析总结经验教训和存在问题的基础上，研究确定农田建设的原则、标准和任务，提出农田建设的目标和总体规划方案。</w:t>
      </w:r>
    </w:p>
    <w:p>
      <w:pPr>
        <w:pStyle w:val="2"/>
        <w:ind w:firstLine="0" w:firstLineChars="0"/>
        <w:rPr>
          <w:rFonts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5.</w:t>
      </w:r>
      <w:r>
        <w:rPr>
          <w:rFonts w:hint="eastAsia" w:ascii="黑体" w:hAnsi="黑体" w:eastAsia="黑体" w:cs="黑体"/>
          <w:color w:val="0D0D0D" w:themeColor="text1" w:themeTint="F2"/>
          <w:kern w:val="0"/>
          <w:szCs w:val="21"/>
          <w:highlight w:val="none"/>
          <w:lang w:val="en-US" w:eastAsia="zh-CN"/>
          <w14:textFill>
            <w14:solidFill>
              <w14:schemeClr w14:val="tx1">
                <w14:lumMod w14:val="95000"/>
                <w14:lumOff w14:val="5000"/>
              </w14:schemeClr>
            </w14:solidFill>
          </w14:textFill>
        </w:rPr>
        <w:t>6</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default" w:hAnsi="Times New Roman"/>
          <w:color w:val="0D0D0D" w:themeColor="text1" w:themeTint="F2"/>
          <w:szCs w:val="21"/>
          <w:highlight w:val="none"/>
          <w14:textFill>
            <w14:solidFill>
              <w14:schemeClr w14:val="tx1">
                <w14:lumMod w14:val="95000"/>
                <w14:lumOff w14:val="5000"/>
              </w14:schemeClr>
            </w14:solidFill>
          </w14:textFill>
        </w:rPr>
        <w:t>宜结合当地自然资源、经济发展水平、农田水利工程现状、农艺技术需要、区位发展定位等存在的显著差异，进行分区规划，</w:t>
      </w:r>
      <w:r>
        <w:rPr>
          <w:rFonts w:hint="default" w:hAnsi="Times New Roman"/>
          <w:color w:val="0D0D0D" w:themeColor="text1" w:themeTint="F2"/>
          <w:szCs w:val="21"/>
          <w:highlight w:val="none"/>
          <w:lang w:eastAsia="zh-CN"/>
          <w14:textFill>
            <w14:solidFill>
              <w14:schemeClr w14:val="tx1">
                <w14:lumMod w14:val="95000"/>
                <w14:lumOff w14:val="5000"/>
              </w14:schemeClr>
            </w14:solidFill>
          </w14:textFill>
        </w:rPr>
        <w:t>并</w:t>
      </w:r>
      <w:r>
        <w:rPr>
          <w:rFonts w:hint="default" w:hAnsi="Times New Roman"/>
          <w:color w:val="0D0D0D" w:themeColor="text1" w:themeTint="F2"/>
          <w:szCs w:val="21"/>
          <w:highlight w:val="none"/>
          <w14:textFill>
            <w14:solidFill>
              <w14:schemeClr w14:val="tx1">
                <w14:lumMod w14:val="95000"/>
                <w14:lumOff w14:val="5000"/>
              </w14:schemeClr>
            </w14:solidFill>
          </w14:textFill>
        </w:rPr>
        <w:t>提出分区建设重点。</w:t>
      </w:r>
    </w:p>
    <w:p>
      <w:pPr>
        <w:pStyle w:val="2"/>
        <w:ind w:firstLine="0" w:firstLineChars="0"/>
        <w:rPr>
          <w:rFonts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kern w:val="0"/>
          <w:szCs w:val="21"/>
          <w:highlight w:val="none"/>
          <w14:textFill>
            <w14:solidFill>
              <w14:schemeClr w14:val="tx1">
                <w14:lumMod w14:val="95000"/>
                <w14:lumOff w14:val="5000"/>
              </w14:schemeClr>
            </w14:solidFill>
          </w14:textFill>
        </w:rPr>
        <w:t>5.</w:t>
      </w:r>
      <w:r>
        <w:rPr>
          <w:rFonts w:hint="eastAsia" w:ascii="黑体" w:hAnsi="黑体" w:eastAsia="黑体" w:cs="黑体"/>
          <w:color w:val="0D0D0D" w:themeColor="text1" w:themeTint="F2"/>
          <w:kern w:val="0"/>
          <w:szCs w:val="21"/>
          <w:highlight w:val="none"/>
          <w:lang w:val="en-US" w:eastAsia="zh-CN"/>
          <w14:textFill>
            <w14:solidFill>
              <w14:schemeClr w14:val="tx1">
                <w14:lumMod w14:val="95000"/>
                <w14:lumOff w14:val="5000"/>
              </w14:schemeClr>
            </w14:solidFill>
          </w14:textFill>
        </w:rPr>
        <w:t>7</w:t>
      </w:r>
      <w:r>
        <w:rPr>
          <w:rFonts w:hint="default" w:ascii="Times New Roman" w:hAnsi="Times New Roman" w:eastAsia="黑体"/>
          <w:color w:val="0D0D0D" w:themeColor="text1" w:themeTint="F2"/>
          <w:kern w:val="0"/>
          <w:szCs w:val="21"/>
          <w:highlight w:val="none"/>
          <w14:textFill>
            <w14:solidFill>
              <w14:schemeClr w14:val="tx1">
                <w14:lumMod w14:val="95000"/>
                <w14:lumOff w14:val="5000"/>
              </w14:schemeClr>
            </w14:solidFill>
          </w14:textFill>
        </w:rPr>
        <w:t xml:space="preserve">  </w:t>
      </w:r>
      <w:r>
        <w:rPr>
          <w:rFonts w:hint="default" w:hAnsi="Times New Roman"/>
          <w:color w:val="0D0D0D" w:themeColor="text1" w:themeTint="F2"/>
          <w:szCs w:val="21"/>
          <w:highlight w:val="none"/>
          <w14:textFill>
            <w14:solidFill>
              <w14:schemeClr w14:val="tx1">
                <w14:lumMod w14:val="95000"/>
                <w14:lumOff w14:val="5000"/>
              </w14:schemeClr>
            </w14:solidFill>
          </w14:textFill>
        </w:rPr>
        <w:t>农田建设规划内容</w:t>
      </w:r>
      <w:r>
        <w:rPr>
          <w:rFonts w:hint="eastAsia"/>
          <w:color w:val="0D0D0D" w:themeColor="text1" w:themeTint="F2"/>
          <w:szCs w:val="21"/>
          <w:highlight w:val="none"/>
          <w:lang w:val="en-US" w:eastAsia="zh-CN"/>
          <w14:textFill>
            <w14:solidFill>
              <w14:schemeClr w14:val="tx1">
                <w14:lumMod w14:val="95000"/>
                <w14:lumOff w14:val="5000"/>
              </w14:schemeClr>
            </w14:solidFill>
          </w14:textFill>
        </w:rPr>
        <w:t>应</w:t>
      </w:r>
      <w:r>
        <w:rPr>
          <w:rFonts w:hint="default" w:hAnsi="Times New Roman"/>
          <w:color w:val="0D0D0D" w:themeColor="text1" w:themeTint="F2"/>
          <w:szCs w:val="21"/>
          <w:highlight w:val="none"/>
          <w14:textFill>
            <w14:solidFill>
              <w14:schemeClr w14:val="tx1">
                <w14:lumMod w14:val="95000"/>
                <w14:lumOff w14:val="5000"/>
              </w14:schemeClr>
            </w14:solidFill>
          </w14:textFill>
        </w:rPr>
        <w:t>包括耕作田块规划、田块整治</w:t>
      </w:r>
      <w:r>
        <w:rPr>
          <w:rFonts w:hint="default" w:hAnsi="Times New Roman"/>
          <w:color w:val="0D0D0D" w:themeColor="text1" w:themeTint="F2"/>
          <w:szCs w:val="21"/>
          <w:highlight w:val="none"/>
          <w:lang w:eastAsia="zh-CN"/>
          <w14:textFill>
            <w14:solidFill>
              <w14:schemeClr w14:val="tx1">
                <w14:lumMod w14:val="95000"/>
                <w14:lumOff w14:val="5000"/>
              </w14:schemeClr>
            </w14:solidFill>
          </w14:textFill>
        </w:rPr>
        <w:t>与</w:t>
      </w:r>
      <w:r>
        <w:rPr>
          <w:rFonts w:hint="default" w:hAnsi="Times New Roman"/>
          <w:color w:val="0D0D0D" w:themeColor="text1" w:themeTint="F2"/>
          <w:szCs w:val="21"/>
          <w:highlight w:val="none"/>
          <w14:textFill>
            <w14:solidFill>
              <w14:schemeClr w14:val="tx1">
                <w14:lumMod w14:val="95000"/>
                <w14:lumOff w14:val="5000"/>
              </w14:schemeClr>
            </w14:solidFill>
          </w14:textFill>
        </w:rPr>
        <w:t>土壤改良规划、农田灌排工程规划、田间道路规划、农田防护林规划、田间电力规划</w:t>
      </w:r>
      <w:r>
        <w:rPr>
          <w:rFonts w:hint="default" w:hAnsi="Times New Roman"/>
          <w:color w:val="0D0D0D" w:themeColor="text1" w:themeTint="F2"/>
          <w:szCs w:val="21"/>
          <w:highlight w:val="none"/>
          <w:lang w:eastAsia="zh-CN"/>
          <w14:textFill>
            <w14:solidFill>
              <w14:schemeClr w14:val="tx1">
                <w14:lumMod w14:val="95000"/>
                <w14:lumOff w14:val="5000"/>
              </w14:schemeClr>
            </w14:solidFill>
          </w14:textFill>
        </w:rPr>
        <w:t>以及</w:t>
      </w:r>
      <w:r>
        <w:rPr>
          <w:rFonts w:hint="default" w:hAnsi="Times New Roman"/>
          <w:color w:val="0D0D0D" w:themeColor="text1" w:themeTint="F2"/>
          <w:szCs w:val="21"/>
          <w:highlight w:val="none"/>
          <w14:textFill>
            <w14:solidFill>
              <w14:schemeClr w14:val="tx1">
                <w14:lumMod w14:val="95000"/>
                <w14:lumOff w14:val="5000"/>
              </w14:schemeClr>
            </w14:solidFill>
          </w14:textFill>
        </w:rPr>
        <w:t>设施农业规划等。</w:t>
      </w:r>
    </w:p>
    <w:bookmarkEnd w:id="38"/>
    <w:bookmarkEnd w:id="39"/>
    <w:p>
      <w:pPr>
        <w:pStyle w:val="100"/>
        <w:spacing w:before="240" w:after="240"/>
        <w:outlineLvl w:val="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42" w:name="_Toc24215"/>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建设</w:t>
      </w:r>
      <w:bookmarkEnd w:id="40"/>
      <w:bookmarkEnd w:id="42"/>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43" w:name="_Toc28823"/>
      <w:r>
        <w:rPr>
          <w:rFonts w:hint="eastAsia" w:ascii="黑体" w:hAnsi="黑体" w:cs="黑体"/>
          <w:color w:val="0D0D0D" w:themeColor="text1" w:themeTint="F2"/>
          <w:highlight w:val="none"/>
          <w14:textFill>
            <w14:solidFill>
              <w14:schemeClr w14:val="tx1">
                <w14:lumMod w14:val="95000"/>
                <w14:lumOff w14:val="5000"/>
              </w14:schemeClr>
            </w14:solidFill>
          </w14:textFill>
        </w:rPr>
        <w:t>6.1</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一般规定</w:t>
      </w:r>
      <w:bookmarkEnd w:id="43"/>
    </w:p>
    <w:p>
      <w:pPr>
        <w:pStyle w:val="101"/>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6.1.1</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按照区域特点和存在的耕地质量问题</w:t>
      </w:r>
      <w:r>
        <w:rPr>
          <w:rFonts w:hint="eastAsia" w:ascii="Times New Roman"/>
          <w:color w:val="0D0D0D" w:themeColor="text1" w:themeTint="F2"/>
          <w:highlight w:val="none"/>
          <w:lang w:eastAsia="zh-CN"/>
          <w14:textFill>
            <w14:solidFill>
              <w14:schemeClr w14:val="tx1">
                <w14:lumMod w14:val="95000"/>
                <w14:lumOff w14:val="5000"/>
              </w14:schemeClr>
            </w14:solidFill>
          </w14:textFill>
        </w:rPr>
        <w:t>，</w:t>
      </w:r>
      <w:r>
        <w:rPr>
          <w:rFonts w:hint="default" w:ascii="Times New Roman"/>
          <w:color w:val="0D0D0D" w:themeColor="text1" w:themeTint="F2"/>
          <w:highlight w:val="none"/>
          <w14:textFill>
            <w14:solidFill>
              <w14:schemeClr w14:val="tx1">
                <w14:lumMod w14:val="95000"/>
                <w14:lumOff w14:val="5000"/>
              </w14:schemeClr>
            </w14:solidFill>
          </w14:textFill>
        </w:rPr>
        <w:t>采取针对性措施</w:t>
      </w:r>
      <w:r>
        <w:rPr>
          <w:rFonts w:hint="eastAsia" w:ascii="Times New Roman"/>
          <w:color w:val="0D0D0D" w:themeColor="text1" w:themeTint="F2"/>
          <w:highlight w:val="none"/>
          <w:lang w:eastAsia="zh-CN"/>
          <w14:textFill>
            <w14:solidFill>
              <w14:schemeClr w14:val="tx1">
                <w14:lumMod w14:val="95000"/>
                <w14:lumOff w14:val="5000"/>
              </w14:schemeClr>
            </w14:solidFill>
          </w14:textFill>
        </w:rPr>
        <w:t>，</w:t>
      </w:r>
      <w:r>
        <w:rPr>
          <w:rFonts w:hint="default" w:ascii="Times New Roman"/>
          <w:color w:val="0D0D0D" w:themeColor="text1" w:themeTint="F2"/>
          <w:highlight w:val="none"/>
          <w14:textFill>
            <w14:solidFill>
              <w14:schemeClr w14:val="tx1">
                <w14:lumMod w14:val="95000"/>
                <w14:lumOff w14:val="5000"/>
              </w14:schemeClr>
            </w14:solidFill>
          </w14:textFill>
        </w:rPr>
        <w:t>开展高标准农田建设。</w:t>
      </w:r>
    </w:p>
    <w:p>
      <w:pPr>
        <w:pStyle w:val="101"/>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6.1.2</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通过高标准农田建设</w:t>
      </w:r>
      <w:r>
        <w:rPr>
          <w:rFonts w:hint="eastAsia" w:ascii="Times New Roman"/>
          <w:color w:val="0D0D0D" w:themeColor="text1" w:themeTint="F2"/>
          <w:highlight w:val="none"/>
          <w:lang w:eastAsia="zh-CN"/>
          <w14:textFill>
            <w14:solidFill>
              <w14:schemeClr w14:val="tx1">
                <w14:lumMod w14:val="95000"/>
                <w14:lumOff w14:val="5000"/>
              </w14:schemeClr>
            </w14:solidFill>
          </w14:textFill>
        </w:rPr>
        <w:t>，</w:t>
      </w:r>
      <w:r>
        <w:rPr>
          <w:rFonts w:hint="default" w:ascii="Times New Roman"/>
          <w:color w:val="0D0D0D" w:themeColor="text1" w:themeTint="F2"/>
          <w:highlight w:val="none"/>
          <w14:textFill>
            <w14:solidFill>
              <w14:schemeClr w14:val="tx1">
                <w14:lumMod w14:val="95000"/>
                <w14:lumOff w14:val="5000"/>
              </w14:schemeClr>
            </w14:solidFill>
          </w14:textFill>
        </w:rPr>
        <w:t>促进耕地集中连片</w:t>
      </w:r>
      <w:r>
        <w:rPr>
          <w:rFonts w:hint="eastAsia" w:ascii="Times New Roman"/>
          <w:color w:val="0D0D0D" w:themeColor="text1" w:themeTint="F2"/>
          <w:highlight w:val="none"/>
          <w:lang w:eastAsia="zh-CN"/>
          <w14:textFill>
            <w14:solidFill>
              <w14:schemeClr w14:val="tx1">
                <w14:lumMod w14:val="95000"/>
                <w14:lumOff w14:val="5000"/>
              </w14:schemeClr>
            </w14:solidFill>
          </w14:textFill>
        </w:rPr>
        <w:t>，</w:t>
      </w:r>
      <w:r>
        <w:rPr>
          <w:rFonts w:hint="default" w:ascii="Times New Roman"/>
          <w:color w:val="0D0D0D" w:themeColor="text1" w:themeTint="F2"/>
          <w:highlight w:val="none"/>
          <w14:textFill>
            <w14:solidFill>
              <w14:schemeClr w14:val="tx1">
                <w14:lumMod w14:val="95000"/>
                <w14:lumOff w14:val="5000"/>
              </w14:schemeClr>
            </w14:solidFill>
          </w14:textFill>
        </w:rPr>
        <w:t>提升耕地质量</w:t>
      </w:r>
      <w:r>
        <w:rPr>
          <w:rFonts w:hint="eastAsia" w:ascii="Times New Roman"/>
          <w:color w:val="0D0D0D" w:themeColor="text1" w:themeTint="F2"/>
          <w:highlight w:val="none"/>
          <w:lang w:eastAsia="zh-CN"/>
          <w14:textFill>
            <w14:solidFill>
              <w14:schemeClr w14:val="tx1">
                <w14:lumMod w14:val="95000"/>
                <w14:lumOff w14:val="5000"/>
              </w14:schemeClr>
            </w14:solidFill>
          </w14:textFill>
        </w:rPr>
        <w:t>，</w:t>
      </w:r>
      <w:r>
        <w:rPr>
          <w:rFonts w:hint="default" w:ascii="Times New Roman"/>
          <w:color w:val="0D0D0D" w:themeColor="text1" w:themeTint="F2"/>
          <w:highlight w:val="none"/>
          <w14:textFill>
            <w14:solidFill>
              <w14:schemeClr w14:val="tx1">
                <w14:lumMod w14:val="95000"/>
                <w14:lumOff w14:val="5000"/>
              </w14:schemeClr>
            </w14:solidFill>
          </w14:textFill>
        </w:rPr>
        <w:t>稳定或增加有效耕地面积；优化土地利用结构与布局,实现节约集约利用和规模效益；完善基础设施，改善农业生产条件，提高机械化作业水平，增强防灾减灾能力；加强农田生态建设和环境保护，实现农业生产和生态保护相协调；建立监测、评价和管护体系，实现持续高效利用。</w:t>
      </w:r>
    </w:p>
    <w:p>
      <w:pPr>
        <w:pStyle w:val="101"/>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6.1.3</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建设内容包括田块整治、灌溉与排水、田间道路、农田防护与生态环境保护、农田输配电及其他工程。</w:t>
      </w:r>
    </w:p>
    <w:p>
      <w:pPr>
        <w:pStyle w:val="101"/>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6.1.4</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各项工程设施使用年限应符合相关专业标准规定，引用</w:t>
      </w:r>
      <w:r>
        <w:rPr>
          <w:rFonts w:ascii="Times New Roman"/>
          <w:color w:val="0D0D0D" w:themeColor="text1" w:themeTint="F2"/>
          <w:highlight w:val="none"/>
          <w14:textFill>
            <w14:solidFill>
              <w14:schemeClr w14:val="tx1">
                <w14:lumMod w14:val="95000"/>
                <w14:lumOff w14:val="5000"/>
              </w14:schemeClr>
            </w14:solidFill>
          </w14:textFill>
        </w:rPr>
        <w:t>标准</w:t>
      </w:r>
      <w:r>
        <w:rPr>
          <w:rFonts w:hint="default" w:ascii="Times New Roman"/>
          <w:color w:val="0D0D0D" w:themeColor="text1" w:themeTint="F2"/>
          <w:highlight w:val="none"/>
          <w14:textFill>
            <w14:solidFill>
              <w14:schemeClr w14:val="tx1">
                <w14:lumMod w14:val="95000"/>
                <w14:lumOff w14:val="5000"/>
              </w14:schemeClr>
            </w14:solidFill>
          </w14:textFill>
        </w:rPr>
        <w:t>整体工程使用年限一般不低于15年。</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44" w:name="_Toc14111"/>
      <w:r>
        <w:rPr>
          <w:rFonts w:hint="eastAsia" w:ascii="黑体" w:hAnsi="黑体" w:cs="黑体"/>
          <w:color w:val="0D0D0D" w:themeColor="text1" w:themeTint="F2"/>
          <w:highlight w:val="none"/>
          <w14:textFill>
            <w14:solidFill>
              <w14:schemeClr w14:val="tx1">
                <w14:lumMod w14:val="95000"/>
                <w14:lumOff w14:val="5000"/>
              </w14:schemeClr>
            </w14:solidFill>
          </w14:textFill>
        </w:rPr>
        <w:t>6.2</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田块整治</w:t>
      </w:r>
      <w:bookmarkEnd w:id="44"/>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45" w:name="_Toc66883221"/>
      <w:bookmarkStart w:id="46" w:name="_Toc65135845"/>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6.2.1</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耕作田块的长度和宽度应根据气候条件、地形地貌、作物种类、机械作业和灌溉与排水效率等因素确定，并充分考虑水蚀、风蚀。</w:t>
      </w:r>
    </w:p>
    <w:p>
      <w:pPr>
        <w:pStyle w:val="145"/>
        <w:numPr>
          <w:ilvl w:val="0"/>
          <w:numId w:val="0"/>
        </w:numPr>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w:t>
      </w:r>
      <w:r>
        <w:rPr>
          <w:rFonts w:hint="eastAsia" w:ascii="黑体" w:hAnsi="黑体" w:eastAsia="黑体" w:cs="黑体"/>
          <w:color w:val="0D0D0D" w:themeColor="text1" w:themeTint="F2"/>
          <w:szCs w:val="21"/>
          <w:highlight w:val="none"/>
          <w:lang w:eastAsia="zh-CN"/>
          <w14:textFill>
            <w14:solidFill>
              <w14:schemeClr w14:val="tx1">
                <w14:lumMod w14:val="95000"/>
                <w14:lumOff w14:val="5000"/>
              </w14:schemeClr>
            </w14:solidFill>
          </w14:textFill>
        </w:rPr>
        <w:t>2</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耕作田块应实现田面平整。田面高差、横向坡度和纵向坡度应根据土壤条件和灌溉方式合理确定。有效土层厚度和耕层厚度应满足作物生长需要。</w:t>
      </w:r>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w:t>
      </w:r>
      <w:r>
        <w:rPr>
          <w:rFonts w:hint="eastAsia" w:ascii="黑体" w:hAnsi="黑体" w:eastAsia="黑体" w:cs="黑体"/>
          <w:color w:val="0D0D0D" w:themeColor="text1" w:themeTint="F2"/>
          <w:szCs w:val="21"/>
          <w:highlight w:val="none"/>
          <w:lang w:eastAsia="zh-CN"/>
          <w14:textFill>
            <w14:solidFill>
              <w14:schemeClr w14:val="tx1">
                <w14:lumMod w14:val="95000"/>
                <w14:lumOff w14:val="5000"/>
              </w14:schemeClr>
            </w14:solidFill>
          </w14:textFill>
        </w:rPr>
        <w:t>3</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田块平整时不宜打乱表土层与心土层，确需打乱应先将肥沃的表土进行剥离，单独堆放，待田块平整完成后，再将表土均匀摊铺到田面上。</w:t>
      </w:r>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w:t>
      </w:r>
      <w:r>
        <w:rPr>
          <w:rFonts w:hint="eastAsia" w:ascii="黑体" w:hAnsi="黑体" w:eastAsia="黑体" w:cs="黑体"/>
          <w:color w:val="0D0D0D" w:themeColor="text1" w:themeTint="F2"/>
          <w:szCs w:val="21"/>
          <w:highlight w:val="none"/>
          <w:lang w:eastAsia="zh-CN"/>
          <w14:textFill>
            <w14:solidFill>
              <w14:schemeClr w14:val="tx1">
                <w14:lumMod w14:val="95000"/>
                <w14:lumOff w14:val="5000"/>
              </w14:schemeClr>
            </w14:solidFill>
          </w14:textFill>
        </w:rPr>
        <w:t>4</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宜通过客土填充、剥离回填表土层等措施平整土地，合理调整农田地表坡降，改善农田耕作层，提高灌溉排水适宜性。</w:t>
      </w:r>
    </w:p>
    <w:p>
      <w:pPr>
        <w:pStyle w:val="27"/>
        <w:ind w:firstLine="0" w:firstLineChars="0"/>
        <w:rPr>
          <w:rFonts w:hint="default" w:ascii="Times New Roman" w:hAnsi="Times New Roman" w:eastAsia="宋体"/>
          <w:color w:val="0D0D0D" w:themeColor="text1" w:themeTint="F2"/>
          <w:szCs w:val="21"/>
          <w:highlight w:val="none"/>
          <w:lang w:val="en-US"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w:t>
      </w:r>
      <w:r>
        <w:rPr>
          <w:rFonts w:hint="eastAsia" w:ascii="黑体" w:hAnsi="黑体" w:eastAsia="黑体" w:cs="黑体"/>
          <w:color w:val="0D0D0D" w:themeColor="text1" w:themeTint="F2"/>
          <w:szCs w:val="21"/>
          <w:highlight w:val="none"/>
          <w:lang w:eastAsia="zh-CN"/>
          <w14:textFill>
            <w14:solidFill>
              <w14:schemeClr w14:val="tx1">
                <w14:lumMod w14:val="95000"/>
                <w14:lumOff w14:val="5000"/>
              </w14:schemeClr>
            </w14:solidFill>
          </w14:textFill>
        </w:rPr>
        <w:t>5</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土地平坦区域的耕地宜修筑条田，长度宜为100m～600m，宽度宜为50 m～300m，且宜为机械作业宽度的倍数；地面坡度为5°～25°的坡耕地应改造成水平梯田，</w:t>
      </w:r>
      <w:r>
        <w:rPr>
          <w:rFonts w:hint="eastAsia" w:ascii="Times New Roman"/>
          <w:color w:val="0D0D0D" w:themeColor="text1" w:themeTint="F2"/>
          <w:szCs w:val="21"/>
          <w:highlight w:val="none"/>
          <w:lang w:val="en-US" w:eastAsia="zh-CN"/>
          <w14:textFill>
            <w14:solidFill>
              <w14:schemeClr w14:val="tx1">
                <w14:lumMod w14:val="95000"/>
                <w14:lumOff w14:val="5000"/>
              </w14:schemeClr>
            </w14:solidFill>
          </w14:textFill>
        </w:rPr>
        <w:t>梯田长不超过200m，</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并配套坡面防护设施，田面长边宜平行等高线布置，长度宜为100m～200m，田面宽度应便于机械作业和田间管理</w:t>
      </w:r>
      <w:r>
        <w:rPr>
          <w:rFonts w:hint="eastAsia" w:ascii="Times New Roman"/>
          <w:color w:val="0D0D0D" w:themeColor="text1" w:themeTint="F2"/>
          <w:szCs w:val="21"/>
          <w:highlight w:val="none"/>
          <w:lang w:eastAsia="zh-CN"/>
          <w14:textFill>
            <w14:solidFill>
              <w14:schemeClr w14:val="tx1">
                <w14:lumMod w14:val="95000"/>
                <w14:lumOff w14:val="5000"/>
              </w14:schemeClr>
            </w14:solidFill>
          </w14:textFill>
        </w:rPr>
        <w:t>；</w:t>
      </w:r>
      <w:r>
        <w:rPr>
          <w:rFonts w:hint="eastAsia" w:ascii="Times New Roman"/>
          <w:color w:val="0D0D0D" w:themeColor="text1" w:themeTint="F2"/>
          <w:szCs w:val="21"/>
          <w:highlight w:val="none"/>
          <w:lang w:val="en-US" w:eastAsia="zh-CN"/>
          <w14:textFill>
            <w14:solidFill>
              <w14:schemeClr w14:val="tx1">
                <w14:lumMod w14:val="95000"/>
                <w14:lumOff w14:val="5000"/>
              </w14:schemeClr>
            </w14:solidFill>
          </w14:textFill>
        </w:rPr>
        <w:t>地面坡度大于25°的坡耕地应退耕还林、还草，土地平整工程宜参照TD/T 1033—2012的规定。</w:t>
      </w:r>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w:t>
      </w:r>
      <w:r>
        <w:rPr>
          <w:rFonts w:hint="eastAsia" w:ascii="黑体" w:hAnsi="黑体" w:eastAsia="黑体" w:cs="黑体"/>
          <w:color w:val="0D0D0D" w:themeColor="text1" w:themeTint="F2"/>
          <w:szCs w:val="21"/>
          <w:highlight w:val="none"/>
          <w:lang w:eastAsia="zh-CN"/>
          <w14:textFill>
            <w14:solidFill>
              <w14:schemeClr w14:val="tx1">
                <w14:lumMod w14:val="95000"/>
                <w14:lumOff w14:val="5000"/>
              </w14:schemeClr>
            </w14:solidFill>
          </w14:textFill>
        </w:rPr>
        <w:t>6</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szCs w:val="21"/>
          <w:highlight w:val="none"/>
          <w14:textFill>
            <w14:solidFill>
              <w14:schemeClr w14:val="tx1">
                <w14:lumMod w14:val="95000"/>
                <w14:lumOff w14:val="5000"/>
              </w14:schemeClr>
            </w14:solidFill>
          </w14:textFill>
        </w:rPr>
        <w:t>梯田修筑应与沟道治理、坡面防护等工程相结合，提高防御暴雨冲刷能力。</w:t>
      </w:r>
    </w:p>
    <w:p>
      <w:pPr>
        <w:pStyle w:val="27"/>
        <w:ind w:firstLine="0" w:firstLineChars="0"/>
        <w:rPr>
          <w:rFonts w:ascii="Times New Roman" w:hAnsi="Times New Roman"/>
          <w:b/>
          <w:bCs/>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w:t>
      </w:r>
      <w:r>
        <w:rPr>
          <w:rFonts w:hint="eastAsia" w:ascii="黑体" w:hAnsi="黑体" w:eastAsia="黑体" w:cs="黑体"/>
          <w:color w:val="0D0D0D" w:themeColor="text1" w:themeTint="F2"/>
          <w:szCs w:val="21"/>
          <w:highlight w:val="none"/>
          <w:lang w:eastAsia="zh-CN"/>
          <w14:textFill>
            <w14:solidFill>
              <w14:schemeClr w14:val="tx1">
                <w14:lumMod w14:val="95000"/>
                <w14:lumOff w14:val="5000"/>
              </w14:schemeClr>
            </w14:solidFill>
          </w14:textFill>
        </w:rPr>
        <w:t>7</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szCs w:val="21"/>
          <w:highlight w:val="none"/>
          <w14:textFill>
            <w14:solidFill>
              <w14:schemeClr w14:val="tx1">
                <w14:lumMod w14:val="95000"/>
                <w14:lumOff w14:val="5000"/>
              </w14:schemeClr>
            </w14:solidFill>
          </w14:textFill>
        </w:rPr>
        <w:t>梯田埂坎宜采用土坎、石坎、土石混合坎或植物坎等</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。在土质稳定性较差、易造成水土流失的地区，宜采用石坎、土石混合坎或植物坎。土坎高度宜不超过2m，石坎高度宜不超过3m。</w:t>
      </w:r>
    </w:p>
    <w:p>
      <w:pPr>
        <w:pStyle w:val="27"/>
        <w:ind w:firstLine="0" w:firstLineChars="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6.2.</w:t>
      </w:r>
      <w:r>
        <w:rPr>
          <w:rFonts w:hint="eastAsia" w:ascii="黑体" w:hAnsi="黑体" w:eastAsia="黑体" w:cs="黑体"/>
          <w:color w:val="0D0D0D" w:themeColor="text1" w:themeTint="F2"/>
          <w:szCs w:val="21"/>
          <w:highlight w:val="none"/>
          <w:lang w:eastAsia="zh-CN"/>
          <w14:textFill>
            <w14:solidFill>
              <w14:schemeClr w14:val="tx1">
                <w14:lumMod w14:val="95000"/>
                <w14:lumOff w14:val="5000"/>
              </w14:schemeClr>
            </w14:solidFill>
          </w14:textFill>
        </w:rPr>
        <w:t>8</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农田土体厚度宜达到50cm以上，水田耕作层厚度宜在20cm以上，水浇地和旱地耕作层厚度宜在25cm以上，山地丘陵区梯田化率宜达到90%以上，田间基础设施占地率一般不超过8%。</w:t>
      </w:r>
    </w:p>
    <w:p>
      <w:pPr>
        <w:pStyle w:val="51"/>
        <w:spacing w:before="120" w:after="120"/>
        <w:outlineLvl w:val="1"/>
        <w:rPr>
          <w:rFonts w:ascii="Times New Roman" w:hAnsi="Times New Roman"/>
          <w:b/>
          <w:bCs/>
          <w:color w:val="0D0D0D" w:themeColor="text1" w:themeTint="F2"/>
          <w:highlight w:val="none"/>
          <w14:textFill>
            <w14:solidFill>
              <w14:schemeClr w14:val="tx1">
                <w14:lumMod w14:val="95000"/>
                <w14:lumOff w14:val="5000"/>
              </w14:schemeClr>
            </w14:solidFill>
          </w14:textFill>
        </w:rPr>
      </w:pPr>
      <w:bookmarkStart w:id="47" w:name="_Toc23646"/>
      <w:r>
        <w:rPr>
          <w:rFonts w:hint="eastAsia" w:ascii="黑体" w:hAnsi="黑体" w:cs="黑体"/>
          <w:color w:val="0D0D0D" w:themeColor="text1" w:themeTint="F2"/>
          <w:highlight w:val="none"/>
          <w14:textFill>
            <w14:solidFill>
              <w14:schemeClr w14:val="tx1">
                <w14:lumMod w14:val="95000"/>
                <w14:lumOff w14:val="5000"/>
              </w14:schemeClr>
            </w14:solidFill>
          </w14:textFill>
        </w:rPr>
        <w:t>6.3</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土壤改良</w:t>
      </w:r>
      <w:bookmarkEnd w:id="47"/>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6.3</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宜通过工程、生物、化学等方法，治理过沙或过黏土壤、盐碱土壤和酸化土壤，提高耕地质量水平。</w:t>
      </w:r>
    </w:p>
    <w:p>
      <w:pPr>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6.3</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.2</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宜采取深耕深松、秸秆还田、增施有机肥、种植绿肥、</w:t>
      </w:r>
      <w:r>
        <w:rPr>
          <w:rFonts w:hint="eastAsia"/>
          <w:color w:val="0D0D0D" w:themeColor="text1" w:themeTint="F2"/>
          <w:highlight w:val="none"/>
          <w14:textFill>
            <w14:solidFill>
              <w14:schemeClr w14:val="tx1">
                <w14:lumMod w14:val="95000"/>
                <w14:lumOff w14:val="5000"/>
              </w14:schemeClr>
            </w14:solidFill>
          </w14:textFill>
        </w:rPr>
        <w:t>施用土壤调理剂、测土配方施肥</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等方式，增加土壤有机质，治理退化耕地，改良土壤结构，提升土壤肥力。</w:t>
      </w:r>
    </w:p>
    <w:p>
      <w:pPr>
        <w:rPr>
          <w:rFonts w:hint="eastAsia"/>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6.3</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.3</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高标准农田建成后</w:t>
      </w:r>
      <w:r>
        <w:rPr>
          <w:rFonts w:hint="eastAsia"/>
          <w:color w:val="0D0D0D" w:themeColor="text1" w:themeTint="F2"/>
          <w:highlight w:val="none"/>
          <w:lang w:eastAsia="zh-CN"/>
          <w14:textFill>
            <w14:solidFill>
              <w14:schemeClr w14:val="tx1">
                <w14:lumMod w14:val="95000"/>
                <w14:lumOff w14:val="5000"/>
              </w14:schemeClr>
            </w14:solidFill>
          </w14:textFill>
        </w:rPr>
        <w:t>，</w:t>
      </w:r>
      <w:r>
        <w:rPr>
          <w:rFonts w:hint="eastAsia"/>
          <w:color w:val="0D0D0D" w:themeColor="text1" w:themeTint="F2"/>
          <w:highlight w:val="none"/>
          <w14:textFill>
            <w14:solidFill>
              <w14:schemeClr w14:val="tx1">
                <w14:lumMod w14:val="95000"/>
                <w14:lumOff w14:val="5000"/>
              </w14:schemeClr>
            </w14:solidFill>
          </w14:textFill>
        </w:rPr>
        <w:t>应实施测土配方施肥,使养分比例适宜作物生长。测土配方施肥覆盖率应</w:t>
      </w:r>
    </w:p>
    <w:p>
      <w:pPr>
        <w:rPr>
          <w:color w:val="0D0D0D" w:themeColor="text1" w:themeTint="F2"/>
          <w:highlight w:val="none"/>
          <w14:textFill>
            <w14:solidFill>
              <w14:schemeClr w14:val="tx1">
                <w14:lumMod w14:val="95000"/>
                <w14:lumOff w14:val="5000"/>
              </w14:schemeClr>
            </w14:solidFill>
          </w14:textFill>
        </w:rPr>
      </w:pPr>
      <w:r>
        <w:rPr>
          <w:rFonts w:hint="eastAsia"/>
          <w:color w:val="0D0D0D" w:themeColor="text1" w:themeTint="F2"/>
          <w:highlight w:val="none"/>
          <w14:textFill>
            <w14:solidFill>
              <w14:schemeClr w14:val="tx1">
                <w14:lumMod w14:val="95000"/>
                <w14:lumOff w14:val="5000"/>
              </w14:schemeClr>
            </w14:solidFill>
          </w14:textFill>
        </w:rPr>
        <w:t>达到95%以上。</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6.3</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.4</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酸化土壤治理时，应根据土壤酸化程度，利用石灰质物质、土壤调理剂和有机肥进行改良。</w:t>
      </w:r>
    </w:p>
    <w:p>
      <w:pPr>
        <w:rPr>
          <w:rFonts w:hint="eastAsia" w:ascii="Times New Roman" w:hAnsi="Times New Roman" w:eastAsia="宋体"/>
          <w:color w:val="0D0D0D" w:themeColor="text1" w:themeTint="F2"/>
          <w:kern w:val="0"/>
          <w:szCs w:val="21"/>
          <w:highlight w:val="none"/>
          <w:lang w:eastAsia="zh-CN"/>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6.3</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5</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改良后土壤</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pH值宜在5.5</w:t>
      </w:r>
      <w:r>
        <w:rPr>
          <w:rFonts w:hint="default" w:hAnsi="Times New Roman"/>
          <w:color w:val="0D0D0D" w:themeColor="text1" w:themeTint="F2"/>
          <w:szCs w:val="21"/>
          <w:highlight w:val="none"/>
          <w14:textFill>
            <w14:solidFill>
              <w14:schemeClr w14:val="tx1">
                <w14:lumMod w14:val="95000"/>
                <w14:lumOff w14:val="5000"/>
              </w14:schemeClr>
            </w14:solidFill>
          </w14:textFill>
        </w:rPr>
        <w:t>～</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7.5，土壤的有机质含量宜&gt;20g/kg</w:t>
      </w:r>
      <w:r>
        <w:rPr>
          <w:rFonts w:hint="eastAsia"/>
          <w:color w:val="0D0D0D" w:themeColor="text1" w:themeTint="F2"/>
          <w:kern w:val="0"/>
          <w:szCs w:val="21"/>
          <w:highlight w:val="none"/>
          <w:lang w:eastAsia="zh-CN"/>
          <w14:textFill>
            <w14:solidFill>
              <w14:schemeClr w14:val="tx1">
                <w14:lumMod w14:val="95000"/>
                <w14:lumOff w14:val="5000"/>
              </w14:schemeClr>
            </w14:solidFill>
          </w14:textFill>
        </w:rPr>
        <w:t>，</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养分比例适宜作物生长</w:t>
      </w:r>
      <w:r>
        <w:rPr>
          <w:rFonts w:hint="eastAsia"/>
          <w:color w:val="0D0D0D" w:themeColor="text1" w:themeTint="F2"/>
          <w:kern w:val="0"/>
          <w:szCs w:val="21"/>
          <w:highlight w:val="none"/>
          <w:lang w:eastAsia="zh-CN"/>
          <w14:textFill>
            <w14:solidFill>
              <w14:schemeClr w14:val="tx1">
                <w14:lumMod w14:val="95000"/>
                <w14:lumOff w14:val="5000"/>
              </w14:schemeClr>
            </w14:solidFill>
          </w14:textFill>
        </w:rPr>
        <w:t>。</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48" w:name="_Toc30417"/>
      <w:r>
        <w:rPr>
          <w:rFonts w:hint="eastAsia" w:ascii="黑体" w:hAnsi="黑体" w:cs="黑体"/>
          <w:color w:val="0D0D0D" w:themeColor="text1" w:themeTint="F2"/>
          <w:highlight w:val="none"/>
          <w14:textFill>
            <w14:solidFill>
              <w14:schemeClr w14:val="tx1">
                <w14:lumMod w14:val="95000"/>
                <w14:lumOff w14:val="5000"/>
              </w14:schemeClr>
            </w14:solidFill>
          </w14:textFill>
        </w:rPr>
        <w:t>6.4</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灌溉和排水</w:t>
      </w:r>
      <w:bookmarkEnd w:id="48"/>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应按照旱、涝、渍和盐碱综合治理的要求，结合田、路、林、电，科学规划建设田间灌排工程，加强田间灌排工程与灌区骨干工程的衔接配套，形成从水源到田间完整的灌排体系。</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.2</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应选用能满足灌溉用水要求的水源，水质应符合</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GB 5084</w:t>
      </w:r>
      <w:r>
        <w:rPr>
          <w:color w:val="0D0D0D" w:themeColor="text1" w:themeTint="F2"/>
          <w:highlight w:val="none"/>
          <w14:textFill>
            <w14:solidFill>
              <w14:schemeClr w14:val="tx1">
                <w14:lumMod w14:val="95000"/>
                <w14:lumOff w14:val="5000"/>
              </w14:schemeClr>
            </w14:solidFill>
          </w14:textFill>
        </w:rPr>
        <w:t>的规定。水源配置应考虑地形条件、水源特点等因素，合理选用蓄、引、提或组合的方式。</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.3</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水源利用应以地表水为主，地下水为辅</w:t>
      </w:r>
      <w:r>
        <w:rPr>
          <w:rFonts w:hint="eastAsia"/>
          <w:color w:val="0D0D0D" w:themeColor="text1" w:themeTint="F2"/>
          <w:highlight w:val="none"/>
          <w14:textFill>
            <w14:solidFill>
              <w14:schemeClr w14:val="tx1">
                <w14:lumMod w14:val="95000"/>
                <w14:lumOff w14:val="5000"/>
              </w14:schemeClr>
            </w14:solidFill>
          </w14:textFill>
        </w:rPr>
        <w:t>，</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宜因地制宜配套小型水源工程，加强雨水和地表水收集利用。</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.4</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t>水源工程应根据水源条件、取水方式、灌溉规模及综合利用要求，选用经济合理的工程形式。水源工程建设应符合下列要求：</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井灌工程的泵、动力输变电设备和井房等配套率应达到100%；</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塘堰（坝）容量应小于10000m</w:t>
      </w:r>
      <w:r>
        <w:rPr>
          <w:rFonts w:ascii="Times New Roman"/>
          <w:color w:val="0D0D0D" w:themeColor="text1" w:themeTint="F2"/>
          <w:highlight w:val="none"/>
          <w:vertAlign w:val="superscript"/>
          <w14:textFill>
            <w14:solidFill>
              <w14:schemeClr w14:val="tx1">
                <w14:lumMod w14:val="95000"/>
                <w14:lumOff w14:val="5000"/>
              </w14:schemeClr>
            </w14:solidFill>
          </w14:textFill>
        </w:rPr>
        <w:t>3</w:t>
      </w:r>
      <w:r>
        <w:rPr>
          <w:rFonts w:ascii="Times New Roman"/>
          <w:color w:val="0D0D0D" w:themeColor="text1" w:themeTint="F2"/>
          <w:highlight w:val="none"/>
          <w14:textFill>
            <w14:solidFill>
              <w14:schemeClr w14:val="tx1">
                <w14:lumMod w14:val="95000"/>
                <w14:lumOff w14:val="5000"/>
              </w14:schemeClr>
            </w14:solidFill>
          </w14:textFill>
        </w:rPr>
        <w:t>，坝高不超过5m，挡水、泄水和放水建筑物等应配套齐全；</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蓄水池容量宜控制在2000m</w:t>
      </w:r>
      <w:r>
        <w:rPr>
          <w:rFonts w:ascii="Times New Roman"/>
          <w:color w:val="0D0D0D" w:themeColor="text1" w:themeTint="F2"/>
          <w:highlight w:val="none"/>
          <w:vertAlign w:val="superscript"/>
          <w14:textFill>
            <w14:solidFill>
              <w14:schemeClr w14:val="tx1">
                <w14:lumMod w14:val="95000"/>
                <w14:lumOff w14:val="5000"/>
              </w14:schemeClr>
            </w14:solidFill>
          </w14:textFill>
        </w:rPr>
        <w:t>3</w:t>
      </w:r>
      <w:r>
        <w:rPr>
          <w:rFonts w:ascii="Times New Roman"/>
          <w:color w:val="0D0D0D" w:themeColor="text1" w:themeTint="F2"/>
          <w:highlight w:val="none"/>
          <w14:textFill>
            <w14:solidFill>
              <w14:schemeClr w14:val="tx1">
                <w14:lumMod w14:val="95000"/>
                <w14:lumOff w14:val="5000"/>
              </w14:schemeClr>
            </w14:solidFill>
          </w14:textFill>
        </w:rPr>
        <w:t>以下，边墙应高于蓄水池最高水位0.3m～0.5m。四周应修建高度1.2m以上的防护栏，并在醒目位置设置安全警示标识</w:t>
      </w:r>
      <w:r>
        <w:rPr>
          <w:rFonts w:hint="default" w:ascii="Times New Roman"/>
          <w:color w:val="0D0D0D" w:themeColor="text1" w:themeTint="F2"/>
          <w:highlight w:val="none"/>
          <w14:textFill>
            <w14:solidFill>
              <w14:schemeClr w14:val="tx1">
                <w14:lumMod w14:val="95000"/>
                <w14:lumOff w14:val="5000"/>
              </w14:schemeClr>
            </w14:solidFill>
          </w14:textFill>
        </w:rPr>
        <w:t>；</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小型集雨池（窖）、水柜等容量应不大于100m</w:t>
      </w:r>
      <w:r>
        <w:rPr>
          <w:rFonts w:ascii="Times New Roman"/>
          <w:color w:val="0D0D0D" w:themeColor="text1" w:themeTint="F2"/>
          <w:highlight w:val="none"/>
          <w:vertAlign w:val="superscript"/>
          <w14:textFill>
            <w14:solidFill>
              <w14:schemeClr w14:val="tx1">
                <w14:lumMod w14:val="95000"/>
                <w14:lumOff w14:val="5000"/>
              </w14:schemeClr>
            </w14:solidFill>
          </w14:textFill>
        </w:rPr>
        <w:t>3</w:t>
      </w:r>
      <w:r>
        <w:rPr>
          <w:rFonts w:ascii="Times New Roman"/>
          <w:color w:val="0D0D0D" w:themeColor="text1" w:themeTint="F2"/>
          <w:highlight w:val="none"/>
          <w14:textFill>
            <w14:solidFill>
              <w14:schemeClr w14:val="tx1">
                <w14:lumMod w14:val="95000"/>
                <w14:lumOff w14:val="5000"/>
              </w14:schemeClr>
            </w14:solidFill>
          </w14:textFill>
        </w:rPr>
        <w:t>集雨场、引水沟、沉沙池、防护围栏、取用水设施等应配套齐全</w:t>
      </w:r>
      <w:r>
        <w:rPr>
          <w:rFonts w:hint="default" w:ascii="Times New Roman"/>
          <w:color w:val="0D0D0D" w:themeColor="text1" w:themeTint="F2"/>
          <w:highlight w:val="none"/>
          <w14:textFill>
            <w14:solidFill>
              <w14:schemeClr w14:val="tx1">
                <w14:lumMod w14:val="95000"/>
                <w14:lumOff w14:val="5000"/>
              </w14:schemeClr>
            </w14:solidFill>
          </w14:textFill>
        </w:rPr>
        <w:t>；</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斗渠(含)以下引水和提水泵站的设计流量应根据设计灌溉保证率、设计灌水率、灌溉面积、灌溉水利用系数及灌溉区域内调蓄容积等综合分析计算确定，宜控制在1.0m</w:t>
      </w:r>
      <w:r>
        <w:rPr>
          <w:rFonts w:ascii="Times New Roman"/>
          <w:color w:val="0D0D0D" w:themeColor="text1" w:themeTint="F2"/>
          <w:highlight w:val="none"/>
          <w:vertAlign w:val="superscript"/>
          <w14:textFill>
            <w14:solidFill>
              <w14:schemeClr w14:val="tx1">
                <w14:lumMod w14:val="95000"/>
                <w14:lumOff w14:val="5000"/>
              </w14:schemeClr>
            </w14:solidFill>
          </w14:textFill>
        </w:rPr>
        <w:t>3</w:t>
      </w:r>
      <w:r>
        <w:rPr>
          <w:rFonts w:hint="default" w:ascii="Times New Roman"/>
          <w:color w:val="0D0D0D" w:themeColor="text1" w:themeTint="F2"/>
          <w:highlight w:val="none"/>
          <w14:textFill>
            <w14:solidFill>
              <w14:schemeClr w14:val="tx1">
                <w14:lumMod w14:val="95000"/>
                <w14:lumOff w14:val="5000"/>
              </w14:schemeClr>
            </w14:solidFill>
          </w14:textFill>
        </w:rPr>
        <w:t>/s以下。泵站涉及应符合GB 50265的规定；</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ascii="Times New Roman"/>
          <w:color w:val="0D0D0D" w:themeColor="text1" w:themeTint="F2"/>
          <w:highlight w:val="none"/>
          <w14:textFill>
            <w14:solidFill>
              <w14:schemeClr w14:val="tx1">
                <w14:lumMod w14:val="95000"/>
                <w14:lumOff w14:val="5000"/>
              </w14:schemeClr>
            </w14:solidFill>
          </w14:textFill>
        </w:rPr>
        <w:t>机井设计应根据水文地质条件和地下水资源利用规划，按照合理开发、采补平衡的原则，经济合理的地下水开采规模和主要设计参数。机井设计应符合GB 50625的规定。</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.5</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应</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灌溉与排水并重</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合理配套建设和改造输配水渠(管)道、排水沟(管)道、泵站及渠系建筑物</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完善农田灌溉排水设施。</w:t>
      </w:r>
    </w:p>
    <w:p>
      <w:pPr>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.6</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宜推广渠道防渗、管道输水灌溉和喷灌、微灌等节水措施，支持建设必要的灌溉计量设施，</w:t>
      </w:r>
      <w:r>
        <w:rPr>
          <w:color w:val="0D0D0D" w:themeColor="text1" w:themeTint="F2"/>
          <w:highlight w:val="none"/>
          <w14:textFill>
            <w14:solidFill>
              <w14:schemeClr w14:val="tx1">
                <w14:lumMod w14:val="95000"/>
                <w14:lumOff w14:val="5000"/>
              </w14:schemeClr>
            </w14:solidFill>
          </w14:textFill>
        </w:rPr>
        <w:t>倡导建设生态型灌排系统</w:t>
      </w:r>
      <w:r>
        <w:rPr>
          <w:rFonts w:hint="eastAsia"/>
          <w:color w:val="0D0D0D" w:themeColor="text1" w:themeTint="F2"/>
          <w:highlight w:val="none"/>
          <w14:textFill>
            <w14:solidFill>
              <w14:schemeClr w14:val="tx1">
                <w14:lumMod w14:val="95000"/>
                <w14:lumOff w14:val="5000"/>
              </w14:schemeClr>
            </w14:solidFill>
          </w14:textFill>
        </w:rPr>
        <w:t>，灌溉水利用系数应符</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合GB/T 50363的规定。</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.7</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田间灌排系统完善、工程配套、利用充分</w:t>
      </w:r>
      <w:r>
        <w:rPr>
          <w:rFonts w:hint="eastAsia"/>
          <w:color w:val="0D0D0D" w:themeColor="text1" w:themeTint="F2"/>
          <w:highlight w:val="none"/>
          <w14:textFill>
            <w14:solidFill>
              <w14:schemeClr w14:val="tx1">
                <w14:lumMod w14:val="95000"/>
                <w14:lumOff w14:val="5000"/>
              </w14:schemeClr>
            </w14:solidFill>
          </w14:textFill>
        </w:rPr>
        <w:t>，</w:t>
      </w:r>
      <w:r>
        <w:rPr>
          <w:color w:val="0D0D0D" w:themeColor="text1" w:themeTint="F2"/>
          <w:highlight w:val="none"/>
          <w14:textFill>
            <w14:solidFill>
              <w14:schemeClr w14:val="tx1">
                <w14:lumMod w14:val="95000"/>
                <w14:lumOff w14:val="5000"/>
              </w14:schemeClr>
            </w14:solidFill>
          </w14:textFill>
        </w:rPr>
        <w:t>输、配、灌、排水及时高效</w:t>
      </w:r>
      <w:r>
        <w:rPr>
          <w:rFonts w:hint="eastAsia"/>
          <w:color w:val="0D0D0D" w:themeColor="text1" w:themeTint="F2"/>
          <w:highlight w:val="none"/>
          <w14:textFill>
            <w14:solidFill>
              <w14:schemeClr w14:val="tx1">
                <w14:lumMod w14:val="95000"/>
                <w14:lumOff w14:val="5000"/>
              </w14:schemeClr>
            </w14:solidFill>
          </w14:textFill>
        </w:rPr>
        <w:t>，</w:t>
      </w:r>
      <w:r>
        <w:rPr>
          <w:color w:val="0D0D0D" w:themeColor="text1" w:themeTint="F2"/>
          <w:highlight w:val="none"/>
          <w14:textFill>
            <w14:solidFill>
              <w14:schemeClr w14:val="tx1">
                <w14:lumMod w14:val="95000"/>
                <w14:lumOff w14:val="5000"/>
              </w14:schemeClr>
            </w14:solidFill>
          </w14:textFill>
        </w:rPr>
        <w:t>灌溉保证率不低</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于70%。</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.8</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t>渠（沟）道、管道工程应按灌溉与排水规模、地形条件、宜机作业、耕作要求合理布置。工程建设应符合下列要求：</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在固定输水渠道上的分水、控水、量水、衔接和交叉等建筑物应配套齐全；</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平原地区斗渠（沟）以下各级渠（沟）宜相互垂直，斗渠（沟）长度宜为1000m～3000m，间距应与农渠（沟）长度相适宜；农渠（沟）长度、间距应与条田的长度、宽度相适宜。低山丘陵区的斗、农渠（沟）长度可适当缩短。井灌区采用明渠输水的，渠（沟）设置可参照执行；</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斗渠和农渠等固定渠道宜进行防渗处理。井灌区应尽量采用管道输水灌溉，采用渠道输水的，渠道应全部进行防渗处理，渠道防渗应满足GB/T 50600的规定。排水渠道可采取生态型结构，减少对生态环境的影响；</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采用管道输水灌溉的，灌溉设计保证率不宜低于80%。管道系统应结合地形、水源位置、田块形状及沟、路走向优化布置。支管上布置出水口，单个出水口的出水量应通过控制灌溉的格田面积、作物类型、灌水定额计算确定。各用水单位应独立配水。管道系统宜采用干管续灌、支管轮灌的工作制度。规模不大的管道系统可采用续灌工作制度，管道灌溉工程建设应按GB/T 20203规定执行。</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.9</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t>渠系建筑物指斗渠（含）以下渠道的建筑物的工程建设应满足SL 482的规定，主要包括农桥、倒虹吸、涵洞、水闸、跌水与陡坡、量水设施等，具体内容如下：</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在固定输水渠道上的分水、控水、量水、衔接和交叉等建筑物应配套齐全；</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农桥应采用标准化跨径。桥长应与所跨沟渠宽度相适应，单跨宜不超过10m。桥宽宜与所连接道路的宽度相适应，宜不超过6m。应充分考虑荷载类型及最不利荷载组合，确保安全；</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渠道跨越排水沟或穿越道路时，宜在渠下或路下设置涵洞。涵洞应根据无压或有压要求确定拱形、圆形或矩形等横断面形式，涵洞的过流能力应与渠道的过流能力相匹配。承压较大的涵洞应使用钢筋混凝土管涵或方涵等其他耐压涵管，管涵应设混凝土或砌石管座；</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在灌溉渠道轮灌组分界处或渠道断面变化较大的地点应设节制闸；在分水渠道的进口处宜设置分水闸；在斗渠末端的位置宜设退水闸；从水源引水进入渠道时，宜设置进水闸控制入渠流量；</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跌水和陡坡应采用砌石、混凝土等抗冲耐磨材料建造；</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渠灌区在渠道的引水、分水、退水处应根据需要设置量水堰、量水槽等量水设施，井灌区应根据需要设置管道式量水仪表。</w:t>
      </w:r>
    </w:p>
    <w:p>
      <w:pPr>
        <w:pStyle w:val="145"/>
        <w:numPr>
          <w:ilvl w:val="0"/>
          <w:numId w:val="0"/>
        </w:numPr>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.10</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田间灌溉工程应根据气象、作物、地形、土壤、水源、水质，农业生产及发展、管理和经济社会等条件综合分析确定灌溉方式。</w:t>
      </w:r>
      <w:r>
        <w:rPr>
          <w:rFonts w:ascii="Times New Roman"/>
          <w:color w:val="0D0D0D" w:themeColor="text1" w:themeTint="F2"/>
          <w:highlight w:val="none"/>
          <w14:textFill>
            <w14:solidFill>
              <w14:schemeClr w14:val="tx1">
                <w14:lumMod w14:val="95000"/>
                <w14:lumOff w14:val="5000"/>
              </w14:schemeClr>
            </w14:solidFill>
          </w14:textFill>
        </w:rPr>
        <w:t>喷灌工程建设应满足GB/T</w:t>
      </w:r>
      <w:r>
        <w:rPr>
          <w:rFonts w:hint="default" w:ascii="Times New Roman"/>
          <w:color w:val="0D0D0D" w:themeColor="text1" w:themeTint="F2"/>
          <w:highlight w:val="none"/>
          <w14:textFill>
            <w14:solidFill>
              <w14:schemeClr w14:val="tx1">
                <w14:lumMod w14:val="95000"/>
                <w14:lumOff w14:val="5000"/>
              </w14:schemeClr>
            </w14:solidFill>
          </w14:textFill>
        </w:rPr>
        <w:t xml:space="preserve"> </w:t>
      </w:r>
      <w:r>
        <w:rPr>
          <w:rFonts w:ascii="Times New Roman"/>
          <w:color w:val="0D0D0D" w:themeColor="text1" w:themeTint="F2"/>
          <w:highlight w:val="none"/>
          <w14:textFill>
            <w14:solidFill>
              <w14:schemeClr w14:val="tx1">
                <w14:lumMod w14:val="95000"/>
                <w14:lumOff w14:val="5000"/>
              </w14:schemeClr>
            </w14:solidFill>
          </w14:textFill>
        </w:rPr>
        <w:t>50085的规定，微喷、滴灌和小管出流等形式的微灌工程建设，应满足GB/T 50485的规定，管道灌溉工程建设应满足GB/T 20203的规定。</w:t>
      </w:r>
    </w:p>
    <w:p>
      <w:pPr>
        <w:pStyle w:val="145"/>
        <w:numPr>
          <w:ilvl w:val="0"/>
          <w:numId w:val="0"/>
        </w:numPr>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.11</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color w:val="0D0D0D" w:themeColor="text1" w:themeTint="F2"/>
          <w:highlight w:val="none"/>
          <w14:textFill>
            <w14:solidFill>
              <w14:schemeClr w14:val="tx1">
                <w14:lumMod w14:val="95000"/>
                <w14:lumOff w14:val="5000"/>
              </w14:schemeClr>
            </w14:solidFill>
          </w14:textFill>
        </w:rPr>
        <w:t>农田排水标准应根据当地农业生产实际、当地或邻近类似地区排水试验资料和实践经验、农业基础条件等综合论证确定。</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.12</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t>排水工程设计标准应符合下列规定：</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排水标准应满足农田积水不超过作物最大耐淹水深和耐淹时间，应由设计暴雨重现期、设计暴雨历时和排除时间确定。旱作区农田排水设计暴雨重现期宜采用5</w:t>
      </w: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年</w:t>
      </w:r>
      <w:r>
        <w:rPr>
          <w:rFonts w:hint="default" w:ascii="Times New Roman"/>
          <w:color w:val="0D0D0D" w:themeColor="text1" w:themeTint="F2"/>
          <w:highlight w:val="none"/>
          <w14:textFill>
            <w14:solidFill>
              <w14:schemeClr w14:val="tx1">
                <w14:lumMod w14:val="95000"/>
                <w14:lumOff w14:val="5000"/>
              </w14:schemeClr>
            </w14:solidFill>
          </w14:textFill>
        </w:rPr>
        <w:t>～10</w:t>
      </w: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年</w:t>
      </w:r>
      <w:r>
        <w:rPr>
          <w:rFonts w:hint="default" w:ascii="Times New Roman"/>
          <w:color w:val="0D0D0D" w:themeColor="text1" w:themeTint="F2"/>
          <w:highlight w:val="none"/>
          <w14:textFill>
            <w14:solidFill>
              <w14:schemeClr w14:val="tx1">
                <w14:lumMod w14:val="95000"/>
                <w14:lumOff w14:val="5000"/>
              </w14:schemeClr>
            </w14:solidFill>
          </w14:textFill>
        </w:rPr>
        <w:t>一遇，1d～3d暴雨从作物受淹起1d～3d排至田面无积水；水稻区农田排水设计暴雨重现期宜采用10</w:t>
      </w: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年</w:t>
      </w:r>
      <w:r>
        <w:rPr>
          <w:rFonts w:hint="default" w:ascii="Times New Roman"/>
          <w:color w:val="0D0D0D" w:themeColor="text1" w:themeTint="F2"/>
          <w:highlight w:val="none"/>
          <w14:textFill>
            <w14:solidFill>
              <w14:schemeClr w14:val="tx1">
                <w14:lumMod w14:val="95000"/>
                <w14:lumOff w14:val="5000"/>
              </w14:schemeClr>
            </w14:solidFill>
          </w14:textFill>
        </w:rPr>
        <w:t>一遇，1d～3d暴雨3d～5d排至作物耐淹水深；</w:t>
      </w:r>
    </w:p>
    <w:p>
      <w:pPr>
        <w:pStyle w:val="145"/>
        <w:ind w:left="828"/>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治渍排水工程控制标准应根据农作物全生育期要求的最大排渍深度确定，可视作物根深不同而选用0.8m～1.3m。农田排渍标准，旱作区在作物对渍害敏感期间可采用3d～4d内将地下水埋深降至田面以下0.4m～0.6m；稻作区在晒田期3d～5d内降至田面以下0.4m～0.6m。</w:t>
      </w:r>
    </w:p>
    <w:p>
      <w:pPr>
        <w:pStyle w:val="145"/>
        <w:numPr>
          <w:ilvl w:val="0"/>
          <w:numId w:val="0"/>
        </w:numPr>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.13</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color w:val="0D0D0D" w:themeColor="text1" w:themeTint="F2"/>
          <w:highlight w:val="none"/>
          <w14:textFill>
            <w14:solidFill>
              <w14:schemeClr w14:val="tx1">
                <w14:lumMod w14:val="95000"/>
                <w14:lumOff w14:val="5000"/>
              </w14:schemeClr>
            </w14:solidFill>
          </w14:textFill>
        </w:rPr>
        <w:t>田间排水工程应根据涝、渍的成因，结合地形、降水、土壤、水文地质条件，兼顾生物多样性保护，因地制宜选择水平或垂直排水、自流或抽排及其结合的方式。根据排涝、排渍任务要求，在无塌坡或塌坡易于处理地区或地段，宜采用明沟排水，排水沟布置应与田间渠、路、林相协调，在平原地区一般与灌溉渠系相分离，在丘陵山区可选用灌排兼用或灌排分离的形式；排渍地区，当采用明沟降低地下水位，不易达到设计控制深度，或者明沟断面结构不稳定塌坡不易处理时，宜采用暗管排水；当采用明沟或暗管降低地下水位，不易达到设计控制深度时且含水层的水质和出水条件较好的地区可采用井排。</w:t>
      </w:r>
    </w:p>
    <w:p>
      <w:pPr>
        <w:pStyle w:val="145"/>
        <w:numPr>
          <w:ilvl w:val="0"/>
          <w:numId w:val="0"/>
        </w:numPr>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6.4</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.14</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color w:val="0D0D0D" w:themeColor="text1" w:themeTint="F2"/>
          <w:highlight w:val="none"/>
          <w14:textFill>
            <w14:solidFill>
              <w14:schemeClr w14:val="tx1">
                <w14:lumMod w14:val="95000"/>
                <w14:lumOff w14:val="5000"/>
              </w14:schemeClr>
            </w14:solidFill>
          </w14:textFill>
        </w:rPr>
        <w:t>农田水利设施外观应整洁美观。渠道及渠系建筑物外观轮廓线顺直，表面平整、光洁；设备应布置紧凑，表面整洁，仪器仪表配备齐全。</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49" w:name="_Toc27353"/>
      <w:r>
        <w:rPr>
          <w:rFonts w:hint="eastAsia" w:ascii="黑体" w:hAnsi="黑体" w:cs="黑体"/>
          <w:color w:val="0D0D0D" w:themeColor="text1" w:themeTint="F2"/>
          <w:highlight w:val="none"/>
          <w14:textFill>
            <w14:solidFill>
              <w14:schemeClr w14:val="tx1">
                <w14:lumMod w14:val="95000"/>
                <w14:lumOff w14:val="5000"/>
              </w14:schemeClr>
            </w14:solidFill>
          </w14:textFill>
        </w:rPr>
        <w:t>6.5</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田间道路</w:t>
      </w:r>
      <w:bookmarkEnd w:id="49"/>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6.5</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田间道路布置应适应农业现代化的需要，与田、水、林、电、路规划相衔接，优化机耕路、生产路布局，整修田间道路，充分利用现有公路，合理确定田间道路的密度、宽度等要求。</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6.5</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.2</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在集中连片的耕作田块中，田间道路直接通达的田块数占田块总数的比例，平原区应达到100%，丘陵、山区应不低于90%。</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6.5</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.3</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田间道路工程应减少占地面积，宜与沟渠、林带结合布置，提高土地节约集约利用率。应充分考虑宜机作业，宜设置必要的农机下田坡道、桥涵、错车道和末端掉头点等附属设施</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6.5</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.4</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田间道（机耕路）的路面宽度宜为3m～6m，生产路宽度不宜超过3m。</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6.5</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5</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当田间道与田面之间存在宽度或深度大于等于</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0.5m</w:t>
      </w:r>
      <w:r>
        <w:rPr>
          <w:rFonts w:hint="eastAsia"/>
          <w:color w:val="0D0D0D" w:themeColor="text1" w:themeTint="F2"/>
          <w:highlight w:val="none"/>
          <w14:textFill>
            <w14:solidFill>
              <w14:schemeClr w14:val="tx1">
                <w14:lumMod w14:val="95000"/>
                <w14:lumOff w14:val="5000"/>
              </w14:schemeClr>
            </w14:solidFill>
          </w14:textFill>
        </w:rPr>
        <w:t>的沟渠时，应设置下田涵管；当田面与路面的高度差大</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于0.5m</w:t>
      </w:r>
      <w:r>
        <w:rPr>
          <w:rFonts w:hint="eastAsia"/>
          <w:color w:val="0D0D0D" w:themeColor="text1" w:themeTint="F2"/>
          <w:highlight w:val="none"/>
          <w14:textFill>
            <w14:solidFill>
              <w14:schemeClr w14:val="tx1">
                <w14:lumMod w14:val="95000"/>
                <w14:lumOff w14:val="5000"/>
              </w14:schemeClr>
            </w14:solidFill>
          </w14:textFill>
        </w:rPr>
        <w:t>时，应设置下田坡道，</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纵坡坡度应小于15%。</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6.5</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田间道（机耕路）路面应满足强度、稳定性和平整度的要求，宜优先采用泥结石、碎石等路面。确有必要的地区可采用混凝土硬化路面。道路两侧可视情况设置路肩，路肩宽宜为30cm～50cm。在暴雨冲刷严重的区域，田间道路面应采用硬化措施。</w:t>
      </w:r>
    </w:p>
    <w:p>
      <w:pPr>
        <w:pStyle w:val="2"/>
        <w:ind w:firstLine="0" w:firstLineChars="0"/>
        <w:rPr>
          <w:rFonts w:ascii="Times New Roman" w:hAnsi="Times New Roman" w:cs="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6.5</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7</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生产路的路面层宜采用砂石路、泥结碎石路、石板路、混凝土路等。采用混凝土路面时，应设置路基，路基高度应高于田面，在水田区，其值应不小于0.5m，其他地区应不小于0.3m。</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50" w:name="_Toc24270"/>
      <w:r>
        <w:rPr>
          <w:rFonts w:hint="eastAsia" w:ascii="黑体" w:hAnsi="黑体" w:cs="黑体"/>
          <w:color w:val="0D0D0D" w:themeColor="text1" w:themeTint="F2"/>
          <w:highlight w:val="none"/>
          <w14:textFill>
            <w14:solidFill>
              <w14:schemeClr w14:val="tx1">
                <w14:lumMod w14:val="95000"/>
                <w14:lumOff w14:val="5000"/>
              </w14:schemeClr>
            </w14:solidFill>
          </w14:textFill>
        </w:rPr>
        <w:t>6.6</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农田防护和生态环境保护</w:t>
      </w:r>
      <w:bookmarkEnd w:id="50"/>
    </w:p>
    <w:p>
      <w:pPr>
        <w:rPr>
          <w:color w:val="0D0D0D" w:themeColor="text1" w:themeTint="F2"/>
          <w:sz w:val="28"/>
          <w:szCs w:val="28"/>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在水土流失易发区，应合理修筑岸坡防护、沟道治理、坡面防护等设施，提高水土保持和防洪能力。受防护农田面积比例不应低于90%,防洪标准应达到10</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20</w:t>
      </w:r>
      <w:r>
        <w:rPr>
          <w:rFonts w:hint="default" w:ascii="Times New Roman" w:hAnsi="Times New Roman"/>
          <w:color w:val="0D0D0D" w:themeColor="text1" w:themeTint="F2"/>
          <w:kern w:val="0"/>
          <w:szCs w:val="21"/>
          <w:highlight w:val="none"/>
          <w:lang w:val="en-US" w:eastAsia="zh-CN"/>
          <w14:textFill>
            <w14:solidFill>
              <w14:schemeClr w14:val="tx1">
                <w14:lumMod w14:val="95000"/>
                <w14:lumOff w14:val="5000"/>
              </w14:schemeClr>
            </w14:solidFill>
          </w14:textFill>
        </w:rPr>
        <w:t>年</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一遇。</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2</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农田林网工程布设应与田块、沟渠、道路有机衔接。在有显著主害风的地区，宜采取长方形网格配置，应尽可能与生态林、环村林等相结合。</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3</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在建设农田林网工程时，应选择表现良好的乡土树种和适合本地条件的配置方式。一般宽林带可采用不同树种混交配置，窄林带可为纯林。</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4</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林木成活率宜达</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到90%以上，三年后保存率宜达到85%</w:t>
      </w:r>
      <w:r>
        <w:rPr>
          <w:color w:val="0D0D0D" w:themeColor="text1" w:themeTint="F2"/>
          <w:highlight w:val="none"/>
          <w14:textFill>
            <w14:solidFill>
              <w14:schemeClr w14:val="tx1">
                <w14:lumMod w14:val="95000"/>
                <w14:lumOff w14:val="5000"/>
              </w14:schemeClr>
            </w14:solidFill>
          </w14:textFill>
        </w:rPr>
        <w:t>以上，林相整齐，结构合理｡</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5</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主要农田防护林类型区的农田林网设计、农田防护林工程主要造林树（品）种及适宜密度应</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按GB/T 50817的有关规</w:t>
      </w:r>
      <w:r>
        <w:rPr>
          <w:color w:val="0D0D0D" w:themeColor="text1" w:themeTint="F2"/>
          <w:highlight w:val="none"/>
          <w14:textFill>
            <w14:solidFill>
              <w14:schemeClr w14:val="tx1">
                <w14:lumMod w14:val="95000"/>
                <w14:lumOff w14:val="5000"/>
              </w14:schemeClr>
            </w14:solidFill>
          </w14:textFill>
        </w:rPr>
        <w:t>定执行。</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6</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不同堤型、不同等级的护堤堤顶高度、宽度、边坡度和防冲刷应</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按照GB 50286执</w:t>
      </w:r>
      <w:r>
        <w:rPr>
          <w:color w:val="0D0D0D" w:themeColor="text1" w:themeTint="F2"/>
          <w:highlight w:val="none"/>
          <w14:textFill>
            <w14:solidFill>
              <w14:schemeClr w14:val="tx1">
                <w14:lumMod w14:val="95000"/>
                <w14:lumOff w14:val="5000"/>
              </w14:schemeClr>
            </w14:solidFill>
          </w14:textFill>
        </w:rPr>
        <w:t>行。</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7</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岸坡防护可采用土堤、干砌石、浆砌石、石笼或混凝土等方式。</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8</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应合理布置截水沟、排洪沟等工程，系统拦蓄和排泄坡面径流，形成配套完善的坡面和沟道防护体系。截水沟、排洪沟应分别按照</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GB/T 16453.4、GB 50288的</w:t>
      </w:r>
      <w:r>
        <w:rPr>
          <w:color w:val="0D0D0D" w:themeColor="text1" w:themeTint="F2"/>
          <w:highlight w:val="none"/>
          <w14:textFill>
            <w14:solidFill>
              <w14:schemeClr w14:val="tx1">
                <w14:lumMod w14:val="95000"/>
                <w14:lumOff w14:val="5000"/>
              </w14:schemeClr>
            </w14:solidFill>
          </w14:textFill>
        </w:rPr>
        <w:t>规定执行。</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6.6</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lang w:val="en-US" w:eastAsia="zh-CN"/>
          <w14:textFill>
            <w14:solidFill>
              <w14:schemeClr w14:val="tx1">
                <w14:lumMod w14:val="95000"/>
                <w14:lumOff w14:val="5000"/>
              </w14:schemeClr>
            </w14:solidFill>
          </w14:textFill>
        </w:rPr>
        <w:t>9</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平原河网区在沟道岸顶、坡面和水边，应利用植物的根、茎、叶来护岸固坡，形成自然生态型防护工程。丘陵山地区和丘岗冲垅区应采用天然石材、木材、植物保护岸坡的工程生态型防护工程。沟道截弯取直应按</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照GB 50707执</w:t>
      </w:r>
      <w:r>
        <w:rPr>
          <w:color w:val="0D0D0D" w:themeColor="text1" w:themeTint="F2"/>
          <w:highlight w:val="none"/>
          <w14:textFill>
            <w14:solidFill>
              <w14:schemeClr w14:val="tx1">
                <w14:lumMod w14:val="95000"/>
                <w14:lumOff w14:val="5000"/>
              </w14:schemeClr>
            </w14:solidFill>
          </w14:textFill>
        </w:rPr>
        <w:t>行。</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51" w:name="_Toc1077"/>
      <w:r>
        <w:rPr>
          <w:rFonts w:hint="eastAsia" w:ascii="黑体" w:hAnsi="黑体" w:cs="黑体"/>
          <w:color w:val="0D0D0D" w:themeColor="text1" w:themeTint="F2"/>
          <w:highlight w:val="none"/>
          <w14:textFill>
            <w14:solidFill>
              <w14:schemeClr w14:val="tx1">
                <w14:lumMod w14:val="95000"/>
                <w14:lumOff w14:val="5000"/>
              </w14:schemeClr>
            </w14:solidFill>
          </w14:textFill>
        </w:rPr>
        <w:t>6.7</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农田输配电</w:t>
      </w:r>
      <w:bookmarkEnd w:id="51"/>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.1</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农田输配电工程布设应与田间道路、农田水利等工程相结合，符合电力系统安装与运行相关标准，保证用电质量和安全。</w:t>
      </w:r>
    </w:p>
    <w:p>
      <w:pPr>
        <w:rPr>
          <w:color w:val="0D0D0D" w:themeColor="text1" w:themeTint="F2"/>
          <w:sz w:val="28"/>
          <w:szCs w:val="28"/>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.2</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农网线路宜采用10kV及以下电压等级，包括10kV、1kV、380V和220V，应设立相应标识。</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.3</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t>农田输配电建设应与当地电网建设规划相协调。</w:t>
      </w:r>
    </w:p>
    <w:p>
      <w:pPr>
        <w:rPr>
          <w:rFonts w:ascii="Times New Roman" w:hAnsi="Times New Roman"/>
          <w:color w:val="0D0D0D" w:themeColor="text1" w:themeTint="F2"/>
          <w:kern w:val="0"/>
          <w:szCs w:val="21"/>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.4</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kern w:val="0"/>
          <w:szCs w:val="21"/>
          <w:highlight w:val="none"/>
          <w14:textFill>
            <w14:solidFill>
              <w14:schemeClr w14:val="tx1">
                <w14:lumMod w14:val="95000"/>
                <w14:lumOff w14:val="5000"/>
              </w14:schemeClr>
            </w14:solidFill>
          </w14:textFill>
        </w:rPr>
        <w:t>农田输配电线路应采用架空绝缘导线，其技术性能应符合GB/T 1179、GB/T 14049、GB/T 12527等规定。</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5</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color w:val="0D0D0D" w:themeColor="text1" w:themeTint="F2"/>
          <w:highlight w:val="none"/>
          <w14:textFill>
            <w14:solidFill>
              <w14:schemeClr w14:val="tx1">
                <w14:lumMod w14:val="95000"/>
                <w14:lumOff w14:val="5000"/>
              </w14:schemeClr>
            </w14:solidFill>
          </w14:textFill>
        </w:rPr>
        <w:t>农田输配电设备接地方式宜采</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用TT系统，对安全有特殊要求的宜采用IT系统</w:t>
      </w:r>
      <w:r>
        <w:rPr>
          <w:color w:val="0D0D0D" w:themeColor="text1" w:themeTint="F2"/>
          <w:highlight w:val="none"/>
          <w14:textFill>
            <w14:solidFill>
              <w14:schemeClr w14:val="tx1">
                <w14:lumMod w14:val="95000"/>
                <w14:lumOff w14:val="5000"/>
              </w14:schemeClr>
            </w14:solidFill>
          </w14:textFill>
        </w:rPr>
        <w:t>。</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应根据输送容量、供电半径选择输配电线路导线截面和输送方式，合理布设配电室，提高输配电效率。配电室设计应执</w:t>
      </w:r>
      <w:r>
        <w:rPr>
          <w:rFonts w:hint="default" w:ascii="Times New Roman" w:hAnsi="Times New Roman" w:cs="Times New Roman"/>
          <w:color w:val="0D0D0D" w:themeColor="text1" w:themeTint="F2"/>
          <w:highlight w:val="none"/>
          <w14:textFill>
            <w14:solidFill>
              <w14:schemeClr w14:val="tx1">
                <w14:lumMod w14:val="95000"/>
                <w14:lumOff w14:val="5000"/>
              </w14:schemeClr>
            </w14:solidFill>
          </w14:textFill>
        </w:rPr>
        <w:t>行GB 50053有关规定</w:t>
      </w:r>
      <w:r>
        <w:rPr>
          <w:rFonts w:hint="eastAsia"/>
          <w:color w:val="0D0D0D" w:themeColor="text1" w:themeTint="F2"/>
          <w:highlight w:val="none"/>
          <w14:textFill>
            <w14:solidFill>
              <w14:schemeClr w14:val="tx1">
                <w14:lumMod w14:val="95000"/>
                <w14:lumOff w14:val="5000"/>
              </w14:schemeClr>
            </w14:solidFill>
          </w14:textFill>
        </w:rPr>
        <w:t>，并应特别采取防潮、防鼠虫害等措施，保证运行安全。</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7</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输配电线路的线间距应在保障安全的前提下，结合运行经验确定；塔杆宜采用钢筋混凝土杆。应在塔杆上标明线路的名称、代号、塔杆号和警示标识等；塔基宜选用钢筋混凝土基础或混凝土基础。</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8</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农田输配电线路导线截面应根据用电负荷计算，并结合地区配电网发展规划确定。</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9</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根据高标准农田现代化、信息化的建设和管理要求，可根据需要建设农情信息采集、农情监测分析预警、生产管理、决策指挥调度等智慧农业系统。</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10</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可布设弱电设施服务于通讯、物联网、病虫害监测、土壤墒情监测、气象设施等农田现代化建设和管理。弱电工程建设应执行有关标准规定。</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11</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对适宜电力灌排和信息化的农田，应铺设高压和低压输电线路，配套建设变配电设施，为泵站、机井以及信息化工程等提供电力保障。</w:t>
      </w:r>
    </w:p>
    <w:p>
      <w:pPr>
        <w:pStyle w:val="2"/>
        <w:ind w:firstLine="0" w:firstLineChars="0"/>
        <w:rPr>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6.7</w:t>
      </w:r>
      <w:r>
        <w:rPr>
          <w:rFonts w:hint="eastAsia" w:ascii="黑体" w:hAnsi="黑体" w:eastAsia="黑体" w:cs="黑体"/>
          <w:color w:val="0D0D0D" w:themeColor="text1" w:themeTint="F2"/>
          <w:szCs w:val="21"/>
          <w:highlight w:val="none"/>
          <w:lang w:eastAsia="zh-Hans"/>
          <w14:textFill>
            <w14:solidFill>
              <w14:schemeClr w14:val="tx1">
                <w14:lumMod w14:val="95000"/>
                <w14:lumOff w14:val="5000"/>
              </w14:schemeClr>
            </w14:solidFill>
          </w14:textFill>
        </w:rPr>
        <w:t>.</w:t>
      </w:r>
      <w:r>
        <w:rPr>
          <w:rFonts w:hint="eastAsia" w:ascii="黑体" w:hAnsi="黑体" w:eastAsia="黑体" w:cs="黑体"/>
          <w:color w:val="0D0D0D" w:themeColor="text1" w:themeTint="F2"/>
          <w:szCs w:val="21"/>
          <w:highlight w:val="none"/>
          <w14:textFill>
            <w14:solidFill>
              <w14:schemeClr w14:val="tx1">
                <w14:lumMod w14:val="95000"/>
                <w14:lumOff w14:val="5000"/>
              </w14:schemeClr>
            </w14:solidFill>
          </w14:textFill>
        </w:rPr>
        <w:t>12</w:t>
      </w:r>
      <w:r>
        <w:rPr>
          <w:rFonts w:hint="default" w:ascii="Times New Roman" w:hAnsi="Times New Roman" w:eastAsia="黑体"/>
          <w:color w:val="0D0D0D" w:themeColor="text1" w:themeTint="F2"/>
          <w:szCs w:val="21"/>
          <w:highlight w:val="none"/>
          <w14:textFill>
            <w14:solidFill>
              <w14:schemeClr w14:val="tx1">
                <w14:lumMod w14:val="95000"/>
                <w14:lumOff w14:val="5000"/>
              </w14:schemeClr>
            </w14:solidFill>
          </w14:textFill>
        </w:rPr>
        <w:t xml:space="preserve">  </w:t>
      </w:r>
      <w:r>
        <w:rPr>
          <w:rFonts w:hint="eastAsia"/>
          <w:color w:val="0D0D0D" w:themeColor="text1" w:themeTint="F2"/>
          <w:highlight w:val="none"/>
          <w14:textFill>
            <w14:solidFill>
              <w14:schemeClr w14:val="tx1">
                <w14:lumMod w14:val="95000"/>
                <w14:lumOff w14:val="5000"/>
              </w14:schemeClr>
            </w14:solidFill>
          </w14:textFill>
        </w:rPr>
        <w:t>输配电设施布设应与田间道路、灌溉与排水等工程相结合。</w:t>
      </w:r>
    </w:p>
    <w:p>
      <w:pPr>
        <w:pStyle w:val="100"/>
        <w:spacing w:before="240" w:after="240"/>
        <w:outlineLvl w:val="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52" w:name="_Toc25391"/>
      <w:bookmarkStart w:id="53" w:name="_Toc31707"/>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建设监管</w:t>
      </w:r>
      <w:bookmarkEnd w:id="52"/>
      <w:bookmarkEnd w:id="53"/>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54" w:name="_Toc23114"/>
      <w:r>
        <w:rPr>
          <w:rFonts w:hint="eastAsia" w:ascii="黑体" w:hAnsi="黑体" w:cs="黑体"/>
          <w:color w:val="0D0D0D" w:themeColor="text1" w:themeTint="F2"/>
          <w:highlight w:val="none"/>
          <w14:textFill>
            <w14:solidFill>
              <w14:schemeClr w14:val="tx1">
                <w14:lumMod w14:val="95000"/>
                <w14:lumOff w14:val="5000"/>
              </w14:schemeClr>
            </w14:solidFill>
          </w14:textFill>
        </w:rPr>
        <w:t>7.1</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质量</w:t>
      </w:r>
      <w:r>
        <w:rPr>
          <w:rFonts w:hint="default" w:ascii="Times New Roman" w:hAnsi="Times New Roman"/>
          <w:color w:val="0D0D0D" w:themeColor="text1" w:themeTint="F2"/>
          <w:highlight w:val="none"/>
          <w:lang w:eastAsia="zh-Hans"/>
          <w14:textFill>
            <w14:solidFill>
              <w14:schemeClr w14:val="tx1">
                <w14:lumMod w14:val="95000"/>
                <w14:lumOff w14:val="5000"/>
              </w14:schemeClr>
            </w14:solidFill>
          </w14:textFill>
        </w:rPr>
        <w:t>管理</w:t>
      </w:r>
      <w:bookmarkEnd w:id="54"/>
    </w:p>
    <w:p>
      <w:pPr>
        <w:pStyle w:val="101"/>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7.1.1</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高标准农田建设项目应实行项目法人制、招标投标制、工程监理制、合同管理制等，实现项目精细化管理，严格执行相关建设标准和规范，落实工程质量管理责任，确保建设质量。</w:t>
      </w:r>
    </w:p>
    <w:p>
      <w:pPr>
        <w:pStyle w:val="101"/>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7.1.2</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lang w:eastAsia="zh-CN"/>
          <w14:textFill>
            <w14:solidFill>
              <w14:schemeClr w14:val="tx1">
                <w14:lumMod w14:val="95000"/>
                <w14:lumOff w14:val="5000"/>
              </w14:schemeClr>
            </w14:solidFill>
          </w14:textFill>
        </w:rPr>
        <w:t>农业主管部门</w:t>
      </w:r>
      <w:r>
        <w:rPr>
          <w:rFonts w:hint="default" w:ascii="Times New Roman"/>
          <w:color w:val="0D0D0D" w:themeColor="text1" w:themeTint="F2"/>
          <w:highlight w:val="none"/>
          <w14:textFill>
            <w14:solidFill>
              <w14:schemeClr w14:val="tx1">
                <w14:lumMod w14:val="95000"/>
                <w14:lumOff w14:val="5000"/>
              </w14:schemeClr>
            </w14:solidFill>
          </w14:textFill>
        </w:rPr>
        <w:t>应依据GB/T 33469在建设项目实施前后及时开展耕地质量等级调查，评价高标准农田粮食产能水平。</w:t>
      </w:r>
    </w:p>
    <w:p>
      <w:pPr>
        <w:pStyle w:val="101"/>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7.1.3</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lang w:eastAsia="zh-CN"/>
          <w14:textFill>
            <w14:solidFill>
              <w14:schemeClr w14:val="tx1">
                <w14:lumMod w14:val="95000"/>
                <w14:lumOff w14:val="5000"/>
              </w14:schemeClr>
            </w14:solidFill>
          </w14:textFill>
        </w:rPr>
        <w:t>农业主管部门</w:t>
      </w:r>
      <w:r>
        <w:rPr>
          <w:rFonts w:hint="default" w:ascii="Times New Roman"/>
          <w:color w:val="0D0D0D" w:themeColor="text1" w:themeTint="F2"/>
          <w:highlight w:val="none"/>
          <w14:textFill>
            <w14:solidFill>
              <w14:schemeClr w14:val="tx1">
                <w14:lumMod w14:val="95000"/>
                <w14:lumOff w14:val="5000"/>
              </w14:schemeClr>
            </w14:solidFill>
          </w14:textFill>
        </w:rPr>
        <w:t>应及时公开项目建设相关信息，在项目区设立统一规范的公示标牌和标志，接受社会和群众监督。</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55" w:name="_Toc14348"/>
      <w:r>
        <w:rPr>
          <w:rFonts w:hint="eastAsia" w:ascii="黑体" w:hAnsi="黑体" w:cs="黑体"/>
          <w:color w:val="0D0D0D" w:themeColor="text1" w:themeTint="F2"/>
          <w:highlight w:val="none"/>
          <w14:textFill>
            <w14:solidFill>
              <w14:schemeClr w14:val="tx1">
                <w14:lumMod w14:val="95000"/>
                <w14:lumOff w14:val="5000"/>
              </w14:schemeClr>
            </w14:solidFill>
          </w14:textFill>
        </w:rPr>
        <w:t>7.2</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档案信息管理</w:t>
      </w:r>
      <w:bookmarkEnd w:id="55"/>
    </w:p>
    <w:p>
      <w:pPr>
        <w:pStyle w:val="101"/>
        <w:spacing w:before="50" w:after="50"/>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7.2.1</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高标准农田建设项目的立项、实施、验收、使用等各阶段信息应及时上图入库。</w:t>
      </w:r>
    </w:p>
    <w:p>
      <w:pPr>
        <w:pStyle w:val="101"/>
        <w:spacing w:before="50" w:after="50"/>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7.2.2</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宜综合运用航空航天遥感、卫星导航定位、地理信息系统、移动通信、区块链等现代信息技术手段，构建天空地一体的立体化监测监管体系，实现高标准农田建设的有据可查、全程监控、精准管理。</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7.2.3</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应落实各级部门关于政务信息资源共享管理要求，完善部门间信息共享机制，实现农田建设、保护、利用信息的互通共享。</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56" w:name="_Toc6155"/>
      <w:r>
        <w:rPr>
          <w:rFonts w:hint="eastAsia" w:ascii="黑体" w:hAnsi="黑体" w:cs="黑体"/>
          <w:color w:val="0D0D0D" w:themeColor="text1" w:themeTint="F2"/>
          <w:highlight w:val="none"/>
          <w14:textFill>
            <w14:solidFill>
              <w14:schemeClr w14:val="tx1">
                <w14:lumMod w14:val="95000"/>
                <w14:lumOff w14:val="5000"/>
              </w14:schemeClr>
            </w14:solidFill>
          </w14:textFill>
        </w:rPr>
        <w:t>7.3</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 xml:space="preserve">  竣工验收</w:t>
      </w:r>
      <w:bookmarkEnd w:id="56"/>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7.3.1</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农业主管部门应根据现行农田建设项目管理规定，组织开展项目竣工验收和监督抽查，并将验收结果逐级上报。</w:t>
      </w:r>
    </w:p>
    <w:p>
      <w:pPr>
        <w:pStyle w:val="101"/>
        <w:spacing w:before="50" w:after="50"/>
        <w:ind w:firstLine="0"/>
        <w:rPr>
          <w:rFonts w:ascii="Times New Roman"/>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7.3.2</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竣工验收合格的项目应核发农业农村部统一格式的竣工验收合格证书。</w:t>
      </w:r>
    </w:p>
    <w:p>
      <w:pPr>
        <w:pStyle w:val="101"/>
        <w:spacing w:before="50" w:after="50"/>
        <w:ind w:firstLine="0"/>
        <w:rPr>
          <w:rFonts w:ascii="Times New Roman" w:eastAsia="黑体"/>
          <w:color w:val="0D0D0D" w:themeColor="text1" w:themeTint="F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7.3.3</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项目竣工验收后，应按照高标准农田档案管理有关规定，做好项目档案的收集、整理、组卷、存档工作。</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7.3.4</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工程竣工验收后，应及时按照有关规定办理交付利用手续，做好登记造册。</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7.3.5</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应明确工程设施的所有权和使用权。需要变更权属的，应及时办理变更登记发证，确保建成后的高标准农田权属清晰。</w:t>
      </w:r>
    </w:p>
    <w:p>
      <w:pPr>
        <w:pStyle w:val="100"/>
        <w:spacing w:before="240" w:after="240"/>
        <w:outlineLvl w:val="0"/>
        <w:rPr>
          <w:rFonts w:ascii="Times New Roman" w:hAnsi="Times New Roman"/>
          <w:color w:val="0D0D0D" w:themeColor="text1" w:themeTint="F2"/>
          <w:szCs w:val="21"/>
          <w:highlight w:val="none"/>
          <w14:textFill>
            <w14:solidFill>
              <w14:schemeClr w14:val="tx1">
                <w14:lumMod w14:val="95000"/>
                <w14:lumOff w14:val="5000"/>
              </w14:schemeClr>
            </w14:solidFill>
          </w14:textFill>
        </w:rPr>
      </w:pPr>
      <w:bookmarkStart w:id="57" w:name="_Toc7918"/>
      <w:r>
        <w:rPr>
          <w:rFonts w:hint="default" w:ascii="Times New Roman" w:hAnsi="Times New Roman"/>
          <w:color w:val="0D0D0D" w:themeColor="text1" w:themeTint="F2"/>
          <w:szCs w:val="21"/>
          <w:highlight w:val="none"/>
          <w14:textFill>
            <w14:solidFill>
              <w14:schemeClr w14:val="tx1">
                <w14:lumMod w14:val="95000"/>
                <w14:lumOff w14:val="5000"/>
              </w14:schemeClr>
            </w14:solidFill>
          </w14:textFill>
        </w:rPr>
        <w:t>维护</w:t>
      </w:r>
      <w:r>
        <w:rPr>
          <w:rFonts w:ascii="Times New Roman" w:hAnsi="Times New Roman"/>
          <w:color w:val="0D0D0D" w:themeColor="text1" w:themeTint="F2"/>
          <w:szCs w:val="21"/>
          <w:highlight w:val="none"/>
          <w14:textFill>
            <w14:solidFill>
              <w14:schemeClr w14:val="tx1">
                <w14:lumMod w14:val="95000"/>
                <w14:lumOff w14:val="5000"/>
              </w14:schemeClr>
            </w14:solidFill>
          </w14:textFill>
        </w:rPr>
        <w:t>与利用</w:t>
      </w:r>
      <w:bookmarkEnd w:id="57"/>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58" w:name="_Toc7569"/>
      <w:r>
        <w:rPr>
          <w:rFonts w:hint="eastAsia" w:ascii="黑体" w:hAnsi="黑体" w:cs="黑体"/>
          <w:color w:val="0D0D0D" w:themeColor="text1" w:themeTint="F2"/>
          <w:highlight w:val="none"/>
          <w14:textFill>
            <w14:solidFill>
              <w14:schemeClr w14:val="tx1">
                <w14:lumMod w14:val="95000"/>
                <w14:lumOff w14:val="5000"/>
              </w14:schemeClr>
            </w14:solidFill>
          </w14:textFill>
        </w:rPr>
        <w:t>8.1</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基本农田划定与保护</w:t>
      </w:r>
      <w:bookmarkEnd w:id="58"/>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8.1.1</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整治后的农田应按照TD/T 1032的规定进行基本农田划定。</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8.1.2</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应编制、更新基本农田相关图、表、册，完善基本农田数据库，设立统一标识，落实保护责任，实行永久保护。</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59" w:name="_Toc4082"/>
      <w:r>
        <w:rPr>
          <w:rFonts w:hint="eastAsia" w:ascii="黑体" w:hAnsi="黑体" w:cs="黑体"/>
          <w:color w:val="0D0D0D" w:themeColor="text1" w:themeTint="F2"/>
          <w:highlight w:val="none"/>
          <w14:textFill>
            <w14:solidFill>
              <w14:schemeClr w14:val="tx1">
                <w14:lumMod w14:val="95000"/>
                <w14:lumOff w14:val="5000"/>
              </w14:schemeClr>
            </w14:solidFill>
          </w14:textFill>
        </w:rPr>
        <w:t>8.2</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土壤培肥</w:t>
      </w:r>
      <w:bookmarkEnd w:id="59"/>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8.2.1</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整治后的农田应通过施有机肥、秸秆还田、种植绿肥等措施，实现土壤肥力保持或持续提高，使土壤有机质含量达到当地中值以上水平。</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8.2.2</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整治后的农田应持续实施测土配方施肥，覆盖率应达到95%以上，保持土壤养分平衡，各项养分含量指标达到并保持在当地土壤养分丰缺指标体系的中值水平以上。</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60" w:name="_Toc13663"/>
      <w:r>
        <w:rPr>
          <w:rFonts w:hint="eastAsia" w:ascii="黑体" w:hAnsi="黑体" w:cs="黑体"/>
          <w:color w:val="0D0D0D" w:themeColor="text1" w:themeTint="F2"/>
          <w:highlight w:val="none"/>
          <w14:textFill>
            <w14:solidFill>
              <w14:schemeClr w14:val="tx1">
                <w14:lumMod w14:val="95000"/>
                <w14:lumOff w14:val="5000"/>
              </w14:schemeClr>
            </w14:solidFill>
          </w14:textFill>
        </w:rPr>
        <w:t>8.3</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hAnsi="Times New Roman"/>
          <w:color w:val="0D0D0D" w:themeColor="text1" w:themeTint="F2"/>
          <w:highlight w:val="none"/>
          <w14:textFill>
            <w14:solidFill>
              <w14:schemeClr w14:val="tx1">
                <w14:lumMod w14:val="95000"/>
                <w14:lumOff w14:val="5000"/>
              </w14:schemeClr>
            </w14:solidFill>
          </w14:textFill>
        </w:rPr>
        <w:t>农业科技配套与应用</w:t>
      </w:r>
      <w:bookmarkEnd w:id="60"/>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8.3.1</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划定为高标准农田后，应加强农业科技配套与应用，机械化耕、种、收综合作业水平应达到70%以上。</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8.3.2</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高标准农田优良品种覆盖率应达到95%以上，病虫害统防统治覆盖率应达到50%以上，有条件的地方应推广保护性耕作技术和节水农业技术。</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61" w:name="_Toc14620"/>
      <w:r>
        <w:rPr>
          <w:rFonts w:hint="eastAsia" w:ascii="黑体" w:hAnsi="黑体" w:cs="黑体"/>
          <w:color w:val="0D0D0D" w:themeColor="text1" w:themeTint="F2"/>
          <w:highlight w:val="none"/>
          <w14:textFill>
            <w14:solidFill>
              <w14:schemeClr w14:val="tx1">
                <w14:lumMod w14:val="95000"/>
                <w14:lumOff w14:val="5000"/>
              </w14:schemeClr>
            </w14:solidFill>
          </w14:textFill>
        </w:rPr>
        <w:t>8.4</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0"/>
          <w:highlight w:val="none"/>
          <w14:textFill>
            <w14:solidFill>
              <w14:schemeClr w14:val="tx1">
                <w14:lumMod w14:val="95000"/>
                <w14:lumOff w14:val="5000"/>
              </w14:schemeClr>
            </w14:solidFill>
          </w14:textFill>
        </w:rPr>
        <w:t>工程管护</w:t>
      </w:r>
      <w:bookmarkEnd w:id="61"/>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 xml:space="preserve">8.4.1 </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应建立政府主导，农村集体经济组织和农民管理，专业管护人员实施的管护体系。</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8.4.2</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应按照“谁收益，谁管护”的原则，明确管护责任，落实管护主体。</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8.4.3</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管护主体应对各项工程设施进行日常性检查维护，确保长期有效利用。</w:t>
      </w:r>
    </w:p>
    <w:p>
      <w:pPr>
        <w:pStyle w:val="51"/>
        <w:spacing w:before="120" w:after="120"/>
        <w:outlineLvl w:val="1"/>
        <w:rPr>
          <w:rFonts w:ascii="Times New Roman" w:hAnsi="Times New Roman"/>
          <w:color w:val="0D0D0D" w:themeColor="text1" w:themeTint="F2"/>
          <w:highlight w:val="none"/>
          <w14:textFill>
            <w14:solidFill>
              <w14:schemeClr w14:val="tx1">
                <w14:lumMod w14:val="95000"/>
                <w14:lumOff w14:val="5000"/>
              </w14:schemeClr>
            </w14:solidFill>
          </w14:textFill>
        </w:rPr>
      </w:pPr>
      <w:bookmarkStart w:id="62" w:name="_Toc21704"/>
      <w:r>
        <w:rPr>
          <w:rFonts w:hint="eastAsia" w:ascii="黑体" w:hAnsi="黑体" w:cs="黑体"/>
          <w:color w:val="0D0D0D" w:themeColor="text1" w:themeTint="F2"/>
          <w:highlight w:val="none"/>
          <w14:textFill>
            <w14:solidFill>
              <w14:schemeClr w14:val="tx1">
                <w14:lumMod w14:val="95000"/>
                <w14:lumOff w14:val="5000"/>
              </w14:schemeClr>
            </w14:solidFill>
          </w14:textFill>
        </w:rPr>
        <w:t>8.5</w:t>
      </w:r>
      <w:r>
        <w:rPr>
          <w:rFonts w:ascii="Times New Roman" w:hAns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0"/>
          <w:highlight w:val="none"/>
          <w14:textFill>
            <w14:solidFill>
              <w14:schemeClr w14:val="tx1">
                <w14:lumMod w14:val="95000"/>
                <w14:lumOff w14:val="5000"/>
              </w14:schemeClr>
            </w14:solidFill>
          </w14:textFill>
        </w:rPr>
        <w:t>信息报备与档案管理</w:t>
      </w:r>
      <w:bookmarkEnd w:id="62"/>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8.5.1</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应充分利用国土资源综合信息监管平台，完善定期报备制度，统筹信息的采集和处理，实现集中统一，全程全面，实时动态的管理。</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8.5.2</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应及时将记载土地整治高标准农田建设过程的有关管理、技术等文件，以及具有保存价值的各种载体资料进行立卷归档，确保资料真实、准确、完整。</w:t>
      </w:r>
    </w:p>
    <w:p>
      <w:pPr>
        <w:pStyle w:val="101"/>
        <w:spacing w:before="50" w:after="50"/>
        <w:ind w:firstLine="0"/>
        <w:rPr>
          <w:rFonts w:ascii="Times New Roman"/>
          <w:color w:val="0D0D0D" w:themeColor="text1" w:themeTint="F2"/>
          <w:szCs w:val="22"/>
          <w:highlight w:val="none"/>
          <w14:textFill>
            <w14:solidFill>
              <w14:schemeClr w14:val="tx1">
                <w14:lumMod w14:val="95000"/>
                <w14:lumOff w14:val="5000"/>
              </w14:schemeClr>
            </w14:solidFill>
          </w14:textFill>
        </w:rPr>
      </w:pPr>
      <w:r>
        <w:rPr>
          <w:rFonts w:hint="eastAsia" w:ascii="黑体" w:hAnsi="黑体" w:eastAsia="黑体" w:cs="黑体"/>
          <w:color w:val="0D0D0D" w:themeColor="text1" w:themeTint="F2"/>
          <w:highlight w:val="none"/>
          <w14:textFill>
            <w14:solidFill>
              <w14:schemeClr w14:val="tx1">
                <w14:lumMod w14:val="95000"/>
                <w14:lumOff w14:val="5000"/>
              </w14:schemeClr>
            </w14:solidFill>
          </w14:textFill>
        </w:rPr>
        <w:t>8.5.3</w:t>
      </w:r>
      <w:r>
        <w:rPr>
          <w:rFonts w:hint="default" w:ascii="Times New Roman" w:eastAsia="黑体"/>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szCs w:val="22"/>
          <w:highlight w:val="none"/>
          <w14:textFill>
            <w14:solidFill>
              <w14:schemeClr w14:val="tx1">
                <w14:lumMod w14:val="95000"/>
                <w14:lumOff w14:val="5000"/>
              </w14:schemeClr>
            </w14:solidFill>
          </w14:textFill>
        </w:rPr>
        <w:t>经竣工验收合格的资料，应按照有关档案管理规定，移交给运行管理单位和档案管理部门永久保管。</w:t>
      </w:r>
      <w:bookmarkStart w:id="67" w:name="_GoBack"/>
      <w:bookmarkEnd w:id="67"/>
    </w:p>
    <w:bookmarkEnd w:id="45"/>
    <w:bookmarkEnd w:id="46"/>
    <w:p>
      <w:pPr>
        <w:pStyle w:val="91"/>
        <w:rPr>
          <w:rFonts w:ascii="Times New Roman"/>
          <w:color w:val="0D0D0D" w:themeColor="text1" w:themeTint="F2"/>
          <w:highlight w:val="none"/>
          <w14:textFill>
            <w14:solidFill>
              <w14:schemeClr w14:val="tx1">
                <w14:lumMod w14:val="95000"/>
                <w14:lumOff w14:val="5000"/>
              </w14:schemeClr>
            </w14:solidFill>
          </w14:textFill>
        </w:rPr>
      </w:pPr>
      <w:bookmarkStart w:id="63" w:name="标准参考文献"/>
      <w:bookmarkEnd w:id="63"/>
      <w:bookmarkStart w:id="64" w:name="_Toc66883229"/>
      <w:bookmarkStart w:id="65" w:name="_Toc10135"/>
      <w:bookmarkStart w:id="66" w:name="_Toc17481"/>
      <w:r>
        <w:rPr>
          <w:rFonts w:hint="default" w:ascii="Times New Roman"/>
          <w:color w:val="0D0D0D" w:themeColor="text1" w:themeTint="F2"/>
          <w:highlight w:val="none"/>
          <w14:textFill>
            <w14:solidFill>
              <w14:schemeClr w14:val="tx1">
                <w14:lumMod w14:val="95000"/>
                <w14:lumOff w14:val="5000"/>
              </w14:schemeClr>
            </w14:solidFill>
          </w14:textFill>
        </w:rPr>
        <w:t>参  考  文  献</w:t>
      </w:r>
      <w:bookmarkEnd w:id="64"/>
      <w:bookmarkEnd w:id="65"/>
      <w:bookmarkEnd w:id="66"/>
      <w:r>
        <w:rPr>
          <w:rFonts w:ascii="Times New Roman"/>
          <w:color w:val="0D0D0D" w:themeColor="text1" w:themeTint="F2"/>
          <w:highlight w:val="none"/>
          <w14:textFill>
            <w14:solidFill>
              <w14:schemeClr w14:val="tx1">
                <w14:lumMod w14:val="95000"/>
                <w14:lumOff w14:val="5000"/>
              </w14:schemeClr>
            </w14:solidFill>
          </w14:textFill>
        </w:rPr>
        <w:t xml:space="preserve"> </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w:t>
      </w:r>
      <w:r>
        <w:rPr>
          <w:rFonts w:ascii="Times New Roman"/>
          <w:color w:val="0D0D0D" w:themeColor="text1" w:themeTint="F2"/>
          <w:highlight w:val="none"/>
          <w14:textFill>
            <w14:solidFill>
              <w14:schemeClr w14:val="tx1">
                <w14:lumMod w14:val="95000"/>
                <w14:lumOff w14:val="5000"/>
              </w14:schemeClr>
            </w14:solidFill>
          </w14:textFill>
        </w:rPr>
        <w:t xml:space="preserve">1]  </w:t>
      </w:r>
      <w:r>
        <w:rPr>
          <w:rFonts w:hint="default" w:ascii="Times New Roman"/>
          <w:color w:val="0D0D0D" w:themeColor="text1" w:themeTint="F2"/>
          <w:highlight w:val="none"/>
          <w14:textFill>
            <w14:solidFill>
              <w14:schemeClr w14:val="tx1">
                <w14:lumMod w14:val="95000"/>
                <w14:lumOff w14:val="5000"/>
              </w14:schemeClr>
            </w14:solidFill>
          </w14:textFill>
        </w:rPr>
        <w:t>GB/T 30600—2022  高标准农田建设  通则</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[2</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GB/T 33130—2016  高标准农田建设评价规范</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[3</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NY/T 2148—2012  高标准农田建设标准</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[4</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NY/T 2949—2016  高标准农田建设技术规范</w:t>
      </w:r>
    </w:p>
    <w:p>
      <w:pPr>
        <w:pStyle w:val="27"/>
        <w:rPr>
          <w:rFonts w:hint="default"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[5</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全国高标准农田建设规划（2021—2023年）</w:t>
      </w:r>
    </w:p>
    <w:p>
      <w:pPr>
        <w:pStyle w:val="27"/>
        <w:rPr>
          <w:rFonts w:hint="default" w:ascii="Times New Roman"/>
          <w:color w:val="0D0D0D" w:themeColor="text1" w:themeTint="F2"/>
          <w:highlight w:val="none"/>
          <w14:textFill>
            <w14:solidFill>
              <w14:schemeClr w14:val="tx1">
                <w14:lumMod w14:val="95000"/>
                <w14:lumOff w14:val="5000"/>
              </w14:schemeClr>
            </w14:solidFill>
          </w14:textFill>
        </w:rPr>
      </w:pP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 xml:space="preserve">[6]  </w:t>
      </w:r>
      <w:r>
        <w:rPr>
          <w:rFonts w:hint="default" w:ascii="Times New Roman"/>
          <w:color w:val="0D0D0D" w:themeColor="text1" w:themeTint="F2"/>
          <w:highlight w:val="none"/>
          <w14:textFill>
            <w14:solidFill>
              <w14:schemeClr w14:val="tx1">
                <w14:lumMod w14:val="95000"/>
                <w14:lumOff w14:val="5000"/>
              </w14:schemeClr>
            </w14:solidFill>
          </w14:textFill>
        </w:rPr>
        <w:t>广东省高标准农田建设规划（2021—2030年）</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w:t>
      </w: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7</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农田建设项目管理办法</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w:t>
      </w: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8</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广东省耕地质量管理规定</w:t>
      </w:r>
    </w:p>
    <w:p>
      <w:pPr>
        <w:pStyle w:val="27"/>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w:t>
      </w: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9</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广东省人民政府办公厅关于进一步加强高标准农田建设的通知（粤办函〔2020〕63号）</w:t>
      </w:r>
    </w:p>
    <w:p>
      <w:pPr>
        <w:pStyle w:val="27"/>
        <w:ind w:left="420" w:leftChars="200" w:firstLine="0" w:firstLineChars="0"/>
        <w:rPr>
          <w:rFonts w:ascii="Times New Roman"/>
          <w:color w:val="0D0D0D" w:themeColor="text1" w:themeTint="F2"/>
          <w:highlight w:val="none"/>
          <w14:textFill>
            <w14:solidFill>
              <w14:schemeClr w14:val="tx1">
                <w14:lumMod w14:val="95000"/>
                <w14:lumOff w14:val="5000"/>
              </w14:schemeClr>
            </w14:solidFill>
          </w14:textFill>
        </w:rPr>
      </w:pPr>
      <w:r>
        <w:rPr>
          <w:rFonts w:hint="default" w:ascii="Times New Roman"/>
          <w:color w:val="0D0D0D" w:themeColor="text1" w:themeTint="F2"/>
          <w:highlight w:val="none"/>
          <w14:textFill>
            <w14:solidFill>
              <w14:schemeClr w14:val="tx1">
                <w14:lumMod w14:val="95000"/>
                <w14:lumOff w14:val="5000"/>
              </w14:schemeClr>
            </w14:solidFill>
          </w14:textFill>
        </w:rPr>
        <w:t>[</w:t>
      </w:r>
      <w:r>
        <w:rPr>
          <w:rFonts w:hint="eastAsia" w:ascii="Times New Roman"/>
          <w:color w:val="0D0D0D" w:themeColor="text1" w:themeTint="F2"/>
          <w:highlight w:val="none"/>
          <w:lang w:val="en-US" w:eastAsia="zh-CN"/>
          <w14:textFill>
            <w14:solidFill>
              <w14:schemeClr w14:val="tx1">
                <w14:lumMod w14:val="95000"/>
                <w14:lumOff w14:val="5000"/>
              </w14:schemeClr>
            </w14:solidFill>
          </w14:textFill>
        </w:rPr>
        <w:t>10</w:t>
      </w:r>
      <w:r>
        <w:rPr>
          <w:rFonts w:ascii="Times New Roman"/>
          <w:color w:val="0D0D0D" w:themeColor="text1" w:themeTint="F2"/>
          <w:highlight w:val="none"/>
          <w14:textFill>
            <w14:solidFill>
              <w14:schemeClr w14:val="tx1">
                <w14:lumMod w14:val="95000"/>
                <w14:lumOff w14:val="5000"/>
              </w14:schemeClr>
            </w14:solidFill>
          </w14:textFill>
        </w:rPr>
        <w:t xml:space="preserve">]  </w:t>
      </w:r>
      <w:r>
        <w:rPr>
          <w:rFonts w:hint="default" w:ascii="Times New Roman"/>
          <w:color w:val="0D0D0D" w:themeColor="text1" w:themeTint="F2"/>
          <w:highlight w:val="none"/>
          <w14:textFill>
            <w14:solidFill>
              <w14:schemeClr w14:val="tx1">
                <w14:lumMod w14:val="95000"/>
                <w14:lumOff w14:val="5000"/>
              </w14:schemeClr>
            </w14:solidFill>
          </w14:textFill>
        </w:rPr>
        <w:t>关于印发《广东省高标准农田建设项目工作流程指引》和《广东省高标准农田建设项目工作时段分布指引》的通知（粤农农函〔2019〕379号）</w:t>
      </w:r>
    </w:p>
    <w:p>
      <w:pPr>
        <w:pStyle w:val="111"/>
        <w:framePr w:hSpace="0" w:vSpace="0" w:wrap="auto" w:vAnchor="margin" w:hAnchor="text" w:xAlign="left" w:yAlign="inline"/>
        <w:jc w:val="center"/>
        <w:rPr>
          <w:color w:val="0D0D0D" w:themeColor="text1" w:themeTint="F2"/>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w:t>_________________________________</w:t>
      </w:r>
    </w:p>
    <w:p>
      <w:pPr>
        <w:rPr>
          <w:color w:val="0D0D0D" w:themeColor="text1" w:themeTint="F2"/>
          <w:highlight w:val="none"/>
          <w14:textFill>
            <w14:solidFill>
              <w14:schemeClr w14:val="tx1">
                <w14:lumMod w14:val="95000"/>
                <w14:lumOff w14:val="5000"/>
              </w14:schemeClr>
            </w14:solidFill>
          </w14:textFill>
        </w:rPr>
      </w:pPr>
    </w:p>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0" w:csb1="00000000"/>
  </w:font>
  <w:font w:name="Cambria">
    <w:panose1 w:val="02040503050406030204"/>
    <w:charset w:val="00"/>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ind w:right="198" w:right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ind w:left="198" w:right="0" w:right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ind w:right="198" w:right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ind w:left="198" w:right="0" w:right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pPr>
    <w:r>
      <w:fldChar w:fldCharType="begin"/>
    </w:r>
    <w:r>
      <w:instrText xml:space="preserve">PAGE   \* MERGEFORMAT</w:instrText>
    </w:r>
    <w:r>
      <w:fldChar w:fldCharType="separate"/>
    </w:r>
    <w:r>
      <w:rPr>
        <w:lang w:val="zh-CN"/>
      </w:rPr>
      <w:t>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outside" w:y="1"/>
      <w:tabs>
        <w:tab w:val="center" w:pos="4153"/>
        <w:tab w:val="right" w:pos="8306"/>
      </w:tabs>
      <w:rPr>
        <w:rStyle w:val="42"/>
      </w:rPr>
    </w:pPr>
    <w:r>
      <w:rPr>
        <w:rStyle w:val="42"/>
      </w:rPr>
      <w:fldChar w:fldCharType="begin"/>
    </w:r>
    <w:r>
      <w:rPr>
        <w:rStyle w:val="42"/>
      </w:rPr>
      <w:instrText xml:space="preserve">PAGE  </w:instrText>
    </w:r>
    <w:r>
      <w:rPr>
        <w:rStyle w:val="42"/>
      </w:rPr>
      <w:fldChar w:fldCharType="separate"/>
    </w:r>
    <w:r>
      <w:rPr>
        <w:rStyle w:val="42"/>
      </w:rPr>
      <w:t>8</w:t>
    </w:r>
    <w:r>
      <w:rPr>
        <w:rStyle w:val="42"/>
      </w:rPr>
      <w:fldChar w:fldCharType="end"/>
    </w:r>
  </w:p>
  <w:p>
    <w:pPr>
      <w:pStyle w:val="144"/>
      <w:ind w:right="360" w:firstLine="360"/>
      <w:rPr>
        <w:rStyle w:val="4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PowerPlusWaterMarkObject207578" o:spid="_x0000_s2101"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284"/>
      <w:rPr>
        <w:rFonts w:ascii="黑体" w:hAnsi="黑体" w:eastAsia="黑体"/>
        <w:sz w:val="21"/>
        <w:szCs w:val="21"/>
      </w:rPr>
    </w:pPr>
    <w:r>
      <w:rPr>
        <w:sz w:val="21"/>
      </w:rPr>
      <w:pict>
        <v:shape id="PowerPlusWaterMarkObject250004" o:spid="_x0000_s2102"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w:t>
    </w:r>
    <w:r>
      <w:rPr>
        <w:rFonts w:ascii="黑体" w:hAnsi="黑体" w:eastAsia="黑体"/>
        <w:kern w:val="0"/>
        <w:sz w:val="21"/>
        <w:szCs w:val="21"/>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PowerPlusWaterMarkObject267136" o:spid="_x0000_s2103"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4"/>
        <w:tab w:val="right" w:pos="8306"/>
      </w:tabs>
      <w:spacing w:after="284"/>
      <w:ind w:right="105"/>
      <w:jc w:val="right"/>
      <w:rPr>
        <w:rFonts w:hint="eastAsia" w:ascii="黑体" w:hAnsi="黑体" w:eastAsia="黑体"/>
        <w:kern w:val="0"/>
        <w:szCs w:val="20"/>
        <w:lang w:eastAsia="zh-CN"/>
      </w:rPr>
    </w:pPr>
    <w:r>
      <w:pict>
        <v:shape id="PowerPlusWaterMarkObject307446" o:spid="_x0000_s2104"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Cs w:val="20"/>
      </w:rPr>
      <w:t>T/</w:t>
    </w:r>
    <w:r>
      <w:rPr>
        <w:rFonts w:hint="eastAsia" w:ascii="黑体" w:hAnsi="黑体" w:eastAsia="黑体"/>
        <w:kern w:val="0"/>
        <w:szCs w:val="20"/>
      </w:rPr>
      <w:t>SZS XXXX</w:t>
    </w:r>
    <w:r>
      <w:rPr>
        <w:rFonts w:hint="eastAsia" w:asciiTheme="minorEastAsia" w:hAnsiTheme="minorEastAsia" w:eastAsiaTheme="minorEastAsia" w:cstheme="minorEastAsia"/>
      </w:rPr>
      <w:t>—</w:t>
    </w:r>
    <w:r>
      <w:rPr>
        <w:rFonts w:hint="eastAsia" w:ascii="黑体" w:hAnsi="黑体" w:eastAsia="黑体"/>
        <w:kern w:val="0"/>
        <w:szCs w:val="20"/>
      </w:rPr>
      <w:t>20</w:t>
    </w:r>
    <w:r>
      <w:rPr>
        <w:rFonts w:ascii="黑体" w:hAnsi="黑体" w:eastAsia="黑体"/>
        <w:kern w:val="0"/>
        <w:szCs w:val="20"/>
      </w:rPr>
      <w:t>2</w:t>
    </w:r>
    <w:r>
      <w:rPr>
        <w:rFonts w:hint="eastAsia" w:ascii="黑体" w:hAnsi="黑体" w:eastAsia="黑体"/>
        <w:kern w:val="0"/>
        <w:szCs w:val="20"/>
        <w:lang w:val="en-US" w:eastAsia="zh-CN"/>
      </w:rP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4"/>
        <w:tab w:val="right" w:pos="8306"/>
      </w:tabs>
      <w:spacing w:after="284"/>
      <w:ind w:right="105"/>
      <w:jc w:val="left"/>
      <w:rPr>
        <w:rFonts w:hint="eastAsia" w:ascii="黑体" w:hAnsi="黑体" w:eastAsia="黑体"/>
        <w:kern w:val="0"/>
        <w:szCs w:val="20"/>
        <w:lang w:eastAsia="zh-CN"/>
      </w:rPr>
    </w:pPr>
    <w:r>
      <w:pict>
        <v:shape id="PowerPlusWaterMarkObject348319" o:spid="_x0000_s2105" o:spt="136" type="#_x0000_t136" style="position:absolute;left:0pt;height:213.25pt;width:468.15pt;mso-position-horizontal:center;mso-position-horizontal-relative:margin;mso-position-vertical:center;mso-position-vertical-relative:margin;rotation:-2949120f;z-index:-25164697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Cs w:val="20"/>
      </w:rPr>
      <w:t>T/</w:t>
    </w:r>
    <w:r>
      <w:rPr>
        <w:rFonts w:hint="eastAsia" w:ascii="黑体" w:hAnsi="黑体" w:eastAsia="黑体"/>
        <w:kern w:val="0"/>
        <w:szCs w:val="20"/>
      </w:rPr>
      <w:t>SZS XXXX</w:t>
    </w:r>
    <w:r>
      <w:rPr>
        <w:rFonts w:hint="eastAsia" w:asciiTheme="minorEastAsia" w:hAnsiTheme="minorEastAsia" w:eastAsiaTheme="minorEastAsia" w:cstheme="minorEastAsia"/>
      </w:rPr>
      <w:t>—</w:t>
    </w:r>
    <w:r>
      <w:rPr>
        <w:rFonts w:hint="eastAsia" w:ascii="黑体" w:hAnsi="黑体" w:eastAsia="黑体"/>
        <w:kern w:val="0"/>
        <w:szCs w:val="20"/>
      </w:rPr>
      <w:t>20</w:t>
    </w:r>
    <w:r>
      <w:rPr>
        <w:rFonts w:ascii="黑体" w:hAnsi="黑体" w:eastAsia="黑体"/>
        <w:kern w:val="0"/>
        <w:szCs w:val="20"/>
      </w:rPr>
      <w:t>2</w:t>
    </w:r>
    <w:r>
      <w:rPr>
        <w:rFonts w:hint="eastAsia" w:ascii="黑体" w:hAnsi="黑体" w:eastAsia="黑体"/>
        <w:kern w:val="0"/>
        <w:szCs w:val="20"/>
        <w:lang w:val="en-US" w:eastAsia="zh-CN"/>
      </w:rPr>
      <w:t>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PowerPlusWaterMarkObject10935673" o:spid="_x0000_s2052" o:spt="136" type="#_x0000_t136" style="position:absolute;left:0pt;height:206.25pt;width:517.5pt;mso-position-horizontal:center;mso-position-horizontal-relative:margin;mso-position-vertical:center;mso-position-vertical-relative:margin;rotation:20643840f;z-index:-251652096;mso-width-relative:page;mso-height-relative:page;" fillcolor="#D8D8D8" filled="t" stroked="f" coordsize="21600,21600" o:allowincell="f">
          <v:path/>
          <v:fill on="t" opacity="32768f" focussize="0,0"/>
          <v:stroke on="f"/>
          <v:imagedata o:title=""/>
          <o:lock v:ext="edit"/>
          <v:textpath on="t" fitshape="t" fitpath="t" trim="t" xscale="f" string="T/SZS" style="font-family:新宋体;font-size:206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4"/>
      <w:rPr>
        <w:rFonts w:hint="eastAsia" w:eastAsia="黑体"/>
        <w:lang w:eastAsia="zh-CN"/>
      </w:rPr>
    </w:pPr>
    <w:r>
      <w:pict>
        <v:shape id="PowerPlusWaterMarkObject358830" o:spid="_x0000_s2106" o:spt="136" type="#_x0000_t136" style="position:absolute;left:0pt;height:213.25pt;width:468.15pt;mso-position-horizontal:center;mso-position-horizontal-relative:margin;mso-position-vertical:center;mso-position-vertical-relative:margin;rotation:-2949120f;z-index:-25164595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hAnsi="黑体" w:cs="黑体"/>
      </w:rPr>
      <w:t>T/SZS XXXX—202</w:t>
    </w:r>
    <w:r>
      <w:rPr>
        <w:rFonts w:hint="eastAsia" w:hAnsi="黑体" w:cs="黑体"/>
        <w:lang w:val="en-US" w:eastAsia="zh-CN"/>
      </w:rPr>
      <w:t>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153"/>
        <w:tab w:val="right" w:pos="8306"/>
      </w:tabs>
      <w:jc w:val="right"/>
      <w:rPr>
        <w:rFonts w:hint="eastAsia" w:eastAsia="黑体"/>
        <w:lang w:eastAsia="zh-CN"/>
      </w:rPr>
    </w:pPr>
    <w:r>
      <w:pict>
        <v:shape id="PowerPlusWaterMarkObject370897" o:spid="_x0000_s2107" o:spt="136" type="#_x0000_t136" style="position:absolute;left:0pt;height:213.25pt;width:468.15pt;mso-position-horizontal:center;mso-position-horizontal-relative:margin;mso-position-vertical:center;mso-position-vertical-relative:margin;rotation:-2949120f;z-index:-25164492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rPr>
      <w:t>T/SZS XXXX—202</w:t>
    </w:r>
    <w:r>
      <w:rPr>
        <w:rFonts w:hint="eastAsia" w:ascii="黑体" w:hAnsi="黑体" w:eastAsia="黑体" w:cs="黑体"/>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0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0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1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5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7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FC91163"/>
    <w:multiLevelType w:val="multilevel"/>
    <w:tmpl w:val="1FC91163"/>
    <w:lvl w:ilvl="0" w:tentative="0">
      <w:start w:val="1"/>
      <w:numFmt w:val="decimal"/>
      <w:pStyle w:val="100"/>
      <w:suff w:val="nothing"/>
      <w:lvlText w:val="%1　"/>
      <w:lvlJc w:val="left"/>
      <w:pPr>
        <w:ind w:left="284"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7">
    <w:nsid w:val="2A8F7113"/>
    <w:multiLevelType w:val="multilevel"/>
    <w:tmpl w:val="2A8F7113"/>
    <w:lvl w:ilvl="0" w:tentative="0">
      <w:start w:val="1"/>
      <w:numFmt w:val="upperLetter"/>
      <w:pStyle w:val="130"/>
      <w:suff w:val="space"/>
      <w:lvlText w:val="%1"/>
      <w:lvlJc w:val="left"/>
      <w:pPr>
        <w:ind w:left="623" w:hanging="425"/>
      </w:pPr>
      <w:rPr>
        <w:rFonts w:hint="eastAsia"/>
      </w:rPr>
    </w:lvl>
    <w:lvl w:ilvl="1" w:tentative="0">
      <w:start w:val="1"/>
      <w:numFmt w:val="decimal"/>
      <w:pStyle w:val="12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45"/>
      <w:suff w:val="nothing"/>
      <w:lvlText w:val="%1——"/>
      <w:lvlJc w:val="left"/>
      <w:pPr>
        <w:ind w:left="833" w:hanging="408"/>
      </w:pPr>
      <w:rPr>
        <w:rFonts w:hint="eastAsia"/>
        <w:lang w:val="en-US"/>
      </w:rPr>
    </w:lvl>
    <w:lvl w:ilvl="1" w:tentative="0">
      <w:start w:val="1"/>
      <w:numFmt w:val="bullet"/>
      <w:pStyle w:val="65"/>
      <w:lvlText w:val=""/>
      <w:lvlJc w:val="left"/>
      <w:pPr>
        <w:tabs>
          <w:tab w:val="left" w:pos="760"/>
        </w:tabs>
        <w:ind w:left="1264" w:hanging="413"/>
      </w:pPr>
      <w:rPr>
        <w:rFonts w:hint="default" w:ascii="Symbol" w:hAnsi="Symbol"/>
        <w:color w:val="auto"/>
      </w:rPr>
    </w:lvl>
    <w:lvl w:ilvl="2" w:tentative="0">
      <w:start w:val="1"/>
      <w:numFmt w:val="bullet"/>
      <w:pStyle w:val="12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2F04FB2"/>
    <w:multiLevelType w:val="multilevel"/>
    <w:tmpl w:val="32F04FB2"/>
    <w:lvl w:ilvl="0" w:tentative="0">
      <w:start w:val="1"/>
      <w:numFmt w:val="lowerLetter"/>
      <w:pStyle w:val="170"/>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0">
    <w:nsid w:val="3D733618"/>
    <w:multiLevelType w:val="multilevel"/>
    <w:tmpl w:val="3D733618"/>
    <w:lvl w:ilvl="0" w:tentative="0">
      <w:start w:val="1"/>
      <w:numFmt w:val="decimal"/>
      <w:pStyle w:val="28"/>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8496C3C"/>
    <w:multiLevelType w:val="multilevel"/>
    <w:tmpl w:val="48496C3C"/>
    <w:lvl w:ilvl="0" w:tentative="0">
      <w:start w:val="1"/>
      <w:numFmt w:val="decimal"/>
      <w:pStyle w:val="13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2">
    <w:nsid w:val="4B733A5F"/>
    <w:multiLevelType w:val="multilevel"/>
    <w:tmpl w:val="4B733A5F"/>
    <w:lvl w:ilvl="0" w:tentative="0">
      <w:start w:val="1"/>
      <w:numFmt w:val="decimal"/>
      <w:pStyle w:val="10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7AC17A3"/>
    <w:multiLevelType w:val="multilevel"/>
    <w:tmpl w:val="57AC17A3"/>
    <w:lvl w:ilvl="0" w:tentative="0">
      <w:start w:val="1"/>
      <w:numFmt w:val="lowerLetter"/>
      <w:pStyle w:val="9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60B55DC2"/>
    <w:multiLevelType w:val="multilevel"/>
    <w:tmpl w:val="60B55DC2"/>
    <w:lvl w:ilvl="0" w:tentative="0">
      <w:start w:val="1"/>
      <w:numFmt w:val="upperLetter"/>
      <w:pStyle w:val="113"/>
      <w:lvlText w:val="%1"/>
      <w:lvlJc w:val="left"/>
      <w:pPr>
        <w:tabs>
          <w:tab w:val="left" w:pos="0"/>
        </w:tabs>
        <w:ind w:left="0" w:hanging="425"/>
      </w:pPr>
      <w:rPr>
        <w:rFonts w:hint="eastAsia"/>
      </w:rPr>
    </w:lvl>
    <w:lvl w:ilvl="1" w:tentative="0">
      <w:start w:val="1"/>
      <w:numFmt w:val="decimal"/>
      <w:pStyle w:val="13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6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11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1"/>
      <w:suff w:val="nothing"/>
      <w:lvlText w:val="%1%2　"/>
      <w:lvlJc w:val="left"/>
      <w:pPr>
        <w:ind w:left="0" w:firstLine="0"/>
      </w:pPr>
      <w:rPr>
        <w:rFonts w:hint="eastAsia" w:ascii="黑体" w:eastAsia="黑体"/>
        <w:b w:val="0"/>
        <w:i w:val="0"/>
        <w:sz w:val="21"/>
      </w:rPr>
    </w:lvl>
    <w:lvl w:ilvl="2" w:tentative="0">
      <w:start w:val="1"/>
      <w:numFmt w:val="decimal"/>
      <w:pStyle w:val="165"/>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71"/>
      <w:suff w:val="nothing"/>
      <w:lvlText w:val="%1%2.%3.%4　"/>
      <w:lvlJc w:val="left"/>
      <w:pPr>
        <w:ind w:left="0" w:firstLine="0"/>
      </w:pPr>
      <w:rPr>
        <w:rFonts w:hint="eastAsia" w:ascii="黑体" w:eastAsia="黑体"/>
        <w:b w:val="0"/>
        <w:i w:val="0"/>
        <w:sz w:val="21"/>
      </w:rPr>
    </w:lvl>
    <w:lvl w:ilvl="4" w:tentative="0">
      <w:start w:val="1"/>
      <w:numFmt w:val="decimal"/>
      <w:pStyle w:val="172"/>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6D6C07CD"/>
    <w:multiLevelType w:val="multilevel"/>
    <w:tmpl w:val="6D6C07CD"/>
    <w:lvl w:ilvl="0" w:tentative="0">
      <w:start w:val="1"/>
      <w:numFmt w:val="lowerLetter"/>
      <w:pStyle w:val="90"/>
      <w:lvlText w:val="%1)"/>
      <w:lvlJc w:val="left"/>
      <w:pPr>
        <w:tabs>
          <w:tab w:val="left" w:pos="839"/>
        </w:tabs>
        <w:ind w:left="839" w:hanging="419"/>
      </w:pPr>
      <w:rPr>
        <w:rFonts w:hint="eastAsia" w:ascii="宋体" w:eastAsia="宋体"/>
        <w:b w:val="0"/>
        <w:i w:val="0"/>
        <w:sz w:val="21"/>
      </w:rPr>
    </w:lvl>
    <w:lvl w:ilvl="1" w:tentative="0">
      <w:start w:val="1"/>
      <w:numFmt w:val="decimal"/>
      <w:pStyle w:val="7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67"/>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6"/>
  </w:num>
  <w:num w:numId="3">
    <w:abstractNumId w:val="3"/>
  </w:num>
  <w:num w:numId="4">
    <w:abstractNumId w:val="8"/>
  </w:num>
  <w:num w:numId="5">
    <w:abstractNumId w:val="6"/>
  </w:num>
  <w:num w:numId="6">
    <w:abstractNumId w:val="19"/>
  </w:num>
  <w:num w:numId="7">
    <w:abstractNumId w:val="18"/>
  </w:num>
  <w:num w:numId="8">
    <w:abstractNumId w:val="4"/>
  </w:num>
  <w:num w:numId="9">
    <w:abstractNumId w:val="13"/>
  </w:num>
  <w:num w:numId="10">
    <w:abstractNumId w:val="5"/>
  </w:num>
  <w:num w:numId="11">
    <w:abstractNumId w:val="12"/>
  </w:num>
  <w:num w:numId="12">
    <w:abstractNumId w:val="0"/>
  </w:num>
  <w:num w:numId="13">
    <w:abstractNumId w:val="1"/>
  </w:num>
  <w:num w:numId="14">
    <w:abstractNumId w:val="14"/>
  </w:num>
  <w:num w:numId="15">
    <w:abstractNumId w:val="2"/>
  </w:num>
  <w:num w:numId="16">
    <w:abstractNumId w:val="7"/>
  </w:num>
  <w:num w:numId="17">
    <w:abstractNumId w:val="11"/>
  </w:num>
  <w:num w:numId="18">
    <w:abstractNumId w:val="17"/>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3ODlmZjIyZDdjMWY2YWY0NDRhOTA5ODU4MjU0MzUifQ=="/>
  </w:docVars>
  <w:rsids>
    <w:rsidRoot w:val="00172A27"/>
    <w:rsid w:val="00000244"/>
    <w:rsid w:val="000011B6"/>
    <w:rsid w:val="0000185F"/>
    <w:rsid w:val="00003588"/>
    <w:rsid w:val="0000586F"/>
    <w:rsid w:val="00005AEB"/>
    <w:rsid w:val="000062A4"/>
    <w:rsid w:val="00011E58"/>
    <w:rsid w:val="00013D86"/>
    <w:rsid w:val="00013E02"/>
    <w:rsid w:val="0001410E"/>
    <w:rsid w:val="000164E5"/>
    <w:rsid w:val="0002143C"/>
    <w:rsid w:val="00025A65"/>
    <w:rsid w:val="000267F9"/>
    <w:rsid w:val="00026BF5"/>
    <w:rsid w:val="00026C31"/>
    <w:rsid w:val="00027280"/>
    <w:rsid w:val="00030407"/>
    <w:rsid w:val="000320A7"/>
    <w:rsid w:val="00035925"/>
    <w:rsid w:val="0004111E"/>
    <w:rsid w:val="000441A4"/>
    <w:rsid w:val="00050B02"/>
    <w:rsid w:val="000511D3"/>
    <w:rsid w:val="0005214D"/>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20A9"/>
    <w:rsid w:val="000A48B1"/>
    <w:rsid w:val="000A5E8C"/>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BA7"/>
    <w:rsid w:val="00126680"/>
    <w:rsid w:val="00126C16"/>
    <w:rsid w:val="00127748"/>
    <w:rsid w:val="0013175F"/>
    <w:rsid w:val="00134443"/>
    <w:rsid w:val="00137CD1"/>
    <w:rsid w:val="0014294E"/>
    <w:rsid w:val="00145129"/>
    <w:rsid w:val="00147221"/>
    <w:rsid w:val="001477AE"/>
    <w:rsid w:val="001512B4"/>
    <w:rsid w:val="001518AE"/>
    <w:rsid w:val="00153818"/>
    <w:rsid w:val="00153E17"/>
    <w:rsid w:val="00153E8D"/>
    <w:rsid w:val="00154D60"/>
    <w:rsid w:val="001620A5"/>
    <w:rsid w:val="00164C31"/>
    <w:rsid w:val="00164E53"/>
    <w:rsid w:val="0016699D"/>
    <w:rsid w:val="001674D6"/>
    <w:rsid w:val="0017127A"/>
    <w:rsid w:val="00172A27"/>
    <w:rsid w:val="001737B0"/>
    <w:rsid w:val="00175159"/>
    <w:rsid w:val="00176208"/>
    <w:rsid w:val="00176B46"/>
    <w:rsid w:val="0018211B"/>
    <w:rsid w:val="001840D3"/>
    <w:rsid w:val="001900F8"/>
    <w:rsid w:val="0019011B"/>
    <w:rsid w:val="00191258"/>
    <w:rsid w:val="00192680"/>
    <w:rsid w:val="00193037"/>
    <w:rsid w:val="00193A2C"/>
    <w:rsid w:val="00196000"/>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2AFF"/>
    <w:rsid w:val="001C358E"/>
    <w:rsid w:val="001C47BA"/>
    <w:rsid w:val="001C59EA"/>
    <w:rsid w:val="001C689E"/>
    <w:rsid w:val="001C7AAA"/>
    <w:rsid w:val="001D12F3"/>
    <w:rsid w:val="001D406C"/>
    <w:rsid w:val="001D41EE"/>
    <w:rsid w:val="001D5704"/>
    <w:rsid w:val="001D646E"/>
    <w:rsid w:val="001E0380"/>
    <w:rsid w:val="001E13B1"/>
    <w:rsid w:val="001E2B5E"/>
    <w:rsid w:val="001E3ED4"/>
    <w:rsid w:val="001E6445"/>
    <w:rsid w:val="001E67E6"/>
    <w:rsid w:val="001F0555"/>
    <w:rsid w:val="001F1786"/>
    <w:rsid w:val="001F1962"/>
    <w:rsid w:val="001F3A19"/>
    <w:rsid w:val="00204404"/>
    <w:rsid w:val="00205BAF"/>
    <w:rsid w:val="0020748A"/>
    <w:rsid w:val="00211D21"/>
    <w:rsid w:val="0021451F"/>
    <w:rsid w:val="00214966"/>
    <w:rsid w:val="002152CF"/>
    <w:rsid w:val="002162E5"/>
    <w:rsid w:val="002178CA"/>
    <w:rsid w:val="002213CC"/>
    <w:rsid w:val="00222332"/>
    <w:rsid w:val="00222605"/>
    <w:rsid w:val="00225593"/>
    <w:rsid w:val="002301A6"/>
    <w:rsid w:val="00231C2B"/>
    <w:rsid w:val="00231D60"/>
    <w:rsid w:val="00232F3A"/>
    <w:rsid w:val="00234467"/>
    <w:rsid w:val="002359DB"/>
    <w:rsid w:val="00237D8D"/>
    <w:rsid w:val="00240ABE"/>
    <w:rsid w:val="00241DA2"/>
    <w:rsid w:val="00242ED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31B"/>
    <w:rsid w:val="002756C0"/>
    <w:rsid w:val="002778AE"/>
    <w:rsid w:val="002814B6"/>
    <w:rsid w:val="0028225B"/>
    <w:rsid w:val="0028269A"/>
    <w:rsid w:val="00282EC6"/>
    <w:rsid w:val="00283458"/>
    <w:rsid w:val="00283590"/>
    <w:rsid w:val="0028539F"/>
    <w:rsid w:val="00285946"/>
    <w:rsid w:val="00285B81"/>
    <w:rsid w:val="00286012"/>
    <w:rsid w:val="00286973"/>
    <w:rsid w:val="002945A9"/>
    <w:rsid w:val="002948B5"/>
    <w:rsid w:val="00294CA4"/>
    <w:rsid w:val="00294E70"/>
    <w:rsid w:val="00295E7B"/>
    <w:rsid w:val="00295F66"/>
    <w:rsid w:val="0029618F"/>
    <w:rsid w:val="002978CE"/>
    <w:rsid w:val="002A04C1"/>
    <w:rsid w:val="002A1924"/>
    <w:rsid w:val="002A5644"/>
    <w:rsid w:val="002A7420"/>
    <w:rsid w:val="002B0F12"/>
    <w:rsid w:val="002B1308"/>
    <w:rsid w:val="002B20FA"/>
    <w:rsid w:val="002B4554"/>
    <w:rsid w:val="002C00AF"/>
    <w:rsid w:val="002C1FE7"/>
    <w:rsid w:val="002C48C6"/>
    <w:rsid w:val="002C51B9"/>
    <w:rsid w:val="002C5BE3"/>
    <w:rsid w:val="002C6238"/>
    <w:rsid w:val="002C72D8"/>
    <w:rsid w:val="002C7C31"/>
    <w:rsid w:val="002D0457"/>
    <w:rsid w:val="002D11FA"/>
    <w:rsid w:val="002D4845"/>
    <w:rsid w:val="002D7ED0"/>
    <w:rsid w:val="002E0DDF"/>
    <w:rsid w:val="002E14D2"/>
    <w:rsid w:val="002E2906"/>
    <w:rsid w:val="002E2EC7"/>
    <w:rsid w:val="002E363B"/>
    <w:rsid w:val="002E455A"/>
    <w:rsid w:val="002E5635"/>
    <w:rsid w:val="002E64C3"/>
    <w:rsid w:val="002E6A2C"/>
    <w:rsid w:val="002E76A9"/>
    <w:rsid w:val="002F0FEA"/>
    <w:rsid w:val="002F1853"/>
    <w:rsid w:val="002F1D8C"/>
    <w:rsid w:val="002F1D9B"/>
    <w:rsid w:val="002F21DA"/>
    <w:rsid w:val="002F5E1D"/>
    <w:rsid w:val="0030010A"/>
    <w:rsid w:val="003005E4"/>
    <w:rsid w:val="00300CFB"/>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4A5E"/>
    <w:rsid w:val="00334C46"/>
    <w:rsid w:val="003350A8"/>
    <w:rsid w:val="00336610"/>
    <w:rsid w:val="00337221"/>
    <w:rsid w:val="003408FB"/>
    <w:rsid w:val="00340E1A"/>
    <w:rsid w:val="0034161E"/>
    <w:rsid w:val="00342507"/>
    <w:rsid w:val="00343F73"/>
    <w:rsid w:val="00345060"/>
    <w:rsid w:val="00347A91"/>
    <w:rsid w:val="00350854"/>
    <w:rsid w:val="00350CFB"/>
    <w:rsid w:val="00352C9E"/>
    <w:rsid w:val="0035323B"/>
    <w:rsid w:val="003536CD"/>
    <w:rsid w:val="00353C44"/>
    <w:rsid w:val="00353F43"/>
    <w:rsid w:val="00355D8D"/>
    <w:rsid w:val="00360010"/>
    <w:rsid w:val="003609D2"/>
    <w:rsid w:val="00363F22"/>
    <w:rsid w:val="00364B8C"/>
    <w:rsid w:val="00366D02"/>
    <w:rsid w:val="00370407"/>
    <w:rsid w:val="00372EB0"/>
    <w:rsid w:val="0037547A"/>
    <w:rsid w:val="00375564"/>
    <w:rsid w:val="00383191"/>
    <w:rsid w:val="00383839"/>
    <w:rsid w:val="00383BB2"/>
    <w:rsid w:val="00383EB3"/>
    <w:rsid w:val="003855AC"/>
    <w:rsid w:val="00386DED"/>
    <w:rsid w:val="00386ED5"/>
    <w:rsid w:val="00387001"/>
    <w:rsid w:val="00387CA8"/>
    <w:rsid w:val="003912E7"/>
    <w:rsid w:val="003934E5"/>
    <w:rsid w:val="00393947"/>
    <w:rsid w:val="00394A77"/>
    <w:rsid w:val="00395336"/>
    <w:rsid w:val="0039711E"/>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3941"/>
    <w:rsid w:val="0041556D"/>
    <w:rsid w:val="00416E70"/>
    <w:rsid w:val="004239D1"/>
    <w:rsid w:val="00423B9B"/>
    <w:rsid w:val="00424541"/>
    <w:rsid w:val="00425082"/>
    <w:rsid w:val="00425BDE"/>
    <w:rsid w:val="00430F1C"/>
    <w:rsid w:val="00431DEB"/>
    <w:rsid w:val="00433800"/>
    <w:rsid w:val="00440CF2"/>
    <w:rsid w:val="0044302B"/>
    <w:rsid w:val="00443716"/>
    <w:rsid w:val="00446B29"/>
    <w:rsid w:val="00447D2E"/>
    <w:rsid w:val="00450573"/>
    <w:rsid w:val="00450730"/>
    <w:rsid w:val="00450C44"/>
    <w:rsid w:val="004512F0"/>
    <w:rsid w:val="00453B1A"/>
    <w:rsid w:val="00453F9A"/>
    <w:rsid w:val="00457E30"/>
    <w:rsid w:val="00460954"/>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1253"/>
    <w:rsid w:val="00493A4B"/>
    <w:rsid w:val="004945EC"/>
    <w:rsid w:val="00495645"/>
    <w:rsid w:val="004958E6"/>
    <w:rsid w:val="004968CB"/>
    <w:rsid w:val="004A21F2"/>
    <w:rsid w:val="004A232B"/>
    <w:rsid w:val="004A35F9"/>
    <w:rsid w:val="004A598D"/>
    <w:rsid w:val="004A6BE0"/>
    <w:rsid w:val="004A7132"/>
    <w:rsid w:val="004B24C1"/>
    <w:rsid w:val="004B4592"/>
    <w:rsid w:val="004B4926"/>
    <w:rsid w:val="004B53E5"/>
    <w:rsid w:val="004B7C46"/>
    <w:rsid w:val="004C1AF5"/>
    <w:rsid w:val="004C28C1"/>
    <w:rsid w:val="004C292F"/>
    <w:rsid w:val="004D167C"/>
    <w:rsid w:val="004D1C55"/>
    <w:rsid w:val="004D21B7"/>
    <w:rsid w:val="004D35EC"/>
    <w:rsid w:val="004D4F1B"/>
    <w:rsid w:val="004D6E6C"/>
    <w:rsid w:val="004E0BF3"/>
    <w:rsid w:val="004E4107"/>
    <w:rsid w:val="004E4E5D"/>
    <w:rsid w:val="004E5CE6"/>
    <w:rsid w:val="004E636B"/>
    <w:rsid w:val="004F2179"/>
    <w:rsid w:val="004F3327"/>
    <w:rsid w:val="004F4E7B"/>
    <w:rsid w:val="004F664C"/>
    <w:rsid w:val="00500339"/>
    <w:rsid w:val="00500B58"/>
    <w:rsid w:val="0050412D"/>
    <w:rsid w:val="00504642"/>
    <w:rsid w:val="0050487B"/>
    <w:rsid w:val="0050497E"/>
    <w:rsid w:val="005058CA"/>
    <w:rsid w:val="00510280"/>
    <w:rsid w:val="005102D8"/>
    <w:rsid w:val="0051036F"/>
    <w:rsid w:val="00510B30"/>
    <w:rsid w:val="00511063"/>
    <w:rsid w:val="00513D73"/>
    <w:rsid w:val="00514A43"/>
    <w:rsid w:val="0051530D"/>
    <w:rsid w:val="005174E5"/>
    <w:rsid w:val="00520431"/>
    <w:rsid w:val="005208F8"/>
    <w:rsid w:val="00522393"/>
    <w:rsid w:val="00522620"/>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EE5"/>
    <w:rsid w:val="005647B7"/>
    <w:rsid w:val="005703DE"/>
    <w:rsid w:val="00571F9C"/>
    <w:rsid w:val="00573826"/>
    <w:rsid w:val="00574391"/>
    <w:rsid w:val="00575F82"/>
    <w:rsid w:val="00576EC2"/>
    <w:rsid w:val="00580828"/>
    <w:rsid w:val="005813C6"/>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4447"/>
    <w:rsid w:val="005D4E62"/>
    <w:rsid w:val="005D68E2"/>
    <w:rsid w:val="005E00CC"/>
    <w:rsid w:val="005E19CF"/>
    <w:rsid w:val="005E19E7"/>
    <w:rsid w:val="005E5679"/>
    <w:rsid w:val="005F024D"/>
    <w:rsid w:val="005F0D35"/>
    <w:rsid w:val="005F2425"/>
    <w:rsid w:val="005F379A"/>
    <w:rsid w:val="005F5113"/>
    <w:rsid w:val="005F60B8"/>
    <w:rsid w:val="005F677F"/>
    <w:rsid w:val="00604F9A"/>
    <w:rsid w:val="0060551D"/>
    <w:rsid w:val="00611448"/>
    <w:rsid w:val="00613B57"/>
    <w:rsid w:val="006160F3"/>
    <w:rsid w:val="006168C7"/>
    <w:rsid w:val="0061716C"/>
    <w:rsid w:val="006201D2"/>
    <w:rsid w:val="00623704"/>
    <w:rsid w:val="0062412F"/>
    <w:rsid w:val="00624290"/>
    <w:rsid w:val="006243A1"/>
    <w:rsid w:val="0062491D"/>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F5"/>
    <w:rsid w:val="006575B8"/>
    <w:rsid w:val="00660FAC"/>
    <w:rsid w:val="00661B53"/>
    <w:rsid w:val="0066325E"/>
    <w:rsid w:val="00663AF3"/>
    <w:rsid w:val="00666025"/>
    <w:rsid w:val="00666B6C"/>
    <w:rsid w:val="00667681"/>
    <w:rsid w:val="00680EFF"/>
    <w:rsid w:val="00682682"/>
    <w:rsid w:val="00682702"/>
    <w:rsid w:val="00682CAE"/>
    <w:rsid w:val="00683C96"/>
    <w:rsid w:val="006857B7"/>
    <w:rsid w:val="006879B4"/>
    <w:rsid w:val="00691B30"/>
    <w:rsid w:val="00692236"/>
    <w:rsid w:val="00692368"/>
    <w:rsid w:val="00692CFE"/>
    <w:rsid w:val="00692D0A"/>
    <w:rsid w:val="00695914"/>
    <w:rsid w:val="006961E7"/>
    <w:rsid w:val="0069649A"/>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720"/>
    <w:rsid w:val="006D4A6F"/>
    <w:rsid w:val="006D6CF4"/>
    <w:rsid w:val="006D7939"/>
    <w:rsid w:val="006E0768"/>
    <w:rsid w:val="006E1C85"/>
    <w:rsid w:val="006E2472"/>
    <w:rsid w:val="006E3675"/>
    <w:rsid w:val="006E4A7F"/>
    <w:rsid w:val="006F0D53"/>
    <w:rsid w:val="006F734E"/>
    <w:rsid w:val="00700C5C"/>
    <w:rsid w:val="00704329"/>
    <w:rsid w:val="00704DF6"/>
    <w:rsid w:val="0070651C"/>
    <w:rsid w:val="0070680E"/>
    <w:rsid w:val="00710136"/>
    <w:rsid w:val="007127D8"/>
    <w:rsid w:val="007132A3"/>
    <w:rsid w:val="00716178"/>
    <w:rsid w:val="00716421"/>
    <w:rsid w:val="00716F24"/>
    <w:rsid w:val="00721620"/>
    <w:rsid w:val="007236CA"/>
    <w:rsid w:val="00723B10"/>
    <w:rsid w:val="00724EFB"/>
    <w:rsid w:val="00725723"/>
    <w:rsid w:val="0073361C"/>
    <w:rsid w:val="0073717E"/>
    <w:rsid w:val="007371C7"/>
    <w:rsid w:val="00737FAC"/>
    <w:rsid w:val="007419C3"/>
    <w:rsid w:val="00742692"/>
    <w:rsid w:val="00743709"/>
    <w:rsid w:val="0074430B"/>
    <w:rsid w:val="00744F22"/>
    <w:rsid w:val="007467A7"/>
    <w:rsid w:val="00746833"/>
    <w:rsid w:val="007469DD"/>
    <w:rsid w:val="0074741B"/>
    <w:rsid w:val="0074759E"/>
    <w:rsid w:val="007478EA"/>
    <w:rsid w:val="00751369"/>
    <w:rsid w:val="007523A8"/>
    <w:rsid w:val="0075415C"/>
    <w:rsid w:val="00761590"/>
    <w:rsid w:val="00761E31"/>
    <w:rsid w:val="00763502"/>
    <w:rsid w:val="00765E3C"/>
    <w:rsid w:val="00770B66"/>
    <w:rsid w:val="00771BCA"/>
    <w:rsid w:val="00772A11"/>
    <w:rsid w:val="00775E77"/>
    <w:rsid w:val="00776DCC"/>
    <w:rsid w:val="0077743E"/>
    <w:rsid w:val="0078418C"/>
    <w:rsid w:val="0078671B"/>
    <w:rsid w:val="00786A8D"/>
    <w:rsid w:val="007913AB"/>
    <w:rsid w:val="007914F7"/>
    <w:rsid w:val="00794A0E"/>
    <w:rsid w:val="00797C76"/>
    <w:rsid w:val="007A16AD"/>
    <w:rsid w:val="007A4485"/>
    <w:rsid w:val="007A5A9E"/>
    <w:rsid w:val="007A647B"/>
    <w:rsid w:val="007B0AF8"/>
    <w:rsid w:val="007B1625"/>
    <w:rsid w:val="007B321C"/>
    <w:rsid w:val="007B706E"/>
    <w:rsid w:val="007B71EB"/>
    <w:rsid w:val="007B7955"/>
    <w:rsid w:val="007C03FA"/>
    <w:rsid w:val="007C09CB"/>
    <w:rsid w:val="007C6205"/>
    <w:rsid w:val="007C686A"/>
    <w:rsid w:val="007C6CFE"/>
    <w:rsid w:val="007C728E"/>
    <w:rsid w:val="007C79ED"/>
    <w:rsid w:val="007D1715"/>
    <w:rsid w:val="007D2770"/>
    <w:rsid w:val="007D2C53"/>
    <w:rsid w:val="007D2D86"/>
    <w:rsid w:val="007D3D60"/>
    <w:rsid w:val="007D48DC"/>
    <w:rsid w:val="007D5441"/>
    <w:rsid w:val="007D610F"/>
    <w:rsid w:val="007E07F0"/>
    <w:rsid w:val="007E097D"/>
    <w:rsid w:val="007E10E6"/>
    <w:rsid w:val="007E1980"/>
    <w:rsid w:val="007E3E03"/>
    <w:rsid w:val="007E4677"/>
    <w:rsid w:val="007E4B76"/>
    <w:rsid w:val="007E5EA8"/>
    <w:rsid w:val="007E6AEA"/>
    <w:rsid w:val="007F0CF1"/>
    <w:rsid w:val="007F12A5"/>
    <w:rsid w:val="007F2BFF"/>
    <w:rsid w:val="007F3870"/>
    <w:rsid w:val="007F4CF1"/>
    <w:rsid w:val="007F758D"/>
    <w:rsid w:val="007F7D52"/>
    <w:rsid w:val="00804DA9"/>
    <w:rsid w:val="00805F0D"/>
    <w:rsid w:val="0080654C"/>
    <w:rsid w:val="008071C6"/>
    <w:rsid w:val="008077C8"/>
    <w:rsid w:val="008107F3"/>
    <w:rsid w:val="0081341F"/>
    <w:rsid w:val="00815C6D"/>
    <w:rsid w:val="00816365"/>
    <w:rsid w:val="00816681"/>
    <w:rsid w:val="00817A00"/>
    <w:rsid w:val="00821010"/>
    <w:rsid w:val="00821D87"/>
    <w:rsid w:val="00822AE4"/>
    <w:rsid w:val="008230E2"/>
    <w:rsid w:val="008236B0"/>
    <w:rsid w:val="00830100"/>
    <w:rsid w:val="00831801"/>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5756"/>
    <w:rsid w:val="00866D56"/>
    <w:rsid w:val="0087198C"/>
    <w:rsid w:val="00872C1F"/>
    <w:rsid w:val="0087343F"/>
    <w:rsid w:val="00873B42"/>
    <w:rsid w:val="00874DD5"/>
    <w:rsid w:val="00877BF0"/>
    <w:rsid w:val="008802C7"/>
    <w:rsid w:val="00881F17"/>
    <w:rsid w:val="00881F55"/>
    <w:rsid w:val="008856D8"/>
    <w:rsid w:val="008870B1"/>
    <w:rsid w:val="008870E7"/>
    <w:rsid w:val="0089027F"/>
    <w:rsid w:val="00890561"/>
    <w:rsid w:val="00892E82"/>
    <w:rsid w:val="008950F6"/>
    <w:rsid w:val="00896846"/>
    <w:rsid w:val="008A539D"/>
    <w:rsid w:val="008B0407"/>
    <w:rsid w:val="008B4CBC"/>
    <w:rsid w:val="008B64EB"/>
    <w:rsid w:val="008B7005"/>
    <w:rsid w:val="008B79A1"/>
    <w:rsid w:val="008B7C30"/>
    <w:rsid w:val="008C1B58"/>
    <w:rsid w:val="008C3442"/>
    <w:rsid w:val="008C39AE"/>
    <w:rsid w:val="008C588B"/>
    <w:rsid w:val="008C590D"/>
    <w:rsid w:val="008C6A41"/>
    <w:rsid w:val="008C718C"/>
    <w:rsid w:val="008C7431"/>
    <w:rsid w:val="008D0DB0"/>
    <w:rsid w:val="008D1094"/>
    <w:rsid w:val="008D1F0F"/>
    <w:rsid w:val="008D21DA"/>
    <w:rsid w:val="008D2CDA"/>
    <w:rsid w:val="008D7BDE"/>
    <w:rsid w:val="008D7F05"/>
    <w:rsid w:val="008E031B"/>
    <w:rsid w:val="008E06B3"/>
    <w:rsid w:val="008E23D9"/>
    <w:rsid w:val="008E2EDC"/>
    <w:rsid w:val="008E47C7"/>
    <w:rsid w:val="008E5E64"/>
    <w:rsid w:val="008E7029"/>
    <w:rsid w:val="008E7595"/>
    <w:rsid w:val="008E7EF6"/>
    <w:rsid w:val="008F1F98"/>
    <w:rsid w:val="008F33D3"/>
    <w:rsid w:val="008F6758"/>
    <w:rsid w:val="00902D98"/>
    <w:rsid w:val="0090319C"/>
    <w:rsid w:val="009040DD"/>
    <w:rsid w:val="00904F81"/>
    <w:rsid w:val="00904F8C"/>
    <w:rsid w:val="00905097"/>
    <w:rsid w:val="00905B47"/>
    <w:rsid w:val="0090673A"/>
    <w:rsid w:val="00906BAB"/>
    <w:rsid w:val="0091331C"/>
    <w:rsid w:val="00913B27"/>
    <w:rsid w:val="009169CB"/>
    <w:rsid w:val="009171CE"/>
    <w:rsid w:val="00917352"/>
    <w:rsid w:val="009209A2"/>
    <w:rsid w:val="00920FA2"/>
    <w:rsid w:val="00921126"/>
    <w:rsid w:val="0092206B"/>
    <w:rsid w:val="009279DE"/>
    <w:rsid w:val="00930116"/>
    <w:rsid w:val="00935B31"/>
    <w:rsid w:val="00940A7B"/>
    <w:rsid w:val="0094212C"/>
    <w:rsid w:val="00942E43"/>
    <w:rsid w:val="00946167"/>
    <w:rsid w:val="00947622"/>
    <w:rsid w:val="00953CE4"/>
    <w:rsid w:val="00954689"/>
    <w:rsid w:val="00954776"/>
    <w:rsid w:val="00955B75"/>
    <w:rsid w:val="00956F0F"/>
    <w:rsid w:val="00960E69"/>
    <w:rsid w:val="0096119D"/>
    <w:rsid w:val="009617C9"/>
    <w:rsid w:val="00961C93"/>
    <w:rsid w:val="00962860"/>
    <w:rsid w:val="00963CED"/>
    <w:rsid w:val="00964FCC"/>
    <w:rsid w:val="00965324"/>
    <w:rsid w:val="00967FE6"/>
    <w:rsid w:val="0097091E"/>
    <w:rsid w:val="009735C2"/>
    <w:rsid w:val="00973D3E"/>
    <w:rsid w:val="009760D3"/>
    <w:rsid w:val="00976D08"/>
    <w:rsid w:val="00977132"/>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60A1"/>
    <w:rsid w:val="009A6462"/>
    <w:rsid w:val="009B2ADB"/>
    <w:rsid w:val="009B317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20A9"/>
    <w:rsid w:val="009F387E"/>
    <w:rsid w:val="009F3FA8"/>
    <w:rsid w:val="00A0187A"/>
    <w:rsid w:val="00A01E18"/>
    <w:rsid w:val="00A02E43"/>
    <w:rsid w:val="00A03A41"/>
    <w:rsid w:val="00A03A9C"/>
    <w:rsid w:val="00A065F9"/>
    <w:rsid w:val="00A06613"/>
    <w:rsid w:val="00A07F34"/>
    <w:rsid w:val="00A10E41"/>
    <w:rsid w:val="00A11C19"/>
    <w:rsid w:val="00A11C69"/>
    <w:rsid w:val="00A14A2F"/>
    <w:rsid w:val="00A22154"/>
    <w:rsid w:val="00A23813"/>
    <w:rsid w:val="00A25C38"/>
    <w:rsid w:val="00A26EE0"/>
    <w:rsid w:val="00A27C03"/>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7C6"/>
    <w:rsid w:val="00A645DF"/>
    <w:rsid w:val="00A66119"/>
    <w:rsid w:val="00A6624E"/>
    <w:rsid w:val="00A66B26"/>
    <w:rsid w:val="00A6730D"/>
    <w:rsid w:val="00A71625"/>
    <w:rsid w:val="00A71B9B"/>
    <w:rsid w:val="00A72B45"/>
    <w:rsid w:val="00A72F99"/>
    <w:rsid w:val="00A74EB5"/>
    <w:rsid w:val="00A751C7"/>
    <w:rsid w:val="00A803A9"/>
    <w:rsid w:val="00A87844"/>
    <w:rsid w:val="00A909A5"/>
    <w:rsid w:val="00A92FE1"/>
    <w:rsid w:val="00A93FC2"/>
    <w:rsid w:val="00A9496E"/>
    <w:rsid w:val="00A97905"/>
    <w:rsid w:val="00A97F7F"/>
    <w:rsid w:val="00AA02E7"/>
    <w:rsid w:val="00AA038C"/>
    <w:rsid w:val="00AA2D51"/>
    <w:rsid w:val="00AA3054"/>
    <w:rsid w:val="00AA47AD"/>
    <w:rsid w:val="00AA51D5"/>
    <w:rsid w:val="00AA6CD0"/>
    <w:rsid w:val="00AA7A09"/>
    <w:rsid w:val="00AA7EFE"/>
    <w:rsid w:val="00AB23AB"/>
    <w:rsid w:val="00AB24BC"/>
    <w:rsid w:val="00AB3B50"/>
    <w:rsid w:val="00AB446C"/>
    <w:rsid w:val="00AC0356"/>
    <w:rsid w:val="00AC05B1"/>
    <w:rsid w:val="00AC2BA1"/>
    <w:rsid w:val="00AC5661"/>
    <w:rsid w:val="00AC577E"/>
    <w:rsid w:val="00AC6EEE"/>
    <w:rsid w:val="00AD356C"/>
    <w:rsid w:val="00AD7E2C"/>
    <w:rsid w:val="00AE1C52"/>
    <w:rsid w:val="00AE257F"/>
    <w:rsid w:val="00AE2914"/>
    <w:rsid w:val="00AE6A9C"/>
    <w:rsid w:val="00AE6D15"/>
    <w:rsid w:val="00AF0626"/>
    <w:rsid w:val="00AF34AB"/>
    <w:rsid w:val="00AF40AF"/>
    <w:rsid w:val="00AF4386"/>
    <w:rsid w:val="00AF5A01"/>
    <w:rsid w:val="00AF6E56"/>
    <w:rsid w:val="00AF7FE3"/>
    <w:rsid w:val="00B009AD"/>
    <w:rsid w:val="00B014C8"/>
    <w:rsid w:val="00B01A52"/>
    <w:rsid w:val="00B04182"/>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1DE3"/>
    <w:rsid w:val="00B42563"/>
    <w:rsid w:val="00B439C4"/>
    <w:rsid w:val="00B4535E"/>
    <w:rsid w:val="00B4606C"/>
    <w:rsid w:val="00B52A8C"/>
    <w:rsid w:val="00B62C7F"/>
    <w:rsid w:val="00B635C3"/>
    <w:rsid w:val="00B636A8"/>
    <w:rsid w:val="00B6386F"/>
    <w:rsid w:val="00B65BE7"/>
    <w:rsid w:val="00B665C6"/>
    <w:rsid w:val="00B70057"/>
    <w:rsid w:val="00B709EC"/>
    <w:rsid w:val="00B72098"/>
    <w:rsid w:val="00B7349E"/>
    <w:rsid w:val="00B76CEC"/>
    <w:rsid w:val="00B805AF"/>
    <w:rsid w:val="00B8171E"/>
    <w:rsid w:val="00B8320F"/>
    <w:rsid w:val="00B845A6"/>
    <w:rsid w:val="00B869EC"/>
    <w:rsid w:val="00B874F6"/>
    <w:rsid w:val="00B91152"/>
    <w:rsid w:val="00B9397A"/>
    <w:rsid w:val="00B94145"/>
    <w:rsid w:val="00B9633D"/>
    <w:rsid w:val="00B9659E"/>
    <w:rsid w:val="00BA0169"/>
    <w:rsid w:val="00BA0A0B"/>
    <w:rsid w:val="00BA0B75"/>
    <w:rsid w:val="00BA0E29"/>
    <w:rsid w:val="00BA1524"/>
    <w:rsid w:val="00BA2B60"/>
    <w:rsid w:val="00BA2EBE"/>
    <w:rsid w:val="00BA7763"/>
    <w:rsid w:val="00BA7EE8"/>
    <w:rsid w:val="00BB0F28"/>
    <w:rsid w:val="00BB25FD"/>
    <w:rsid w:val="00BB33E9"/>
    <w:rsid w:val="00BB3DBB"/>
    <w:rsid w:val="00BB458A"/>
    <w:rsid w:val="00BB54E9"/>
    <w:rsid w:val="00BC0D35"/>
    <w:rsid w:val="00BC0F32"/>
    <w:rsid w:val="00BC1D67"/>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27FD"/>
    <w:rsid w:val="00C458A7"/>
    <w:rsid w:val="00C45AEB"/>
    <w:rsid w:val="00C51BA5"/>
    <w:rsid w:val="00C51E99"/>
    <w:rsid w:val="00C53D51"/>
    <w:rsid w:val="00C54730"/>
    <w:rsid w:val="00C5572A"/>
    <w:rsid w:val="00C55ED7"/>
    <w:rsid w:val="00C601D2"/>
    <w:rsid w:val="00C61F4F"/>
    <w:rsid w:val="00C63979"/>
    <w:rsid w:val="00C63F24"/>
    <w:rsid w:val="00C657DA"/>
    <w:rsid w:val="00C65BCC"/>
    <w:rsid w:val="00C66970"/>
    <w:rsid w:val="00C70471"/>
    <w:rsid w:val="00C70F10"/>
    <w:rsid w:val="00C71644"/>
    <w:rsid w:val="00C74332"/>
    <w:rsid w:val="00C76368"/>
    <w:rsid w:val="00C82685"/>
    <w:rsid w:val="00C84EA0"/>
    <w:rsid w:val="00C8691C"/>
    <w:rsid w:val="00C869E5"/>
    <w:rsid w:val="00C87D7B"/>
    <w:rsid w:val="00C90CDF"/>
    <w:rsid w:val="00C92EB8"/>
    <w:rsid w:val="00C94DC5"/>
    <w:rsid w:val="00C97E4A"/>
    <w:rsid w:val="00CA168A"/>
    <w:rsid w:val="00CA2298"/>
    <w:rsid w:val="00CA357E"/>
    <w:rsid w:val="00CA44F9"/>
    <w:rsid w:val="00CA4A69"/>
    <w:rsid w:val="00CA4BC7"/>
    <w:rsid w:val="00CA561A"/>
    <w:rsid w:val="00CA5691"/>
    <w:rsid w:val="00CA654B"/>
    <w:rsid w:val="00CA7E78"/>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3D59"/>
    <w:rsid w:val="00CD4D60"/>
    <w:rsid w:val="00CD73E3"/>
    <w:rsid w:val="00CD79E3"/>
    <w:rsid w:val="00CD7EAF"/>
    <w:rsid w:val="00CE2FDB"/>
    <w:rsid w:val="00CE5142"/>
    <w:rsid w:val="00CE6556"/>
    <w:rsid w:val="00CF1F10"/>
    <w:rsid w:val="00CF211B"/>
    <w:rsid w:val="00CF2F99"/>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4187"/>
    <w:rsid w:val="00D1580C"/>
    <w:rsid w:val="00D15EA8"/>
    <w:rsid w:val="00D16B9E"/>
    <w:rsid w:val="00D24BA3"/>
    <w:rsid w:val="00D256E9"/>
    <w:rsid w:val="00D26826"/>
    <w:rsid w:val="00D27DB9"/>
    <w:rsid w:val="00D303F3"/>
    <w:rsid w:val="00D332AF"/>
    <w:rsid w:val="00D333D1"/>
    <w:rsid w:val="00D41A34"/>
    <w:rsid w:val="00D429C6"/>
    <w:rsid w:val="00D454D5"/>
    <w:rsid w:val="00D4602B"/>
    <w:rsid w:val="00D46CA0"/>
    <w:rsid w:val="00D4714A"/>
    <w:rsid w:val="00D47748"/>
    <w:rsid w:val="00D5191E"/>
    <w:rsid w:val="00D52E76"/>
    <w:rsid w:val="00D53549"/>
    <w:rsid w:val="00D54CC3"/>
    <w:rsid w:val="00D54D1D"/>
    <w:rsid w:val="00D57CA1"/>
    <w:rsid w:val="00D6041A"/>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3991"/>
    <w:rsid w:val="00DA5237"/>
    <w:rsid w:val="00DA5696"/>
    <w:rsid w:val="00DA5EC3"/>
    <w:rsid w:val="00DA6BBD"/>
    <w:rsid w:val="00DB0990"/>
    <w:rsid w:val="00DB36B8"/>
    <w:rsid w:val="00DB4151"/>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5A29"/>
    <w:rsid w:val="00DD5D9D"/>
    <w:rsid w:val="00DD75D1"/>
    <w:rsid w:val="00DD773E"/>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21F2"/>
    <w:rsid w:val="00E02FD4"/>
    <w:rsid w:val="00E037EF"/>
    <w:rsid w:val="00E06018"/>
    <w:rsid w:val="00E06386"/>
    <w:rsid w:val="00E07398"/>
    <w:rsid w:val="00E11ABB"/>
    <w:rsid w:val="00E11C4B"/>
    <w:rsid w:val="00E21984"/>
    <w:rsid w:val="00E23406"/>
    <w:rsid w:val="00E24EB4"/>
    <w:rsid w:val="00E320ED"/>
    <w:rsid w:val="00E3265B"/>
    <w:rsid w:val="00E33AFB"/>
    <w:rsid w:val="00E34218"/>
    <w:rsid w:val="00E34A84"/>
    <w:rsid w:val="00E3645D"/>
    <w:rsid w:val="00E36D0B"/>
    <w:rsid w:val="00E37A8B"/>
    <w:rsid w:val="00E40634"/>
    <w:rsid w:val="00E40F54"/>
    <w:rsid w:val="00E41915"/>
    <w:rsid w:val="00E43F5F"/>
    <w:rsid w:val="00E447BE"/>
    <w:rsid w:val="00E46282"/>
    <w:rsid w:val="00E5216E"/>
    <w:rsid w:val="00E5751B"/>
    <w:rsid w:val="00E60285"/>
    <w:rsid w:val="00E627B4"/>
    <w:rsid w:val="00E6301E"/>
    <w:rsid w:val="00E7606C"/>
    <w:rsid w:val="00E778A5"/>
    <w:rsid w:val="00E8061E"/>
    <w:rsid w:val="00E82344"/>
    <w:rsid w:val="00E82476"/>
    <w:rsid w:val="00E84C16"/>
    <w:rsid w:val="00E84C82"/>
    <w:rsid w:val="00E84D64"/>
    <w:rsid w:val="00E87408"/>
    <w:rsid w:val="00E90811"/>
    <w:rsid w:val="00E914C4"/>
    <w:rsid w:val="00E91C6E"/>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4225"/>
    <w:rsid w:val="00EC680A"/>
    <w:rsid w:val="00EC6A37"/>
    <w:rsid w:val="00EC7987"/>
    <w:rsid w:val="00EC7BA3"/>
    <w:rsid w:val="00ED160A"/>
    <w:rsid w:val="00ED350A"/>
    <w:rsid w:val="00ED51AD"/>
    <w:rsid w:val="00ED7289"/>
    <w:rsid w:val="00EE2BED"/>
    <w:rsid w:val="00EE374B"/>
    <w:rsid w:val="00EF3022"/>
    <w:rsid w:val="00EF3604"/>
    <w:rsid w:val="00F01516"/>
    <w:rsid w:val="00F062F6"/>
    <w:rsid w:val="00F11BB5"/>
    <w:rsid w:val="00F11E00"/>
    <w:rsid w:val="00F14020"/>
    <w:rsid w:val="00F1417B"/>
    <w:rsid w:val="00F22D43"/>
    <w:rsid w:val="00F238FF"/>
    <w:rsid w:val="00F32D6F"/>
    <w:rsid w:val="00F34B99"/>
    <w:rsid w:val="00F404D3"/>
    <w:rsid w:val="00F44380"/>
    <w:rsid w:val="00F47458"/>
    <w:rsid w:val="00F479EC"/>
    <w:rsid w:val="00F47D6B"/>
    <w:rsid w:val="00F52562"/>
    <w:rsid w:val="00F52DAB"/>
    <w:rsid w:val="00F543F0"/>
    <w:rsid w:val="00F60D14"/>
    <w:rsid w:val="00F6244B"/>
    <w:rsid w:val="00F6326B"/>
    <w:rsid w:val="00F63902"/>
    <w:rsid w:val="00F63CED"/>
    <w:rsid w:val="00F71A0A"/>
    <w:rsid w:val="00F72CB0"/>
    <w:rsid w:val="00F759DB"/>
    <w:rsid w:val="00F75B0A"/>
    <w:rsid w:val="00F761B4"/>
    <w:rsid w:val="00F77E07"/>
    <w:rsid w:val="00F81D29"/>
    <w:rsid w:val="00F82A8B"/>
    <w:rsid w:val="00F85648"/>
    <w:rsid w:val="00F85D6A"/>
    <w:rsid w:val="00F908CF"/>
    <w:rsid w:val="00F91C4D"/>
    <w:rsid w:val="00F92FD9"/>
    <w:rsid w:val="00F94042"/>
    <w:rsid w:val="00F94BD9"/>
    <w:rsid w:val="00F95BC9"/>
    <w:rsid w:val="00FA09AA"/>
    <w:rsid w:val="00FA6684"/>
    <w:rsid w:val="00FA731E"/>
    <w:rsid w:val="00FB24C0"/>
    <w:rsid w:val="00FB2B38"/>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D57"/>
    <w:rsid w:val="00FF15EB"/>
    <w:rsid w:val="00FF3B68"/>
    <w:rsid w:val="00FF61B0"/>
    <w:rsid w:val="02297DD8"/>
    <w:rsid w:val="030621D2"/>
    <w:rsid w:val="048B3B05"/>
    <w:rsid w:val="04D3667D"/>
    <w:rsid w:val="06732DD2"/>
    <w:rsid w:val="083127F5"/>
    <w:rsid w:val="0DA34EC2"/>
    <w:rsid w:val="0F9E459E"/>
    <w:rsid w:val="0FD65CEC"/>
    <w:rsid w:val="101C1DE4"/>
    <w:rsid w:val="10450E42"/>
    <w:rsid w:val="10F0797B"/>
    <w:rsid w:val="11E80A7F"/>
    <w:rsid w:val="12840C68"/>
    <w:rsid w:val="131A2658"/>
    <w:rsid w:val="13E26BF6"/>
    <w:rsid w:val="15097400"/>
    <w:rsid w:val="15552A82"/>
    <w:rsid w:val="16AA2DA6"/>
    <w:rsid w:val="16D809AC"/>
    <w:rsid w:val="179B7797"/>
    <w:rsid w:val="19B133BC"/>
    <w:rsid w:val="1AD56879"/>
    <w:rsid w:val="1B400DE5"/>
    <w:rsid w:val="1C326485"/>
    <w:rsid w:val="1C8D74DF"/>
    <w:rsid w:val="1D7B1747"/>
    <w:rsid w:val="1D8673DE"/>
    <w:rsid w:val="1E3E3F8C"/>
    <w:rsid w:val="1F314018"/>
    <w:rsid w:val="1F6E7C17"/>
    <w:rsid w:val="207D0F8C"/>
    <w:rsid w:val="208B1A55"/>
    <w:rsid w:val="23490CEA"/>
    <w:rsid w:val="239353C9"/>
    <w:rsid w:val="23A751A5"/>
    <w:rsid w:val="26B304C2"/>
    <w:rsid w:val="27F745AE"/>
    <w:rsid w:val="299052B3"/>
    <w:rsid w:val="2B275430"/>
    <w:rsid w:val="2BBF8C26"/>
    <w:rsid w:val="2BC55C39"/>
    <w:rsid w:val="2BCE6231"/>
    <w:rsid w:val="2EAC2B15"/>
    <w:rsid w:val="2F0B6118"/>
    <w:rsid w:val="2F67042C"/>
    <w:rsid w:val="2FB37DCD"/>
    <w:rsid w:val="2FFED3C5"/>
    <w:rsid w:val="30FC3977"/>
    <w:rsid w:val="318F6C57"/>
    <w:rsid w:val="331B19CA"/>
    <w:rsid w:val="33DB182A"/>
    <w:rsid w:val="341E2A13"/>
    <w:rsid w:val="347F68E7"/>
    <w:rsid w:val="34D233EE"/>
    <w:rsid w:val="35C35DEB"/>
    <w:rsid w:val="36F23319"/>
    <w:rsid w:val="36FF28BA"/>
    <w:rsid w:val="37265E54"/>
    <w:rsid w:val="37C65BB6"/>
    <w:rsid w:val="399B4FCA"/>
    <w:rsid w:val="3B3C7EDE"/>
    <w:rsid w:val="3CB05260"/>
    <w:rsid w:val="3EE778AF"/>
    <w:rsid w:val="3FE84035"/>
    <w:rsid w:val="409A3B2A"/>
    <w:rsid w:val="44617CC7"/>
    <w:rsid w:val="45EA1370"/>
    <w:rsid w:val="47A035E5"/>
    <w:rsid w:val="488E383C"/>
    <w:rsid w:val="4A21514E"/>
    <w:rsid w:val="4A8357F5"/>
    <w:rsid w:val="4AB40403"/>
    <w:rsid w:val="4AE11487"/>
    <w:rsid w:val="4C1349D2"/>
    <w:rsid w:val="4C24442B"/>
    <w:rsid w:val="4CAE6B83"/>
    <w:rsid w:val="4E3E6DA1"/>
    <w:rsid w:val="4E657CC8"/>
    <w:rsid w:val="4EA9480D"/>
    <w:rsid w:val="514314A4"/>
    <w:rsid w:val="525941F7"/>
    <w:rsid w:val="527B32DC"/>
    <w:rsid w:val="54AE73D9"/>
    <w:rsid w:val="54BD67C0"/>
    <w:rsid w:val="56D13B22"/>
    <w:rsid w:val="57775221"/>
    <w:rsid w:val="58783D00"/>
    <w:rsid w:val="589828C3"/>
    <w:rsid w:val="5A004BC3"/>
    <w:rsid w:val="5AD01207"/>
    <w:rsid w:val="5B7C2D04"/>
    <w:rsid w:val="5C3575F8"/>
    <w:rsid w:val="5C494FF5"/>
    <w:rsid w:val="5C624ED9"/>
    <w:rsid w:val="5CDF1BA4"/>
    <w:rsid w:val="5D4209FC"/>
    <w:rsid w:val="5E40325A"/>
    <w:rsid w:val="5E9D48D1"/>
    <w:rsid w:val="5F915B1A"/>
    <w:rsid w:val="5FD7B2F1"/>
    <w:rsid w:val="608D501A"/>
    <w:rsid w:val="61144470"/>
    <w:rsid w:val="66201FF1"/>
    <w:rsid w:val="684576A1"/>
    <w:rsid w:val="68544929"/>
    <w:rsid w:val="69831126"/>
    <w:rsid w:val="6AD145C7"/>
    <w:rsid w:val="6B7114C3"/>
    <w:rsid w:val="6B9F700B"/>
    <w:rsid w:val="6BE99A4D"/>
    <w:rsid w:val="6BEB4AAA"/>
    <w:rsid w:val="6CE62D78"/>
    <w:rsid w:val="6D615EC4"/>
    <w:rsid w:val="6DC53896"/>
    <w:rsid w:val="6F733874"/>
    <w:rsid w:val="700329C4"/>
    <w:rsid w:val="70F008E8"/>
    <w:rsid w:val="71460A0E"/>
    <w:rsid w:val="714977FC"/>
    <w:rsid w:val="72044109"/>
    <w:rsid w:val="72DC3022"/>
    <w:rsid w:val="74844956"/>
    <w:rsid w:val="757C0541"/>
    <w:rsid w:val="7777F65D"/>
    <w:rsid w:val="779A8D62"/>
    <w:rsid w:val="779E3FD7"/>
    <w:rsid w:val="77B1BDEE"/>
    <w:rsid w:val="78EE009B"/>
    <w:rsid w:val="7B75408B"/>
    <w:rsid w:val="7B7FBC01"/>
    <w:rsid w:val="7CC111C0"/>
    <w:rsid w:val="7D393630"/>
    <w:rsid w:val="7D9AC147"/>
    <w:rsid w:val="7DA12179"/>
    <w:rsid w:val="7E5E21D0"/>
    <w:rsid w:val="7E7FC49D"/>
    <w:rsid w:val="7EA06065"/>
    <w:rsid w:val="7EDBE556"/>
    <w:rsid w:val="7FCB0578"/>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7"/>
    <w:qFormat/>
    <w:uiPriority w:val="0"/>
    <w:pPr>
      <w:keepNext/>
      <w:keepLines/>
      <w:spacing w:before="340" w:after="330" w:line="578" w:lineRule="auto"/>
      <w:outlineLvl w:val="0"/>
    </w:pPr>
    <w:rPr>
      <w:b/>
      <w:bCs/>
      <w:kern w:val="44"/>
      <w:sz w:val="44"/>
      <w:szCs w:val="4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5">
    <w:name w:val="toc 7"/>
    <w:basedOn w:val="1"/>
    <w:next w:val="1"/>
    <w:qFormat/>
    <w:uiPriority w:val="39"/>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48"/>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qFormat/>
    <w:uiPriority w:val="39"/>
    <w:pPr>
      <w:tabs>
        <w:tab w:val="right" w:leader="dot" w:pos="9241"/>
      </w:tabs>
      <w:ind w:firstLine="300" w:firstLineChars="300"/>
      <w:jc w:val="left"/>
    </w:pPr>
    <w:rPr>
      <w:rFonts w:ascii="宋体"/>
      <w:szCs w:val="21"/>
    </w:rPr>
  </w:style>
  <w:style w:type="paragraph" w:styleId="14">
    <w:name w:val="toc 3"/>
    <w:basedOn w:val="15"/>
    <w:next w:val="1"/>
    <w:qFormat/>
    <w:uiPriority w:val="39"/>
    <w:pPr>
      <w:tabs>
        <w:tab w:val="right" w:leader="dot" w:pos="9241"/>
        <w:tab w:val="right" w:leader="dot" w:pos="9242"/>
      </w:tabs>
      <w:ind w:firstLine="100" w:firstLineChars="100"/>
    </w:pPr>
  </w:style>
  <w:style w:type="paragraph" w:styleId="15">
    <w:name w:val="toc 2"/>
    <w:basedOn w:val="16"/>
    <w:next w:val="1"/>
    <w:qFormat/>
    <w:uiPriority w:val="39"/>
    <w:pPr>
      <w:tabs>
        <w:tab w:val="right" w:leader="dot" w:pos="9242"/>
      </w:tabs>
    </w:pPr>
  </w:style>
  <w:style w:type="paragraph" w:styleId="16">
    <w:name w:val="toc 1"/>
    <w:basedOn w:val="1"/>
    <w:next w:val="1"/>
    <w:qFormat/>
    <w:uiPriority w:val="39"/>
    <w:pPr>
      <w:tabs>
        <w:tab w:val="right" w:leader="dot" w:pos="9242"/>
      </w:tabs>
      <w:spacing w:beforeLines="25" w:afterLines="25"/>
      <w:jc w:val="left"/>
    </w:pPr>
    <w:rPr>
      <w:rFonts w:ascii="宋体"/>
      <w:szCs w:val="21"/>
    </w:rPr>
  </w:style>
  <w:style w:type="paragraph" w:styleId="17">
    <w:name w:val="toc 8"/>
    <w:basedOn w:val="1"/>
    <w:next w:val="1"/>
    <w:qFormat/>
    <w:uiPriority w:val="39"/>
    <w:pPr>
      <w:tabs>
        <w:tab w:val="right" w:leader="dot" w:pos="9241"/>
      </w:tabs>
      <w:ind w:firstLine="607" w:firstLineChars="600"/>
      <w:jc w:val="left"/>
    </w:pPr>
    <w:rPr>
      <w:rFonts w:ascii="宋体"/>
      <w:szCs w:val="21"/>
    </w:rPr>
  </w:style>
  <w:style w:type="paragraph" w:styleId="18">
    <w:name w:val="index 3"/>
    <w:basedOn w:val="1"/>
    <w:next w:val="1"/>
    <w:qFormat/>
    <w:uiPriority w:val="0"/>
    <w:pPr>
      <w:ind w:left="630" w:hanging="210"/>
      <w:jc w:val="left"/>
    </w:pPr>
    <w:rPr>
      <w:rFonts w:ascii="Calibri" w:hAnsi="Calibri"/>
      <w:sz w:val="20"/>
      <w:szCs w:val="20"/>
    </w:rPr>
  </w:style>
  <w:style w:type="paragraph" w:styleId="19">
    <w:name w:val="Date"/>
    <w:basedOn w:val="1"/>
    <w:next w:val="1"/>
    <w:link w:val="152"/>
    <w:qFormat/>
    <w:uiPriority w:val="0"/>
    <w:pPr>
      <w:ind w:left="100" w:leftChars="2500"/>
    </w:pPr>
  </w:style>
  <w:style w:type="paragraph" w:styleId="20">
    <w:name w:val="endnote text"/>
    <w:basedOn w:val="1"/>
    <w:semiHidden/>
    <w:qFormat/>
    <w:uiPriority w:val="0"/>
    <w:pPr>
      <w:snapToGrid w:val="0"/>
      <w:jc w:val="left"/>
    </w:pPr>
  </w:style>
  <w:style w:type="paragraph" w:styleId="21">
    <w:name w:val="Balloon Text"/>
    <w:basedOn w:val="1"/>
    <w:link w:val="155"/>
    <w:qFormat/>
    <w:uiPriority w:val="0"/>
    <w:rPr>
      <w:sz w:val="18"/>
      <w:szCs w:val="18"/>
    </w:rPr>
  </w:style>
  <w:style w:type="paragraph" w:styleId="22">
    <w:name w:val="footer"/>
    <w:basedOn w:val="1"/>
    <w:link w:val="148"/>
    <w:qFormat/>
    <w:uiPriority w:val="99"/>
    <w:pPr>
      <w:snapToGrid w:val="0"/>
      <w:ind w:right="210" w:rightChars="100"/>
      <w:jc w:val="right"/>
    </w:pPr>
    <w:rPr>
      <w:sz w:val="18"/>
      <w:szCs w:val="18"/>
    </w:rPr>
  </w:style>
  <w:style w:type="paragraph" w:styleId="23">
    <w:name w:val="header"/>
    <w:basedOn w:val="1"/>
    <w:qFormat/>
    <w:uiPriority w:val="0"/>
    <w:pPr>
      <w:snapToGrid w:val="0"/>
      <w:jc w:val="left"/>
    </w:pPr>
    <w:rPr>
      <w:sz w:val="18"/>
      <w:szCs w:val="18"/>
    </w:rPr>
  </w:style>
  <w:style w:type="paragraph" w:styleId="24">
    <w:name w:val="toc 4"/>
    <w:basedOn w:val="1"/>
    <w:next w:val="1"/>
    <w:qFormat/>
    <w:uiPriority w:val="39"/>
    <w:pPr>
      <w:tabs>
        <w:tab w:val="right" w:leader="dot" w:pos="9241"/>
      </w:tabs>
      <w:ind w:firstLine="200" w:firstLineChars="200"/>
      <w:jc w:val="left"/>
    </w:pPr>
    <w:rPr>
      <w:rFonts w:ascii="宋体"/>
      <w:szCs w:val="21"/>
    </w:rPr>
  </w:style>
  <w:style w:type="paragraph" w:styleId="25">
    <w:name w:val="index heading"/>
    <w:basedOn w:val="1"/>
    <w:next w:val="26"/>
    <w:qFormat/>
    <w:uiPriority w:val="0"/>
    <w:pPr>
      <w:spacing w:before="120" w:after="120"/>
      <w:jc w:val="center"/>
    </w:pPr>
    <w:rPr>
      <w:rFonts w:ascii="Calibri" w:hAnsi="Calibri"/>
      <w:b/>
      <w:bCs/>
      <w:iCs/>
      <w:szCs w:val="20"/>
    </w:rPr>
  </w:style>
  <w:style w:type="paragraph" w:styleId="26">
    <w:name w:val="index 1"/>
    <w:basedOn w:val="1"/>
    <w:next w:val="27"/>
    <w:qFormat/>
    <w:uiPriority w:val="0"/>
    <w:pPr>
      <w:tabs>
        <w:tab w:val="right" w:leader="dot" w:pos="9299"/>
      </w:tabs>
      <w:jc w:val="left"/>
    </w:pPr>
    <w:rPr>
      <w:rFonts w:ascii="宋体"/>
      <w:szCs w:val="21"/>
    </w:rPr>
  </w:style>
  <w:style w:type="paragraph" w:customStyle="1" w:styleId="27">
    <w:name w:val="段"/>
    <w:link w:val="15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8">
    <w:name w:val="footnote text"/>
    <w:basedOn w:val="1"/>
    <w:qFormat/>
    <w:uiPriority w:val="0"/>
    <w:pPr>
      <w:numPr>
        <w:ilvl w:val="0"/>
        <w:numId w:val="1"/>
      </w:numPr>
      <w:snapToGrid w:val="0"/>
      <w:jc w:val="left"/>
    </w:pPr>
    <w:rPr>
      <w:rFonts w:ascii="宋体"/>
      <w:sz w:val="18"/>
      <w:szCs w:val="18"/>
    </w:rPr>
  </w:style>
  <w:style w:type="paragraph" w:styleId="29">
    <w:name w:val="toc 6"/>
    <w:basedOn w:val="1"/>
    <w:next w:val="1"/>
    <w:qFormat/>
    <w:uiPriority w:val="39"/>
    <w:pPr>
      <w:tabs>
        <w:tab w:val="right" w:leader="dot" w:pos="9241"/>
      </w:tabs>
      <w:ind w:firstLine="400" w:firstLineChars="400"/>
      <w:jc w:val="left"/>
    </w:pPr>
    <w:rPr>
      <w:rFonts w:ascii="宋体"/>
      <w:szCs w:val="21"/>
    </w:rPr>
  </w:style>
  <w:style w:type="paragraph" w:styleId="30">
    <w:name w:val="index 7"/>
    <w:basedOn w:val="1"/>
    <w:next w:val="1"/>
    <w:qFormat/>
    <w:uiPriority w:val="0"/>
    <w:pPr>
      <w:ind w:left="1470" w:hanging="210"/>
      <w:jc w:val="left"/>
    </w:pPr>
    <w:rPr>
      <w:rFonts w:ascii="Calibri" w:hAnsi="Calibri"/>
      <w:sz w:val="20"/>
      <w:szCs w:val="20"/>
    </w:rPr>
  </w:style>
  <w:style w:type="paragraph" w:styleId="31">
    <w:name w:val="index 9"/>
    <w:basedOn w:val="1"/>
    <w:next w:val="1"/>
    <w:qFormat/>
    <w:uiPriority w:val="0"/>
    <w:pPr>
      <w:ind w:left="1890" w:hanging="210"/>
      <w:jc w:val="left"/>
    </w:pPr>
    <w:rPr>
      <w:rFonts w:ascii="Calibri" w:hAnsi="Calibri"/>
      <w:sz w:val="20"/>
      <w:szCs w:val="20"/>
    </w:rPr>
  </w:style>
  <w:style w:type="paragraph" w:styleId="32">
    <w:name w:val="toc 9"/>
    <w:basedOn w:val="1"/>
    <w:next w:val="1"/>
    <w:qFormat/>
    <w:uiPriority w:val="39"/>
    <w:pPr>
      <w:ind w:left="1470"/>
      <w:jc w:val="left"/>
    </w:pPr>
    <w:rPr>
      <w:sz w:val="20"/>
      <w:szCs w:val="20"/>
    </w:rPr>
  </w:style>
  <w:style w:type="paragraph" w:styleId="33">
    <w:name w:val="Body Text 2"/>
    <w:basedOn w:val="1"/>
    <w:link w:val="153"/>
    <w:qFormat/>
    <w:uiPriority w:val="0"/>
    <w:pPr>
      <w:adjustRightInd w:val="0"/>
      <w:spacing w:line="360" w:lineRule="auto"/>
    </w:pPr>
    <w:rPr>
      <w:rFonts w:ascii="宋体" w:hAnsi="宋体"/>
      <w:color w:val="FF6600"/>
      <w:kern w:val="0"/>
      <w:szCs w:val="20"/>
    </w:rPr>
  </w:style>
  <w:style w:type="paragraph" w:styleId="3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5">
    <w:name w:val="index 2"/>
    <w:basedOn w:val="1"/>
    <w:next w:val="1"/>
    <w:qFormat/>
    <w:uiPriority w:val="0"/>
    <w:pPr>
      <w:ind w:left="420" w:hanging="210"/>
      <w:jc w:val="left"/>
    </w:pPr>
    <w:rPr>
      <w:rFonts w:ascii="Calibri" w:hAnsi="Calibri"/>
      <w:sz w:val="20"/>
      <w:szCs w:val="20"/>
    </w:rPr>
  </w:style>
  <w:style w:type="paragraph" w:styleId="36">
    <w:name w:val="annotation subject"/>
    <w:basedOn w:val="10"/>
    <w:next w:val="10"/>
    <w:link w:val="151"/>
    <w:qFormat/>
    <w:uiPriority w:val="0"/>
    <w:rPr>
      <w:b/>
      <w:bCs/>
    </w:rPr>
  </w:style>
  <w:style w:type="table" w:styleId="38">
    <w:name w:val="Table Grid"/>
    <w:basedOn w:val="37"/>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9">
    <w:name w:val="Table Theme"/>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endnote reference"/>
    <w:semiHidden/>
    <w:qFormat/>
    <w:uiPriority w:val="0"/>
    <w:rPr>
      <w:vertAlign w:val="superscript"/>
    </w:rPr>
  </w:style>
  <w:style w:type="character" w:styleId="42">
    <w:name w:val="page number"/>
    <w:basedOn w:val="40"/>
    <w:qFormat/>
    <w:uiPriority w:val="0"/>
    <w:rPr>
      <w:rFonts w:ascii="Times New Roman" w:hAnsi="Times New Roman" w:eastAsia="宋体"/>
      <w:sz w:val="18"/>
    </w:rPr>
  </w:style>
  <w:style w:type="character" w:styleId="43">
    <w:name w:val="FollowedHyperlink"/>
    <w:qFormat/>
    <w:uiPriority w:val="0"/>
    <w:rPr>
      <w:color w:val="800080"/>
      <w:u w:val="single"/>
    </w:rPr>
  </w:style>
  <w:style w:type="character" w:styleId="44">
    <w:name w:val="Hyperlink"/>
    <w:qFormat/>
    <w:uiPriority w:val="99"/>
    <w:rPr>
      <w:color w:val="0000FF"/>
      <w:spacing w:val="0"/>
      <w:w w:val="100"/>
      <w:szCs w:val="21"/>
      <w:u w:val="single"/>
      <w:lang w:val="en-US" w:eastAsia="zh-CN"/>
    </w:rPr>
  </w:style>
  <w:style w:type="character" w:styleId="45">
    <w:name w:val="annotation reference"/>
    <w:qFormat/>
    <w:uiPriority w:val="0"/>
    <w:rPr>
      <w:sz w:val="21"/>
      <w:szCs w:val="21"/>
    </w:rPr>
  </w:style>
  <w:style w:type="character" w:styleId="46">
    <w:name w:val="footnote reference"/>
    <w:semiHidden/>
    <w:qFormat/>
    <w:uiPriority w:val="0"/>
    <w:rPr>
      <w:vertAlign w:val="superscript"/>
    </w:rPr>
  </w:style>
  <w:style w:type="character" w:customStyle="1" w:styleId="47">
    <w:name w:val="标题 1 Char"/>
    <w:link w:val="3"/>
    <w:qFormat/>
    <w:uiPriority w:val="0"/>
    <w:rPr>
      <w:b/>
      <w:bCs/>
      <w:kern w:val="44"/>
      <w:sz w:val="44"/>
      <w:szCs w:val="44"/>
    </w:rPr>
  </w:style>
  <w:style w:type="character" w:customStyle="1" w:styleId="48">
    <w:name w:val="批注文字 Char"/>
    <w:link w:val="10"/>
    <w:qFormat/>
    <w:uiPriority w:val="0"/>
    <w:rPr>
      <w:kern w:val="2"/>
      <w:sz w:val="21"/>
      <w:szCs w:val="24"/>
    </w:rPr>
  </w:style>
  <w:style w:type="paragraph" w:customStyle="1" w:styleId="49">
    <w:name w:val="三级条标题"/>
    <w:basedOn w:val="50"/>
    <w:next w:val="27"/>
    <w:qFormat/>
    <w:uiPriority w:val="0"/>
    <w:pPr>
      <w:ind w:left="0"/>
      <w:outlineLvl w:val="4"/>
    </w:pPr>
  </w:style>
  <w:style w:type="paragraph" w:customStyle="1" w:styleId="50">
    <w:name w:val="二级条标题"/>
    <w:basedOn w:val="51"/>
    <w:next w:val="27"/>
    <w:qFormat/>
    <w:uiPriority w:val="0"/>
    <w:pPr>
      <w:spacing w:before="50" w:after="50"/>
      <w:ind w:left="284"/>
      <w:outlineLvl w:val="3"/>
    </w:pPr>
  </w:style>
  <w:style w:type="paragraph" w:customStyle="1" w:styleId="51">
    <w:name w:val="一级条标题"/>
    <w:next w:val="27"/>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2">
    <w:name w:val="附录公式"/>
    <w:basedOn w:val="27"/>
    <w:next w:val="27"/>
    <w:link w:val="150"/>
    <w:qFormat/>
    <w:uiPriority w:val="0"/>
  </w:style>
  <w:style w:type="paragraph" w:customStyle="1" w:styleId="53">
    <w:name w:val="附录三级无"/>
    <w:basedOn w:val="54"/>
    <w:qFormat/>
    <w:uiPriority w:val="0"/>
    <w:pPr>
      <w:tabs>
        <w:tab w:val="left" w:pos="360"/>
      </w:tabs>
      <w:spacing w:beforeLines="0" w:afterLines="0"/>
    </w:pPr>
    <w:rPr>
      <w:rFonts w:ascii="宋体" w:eastAsia="宋体"/>
      <w:szCs w:val="21"/>
    </w:rPr>
  </w:style>
  <w:style w:type="paragraph" w:customStyle="1" w:styleId="54">
    <w:name w:val="附录三级条标题"/>
    <w:basedOn w:val="55"/>
    <w:next w:val="27"/>
    <w:qFormat/>
    <w:uiPriority w:val="0"/>
    <w:pPr>
      <w:numPr>
        <w:ilvl w:val="4"/>
        <w:numId w:val="2"/>
      </w:numPr>
      <w:tabs>
        <w:tab w:val="left" w:pos="360"/>
      </w:tabs>
      <w:outlineLvl w:val="4"/>
    </w:pPr>
  </w:style>
  <w:style w:type="paragraph" w:customStyle="1" w:styleId="55">
    <w:name w:val="附录二级条标题"/>
    <w:basedOn w:val="1"/>
    <w:next w:val="27"/>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6">
    <w:name w:val="附录一级条标题"/>
    <w:basedOn w:val="57"/>
    <w:next w:val="27"/>
    <w:qFormat/>
    <w:uiPriority w:val="0"/>
    <w:pPr>
      <w:numPr>
        <w:ilvl w:val="0"/>
        <w:numId w:val="0"/>
      </w:numPr>
      <w:tabs>
        <w:tab w:val="left" w:pos="360"/>
      </w:tabs>
      <w:autoSpaceDN w:val="0"/>
      <w:spacing w:beforeLines="50" w:afterLines="50"/>
      <w:outlineLvl w:val="2"/>
    </w:pPr>
  </w:style>
  <w:style w:type="paragraph" w:customStyle="1" w:styleId="57">
    <w:name w:val="附录章标题"/>
    <w:next w:val="27"/>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8">
    <w:name w:val="正文图标题"/>
    <w:next w:val="27"/>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59">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0">
    <w:name w:val="附录五级无"/>
    <w:basedOn w:val="61"/>
    <w:qFormat/>
    <w:uiPriority w:val="0"/>
    <w:pPr>
      <w:tabs>
        <w:tab w:val="left" w:pos="360"/>
      </w:tabs>
      <w:spacing w:beforeLines="0" w:afterLines="0"/>
    </w:pPr>
    <w:rPr>
      <w:rFonts w:ascii="宋体" w:eastAsia="宋体"/>
      <w:szCs w:val="21"/>
    </w:rPr>
  </w:style>
  <w:style w:type="paragraph" w:customStyle="1" w:styleId="61">
    <w:name w:val="附录五级条标题"/>
    <w:basedOn w:val="62"/>
    <w:next w:val="27"/>
    <w:qFormat/>
    <w:uiPriority w:val="0"/>
    <w:pPr>
      <w:tabs>
        <w:tab w:val="left" w:pos="360"/>
      </w:tabs>
      <w:outlineLvl w:val="6"/>
    </w:pPr>
  </w:style>
  <w:style w:type="paragraph" w:customStyle="1" w:styleId="62">
    <w:name w:val="附录四级条标题"/>
    <w:basedOn w:val="54"/>
    <w:next w:val="27"/>
    <w:qFormat/>
    <w:uiPriority w:val="0"/>
    <w:pPr>
      <w:numPr>
        <w:ilvl w:val="0"/>
        <w:numId w:val="0"/>
      </w:numPr>
      <w:outlineLvl w:val="5"/>
    </w:pPr>
  </w:style>
  <w:style w:type="paragraph" w:customStyle="1" w:styleId="63">
    <w:name w:val="_Style 58"/>
    <w:basedOn w:val="1"/>
    <w:qFormat/>
    <w:uiPriority w:val="34"/>
    <w:pPr>
      <w:ind w:left="480" w:leftChars="200"/>
      <w:jc w:val="left"/>
    </w:pPr>
    <w:rPr>
      <w:rFonts w:ascii="Calibri" w:hAnsi="Calibri" w:eastAsia="PMingLiU"/>
      <w:sz w:val="24"/>
      <w:szCs w:val="22"/>
      <w:lang w:eastAsia="zh-TW"/>
    </w:rPr>
  </w:style>
  <w:style w:type="paragraph" w:customStyle="1" w:styleId="64">
    <w:name w:val="附录一级无"/>
    <w:basedOn w:val="56"/>
    <w:qFormat/>
    <w:uiPriority w:val="0"/>
    <w:pPr>
      <w:spacing w:beforeLines="0" w:afterLines="0"/>
    </w:pPr>
    <w:rPr>
      <w:rFonts w:ascii="宋体" w:eastAsia="宋体"/>
      <w:szCs w:val="21"/>
    </w:rPr>
  </w:style>
  <w:style w:type="paragraph" w:customStyle="1" w:styleId="65">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6">
    <w:name w:val="注：（正文）"/>
    <w:basedOn w:val="67"/>
    <w:next w:val="27"/>
    <w:qFormat/>
    <w:uiPriority w:val="0"/>
    <w:pPr>
      <w:numPr>
        <w:ilvl w:val="0"/>
        <w:numId w:val="5"/>
      </w:numPr>
    </w:pPr>
  </w:style>
  <w:style w:type="paragraph" w:customStyle="1" w:styleId="67">
    <w:name w:val="注："/>
    <w:next w:val="27"/>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8">
    <w:name w:val="图标脚注说明"/>
    <w:basedOn w:val="27"/>
    <w:qFormat/>
    <w:uiPriority w:val="0"/>
    <w:pPr>
      <w:ind w:left="840" w:hanging="420" w:firstLineChars="0"/>
    </w:pPr>
    <w:rPr>
      <w:sz w:val="18"/>
      <w:szCs w:val="18"/>
    </w:rPr>
  </w:style>
  <w:style w:type="paragraph" w:customStyle="1" w:styleId="69">
    <w:name w:val="参考文献"/>
    <w:basedOn w:val="1"/>
    <w:next w:val="2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2">
    <w:name w:val="封面一致性程度标识2"/>
    <w:basedOn w:val="73"/>
    <w:qFormat/>
    <w:uiPriority w:val="0"/>
    <w:pPr>
      <w:framePr w:wrap="around" w:y="4469"/>
    </w:pPr>
  </w:style>
  <w:style w:type="paragraph" w:customStyle="1" w:styleId="73">
    <w:name w:val="封面一致性程度标识"/>
    <w:basedOn w:val="74"/>
    <w:qFormat/>
    <w:uiPriority w:val="0"/>
    <w:pPr>
      <w:framePr w:wrap="around"/>
      <w:spacing w:before="440"/>
    </w:pPr>
    <w:rPr>
      <w:rFonts w:ascii="宋体" w:eastAsia="宋体"/>
    </w:rPr>
  </w:style>
  <w:style w:type="paragraph" w:customStyle="1" w:styleId="74">
    <w:name w:val="封面标准英文名称"/>
    <w:basedOn w:val="75"/>
    <w:qFormat/>
    <w:uiPriority w:val="0"/>
    <w:pPr>
      <w:framePr w:wrap="around"/>
      <w:spacing w:before="370" w:line="400" w:lineRule="exact"/>
    </w:pPr>
    <w:rPr>
      <w:rFonts w:ascii="Times New Roman"/>
      <w:sz w:val="28"/>
      <w:szCs w:val="28"/>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图表脚注说明"/>
    <w:basedOn w:val="1"/>
    <w:qFormat/>
    <w:uiPriority w:val="0"/>
    <w:pPr>
      <w:numPr>
        <w:ilvl w:val="0"/>
        <w:numId w:val="8"/>
      </w:numPr>
    </w:pPr>
    <w:rPr>
      <w:rFonts w:ascii="宋体"/>
      <w:sz w:val="18"/>
      <w:szCs w:val="18"/>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其他发布日期"/>
    <w:basedOn w:val="77"/>
    <w:qFormat/>
    <w:uiPriority w:val="0"/>
    <w:pPr>
      <w:framePr w:wrap="around" w:vAnchor="page" w:hAnchor="text" w:x="1419"/>
    </w:pPr>
  </w:style>
  <w:style w:type="paragraph" w:customStyle="1" w:styleId="81">
    <w:name w:val="发布部门"/>
    <w:next w:val="27"/>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2">
    <w:name w:val="封面标准文稿类别"/>
    <w:basedOn w:val="73"/>
    <w:qFormat/>
    <w:uiPriority w:val="0"/>
    <w:pPr>
      <w:framePr w:wrap="around"/>
      <w:spacing w:after="160" w:line="240" w:lineRule="auto"/>
    </w:pPr>
    <w:rPr>
      <w:sz w:val="24"/>
    </w:rPr>
  </w:style>
  <w:style w:type="paragraph" w:customStyle="1" w:styleId="8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4">
    <w:name w:val="封面标准文稿类别2"/>
    <w:basedOn w:val="82"/>
    <w:qFormat/>
    <w:uiPriority w:val="0"/>
    <w:pPr>
      <w:framePr w:wrap="around" w:y="4469"/>
    </w:pPr>
  </w:style>
  <w:style w:type="paragraph" w:customStyle="1" w:styleId="85">
    <w:name w:val="附录标题"/>
    <w:basedOn w:val="27"/>
    <w:next w:val="27"/>
    <w:qFormat/>
    <w:uiPriority w:val="0"/>
    <w:pPr>
      <w:ind w:firstLine="0" w:firstLineChars="0"/>
      <w:jc w:val="center"/>
    </w:pPr>
    <w:rPr>
      <w:rFonts w:ascii="黑体" w:eastAsia="黑体"/>
    </w:rPr>
  </w:style>
  <w:style w:type="paragraph" w:customStyle="1" w:styleId="8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7">
    <w:name w:val="四级无"/>
    <w:basedOn w:val="88"/>
    <w:qFormat/>
    <w:uiPriority w:val="0"/>
    <w:pPr>
      <w:spacing w:beforeLines="0" w:afterLines="0"/>
    </w:pPr>
    <w:rPr>
      <w:rFonts w:ascii="宋体" w:eastAsia="宋体"/>
    </w:rPr>
  </w:style>
  <w:style w:type="paragraph" w:customStyle="1" w:styleId="88">
    <w:name w:val="四级条标题"/>
    <w:basedOn w:val="49"/>
    <w:next w:val="27"/>
    <w:qFormat/>
    <w:uiPriority w:val="0"/>
    <w:pPr>
      <w:outlineLvl w:val="5"/>
    </w:pPr>
  </w:style>
  <w:style w:type="paragraph" w:customStyle="1" w:styleId="8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0">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91">
    <w:name w:val="参考文献、索引标题"/>
    <w:basedOn w:val="59"/>
    <w:next w:val="1"/>
    <w:qFormat/>
    <w:uiPriority w:val="0"/>
    <w:pPr>
      <w:spacing w:after="200"/>
    </w:pPr>
  </w:style>
  <w:style w:type="paragraph" w:customStyle="1" w:styleId="92">
    <w:name w:val="其他发布部门"/>
    <w:basedOn w:val="81"/>
    <w:qFormat/>
    <w:uiPriority w:val="0"/>
    <w:pPr>
      <w:framePr w:wrap="around" w:y="15310"/>
      <w:spacing w:line="0" w:lineRule="atLeast"/>
    </w:pPr>
    <w:rPr>
      <w:rFonts w:ascii="黑体" w:eastAsia="黑体"/>
      <w:b w:val="0"/>
    </w:rPr>
  </w:style>
  <w:style w:type="paragraph" w:customStyle="1" w:styleId="93">
    <w:name w:val="实施日期"/>
    <w:basedOn w:val="77"/>
    <w:qFormat/>
    <w:uiPriority w:val="0"/>
    <w:pPr>
      <w:framePr w:wrap="around" w:vAnchor="page" w:hAnchor="text"/>
      <w:jc w:val="right"/>
    </w:pPr>
  </w:style>
  <w:style w:type="paragraph" w:customStyle="1" w:styleId="94">
    <w:name w:val="封面标准名称2"/>
    <w:basedOn w:val="75"/>
    <w:qFormat/>
    <w:uiPriority w:val="0"/>
    <w:pPr>
      <w:framePr w:wrap="around" w:y="4469"/>
      <w:spacing w:beforeLines="630"/>
    </w:pPr>
  </w:style>
  <w:style w:type="paragraph" w:customStyle="1" w:styleId="95">
    <w:name w:val="其他实施日期"/>
    <w:basedOn w:val="93"/>
    <w:qFormat/>
    <w:uiPriority w:val="0"/>
    <w:pPr>
      <w:framePr w:wrap="around"/>
    </w:pPr>
  </w:style>
  <w:style w:type="paragraph" w:customStyle="1" w:styleId="96">
    <w:name w:val="其他标准标志"/>
    <w:basedOn w:val="97"/>
    <w:qFormat/>
    <w:uiPriority w:val="0"/>
    <w:pPr>
      <w:framePr w:w="6101" w:wrap="around" w:vAnchor="page" w:hAnchor="page" w:x="4673" w:y="942"/>
    </w:pPr>
    <w:rPr>
      <w:w w:val="130"/>
    </w:rPr>
  </w:style>
  <w:style w:type="paragraph" w:customStyle="1" w:styleId="9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8">
    <w:name w:val="二级无"/>
    <w:basedOn w:val="50"/>
    <w:qFormat/>
    <w:uiPriority w:val="0"/>
    <w:pPr>
      <w:spacing w:beforeLines="0" w:afterLines="0"/>
      <w:ind w:left="0"/>
    </w:pPr>
    <w:rPr>
      <w:rFonts w:ascii="宋体" w:eastAsia="宋体"/>
    </w:rPr>
  </w:style>
  <w:style w:type="paragraph" w:customStyle="1" w:styleId="99">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100">
    <w:name w:val="章标题"/>
    <w:next w:val="101"/>
    <w:qFormat/>
    <w:uiPriority w:val="0"/>
    <w:pPr>
      <w:numPr>
        <w:ilvl w:val="0"/>
        <w:numId w:val="10"/>
      </w:numPr>
      <w:spacing w:beforeLines="100" w:afterLines="100"/>
      <w:ind w:left="0"/>
      <w:jc w:val="both"/>
      <w:outlineLvl w:val="1"/>
    </w:pPr>
    <w:rPr>
      <w:rFonts w:ascii="黑体" w:hAnsi="Times New Roman" w:eastAsia="黑体" w:cs="Times New Roman"/>
      <w:sz w:val="21"/>
      <w:lang w:val="en-US" w:eastAsia="zh-CN" w:bidi="ar-SA"/>
    </w:rPr>
  </w:style>
  <w:style w:type="paragraph" w:customStyle="1" w:styleId="101">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102">
    <w:name w:val="示例×："/>
    <w:basedOn w:val="100"/>
    <w:qFormat/>
    <w:uiPriority w:val="0"/>
    <w:pPr>
      <w:numPr>
        <w:numId w:val="11"/>
      </w:numPr>
      <w:spacing w:beforeLines="0" w:afterLines="0"/>
      <w:outlineLvl w:val="9"/>
    </w:pPr>
    <w:rPr>
      <w:rFonts w:ascii="宋体" w:eastAsia="宋体"/>
      <w:sz w:val="18"/>
      <w:szCs w:val="18"/>
    </w:rPr>
  </w:style>
  <w:style w:type="paragraph" w:customStyle="1" w:styleId="103">
    <w:name w:val="编号列项（三级）"/>
    <w:qFormat/>
    <w:uiPriority w:val="0"/>
    <w:rPr>
      <w:rFonts w:ascii="宋体" w:hAnsi="Times New Roman" w:eastAsia="宋体" w:cs="Times New Roman"/>
      <w:sz w:val="21"/>
      <w:lang w:val="en-US" w:eastAsia="zh-CN" w:bidi="ar-SA"/>
    </w:rPr>
  </w:style>
  <w:style w:type="paragraph" w:customStyle="1" w:styleId="104">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6">
    <w:name w:val="首示例"/>
    <w:next w:val="27"/>
    <w:link w:val="149"/>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7">
    <w:name w:val="五级无"/>
    <w:basedOn w:val="108"/>
    <w:qFormat/>
    <w:uiPriority w:val="0"/>
    <w:pPr>
      <w:spacing w:beforeLines="0" w:afterLines="0"/>
    </w:pPr>
    <w:rPr>
      <w:rFonts w:ascii="宋体" w:eastAsia="宋体"/>
    </w:rPr>
  </w:style>
  <w:style w:type="paragraph" w:customStyle="1" w:styleId="108">
    <w:name w:val="五级条标题"/>
    <w:basedOn w:val="88"/>
    <w:next w:val="27"/>
    <w:qFormat/>
    <w:uiPriority w:val="0"/>
    <w:pPr>
      <w:outlineLvl w:val="6"/>
    </w:pPr>
  </w:style>
  <w:style w:type="paragraph" w:customStyle="1" w:styleId="109">
    <w:name w:val="标准书眉_偶数页"/>
    <w:basedOn w:val="89"/>
    <w:next w:val="1"/>
    <w:qFormat/>
    <w:uiPriority w:val="0"/>
    <w:pPr>
      <w:jc w:val="left"/>
    </w:pPr>
  </w:style>
  <w:style w:type="paragraph" w:customStyle="1" w:styleId="110">
    <w:name w:val="附录二级无"/>
    <w:basedOn w:val="55"/>
    <w:qFormat/>
    <w:uiPriority w:val="0"/>
    <w:pPr>
      <w:spacing w:beforeLines="0" w:afterLines="0"/>
    </w:pPr>
    <w:rPr>
      <w:rFonts w:ascii="宋体" w:eastAsia="宋体"/>
      <w:szCs w:val="21"/>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目次、标准名称标题"/>
    <w:basedOn w:val="59"/>
    <w:next w:val="27"/>
    <w:qFormat/>
    <w:uiPriority w:val="0"/>
    <w:pPr>
      <w:spacing w:line="460" w:lineRule="exact"/>
    </w:pPr>
  </w:style>
  <w:style w:type="paragraph" w:customStyle="1" w:styleId="113">
    <w:name w:val="附录表标号"/>
    <w:basedOn w:val="1"/>
    <w:next w:val="27"/>
    <w:qFormat/>
    <w:uiPriority w:val="0"/>
    <w:pPr>
      <w:numPr>
        <w:ilvl w:val="0"/>
        <w:numId w:val="14"/>
      </w:numPr>
      <w:spacing w:line="14" w:lineRule="exact"/>
      <w:ind w:left="811" w:hanging="448"/>
      <w:jc w:val="center"/>
      <w:outlineLvl w:val="0"/>
    </w:pPr>
    <w:rPr>
      <w:color w:val="FFFFFF"/>
    </w:rPr>
  </w:style>
  <w:style w:type="paragraph" w:customStyle="1" w:styleId="114">
    <w:name w:val="附录四级无"/>
    <w:basedOn w:val="62"/>
    <w:qFormat/>
    <w:uiPriority w:val="0"/>
    <w:pPr>
      <w:spacing w:beforeLines="0" w:afterLines="0"/>
    </w:pPr>
    <w:rPr>
      <w:rFonts w:ascii="宋体" w:eastAsia="宋体"/>
      <w:szCs w:val="21"/>
    </w:rPr>
  </w:style>
  <w:style w:type="paragraph" w:customStyle="1" w:styleId="115">
    <w:name w:val="示例后文字"/>
    <w:basedOn w:val="27"/>
    <w:next w:val="27"/>
    <w:qFormat/>
    <w:uiPriority w:val="0"/>
    <w:pPr>
      <w:ind w:firstLine="360"/>
    </w:pPr>
    <w:rPr>
      <w:sz w:val="18"/>
    </w:rPr>
  </w:style>
  <w:style w:type="paragraph" w:customStyle="1" w:styleId="116">
    <w:name w:val="附录标识"/>
    <w:basedOn w:val="1"/>
    <w:next w:val="1"/>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7">
    <w:name w:val="图的脚注"/>
    <w:next w:val="2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9">
    <w:name w:val="示例"/>
    <w:next w:val="120"/>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2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1">
    <w:name w:val="列项◆（三级）"/>
    <w:basedOn w:val="1"/>
    <w:qFormat/>
    <w:uiPriority w:val="0"/>
    <w:pPr>
      <w:numPr>
        <w:ilvl w:val="2"/>
        <w:numId w:val="4"/>
      </w:numPr>
    </w:pPr>
    <w:rPr>
      <w:rFonts w:ascii="宋体"/>
      <w:szCs w:val="21"/>
    </w:rPr>
  </w:style>
  <w:style w:type="paragraph" w:customStyle="1" w:styleId="12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3">
    <w:name w:val="封面标准英文名称2"/>
    <w:basedOn w:val="74"/>
    <w:qFormat/>
    <w:uiPriority w:val="0"/>
    <w:pPr>
      <w:framePr w:wrap="around" w:y="4469"/>
    </w:pPr>
  </w:style>
  <w:style w:type="paragraph" w:customStyle="1" w:styleId="124">
    <w:name w:val="封面标准文稿编辑信息"/>
    <w:basedOn w:val="82"/>
    <w:qFormat/>
    <w:uiPriority w:val="0"/>
    <w:pPr>
      <w:framePr w:wrap="around"/>
      <w:spacing w:before="180" w:line="180" w:lineRule="exact"/>
    </w:pPr>
    <w:rPr>
      <w:sz w:val="21"/>
    </w:rPr>
  </w:style>
  <w:style w:type="paragraph" w:customStyle="1" w:styleId="125">
    <w:name w:val="正文公式编号制表符"/>
    <w:basedOn w:val="27"/>
    <w:next w:val="27"/>
    <w:qFormat/>
    <w:uiPriority w:val="0"/>
    <w:pPr>
      <w:ind w:firstLine="0" w:firstLineChars="0"/>
    </w:pPr>
  </w:style>
  <w:style w:type="paragraph" w:customStyle="1" w:styleId="12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7">
    <w:name w:val="附录公式编号制表符"/>
    <w:basedOn w:val="1"/>
    <w:next w:val="27"/>
    <w:qFormat/>
    <w:uiPriority w:val="0"/>
    <w:pPr>
      <w:widowControl/>
      <w:tabs>
        <w:tab w:val="center" w:pos="4201"/>
        <w:tab w:val="right" w:leader="dot" w:pos="9298"/>
      </w:tabs>
      <w:autoSpaceDE w:val="0"/>
      <w:autoSpaceDN w:val="0"/>
    </w:pPr>
    <w:rPr>
      <w:rFonts w:ascii="宋体"/>
      <w:kern w:val="0"/>
      <w:szCs w:val="20"/>
    </w:rPr>
  </w:style>
  <w:style w:type="paragraph" w:customStyle="1" w:styleId="128">
    <w:name w:val="正文表标题"/>
    <w:next w:val="27"/>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附录图标题"/>
    <w:basedOn w:val="1"/>
    <w:next w:val="27"/>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30">
    <w:name w:val="附录图标号"/>
    <w:basedOn w:val="1"/>
    <w:next w:val="27"/>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33">
    <w:name w:val="附录表标题"/>
    <w:basedOn w:val="1"/>
    <w:next w:val="27"/>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4">
    <w:name w:val="条文脚注"/>
    <w:basedOn w:val="28"/>
    <w:qFormat/>
    <w:uiPriority w:val="0"/>
    <w:pPr>
      <w:numPr>
        <w:numId w:val="0"/>
      </w:numPr>
      <w:jc w:val="both"/>
    </w:pPr>
  </w:style>
  <w:style w:type="paragraph" w:customStyle="1" w:styleId="135">
    <w:name w:val="三级无"/>
    <w:basedOn w:val="49"/>
    <w:qFormat/>
    <w:uiPriority w:val="0"/>
    <w:pPr>
      <w:spacing w:beforeLines="0" w:afterLines="0"/>
    </w:pPr>
    <w:rPr>
      <w:rFonts w:ascii="宋体" w:eastAsia="宋体"/>
    </w:rPr>
  </w:style>
  <w:style w:type="paragraph" w:customStyle="1" w:styleId="136">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7">
    <w:name w:val="一级无"/>
    <w:basedOn w:val="51"/>
    <w:qFormat/>
    <w:uiPriority w:val="0"/>
    <w:pPr>
      <w:spacing w:beforeLines="0" w:afterLines="0"/>
    </w:pPr>
    <w:rPr>
      <w:rFonts w:ascii="宋体" w:eastAsia="宋体"/>
    </w:rPr>
  </w:style>
  <w:style w:type="paragraph" w:customStyle="1" w:styleId="138">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0">
    <w:name w:val="_Style 134"/>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41">
    <w:name w:val="封面标准文稿编辑信息2"/>
    <w:basedOn w:val="124"/>
    <w:qFormat/>
    <w:uiPriority w:val="0"/>
    <w:pPr>
      <w:framePr w:wrap="around" w:y="4469"/>
    </w:pPr>
  </w:style>
  <w:style w:type="paragraph" w:customStyle="1" w:styleId="142">
    <w:name w:val="标准书眉一"/>
    <w:qFormat/>
    <w:uiPriority w:val="0"/>
    <w:pPr>
      <w:jc w:val="both"/>
    </w:pPr>
    <w:rPr>
      <w:rFonts w:ascii="Times New Roman" w:hAnsi="Times New Roman" w:eastAsia="宋体" w:cs="Times New Roman"/>
      <w:lang w:val="en-US" w:eastAsia="zh-CN" w:bidi="ar-SA"/>
    </w:rPr>
  </w:style>
  <w:style w:type="paragraph" w:customStyle="1" w:styleId="14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5">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46">
    <w:name w:val="Table Paragraph"/>
    <w:basedOn w:val="1"/>
    <w:qFormat/>
    <w:uiPriority w:val="1"/>
    <w:pPr>
      <w:jc w:val="left"/>
    </w:pPr>
    <w:rPr>
      <w:rFonts w:ascii="Calibri" w:hAnsi="Calibri"/>
      <w:kern w:val="0"/>
      <w:sz w:val="22"/>
      <w:szCs w:val="22"/>
      <w:lang w:eastAsia="en-US"/>
    </w:rPr>
  </w:style>
  <w:style w:type="character" w:customStyle="1" w:styleId="147">
    <w:name w:val="发布"/>
    <w:qFormat/>
    <w:uiPriority w:val="0"/>
    <w:rPr>
      <w:rFonts w:ascii="黑体" w:eastAsia="黑体"/>
      <w:spacing w:val="85"/>
      <w:w w:val="100"/>
      <w:position w:val="3"/>
      <w:sz w:val="28"/>
      <w:szCs w:val="28"/>
    </w:rPr>
  </w:style>
  <w:style w:type="character" w:customStyle="1" w:styleId="148">
    <w:name w:val="页脚 Char"/>
    <w:link w:val="22"/>
    <w:qFormat/>
    <w:uiPriority w:val="99"/>
    <w:rPr>
      <w:kern w:val="2"/>
      <w:sz w:val="18"/>
      <w:szCs w:val="18"/>
    </w:rPr>
  </w:style>
  <w:style w:type="character" w:customStyle="1" w:styleId="149">
    <w:name w:val="首示例 Char"/>
    <w:link w:val="106"/>
    <w:qFormat/>
    <w:uiPriority w:val="0"/>
    <w:rPr>
      <w:rFonts w:ascii="宋体" w:hAnsi="宋体"/>
      <w:kern w:val="2"/>
      <w:sz w:val="18"/>
      <w:szCs w:val="18"/>
      <w:lang w:val="en-US" w:eastAsia="zh-CN" w:bidi="ar-SA"/>
    </w:rPr>
  </w:style>
  <w:style w:type="character" w:customStyle="1" w:styleId="150">
    <w:name w:val="附录公式 Char"/>
    <w:link w:val="52"/>
    <w:qFormat/>
    <w:uiPriority w:val="0"/>
    <w:rPr>
      <w:rFonts w:ascii="宋体"/>
      <w:sz w:val="21"/>
      <w:lang w:val="en-US" w:eastAsia="zh-CN" w:bidi="ar-SA"/>
    </w:rPr>
  </w:style>
  <w:style w:type="character" w:customStyle="1" w:styleId="151">
    <w:name w:val="批注主题 Char"/>
    <w:link w:val="36"/>
    <w:qFormat/>
    <w:uiPriority w:val="0"/>
    <w:rPr>
      <w:b/>
      <w:bCs/>
      <w:kern w:val="2"/>
      <w:sz w:val="21"/>
      <w:szCs w:val="24"/>
    </w:rPr>
  </w:style>
  <w:style w:type="character" w:customStyle="1" w:styleId="152">
    <w:name w:val="日期 Char"/>
    <w:link w:val="19"/>
    <w:qFormat/>
    <w:uiPriority w:val="0"/>
    <w:rPr>
      <w:kern w:val="2"/>
      <w:sz w:val="21"/>
      <w:szCs w:val="24"/>
    </w:rPr>
  </w:style>
  <w:style w:type="character" w:customStyle="1" w:styleId="153">
    <w:name w:val="正文文本 2 Char"/>
    <w:link w:val="33"/>
    <w:qFormat/>
    <w:uiPriority w:val="0"/>
    <w:rPr>
      <w:rFonts w:ascii="宋体" w:hAnsi="宋体"/>
      <w:color w:val="FF6600"/>
      <w:sz w:val="21"/>
    </w:rPr>
  </w:style>
  <w:style w:type="character" w:customStyle="1" w:styleId="154">
    <w:name w:val="段 Char"/>
    <w:link w:val="27"/>
    <w:qFormat/>
    <w:uiPriority w:val="0"/>
    <w:rPr>
      <w:rFonts w:ascii="宋体"/>
      <w:sz w:val="21"/>
      <w:lang w:val="en-US" w:eastAsia="zh-CN" w:bidi="ar-SA"/>
    </w:rPr>
  </w:style>
  <w:style w:type="character" w:customStyle="1" w:styleId="155">
    <w:name w:val="批注框文本 Char"/>
    <w:link w:val="21"/>
    <w:qFormat/>
    <w:uiPriority w:val="0"/>
    <w:rPr>
      <w:kern w:val="2"/>
      <w:sz w:val="18"/>
      <w:szCs w:val="18"/>
    </w:rPr>
  </w:style>
  <w:style w:type="paragraph" w:customStyle="1" w:styleId="156">
    <w:name w:val="p1"/>
    <w:basedOn w:val="1"/>
    <w:qFormat/>
    <w:uiPriority w:val="0"/>
    <w:pPr>
      <w:spacing w:line="440" w:lineRule="atLeast"/>
      <w:jc w:val="left"/>
    </w:pPr>
    <w:rPr>
      <w:rFonts w:ascii="Helvetica Neue" w:hAnsi="Helvetica Neue" w:eastAsia="Helvetica Neue"/>
      <w:color w:val="000000"/>
      <w:kern w:val="0"/>
      <w:sz w:val="30"/>
      <w:szCs w:val="30"/>
    </w:rPr>
  </w:style>
  <w:style w:type="character" w:customStyle="1" w:styleId="157">
    <w:name w:val="font11"/>
    <w:basedOn w:val="40"/>
    <w:qFormat/>
    <w:uiPriority w:val="0"/>
    <w:rPr>
      <w:rFonts w:hint="eastAsia" w:ascii="宋体" w:hAnsi="宋体" w:eastAsia="宋体" w:cs="宋体"/>
      <w:color w:val="000000"/>
      <w:sz w:val="18"/>
      <w:szCs w:val="18"/>
      <w:u w:val="none"/>
    </w:rPr>
  </w:style>
  <w:style w:type="character" w:customStyle="1" w:styleId="158">
    <w:name w:val="font21"/>
    <w:basedOn w:val="40"/>
    <w:qFormat/>
    <w:uiPriority w:val="0"/>
    <w:rPr>
      <w:rFonts w:hint="default" w:ascii="Times New Roman" w:hAnsi="Times New Roman" w:cs="Times New Roman"/>
      <w:color w:val="000000"/>
      <w:sz w:val="18"/>
      <w:szCs w:val="18"/>
      <w:u w:val="none"/>
    </w:rPr>
  </w:style>
  <w:style w:type="character" w:customStyle="1" w:styleId="159">
    <w:name w:val="font01"/>
    <w:basedOn w:val="40"/>
    <w:qFormat/>
    <w:uiPriority w:val="0"/>
    <w:rPr>
      <w:rFonts w:hint="eastAsia" w:ascii="宋体" w:hAnsi="宋体" w:eastAsia="宋体" w:cs="宋体"/>
      <w:color w:val="000000"/>
      <w:sz w:val="18"/>
      <w:szCs w:val="18"/>
      <w:u w:val="none"/>
    </w:rPr>
  </w:style>
  <w:style w:type="paragraph" w:customStyle="1" w:styleId="16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61">
    <w:name w:val="标准文件_章标题"/>
    <w:next w:val="162"/>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3">
    <w:name w:val="标准文件_术语条一"/>
    <w:basedOn w:val="164"/>
    <w:next w:val="162"/>
    <w:qFormat/>
    <w:uiPriority w:val="0"/>
  </w:style>
  <w:style w:type="paragraph" w:customStyle="1" w:styleId="164">
    <w:name w:val="标准文件_一级无标题"/>
    <w:basedOn w:val="165"/>
    <w:qFormat/>
    <w:uiPriority w:val="0"/>
    <w:pPr>
      <w:spacing w:before="0" w:beforeLines="0" w:after="0" w:afterLines="0"/>
      <w:outlineLvl w:val="9"/>
    </w:pPr>
    <w:rPr>
      <w:rFonts w:ascii="宋体" w:eastAsia="宋体"/>
    </w:rPr>
  </w:style>
  <w:style w:type="paragraph" w:customStyle="1" w:styleId="165">
    <w:name w:val="标准文件_一级条标题"/>
    <w:basedOn w:val="161"/>
    <w:next w:val="162"/>
    <w:qFormat/>
    <w:uiPriority w:val="0"/>
    <w:pPr>
      <w:numPr>
        <w:ilvl w:val="2"/>
      </w:numPr>
      <w:spacing w:before="50" w:beforeLines="50" w:after="50" w:afterLines="50"/>
      <w:ind w:left="0"/>
      <w:outlineLvl w:val="1"/>
    </w:pPr>
  </w:style>
  <w:style w:type="character" w:customStyle="1" w:styleId="166">
    <w:name w:val="15"/>
    <w:basedOn w:val="40"/>
    <w:qFormat/>
    <w:uiPriority w:val="0"/>
    <w:rPr>
      <w:rFonts w:hint="default" w:ascii="Times New Roman" w:hAnsi="Times New Roman" w:cs="Times New Roman"/>
      <w:sz w:val="21"/>
      <w:szCs w:val="21"/>
    </w:rPr>
  </w:style>
  <w:style w:type="paragraph" w:customStyle="1" w:styleId="167">
    <w:name w:val="标准文件_正文表标题"/>
    <w:next w:val="162"/>
    <w:qFormat/>
    <w:uiPriority w:val="0"/>
    <w:pPr>
      <w:numPr>
        <w:ilvl w:val="0"/>
        <w:numId w:val="19"/>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68">
    <w:name w:val="标准文件_表格"/>
    <w:basedOn w:val="162"/>
    <w:qFormat/>
    <w:uiPriority w:val="0"/>
    <w:pPr>
      <w:ind w:firstLine="0" w:firstLineChars="0"/>
      <w:jc w:val="center"/>
    </w:pPr>
    <w:rPr>
      <w:sz w:val="18"/>
    </w:rPr>
  </w:style>
  <w:style w:type="paragraph" w:customStyle="1" w:styleId="16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0">
    <w:name w:val="标准文件_图表脚注"/>
    <w:basedOn w:val="1"/>
    <w:next w:val="162"/>
    <w:qFormat/>
    <w:uiPriority w:val="0"/>
    <w:pPr>
      <w:numPr>
        <w:ilvl w:val="0"/>
        <w:numId w:val="20"/>
      </w:numPr>
      <w:jc w:val="left"/>
    </w:pPr>
    <w:rPr>
      <w:rFonts w:ascii="宋体" w:hAnsi="宋体"/>
      <w:sz w:val="18"/>
    </w:rPr>
  </w:style>
  <w:style w:type="paragraph" w:customStyle="1" w:styleId="171">
    <w:name w:val="标准文件_二级条标题"/>
    <w:next w:val="162"/>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2">
    <w:name w:val="标准文件_三级条标题"/>
    <w:basedOn w:val="171"/>
    <w:next w:val="162"/>
    <w:qFormat/>
    <w:uiPriority w:val="0"/>
    <w:pPr>
      <w:widowControl/>
      <w:numPr>
        <w:ilvl w:val="4"/>
      </w:numPr>
      <w:outlineLvl w:val="3"/>
    </w:pPr>
  </w:style>
  <w:style w:type="paragraph" w:customStyle="1" w:styleId="173">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17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7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76">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177">
    <w:name w:val="WPSOffice手动目录 1"/>
    <w:qFormat/>
    <w:uiPriority w:val="0"/>
    <w:rPr>
      <w:rFonts w:ascii="Times New Roman" w:hAnsi="Times New Roman" w:eastAsia="宋体" w:cs="Times New Roman"/>
      <w:lang w:val="en-US" w:eastAsia="zh-CN" w:bidi="ar-SA"/>
    </w:rPr>
  </w:style>
  <w:style w:type="paragraph" w:customStyle="1" w:styleId="17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179">
    <w:name w:val="名称"/>
    <w:basedOn w:val="59"/>
    <w:next w:val="27"/>
    <w:qFormat/>
    <w:uiPriority w:val="0"/>
    <w:pPr>
      <w:spacing w:line="460" w:lineRule="exact"/>
      <w:outlineLvl w:val="9"/>
    </w:pPr>
  </w:style>
  <w:style w:type="paragraph" w:customStyle="1" w:styleId="180">
    <w:name w:val="Body text|1"/>
    <w:basedOn w:val="1"/>
    <w:qFormat/>
    <w:uiPriority w:val="0"/>
    <w:pPr>
      <w:spacing w:line="334" w:lineRule="auto"/>
      <w:ind w:firstLine="400"/>
    </w:pPr>
    <w:rPr>
      <w:rFonts w:ascii="宋体" w:hAnsi="宋体" w:cs="宋体"/>
      <w:color w:val="252525"/>
      <w:sz w:val="20"/>
      <w:szCs w:val="20"/>
      <w:lang w:val="zh-TW" w:eastAsia="zh-TW" w:bidi="zh-TW"/>
    </w:rPr>
  </w:style>
  <w:style w:type="paragraph" w:customStyle="1" w:styleId="181">
    <w:name w:val="Body text|3"/>
    <w:basedOn w:val="1"/>
    <w:qFormat/>
    <w:uiPriority w:val="0"/>
    <w:pPr>
      <w:spacing w:line="228" w:lineRule="auto"/>
    </w:pPr>
    <w:rPr>
      <w:color w:val="474747"/>
      <w:sz w:val="20"/>
      <w:szCs w:val="20"/>
    </w:rPr>
  </w:style>
  <w:style w:type="paragraph" w:customStyle="1" w:styleId="182">
    <w:name w:val="Other|1"/>
    <w:basedOn w:val="1"/>
    <w:qFormat/>
    <w:uiPriority w:val="0"/>
    <w:pPr>
      <w:spacing w:line="334" w:lineRule="auto"/>
      <w:ind w:firstLine="400"/>
    </w:pPr>
    <w:rPr>
      <w:rFonts w:ascii="宋体" w:hAnsi="宋体" w:cs="宋体"/>
      <w:color w:val="252525"/>
      <w:sz w:val="20"/>
      <w:szCs w:val="20"/>
      <w:lang w:val="zh-TW" w:eastAsia="zh-TW" w:bidi="zh-TW"/>
    </w:rPr>
  </w:style>
  <w:style w:type="paragraph" w:customStyle="1" w:styleId="183">
    <w:name w:val="Body text|2"/>
    <w:basedOn w:val="1"/>
    <w:qFormat/>
    <w:uiPriority w:val="0"/>
    <w:pPr>
      <w:spacing w:after="80"/>
      <w:ind w:firstLine="190"/>
    </w:pPr>
    <w:rPr>
      <w:rFonts w:ascii="宋体" w:hAnsi="宋体" w:cs="宋体"/>
      <w:color w:val="252525"/>
      <w:sz w:val="16"/>
      <w:szCs w:val="16"/>
      <w:lang w:val="zh-TW" w:eastAsia="zh-TW" w:bidi="zh-TW"/>
    </w:rPr>
  </w:style>
  <w:style w:type="paragraph" w:customStyle="1" w:styleId="184">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101"/>
    <customShpInfo spid="_x0000_s2102"/>
    <customShpInfo spid="_x0000_s2103"/>
    <customShpInfo spid="_x0000_s2104"/>
    <customShpInfo spid="_x0000_s2105"/>
    <customShpInfo spid="_x0000_s2052"/>
    <customShpInfo spid="_x0000_s2106"/>
    <customShpInfo spid="_x0000_s210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16</Pages>
  <Words>8571</Words>
  <Characters>9722</Characters>
  <Lines>99</Lines>
  <Paragraphs>27</Paragraphs>
  <TotalTime>7</TotalTime>
  <ScaleCrop>false</ScaleCrop>
  <LinksUpToDate>false</LinksUpToDate>
  <CharactersWithSpaces>10266</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2020-06-09T08:56:00Z</dcterms:created>
  <dc:creator>余海燕</dc:creator>
  <cp:lastModifiedBy>JQQ</cp:lastModifiedBy>
  <cp:lastPrinted>2022-08-01T06:33:00Z</cp:lastPrinted>
  <dcterms:modified xsi:type="dcterms:W3CDTF">2023-09-22T02:39:13Z</dcterms:modified>
  <dc:title>标准名称</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E8953EF8FCA84A0F87C366D93CF92828_13</vt:lpwstr>
  </property>
</Properties>
</file>