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0"/>
        <w:framePr w:wrap="around"/>
      </w:pPr>
      <w:r>
        <w:rPr>
          <w:rFonts w:ascii="Times New Roman"/>
        </w:rPr>
        <w:t>ICS</w:t>
      </w:r>
      <w:r>
        <w:rPr>
          <w:rFonts w:hint="eastAsia" w:hAnsi="黑体"/>
        </w:rPr>
        <w:t xml:space="preserve"> </w:t>
      </w:r>
    </w:p>
    <w:tbl>
      <w:tblPr>
        <w:tblStyle w:val="36"/>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0"/>
              <w:framePr w:wrap="around"/>
            </w:pP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ascii="Times New Roman"/>
              </w:rPr>
              <w:t>X</w:t>
            </w:r>
            <w:r>
              <w:rPr>
                <w:rFonts w:hint="eastAsia"/>
              </w:rPr>
              <w:t xml:space="preserve"> </w:t>
            </w:r>
          </w:p>
        </w:tc>
      </w:tr>
    </w:tbl>
    <w:p/>
    <w:p>
      <w:pPr>
        <w:pStyle w:val="74"/>
        <w:framePr w:wrap="around"/>
      </w:pPr>
      <w:r>
        <w:rPr>
          <w:rFonts w:hint="eastAsia"/>
        </w:rPr>
        <w:t>高标准农田</w:t>
      </w:r>
      <w:ins w:id="0" w:author="JQQ" w:date="2023-09-22T11:57:13Z">
        <w:r>
          <w:rPr>
            <w:rFonts w:hint="eastAsia"/>
            <w:lang w:val="en-US" w:eastAsia="zh-CN"/>
          </w:rPr>
          <w:t xml:space="preserve"> </w:t>
        </w:r>
      </w:ins>
      <w:bookmarkStart w:id="107" w:name="_GoBack"/>
      <w:bookmarkEnd w:id="107"/>
      <w:r>
        <w:rPr>
          <w:rFonts w:hint="eastAsia"/>
        </w:rPr>
        <w:t>建设项目评价规范</w:t>
      </w:r>
    </w:p>
    <w:p>
      <w:pPr>
        <w:pStyle w:val="73"/>
        <w:framePr w:wrap="around"/>
        <w:rPr>
          <w:rFonts w:ascii="黑体" w:hAnsi="黑体"/>
        </w:rPr>
      </w:pPr>
    </w:p>
    <w:p>
      <w:pPr>
        <w:pStyle w:val="72"/>
        <w:framePr w:wrap="around"/>
        <w:rPr>
          <w:b/>
        </w:rPr>
      </w:pPr>
    </w:p>
    <w:p>
      <w:pPr>
        <w:pStyle w:val="72"/>
        <w:framePr w:wrap="around"/>
        <w:rPr>
          <w:b/>
        </w:rPr>
      </w:pPr>
      <w:r>
        <w:rPr>
          <w:rFonts w:hint="eastAsia"/>
          <w:b/>
        </w:rPr>
        <w:t>（</w:t>
      </w:r>
      <w:r>
        <w:rPr>
          <w:rFonts w:hint="eastAsia"/>
          <w:b/>
          <w:lang w:val="en-US" w:eastAsia="zh-CN"/>
        </w:rPr>
        <w:t>征求意见稿</w:t>
      </w:r>
      <w:r>
        <w:rPr>
          <w:rFonts w:hint="eastAsia"/>
          <w:b/>
        </w:rPr>
        <w:t>）</w:t>
      </w:r>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1"/>
              <w:framePr w:wrap="around"/>
            </w:pPr>
          </w:p>
          <w:p>
            <w:pPr>
              <w:pStyle w:val="81"/>
              <w:framePr w:wrap="around"/>
            </w:pPr>
          </w:p>
          <w:p>
            <w:pPr>
              <w:pStyle w:val="81"/>
              <w:framePr w:wrap="around"/>
            </w:pPr>
          </w:p>
          <w:p>
            <w:pPr>
              <w:pStyle w:val="81"/>
              <w:framePr w:wrap="around"/>
            </w:pPr>
          </w:p>
          <w:p>
            <w:pPr>
              <w:pStyle w:val="81"/>
              <w:framePr w:wrap="around"/>
            </w:pPr>
          </w:p>
          <w:p>
            <w:pPr>
              <w:pStyle w:val="81"/>
              <w:framePr w:wrap="around"/>
            </w:pPr>
          </w:p>
          <w:p>
            <w:pPr>
              <w:pStyle w:val="81"/>
              <w:framePr w:wrap="around"/>
            </w:pPr>
          </w:p>
          <w:p>
            <w:pPr>
              <w:pStyle w:val="81"/>
              <w:framePr w:wrap="around"/>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3"/>
              <w:framePr w:wrap="around"/>
            </w:pPr>
          </w:p>
        </w:tc>
      </w:tr>
    </w:tbl>
    <w:p>
      <w:pPr>
        <w:pStyle w:val="79"/>
        <w:framePr w:wrap="around" w:hAnchor="page" w:x="1186" w:y="14071"/>
      </w:pPr>
      <w:r>
        <w:rPr>
          <w:rFonts w:ascii="黑体"/>
        </w:rPr>
        <w:t>202</w:t>
      </w:r>
      <w:r>
        <w:rPr>
          <w:rFonts w:hint="eastAsia" w:ascii="黑体"/>
          <w:lang w:val="en-US" w:eastAsia="zh-CN"/>
        </w:rPr>
        <w:t>3</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4"/>
        <w:framePr w:wrap="around" w:hAnchor="page" w:x="6946" w:y="14086"/>
      </w:pPr>
      <w:r>
        <w:rPr>
          <w:rFonts w:ascii="黑体"/>
        </w:rPr>
        <w:t>202</w:t>
      </w:r>
      <w:r>
        <w:rPr>
          <w:rFonts w:hint="eastAsia" w:ascii="黑体"/>
          <w:lang w:val="en-US" w:eastAsia="zh-CN"/>
        </w:rPr>
        <w:t>3</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1"/>
        <w:framePr w:w="7886" w:wrap="around"/>
      </w:pPr>
      <w:r>
        <w:rPr>
          <w:b/>
        </w:rPr>
        <w:t>深圳市</w:t>
      </w:r>
      <w:r>
        <w:rPr>
          <w:rFonts w:hint="eastAsia"/>
          <w:b/>
        </w:rPr>
        <w:t>深圳标准</w:t>
      </w:r>
      <w:r>
        <w:rPr>
          <w:b/>
        </w:rPr>
        <w:t>促进会</w:t>
      </w:r>
      <w:r>
        <w:rPr>
          <w:rFonts w:hint="eastAsia" w:hAnsi="黑体"/>
        </w:rPr>
        <w:t xml:space="preserve"> 发布</w:t>
      </w:r>
    </w:p>
    <w:p>
      <w:pPr>
        <w:pStyle w:val="104"/>
        <w:framePr w:w="8058" w:wrap="around" w:x="2115" w:y="2131"/>
        <w:rPr>
          <w:b/>
          <w:sz w:val="72"/>
        </w:rPr>
      </w:pPr>
      <w:r>
        <w:rPr>
          <w:rFonts w:hint="eastAsia"/>
          <w:b/>
          <w:sz w:val="96"/>
        </w:rPr>
        <w:t>团体标准</w:t>
      </w:r>
    </w:p>
    <w:p>
      <w:pPr>
        <w:pStyle w:val="125"/>
        <w:framePr w:wrap="around" w:x="1667" w:y="3151"/>
        <w:rPr>
          <w:rFonts w:hint="eastAsia" w:hAnsi="黑体" w:eastAsia="黑体" w:cs="黑体"/>
          <w:lang w:eastAsia="zh-CN"/>
        </w:rPr>
      </w:pPr>
      <w:r>
        <w:rPr>
          <w:rFonts w:hint="eastAsia" w:hAnsi="黑体" w:cs="黑体"/>
        </w:rPr>
        <w:t>T/SZS XXXX—202</w:t>
      </w:r>
      <w:r>
        <w:rPr>
          <w:rFonts w:hint="eastAsia" w:hAnsi="黑体" w:cs="黑体"/>
          <w:lang w:val="en-US" w:eastAsia="zh-CN"/>
        </w:rPr>
        <w:t>3</w:t>
      </w:r>
    </w:p>
    <w:p>
      <w:pPr>
        <w:pStyle w:val="125"/>
        <w:framePr w:wrap="around" w:x="1667" w:y="3151"/>
        <w:rPr>
          <w:rFonts w:hAnsi="黑体"/>
        </w:rPr>
      </w:pPr>
    </w:p>
    <w:p>
      <w:pPr>
        <w:pStyle w:val="125"/>
        <w:framePr w:wrap="around" w:x="1667" w:y="3151"/>
        <w:rPr>
          <w:rFonts w:hAnsi="黑体"/>
        </w:rPr>
      </w:pPr>
    </w:p>
    <w:p>
      <w:pPr>
        <w:pStyle w:val="47"/>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p>
      <w:pPr>
        <w:pStyle w:val="111"/>
        <w:outlineLvl w:val="9"/>
        <w:sectPr>
          <w:headerReference r:id="rId10" w:type="first"/>
          <w:headerReference r:id="rId8" w:type="default"/>
          <w:footerReference r:id="rId11" w:type="default"/>
          <w:headerReference r:id="rId9" w:type="even"/>
          <w:footerReference r:id="rId12" w:type="even"/>
          <w:pgSz w:w="11906" w:h="16838"/>
          <w:pgMar w:top="567" w:right="1134" w:bottom="1134" w:left="1418" w:header="1418" w:footer="1134" w:gutter="0"/>
          <w:pgNumType w:fmt="upperRoman" w:start="1"/>
          <w:cols w:space="720" w:num="1"/>
          <w:formProt w:val="0"/>
          <w:docGrid w:type="lines" w:linePitch="312" w:charSpace="0"/>
        </w:sectPr>
      </w:pPr>
      <w:bookmarkStart w:id="0" w:name="_Toc483488393"/>
      <w:bookmarkStart w:id="1" w:name="_Toc454527084"/>
    </w:p>
    <w:sdt>
      <w:sdtPr>
        <w:rPr>
          <w:rFonts w:hint="eastAsia" w:ascii="Times New Roman" w:hAnsi="Times New Roman" w:eastAsia="宋体" w:cs="Times New Roman"/>
          <w:color w:val="000000"/>
          <w:kern w:val="2"/>
          <w:sz w:val="21"/>
          <w:szCs w:val="24"/>
          <w:lang w:val="zh-CN"/>
        </w:rPr>
        <w:id w:val="1332716019"/>
        <w:docPartObj>
          <w:docPartGallery w:val="Table of Contents"/>
          <w:docPartUnique/>
        </w:docPartObj>
      </w:sdtPr>
      <w:sdtEndPr>
        <w:rPr>
          <w:rFonts w:hint="eastAsia" w:ascii="Times New Roman" w:hAnsi="Times New Roman" w:eastAsia="宋体" w:cs="Times New Roman"/>
          <w:b/>
          <w:bCs/>
          <w:color w:val="auto"/>
          <w:kern w:val="2"/>
          <w:sz w:val="21"/>
          <w:szCs w:val="24"/>
          <w:lang w:val="zh-CN"/>
        </w:rPr>
      </w:sdtEndPr>
      <w:sdtContent>
        <w:p>
          <w:pPr>
            <w:pStyle w:val="17"/>
          </w:pPr>
        </w:p>
        <w:sdt>
          <w:sdtPr>
            <w:rPr>
              <w:rFonts w:ascii="Times New Roman" w:hAnsi="Times New Roman" w:eastAsia="宋体" w:cs="Times New Roman"/>
              <w:color w:val="auto"/>
              <w:kern w:val="2"/>
              <w:sz w:val="21"/>
              <w:szCs w:val="24"/>
              <w:lang w:val="zh-CN"/>
            </w:rPr>
            <w:id w:val="-275408237"/>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17"/>
                <w:tabs>
                  <w:tab w:val="right" w:leader="dot" w:pos="9354"/>
                  <w:tab w:val="clear" w:pos="9242"/>
                </w:tabs>
                <w:spacing w:before="78" w:after="78"/>
                <w:jc w:val="center"/>
                <w:rPr>
                  <w:rFonts w:ascii="Calibri Light" w:hAnsi="Calibri Light" w:eastAsia="宋体" w:cs="Times New Roman"/>
                  <w:color w:val="2E75B5"/>
                </w:rPr>
              </w:pPr>
              <w:r>
                <w:rPr>
                  <w:rFonts w:hint="eastAsia" w:ascii="黑体" w:hAnsi="Times New Roman" w:eastAsia="黑体" w:cs="Times New Roman"/>
                  <w:color w:val="000000"/>
                  <w:szCs w:val="20"/>
                </w:rPr>
                <w:t>目    次</w:t>
              </w:r>
            </w:p>
            <w:p>
              <w:pPr>
                <w:pStyle w:val="18"/>
                <w:tabs>
                  <w:tab w:val="right" w:leader="dot" w:pos="9240"/>
                  <w:tab w:val="clear" w:pos="9242"/>
                </w:tabs>
                <w:spacing w:before="78" w:after="78"/>
              </w:pPr>
              <w:r>
                <w:fldChar w:fldCharType="begin"/>
              </w:r>
              <w:r>
                <w:instrText xml:space="preserve"> TOC \o "1-3" \h \z \u </w:instrText>
              </w:r>
              <w:r>
                <w:fldChar w:fldCharType="separate"/>
              </w:r>
              <w:r>
                <w:fldChar w:fldCharType="begin"/>
              </w:r>
              <w:r>
                <w:instrText xml:space="preserve"> HYPERLINK \l "_Toc17912" </w:instrText>
              </w:r>
              <w:r>
                <w:fldChar w:fldCharType="separate"/>
              </w:r>
              <w:r>
                <w:rPr>
                  <w:rFonts w:hint="eastAsia"/>
                </w:rPr>
                <w:t>前    言</w:t>
              </w:r>
              <w:r>
                <w:tab/>
              </w:r>
              <w:r>
                <w:fldChar w:fldCharType="begin"/>
              </w:r>
              <w:r>
                <w:instrText xml:space="preserve"> PAGEREF _Toc17912 \h </w:instrText>
              </w:r>
              <w:r>
                <w:fldChar w:fldCharType="separate"/>
              </w:r>
              <w:r>
                <w:t>I</w:t>
              </w:r>
              <w:r>
                <w:fldChar w:fldCharType="end"/>
              </w:r>
              <w:r>
                <w:fldChar w:fldCharType="end"/>
              </w:r>
            </w:p>
            <w:p>
              <w:pPr>
                <w:pStyle w:val="17"/>
                <w:tabs>
                  <w:tab w:val="right" w:leader="dot" w:pos="9240"/>
                  <w:tab w:val="clear" w:pos="9242"/>
                </w:tabs>
                <w:spacing w:before="78" w:after="78"/>
              </w:pPr>
              <w:r>
                <w:fldChar w:fldCharType="begin"/>
              </w:r>
              <w:r>
                <w:instrText xml:space="preserve"> HYPERLINK \l "_Toc18308" </w:instrText>
              </w:r>
              <w:r>
                <w:fldChar w:fldCharType="separate"/>
              </w:r>
              <w:r>
                <w:rPr>
                  <w:rFonts w:hint="eastAsia" w:ascii="黑体" w:eastAsia="黑体"/>
                </w:rPr>
                <w:t xml:space="preserve">1 </w:t>
              </w:r>
              <w:r>
                <w:t xml:space="preserve">  </w:t>
              </w:r>
              <w:r>
                <w:rPr>
                  <w:rFonts w:hint="eastAsia"/>
                </w:rPr>
                <w:t>范围</w:t>
              </w:r>
              <w:r>
                <w:tab/>
              </w:r>
              <w:r>
                <w:fldChar w:fldCharType="begin"/>
              </w:r>
              <w:r>
                <w:instrText xml:space="preserve"> PAGEREF _Toc18308 \h </w:instrText>
              </w:r>
              <w:r>
                <w:fldChar w:fldCharType="separate"/>
              </w:r>
              <w:r>
                <w:t>1</w:t>
              </w:r>
              <w:r>
                <w:fldChar w:fldCharType="end"/>
              </w:r>
              <w:r>
                <w:fldChar w:fldCharType="end"/>
              </w:r>
            </w:p>
            <w:p>
              <w:pPr>
                <w:pStyle w:val="17"/>
                <w:tabs>
                  <w:tab w:val="right" w:leader="dot" w:pos="9240"/>
                  <w:tab w:val="clear" w:pos="9242"/>
                </w:tabs>
                <w:spacing w:before="78" w:after="78"/>
              </w:pPr>
              <w:r>
                <w:fldChar w:fldCharType="begin"/>
              </w:r>
              <w:r>
                <w:instrText xml:space="preserve"> HYPERLINK \l "_Toc30643" </w:instrText>
              </w:r>
              <w:r>
                <w:fldChar w:fldCharType="separate"/>
              </w:r>
              <w:r>
                <w:rPr>
                  <w:rFonts w:hint="eastAsia" w:ascii="黑体" w:eastAsia="黑体"/>
                </w:rPr>
                <w:t xml:space="preserve">2 </w:t>
              </w:r>
              <w:r>
                <w:t xml:space="preserve">  </w:t>
              </w:r>
              <w:r>
                <w:rPr>
                  <w:rFonts w:hint="eastAsia"/>
                </w:rPr>
                <w:t>规范性引用文件</w:t>
              </w:r>
              <w:r>
                <w:tab/>
              </w:r>
              <w:r>
                <w:fldChar w:fldCharType="begin"/>
              </w:r>
              <w:r>
                <w:instrText xml:space="preserve"> PAGEREF _Toc30643 \h </w:instrText>
              </w:r>
              <w:r>
                <w:fldChar w:fldCharType="separate"/>
              </w:r>
              <w:r>
                <w:t>1</w:t>
              </w:r>
              <w:r>
                <w:fldChar w:fldCharType="end"/>
              </w:r>
              <w:r>
                <w:fldChar w:fldCharType="end"/>
              </w:r>
            </w:p>
            <w:p>
              <w:pPr>
                <w:pStyle w:val="17"/>
                <w:tabs>
                  <w:tab w:val="right" w:leader="dot" w:pos="9240"/>
                  <w:tab w:val="clear" w:pos="9242"/>
                </w:tabs>
                <w:spacing w:before="78" w:after="78"/>
              </w:pPr>
              <w:r>
                <w:fldChar w:fldCharType="begin"/>
              </w:r>
              <w:r>
                <w:instrText xml:space="preserve"> HYPERLINK \l "_Toc17635" </w:instrText>
              </w:r>
              <w:r>
                <w:fldChar w:fldCharType="separate"/>
              </w:r>
              <w:r>
                <w:rPr>
                  <w:rFonts w:hint="eastAsia" w:ascii="黑体" w:eastAsia="黑体"/>
                </w:rPr>
                <w:t xml:space="preserve">3 </w:t>
              </w:r>
              <w:r>
                <w:rPr>
                  <w:rFonts w:hAnsi="黑体"/>
                </w:rPr>
                <w:t xml:space="preserve">  </w:t>
              </w:r>
              <w:r>
                <w:rPr>
                  <w:rFonts w:hint="eastAsia" w:hAnsi="黑体"/>
                </w:rPr>
                <w:t>术语</w:t>
              </w:r>
              <w:r>
                <w:rPr>
                  <w:rFonts w:hAnsi="黑体"/>
                </w:rPr>
                <w:t>和定义</w:t>
              </w:r>
              <w:r>
                <w:tab/>
              </w:r>
              <w:r>
                <w:fldChar w:fldCharType="begin"/>
              </w:r>
              <w:r>
                <w:instrText xml:space="preserve"> PAGEREF _Toc17635 \h </w:instrText>
              </w:r>
              <w:r>
                <w:fldChar w:fldCharType="separate"/>
              </w:r>
              <w:r>
                <w:t>1</w:t>
              </w:r>
              <w:r>
                <w:fldChar w:fldCharType="end"/>
              </w:r>
              <w:r>
                <w:fldChar w:fldCharType="end"/>
              </w:r>
            </w:p>
            <w:p>
              <w:pPr>
                <w:pStyle w:val="17"/>
                <w:tabs>
                  <w:tab w:val="right" w:leader="dot" w:pos="9240"/>
                  <w:tab w:val="clear" w:pos="9242"/>
                </w:tabs>
              </w:pPr>
              <w:r>
                <w:fldChar w:fldCharType="begin"/>
              </w:r>
              <w:r>
                <w:instrText xml:space="preserve"> HYPERLINK \l "_Toc3982" </w:instrText>
              </w:r>
              <w:r>
                <w:fldChar w:fldCharType="separate"/>
              </w:r>
              <w:r>
                <w:rPr>
                  <w:rFonts w:hint="eastAsia" w:ascii="黑体" w:eastAsia="黑体"/>
                </w:rPr>
                <w:t xml:space="preserve">4 </w:t>
              </w:r>
              <w:r>
                <w:rPr>
                  <w:rFonts w:hAnsi="黑体"/>
                </w:rPr>
                <w:t xml:space="preserve">  </w:t>
              </w:r>
              <w:r>
                <w:rPr>
                  <w:rFonts w:hint="eastAsia" w:hAnsi="黑体"/>
                </w:rPr>
                <w:t>总则</w:t>
              </w:r>
              <w:r>
                <w:tab/>
              </w:r>
              <w:r>
                <w:fldChar w:fldCharType="begin"/>
              </w:r>
              <w:r>
                <w:instrText xml:space="preserve"> PAGEREF _Toc3982 \h </w:instrText>
              </w:r>
              <w:r>
                <w:fldChar w:fldCharType="separate"/>
              </w:r>
              <w:r>
                <w:t>1</w:t>
              </w:r>
              <w:r>
                <w:fldChar w:fldCharType="end"/>
              </w:r>
              <w:r>
                <w:fldChar w:fldCharType="end"/>
              </w:r>
            </w:p>
            <w:p>
              <w:pPr>
                <w:pStyle w:val="17"/>
              </w:pPr>
              <w:r>
                <w:fldChar w:fldCharType="begin"/>
              </w:r>
              <w:r>
                <w:instrText xml:space="preserve"> HYPERLINK \l "_Toc12811" </w:instrText>
              </w:r>
              <w:r>
                <w:fldChar w:fldCharType="separate"/>
              </w:r>
              <w:r>
                <w:rPr>
                  <w:rFonts w:hint="eastAsia" w:ascii="黑体" w:eastAsia="黑体"/>
                </w:rPr>
                <w:t xml:space="preserve">5 </w:t>
              </w:r>
              <w:r>
                <w:rPr>
                  <w:rFonts w:hint="eastAsia" w:hAnsi="黑体"/>
                </w:rPr>
                <w:t xml:space="preserve">  评价工作程序</w:t>
              </w:r>
              <w:r>
                <w:tab/>
              </w:r>
              <w:r>
                <w:fldChar w:fldCharType="begin"/>
              </w:r>
              <w:r>
                <w:instrText xml:space="preserve"> PAGEREF _Toc12811 \h </w:instrText>
              </w:r>
              <w:r>
                <w:fldChar w:fldCharType="separate"/>
              </w:r>
              <w:r>
                <w:t>2</w:t>
              </w:r>
              <w:r>
                <w:fldChar w:fldCharType="end"/>
              </w:r>
              <w:r>
                <w:fldChar w:fldCharType="end"/>
              </w:r>
            </w:p>
            <w:p>
              <w:pPr>
                <w:pStyle w:val="17"/>
              </w:pPr>
              <w:r>
                <w:fldChar w:fldCharType="begin"/>
              </w:r>
              <w:r>
                <w:instrText xml:space="preserve"> HYPERLINK \l "_Toc8682" </w:instrText>
              </w:r>
              <w:r>
                <w:fldChar w:fldCharType="separate"/>
              </w:r>
              <w:r>
                <w:rPr>
                  <w:rFonts w:hint="eastAsia" w:ascii="黑体" w:eastAsia="黑体"/>
                </w:rPr>
                <w:t xml:space="preserve">6 </w:t>
              </w:r>
              <w:r>
                <w:rPr>
                  <w:rFonts w:hint="eastAsia" w:hAnsi="黑体"/>
                </w:rPr>
                <w:t xml:space="preserve">  建设任务评价</w:t>
              </w:r>
              <w:r>
                <w:tab/>
              </w:r>
              <w:r>
                <w:fldChar w:fldCharType="begin"/>
              </w:r>
              <w:r>
                <w:instrText xml:space="preserve"> PAGEREF _Toc8682 \h </w:instrText>
              </w:r>
              <w:r>
                <w:fldChar w:fldCharType="separate"/>
              </w:r>
              <w:r>
                <w:t>4</w:t>
              </w:r>
              <w:r>
                <w:fldChar w:fldCharType="end"/>
              </w:r>
              <w:r>
                <w:fldChar w:fldCharType="end"/>
              </w:r>
            </w:p>
            <w:p>
              <w:pPr>
                <w:pStyle w:val="17"/>
              </w:pPr>
              <w:r>
                <w:fldChar w:fldCharType="begin"/>
              </w:r>
              <w:r>
                <w:instrText xml:space="preserve"> HYPERLINK \l "_Toc1461" </w:instrText>
              </w:r>
              <w:r>
                <w:fldChar w:fldCharType="separate"/>
              </w:r>
              <w:r>
                <w:rPr>
                  <w:rFonts w:hint="eastAsia" w:ascii="黑体" w:eastAsia="黑体"/>
                </w:rPr>
                <w:t xml:space="preserve">7 </w:t>
              </w:r>
              <w:r>
                <w:rPr>
                  <w:rFonts w:hAnsi="黑体"/>
                </w:rPr>
                <w:t xml:space="preserve">  </w:t>
              </w:r>
              <w:r>
                <w:rPr>
                  <w:rFonts w:hint="eastAsia" w:hAnsi="黑体"/>
                </w:rPr>
                <w:t>建设质量评价</w:t>
              </w:r>
              <w:r>
                <w:tab/>
              </w:r>
              <w:r>
                <w:fldChar w:fldCharType="begin"/>
              </w:r>
              <w:r>
                <w:instrText xml:space="preserve"> PAGEREF _Toc1461 \h </w:instrText>
              </w:r>
              <w:r>
                <w:fldChar w:fldCharType="separate"/>
              </w:r>
              <w:r>
                <w:t>4</w:t>
              </w:r>
              <w:r>
                <w:fldChar w:fldCharType="end"/>
              </w:r>
              <w:r>
                <w:fldChar w:fldCharType="end"/>
              </w:r>
            </w:p>
            <w:p>
              <w:pPr>
                <w:pStyle w:val="17"/>
              </w:pPr>
              <w:r>
                <w:fldChar w:fldCharType="begin"/>
              </w:r>
              <w:r>
                <w:instrText xml:space="preserve"> HYPERLINK \l "_Toc21606" </w:instrText>
              </w:r>
              <w:r>
                <w:fldChar w:fldCharType="separate"/>
              </w:r>
              <w:r>
                <w:rPr>
                  <w:rFonts w:hint="eastAsia" w:ascii="黑体" w:eastAsia="黑体"/>
                </w:rPr>
                <w:t xml:space="preserve">8 </w:t>
              </w:r>
              <w:r>
                <w:rPr>
                  <w:rFonts w:hAnsi="黑体"/>
                </w:rPr>
                <w:t xml:space="preserve">  建设</w:t>
              </w:r>
              <w:r>
                <w:rPr>
                  <w:rFonts w:hint="eastAsia" w:hAnsi="黑体"/>
                </w:rPr>
                <w:t>成效</w:t>
              </w:r>
              <w:r>
                <w:rPr>
                  <w:rFonts w:hAnsi="黑体"/>
                </w:rPr>
                <w:t>评价</w:t>
              </w:r>
              <w:r>
                <w:tab/>
              </w:r>
              <w:r>
                <w:fldChar w:fldCharType="begin"/>
              </w:r>
              <w:r>
                <w:instrText xml:space="preserve"> PAGEREF _Toc21606 \h </w:instrText>
              </w:r>
              <w:r>
                <w:fldChar w:fldCharType="separate"/>
              </w:r>
              <w:r>
                <w:t>5</w:t>
              </w:r>
              <w:r>
                <w:fldChar w:fldCharType="end"/>
              </w:r>
              <w:r>
                <w:fldChar w:fldCharType="end"/>
              </w:r>
            </w:p>
            <w:p>
              <w:pPr>
                <w:pStyle w:val="17"/>
              </w:pPr>
              <w:r>
                <w:fldChar w:fldCharType="begin"/>
              </w:r>
              <w:r>
                <w:instrText xml:space="preserve"> HYPERLINK \l "_Toc23106" </w:instrText>
              </w:r>
              <w:r>
                <w:fldChar w:fldCharType="separate"/>
              </w:r>
              <w:r>
                <w:rPr>
                  <w:rFonts w:hint="eastAsia" w:ascii="黑体" w:eastAsia="黑体"/>
                </w:rPr>
                <w:t xml:space="preserve">9 </w:t>
              </w:r>
              <w:r>
                <w:rPr>
                  <w:rFonts w:hAnsi="黑体"/>
                </w:rPr>
                <w:t xml:space="preserve">  </w:t>
              </w:r>
              <w:r>
                <w:rPr>
                  <w:rFonts w:hint="eastAsia" w:hAnsi="黑体"/>
                </w:rPr>
                <w:t>建设管理评价</w:t>
              </w:r>
              <w:r>
                <w:tab/>
              </w:r>
              <w:r>
                <w:fldChar w:fldCharType="begin"/>
              </w:r>
              <w:r>
                <w:instrText xml:space="preserve"> PAGEREF _Toc23106 \h </w:instrText>
              </w:r>
              <w:r>
                <w:fldChar w:fldCharType="separate"/>
              </w:r>
              <w:r>
                <w:t>5</w:t>
              </w:r>
              <w:r>
                <w:fldChar w:fldCharType="end"/>
              </w:r>
              <w:r>
                <w:fldChar w:fldCharType="end"/>
              </w:r>
            </w:p>
            <w:p>
              <w:pPr>
                <w:pStyle w:val="17"/>
                <w:tabs>
                  <w:tab w:val="right" w:leader="dot" w:pos="9240"/>
                  <w:tab w:val="clear" w:pos="9242"/>
                </w:tabs>
                <w:spacing w:before="78" w:after="78"/>
              </w:pPr>
              <w:r>
                <w:fldChar w:fldCharType="begin"/>
              </w:r>
              <w:r>
                <w:instrText xml:space="preserve"> HYPERLINK \l "_Toc22152" </w:instrText>
              </w:r>
              <w:r>
                <w:fldChar w:fldCharType="separate"/>
              </w:r>
              <w:r>
                <w:rPr>
                  <w:rFonts w:hint="default" w:ascii="黑体" w:hAnsi="Times New Roman" w:eastAsia="黑体"/>
                  <w:lang w:val="en-US" w:eastAsia="zh-CN"/>
                </w:rPr>
                <w:t>附录</w:t>
              </w:r>
              <w:r>
                <w:rPr>
                  <w:rFonts w:hint="default" w:ascii="黑体" w:hAnsi="Times New Roman" w:eastAsia="黑体"/>
                  <w:lang w:eastAsia="zh-CN"/>
                </w:rPr>
                <w:t>A</w:t>
              </w:r>
              <w:r>
                <w:rPr>
                  <w:rFonts w:ascii="黑体" w:eastAsia="黑体"/>
                </w:rPr>
                <w:t xml:space="preserve"> （规范性）</w:t>
              </w:r>
              <w:r>
                <w:t xml:space="preserve"> 高标准农田建设评价工作程序</w:t>
              </w:r>
              <w:r>
                <w:tab/>
              </w:r>
              <w:r>
                <w:fldChar w:fldCharType="begin"/>
              </w:r>
              <w:r>
                <w:instrText xml:space="preserve"> PAGEREF _Toc22152 \h </w:instrText>
              </w:r>
              <w:r>
                <w:fldChar w:fldCharType="separate"/>
              </w:r>
              <w:r>
                <w:t>7</w:t>
              </w:r>
              <w:r>
                <w:fldChar w:fldCharType="end"/>
              </w:r>
              <w:r>
                <w:fldChar w:fldCharType="end"/>
              </w:r>
            </w:p>
            <w:p>
              <w:pPr>
                <w:pStyle w:val="17"/>
                <w:tabs>
                  <w:tab w:val="right" w:leader="dot" w:pos="9240"/>
                  <w:tab w:val="clear" w:pos="9242"/>
                </w:tabs>
                <w:spacing w:before="78" w:after="78"/>
              </w:pPr>
              <w:r>
                <w:fldChar w:fldCharType="begin"/>
              </w:r>
              <w:r>
                <w:instrText xml:space="preserve"> HYPERLINK \l "_Toc13281" </w:instrText>
              </w:r>
              <w:r>
                <w:fldChar w:fldCharType="separate"/>
              </w:r>
              <w:r>
                <w:rPr>
                  <w:rFonts w:hint="default" w:ascii="黑体" w:hAnsi="Times New Roman" w:eastAsia="黑体"/>
                  <w:lang w:val="en-US" w:eastAsia="zh-CN"/>
                </w:rPr>
                <w:t>附录</w:t>
              </w:r>
              <w:r>
                <w:rPr>
                  <w:rFonts w:hint="default" w:ascii="黑体" w:hAnsi="Times New Roman" w:eastAsia="黑体"/>
                  <w:lang w:eastAsia="zh-CN"/>
                </w:rPr>
                <w:t>B</w:t>
              </w:r>
              <w:r>
                <w:rPr>
                  <w:rFonts w:ascii="黑体" w:eastAsia="黑体"/>
                </w:rPr>
                <w:t xml:space="preserve"> （规范性）</w:t>
              </w:r>
              <w:r>
                <w:t xml:space="preserve"> 高标准农田建设评价指标体系</w:t>
              </w:r>
              <w:r>
                <w:tab/>
              </w:r>
              <w:r>
                <w:fldChar w:fldCharType="begin"/>
              </w:r>
              <w:r>
                <w:instrText xml:space="preserve"> PAGEREF _Toc13281 \h </w:instrText>
              </w:r>
              <w:r>
                <w:fldChar w:fldCharType="separate"/>
              </w:r>
              <w:r>
                <w:t>8</w:t>
              </w:r>
              <w:r>
                <w:fldChar w:fldCharType="end"/>
              </w:r>
              <w:r>
                <w:fldChar w:fldCharType="end"/>
              </w:r>
            </w:p>
            <w:p>
              <w:pPr>
                <w:pStyle w:val="18"/>
                <w:tabs>
                  <w:tab w:val="right" w:leader="dot" w:pos="9240"/>
                  <w:tab w:val="clear" w:pos="9242"/>
                </w:tabs>
                <w:spacing w:before="78" w:after="78"/>
              </w:pPr>
              <w:r>
                <w:fldChar w:fldCharType="begin"/>
              </w:r>
              <w:r>
                <w:instrText xml:space="preserve"> HYPERLINK \l "_Toc10198" </w:instrText>
              </w:r>
              <w:r>
                <w:fldChar w:fldCharType="separate"/>
              </w:r>
              <w:r>
                <w:rPr>
                  <w:rFonts w:hint="eastAsia" w:ascii="黑体" w:hAnsi="黑体" w:eastAsia="黑体"/>
                  <w:lang w:val="zh-TW" w:eastAsia="zh-TW"/>
                </w:rPr>
                <w:t>附录</w:t>
              </w:r>
              <w:r>
                <w:rPr>
                  <w:rFonts w:hint="eastAsia" w:ascii="黑体" w:hAnsi="黑体" w:eastAsia="黑体"/>
                </w:rPr>
                <w:t>C</w:t>
              </w:r>
              <w:r>
                <w:rPr>
                  <w:rFonts w:ascii="黑体" w:eastAsia="黑体"/>
                </w:rPr>
                <w:t xml:space="preserve"> （规范性） </w:t>
              </w:r>
              <w:r>
                <w:rPr>
                  <w:rFonts w:ascii="宋体" w:eastAsia="宋体"/>
                </w:rPr>
                <w:t>高标准农田建设评价指标、指标涵义、数据来源、评分方法与评分规则</w:t>
              </w:r>
              <w:r>
                <w:tab/>
              </w:r>
              <w:r>
                <w:fldChar w:fldCharType="begin"/>
              </w:r>
              <w:r>
                <w:instrText xml:space="preserve"> PAGEREF _Toc10198 \h </w:instrText>
              </w:r>
              <w:r>
                <w:fldChar w:fldCharType="separate"/>
              </w:r>
              <w:r>
                <w:t>10</w:t>
              </w:r>
              <w:r>
                <w:fldChar w:fldCharType="end"/>
              </w:r>
              <w:r>
                <w:fldChar w:fldCharType="end"/>
              </w:r>
            </w:p>
            <w:p>
              <w:pPr>
                <w:pStyle w:val="18"/>
                <w:tabs>
                  <w:tab w:val="right" w:leader="dot" w:pos="9240"/>
                  <w:tab w:val="clear" w:pos="9242"/>
                </w:tabs>
                <w:spacing w:before="78" w:after="78"/>
              </w:pPr>
              <w:r>
                <w:fldChar w:fldCharType="begin"/>
              </w:r>
              <w:r>
                <w:instrText xml:space="preserve"> HYPERLINK \l "_Toc26281" </w:instrText>
              </w:r>
              <w:r>
                <w:fldChar w:fldCharType="separate"/>
              </w:r>
              <w:r>
                <w:rPr>
                  <w:rFonts w:hint="eastAsia" w:ascii="黑体" w:hAnsi="黑体" w:eastAsia="黑体"/>
                  <w:lang w:val="zh-TW" w:eastAsia="zh-TW"/>
                </w:rPr>
                <w:t>附录</w:t>
              </w:r>
              <w:r>
                <w:rPr>
                  <w:rFonts w:hint="eastAsia" w:ascii="黑体" w:hAnsi="黑体" w:eastAsia="黑体"/>
                  <w:lang w:eastAsia="en-US"/>
                </w:rPr>
                <w:t>D</w:t>
              </w:r>
              <w:r>
                <w:rPr>
                  <w:rFonts w:ascii="黑体" w:eastAsia="黑体"/>
                </w:rPr>
                <w:t xml:space="preserve"> （规范性） </w:t>
              </w:r>
              <w:r>
                <w:rPr>
                  <w:rFonts w:ascii="宋体" w:eastAsia="宋体"/>
                </w:rPr>
                <w:t>高标准农田建设评价指标权重计算表</w:t>
              </w:r>
              <w:r>
                <w:tab/>
              </w:r>
              <w:r>
                <w:fldChar w:fldCharType="begin"/>
              </w:r>
              <w:r>
                <w:instrText xml:space="preserve"> PAGEREF _Toc26281 \h </w:instrText>
              </w:r>
              <w:r>
                <w:fldChar w:fldCharType="separate"/>
              </w:r>
              <w:r>
                <w:t>34</w:t>
              </w:r>
              <w:r>
                <w:fldChar w:fldCharType="end"/>
              </w:r>
              <w:r>
                <w:fldChar w:fldCharType="end"/>
              </w:r>
            </w:p>
            <w:p>
              <w:pPr>
                <w:pStyle w:val="17"/>
                <w:tabs>
                  <w:tab w:val="right" w:leader="dot" w:pos="9240"/>
                  <w:tab w:val="clear" w:pos="9242"/>
                </w:tabs>
                <w:spacing w:before="78" w:after="78"/>
              </w:pPr>
              <w:r>
                <w:fldChar w:fldCharType="begin"/>
              </w:r>
              <w:r>
                <w:instrText xml:space="preserve"> HYPERLINK \l "_Toc24077" </w:instrText>
              </w:r>
              <w:r>
                <w:fldChar w:fldCharType="separate"/>
              </w:r>
              <w:r>
                <w:rPr>
                  <w:rFonts w:hint="default" w:ascii="黑体" w:hAnsi="Times New Roman" w:eastAsia="黑体"/>
                  <w:lang w:val="en-US" w:eastAsia="zh-CN"/>
                </w:rPr>
                <w:t>附录</w:t>
              </w:r>
              <w:r>
                <w:rPr>
                  <w:rFonts w:hint="default" w:ascii="黑体" w:hAnsi="Times New Roman" w:eastAsia="黑体"/>
                  <w:lang w:eastAsia="zh-CN"/>
                </w:rPr>
                <w:t>E</w:t>
              </w:r>
              <w:r>
                <w:rPr>
                  <w:rFonts w:ascii="黑体" w:eastAsia="黑体"/>
                </w:rPr>
                <w:t xml:space="preserve"> （规范性）</w:t>
              </w:r>
              <w:r>
                <w:t xml:space="preserve"> 高标准农田建设任务统计</w:t>
              </w:r>
              <w:r>
                <w:tab/>
              </w:r>
              <w:r>
                <w:fldChar w:fldCharType="begin"/>
              </w:r>
              <w:r>
                <w:instrText xml:space="preserve"> PAGEREF _Toc24077 \h </w:instrText>
              </w:r>
              <w:r>
                <w:fldChar w:fldCharType="separate"/>
              </w:r>
              <w:r>
                <w:t>35</w:t>
              </w:r>
              <w:r>
                <w:fldChar w:fldCharType="end"/>
              </w:r>
              <w:r>
                <w:fldChar w:fldCharType="end"/>
              </w:r>
            </w:p>
            <w:p>
              <w:pPr>
                <w:pStyle w:val="18"/>
                <w:tabs>
                  <w:tab w:val="right" w:leader="dot" w:pos="9240"/>
                  <w:tab w:val="clear" w:pos="9242"/>
                </w:tabs>
                <w:spacing w:before="78" w:after="78"/>
              </w:pPr>
              <w:r>
                <w:fldChar w:fldCharType="begin"/>
              </w:r>
              <w:r>
                <w:instrText xml:space="preserve"> HYPERLINK \l "_Toc4213" </w:instrText>
              </w:r>
              <w:r>
                <w:fldChar w:fldCharType="separate"/>
              </w:r>
              <w:r>
                <w:rPr>
                  <w:rFonts w:hint="eastAsia" w:ascii="黑体" w:hAnsi="黑体" w:eastAsia="黑体"/>
                  <w:lang w:val="zh-TW" w:eastAsia="zh-TW"/>
                </w:rPr>
                <w:t>附录</w:t>
              </w:r>
              <w:r>
                <w:rPr>
                  <w:rFonts w:hint="eastAsia" w:ascii="黑体" w:hAnsi="黑体" w:eastAsia="黑体"/>
                  <w:lang w:eastAsia="en-US"/>
                </w:rPr>
                <w:t>F</w:t>
              </w:r>
              <w:r>
                <w:rPr>
                  <w:rFonts w:ascii="黑体" w:eastAsia="黑体"/>
                </w:rPr>
                <w:t xml:space="preserve"> （规范性） </w:t>
              </w:r>
              <w:r>
                <w:rPr>
                  <w:rFonts w:ascii="宋体" w:eastAsia="宋体"/>
                </w:rPr>
                <w:t>高标准农田建设质量调查复核表</w:t>
              </w:r>
              <w:r>
                <w:tab/>
              </w:r>
              <w:r>
                <w:fldChar w:fldCharType="begin"/>
              </w:r>
              <w:r>
                <w:instrText xml:space="preserve"> PAGEREF _Toc4213 \h </w:instrText>
              </w:r>
              <w:r>
                <w:fldChar w:fldCharType="separate"/>
              </w:r>
              <w:r>
                <w:t>37</w:t>
              </w:r>
              <w:r>
                <w:fldChar w:fldCharType="end"/>
              </w:r>
              <w:r>
                <w:fldChar w:fldCharType="end"/>
              </w:r>
            </w:p>
            <w:p>
              <w:pPr>
                <w:pStyle w:val="18"/>
                <w:tabs>
                  <w:tab w:val="right" w:leader="dot" w:pos="9240"/>
                  <w:tab w:val="clear" w:pos="9242"/>
                </w:tabs>
                <w:spacing w:before="78" w:after="78"/>
              </w:pPr>
              <w:r>
                <w:fldChar w:fldCharType="begin"/>
              </w:r>
              <w:r>
                <w:instrText xml:space="preserve"> HYPERLINK \l "_Toc21239" </w:instrText>
              </w:r>
              <w:r>
                <w:fldChar w:fldCharType="separate"/>
              </w:r>
              <w:r>
                <w:rPr>
                  <w:rFonts w:hint="eastAsia" w:ascii="黑体" w:hAnsi="黑体" w:eastAsia="黑体"/>
                  <w:lang w:val="zh-TW" w:eastAsia="zh-TW"/>
                </w:rPr>
                <w:t>附录</w:t>
              </w:r>
              <w:r>
                <w:rPr>
                  <w:rFonts w:hint="eastAsia" w:ascii="黑体" w:hAnsi="黑体" w:eastAsia="黑体"/>
                  <w:lang w:eastAsia="en-US"/>
                </w:rPr>
                <w:t>G</w:t>
              </w:r>
              <w:r>
                <w:rPr>
                  <w:rFonts w:ascii="黑体" w:eastAsia="黑体"/>
                </w:rPr>
                <w:t xml:space="preserve"> （资料性） </w:t>
              </w:r>
              <w:r>
                <w:rPr>
                  <w:rFonts w:ascii="宋体" w:eastAsia="宋体"/>
                </w:rPr>
                <w:t>高标准农田建设评价报告</w:t>
              </w:r>
              <w:r>
                <w:tab/>
              </w:r>
              <w:r>
                <w:fldChar w:fldCharType="begin"/>
              </w:r>
              <w:r>
                <w:instrText xml:space="preserve"> PAGEREF _Toc21239 \h </w:instrText>
              </w:r>
              <w:r>
                <w:fldChar w:fldCharType="separate"/>
              </w:r>
              <w:r>
                <w:t>38</w:t>
              </w:r>
              <w:r>
                <w:fldChar w:fldCharType="end"/>
              </w:r>
              <w:r>
                <w:fldChar w:fldCharType="end"/>
              </w:r>
            </w:p>
            <w:p>
              <w:pPr>
                <w:pStyle w:val="18"/>
                <w:tabs>
                  <w:tab w:val="right" w:leader="dot" w:pos="9240"/>
                  <w:tab w:val="clear" w:pos="9242"/>
                </w:tabs>
                <w:spacing w:before="78" w:after="78"/>
              </w:pPr>
              <w:r>
                <w:fldChar w:fldCharType="begin"/>
              </w:r>
              <w:r>
                <w:instrText xml:space="preserve"> HYPERLINK \l "_Toc21492" </w:instrText>
              </w:r>
              <w:r>
                <w:fldChar w:fldCharType="separate"/>
              </w:r>
              <w:r>
                <w:rPr>
                  <w:rFonts w:hint="eastAsia"/>
                </w:rPr>
                <w:t>参  考  文  献</w:t>
              </w:r>
              <w:r>
                <w:tab/>
              </w:r>
              <w:r>
                <w:fldChar w:fldCharType="begin"/>
              </w:r>
              <w:r>
                <w:instrText xml:space="preserve"> PAGEREF _Toc21492 \h </w:instrText>
              </w:r>
              <w:r>
                <w:fldChar w:fldCharType="separate"/>
              </w:r>
              <w:r>
                <w:t>40</w:t>
              </w:r>
              <w:r>
                <w:fldChar w:fldCharType="end"/>
              </w:r>
              <w:r>
                <w:fldChar w:fldCharType="end"/>
              </w:r>
            </w:p>
            <w:p>
              <w:pPr>
                <w:pStyle w:val="17"/>
                <w:tabs>
                  <w:tab w:val="right" w:leader="dot" w:pos="9354"/>
                  <w:tab w:val="clear" w:pos="9242"/>
                </w:tabs>
                <w:spacing w:before="78" w:after="78"/>
              </w:pPr>
              <w:r>
                <w:rPr>
                  <w:bCs/>
                  <w:lang w:val="zh-CN"/>
                </w:rPr>
                <w:fldChar w:fldCharType="end"/>
              </w:r>
            </w:p>
          </w:sdtContent>
        </w:sdt>
        <w:p>
          <w:pPr>
            <w:rPr>
              <w:b/>
              <w:bCs/>
              <w:lang w:val="zh-CN"/>
            </w:rPr>
          </w:pPr>
        </w:p>
      </w:sdtContent>
    </w:sdt>
    <w:p>
      <w:pPr>
        <w:pStyle w:val="8"/>
        <w:sectPr>
          <w:footerReference r:id="rId13" w:type="default"/>
          <w:footerReference r:id="rId14" w:type="even"/>
          <w:pgSz w:w="11906" w:h="16838"/>
          <w:pgMar w:top="567" w:right="1028" w:bottom="1134" w:left="1418" w:header="1418" w:footer="1134" w:gutter="0"/>
          <w:pgNumType w:fmt="upperRoman" w:start="1"/>
          <w:cols w:space="720" w:num="1"/>
          <w:formProt w:val="0"/>
          <w:docGrid w:type="lines" w:linePitch="312" w:charSpace="0"/>
        </w:sectPr>
      </w:pPr>
    </w:p>
    <w:bookmarkEnd w:id="0"/>
    <w:bookmarkEnd w:id="1"/>
    <w:p>
      <w:pPr>
        <w:pStyle w:val="58"/>
        <w:rPr>
          <w:color w:val="000000" w:themeColor="text1"/>
          <w14:textFill>
            <w14:solidFill>
              <w14:schemeClr w14:val="tx1"/>
            </w14:solidFill>
          </w14:textFill>
        </w:rPr>
      </w:pPr>
      <w:bookmarkStart w:id="2" w:name="_Toc17912"/>
      <w:bookmarkStart w:id="3" w:name="_Toc3023"/>
      <w:bookmarkStart w:id="4" w:name="_Toc66883216"/>
      <w:bookmarkStart w:id="5" w:name="_Toc1818"/>
      <w:r>
        <w:rPr>
          <w:rFonts w:hint="eastAsia"/>
          <w:color w:val="000000" w:themeColor="text1"/>
          <w14:textFill>
            <w14:solidFill>
              <w14:schemeClr w14:val="tx1"/>
            </w14:solidFill>
          </w14:textFill>
        </w:rPr>
        <w:t>前    言</w:t>
      </w:r>
      <w:bookmarkEnd w:id="2"/>
      <w:bookmarkEnd w:id="3"/>
      <w:bookmarkEnd w:id="4"/>
      <w:bookmarkEnd w:id="5"/>
    </w:p>
    <w:p>
      <w:pPr>
        <w:pStyle w:val="47"/>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w:t>
      </w:r>
      <w:r>
        <w:rPr>
          <w:rFonts w:ascii="Times New Roman" w:eastAsiaTheme="minorEastAsia"/>
          <w:color w:val="000000" w:themeColor="text1"/>
          <w14:textFill>
            <w14:solidFill>
              <w14:schemeClr w14:val="tx1"/>
            </w14:solidFill>
          </w14:textFill>
        </w:rPr>
        <w:t>文件按照</w:t>
      </w:r>
      <w:r>
        <w:rPr>
          <w:rFonts w:hAnsi="宋体"/>
          <w:color w:val="000000" w:themeColor="text1"/>
          <w14:textFill>
            <w14:solidFill>
              <w14:schemeClr w14:val="tx1"/>
            </w14:solidFill>
          </w14:textFill>
        </w:rPr>
        <w:t>GB/T</w:t>
      </w:r>
      <w:r>
        <w:rPr>
          <w:rFonts w:hint="eastAsia" w:hAnsi="宋体"/>
          <w:color w:val="000000" w:themeColor="text1"/>
          <w14:textFill>
            <w14:solidFill>
              <w14:schemeClr w14:val="tx1"/>
            </w14:solidFill>
          </w14:textFill>
        </w:rPr>
        <w:t xml:space="preserve"> </w:t>
      </w:r>
      <w:r>
        <w:rPr>
          <w:rFonts w:hAnsi="宋体"/>
          <w:color w:val="000000" w:themeColor="text1"/>
          <w14:textFill>
            <w14:solidFill>
              <w14:schemeClr w14:val="tx1"/>
            </w14:solidFill>
          </w14:textFill>
        </w:rPr>
        <w:t>1.1</w:t>
      </w:r>
      <w:r>
        <w:rPr>
          <w:rFonts w:hint="eastAsia" w:hAnsi="宋体"/>
        </w:rPr>
        <w:t>—</w:t>
      </w:r>
      <w:r>
        <w:rPr>
          <w:rFonts w:hAnsi="宋体"/>
          <w:color w:val="000000" w:themeColor="text1"/>
          <w14:textFill>
            <w14:solidFill>
              <w14:schemeClr w14:val="tx1"/>
            </w14:solidFill>
          </w14:textFill>
        </w:rPr>
        <w:t xml:space="preserve">2020《标准化工作导则 </w:t>
      </w:r>
      <w:r>
        <w:rPr>
          <w:rFonts w:hint="eastAsia" w:hAnsi="宋体"/>
          <w:color w:val="000000" w:themeColor="text1"/>
          <w14:textFill>
            <w14:solidFill>
              <w14:schemeClr w14:val="tx1"/>
            </w14:solidFill>
          </w14:textFill>
        </w:rPr>
        <w:t xml:space="preserve"> </w:t>
      </w:r>
      <w:r>
        <w:rPr>
          <w:rFonts w:hAnsi="宋体"/>
          <w:color w:val="000000" w:themeColor="text1"/>
          <w14:textFill>
            <w14:solidFill>
              <w14:schemeClr w14:val="tx1"/>
            </w14:solidFill>
          </w14:textFill>
        </w:rPr>
        <w:t>第1部</w:t>
      </w:r>
      <w:r>
        <w:rPr>
          <w:rFonts w:ascii="Times New Roman" w:eastAsiaTheme="minorEastAsia"/>
          <w:color w:val="000000" w:themeColor="text1"/>
          <w14:textFill>
            <w14:solidFill>
              <w14:schemeClr w14:val="tx1"/>
            </w14:solidFill>
          </w14:textFill>
        </w:rPr>
        <w:t>分：标准化文件的结构和起草规则》</w:t>
      </w:r>
      <w:r>
        <w:rPr>
          <w:rFonts w:ascii="Times New Roman"/>
          <w:color w:val="000000" w:themeColor="text1"/>
          <w14:textFill>
            <w14:solidFill>
              <w14:schemeClr w14:val="tx1"/>
            </w14:solidFill>
          </w14:textFill>
        </w:rPr>
        <w:t>的规定起草。</w:t>
      </w:r>
    </w:p>
    <w:p>
      <w:pPr>
        <w:pStyle w:val="47"/>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请注意本文件的某些内容可能涉及专利。本文件的发布机构不承担识别专利的责任。</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w:t>
      </w:r>
      <w:r>
        <w:rPr>
          <w:color w:val="000000" w:themeColor="text1"/>
          <w14:textFill>
            <w14:solidFill>
              <w14:schemeClr w14:val="tx1"/>
            </w14:solidFill>
          </w14:textFill>
        </w:rPr>
        <w:t>XXXX</w:t>
      </w:r>
      <w:r>
        <w:rPr>
          <w:rFonts w:hint="eastAsia"/>
          <w:color w:val="000000" w:themeColor="text1"/>
          <w14:textFill>
            <w14:solidFill>
              <w14:schemeClr w14:val="tx1"/>
            </w14:solidFill>
          </w14:textFill>
        </w:rPr>
        <w:t>提出并归口。</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本文件起草单位：XXXXXXXXXXXXXXXXX。</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本文件主要起草人：XXXXXXXXXXXXXXXXX。</w:t>
      </w:r>
    </w:p>
    <w:p>
      <w:pPr>
        <w:pStyle w:val="47"/>
      </w:pPr>
    </w:p>
    <w:p>
      <w:pPr>
        <w:pStyle w:val="47"/>
        <w:ind w:firstLine="0" w:firstLineChars="0"/>
        <w:sectPr>
          <w:footerReference r:id="rId15" w:type="default"/>
          <w:footerReference r:id="rId16" w:type="even"/>
          <w:pgSz w:w="11906" w:h="16838"/>
          <w:pgMar w:top="567" w:right="1134" w:bottom="1134" w:left="1418" w:header="1418" w:footer="1134" w:gutter="0"/>
          <w:pgNumType w:fmt="upperRoman" w:start="1"/>
          <w:cols w:space="720" w:num="1"/>
          <w:formProt w:val="0"/>
          <w:docGrid w:type="lines" w:linePitch="312" w:charSpace="0"/>
        </w:sectPr>
      </w:pPr>
    </w:p>
    <w:sdt>
      <w:sdtPr>
        <w:rPr>
          <w:rFonts w:ascii="Times New Roman" w:eastAsia="宋体"/>
          <w:kern w:val="2"/>
          <w:sz w:val="21"/>
          <w:szCs w:val="24"/>
        </w:rPr>
        <w:tag w:val="NEW_STAND_NAME"/>
        <w:id w:val="595910757"/>
        <w:lock w:val="sdtLocked"/>
        <w:placeholder>
          <w:docPart w:val="{aea26e41-0a57-4ba2-a80a-4faca0908879}"/>
        </w:placeholder>
      </w:sdtPr>
      <w:sdtEndPr>
        <w:rPr>
          <w:rFonts w:ascii="Times New Roman" w:eastAsia="宋体"/>
          <w:kern w:val="2"/>
          <w:sz w:val="21"/>
          <w:szCs w:val="24"/>
        </w:rPr>
      </w:sdtEndPr>
      <w:sdtContent>
        <w:p>
          <w:pPr>
            <w:pStyle w:val="180"/>
            <w:rPr>
              <w:color w:val="000000" w:themeColor="text1"/>
              <w14:textFill>
                <w14:solidFill>
                  <w14:schemeClr w14:val="tx1"/>
                </w14:solidFill>
              </w14:textFill>
            </w:rPr>
          </w:pPr>
          <w:bookmarkStart w:id="6" w:name="_Toc65135845"/>
          <w:bookmarkStart w:id="7" w:name="_Toc66883221"/>
          <w:r>
            <w:rPr>
              <w:rFonts w:hint="eastAsia"/>
              <w:color w:val="000000" w:themeColor="text1"/>
              <w14:textFill>
                <w14:solidFill>
                  <w14:schemeClr w14:val="tx1"/>
                </w14:solidFill>
              </w14:textFill>
            </w:rPr>
            <w:t>高标准农田建设项目评价规范</w:t>
          </w:r>
          <w:bookmarkStart w:id="8" w:name="_Toc32549"/>
          <w:bookmarkStart w:id="9" w:name="_Toc66883219"/>
        </w:p>
        <w:p>
          <w:pPr>
            <w:pStyle w:val="99"/>
            <w:numPr>
              <w:ilvl w:val="-1"/>
              <w:numId w:val="0"/>
            </w:numPr>
            <w:spacing w:before="240" w:after="240"/>
            <w:outlineLvl w:val="0"/>
            <w:rPr>
              <w:rFonts w:hint="eastAsia" w:eastAsia="黑体"/>
              <w:color w:val="000000" w:themeColor="text1"/>
              <w:lang w:eastAsia="zh-CN"/>
              <w14:textFill>
                <w14:solidFill>
                  <w14:schemeClr w14:val="tx1"/>
                </w14:solidFill>
              </w14:textFill>
            </w:rPr>
          </w:pPr>
          <w:bookmarkStart w:id="10" w:name="_Toc46933217"/>
          <w:bookmarkStart w:id="11" w:name="_Toc62137910"/>
          <w:r>
            <w:rPr>
              <w:rFonts w:hint="eastAsia"/>
              <w:color w:val="000000" w:themeColor="text1"/>
              <w:lang w:val="en-US" w:eastAsia="zh-CN"/>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lang w:eastAsia="zh-CN"/>
              <w14:textFill>
                <w14:solidFill>
                  <w14:schemeClr w14:val="tx1"/>
                </w14:solidFill>
              </w14:textFill>
            </w:rPr>
            <w:t>范围</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本文件规定了深圳市高标准农田建设项目评价的</w:t>
          </w:r>
          <w:r>
            <w:rPr>
              <w:rFonts w:hint="eastAsia" w:ascii="宋体" w:hAnsi="宋体"/>
              <w:color w:val="000000" w:themeColor="text1"/>
              <w:szCs w:val="21"/>
              <w:lang w:eastAsia="zh-CN"/>
              <w14:textFill>
                <w14:solidFill>
                  <w14:schemeClr w14:val="tx1"/>
                </w14:solidFill>
              </w14:textFill>
            </w:rPr>
            <w:t>总则</w:t>
          </w:r>
          <w:r>
            <w:rPr>
              <w:rFonts w:hint="eastAsia" w:ascii="宋体" w:hAnsi="宋体"/>
              <w:color w:val="000000" w:themeColor="text1"/>
              <w:szCs w:val="21"/>
              <w14:textFill>
                <w14:solidFill>
                  <w14:schemeClr w14:val="tx1"/>
                </w14:solidFill>
              </w14:textFill>
            </w:rPr>
            <w:t>、评价工作程序、建设任务</w:t>
          </w:r>
          <w:r>
            <w:rPr>
              <w:rFonts w:hint="eastAsia" w:ascii="宋体" w:hAnsi="宋体"/>
              <w:color w:val="000000" w:themeColor="text1"/>
              <w:szCs w:val="21"/>
              <w:lang w:eastAsia="zh-CN"/>
              <w14:textFill>
                <w14:solidFill>
                  <w14:schemeClr w14:val="tx1"/>
                </w14:solidFill>
              </w14:textFill>
            </w:rPr>
            <w:t>评价</w:t>
          </w:r>
          <w:r>
            <w:rPr>
              <w:rFonts w:hint="eastAsia" w:ascii="宋体" w:hAnsi="宋体"/>
              <w:color w:val="000000" w:themeColor="text1"/>
              <w:szCs w:val="21"/>
              <w14:textFill>
                <w14:solidFill>
                  <w14:schemeClr w14:val="tx1"/>
                </w14:solidFill>
              </w14:textFill>
            </w:rPr>
            <w:t>、建设质量</w:t>
          </w:r>
          <w:r>
            <w:rPr>
              <w:rFonts w:hint="eastAsia" w:ascii="宋体" w:hAnsi="宋体"/>
              <w:color w:val="000000" w:themeColor="text1"/>
              <w:szCs w:val="21"/>
              <w:lang w:eastAsia="zh-CN"/>
              <w14:textFill>
                <w14:solidFill>
                  <w14:schemeClr w14:val="tx1"/>
                </w14:solidFill>
              </w14:textFill>
            </w:rPr>
            <w:t>评价</w:t>
          </w:r>
          <w:r>
            <w:rPr>
              <w:rFonts w:hint="eastAsia" w:ascii="宋体" w:hAnsi="宋体"/>
              <w:color w:val="000000" w:themeColor="text1"/>
              <w:szCs w:val="21"/>
              <w14:textFill>
                <w14:solidFill>
                  <w14:schemeClr w14:val="tx1"/>
                </w14:solidFill>
              </w14:textFill>
            </w:rPr>
            <w:t>、建设成效</w:t>
          </w:r>
          <w:r>
            <w:rPr>
              <w:rFonts w:hint="eastAsia" w:ascii="宋体" w:hAnsi="宋体"/>
              <w:color w:val="000000" w:themeColor="text1"/>
              <w:szCs w:val="21"/>
              <w:lang w:eastAsia="zh-CN"/>
              <w14:textFill>
                <w14:solidFill>
                  <w14:schemeClr w14:val="tx1"/>
                </w14:solidFill>
              </w14:textFill>
            </w:rPr>
            <w:t>评价</w:t>
          </w:r>
          <w:r>
            <w:rPr>
              <w:rFonts w:hint="eastAsia" w:ascii="宋体" w:hAnsi="宋体"/>
              <w:color w:val="000000" w:themeColor="text1"/>
              <w:szCs w:val="21"/>
              <w14:textFill>
                <w14:solidFill>
                  <w14:schemeClr w14:val="tx1"/>
                </w14:solidFill>
              </w14:textFill>
            </w:rPr>
            <w:t>、建设管理</w:t>
          </w:r>
          <w:r>
            <w:rPr>
              <w:rFonts w:hint="eastAsia" w:ascii="宋体" w:hAnsi="宋体"/>
              <w:color w:val="000000" w:themeColor="text1"/>
              <w:szCs w:val="21"/>
              <w:lang w:eastAsia="zh-CN"/>
              <w14:textFill>
                <w14:solidFill>
                  <w14:schemeClr w14:val="tx1"/>
                </w14:solidFill>
              </w14:textFill>
            </w:rPr>
            <w:t>评价</w:t>
          </w:r>
          <w:r>
            <w:rPr>
              <w:rFonts w:hint="eastAsia" w:ascii="宋体" w:hAnsi="宋体"/>
              <w:color w:val="000000" w:themeColor="text1"/>
              <w:szCs w:val="21"/>
              <w14:textFill>
                <w14:solidFill>
                  <w14:schemeClr w14:val="tx1"/>
                </w14:solidFill>
              </w14:textFill>
            </w:rPr>
            <w:t>等。</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本文件适用于深圳市高标准农田建设完成后的整体评价工作。</w:t>
          </w:r>
        </w:p>
        <w:p>
          <w:pPr>
            <w:pStyle w:val="99"/>
            <w:numPr>
              <w:ilvl w:val="-1"/>
              <w:numId w:val="0"/>
            </w:numPr>
            <w:spacing w:before="240" w:after="240"/>
            <w:outlineLvl w:val="0"/>
            <w:rPr>
              <w:color w:val="000000" w:themeColor="text1"/>
              <w14:textFill>
                <w14:solidFill>
                  <w14:schemeClr w14:val="tx1"/>
                </w14:solidFill>
              </w14:textFill>
            </w:rPr>
          </w:pPr>
          <w:bookmarkStart w:id="12" w:name="_Toc28972"/>
          <w:bookmarkStart w:id="13" w:name="_Toc66883218"/>
          <w:bookmarkStart w:id="14" w:name="_Toc30643"/>
          <w:bookmarkStart w:id="15" w:name="_Toc19649"/>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规范性引用文件</w:t>
          </w:r>
          <w:bookmarkEnd w:id="10"/>
          <w:bookmarkEnd w:id="11"/>
          <w:bookmarkEnd w:id="12"/>
          <w:bookmarkEnd w:id="13"/>
          <w:bookmarkEnd w:id="14"/>
          <w:bookmarkEnd w:id="15"/>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w:t>
          </w:r>
          <w:r>
            <w:rPr>
              <w:color w:val="000000" w:themeColor="text1"/>
              <w14:textFill>
                <w14:solidFill>
                  <w14:schemeClr w14:val="tx1"/>
                </w14:solidFill>
              </w14:textFill>
            </w:rPr>
            <w:t>内容通过文中</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规范性引用而构成本文件必不可少的条款。其中</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注日期的引用文件，</w:t>
          </w:r>
          <w:r>
            <w:rPr>
              <w:rFonts w:hint="eastAsia"/>
              <w:color w:val="000000" w:themeColor="text1"/>
              <w14:textFill>
                <w14:solidFill>
                  <w14:schemeClr w14:val="tx1"/>
                </w14:solidFill>
              </w14:textFill>
            </w:rPr>
            <w:t>仅</w:t>
          </w:r>
          <w:r>
            <w:rPr>
              <w:color w:val="000000" w:themeColor="text1"/>
              <w14:textFill>
                <w14:solidFill>
                  <w14:schemeClr w14:val="tx1"/>
                </w14:solidFill>
              </w14:textFill>
            </w:rPr>
            <w:t>该日期对应的版本</w:t>
          </w:r>
          <w:r>
            <w:rPr>
              <w:rFonts w:hint="eastAsia"/>
              <w:color w:val="000000" w:themeColor="text1"/>
              <w14:textFill>
                <w14:solidFill>
                  <w14:schemeClr w14:val="tx1"/>
                </w14:solidFill>
              </w14:textFill>
            </w:rPr>
            <w:t>适用</w:t>
          </w:r>
          <w:r>
            <w:rPr>
              <w:color w:val="000000" w:themeColor="text1"/>
              <w14:textFill>
                <w14:solidFill>
                  <w14:schemeClr w14:val="tx1"/>
                </w14:solidFill>
              </w14:textFill>
            </w:rPr>
            <w:t>于本文件；不注日期的引用文件，其最新版本（</w:t>
          </w:r>
          <w:r>
            <w:rPr>
              <w:rFonts w:hint="eastAsia"/>
              <w:color w:val="000000" w:themeColor="text1"/>
              <w14:textFill>
                <w14:solidFill>
                  <w14:schemeClr w14:val="tx1"/>
                </w14:solidFill>
              </w14:textFill>
            </w:rPr>
            <w:t>包括</w:t>
          </w:r>
          <w:r>
            <w:rPr>
              <w:color w:val="000000" w:themeColor="text1"/>
              <w14:textFill>
                <w14:solidFill>
                  <w14:schemeClr w14:val="tx1"/>
                </w14:solidFill>
              </w14:textFill>
            </w:rPr>
            <w:t>所有的修改单）</w:t>
          </w:r>
          <w:r>
            <w:rPr>
              <w:rFonts w:hint="eastAsia"/>
              <w:color w:val="000000" w:themeColor="text1"/>
              <w14:textFill>
                <w14:solidFill>
                  <w14:schemeClr w14:val="tx1"/>
                </w14:solidFill>
              </w14:textFill>
            </w:rPr>
            <w:t>适用</w:t>
          </w:r>
          <w:r>
            <w:rPr>
              <w:color w:val="000000" w:themeColor="text1"/>
              <w14:textFill>
                <w14:solidFill>
                  <w14:schemeClr w14:val="tx1"/>
                </w14:solidFill>
              </w14:textFill>
            </w:rPr>
            <w:t>于本文件</w:t>
          </w:r>
          <w:r>
            <w:rPr>
              <w:rFonts w:hint="eastAsia"/>
              <w:color w:val="000000" w:themeColor="text1"/>
              <w14:textFill>
                <w14:solidFill>
                  <w14:schemeClr w14:val="tx1"/>
                </w14:solidFill>
              </w14:textFill>
            </w:rPr>
            <w:t>。</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5084  农田灌溉水质标准</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15618  土壤环境质量标准</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28405  农用地定级规程</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28407  农用地质量分等规程</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30600  高标准农田建设通则</w:t>
          </w:r>
        </w:p>
        <w:p>
          <w:pPr>
            <w:pStyle w:val="8"/>
          </w:pPr>
          <w:r>
            <w:rPr>
              <w:rFonts w:hint="eastAsia" w:ascii="宋体" w:hAnsi="宋体"/>
              <w:color w:val="000000" w:themeColor="text1"/>
              <w:szCs w:val="21"/>
              <w14:textFill>
                <w14:solidFill>
                  <w14:schemeClr w14:val="tx1"/>
                </w14:solidFill>
              </w14:textFill>
            </w:rPr>
            <w:t>GB/T 33130</w:t>
          </w:r>
          <w:r>
            <w:rPr>
              <w:rFonts w:hint="eastAsia"/>
            </w:rPr>
            <w:t xml:space="preserve">  高标准农田建设评价规范</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50026  工程测量规范</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50288  灌溉与排水工程设计规范</w:t>
          </w:r>
        </w:p>
        <w:p>
          <w:pPr>
            <w:pStyle w:val="8"/>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50363  节水灌溉工程技术规范</w:t>
          </w:r>
        </w:p>
        <w:p>
          <w:pPr>
            <w:pStyle w:val="8"/>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50817  农田防护林工程设计规范</w:t>
          </w:r>
        </w:p>
        <w:p>
          <w:pPr>
            <w:pStyle w:val="8"/>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NY/T 1119  耕地质量监测技术规程</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NY/T 1634</w:t>
          </w:r>
          <w:r>
            <w:rPr>
              <w:rFonts w:hint="eastAsia" w:ascii="宋体" w:hAnsi="宋体"/>
              <w:color w:val="000000" w:themeColor="text1"/>
              <w:szCs w:val="21"/>
              <w14:textFill>
                <w14:solidFill>
                  <w14:schemeClr w14:val="tx1"/>
                </w14:solidFill>
              </w14:textFill>
            </w:rPr>
            <w:t xml:space="preserve">  耕地地力调查与质量评价技术规程</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NY/T 2148</w:t>
          </w:r>
          <w:r>
            <w:rPr>
              <w:rFonts w:hint="eastAsia" w:ascii="宋体" w:hAnsi="宋体"/>
              <w:color w:val="000000" w:themeColor="text1"/>
              <w:szCs w:val="21"/>
              <w14:textFill>
                <w14:solidFill>
                  <w14:schemeClr w14:val="tx1"/>
                </w14:solidFill>
              </w14:textFill>
            </w:rPr>
            <w:t xml:space="preserve">  高标准农田建设标准</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TD/T 1032</w:t>
          </w:r>
          <w:r>
            <w:rPr>
              <w:rFonts w:hint="eastAsia" w:ascii="宋体" w:hAnsi="宋体"/>
              <w:color w:val="000000" w:themeColor="text1"/>
              <w:szCs w:val="21"/>
              <w14:textFill>
                <w14:solidFill>
                  <w14:schemeClr w14:val="tx1"/>
                </w14:solidFill>
              </w14:textFill>
            </w:rPr>
            <w:t xml:space="preserve">  </w:t>
          </w:r>
          <w:r>
            <w:t>基本农田划定技术规程</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TD/T 1033</w:t>
          </w:r>
          <w:r>
            <w:rPr>
              <w:rFonts w:hint="eastAsia" w:ascii="宋体" w:hAnsi="宋体"/>
              <w:color w:val="000000" w:themeColor="text1"/>
              <w:szCs w:val="21"/>
              <w14:textFill>
                <w14:solidFill>
                  <w14:schemeClr w14:val="tx1"/>
                </w14:solidFill>
              </w14:textFill>
            </w:rPr>
            <w:t xml:space="preserve">  </w:t>
          </w:r>
          <w:r>
            <w:t>高标准基本农田建设标准</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TD/T 1034</w:t>
          </w:r>
          <w:r>
            <w:rPr>
              <w:rFonts w:hint="eastAsia" w:ascii="宋体" w:hAnsi="宋体"/>
              <w:color w:val="000000" w:themeColor="text1"/>
              <w:szCs w:val="21"/>
              <w14:textFill>
                <w14:solidFill>
                  <w14:schemeClr w14:val="tx1"/>
                </w14:solidFill>
              </w14:textFill>
            </w:rPr>
            <w:t xml:space="preserve">  </w:t>
          </w:r>
          <w:r>
            <w:t>市（地）级土地整治规划编制规程</w:t>
          </w:r>
        </w:p>
        <w:p>
          <w:pPr>
            <w:pStyle w:val="8"/>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TD/T 1035</w:t>
          </w:r>
          <w:r>
            <w:rPr>
              <w:rFonts w:hint="eastAsia" w:ascii="宋体" w:hAnsi="宋体"/>
              <w:color w:val="000000" w:themeColor="text1"/>
              <w:szCs w:val="21"/>
              <w14:textFill>
                <w14:solidFill>
                  <w14:schemeClr w14:val="tx1"/>
                </w14:solidFill>
              </w14:textFill>
            </w:rPr>
            <w:t xml:space="preserve">  </w:t>
          </w:r>
          <w:r>
            <w:t>县级土地整治规划编制规程</w:t>
          </w:r>
        </w:p>
        <w:p>
          <w:pPr>
            <w:pStyle w:val="8"/>
          </w:pPr>
          <w:r>
            <w:rPr>
              <w:rFonts w:ascii="宋体" w:hAnsi="宋体"/>
              <w:color w:val="000000" w:themeColor="text1"/>
              <w:szCs w:val="21"/>
              <w14:textFill>
                <w14:solidFill>
                  <w14:schemeClr w14:val="tx1"/>
                </w14:solidFill>
              </w14:textFill>
            </w:rPr>
            <w:t>TD/T 1041</w:t>
          </w:r>
          <w:r>
            <w:rPr>
              <w:rFonts w:hint="eastAsia" w:ascii="宋体" w:hAnsi="宋体"/>
              <w:color w:val="000000" w:themeColor="text1"/>
              <w:szCs w:val="21"/>
              <w14:textFill>
                <w14:solidFill>
                  <w14:schemeClr w14:val="tx1"/>
                </w14:solidFill>
              </w14:textFill>
            </w:rPr>
            <w:t xml:space="preserve">  </w:t>
          </w:r>
          <w:r>
            <w:t>土地整治工程质量检验与评定规程</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16" w:name="_Toc17635"/>
          <w:bookmarkStart w:id="17" w:name="_Toc13263"/>
          <w:r>
            <w:rPr>
              <w:rFonts w:hint="eastAsia" w:hAnsi="黑体"/>
              <w:color w:val="000000" w:themeColor="text1"/>
              <w:szCs w:val="21"/>
              <w14:textFill>
                <w14:solidFill>
                  <w14:schemeClr w14:val="tx1"/>
                </w14:solidFill>
              </w14:textFill>
            </w:rPr>
            <w:t>3</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术语</w:t>
          </w:r>
          <w:r>
            <w:rPr>
              <w:rFonts w:hAnsi="黑体"/>
              <w:color w:val="000000" w:themeColor="text1"/>
              <w:szCs w:val="21"/>
              <w14:textFill>
                <w14:solidFill>
                  <w14:schemeClr w14:val="tx1"/>
                </w14:solidFill>
              </w14:textFill>
            </w:rPr>
            <w:t>和定义</w:t>
          </w:r>
          <w:bookmarkEnd w:id="8"/>
          <w:bookmarkEnd w:id="9"/>
          <w:bookmarkEnd w:id="16"/>
          <w:bookmarkEnd w:id="17"/>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33130中界定的术语和定义适用于本文件</w:t>
          </w:r>
          <w:r>
            <w:rPr>
              <w:rFonts w:ascii="宋体" w:hAnsi="宋体"/>
              <w:color w:val="000000" w:themeColor="text1"/>
              <w:szCs w:val="21"/>
              <w14:textFill>
                <w14:solidFill>
                  <w14:schemeClr w14:val="tx1"/>
                </w14:solidFill>
              </w14:textFill>
            </w:rPr>
            <w:t>。</w:t>
          </w:r>
          <w:bookmarkStart w:id="18" w:name="_Toc60306682"/>
          <w:bookmarkEnd w:id="18"/>
          <w:bookmarkStart w:id="19" w:name="_Toc499112643"/>
          <w:bookmarkEnd w:id="19"/>
          <w:bookmarkStart w:id="20" w:name="_Toc59800316"/>
          <w:bookmarkEnd w:id="20"/>
          <w:bookmarkStart w:id="21" w:name="_Toc6499874"/>
          <w:bookmarkEnd w:id="21"/>
          <w:bookmarkStart w:id="22" w:name="_Toc59201090"/>
          <w:bookmarkEnd w:id="22"/>
          <w:bookmarkStart w:id="23" w:name="_Toc59782182"/>
          <w:bookmarkEnd w:id="23"/>
          <w:bookmarkStart w:id="24" w:name="_Toc59373495"/>
          <w:bookmarkEnd w:id="24"/>
          <w:bookmarkStart w:id="25" w:name="_Toc497305348"/>
          <w:bookmarkEnd w:id="25"/>
          <w:bookmarkStart w:id="26" w:name="_Toc59373589"/>
          <w:bookmarkEnd w:id="26"/>
          <w:bookmarkStart w:id="27" w:name="_Toc499560405"/>
          <w:bookmarkEnd w:id="27"/>
          <w:bookmarkStart w:id="28" w:name="_Toc497384499"/>
          <w:bookmarkEnd w:id="28"/>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29" w:name="_Toc3982"/>
          <w:bookmarkStart w:id="30" w:name="_Toc27698"/>
          <w:r>
            <w:rPr>
              <w:rFonts w:hint="eastAsia" w:hAnsi="黑体"/>
              <w:color w:val="000000" w:themeColor="text1"/>
              <w:szCs w:val="21"/>
              <w14:textFill>
                <w14:solidFill>
                  <w14:schemeClr w14:val="tx1"/>
                </w14:solidFill>
              </w14:textFill>
            </w:rPr>
            <w:t>4</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总则</w:t>
          </w:r>
          <w:bookmarkEnd w:id="29"/>
          <w:bookmarkEnd w:id="30"/>
        </w:p>
        <w:p>
          <w:pPr>
            <w:pStyle w:val="50"/>
            <w:spacing w:before="120" w:after="120"/>
            <w:rPr>
              <w:rFonts w:hAnsi="黑体"/>
              <w:color w:val="000000" w:themeColor="text1"/>
              <w14:textFill>
                <w14:solidFill>
                  <w14:schemeClr w14:val="tx1"/>
                </w14:solidFill>
              </w14:textFill>
            </w:rPr>
          </w:pPr>
          <w:bookmarkStart w:id="31" w:name="_Toc30345"/>
          <w:bookmarkStart w:id="32" w:name="_Toc29207"/>
          <w:r>
            <w:rPr>
              <w:rFonts w:hint="eastAsia" w:hAnsi="黑体"/>
              <w:color w:val="000000" w:themeColor="text1"/>
              <w14:textFill>
                <w14:solidFill>
                  <w14:schemeClr w14:val="tx1"/>
                </w14:solidFill>
              </w14:textFill>
            </w:rPr>
            <w:t>4.1</w:t>
          </w:r>
          <w:r>
            <w:rPr>
              <w:rFonts w:hAnsi="黑体"/>
              <w:color w:val="000000" w:themeColor="text1"/>
              <w14:textFill>
                <w14:solidFill>
                  <w14:schemeClr w14:val="tx1"/>
                </w14:solidFill>
              </w14:textFill>
            </w:rPr>
            <w:t xml:space="preserve">  </w:t>
          </w:r>
          <w:r>
            <w:rPr>
              <w:rFonts w:hint="eastAsia" w:hAnsi="黑体"/>
              <w:color w:val="000000" w:themeColor="text1"/>
              <w14:textFill>
                <w14:solidFill>
                  <w14:schemeClr w14:val="tx1"/>
                </w14:solidFill>
              </w14:textFill>
            </w:rPr>
            <w:t>目标</w:t>
          </w:r>
          <w:bookmarkEnd w:id="31"/>
          <w:bookmarkEnd w:id="32"/>
        </w:p>
        <w:p>
          <w:pPr>
            <w:pStyle w:val="47"/>
            <w:rPr>
              <w:rFonts w:ascii="Times New Roman"/>
              <w:kern w:val="2"/>
              <w:szCs w:val="24"/>
            </w:rPr>
          </w:pPr>
          <w:r>
            <w:rPr>
              <w:rFonts w:hint="eastAsia" w:ascii="Times New Roman"/>
              <w:kern w:val="2"/>
              <w:szCs w:val="24"/>
            </w:rPr>
            <w:t>依据</w:t>
          </w:r>
          <w:r>
            <w:rPr>
              <w:rFonts w:hint="eastAsia" w:hAnsi="宋体" w:cs="宋体"/>
              <w:kern w:val="2"/>
              <w:szCs w:val="24"/>
            </w:rPr>
            <w:t>GB/T 30600对</w:t>
          </w:r>
          <w:r>
            <w:rPr>
              <w:rFonts w:hint="eastAsia" w:ascii="Times New Roman"/>
              <w:kern w:val="2"/>
              <w:szCs w:val="24"/>
            </w:rPr>
            <w:t>高标准农田建设的要求，统一高标准农田建设评价内容、程序、方法和要求，评价高标准农田建设总体情况，规范高标准农田建设活动。</w:t>
          </w:r>
        </w:p>
        <w:p>
          <w:pPr>
            <w:pStyle w:val="50"/>
            <w:spacing w:before="120" w:after="120"/>
            <w:rPr>
              <w:rFonts w:hAnsi="黑体"/>
              <w:color w:val="000000" w:themeColor="text1"/>
              <w14:textFill>
                <w14:solidFill>
                  <w14:schemeClr w14:val="tx1"/>
                </w14:solidFill>
              </w14:textFill>
            </w:rPr>
          </w:pPr>
          <w:bookmarkStart w:id="33" w:name="_Toc5009"/>
          <w:bookmarkStart w:id="34" w:name="_Toc876"/>
          <w:r>
            <w:rPr>
              <w:rFonts w:hint="eastAsia" w:hAnsi="黑体"/>
              <w:color w:val="000000" w:themeColor="text1"/>
              <w14:textFill>
                <w14:solidFill>
                  <w14:schemeClr w14:val="tx1"/>
                </w14:solidFill>
              </w14:textFill>
            </w:rPr>
            <w:t>4.</w:t>
          </w:r>
          <w:r>
            <w:rPr>
              <w:rFonts w:hAnsi="黑体"/>
              <w:color w:val="000000" w:themeColor="text1"/>
              <w14:textFill>
                <w14:solidFill>
                  <w14:schemeClr w14:val="tx1"/>
                </w14:solidFill>
              </w14:textFill>
            </w:rPr>
            <w:t xml:space="preserve">2  </w:t>
          </w:r>
          <w:r>
            <w:rPr>
              <w:rFonts w:hint="eastAsia" w:hAnsi="黑体"/>
              <w:color w:val="000000" w:themeColor="text1"/>
              <w:lang w:eastAsia="zh-CN"/>
              <w14:textFill>
                <w14:solidFill>
                  <w14:schemeClr w14:val="tx1"/>
                </w14:solidFill>
              </w14:textFill>
            </w:rPr>
            <w:t>组织</w:t>
          </w:r>
          <w:r>
            <w:rPr>
              <w:rFonts w:hint="eastAsia" w:hAnsi="黑体"/>
              <w:color w:val="000000" w:themeColor="text1"/>
              <w14:textFill>
                <w14:solidFill>
                  <w14:schemeClr w14:val="tx1"/>
                </w14:solidFill>
              </w14:textFill>
            </w:rPr>
            <w:t>和时点</w:t>
          </w:r>
          <w:bookmarkEnd w:id="33"/>
          <w:bookmarkEnd w:id="34"/>
        </w:p>
        <w:p>
          <w:pPr>
            <w:pStyle w:val="47"/>
            <w:ind w:firstLine="0" w:firstLineChars="0"/>
            <w:rPr>
              <w:rFonts w:ascii="Times New Roman"/>
              <w:kern w:val="2"/>
              <w:szCs w:val="24"/>
            </w:rPr>
          </w:pPr>
          <w:r>
            <w:rPr>
              <w:rFonts w:hint="eastAsia" w:ascii="黑体" w:hAnsi="黑体" w:eastAsia="黑体"/>
              <w:kern w:val="2"/>
              <w:szCs w:val="21"/>
            </w:rPr>
            <w:t xml:space="preserve">4.2.1  </w:t>
          </w:r>
          <w:r>
            <w:rPr>
              <w:rFonts w:hint="eastAsia" w:ascii="Times New Roman"/>
              <w:kern w:val="2"/>
              <w:szCs w:val="24"/>
            </w:rPr>
            <w:t>各级</w:t>
          </w:r>
          <w:r>
            <w:rPr>
              <w:rFonts w:hint="eastAsia" w:ascii="Times New Roman"/>
              <w:kern w:val="2"/>
              <w:szCs w:val="24"/>
              <w:lang w:eastAsia="zh-CN"/>
            </w:rPr>
            <w:t>农业主管部门</w:t>
          </w:r>
          <w:r>
            <w:rPr>
              <w:rFonts w:hint="eastAsia" w:ascii="Times New Roman"/>
              <w:kern w:val="2"/>
              <w:szCs w:val="24"/>
            </w:rPr>
            <w:t>组织本行政区内的高标准农田建设评价工作。上级</w:t>
          </w:r>
          <w:r>
            <w:rPr>
              <w:rFonts w:hint="eastAsia" w:ascii="Times New Roman"/>
              <w:kern w:val="2"/>
              <w:szCs w:val="24"/>
              <w:lang w:eastAsia="zh-CN"/>
            </w:rPr>
            <w:t>部门</w:t>
          </w:r>
          <w:r>
            <w:rPr>
              <w:rFonts w:hint="eastAsia" w:ascii="Times New Roman"/>
              <w:kern w:val="2"/>
              <w:szCs w:val="24"/>
            </w:rPr>
            <w:t>对下级</w:t>
          </w:r>
          <w:r>
            <w:rPr>
              <w:rFonts w:hint="eastAsia" w:ascii="Times New Roman"/>
              <w:kern w:val="2"/>
              <w:szCs w:val="24"/>
              <w:lang w:eastAsia="zh-CN"/>
            </w:rPr>
            <w:t>部门</w:t>
          </w:r>
          <w:r>
            <w:rPr>
              <w:rFonts w:hint="eastAsia" w:ascii="Times New Roman"/>
              <w:kern w:val="2"/>
              <w:szCs w:val="24"/>
            </w:rPr>
            <w:t>高标准农田建设评价成果进行总体评价和抽样复核。</w:t>
          </w:r>
        </w:p>
        <w:p>
          <w:pPr>
            <w:pStyle w:val="47"/>
            <w:ind w:firstLine="0" w:firstLineChars="0"/>
          </w:pPr>
          <w:r>
            <w:rPr>
              <w:rFonts w:hint="eastAsia" w:ascii="黑体" w:hAnsi="黑体" w:eastAsia="黑体"/>
              <w:kern w:val="2"/>
              <w:szCs w:val="21"/>
            </w:rPr>
            <w:t xml:space="preserve">4.2.2  </w:t>
          </w:r>
          <w:r>
            <w:rPr>
              <w:rFonts w:hint="eastAsia"/>
            </w:rPr>
            <w:t>高标准农田建设评价时点一般为每年年末和规划期末。</w:t>
          </w:r>
        </w:p>
        <w:p>
          <w:pPr>
            <w:pStyle w:val="50"/>
            <w:spacing w:before="120" w:after="120"/>
            <w:rPr>
              <w:rFonts w:hAnsi="黑体"/>
              <w:color w:val="000000" w:themeColor="text1"/>
              <w14:textFill>
                <w14:solidFill>
                  <w14:schemeClr w14:val="tx1"/>
                </w14:solidFill>
              </w14:textFill>
            </w:rPr>
          </w:pPr>
          <w:bookmarkStart w:id="35" w:name="_Toc4543"/>
          <w:bookmarkStart w:id="36" w:name="_Toc5582"/>
          <w:r>
            <w:rPr>
              <w:rFonts w:hint="eastAsia" w:hAnsi="黑体"/>
              <w:color w:val="000000" w:themeColor="text1"/>
              <w14:textFill>
                <w14:solidFill>
                  <w14:schemeClr w14:val="tx1"/>
                </w14:solidFill>
              </w14:textFill>
            </w:rPr>
            <w:t>4.</w:t>
          </w:r>
          <w:r>
            <w:rPr>
              <w:rFonts w:hAnsi="黑体"/>
              <w:color w:val="000000" w:themeColor="text1"/>
              <w14:textFill>
                <w14:solidFill>
                  <w14:schemeClr w14:val="tx1"/>
                </w14:solidFill>
              </w14:textFill>
            </w:rPr>
            <w:t xml:space="preserve">3  </w:t>
          </w:r>
          <w:r>
            <w:rPr>
              <w:rFonts w:hint="eastAsia" w:hAnsi="黑体"/>
              <w:color w:val="000000" w:themeColor="text1"/>
              <w14:textFill>
                <w14:solidFill>
                  <w14:schemeClr w14:val="tx1"/>
                </w14:solidFill>
              </w14:textFill>
            </w:rPr>
            <w:t>对象和内容</w:t>
          </w:r>
          <w:bookmarkEnd w:id="35"/>
          <w:bookmarkEnd w:id="36"/>
        </w:p>
        <w:p>
          <w:pPr>
            <w:pStyle w:val="181"/>
            <w:spacing w:line="328" w:lineRule="exact"/>
            <w:ind w:firstLine="0"/>
          </w:pPr>
          <w:r>
            <w:rPr>
              <w:rFonts w:hint="eastAsia" w:ascii="黑体" w:hAnsi="黑体" w:eastAsia="黑体" w:cs="Times New Roman"/>
              <w:color w:val="auto"/>
              <w:sz w:val="21"/>
              <w:szCs w:val="21"/>
              <w:lang w:val="en-US" w:eastAsia="en-US" w:bidi="ar-SA"/>
            </w:rPr>
            <w:t>4.3.1</w:t>
          </w:r>
          <w:r>
            <w:rPr>
              <w:rFonts w:hint="eastAsia" w:ascii="黑体" w:hAnsi="黑体" w:eastAsia="黑体" w:cs="Times New Roman"/>
              <w:color w:val="auto"/>
              <w:sz w:val="21"/>
              <w:szCs w:val="21"/>
              <w:lang w:val="en-US" w:eastAsia="zh-CN" w:bidi="ar-SA"/>
            </w:rPr>
            <w:t xml:space="preserve"> </w:t>
          </w:r>
          <w:r>
            <w:rPr>
              <w:rFonts w:hint="eastAsia" w:hAnsi="黑体" w:cs="Times New Roman"/>
              <w:color w:val="000000" w:themeColor="text1"/>
              <w:sz w:val="21"/>
              <w:lang w:val="en-US" w:eastAsia="zh-CN" w:bidi="ar-SA"/>
              <w14:textFill>
                <w14:solidFill>
                  <w14:schemeClr w14:val="tx1"/>
                </w14:solidFill>
              </w14:textFill>
            </w:rPr>
            <w:t xml:space="preserve"> </w:t>
          </w:r>
          <w:r>
            <w:rPr>
              <w:rFonts w:hint="eastAsia" w:hAnsi="Times New Roman" w:cs="Times New Roman"/>
              <w:color w:val="auto"/>
              <w:sz w:val="21"/>
              <w:lang w:val="en-US" w:eastAsia="zh-CN" w:bidi="ar-SA"/>
            </w:rPr>
            <w:t>评价对象应为各级行政区内高标准农田建设总体情况。</w:t>
          </w:r>
        </w:p>
        <w:p>
          <w:pPr>
            <w:pStyle w:val="181"/>
            <w:spacing w:after="140" w:line="335" w:lineRule="exact"/>
            <w:ind w:firstLine="0"/>
            <w:rPr>
              <w:rFonts w:hAnsi="Times New Roman" w:cs="Times New Roman"/>
              <w:color w:val="auto"/>
              <w:sz w:val="21"/>
              <w:lang w:val="en-US" w:eastAsia="zh-CN" w:bidi="ar-SA"/>
            </w:rPr>
          </w:pPr>
          <w:r>
            <w:rPr>
              <w:rFonts w:hint="eastAsia" w:ascii="黑体" w:hAnsi="黑体" w:eastAsia="黑体" w:cs="Times New Roman"/>
              <w:color w:val="auto"/>
              <w:sz w:val="21"/>
              <w:szCs w:val="21"/>
              <w:lang w:val="en-US" w:eastAsia="en-US" w:bidi="ar-SA"/>
            </w:rPr>
            <w:t>4.3.2</w:t>
          </w:r>
          <w:r>
            <w:rPr>
              <w:rFonts w:hint="eastAsia" w:ascii="黑体" w:hAnsi="黑体" w:eastAsia="黑体" w:cs="Times New Roman"/>
              <w:color w:val="auto"/>
              <w:sz w:val="21"/>
              <w:szCs w:val="21"/>
              <w:lang w:val="en-US" w:eastAsia="zh-CN" w:bidi="ar-SA"/>
            </w:rPr>
            <w:t xml:space="preserve">  </w:t>
          </w:r>
          <w:r>
            <w:rPr>
              <w:rFonts w:hint="eastAsia" w:hAnsi="Times New Roman" w:cs="Times New Roman"/>
              <w:color w:val="auto"/>
              <w:sz w:val="21"/>
              <w:lang w:val="en-US" w:eastAsia="zh-CN" w:bidi="ar-SA"/>
            </w:rPr>
            <w:t>评价内容包括建设任务、建设质量、建设成效、建设管理和社会影响等。其中，建设质量包括工程质量和耕地质量。</w:t>
          </w:r>
        </w:p>
        <w:p>
          <w:pPr>
            <w:pStyle w:val="50"/>
            <w:spacing w:before="120" w:after="120"/>
            <w:rPr>
              <w:rFonts w:hAnsi="黑体"/>
              <w:color w:val="000000" w:themeColor="text1"/>
              <w14:textFill>
                <w14:solidFill>
                  <w14:schemeClr w14:val="tx1"/>
                </w14:solidFill>
              </w14:textFill>
            </w:rPr>
          </w:pPr>
          <w:bookmarkStart w:id="37" w:name="_Toc15670"/>
          <w:bookmarkStart w:id="38" w:name="_Toc30165"/>
          <w:r>
            <w:rPr>
              <w:rFonts w:hint="eastAsia" w:hAnsi="黑体"/>
              <w:color w:val="000000" w:themeColor="text1"/>
              <w14:textFill>
                <w14:solidFill>
                  <w14:schemeClr w14:val="tx1"/>
                </w14:solidFill>
              </w14:textFill>
            </w:rPr>
            <w:t>4.</w:t>
          </w:r>
          <w:r>
            <w:rPr>
              <w:rFonts w:hAnsi="黑体"/>
              <w:color w:val="000000" w:themeColor="text1"/>
              <w14:textFill>
                <w14:solidFill>
                  <w14:schemeClr w14:val="tx1"/>
                </w14:solidFill>
              </w14:textFill>
            </w:rPr>
            <w:t xml:space="preserve">4  </w:t>
          </w:r>
          <w:r>
            <w:rPr>
              <w:rFonts w:hint="eastAsia" w:hAnsi="黑体"/>
              <w:color w:val="000000" w:themeColor="text1"/>
              <w14:textFill>
                <w14:solidFill>
                  <w14:schemeClr w14:val="tx1"/>
                </w14:solidFill>
              </w14:textFill>
            </w:rPr>
            <w:t>评价原则</w:t>
          </w:r>
          <w:bookmarkEnd w:id="37"/>
          <w:bookmarkEnd w:id="38"/>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4.1  </w:t>
          </w:r>
          <w:r>
            <w:rPr>
              <w:rFonts w:hint="eastAsia"/>
            </w:rPr>
            <w:t>高标准农田建设评价应遵循客观公正、系统科学、可扩展、可操作、实用等原则。</w:t>
          </w:r>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4.2  </w:t>
          </w:r>
          <w:r>
            <w:rPr>
              <w:rFonts w:hint="eastAsia"/>
            </w:rPr>
            <w:t>客观公正的原则。评价工作要客观，评价过程、方法和结果要做到公正，评价的内容、指标和程序要向社会公开。</w:t>
          </w:r>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4.3 </w:t>
          </w:r>
          <w:r>
            <w:rPr>
              <w:rFonts w:hAnsi="黑体"/>
              <w:color w:val="000000" w:themeColor="text1"/>
              <w14:textFill>
                <w14:solidFill>
                  <w14:schemeClr w14:val="tx1"/>
                </w14:solidFill>
              </w14:textFill>
            </w:rPr>
            <w:t xml:space="preserve"> </w:t>
          </w:r>
          <w:r>
            <w:rPr>
              <w:rFonts w:hint="eastAsia"/>
            </w:rPr>
            <w:t>系统科学的原则。评价工作既包括建设管理情况等过程评价，也包括工程质量、耕地质量和建设成效、社会影响等结果评价，应统筹考虑各项评价内容，科学选择评价指标。</w:t>
          </w:r>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4.4  </w:t>
          </w:r>
          <w:r>
            <w:rPr>
              <w:rFonts w:hint="eastAsia"/>
            </w:rPr>
            <w:t>可扩展的原则。评价工作既要服务于当前高标准农田建设管理工作的需要，也要适应国民经济与社会发展、生态文明建设的长期要求，评价指标应符合开放性特点。</w:t>
          </w:r>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4.5  </w:t>
          </w:r>
          <w:r>
            <w:rPr>
              <w:rFonts w:hint="eastAsia"/>
            </w:rPr>
            <w:t>可操作的原则。评价指标应以简明、可量化、可验证为基准，既突出时效性，也可量测、检测、计算。评价结果应具有可比性。</w:t>
          </w:r>
        </w:p>
        <w:p>
          <w:pPr>
            <w:pStyle w:val="47"/>
            <w:ind w:firstLine="0" w:firstLineChars="0"/>
          </w:pPr>
          <w:r>
            <w:rPr>
              <w:rFonts w:hint="eastAsia" w:ascii="黑体" w:hAnsi="黑体" w:eastAsia="黑体"/>
              <w:kern w:val="2"/>
              <w:szCs w:val="21"/>
            </w:rPr>
            <w:t>4.</w:t>
          </w:r>
          <w:r>
            <w:rPr>
              <w:rFonts w:ascii="黑体" w:hAnsi="黑体" w:eastAsia="黑体"/>
              <w:kern w:val="2"/>
              <w:szCs w:val="21"/>
            </w:rPr>
            <w:t xml:space="preserve">4.6  </w:t>
          </w:r>
          <w:r>
            <w:rPr>
              <w:rFonts w:hint="eastAsia"/>
            </w:rPr>
            <w:t>实用的原则。评价指标和方法应适应区域特点，评价结果应能够为决策者提供依据。</w:t>
          </w:r>
        </w:p>
        <w:p>
          <w:pPr>
            <w:pStyle w:val="50"/>
            <w:spacing w:before="120" w:after="120"/>
            <w:rPr>
              <w:rFonts w:hAnsi="黑体"/>
              <w:color w:val="000000" w:themeColor="text1"/>
              <w14:textFill>
                <w14:solidFill>
                  <w14:schemeClr w14:val="tx1"/>
                </w14:solidFill>
              </w14:textFill>
            </w:rPr>
          </w:pPr>
          <w:bookmarkStart w:id="39" w:name="_Toc22084"/>
          <w:bookmarkStart w:id="40" w:name="_Toc21087"/>
          <w:r>
            <w:rPr>
              <w:rFonts w:hint="eastAsia" w:hAnsi="黑体"/>
              <w:color w:val="000000" w:themeColor="text1"/>
              <w14:textFill>
                <w14:solidFill>
                  <w14:schemeClr w14:val="tx1"/>
                </w14:solidFill>
              </w14:textFill>
            </w:rPr>
            <w:t>4.</w:t>
          </w:r>
          <w:r>
            <w:rPr>
              <w:rFonts w:hAnsi="黑体"/>
              <w:color w:val="000000" w:themeColor="text1"/>
              <w14:textFill>
                <w14:solidFill>
                  <w14:schemeClr w14:val="tx1"/>
                </w14:solidFill>
              </w14:textFill>
            </w:rPr>
            <w:t xml:space="preserve">5  </w:t>
          </w:r>
          <w:r>
            <w:rPr>
              <w:rFonts w:hint="eastAsia" w:hAnsi="黑体"/>
              <w:color w:val="000000" w:themeColor="text1"/>
              <w14:textFill>
                <w14:solidFill>
                  <w14:schemeClr w14:val="tx1"/>
                </w14:solidFill>
              </w14:textFill>
            </w:rPr>
            <w:t>评价方法</w:t>
          </w:r>
          <w:bookmarkEnd w:id="39"/>
          <w:bookmarkEnd w:id="40"/>
        </w:p>
        <w:p>
          <w:pPr>
            <w:autoSpaceDE w:val="0"/>
            <w:autoSpaceDN w:val="0"/>
            <w:adjustRightInd w:val="0"/>
            <w:ind w:firstLine="420" w:firstLineChars="200"/>
            <w:jc w:val="left"/>
            <w:rPr>
              <w:rFonts w:ascii="宋体" w:hAnsi="ºÚÌå" w:cs="宋体"/>
              <w:kern w:val="0"/>
              <w:szCs w:val="21"/>
            </w:rPr>
          </w:pPr>
          <w:r>
            <w:rPr>
              <w:rFonts w:hint="eastAsia" w:ascii="宋体" w:hAnsi="ºÚÌå" w:cs="宋体"/>
              <w:kern w:val="0"/>
              <w:szCs w:val="21"/>
            </w:rPr>
            <w:t>根据评价内容的不同，在评价时应</w:t>
          </w:r>
          <w:r>
            <w:rPr>
              <w:rFonts w:hint="eastAsia" w:ascii="宋体" w:hAnsi="ºÚÌå" w:cs="宋体"/>
              <w:kern w:val="0"/>
              <w:szCs w:val="21"/>
              <w:lang w:eastAsia="zh-CN"/>
            </w:rPr>
            <w:t>综合</w:t>
          </w:r>
          <w:r>
            <w:rPr>
              <w:rFonts w:hint="eastAsia" w:ascii="宋体" w:hAnsi="ºÚÌå" w:cs="宋体"/>
              <w:kern w:val="0"/>
              <w:szCs w:val="21"/>
            </w:rPr>
            <w:t>选择不同的评价方法，如：</w:t>
          </w:r>
          <w:r>
            <w:rPr>
              <w:rFonts w:hint="eastAsia"/>
            </w:rPr>
            <w:t>资料查阅</w:t>
          </w:r>
          <w:r>
            <w:rPr>
              <w:rFonts w:hint="eastAsia" w:ascii="宋体" w:hAnsi="ºÚÌå" w:cs="宋体"/>
              <w:kern w:val="0"/>
              <w:szCs w:val="21"/>
            </w:rPr>
            <w:t>法</w:t>
          </w:r>
          <w:r>
            <w:rPr>
              <w:rFonts w:hint="eastAsia"/>
              <w:lang w:eastAsia="zh-CN"/>
            </w:rPr>
            <w:t>、</w:t>
          </w:r>
          <w:r>
            <w:rPr>
              <w:rFonts w:hint="eastAsia" w:ascii="宋体" w:hAnsi="ºÚÌå" w:cs="宋体"/>
              <w:kern w:val="0"/>
              <w:szCs w:val="21"/>
            </w:rPr>
            <w:t>现场检验法</w:t>
          </w:r>
          <w:r>
            <w:rPr>
              <w:rFonts w:hint="eastAsia" w:ascii="宋体" w:hAnsi="ºÚÌå" w:cs="宋体"/>
              <w:kern w:val="0"/>
              <w:szCs w:val="21"/>
              <w:lang w:eastAsia="zh-CN"/>
            </w:rPr>
            <w:t>、</w:t>
          </w:r>
          <w:r>
            <w:rPr>
              <w:rFonts w:hint="eastAsia" w:ascii="宋体" w:hAnsi="ºÚÌå" w:cs="宋体"/>
              <w:kern w:val="0"/>
              <w:szCs w:val="21"/>
            </w:rPr>
            <w:t>抽样调查法</w:t>
          </w:r>
          <w:r>
            <w:rPr>
              <w:rFonts w:hint="eastAsia" w:ascii="宋体" w:hAnsi="ºÚÌå" w:cs="宋体"/>
              <w:kern w:val="0"/>
              <w:szCs w:val="21"/>
              <w:lang w:eastAsia="zh-CN"/>
            </w:rPr>
            <w:t>、</w:t>
          </w:r>
          <w:r>
            <w:rPr>
              <w:rFonts w:hint="eastAsia" w:ascii="宋体" w:hAnsi="ºÚÌå" w:cs="宋体"/>
              <w:kern w:val="0"/>
              <w:szCs w:val="21"/>
            </w:rPr>
            <w:t>专家评议法、问卷调查法</w:t>
          </w:r>
          <w:r>
            <w:rPr>
              <w:rFonts w:hint="eastAsia" w:ascii="宋体" w:hAnsi="ºÚÌå" w:cs="宋体"/>
              <w:kern w:val="0"/>
              <w:szCs w:val="21"/>
              <w:lang w:eastAsia="zh-CN"/>
            </w:rPr>
            <w:t>等</w:t>
          </w:r>
          <w:r>
            <w:rPr>
              <w:rFonts w:hint="eastAsia" w:ascii="宋体" w:hAnsi="ºÚÌå" w:cs="宋体"/>
              <w:kern w:val="0"/>
              <w:szCs w:val="21"/>
            </w:rPr>
            <w:t>。</w:t>
          </w:r>
        </w:p>
        <w:p>
          <w:pPr>
            <w:pStyle w:val="50"/>
            <w:spacing w:before="120" w:after="120"/>
            <w:rPr>
              <w:rFonts w:hAnsi="黑体"/>
              <w:color w:val="000000" w:themeColor="text1"/>
              <w14:textFill>
                <w14:solidFill>
                  <w14:schemeClr w14:val="tx1"/>
                </w14:solidFill>
              </w14:textFill>
            </w:rPr>
          </w:pPr>
          <w:bookmarkStart w:id="41" w:name="_Toc29774"/>
          <w:bookmarkStart w:id="42" w:name="_Toc7289"/>
          <w:r>
            <w:rPr>
              <w:rFonts w:hint="eastAsia" w:hAnsi="黑体"/>
              <w:color w:val="000000" w:themeColor="text1"/>
              <w14:textFill>
                <w14:solidFill>
                  <w14:schemeClr w14:val="tx1"/>
                </w14:solidFill>
              </w14:textFill>
            </w:rPr>
            <w:t>4</w:t>
          </w:r>
          <w:r>
            <w:rPr>
              <w:rFonts w:hAnsi="黑体"/>
              <w:color w:val="000000" w:themeColor="text1"/>
              <w14:textFill>
                <w14:solidFill>
                  <w14:schemeClr w14:val="tx1"/>
                </w14:solidFill>
              </w14:textFill>
            </w:rPr>
            <w:t xml:space="preserve">.6  </w:t>
          </w:r>
          <w:r>
            <w:rPr>
              <w:rFonts w:hint="eastAsia" w:hAnsi="黑体"/>
              <w:color w:val="000000" w:themeColor="text1"/>
              <w14:textFill>
                <w14:solidFill>
                  <w14:schemeClr w14:val="tx1"/>
                </w14:solidFill>
              </w14:textFill>
            </w:rPr>
            <w:t>评价指标</w:t>
          </w:r>
          <w:bookmarkEnd w:id="41"/>
          <w:bookmarkEnd w:id="42"/>
        </w:p>
        <w:p>
          <w:pPr>
            <w:pStyle w:val="181"/>
            <w:spacing w:line="331" w:lineRule="exact"/>
            <w:ind w:firstLine="0"/>
            <w:rPr>
              <w:rFonts w:hAnsi="ºÚÌå"/>
              <w:color w:val="auto"/>
              <w:kern w:val="0"/>
              <w:sz w:val="21"/>
              <w:szCs w:val="21"/>
              <w:lang w:val="en-US" w:eastAsia="zh-CN" w:bidi="ar-SA"/>
            </w:rPr>
          </w:pPr>
          <w:r>
            <w:rPr>
              <w:rFonts w:ascii="黑体" w:hAnsi="黑体" w:eastAsia="黑体" w:cs="Times New Roman"/>
              <w:color w:val="auto"/>
              <w:sz w:val="21"/>
              <w:szCs w:val="21"/>
              <w:lang w:val="en-US" w:eastAsia="en-US" w:bidi="ar-SA"/>
            </w:rPr>
            <w:t>4.4.1</w:t>
          </w:r>
          <w:r>
            <w:rPr>
              <w:rFonts w:hint="eastAsia" w:hAnsi="ºÚÌå"/>
              <w:color w:val="auto"/>
              <w:kern w:val="0"/>
              <w:sz w:val="21"/>
              <w:szCs w:val="21"/>
              <w:lang w:val="en-US" w:eastAsia="zh-CN" w:bidi="ar-SA"/>
            </w:rPr>
            <w:t>高标准农田建设评价指标分为三个层次：一级指标、二级指标和三级指标。根据不同的评价范围，分别建立评价指标体系。</w:t>
          </w:r>
        </w:p>
        <w:p>
          <w:pPr>
            <w:pStyle w:val="181"/>
            <w:spacing w:after="140" w:line="331" w:lineRule="exact"/>
            <w:ind w:firstLine="0"/>
            <w:rPr>
              <w:rFonts w:hAnsi="ºÚÌå"/>
              <w:color w:val="auto"/>
              <w:kern w:val="0"/>
              <w:sz w:val="21"/>
              <w:szCs w:val="21"/>
              <w:lang w:val="en-US" w:eastAsia="zh-CN" w:bidi="ar-SA"/>
            </w:rPr>
          </w:pPr>
          <w:r>
            <w:rPr>
              <w:rFonts w:ascii="黑体" w:hAnsi="黑体" w:eastAsia="黑体" w:cs="Times New Roman"/>
              <w:color w:val="auto"/>
              <w:sz w:val="21"/>
              <w:szCs w:val="21"/>
              <w:lang w:val="en-US" w:eastAsia="en-US" w:bidi="ar-SA"/>
            </w:rPr>
            <w:t>4.4.2</w:t>
          </w:r>
          <w:r>
            <w:rPr>
              <w:rFonts w:hint="eastAsia" w:hAnsi="ºÚÌå"/>
              <w:color w:val="auto"/>
              <w:kern w:val="0"/>
              <w:sz w:val="21"/>
              <w:szCs w:val="21"/>
              <w:lang w:val="en-US" w:eastAsia="zh-CN" w:bidi="ar-SA"/>
            </w:rPr>
            <w:t>根据区域差异性,将三级指标细分为必选指标和备选指标。各地可结合本地区特点，增加体现地方特色的备选指标。</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43" w:name="_Toc12811"/>
          <w:bookmarkStart w:id="44" w:name="_Toc6192"/>
          <w:bookmarkStart w:id="45" w:name="_Toc15324"/>
          <w:r>
            <w:rPr>
              <w:rFonts w:hint="eastAsia" w:hAnsi="黑体"/>
              <w:color w:val="000000" w:themeColor="text1"/>
              <w:szCs w:val="21"/>
              <w14:textFill>
                <w14:solidFill>
                  <w14:schemeClr w14:val="tx1"/>
                </w14:solidFill>
              </w14:textFill>
            </w:rPr>
            <w:t>5  评价工作程序</w:t>
          </w:r>
          <w:bookmarkEnd w:id="43"/>
          <w:bookmarkEnd w:id="44"/>
          <w:bookmarkEnd w:id="45"/>
        </w:p>
        <w:p>
          <w:pPr>
            <w:autoSpaceDE w:val="0"/>
            <w:autoSpaceDN w:val="0"/>
            <w:adjustRightInd w:val="0"/>
            <w:ind w:firstLine="420" w:firstLineChars="200"/>
            <w:jc w:val="left"/>
            <w:rPr>
              <w:rFonts w:ascii="宋体" w:cs="宋体"/>
              <w:kern w:val="0"/>
              <w:szCs w:val="21"/>
            </w:rPr>
          </w:pPr>
          <w:r>
            <w:rPr>
              <w:rFonts w:hint="eastAsia" w:ascii="宋体" w:cs="宋体"/>
              <w:kern w:val="0"/>
              <w:szCs w:val="21"/>
            </w:rPr>
            <w:t>评价工作程序包括：</w:t>
          </w:r>
          <w:r>
            <w:t>成立评价工作</w:t>
          </w:r>
          <w:r>
            <w:rPr>
              <w:rFonts w:hint="eastAsia"/>
            </w:rPr>
            <w:t>组织</w:t>
          </w:r>
          <w:r>
            <w:t>、明确评价范围与内容、选择评价指标与权重、现场调查与资料收集、数据釆集与检验</w:t>
          </w:r>
          <w:r>
            <w:rPr>
              <w:rFonts w:hint="eastAsia" w:ascii="宋体" w:cs="宋体"/>
              <w:kern w:val="0"/>
              <w:szCs w:val="21"/>
            </w:rPr>
            <w:t>、</w:t>
          </w:r>
          <w:r>
            <w:t>建设任务、建设质量、建设成效、建设管理</w:t>
          </w:r>
          <w:r>
            <w:rPr>
              <w:rFonts w:hint="eastAsia" w:ascii="宋体" w:cs="宋体"/>
              <w:kern w:val="0"/>
              <w:szCs w:val="21"/>
            </w:rPr>
            <w:t>、报告编写和成果应用等。高标准农田建设评价工作程序详见附录A</w:t>
          </w:r>
        </w:p>
        <w:p>
          <w:pPr>
            <w:pStyle w:val="50"/>
            <w:spacing w:before="120" w:after="120"/>
            <w:rPr>
              <w:rFonts w:hAnsi="黑体"/>
              <w:color w:val="000000" w:themeColor="text1"/>
              <w14:textFill>
                <w14:solidFill>
                  <w14:schemeClr w14:val="tx1"/>
                </w14:solidFill>
              </w14:textFill>
            </w:rPr>
          </w:pPr>
          <w:bookmarkStart w:id="46" w:name="_Toc4111"/>
          <w:bookmarkStart w:id="47" w:name="_Toc28172"/>
          <w:r>
            <w:rPr>
              <w:rFonts w:hint="eastAsia" w:hAnsi="黑体"/>
              <w:color w:val="000000" w:themeColor="text1"/>
              <w14:textFill>
                <w14:solidFill>
                  <w14:schemeClr w14:val="tx1"/>
                </w14:solidFill>
              </w14:textFill>
            </w:rPr>
            <w:t>5.</w:t>
          </w:r>
          <w:r>
            <w:rPr>
              <w:rFonts w:hint="eastAsia" w:hAnsi="黑体"/>
              <w:color w:val="000000" w:themeColor="text1"/>
              <w:lang w:val="en-US" w:eastAsia="zh-CN"/>
              <w14:textFill>
                <w14:solidFill>
                  <w14:schemeClr w14:val="tx1"/>
                </w14:solidFill>
              </w14:textFill>
            </w:rPr>
            <w:t>1</w:t>
          </w:r>
          <w:r>
            <w:rPr>
              <w:rFonts w:hint="eastAsia" w:hAnsi="黑体"/>
              <w:color w:val="000000" w:themeColor="text1"/>
              <w14:textFill>
                <w14:solidFill>
                  <w14:schemeClr w14:val="tx1"/>
                </w14:solidFill>
              </w14:textFill>
            </w:rPr>
            <w:t xml:space="preserve">  准备工作</w:t>
          </w:r>
          <w:bookmarkEnd w:id="46"/>
          <w:bookmarkEnd w:id="47"/>
        </w:p>
        <w:p>
          <w:pPr>
            <w:autoSpaceDE w:val="0"/>
            <w:autoSpaceDN w:val="0"/>
            <w:adjustRightInd w:val="0"/>
            <w:jc w:val="left"/>
            <w:rPr>
              <w:rFonts w:ascii="宋体" w:hAnsi="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1</w:t>
          </w:r>
          <w:r>
            <w:rPr>
              <w:rFonts w:hint="eastAsia" w:ascii="黑体" w:hAnsi="黑体" w:eastAsia="黑体"/>
              <w:color w:val="000000" w:themeColor="text1"/>
              <w:kern w:val="0"/>
              <w:szCs w:val="21"/>
              <w14:textFill>
                <w14:solidFill>
                  <w14:schemeClr w14:val="tx1"/>
                </w14:solidFill>
              </w14:textFill>
            </w:rPr>
            <w:t xml:space="preserve">.1 </w:t>
          </w:r>
          <w:r>
            <w:rPr>
              <w:rFonts w:hint="eastAsia" w:ascii="宋体" w:hAnsi="黑体"/>
              <w:color w:val="000000" w:themeColor="text1"/>
              <w:kern w:val="0"/>
              <w:szCs w:val="20"/>
              <w14:textFill>
                <w14:solidFill>
                  <w14:schemeClr w14:val="tx1"/>
                </w14:solidFill>
              </w14:textFill>
            </w:rPr>
            <w:t xml:space="preserve"> 应根据工作需要成立评价工作组，编制评价方案、选择评价指标与权重、组织评价、撰写评价报告等。</w:t>
          </w:r>
        </w:p>
        <w:p>
          <w:pPr>
            <w:autoSpaceDE w:val="0"/>
            <w:autoSpaceDN w:val="0"/>
            <w:adjustRightInd w:val="0"/>
            <w:jc w:val="left"/>
            <w:rPr>
              <w:rFonts w:ascii="宋体" w:hAnsi="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1</w:t>
          </w:r>
          <w:r>
            <w:rPr>
              <w:rFonts w:hint="eastAsia" w:ascii="黑体" w:hAnsi="黑体" w:eastAsia="黑体"/>
              <w:color w:val="000000" w:themeColor="text1"/>
              <w:kern w:val="0"/>
              <w:szCs w:val="21"/>
              <w14:textFill>
                <w14:solidFill>
                  <w14:schemeClr w14:val="tx1"/>
                </w14:solidFill>
              </w14:textFill>
            </w:rPr>
            <w:t xml:space="preserve">.2 </w:t>
          </w:r>
          <w:r>
            <w:rPr>
              <w:rFonts w:hint="eastAsia" w:ascii="宋体" w:hAnsi="黑体"/>
              <w:color w:val="000000" w:themeColor="text1"/>
              <w:kern w:val="0"/>
              <w:szCs w:val="20"/>
              <w14:textFill>
                <w14:solidFill>
                  <w14:schemeClr w14:val="tx1"/>
                </w14:solidFill>
              </w14:textFill>
            </w:rPr>
            <w:t xml:space="preserve"> 应根据项目规模大小和内容复杂程度，成立5～9人的评价专家组，对评价方案、评价指标及权重进行审定，对调查过程中难以量化的指标进行集中评议，对评价成果进行审核。专家组成员应来自于财政、土地、农业、水利、林业、经济、统计等专业。</w:t>
          </w:r>
        </w:p>
        <w:p>
          <w:pPr>
            <w:autoSpaceDE w:val="0"/>
            <w:autoSpaceDN w:val="0"/>
            <w:adjustRightInd w:val="0"/>
            <w:jc w:val="left"/>
            <w:rPr>
              <w:rFonts w:ascii="宋体" w:hAnsi="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1</w:t>
          </w:r>
          <w:r>
            <w:rPr>
              <w:rFonts w:hint="eastAsia" w:ascii="黑体" w:hAnsi="黑体" w:eastAsia="黑体"/>
              <w:color w:val="000000" w:themeColor="text1"/>
              <w:kern w:val="0"/>
              <w:szCs w:val="21"/>
              <w14:textFill>
                <w14:solidFill>
                  <w14:schemeClr w14:val="tx1"/>
                </w14:solidFill>
              </w14:textFill>
            </w:rPr>
            <w:t>.3</w:t>
          </w:r>
          <w:r>
            <w:rPr>
              <w:rFonts w:hint="eastAsia" w:ascii="宋体" w:hAnsi="黑体"/>
              <w:color w:val="000000" w:themeColor="text1"/>
              <w:kern w:val="0"/>
              <w:szCs w:val="20"/>
              <w14:textFill>
                <w14:solidFill>
                  <w14:schemeClr w14:val="tx1"/>
                </w14:solidFill>
              </w14:textFill>
            </w:rPr>
            <w:t xml:space="preserve">  应由评价工作组织向评价单位发出评价通知，明确评价目的、对象、组织方式、时间安排和评价方法等。</w:t>
          </w:r>
        </w:p>
        <w:p>
          <w:pPr>
            <w:autoSpaceDE w:val="0"/>
            <w:autoSpaceDN w:val="0"/>
            <w:adjustRightInd w:val="0"/>
            <w:jc w:val="left"/>
            <w:rPr>
              <w:rFonts w:ascii="宋体" w:hAnsi="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1</w:t>
          </w:r>
          <w:r>
            <w:rPr>
              <w:rFonts w:hint="eastAsia" w:ascii="黑体" w:hAnsi="黑体" w:eastAsia="黑体"/>
              <w:color w:val="000000" w:themeColor="text1"/>
              <w:kern w:val="0"/>
              <w:szCs w:val="21"/>
              <w14:textFill>
                <w14:solidFill>
                  <w14:schemeClr w14:val="tx1"/>
                </w14:solidFill>
              </w14:textFill>
            </w:rPr>
            <w:t xml:space="preserve">.4 </w:t>
          </w:r>
          <w:r>
            <w:rPr>
              <w:rFonts w:hint="eastAsia" w:ascii="宋体" w:hAnsi="黑体"/>
              <w:color w:val="000000" w:themeColor="text1"/>
              <w:kern w:val="0"/>
              <w:szCs w:val="20"/>
              <w14:textFill>
                <w14:solidFill>
                  <w14:schemeClr w14:val="tx1"/>
                </w14:solidFill>
              </w14:textFill>
            </w:rPr>
            <w:t xml:space="preserve"> 按照评价对象、内容和目标的不同，选择评价指标，并按照一级指标、二级指标和三级指标的划分建立评价指标体系。评价指标体系详见附录B。</w:t>
          </w:r>
        </w:p>
        <w:p>
          <w:pPr>
            <w:autoSpaceDE w:val="0"/>
            <w:autoSpaceDN w:val="0"/>
            <w:adjustRightInd w:val="0"/>
            <w:jc w:val="left"/>
            <w:rPr>
              <w:rFonts w:ascii="宋体" w:hAnsi="黑体"/>
              <w:color w:val="000000" w:themeColor="text1"/>
              <w:kern w:val="0"/>
              <w:szCs w:val="20"/>
              <w:lang w:eastAsia="en-US"/>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1</w:t>
          </w:r>
          <w:r>
            <w:rPr>
              <w:rFonts w:hint="eastAsia" w:ascii="黑体" w:hAnsi="黑体" w:eastAsia="黑体"/>
              <w:color w:val="000000" w:themeColor="text1"/>
              <w:kern w:val="0"/>
              <w:szCs w:val="21"/>
              <w14:textFill>
                <w14:solidFill>
                  <w14:schemeClr w14:val="tx1"/>
                </w14:solidFill>
              </w14:textFill>
            </w:rPr>
            <w:t xml:space="preserve">.5 </w:t>
          </w:r>
          <w:r>
            <w:rPr>
              <w:rFonts w:hint="eastAsia" w:ascii="宋体" w:hAnsi="黑体"/>
              <w:color w:val="000000" w:themeColor="text1"/>
              <w:kern w:val="0"/>
              <w:szCs w:val="20"/>
              <w14:textFill>
                <w14:solidFill>
                  <w14:schemeClr w14:val="tx1"/>
                </w14:solidFill>
              </w14:textFill>
            </w:rPr>
            <w:t xml:space="preserve"> 高标准农田建设评价指标、指标涵义、数据来源、评价方法与评分规则详见附录</w:t>
          </w:r>
          <w:r>
            <w:rPr>
              <w:rFonts w:hint="eastAsia" w:ascii="宋体" w:hAnsi="黑体"/>
              <w:color w:val="000000" w:themeColor="text1"/>
              <w:kern w:val="0"/>
              <w:szCs w:val="20"/>
              <w:lang w:eastAsia="en-US"/>
              <w14:textFill>
                <w14:solidFill>
                  <w14:schemeClr w14:val="tx1"/>
                </w14:solidFill>
              </w14:textFill>
            </w:rPr>
            <w:t>C,</w:t>
          </w:r>
          <w:r>
            <w:rPr>
              <w:rFonts w:hint="eastAsia" w:ascii="宋体" w:hAnsi="黑体"/>
              <w:color w:val="000000" w:themeColor="text1"/>
              <w:kern w:val="0"/>
              <w:szCs w:val="20"/>
              <w14:textFill>
                <w14:solidFill>
                  <w14:schemeClr w14:val="tx1"/>
                </w14:solidFill>
              </w14:textFill>
            </w:rPr>
            <w:t>各级指标赋值和分值计算方法详见附录</w:t>
          </w:r>
          <w:r>
            <w:rPr>
              <w:rFonts w:hint="eastAsia" w:ascii="宋体" w:hAnsi="黑体"/>
              <w:color w:val="000000" w:themeColor="text1"/>
              <w:kern w:val="0"/>
              <w:szCs w:val="20"/>
              <w:lang w:eastAsia="en-US"/>
              <w14:textFill>
                <w14:solidFill>
                  <w14:schemeClr w14:val="tx1"/>
                </w14:solidFill>
              </w14:textFill>
            </w:rPr>
            <w:t>D。</w:t>
          </w:r>
        </w:p>
        <w:p>
          <w:pPr>
            <w:pStyle w:val="50"/>
            <w:spacing w:before="120" w:after="120"/>
            <w:rPr>
              <w:rFonts w:hAnsi="黑体"/>
              <w:color w:val="000000" w:themeColor="text1"/>
              <w14:textFill>
                <w14:solidFill>
                  <w14:schemeClr w14:val="tx1"/>
                </w14:solidFill>
              </w14:textFill>
            </w:rPr>
          </w:pPr>
          <w:bookmarkStart w:id="48" w:name="_Toc14888"/>
          <w:bookmarkStart w:id="49" w:name="_Toc12151"/>
          <w:r>
            <w:rPr>
              <w:rFonts w:hint="eastAsia" w:hAnsi="黑体"/>
              <w:color w:val="000000" w:themeColor="text1"/>
              <w14:textFill>
                <w14:solidFill>
                  <w14:schemeClr w14:val="tx1"/>
                </w14:solidFill>
              </w14:textFill>
            </w:rPr>
            <w:t>5.</w:t>
          </w:r>
          <w:r>
            <w:rPr>
              <w:rFonts w:hint="eastAsia" w:hAnsi="黑体"/>
              <w:color w:val="000000" w:themeColor="text1"/>
              <w:lang w:val="en-US" w:eastAsia="zh-CN"/>
              <w14:textFill>
                <w14:solidFill>
                  <w14:schemeClr w14:val="tx1"/>
                </w14:solidFill>
              </w14:textFill>
            </w:rPr>
            <w:t>2</w:t>
          </w:r>
          <w:r>
            <w:rPr>
              <w:rFonts w:hint="eastAsia" w:hAnsi="黑体"/>
              <w:color w:val="000000" w:themeColor="text1"/>
              <w14:textFill>
                <w14:solidFill>
                  <w14:schemeClr w14:val="tx1"/>
                </w14:solidFill>
              </w14:textFill>
            </w:rPr>
            <w:t xml:space="preserve">  现场调查</w:t>
          </w:r>
          <w:bookmarkEnd w:id="48"/>
          <w:bookmarkEnd w:id="49"/>
        </w:p>
        <w:p>
          <w:pPr>
            <w:autoSpaceDE w:val="0"/>
            <w:autoSpaceDN w:val="0"/>
            <w:adjustRightInd w:val="0"/>
            <w:jc w:val="left"/>
            <w:rPr>
              <w:rFonts w:ascii="宋体" w:hAnsi="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2</w:t>
          </w:r>
          <w:r>
            <w:rPr>
              <w:rFonts w:hint="eastAsia" w:ascii="黑体" w:hAnsi="黑体" w:eastAsia="黑体"/>
              <w:color w:val="000000" w:themeColor="text1"/>
              <w:kern w:val="0"/>
              <w:szCs w:val="21"/>
              <w14:textFill>
                <w14:solidFill>
                  <w14:schemeClr w14:val="tx1"/>
                </w14:solidFill>
              </w14:textFill>
            </w:rPr>
            <w:t>.1</w:t>
          </w:r>
          <w:r>
            <w:rPr>
              <w:rFonts w:hint="eastAsia" w:eastAsia="Times New Roman"/>
              <w:kern w:val="0"/>
              <w:lang w:bidi="en-US"/>
            </w:rPr>
            <w:t xml:space="preserve">  </w:t>
          </w:r>
          <w:r>
            <w:rPr>
              <w:rFonts w:hint="eastAsia" w:ascii="宋体" w:hAnsi="黑体"/>
              <w:color w:val="000000" w:themeColor="text1"/>
              <w:kern w:val="0"/>
              <w:szCs w:val="20"/>
              <w14:textFill>
                <w14:solidFill>
                  <w14:schemeClr w14:val="tx1"/>
                </w14:solidFill>
              </w14:textFill>
            </w:rPr>
            <w:t>选择评价指标之前和开展评价时，均应通过现场</w:t>
          </w:r>
          <w:r>
            <w:rPr>
              <w:rFonts w:hint="eastAsia" w:ascii="宋体" w:cs="宋体"/>
              <w:kern w:val="0"/>
              <w:szCs w:val="21"/>
            </w:rPr>
            <w:t>查阅</w:t>
          </w:r>
          <w:r>
            <w:rPr>
              <w:rFonts w:hint="eastAsia" w:ascii="宋体" w:hAnsi="黑体"/>
              <w:color w:val="000000" w:themeColor="text1"/>
              <w:kern w:val="0"/>
              <w:szCs w:val="20"/>
              <w14:textFill>
                <w14:solidFill>
                  <w14:schemeClr w14:val="tx1"/>
                </w14:solidFill>
              </w14:textFill>
            </w:rPr>
            <w:t>、群众访谈、问卷调查、专家集中评议、相关单位和技术人员座谈等方式开展现场调查工作。现场调查应深入项目区，收集高标准农田建设的有关资料,并开展评价指标数据的现场采集。</w:t>
          </w:r>
        </w:p>
        <w:p>
          <w:pPr>
            <w:pStyle w:val="182"/>
            <w:spacing w:line="322" w:lineRule="exact"/>
          </w:pPr>
          <w:r>
            <w:rPr>
              <w:rFonts w:hint="eastAsia" w:ascii="黑体" w:hAnsi="黑体" w:eastAsia="黑体"/>
              <w:color w:val="000000" w:themeColor="text1"/>
              <w:kern w:val="0"/>
              <w:sz w:val="21"/>
              <w:szCs w:val="21"/>
              <w14:textFill>
                <w14:solidFill>
                  <w14:schemeClr w14:val="tx1"/>
                </w14:solidFill>
              </w14:textFill>
            </w:rPr>
            <w:t>5.</w:t>
          </w:r>
          <w:r>
            <w:rPr>
              <w:rFonts w:hint="eastAsia" w:ascii="黑体" w:hAnsi="黑体" w:eastAsia="黑体"/>
              <w:color w:val="000000" w:themeColor="text1"/>
              <w:kern w:val="0"/>
              <w:sz w:val="21"/>
              <w:szCs w:val="21"/>
              <w:lang w:val="en-US" w:eastAsia="zh-CN"/>
              <w14:textFill>
                <w14:solidFill>
                  <w14:schemeClr w14:val="tx1"/>
                </w14:solidFill>
              </w14:textFill>
            </w:rPr>
            <w:t>2</w:t>
          </w:r>
          <w:r>
            <w:rPr>
              <w:rFonts w:hint="eastAsia" w:ascii="黑体" w:hAnsi="黑体" w:eastAsia="黑体"/>
              <w:color w:val="000000" w:themeColor="text1"/>
              <w:kern w:val="0"/>
              <w:sz w:val="21"/>
              <w:szCs w:val="21"/>
              <w14:textFill>
                <w14:solidFill>
                  <w14:schemeClr w14:val="tx1"/>
                </w14:solidFill>
              </w14:textFill>
            </w:rPr>
            <w:t xml:space="preserve">.2 </w:t>
          </w:r>
          <w:r>
            <w:rPr>
              <w:rFonts w:hint="eastAsia" w:eastAsia="Times New Roman"/>
              <w:kern w:val="0"/>
              <w:lang w:bidi="en-US"/>
            </w:rPr>
            <w:t xml:space="preserve"> </w:t>
          </w:r>
          <w:r>
            <w:rPr>
              <w:rFonts w:hint="eastAsia" w:ascii="宋体" w:hAnsi="黑体"/>
              <w:color w:val="000000" w:themeColor="text1"/>
              <w:kern w:val="0"/>
              <w:sz w:val="21"/>
              <w:lang w:val="zh-TW" w:eastAsia="zh-TW"/>
              <w14:textFill>
                <w14:solidFill>
                  <w14:schemeClr w14:val="tx1"/>
                </w14:solidFill>
              </w14:textFill>
            </w:rPr>
            <w:t>现场调查中，涉及有关数据釆集时，应执行</w:t>
          </w:r>
          <w:r>
            <w:rPr>
              <w:rFonts w:hint="eastAsia" w:ascii="宋体" w:hAnsi="宋体" w:cs="宋体"/>
              <w:color w:val="252525"/>
              <w:lang w:eastAsia="en-US" w:bidi="en-US"/>
            </w:rPr>
            <w:t>GB 5084、GB 15618</w:t>
          </w:r>
          <w:r>
            <w:rPr>
              <w:rFonts w:hint="eastAsia" w:ascii="宋体" w:hAnsi="宋体" w:cs="宋体"/>
              <w:color w:val="252525"/>
              <w:lang w:bidi="en-US"/>
            </w:rPr>
            <w:t>、</w:t>
          </w:r>
          <w:r>
            <w:rPr>
              <w:rFonts w:hint="eastAsia" w:ascii="宋体" w:hAnsi="宋体" w:cs="宋体"/>
              <w:color w:val="252525"/>
              <w:lang w:eastAsia="en-US" w:bidi="en-US"/>
            </w:rPr>
            <w:t xml:space="preserve">GB 50026、GB/T </w:t>
          </w:r>
          <w:r>
            <w:rPr>
              <w:rFonts w:hint="eastAsia" w:ascii="宋体" w:hAnsi="宋体" w:cs="宋体"/>
              <w:color w:val="252525"/>
              <w:lang w:val="zh-TW" w:eastAsia="zh-TW" w:bidi="zh-TW"/>
            </w:rPr>
            <w:t>28407、</w:t>
          </w:r>
          <w:r>
            <w:rPr>
              <w:rFonts w:hint="eastAsia" w:ascii="宋体" w:hAnsi="宋体" w:cs="宋体"/>
              <w:color w:val="252525"/>
              <w:lang w:eastAsia="en-US" w:bidi="en-US"/>
            </w:rPr>
            <w:t>NY/T 1634</w:t>
          </w:r>
          <w:r>
            <w:rPr>
              <w:rFonts w:hint="eastAsia" w:ascii="宋体" w:hAnsi="宋体" w:cs="宋体"/>
              <w:color w:val="252525"/>
              <w:lang w:bidi="en-US"/>
            </w:rPr>
            <w:t>、</w:t>
          </w:r>
          <w:r>
            <w:rPr>
              <w:rFonts w:hint="eastAsia" w:ascii="宋体" w:hAnsi="宋体" w:cs="宋体"/>
              <w:color w:val="252525"/>
              <w:lang w:eastAsia="en-US" w:bidi="en-US"/>
            </w:rPr>
            <w:t>NY/T 1119</w:t>
          </w:r>
          <w:r>
            <w:rPr>
              <w:rFonts w:hint="eastAsia" w:ascii="宋体" w:hAnsi="宋体" w:cs="宋体"/>
              <w:color w:val="252525"/>
              <w:lang w:bidi="en-US"/>
            </w:rPr>
            <w:t>、</w:t>
          </w:r>
          <w:r>
            <w:rPr>
              <w:rFonts w:hint="eastAsia" w:ascii="宋体" w:hAnsi="宋体" w:cs="宋体"/>
              <w:color w:val="252525"/>
              <w:lang w:eastAsia="en-US" w:bidi="en-US"/>
            </w:rPr>
            <w:t>TD/T 1033</w:t>
          </w:r>
          <w:r>
            <w:rPr>
              <w:rFonts w:hint="eastAsia" w:ascii="宋体" w:hAnsi="宋体" w:cs="宋体"/>
              <w:color w:val="252525"/>
              <w:lang w:bidi="en-US"/>
            </w:rPr>
            <w:t>、</w:t>
          </w:r>
          <w:r>
            <w:rPr>
              <w:rFonts w:hint="eastAsia" w:ascii="宋体" w:hAnsi="宋体" w:cs="宋体"/>
              <w:color w:val="252525"/>
              <w:lang w:eastAsia="en-US" w:bidi="en-US"/>
            </w:rPr>
            <w:t>TD/T 1041</w:t>
          </w:r>
          <w:r>
            <w:rPr>
              <w:rFonts w:ascii="宋体" w:hAnsi="宋体" w:cs="宋体"/>
              <w:color w:val="252525"/>
              <w:lang w:val="zh-TW" w:eastAsia="zh-TW" w:bidi="zh-TW"/>
            </w:rPr>
            <w:t>等规定。</w:t>
          </w:r>
        </w:p>
        <w:p>
          <w:pPr>
            <w:autoSpaceDE w:val="0"/>
            <w:autoSpaceDN w:val="0"/>
            <w:adjustRightInd w:val="0"/>
            <w:jc w:val="left"/>
            <w:rPr>
              <w:rFonts w:ascii="宋体" w:cs="宋体"/>
              <w:kern w:val="0"/>
              <w:szCs w:val="21"/>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2</w:t>
          </w:r>
          <w:r>
            <w:rPr>
              <w:rFonts w:hint="eastAsia" w:ascii="黑体" w:hAnsi="黑体" w:eastAsia="黑体"/>
              <w:color w:val="000000" w:themeColor="text1"/>
              <w:kern w:val="0"/>
              <w:szCs w:val="21"/>
              <w14:textFill>
                <w14:solidFill>
                  <w14:schemeClr w14:val="tx1"/>
                </w14:solidFill>
              </w14:textFill>
            </w:rPr>
            <w:t>.3</w:t>
          </w:r>
          <w:r>
            <w:rPr>
              <w:rFonts w:hint="eastAsia" w:eastAsia="Times New Roman"/>
              <w:kern w:val="0"/>
              <w:lang w:bidi="en-US"/>
            </w:rPr>
            <w:t xml:space="preserve">  </w:t>
          </w:r>
          <w:r>
            <w:rPr>
              <w:rFonts w:hint="eastAsia" w:ascii="宋体" w:cs="宋体"/>
              <w:kern w:val="0"/>
              <w:szCs w:val="21"/>
            </w:rPr>
            <w:t>现场查阅与高标准农田建设有关的规划、立项、设计、工程施工、监理、验收、审计等文件，核实高标准农田建设基本信息。</w:t>
          </w:r>
          <w:r>
            <w:t>收集工程质量、耕地质量等检测数据，综合评议高标准农田建设管理情况。</w:t>
          </w:r>
        </w:p>
        <w:p>
          <w:pPr>
            <w:autoSpaceDE w:val="0"/>
            <w:autoSpaceDN w:val="0"/>
            <w:adjustRightInd w:val="0"/>
            <w:jc w:val="left"/>
            <w:rPr>
              <w:rFonts w:ascii="宋体" w:hAnsi="ËÎÌå" w:cs="宋体"/>
              <w:kern w:val="0"/>
              <w:szCs w:val="21"/>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2</w:t>
          </w:r>
          <w:r>
            <w:rPr>
              <w:rFonts w:hint="eastAsia" w:ascii="黑体" w:hAnsi="黑体" w:eastAsia="黑体"/>
              <w:color w:val="000000" w:themeColor="text1"/>
              <w:kern w:val="0"/>
              <w:szCs w:val="21"/>
              <w14:textFill>
                <w14:solidFill>
                  <w14:schemeClr w14:val="tx1"/>
                </w14:solidFill>
              </w14:textFill>
            </w:rPr>
            <w:t xml:space="preserve">.4 </w:t>
          </w:r>
          <w:r>
            <w:rPr>
              <w:rFonts w:hint="eastAsia" w:eastAsia="Times New Roman"/>
              <w:kern w:val="0"/>
              <w:lang w:bidi="en-US"/>
            </w:rPr>
            <w:t xml:space="preserve"> </w:t>
          </w:r>
          <w:r>
            <w:rPr>
              <w:rFonts w:hint="eastAsia" w:ascii="宋体" w:hAnsi="ËÎÌå" w:cs="宋体"/>
              <w:kern w:val="0"/>
              <w:szCs w:val="21"/>
            </w:rPr>
            <w:t>采取抽样调查和现场检验的方法，对已竣工验收的高标准农田建设项目进行现场检查、量测和试验，检查目标任务完成情况</w:t>
          </w:r>
          <w:r>
            <w:rPr>
              <w:rFonts w:hint="eastAsia" w:ascii="宋体" w:hAnsi="ËÎÌå" w:cs="宋体"/>
              <w:kern w:val="0"/>
              <w:szCs w:val="21"/>
              <w:lang w:eastAsia="zh-CN"/>
            </w:rPr>
            <w:t>、</w:t>
          </w:r>
          <w:r>
            <w:rPr>
              <w:rFonts w:hint="eastAsia" w:ascii="宋体" w:hAnsi="ËÎÌå" w:cs="宋体"/>
              <w:kern w:val="0"/>
              <w:szCs w:val="21"/>
            </w:rPr>
            <w:t>建成效果。</w:t>
          </w:r>
        </w:p>
        <w:p>
          <w:pPr>
            <w:autoSpaceDE w:val="0"/>
            <w:autoSpaceDN w:val="0"/>
            <w:adjustRightInd w:val="0"/>
            <w:jc w:val="left"/>
            <w:rPr>
              <w:rFonts w:ascii="宋体" w:hAnsi="ËÎÌå" w:cs="宋体"/>
              <w:kern w:val="0"/>
              <w:szCs w:val="21"/>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2</w:t>
          </w:r>
          <w:r>
            <w:rPr>
              <w:rFonts w:hint="eastAsia" w:ascii="黑体" w:hAnsi="黑体" w:eastAsia="黑体"/>
              <w:color w:val="000000" w:themeColor="text1"/>
              <w:kern w:val="0"/>
              <w:szCs w:val="21"/>
              <w14:textFill>
                <w14:solidFill>
                  <w14:schemeClr w14:val="tx1"/>
                </w14:solidFill>
              </w14:textFill>
            </w:rPr>
            <w:t>.</w:t>
          </w:r>
          <w:r>
            <w:rPr>
              <w:rFonts w:hint="eastAsia" w:ascii="黑体" w:hAnsi="黑体" w:eastAsia="黑体"/>
              <w:color w:val="000000" w:themeColor="text1"/>
              <w:kern w:val="0"/>
              <w:szCs w:val="21"/>
              <w:lang w:val="en-US" w:eastAsia="zh-CN"/>
              <w14:textFill>
                <w14:solidFill>
                  <w14:schemeClr w14:val="tx1"/>
                </w14:solidFill>
              </w14:textFill>
            </w:rPr>
            <w:t>5</w:t>
          </w:r>
          <w:r>
            <w:rPr>
              <w:rFonts w:hint="eastAsia" w:ascii="黑体" w:hAnsi="黑体" w:eastAsia="黑体"/>
              <w:color w:val="000000" w:themeColor="text1"/>
              <w:kern w:val="0"/>
              <w:szCs w:val="21"/>
              <w14:textFill>
                <w14:solidFill>
                  <w14:schemeClr w14:val="tx1"/>
                </w14:solidFill>
              </w14:textFill>
            </w:rPr>
            <w:t xml:space="preserve"> </w:t>
          </w:r>
          <w:r>
            <w:rPr>
              <w:rFonts w:hint="eastAsia" w:eastAsia="Times New Roman"/>
              <w:kern w:val="0"/>
              <w:lang w:bidi="en-US"/>
            </w:rPr>
            <w:t xml:space="preserve"> </w:t>
          </w:r>
          <w:r>
            <w:rPr>
              <w:rFonts w:hint="eastAsia" w:ascii="宋体" w:hAnsi="ËÎÌå" w:cs="宋体"/>
              <w:kern w:val="0"/>
              <w:szCs w:val="21"/>
            </w:rPr>
            <w:t>开展现场问卷调查和公众满意度调查，了解相关利益方对高标准农田建设活动的看法和意见，包括工程建设、耕地质量和成效等方面。</w:t>
          </w:r>
        </w:p>
        <w:p>
          <w:pPr>
            <w:pStyle w:val="50"/>
            <w:spacing w:before="120" w:after="120"/>
            <w:rPr>
              <w:rFonts w:hAnsi="黑体"/>
              <w:color w:val="000000" w:themeColor="text1"/>
              <w14:textFill>
                <w14:solidFill>
                  <w14:schemeClr w14:val="tx1"/>
                </w14:solidFill>
              </w14:textFill>
            </w:rPr>
          </w:pPr>
          <w:bookmarkStart w:id="50" w:name="_Toc31006"/>
          <w:bookmarkStart w:id="51" w:name="_Toc12374"/>
          <w:r>
            <w:rPr>
              <w:rFonts w:hint="eastAsia" w:hAnsi="黑体"/>
              <w:color w:val="000000" w:themeColor="text1"/>
              <w14:textFill>
                <w14:solidFill>
                  <w14:schemeClr w14:val="tx1"/>
                </w14:solidFill>
              </w14:textFill>
            </w:rPr>
            <w:t>5.</w:t>
          </w:r>
          <w:r>
            <w:rPr>
              <w:rFonts w:hint="eastAsia" w:hAnsi="黑体"/>
              <w:color w:val="000000" w:themeColor="text1"/>
              <w:lang w:val="en-US" w:eastAsia="zh-CN"/>
              <w14:textFill>
                <w14:solidFill>
                  <w14:schemeClr w14:val="tx1"/>
                </w14:solidFill>
              </w14:textFill>
            </w:rPr>
            <w:t>3</w:t>
          </w:r>
          <w:r>
            <w:rPr>
              <w:rFonts w:hint="eastAsia" w:hAnsi="黑体"/>
              <w:color w:val="000000" w:themeColor="text1"/>
              <w14:textFill>
                <w14:solidFill>
                  <w14:schemeClr w14:val="tx1"/>
                </w14:solidFill>
              </w14:textFill>
            </w:rPr>
            <w:t xml:space="preserve">  数据釆集与检验</w:t>
          </w:r>
          <w:bookmarkEnd w:id="50"/>
          <w:bookmarkEnd w:id="51"/>
        </w:p>
        <w:p>
          <w:pPr>
            <w:pStyle w:val="181"/>
            <w:spacing w:line="328" w:lineRule="exact"/>
            <w:ind w:firstLine="0"/>
            <w:rPr>
              <w:sz w:val="21"/>
              <w:szCs w:val="21"/>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5.3.1</w:t>
          </w:r>
          <w:r>
            <w:rPr>
              <w:rFonts w:hint="eastAsia" w:ascii="Times New Roman" w:hAnsi="Times New Roman" w:eastAsia="Times New Roman" w:cs="Times New Roman"/>
              <w:kern w:val="0"/>
              <w:lang w:val="en-US" w:eastAsia="zh-CN" w:bidi="en-US"/>
            </w:rPr>
            <w:t xml:space="preserve">  </w:t>
          </w:r>
          <w:r>
            <w:rPr>
              <w:sz w:val="21"/>
              <w:szCs w:val="21"/>
            </w:rPr>
            <w:t>评价中涉及高标准农田建设数量、建设质量、建设成效等量化指标时，可通过查阅资料、现场量测、遥感图像量算和取样检验等方式,获取真实准确的评价数据。</w:t>
          </w:r>
        </w:p>
        <w:p>
          <w:pPr>
            <w:pStyle w:val="181"/>
            <w:spacing w:after="240" w:line="320" w:lineRule="exact"/>
            <w:ind w:firstLine="0"/>
            <w:rPr>
              <w:sz w:val="21"/>
              <w:szCs w:val="21"/>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5.3.2</w:t>
          </w:r>
          <w:r>
            <w:rPr>
              <w:rFonts w:hint="eastAsia" w:ascii="Times New Roman" w:hAnsi="Times New Roman" w:eastAsia="Times New Roman" w:cs="Times New Roman"/>
              <w:kern w:val="0"/>
              <w:lang w:val="en-US" w:eastAsia="zh-CN" w:bidi="en-US"/>
            </w:rPr>
            <w:t xml:space="preserve">  </w:t>
          </w:r>
          <w:r>
            <w:rPr>
              <w:sz w:val="21"/>
              <w:szCs w:val="21"/>
            </w:rPr>
            <w:t>采用取样检验时,应符合工程施工技术、工程质量检验与评定等标准的规定。</w:t>
          </w:r>
        </w:p>
        <w:p>
          <w:pPr>
            <w:pStyle w:val="50"/>
            <w:spacing w:before="120" w:after="120"/>
            <w:rPr>
              <w:rFonts w:hAnsi="黑体"/>
              <w:color w:val="000000" w:themeColor="text1"/>
              <w14:textFill>
                <w14:solidFill>
                  <w14:schemeClr w14:val="tx1"/>
                </w14:solidFill>
              </w14:textFill>
            </w:rPr>
          </w:pPr>
          <w:bookmarkStart w:id="52" w:name="_Toc9933"/>
          <w:bookmarkStart w:id="53" w:name="_Toc35"/>
          <w:r>
            <w:rPr>
              <w:rFonts w:hint="eastAsia" w:hAnsi="黑体"/>
              <w:color w:val="000000" w:themeColor="text1"/>
              <w14:textFill>
                <w14:solidFill>
                  <w14:schemeClr w14:val="tx1"/>
                </w14:solidFill>
              </w14:textFill>
            </w:rPr>
            <w:t>5.</w:t>
          </w:r>
          <w:r>
            <w:rPr>
              <w:rFonts w:hint="eastAsia" w:hAnsi="黑体"/>
              <w:color w:val="000000" w:themeColor="text1"/>
              <w:lang w:val="en-US" w:eastAsia="zh-CN"/>
              <w14:textFill>
                <w14:solidFill>
                  <w14:schemeClr w14:val="tx1"/>
                </w14:solidFill>
              </w14:textFill>
            </w:rPr>
            <w:t>4</w:t>
          </w:r>
          <w:r>
            <w:rPr>
              <w:rFonts w:hint="eastAsia" w:hAnsi="黑体"/>
              <w:color w:val="000000" w:themeColor="text1"/>
              <w14:textFill>
                <w14:solidFill>
                  <w14:schemeClr w14:val="tx1"/>
                </w14:solidFill>
              </w14:textFill>
            </w:rPr>
            <w:t xml:space="preserve">  评价报告与应用</w:t>
          </w:r>
          <w:bookmarkEnd w:id="52"/>
          <w:bookmarkEnd w:id="53"/>
        </w:p>
        <w:p>
          <w:pPr>
            <w:autoSpaceDE w:val="0"/>
            <w:autoSpaceDN w:val="0"/>
            <w:adjustRightInd w:val="0"/>
            <w:jc w:val="left"/>
            <w:rPr>
              <w:rFonts w:ascii="宋体" w:hAnsi="ËÎÌå" w:cs="宋体"/>
              <w:kern w:val="0"/>
              <w:szCs w:val="21"/>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4</w:t>
          </w:r>
          <w:r>
            <w:rPr>
              <w:rFonts w:hint="eastAsia" w:ascii="黑体" w:hAnsi="黑体" w:eastAsia="黑体"/>
              <w:color w:val="000000" w:themeColor="text1"/>
              <w:kern w:val="0"/>
              <w:szCs w:val="21"/>
              <w14:textFill>
                <w14:solidFill>
                  <w14:schemeClr w14:val="tx1"/>
                </w14:solidFill>
              </w14:textFill>
            </w:rPr>
            <w:t>.1</w:t>
          </w:r>
          <w:r>
            <w:rPr>
              <w:rFonts w:hint="eastAsia" w:eastAsia="Times New Roman"/>
              <w:kern w:val="0"/>
              <w:lang w:bidi="en-US"/>
            </w:rPr>
            <w:t xml:space="preserve">  </w:t>
          </w:r>
          <w:r>
            <w:rPr>
              <w:rFonts w:hint="eastAsia" w:ascii="宋体" w:hAnsi="宋体" w:cs="宋体"/>
              <w:color w:val="000000" w:themeColor="text1"/>
              <w14:textFill>
                <w14:solidFill>
                  <w14:schemeClr w14:val="tx1"/>
                </w14:solidFill>
              </w14:textFill>
            </w:rPr>
            <w:t>评价完成后应形成高标准农田建设评价报告。评价报告内容包括：基本情况、工作组织和程序、评价指标选择与评分 标准、建设任务完成情况、耕地质量等别（等级）复核情况</w:t>
          </w:r>
          <w:r>
            <w:t>、建设成效评价、建设管理评价、社会影响评价、 目标和可持续性评价、综合结论等。报告内容参见附录</w:t>
          </w:r>
          <w:r>
            <w:rPr>
              <w:rFonts w:hint="eastAsia" w:ascii="宋体" w:hAnsi="宋体" w:cs="宋体"/>
              <w:lang w:eastAsia="en-US" w:bidi="en-US"/>
            </w:rPr>
            <w:t>G</w:t>
          </w:r>
          <w:r>
            <w:rPr>
              <w:lang w:eastAsia="en-US" w:bidi="en-US"/>
            </w:rPr>
            <w:t>。</w:t>
          </w:r>
        </w:p>
        <w:p>
          <w:pPr>
            <w:pStyle w:val="8"/>
            <w:ind w:firstLine="0" w:firstLineChars="0"/>
            <w:rPr>
              <w:rFonts w:ascii="宋体" w:hAnsi="ËÎÌå" w:cs="宋体"/>
              <w:kern w:val="0"/>
              <w:szCs w:val="21"/>
            </w:rPr>
          </w:pPr>
          <w:r>
            <w:rPr>
              <w:rFonts w:hint="eastAsia" w:ascii="黑体" w:hAnsi="黑体" w:eastAsia="黑体"/>
              <w:color w:val="000000" w:themeColor="text1"/>
              <w:kern w:val="0"/>
              <w:szCs w:val="21"/>
              <w14:textFill>
                <w14:solidFill>
                  <w14:schemeClr w14:val="tx1"/>
                </w14:solidFill>
              </w14:textFill>
            </w:rPr>
            <w:t>5.</w:t>
          </w:r>
          <w:r>
            <w:rPr>
              <w:rFonts w:hint="eastAsia" w:ascii="黑体" w:hAnsi="黑体" w:eastAsia="黑体"/>
              <w:color w:val="000000" w:themeColor="text1"/>
              <w:kern w:val="0"/>
              <w:szCs w:val="21"/>
              <w:lang w:val="en-US" w:eastAsia="zh-CN"/>
              <w14:textFill>
                <w14:solidFill>
                  <w14:schemeClr w14:val="tx1"/>
                </w14:solidFill>
              </w14:textFill>
            </w:rPr>
            <w:t>4</w:t>
          </w:r>
          <w:r>
            <w:rPr>
              <w:rFonts w:hint="eastAsia" w:ascii="黑体" w:hAnsi="黑体" w:eastAsia="黑体"/>
              <w:color w:val="000000" w:themeColor="text1"/>
              <w:kern w:val="0"/>
              <w:szCs w:val="21"/>
              <w14:textFill>
                <w14:solidFill>
                  <w14:schemeClr w14:val="tx1"/>
                </w14:solidFill>
              </w14:textFill>
            </w:rPr>
            <w:t>.2</w:t>
          </w:r>
          <w:r>
            <w:rPr>
              <w:rFonts w:hint="eastAsia" w:eastAsia="Times New Roman"/>
              <w:kern w:val="0"/>
              <w:lang w:bidi="en-US"/>
            </w:rPr>
            <w:t xml:space="preserve">  </w:t>
          </w:r>
          <w:r>
            <w:rPr>
              <w:rFonts w:hint="eastAsia" w:ascii="宋体" w:hAnsi="ËÎÌå" w:cs="宋体"/>
              <w:kern w:val="0"/>
              <w:szCs w:val="21"/>
            </w:rPr>
            <w:t>评价报告编写完成后，同级人民政府应召集国土、农业、水利、林业、交通、经济等领域专家，依据本标准规定，对评价指标、评价内容和评价结论等进行全面审查。</w:t>
          </w:r>
        </w:p>
        <w:p>
          <w:pPr>
            <w:pStyle w:val="181"/>
            <w:spacing w:line="338"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5.4.3</w:t>
          </w:r>
          <w:r>
            <w:rPr>
              <w:rFonts w:hint="eastAsia" w:ascii="Times New Roman" w:hAnsi="Times New Roman" w:eastAsia="Times New Roman" w:cs="Times New Roman"/>
              <w:kern w:val="0"/>
              <w:lang w:val="en-US" w:eastAsia="zh-CN" w:bidi="en-US"/>
            </w:rPr>
            <w:t xml:space="preserve">  </w:t>
          </w:r>
          <w:r>
            <w:rPr>
              <w:rFonts w:hint="eastAsia" w:hAnsi="ËÎÌå"/>
              <w:color w:val="auto"/>
              <w:kern w:val="0"/>
              <w:sz w:val="21"/>
              <w:szCs w:val="21"/>
              <w:lang w:val="en-US" w:eastAsia="zh-CN" w:bidi="ar-SA"/>
            </w:rPr>
            <w:t>审查专家应给出个人意见,并从建设任务、建设质量、建设成效、建设管理和社会影响等方面给出综合评价结论,提出项目可持续性的建议。</w:t>
          </w:r>
        </w:p>
        <w:p>
          <w:pPr>
            <w:pStyle w:val="181"/>
            <w:spacing w:line="338"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5.4.4 </w:t>
          </w:r>
          <w:r>
            <w:rPr>
              <w:rFonts w:hint="eastAsia" w:hAnsi="ËÎÌå"/>
              <w:color w:val="auto"/>
              <w:kern w:val="0"/>
              <w:sz w:val="21"/>
              <w:szCs w:val="21"/>
              <w:lang w:val="en-US" w:eastAsia="zh-CN" w:bidi="ar-SA"/>
            </w:rPr>
            <w:t xml:space="preserve"> 根据专家审查意见,修改完善评价报告。专家意见与原评价结论存在较大分歧时，应重新开展评价工作，修正原评价内容和结论。</w:t>
          </w:r>
        </w:p>
        <w:p>
          <w:pPr>
            <w:pStyle w:val="181"/>
            <w:spacing w:line="338" w:lineRule="exact"/>
            <w:ind w:firstLine="0"/>
            <w:rPr>
              <w:rFonts w:hAnsi="ËÎÌå"/>
              <w:color w:val="auto"/>
              <w:kern w:val="0"/>
              <w:sz w:val="21"/>
              <w:szCs w:val="21"/>
              <w:lang w:val="en-US" w:eastAsia="en-US"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5.4.5  </w:t>
          </w:r>
          <w:r>
            <w:rPr>
              <w:rFonts w:hint="eastAsia" w:hAnsi="ËÎÌå"/>
              <w:color w:val="auto"/>
              <w:kern w:val="0"/>
              <w:sz w:val="21"/>
              <w:szCs w:val="21"/>
              <w:lang w:val="en-US" w:eastAsia="zh-CN" w:bidi="ar-SA"/>
            </w:rPr>
            <w:t>依据评价结论，评价工作组应向本级政府提出高标准农田建设管理和后期利用的政策建议。</w:t>
          </w:r>
        </w:p>
        <w:p>
          <w:pPr>
            <w:pStyle w:val="181"/>
            <w:spacing w:line="335"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5.4.6 </w:t>
          </w:r>
          <w:r>
            <w:rPr>
              <w:rFonts w:hint="eastAsia" w:hAnsi="ËÎÌå"/>
              <w:color w:val="auto"/>
              <w:kern w:val="0"/>
              <w:sz w:val="21"/>
              <w:szCs w:val="21"/>
              <w:lang w:val="en-US" w:eastAsia="zh-CN" w:bidi="ar-SA"/>
            </w:rPr>
            <w:t xml:space="preserve"> 结合评价结论，为高标准农田建设、耕地保护目标责任制、粮食安全省长责任制、自然资源资产 核算等考核工作提供依据。</w:t>
          </w:r>
        </w:p>
        <w:p>
          <w:pPr>
            <w:pStyle w:val="181"/>
            <w:spacing w:after="140" w:line="328"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5.4.7  </w:t>
          </w:r>
          <w:r>
            <w:rPr>
              <w:rFonts w:hint="eastAsia" w:hAnsi="ËÎÌå"/>
              <w:color w:val="auto"/>
              <w:kern w:val="0"/>
              <w:sz w:val="21"/>
              <w:szCs w:val="21"/>
              <w:lang w:val="en-US" w:eastAsia="zh-CN" w:bidi="ar-SA"/>
            </w:rPr>
            <w:t>根据工程质量评价成果，提出工程管护的建议;根据耕地质量评价结论,提出耕地质量管护措施，指导开展土壤改良工作。</w:t>
          </w:r>
        </w:p>
        <w:p>
          <w:pPr>
            <w:pStyle w:val="50"/>
            <w:spacing w:before="120" w:after="120"/>
            <w:rPr>
              <w:rFonts w:hAnsi="黑体"/>
              <w:color w:val="000000" w:themeColor="text1"/>
              <w14:textFill>
                <w14:solidFill>
                  <w14:schemeClr w14:val="tx1"/>
                </w14:solidFill>
              </w14:textFill>
            </w:rPr>
          </w:pPr>
          <w:bookmarkStart w:id="54" w:name="_Toc8379"/>
          <w:bookmarkStart w:id="55" w:name="_Toc2677"/>
          <w:r>
            <w:rPr>
              <w:rFonts w:hint="eastAsia" w:hAnsi="黑体"/>
              <w:color w:val="000000" w:themeColor="text1"/>
              <w:lang w:eastAsia="en-US"/>
              <w14:textFill>
                <w14:solidFill>
                  <w14:schemeClr w14:val="tx1"/>
                </w14:solidFill>
              </w14:textFill>
            </w:rPr>
            <w:t>5.</w:t>
          </w:r>
          <w:r>
            <w:rPr>
              <w:rFonts w:hint="eastAsia" w:hAnsi="黑体"/>
              <w:color w:val="000000" w:themeColor="text1"/>
              <w:lang w:val="en-US" w:eastAsia="zh-CN"/>
              <w14:textFill>
                <w14:solidFill>
                  <w14:schemeClr w14:val="tx1"/>
                </w14:solidFill>
              </w14:textFill>
            </w:rPr>
            <w:t>5</w:t>
          </w:r>
          <w:r>
            <w:rPr>
              <w:rFonts w:hint="eastAsia" w:hAnsi="黑体"/>
              <w:color w:val="000000" w:themeColor="text1"/>
              <w14:textFill>
                <w14:solidFill>
                  <w14:schemeClr w14:val="tx1"/>
                </w14:solidFill>
              </w14:textFill>
            </w:rPr>
            <w:t xml:space="preserve">  满意度调查</w:t>
          </w:r>
          <w:bookmarkEnd w:id="54"/>
          <w:bookmarkEnd w:id="55"/>
        </w:p>
        <w:p>
          <w:pPr>
            <w:pStyle w:val="181"/>
            <w:spacing w:line="322"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5.5.1  </w:t>
          </w:r>
          <w:r>
            <w:rPr>
              <w:rFonts w:hint="eastAsia" w:hAnsi="ËÎÌå"/>
              <w:color w:val="auto"/>
              <w:kern w:val="0"/>
              <w:sz w:val="21"/>
              <w:szCs w:val="21"/>
              <w:lang w:val="en-US" w:eastAsia="zh-CN" w:bidi="ar-SA"/>
            </w:rPr>
            <w:t>满意度调查对象应为高标准农田使用的有关利益方，包括项目区农户、集体经济组织、农田承租经营者、新型农业经营主体、公益性农业技术推广机构、政府机构等。调查对象中的农户和农田承租经营者比例应不低于全部调查对象的80%，调查对象应具有代表性，区域分布合理。</w:t>
          </w:r>
        </w:p>
        <w:p>
          <w:pPr>
            <w:pStyle w:val="181"/>
            <w:spacing w:line="335"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5.5.2  </w:t>
          </w:r>
          <w:r>
            <w:rPr>
              <w:rFonts w:hint="eastAsia" w:hAnsi="ËÎÌå"/>
              <w:color w:val="auto"/>
              <w:kern w:val="0"/>
              <w:sz w:val="21"/>
              <w:szCs w:val="21"/>
              <w:lang w:val="en-US" w:eastAsia="zh-CN" w:bidi="ar-SA"/>
            </w:rPr>
            <w:t>满意度调查一般由项目所在区级农业主管部门组织，由实施评价的机构具体承担，项目所在地乡镇人民政府、集体经济组织、农户和农田承租经营者积极配合。</w:t>
          </w:r>
        </w:p>
        <w:p>
          <w:pPr>
            <w:pStyle w:val="181"/>
            <w:spacing w:line="326"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5.5.3  </w:t>
          </w:r>
          <w:r>
            <w:rPr>
              <w:rFonts w:hint="eastAsia" w:hAnsi="ËÎÌå"/>
              <w:color w:val="auto"/>
              <w:kern w:val="0"/>
              <w:sz w:val="21"/>
              <w:szCs w:val="21"/>
              <w:lang w:val="en-US" w:eastAsia="zh-CN" w:bidi="ar-SA"/>
            </w:rPr>
            <w:t>满意度调查</w:t>
          </w:r>
          <w:r>
            <w:rPr>
              <w:rFonts w:hint="eastAsia" w:hAnsi="ËÎÌå"/>
              <w:color w:val="auto"/>
              <w:kern w:val="0"/>
              <w:sz w:val="21"/>
              <w:szCs w:val="21"/>
              <w:lang w:val="en-US" w:eastAsia="en-US" w:bidi="ar-SA"/>
            </w:rPr>
            <w:t>内容应包括高标准农田建设活动有关的建设任务、工程质量、耕地质量、建设成效</w:t>
          </w:r>
          <w:r>
            <w:rPr>
              <w:rFonts w:hint="eastAsia" w:hAnsi="ËÎÌå"/>
              <w:color w:val="auto"/>
              <w:kern w:val="0"/>
              <w:sz w:val="21"/>
              <w:szCs w:val="21"/>
              <w:lang w:val="en-US" w:eastAsia="zh-CN" w:bidi="ar-SA"/>
            </w:rPr>
            <w:t>、</w:t>
          </w:r>
          <w:r>
            <w:rPr>
              <w:rFonts w:hint="eastAsia" w:hAnsi="ËÎÌå"/>
              <w:color w:val="auto"/>
              <w:kern w:val="0"/>
              <w:sz w:val="21"/>
              <w:szCs w:val="21"/>
              <w:lang w:val="en-US" w:eastAsia="en-US" w:bidi="ar-SA"/>
            </w:rPr>
            <w:t>科技服务、工程管护、公共效益等</w:t>
          </w:r>
          <w:r>
            <w:rPr>
              <w:rFonts w:hint="eastAsia" w:hAnsi="ËÎÌå"/>
              <w:color w:val="auto"/>
              <w:kern w:val="0"/>
              <w:sz w:val="21"/>
              <w:szCs w:val="21"/>
              <w:lang w:val="en-US" w:eastAsia="zh-CN" w:bidi="ar-SA"/>
            </w:rPr>
            <w:t>方面。问卷内容应简单明了，通俗易懂，充分反映被调查者的真实意愿。</w:t>
          </w:r>
        </w:p>
        <w:p>
          <w:pPr>
            <w:pStyle w:val="181"/>
            <w:spacing w:line="326" w:lineRule="exact"/>
            <w:ind w:firstLine="0"/>
            <w:rPr>
              <w:rFonts w:hAnsi="ËÎÌå"/>
              <w:color w:val="auto"/>
              <w:kern w:val="0"/>
              <w:sz w:val="21"/>
              <w:szCs w:val="21"/>
              <w:lang w:val="en-US" w:eastAsia="en-US"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5.5.4  </w:t>
          </w:r>
          <w:r>
            <w:rPr>
              <w:rFonts w:hint="eastAsia" w:hAnsi="ËÎÌå"/>
              <w:color w:val="auto"/>
              <w:kern w:val="0"/>
              <w:sz w:val="21"/>
              <w:szCs w:val="21"/>
              <w:lang w:val="en-US" w:eastAsia="en-US" w:bidi="ar-SA"/>
            </w:rPr>
            <w:t>对于乡镇、村基层组织</w:t>
          </w:r>
          <w:r>
            <w:rPr>
              <w:rFonts w:hint="eastAsia" w:hAnsi="ËÎÌå"/>
              <w:color w:val="auto"/>
              <w:kern w:val="0"/>
              <w:sz w:val="21"/>
              <w:szCs w:val="21"/>
              <w:lang w:val="en-US" w:eastAsia="zh-CN" w:bidi="ar-SA"/>
            </w:rPr>
            <w:t>、农村集体经济组织以上的调查区域</w:t>
          </w:r>
          <w:r>
            <w:rPr>
              <w:rFonts w:hint="eastAsia" w:hAnsi="ËÎÌå"/>
              <w:color w:val="auto"/>
              <w:kern w:val="0"/>
              <w:sz w:val="21"/>
              <w:szCs w:val="21"/>
              <w:lang w:val="en-US" w:eastAsia="en-US" w:bidi="ar-SA"/>
            </w:rPr>
            <w:t>，可采取全面调查方式；对于农户和土地经营者数量较多时，可采取随机抽样调查或概率比例抽样</w:t>
          </w:r>
          <w:r>
            <w:rPr>
              <w:rFonts w:hint="eastAsia" w:hAnsi="ËÎÌå"/>
              <w:color w:val="auto"/>
              <w:kern w:val="0"/>
              <w:sz w:val="21"/>
              <w:szCs w:val="21"/>
              <w:lang w:val="en-US" w:eastAsia="zh-CN" w:bidi="ar-SA"/>
            </w:rPr>
            <w:t>等抽样方法进行抽样调查</w:t>
          </w:r>
          <w:r>
            <w:rPr>
              <w:rFonts w:hint="eastAsia" w:hAnsi="ËÎÌå"/>
              <w:color w:val="auto"/>
              <w:kern w:val="0"/>
              <w:sz w:val="21"/>
              <w:szCs w:val="21"/>
              <w:lang w:val="en-US" w:eastAsia="en-US" w:bidi="ar-SA"/>
            </w:rPr>
            <w:t>。</w:t>
          </w:r>
          <w:r>
            <w:rPr>
              <w:rFonts w:hint="eastAsia" w:hAnsi="ËÎÌå"/>
              <w:color w:val="auto"/>
              <w:kern w:val="0"/>
              <w:sz w:val="21"/>
              <w:szCs w:val="21"/>
              <w:lang w:val="en-US" w:eastAsia="zh-CN" w:bidi="ar-SA"/>
            </w:rPr>
            <w:t>样本数量应保证对总体有代表性，抽样比应不低于10%。</w:t>
          </w:r>
        </w:p>
        <w:p>
          <w:pPr>
            <w:pStyle w:val="181"/>
            <w:spacing w:after="300" w:line="335" w:lineRule="exact"/>
            <w:ind w:firstLine="0"/>
            <w:rPr>
              <w:rFonts w:hAnsi="ËÎÌå"/>
              <w:color w:val="auto"/>
              <w:kern w:val="0"/>
              <w:sz w:val="21"/>
              <w:szCs w:val="21"/>
              <w:lang w:val="en-US" w:eastAsia="zh-CN" w:bidi="ar-SA"/>
            </w:rPr>
          </w:pPr>
          <w:r>
            <w:rPr>
              <w:rFonts w:hint="eastAsia" w:ascii="黑体" w:hAnsi="黑体" w:eastAsia="黑体" w:cs="Times New Roman"/>
              <w:color w:val="000000" w:themeColor="text1"/>
              <w:kern w:val="0"/>
              <w:sz w:val="21"/>
              <w:szCs w:val="21"/>
              <w:lang w:val="en-US" w:eastAsia="zh-CN" w:bidi="ar-SA"/>
              <w14:textFill>
                <w14:solidFill>
                  <w14:schemeClr w14:val="tx1"/>
                </w14:solidFill>
              </w14:textFill>
            </w:rPr>
            <w:t xml:space="preserve">5.5.5  </w:t>
          </w:r>
          <w:r>
            <w:rPr>
              <w:rFonts w:hint="eastAsia" w:hAnsi="ËÎÌå"/>
              <w:color w:val="auto"/>
              <w:kern w:val="0"/>
              <w:sz w:val="21"/>
              <w:szCs w:val="21"/>
              <w:lang w:val="en-US" w:eastAsia="zh-CN" w:bidi="ar-SA"/>
            </w:rPr>
            <w:t>调查工作完成后，应及时进行各项数据的分析整理，并依据公众满意度调查结果,校正和修改建设任务、建设质量、建设成效等评价成果。</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56" w:name="_Toc27522"/>
          <w:bookmarkStart w:id="57" w:name="_Toc8682"/>
          <w:bookmarkStart w:id="58" w:name="_Toc24769"/>
          <w:r>
            <w:rPr>
              <w:rFonts w:hint="eastAsia" w:hAnsi="黑体"/>
              <w:color w:val="000000" w:themeColor="text1"/>
              <w:szCs w:val="21"/>
              <w14:textFill>
                <w14:solidFill>
                  <w14:schemeClr w14:val="tx1"/>
                </w14:solidFill>
              </w14:textFill>
            </w:rPr>
            <w:t>6  建设任务评价</w:t>
          </w:r>
          <w:bookmarkEnd w:id="56"/>
          <w:bookmarkEnd w:id="57"/>
          <w:bookmarkEnd w:id="58"/>
        </w:p>
        <w:p>
          <w:pPr>
            <w:pStyle w:val="50"/>
            <w:spacing w:before="120" w:after="120"/>
            <w:rPr>
              <w:rFonts w:hAnsi="黑体"/>
              <w:color w:val="000000" w:themeColor="text1"/>
              <w14:textFill>
                <w14:solidFill>
                  <w14:schemeClr w14:val="tx1"/>
                </w14:solidFill>
              </w14:textFill>
            </w:rPr>
          </w:pPr>
          <w:bookmarkStart w:id="59" w:name="_Toc10661"/>
          <w:bookmarkStart w:id="60" w:name="_Toc16576"/>
          <w:r>
            <w:rPr>
              <w:rFonts w:hint="eastAsia" w:hAnsi="黑体"/>
              <w:color w:val="000000" w:themeColor="text1"/>
              <w14:textFill>
                <w14:solidFill>
                  <w14:schemeClr w14:val="tx1"/>
                </w14:solidFill>
              </w14:textFill>
            </w:rPr>
            <w:t>6</w:t>
          </w:r>
          <w:r>
            <w:rPr>
              <w:rFonts w:hAnsi="黑体"/>
              <w:color w:val="000000" w:themeColor="text1"/>
              <w14:textFill>
                <w14:solidFill>
                  <w14:schemeClr w14:val="tx1"/>
                </w14:solidFill>
              </w14:textFill>
            </w:rPr>
            <w:t>.1</w:t>
          </w:r>
          <w:r>
            <w:rPr>
              <w:rFonts w:hint="eastAsia" w:hAnsi="黑体"/>
              <w:color w:val="000000" w:themeColor="text1"/>
              <w14:textFill>
                <w14:solidFill>
                  <w14:schemeClr w14:val="tx1"/>
                </w14:solidFill>
              </w14:textFill>
            </w:rPr>
            <w:t xml:space="preserve"> </w:t>
          </w:r>
          <w:r>
            <w:rPr>
              <w:rFonts w:hAnsi="黑体"/>
              <w:color w:val="000000" w:themeColor="text1"/>
              <w14:textFill>
                <w14:solidFill>
                  <w14:schemeClr w14:val="tx1"/>
                </w14:solidFill>
              </w14:textFill>
            </w:rPr>
            <w:t xml:space="preserve"> </w:t>
          </w:r>
          <w:r>
            <w:rPr>
              <w:rFonts w:hint="eastAsia" w:hAnsi="黑体"/>
              <w:color w:val="000000" w:themeColor="text1"/>
              <w14:textFill>
                <w14:solidFill>
                  <w14:schemeClr w14:val="tx1"/>
                </w14:solidFill>
              </w14:textFill>
            </w:rPr>
            <w:t>评价内容</w:t>
          </w:r>
          <w:bookmarkEnd w:id="59"/>
          <w:bookmarkEnd w:id="60"/>
        </w:p>
        <w:p>
          <w:pPr>
            <w:pStyle w:val="47"/>
            <w:ind w:firstLine="0" w:firstLineChars="0"/>
            <w:rPr>
              <w:rFonts w:hAnsi="ËÎÌå" w:cs="宋体"/>
              <w:szCs w:val="21"/>
            </w:rPr>
          </w:pPr>
          <w:r>
            <w:rPr>
              <w:rFonts w:hint="eastAsia" w:ascii="黑体" w:hAnsi="黑体" w:eastAsia="黑体"/>
              <w:color w:val="000000" w:themeColor="text1"/>
              <w:szCs w:val="21"/>
              <w14:textFill>
                <w14:solidFill>
                  <w14:schemeClr w14:val="tx1"/>
                </w14:solidFill>
              </w14:textFill>
            </w:rPr>
            <w:t xml:space="preserve">6.1.1  </w:t>
          </w:r>
          <w:r>
            <w:rPr>
              <w:rFonts w:hint="eastAsia" w:hAnsi="ËÎÌå" w:cs="宋体"/>
              <w:szCs w:val="21"/>
            </w:rPr>
            <w:t>依据高标准农田建设的有关规划和年度计划提出的建设任务进行评价，评价建设完成的高标准农田面积、各类工程数量和资金投入量等。</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6.1.2  </w:t>
          </w:r>
          <w:r>
            <w:rPr>
              <w:rFonts w:hint="eastAsia"/>
            </w:rPr>
            <w:t>分项目统计高标准农田建设任务完成情况，统计表详见附录E。</w:t>
          </w:r>
        </w:p>
        <w:p>
          <w:pPr>
            <w:pStyle w:val="50"/>
            <w:spacing w:before="120" w:after="120"/>
            <w:rPr>
              <w:rFonts w:hAnsi="黑体"/>
              <w:color w:val="000000" w:themeColor="text1"/>
              <w14:textFill>
                <w14:solidFill>
                  <w14:schemeClr w14:val="tx1"/>
                </w14:solidFill>
              </w14:textFill>
            </w:rPr>
          </w:pPr>
          <w:bookmarkStart w:id="61" w:name="_Toc11907"/>
          <w:bookmarkStart w:id="62" w:name="_Toc10254"/>
          <w:r>
            <w:rPr>
              <w:rFonts w:hint="eastAsia" w:hAnsi="黑体"/>
              <w:color w:val="000000" w:themeColor="text1"/>
              <w14:textFill>
                <w14:solidFill>
                  <w14:schemeClr w14:val="tx1"/>
                </w14:solidFill>
              </w14:textFill>
            </w:rPr>
            <w:t>6</w:t>
          </w:r>
          <w:r>
            <w:rPr>
              <w:rFonts w:hAnsi="黑体"/>
              <w:color w:val="000000" w:themeColor="text1"/>
              <w14:textFill>
                <w14:solidFill>
                  <w14:schemeClr w14:val="tx1"/>
                </w14:solidFill>
              </w14:textFill>
            </w:rPr>
            <w:t>.2</w:t>
          </w:r>
          <w:r>
            <w:rPr>
              <w:rFonts w:hint="eastAsia" w:hAnsi="黑体"/>
              <w:color w:val="000000" w:themeColor="text1"/>
              <w14:textFill>
                <w14:solidFill>
                  <w14:schemeClr w14:val="tx1"/>
                </w14:solidFill>
              </w14:textFill>
            </w:rPr>
            <w:t xml:space="preserve">  评价要求</w:t>
          </w:r>
          <w:bookmarkEnd w:id="61"/>
          <w:bookmarkEnd w:id="62"/>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6.2.1 </w:t>
          </w:r>
          <w:r>
            <w:rPr>
              <w:rFonts w:hAnsi="黑体"/>
              <w:color w:val="000000" w:themeColor="text1"/>
              <w14:textFill>
                <w14:solidFill>
                  <w14:schemeClr w14:val="tx1"/>
                </w14:solidFill>
              </w14:textFill>
            </w:rPr>
            <w:t xml:space="preserve"> </w:t>
          </w:r>
          <w:r>
            <w:rPr>
              <w:rFonts w:hint="eastAsia"/>
            </w:rPr>
            <w:t>通过资料查阅、现场调查等方法，开展建设任务评价。</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6.2.2 </w:t>
          </w:r>
          <w:r>
            <w:rPr>
              <w:rFonts w:hAnsi="黑体"/>
              <w:color w:val="000000" w:themeColor="text1"/>
              <w14:textFill>
                <w14:solidFill>
                  <w14:schemeClr w14:val="tx1"/>
                </w14:solidFill>
              </w14:textFill>
            </w:rPr>
            <w:t xml:space="preserve"> </w:t>
          </w:r>
          <w:r>
            <w:rPr>
              <w:rFonts w:hint="eastAsia"/>
            </w:rPr>
            <w:t>查阅高标准农田建设项目竣工验收资料和国土资源综合信息监管平台及相关信息系统，统计高标准农田建设面积、资金投入量和灌溉渠、排水沟、道路和建筑物等工程量。</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6.2.3  </w:t>
          </w:r>
          <w:r>
            <w:rPr>
              <w:rFonts w:hint="eastAsia"/>
            </w:rPr>
            <w:t>按比例抽查项目，开展现场调查，现场核实高标准农田建设任务完成情况。开展数量调查时，可与建设质量评价相结合。抽样比一般应不低于10％。</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6.2.4  </w:t>
          </w:r>
          <w:r>
            <w:rPr>
              <w:rFonts w:hint="eastAsia"/>
            </w:rPr>
            <w:t>高标准农田建设区域应通过国土资源综合信息监管平台进行校验，当出现下列情况之一时，建设任务评价项目不得分：</w:t>
          </w:r>
        </w:p>
        <w:p>
          <w:pPr>
            <w:pStyle w:val="47"/>
          </w:pPr>
          <w:r>
            <w:rPr>
              <w:rFonts w:hint="eastAsia"/>
            </w:rPr>
            <w:t>a）项目建设区域不清晰；</w:t>
          </w:r>
        </w:p>
        <w:p>
          <w:pPr>
            <w:pStyle w:val="47"/>
            <w:ind w:firstLine="409" w:firstLineChars="195"/>
          </w:pPr>
          <w:r>
            <w:rPr>
              <w:rFonts w:hint="eastAsia"/>
            </w:rPr>
            <w:t>b）未将高标准农田建设信息及时录入国土资源综合信息监管平台及相关信息系统；</w:t>
          </w:r>
        </w:p>
        <w:p>
          <w:pPr>
            <w:pStyle w:val="47"/>
            <w:ind w:firstLine="409" w:firstLineChars="195"/>
          </w:pPr>
          <w:r>
            <w:rPr>
              <w:rFonts w:hint="eastAsia"/>
            </w:rPr>
            <w:t>c）现场检查项目发现建成的高标准农田被建设占用、弃耕、退耕或退化的。</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63" w:name="_Toc1461"/>
          <w:bookmarkStart w:id="64" w:name="_Toc2614"/>
          <w:bookmarkStart w:id="65" w:name="_Toc22704"/>
          <w:r>
            <w:rPr>
              <w:rFonts w:hint="eastAsia" w:hAnsi="黑体"/>
              <w:color w:val="000000" w:themeColor="text1"/>
              <w:szCs w:val="21"/>
              <w14:textFill>
                <w14:solidFill>
                  <w14:schemeClr w14:val="tx1"/>
                </w14:solidFill>
              </w14:textFill>
            </w:rPr>
            <w:t>7</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建设质量评价</w:t>
          </w:r>
          <w:bookmarkEnd w:id="63"/>
          <w:bookmarkEnd w:id="64"/>
          <w:bookmarkEnd w:id="65"/>
        </w:p>
        <w:p>
          <w:pPr>
            <w:pStyle w:val="50"/>
            <w:spacing w:before="120" w:after="120"/>
            <w:rPr>
              <w:rFonts w:hAnsi="黑体"/>
              <w:color w:val="000000" w:themeColor="text1"/>
              <w14:textFill>
                <w14:solidFill>
                  <w14:schemeClr w14:val="tx1"/>
                </w14:solidFill>
              </w14:textFill>
            </w:rPr>
          </w:pPr>
          <w:bookmarkStart w:id="66" w:name="_Toc21776"/>
          <w:bookmarkStart w:id="67" w:name="_Toc3066"/>
          <w:r>
            <w:rPr>
              <w:rFonts w:hint="eastAsia" w:hAnsi="黑体"/>
              <w:color w:val="000000" w:themeColor="text1"/>
              <w14:textFill>
                <w14:solidFill>
                  <w14:schemeClr w14:val="tx1"/>
                </w14:solidFill>
              </w14:textFill>
            </w:rPr>
            <w:t>7</w:t>
          </w:r>
          <w:r>
            <w:rPr>
              <w:rFonts w:hAnsi="黑体"/>
              <w:color w:val="000000" w:themeColor="text1"/>
              <w14:textFill>
                <w14:solidFill>
                  <w14:schemeClr w14:val="tx1"/>
                </w14:solidFill>
              </w14:textFill>
            </w:rPr>
            <w:t xml:space="preserve">.1  </w:t>
          </w:r>
          <w:r>
            <w:rPr>
              <w:rFonts w:hint="eastAsia" w:hAnsi="黑体"/>
              <w:color w:val="000000" w:themeColor="text1"/>
              <w14:textFill>
                <w14:solidFill>
                  <w14:schemeClr w14:val="tx1"/>
                </w14:solidFill>
              </w14:textFill>
            </w:rPr>
            <w:t>评价内容</w:t>
          </w:r>
          <w:bookmarkEnd w:id="66"/>
          <w:bookmarkEnd w:id="67"/>
        </w:p>
        <w:p>
          <w:pPr>
            <w:pStyle w:val="47"/>
            <w:autoSpaceDE/>
            <w:autoSpaceDN/>
          </w:pPr>
          <w:r>
            <w:t>建设质量评价内容包括工程质量和耕地质量</w:t>
          </w:r>
          <w:r>
            <w:rPr>
              <w:rFonts w:hint="eastAsia"/>
            </w:rPr>
            <w:t>：</w:t>
          </w:r>
        </w:p>
        <w:p>
          <w:pPr>
            <w:pStyle w:val="47"/>
            <w:autoSpaceDE/>
            <w:autoSpaceDN/>
          </w:pPr>
          <w:r>
            <w:rPr>
              <w:rFonts w:hint="eastAsia"/>
            </w:rPr>
            <w:t>——</w:t>
          </w:r>
          <w:r>
            <w:t>工程质量评价内容包括</w:t>
          </w:r>
          <w:r>
            <w:rPr>
              <w:rFonts w:hint="eastAsia"/>
            </w:rPr>
            <w:t>土地平整、土壤改良、田间道路、灌溉排水、农田防护与生态环境保持、农田输配电</w:t>
          </w:r>
          <w:r>
            <w:t>等单项工程建设标准及工程质量构成要素</w:t>
          </w:r>
          <w:r>
            <w:rPr>
              <w:rFonts w:hint="eastAsia"/>
            </w:rPr>
            <w:t>、科技服务等方面</w:t>
          </w:r>
          <w:r>
            <w:t>。</w:t>
          </w:r>
        </w:p>
        <w:p>
          <w:pPr>
            <w:pStyle w:val="47"/>
            <w:autoSpaceDE/>
            <w:autoSpaceDN/>
          </w:pPr>
          <w:r>
            <w:rPr>
              <w:rFonts w:hint="eastAsia" w:hAnsi="黑体"/>
              <w:color w:val="000000" w:themeColor="text1"/>
              <w14:textFill>
                <w14:solidFill>
                  <w14:schemeClr w14:val="tx1"/>
                </w14:solidFill>
              </w14:textFill>
            </w:rPr>
            <w:t>——</w:t>
          </w:r>
          <w:r>
            <w:t>耕地质量评价内容应与工程质量评价相结合，实现对土壤、水资源和环境的综合支撑能力提升等方面进行评价</w:t>
          </w:r>
          <w:r>
            <w:rPr>
              <w:rFonts w:hint="eastAsia"/>
            </w:rPr>
            <w:t>。</w:t>
          </w:r>
          <w:r>
            <w:rPr>
              <w:rFonts w:hAnsi="黑体"/>
              <w:color w:val="000000" w:themeColor="text1"/>
              <w14:textFill>
                <w14:solidFill>
                  <w14:schemeClr w14:val="tx1"/>
                </w14:solidFill>
              </w14:textFill>
            </w:rPr>
            <w:t xml:space="preserve">  </w:t>
          </w:r>
        </w:p>
        <w:p>
          <w:pPr>
            <w:pStyle w:val="50"/>
            <w:spacing w:before="120" w:after="120"/>
            <w:rPr>
              <w:rFonts w:hAnsi="黑体"/>
              <w:color w:val="000000" w:themeColor="text1"/>
              <w14:textFill>
                <w14:solidFill>
                  <w14:schemeClr w14:val="tx1"/>
                </w14:solidFill>
              </w14:textFill>
            </w:rPr>
          </w:pPr>
          <w:bookmarkStart w:id="68" w:name="_Toc5438"/>
          <w:bookmarkStart w:id="69" w:name="_Toc30747"/>
          <w:r>
            <w:rPr>
              <w:rFonts w:hint="eastAsia" w:hAnsi="黑体"/>
              <w:color w:val="000000" w:themeColor="text1"/>
              <w14:textFill>
                <w14:solidFill>
                  <w14:schemeClr w14:val="tx1"/>
                </w14:solidFill>
              </w14:textFill>
            </w:rPr>
            <w:t>7</w:t>
          </w:r>
          <w:r>
            <w:rPr>
              <w:rFonts w:hAnsi="黑体"/>
              <w:color w:val="000000" w:themeColor="text1"/>
              <w14:textFill>
                <w14:solidFill>
                  <w14:schemeClr w14:val="tx1"/>
                </w14:solidFill>
              </w14:textFill>
            </w:rPr>
            <w:t xml:space="preserve">.2  </w:t>
          </w:r>
          <w:r>
            <w:rPr>
              <w:rFonts w:hint="eastAsia" w:hAnsi="黑体"/>
              <w:color w:val="000000" w:themeColor="text1"/>
              <w14:textFill>
                <w14:solidFill>
                  <w14:schemeClr w14:val="tx1"/>
                </w14:solidFill>
              </w14:textFill>
            </w:rPr>
            <w:t>评价要求</w:t>
          </w:r>
          <w:bookmarkEnd w:id="68"/>
          <w:bookmarkEnd w:id="69"/>
        </w:p>
        <w:p>
          <w:pPr>
            <w:autoSpaceDE w:val="0"/>
            <w:autoSpaceDN w:val="0"/>
            <w:adjustRightInd w:val="0"/>
            <w:jc w:val="left"/>
            <w:rPr>
              <w:rFonts w:hAnsi="黑体"/>
              <w:color w:val="000000" w:themeColor="text1"/>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 xml:space="preserve">7.2.1  </w:t>
          </w:r>
          <w:r>
            <w:rPr>
              <w:rFonts w:hint="eastAsia"/>
            </w:rPr>
            <w:t>采取</w:t>
          </w:r>
          <w:r>
            <w:t>资料查阅、现场调查、</w:t>
          </w:r>
          <w:r>
            <w:rPr>
              <w:rFonts w:hint="eastAsia"/>
            </w:rPr>
            <w:t>抽样调查、</w:t>
          </w:r>
          <w:r>
            <w:t>专家评议等</w:t>
          </w:r>
          <w:r>
            <w:rPr>
              <w:rFonts w:hint="eastAsia"/>
            </w:rPr>
            <w:t>方式</w:t>
          </w:r>
          <w:r>
            <w:t>开展建设质量评价</w:t>
          </w:r>
          <w:r>
            <w:rPr>
              <w:rFonts w:hint="eastAsia"/>
            </w:rPr>
            <w:t>。</w:t>
          </w:r>
        </w:p>
        <w:p>
          <w:pPr>
            <w:autoSpaceDE w:val="0"/>
            <w:autoSpaceDN w:val="0"/>
            <w:adjustRightInd w:val="0"/>
            <w:jc w:val="left"/>
            <w:rPr>
              <w:color w:val="474747"/>
            </w:rPr>
          </w:pPr>
          <w:r>
            <w:rPr>
              <w:rFonts w:hint="eastAsia" w:ascii="黑体" w:hAnsi="黑体" w:eastAsia="黑体"/>
              <w:color w:val="000000" w:themeColor="text1"/>
              <w:kern w:val="0"/>
              <w:szCs w:val="21"/>
              <w14:textFill>
                <w14:solidFill>
                  <w14:schemeClr w14:val="tx1"/>
                </w14:solidFill>
              </w14:textFill>
            </w:rPr>
            <w:t xml:space="preserve">7.2.2  </w:t>
          </w:r>
          <w:r>
            <w:t>依据</w:t>
          </w:r>
          <w:r>
            <w:rPr>
              <w:rFonts w:hint="eastAsia" w:ascii="宋体" w:hAnsi="宋体" w:cs="宋体"/>
            </w:rPr>
            <w:t>GB/T 30600、TD/T 1041提</w:t>
          </w:r>
          <w:r>
            <w:t>出的工程建设内容和</w:t>
          </w:r>
          <w:r>
            <w:rPr>
              <w:color w:val="474747"/>
            </w:rPr>
            <w:t>技</w:t>
          </w:r>
          <w:r>
            <w:t>术要求，查阅高标准农田建设项目</w:t>
          </w:r>
          <w:r>
            <w:rPr>
              <w:color w:val="474747"/>
            </w:rPr>
            <w:t>竣工验</w:t>
          </w:r>
          <w:r>
            <w:t>收资料，对工程质量评价成果进行</w:t>
          </w:r>
          <w:r>
            <w:rPr>
              <w:color w:val="474747"/>
            </w:rPr>
            <w:t>复核。</w:t>
          </w:r>
        </w:p>
        <w:p>
          <w:pPr>
            <w:pStyle w:val="8"/>
            <w:ind w:firstLine="0" w:firstLineChars="0"/>
          </w:pPr>
          <w:r>
            <w:rPr>
              <w:rFonts w:hint="eastAsia" w:ascii="黑体" w:hAnsi="黑体" w:eastAsia="黑体"/>
              <w:color w:val="000000" w:themeColor="text1"/>
              <w:kern w:val="0"/>
              <w:szCs w:val="21"/>
              <w14:textFill>
                <w14:solidFill>
                  <w14:schemeClr w14:val="tx1"/>
                </w14:solidFill>
              </w14:textFill>
            </w:rPr>
            <w:t xml:space="preserve">7.2.3 </w:t>
          </w:r>
          <w:r>
            <w:rPr>
              <w:rFonts w:hint="eastAsia"/>
              <w:color w:val="474747"/>
            </w:rPr>
            <w:t xml:space="preserve"> </w:t>
          </w:r>
          <w:r>
            <w:rPr>
              <w:rFonts w:hint="eastAsia"/>
            </w:rPr>
            <w:t>依据</w:t>
          </w:r>
          <w:r>
            <w:rPr>
              <w:rFonts w:hint="eastAsia" w:ascii="宋体" w:hAnsi="宋体" w:cs="宋体"/>
            </w:rPr>
            <w:t>GB/T 28405、GB/T 28407、NY/T 1634</w:t>
          </w:r>
          <w:r>
            <w:rPr>
              <w:rFonts w:hint="eastAsia"/>
            </w:rPr>
            <w:t>等规定，查阅高标准农田建设前后耕地质量评价资料，对耕地质量评价成果进行复核。</w:t>
          </w:r>
        </w:p>
        <w:p>
          <w:pPr>
            <w:pStyle w:val="8"/>
            <w:ind w:firstLine="0" w:firstLineChars="0"/>
          </w:pPr>
          <w:r>
            <w:rPr>
              <w:rFonts w:hint="eastAsia" w:ascii="黑体" w:hAnsi="黑体" w:eastAsia="黑体"/>
              <w:color w:val="000000" w:themeColor="text1"/>
              <w:kern w:val="0"/>
              <w:szCs w:val="21"/>
              <w14:textFill>
                <w14:solidFill>
                  <w14:schemeClr w14:val="tx1"/>
                </w14:solidFill>
              </w14:textFill>
            </w:rPr>
            <w:t xml:space="preserve">7.2.4 </w:t>
          </w:r>
          <w:r>
            <w:rPr>
              <w:rFonts w:hint="eastAsia"/>
            </w:rPr>
            <w:t xml:space="preserve"> 按比例抽查项目，开展现场调查和专家评议，现场抽查、检验工程质量和耕地质量。抽样比应不低于10%。填写高标准农田建设质量调查复核表，详见</w:t>
          </w:r>
          <w:r>
            <w:rPr>
              <w:rFonts w:hint="eastAsia" w:ascii="宋体" w:hAnsi="宋体" w:cs="宋体"/>
            </w:rPr>
            <w:t>附录F</w:t>
          </w:r>
          <w:r>
            <w:rPr>
              <w:rFonts w:hint="eastAsia"/>
            </w:rPr>
            <w:t>。</w:t>
          </w:r>
        </w:p>
        <w:p>
          <w:pPr>
            <w:autoSpaceDE w:val="0"/>
            <w:autoSpaceDN w:val="0"/>
            <w:adjustRightInd w:val="0"/>
            <w:jc w:val="left"/>
            <w:rPr>
              <w:rFonts w:hAnsi="黑体"/>
              <w:color w:val="000000" w:themeColor="text1"/>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 xml:space="preserve">7.2.5  </w:t>
          </w:r>
          <w:r>
            <w:rPr>
              <w:rFonts w:hint="eastAsia" w:hAnsi="黑体"/>
              <w:color w:val="000000" w:themeColor="text1"/>
              <w14:textFill>
                <w14:solidFill>
                  <w14:schemeClr w14:val="tx1"/>
                </w14:solidFill>
              </w14:textFill>
            </w:rPr>
            <w:t>当单项工程质量评价中的任一必选指标不满足附</w:t>
          </w:r>
          <w:r>
            <w:rPr>
              <w:rFonts w:hint="eastAsia" w:ascii="宋体" w:hAnsi="宋体" w:cs="宋体"/>
            </w:rPr>
            <w:t>录C规</w:t>
          </w:r>
          <w:r>
            <w:rPr>
              <w:rFonts w:hint="eastAsia" w:hAnsi="黑体"/>
              <w:color w:val="000000" w:themeColor="text1"/>
              <w14:textFill>
                <w14:solidFill>
                  <w14:schemeClr w14:val="tx1"/>
                </w14:solidFill>
              </w14:textFill>
            </w:rPr>
            <w:t>定的最低限值要求时，该单项工程建设质量评价项目不得分。</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70" w:name="_Toc3945"/>
          <w:bookmarkStart w:id="71" w:name="_Toc21606"/>
          <w:bookmarkStart w:id="72" w:name="_Toc17881"/>
          <w:r>
            <w:rPr>
              <w:rFonts w:hint="eastAsia" w:hAnsi="黑体"/>
              <w:color w:val="000000" w:themeColor="text1"/>
              <w:szCs w:val="21"/>
              <w14:textFill>
                <w14:solidFill>
                  <w14:schemeClr w14:val="tx1"/>
                </w14:solidFill>
              </w14:textFill>
            </w:rPr>
            <w:t>8</w:t>
          </w:r>
          <w:r>
            <w:rPr>
              <w:rFonts w:hAnsi="黑体"/>
              <w:color w:val="000000" w:themeColor="text1"/>
              <w:szCs w:val="21"/>
              <w14:textFill>
                <w14:solidFill>
                  <w14:schemeClr w14:val="tx1"/>
                </w14:solidFill>
              </w14:textFill>
            </w:rPr>
            <w:t xml:space="preserve">  建设</w:t>
          </w:r>
          <w:r>
            <w:rPr>
              <w:rFonts w:hint="eastAsia" w:hAnsi="黑体"/>
              <w:color w:val="000000" w:themeColor="text1"/>
              <w:szCs w:val="21"/>
              <w14:textFill>
                <w14:solidFill>
                  <w14:schemeClr w14:val="tx1"/>
                </w14:solidFill>
              </w14:textFill>
            </w:rPr>
            <w:t>成效</w:t>
          </w:r>
          <w:r>
            <w:rPr>
              <w:rFonts w:hAnsi="黑体"/>
              <w:color w:val="000000" w:themeColor="text1"/>
              <w:szCs w:val="21"/>
              <w14:textFill>
                <w14:solidFill>
                  <w14:schemeClr w14:val="tx1"/>
                </w14:solidFill>
              </w14:textFill>
            </w:rPr>
            <w:t>评价</w:t>
          </w:r>
          <w:bookmarkEnd w:id="70"/>
          <w:bookmarkEnd w:id="71"/>
          <w:bookmarkEnd w:id="72"/>
        </w:p>
        <w:p>
          <w:pPr>
            <w:pStyle w:val="50"/>
            <w:spacing w:before="120" w:after="120"/>
            <w:rPr>
              <w:rFonts w:hAnsi="黑体"/>
              <w:color w:val="000000" w:themeColor="text1"/>
              <w14:textFill>
                <w14:solidFill>
                  <w14:schemeClr w14:val="tx1"/>
                </w14:solidFill>
              </w14:textFill>
            </w:rPr>
          </w:pPr>
          <w:bookmarkStart w:id="73" w:name="_Toc11611"/>
          <w:bookmarkStart w:id="74" w:name="_Toc14476"/>
          <w:r>
            <w:rPr>
              <w:rFonts w:hAnsi="黑体"/>
              <w:color w:val="000000" w:themeColor="text1"/>
              <w14:textFill>
                <w14:solidFill>
                  <w14:schemeClr w14:val="tx1"/>
                </w14:solidFill>
              </w14:textFill>
            </w:rPr>
            <w:t xml:space="preserve">8.1  </w:t>
          </w:r>
          <w:r>
            <w:rPr>
              <w:rFonts w:hint="eastAsia" w:hAnsi="黑体"/>
              <w:color w:val="000000" w:themeColor="text1"/>
              <w14:textFill>
                <w14:solidFill>
                  <w14:schemeClr w14:val="tx1"/>
                </w14:solidFill>
              </w14:textFill>
            </w:rPr>
            <w:t>评价内容</w:t>
          </w:r>
          <w:bookmarkEnd w:id="73"/>
          <w:bookmarkEnd w:id="74"/>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8.1.1 </w:t>
          </w:r>
          <w:r>
            <w:rPr>
              <w:rFonts w:hint="eastAsia"/>
            </w:rPr>
            <w:t xml:space="preserve"> 建设成效评价内容包括建成后的经济、社会、生态和资源环境等效益。</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8.1.2 </w:t>
          </w:r>
          <w:r>
            <w:rPr>
              <w:rFonts w:hint="eastAsia"/>
            </w:rPr>
            <w:t xml:space="preserve"> 经济效益包括新增粮食产能、建成旱涝保收高标准农田面积、新增农业产值、减少农业生产成本等。</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8.1.3  </w:t>
          </w:r>
          <w:r>
            <w:rPr>
              <w:rFonts w:hint="eastAsia"/>
            </w:rPr>
            <w:t>社会效益包括农业机械化率提高值、农产品和粮食保供能力</w:t>
          </w:r>
          <w:r>
            <w:rPr>
              <w:rFonts w:hint="eastAsia"/>
              <w:lang w:eastAsia="zh-CN"/>
            </w:rPr>
            <w:t>、</w:t>
          </w:r>
          <w:r>
            <w:rPr>
              <w:rFonts w:hint="eastAsia"/>
            </w:rPr>
            <w:t>受益总人数、农业人均增加年收入</w:t>
          </w:r>
          <w:r>
            <w:rPr>
              <w:rFonts w:hint="eastAsia"/>
              <w:lang w:eastAsia="zh-CN"/>
            </w:rPr>
            <w:t>、农业科技水平</w:t>
          </w:r>
          <w:r>
            <w:rPr>
              <w:rFonts w:hint="eastAsia"/>
            </w:rPr>
            <w:t>等。</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8.1.4  </w:t>
          </w:r>
          <w:r>
            <w:rPr>
              <w:rFonts w:hint="eastAsia"/>
            </w:rPr>
            <w:t>生态效益包括环境治理、防灾减灾、节能减排等方面，涉及新增与改善农田灌溉排水面积、新增 农田防护林网面积、水土流失治理面积、农药化肥使用减少量等。</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8.1.5  </w:t>
          </w:r>
          <w:r>
            <w:rPr>
              <w:rFonts w:hint="eastAsia"/>
            </w:rPr>
            <w:t>资源环境效益包括耕地质量等别（等级）提高值、基础设施占地面积、工程质量寿命、增加耕地面积、增加水资源供应量、耕作层土壤剥离利用量等。</w:t>
          </w:r>
        </w:p>
        <w:p>
          <w:pPr>
            <w:pStyle w:val="50"/>
            <w:spacing w:before="120" w:after="120"/>
            <w:rPr>
              <w:rFonts w:hAnsi="黑体"/>
              <w:color w:val="000000" w:themeColor="text1"/>
              <w14:textFill>
                <w14:solidFill>
                  <w14:schemeClr w14:val="tx1"/>
                </w14:solidFill>
              </w14:textFill>
            </w:rPr>
          </w:pPr>
          <w:bookmarkStart w:id="75" w:name="_Toc798"/>
          <w:bookmarkStart w:id="76" w:name="_Toc1324"/>
          <w:r>
            <w:rPr>
              <w:rFonts w:hint="eastAsia" w:hAnsi="黑体"/>
              <w:color w:val="000000" w:themeColor="text1"/>
              <w14:textFill>
                <w14:solidFill>
                  <w14:schemeClr w14:val="tx1"/>
                </w14:solidFill>
              </w14:textFill>
            </w:rPr>
            <w:t>8</w:t>
          </w:r>
          <w:r>
            <w:rPr>
              <w:rFonts w:hAnsi="黑体"/>
              <w:color w:val="000000" w:themeColor="text1"/>
              <w14:textFill>
                <w14:solidFill>
                  <w14:schemeClr w14:val="tx1"/>
                </w14:solidFill>
              </w14:textFill>
            </w:rPr>
            <w:t xml:space="preserve">.2  </w:t>
          </w:r>
          <w:r>
            <w:rPr>
              <w:rFonts w:hint="eastAsia" w:hAnsi="黑体"/>
              <w:color w:val="000000" w:themeColor="text1"/>
              <w14:textFill>
                <w14:solidFill>
                  <w14:schemeClr w14:val="tx1"/>
                </w14:solidFill>
              </w14:textFill>
            </w:rPr>
            <w:t>评价要求</w:t>
          </w:r>
          <w:bookmarkEnd w:id="75"/>
          <w:bookmarkEnd w:id="76"/>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8.2.1  </w:t>
          </w:r>
          <w:r>
            <w:rPr>
              <w:rFonts w:hint="eastAsia"/>
            </w:rPr>
            <w:t>采用资料查阅、问卷调查、抽样调查、专家评议等方法，开展建设成效评价。</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8.2.2 </w:t>
          </w:r>
          <w:r>
            <w:rPr>
              <w:rFonts w:hint="eastAsia"/>
            </w:rPr>
            <w:t xml:space="preserve"> 通过查阅项目规划设计文件、竣工验收资料，结合当地统计资料，复核高标准农田建设项目的经 济效益、社会效益、生态效益和资源环境效益。</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8.2.3 </w:t>
          </w:r>
          <w:r>
            <w:rPr>
              <w:rFonts w:hint="eastAsia"/>
            </w:rPr>
            <w:t xml:space="preserve"> 按比例抽查项目，设计调查问卷，向项目区群众发放，全面调查项目区社会效益、经济效益、生态效益和资源环境效益。对于各类效益指标，也可选取典型地块，开展现场调查、量测和试验，现场获取各类评价指标的特征值。</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8.2.4  </w:t>
          </w:r>
          <w:r>
            <w:rPr>
              <w:rFonts w:hint="eastAsia"/>
            </w:rPr>
            <w:t>对于重要的评价指标，可采用专家集中评议的方法确定。对于因建设活动引起土壤条件、耕作条件发生变化时，可依据长期耕种、地力相对稳定的邻近地块的调查值或实测值,代替项目区的评价指标值。</w:t>
          </w:r>
        </w:p>
        <w:p>
          <w:pPr>
            <w:pStyle w:val="47"/>
            <w:ind w:firstLine="0" w:firstLineChars="0"/>
          </w:pPr>
          <w:r>
            <w:rPr>
              <w:rFonts w:hint="eastAsia" w:ascii="黑体" w:hAnsi="黑体" w:eastAsia="黑体"/>
              <w:color w:val="000000" w:themeColor="text1"/>
              <w:szCs w:val="21"/>
              <w14:textFill>
                <w14:solidFill>
                  <w14:schemeClr w14:val="tx1"/>
                </w14:solidFill>
              </w14:textFill>
            </w:rPr>
            <w:t xml:space="preserve">8.2.5 </w:t>
          </w:r>
          <w:r>
            <w:rPr>
              <w:rFonts w:hint="eastAsia"/>
            </w:rPr>
            <w:t xml:space="preserve"> 当评价项目内基本单元数量较多时，应按不低于10%的抽样比抽选样本,进行评价指标数据的 釆集。实际评价时，也可釆用定性与定量相结合的方式进行评价。</w:t>
          </w:r>
        </w:p>
        <w:p>
          <w:pPr>
            <w:pStyle w:val="99"/>
            <w:numPr>
              <w:ilvl w:val="0"/>
              <w:numId w:val="0"/>
            </w:numPr>
            <w:spacing w:before="240" w:after="240"/>
            <w:outlineLvl w:val="0"/>
            <w:rPr>
              <w:rFonts w:hAnsi="黑体"/>
              <w:color w:val="000000" w:themeColor="text1"/>
              <w:szCs w:val="21"/>
              <w14:textFill>
                <w14:solidFill>
                  <w14:schemeClr w14:val="tx1"/>
                </w14:solidFill>
              </w14:textFill>
            </w:rPr>
          </w:pPr>
          <w:bookmarkStart w:id="77" w:name="_Toc8571"/>
          <w:bookmarkStart w:id="78" w:name="_Toc23106"/>
          <w:bookmarkStart w:id="79" w:name="_Toc10656"/>
          <w:r>
            <w:rPr>
              <w:rFonts w:hint="eastAsia" w:hAnsi="黑体"/>
              <w:color w:val="000000" w:themeColor="text1"/>
              <w:szCs w:val="21"/>
              <w14:textFill>
                <w14:solidFill>
                  <w14:schemeClr w14:val="tx1"/>
                </w14:solidFill>
              </w14:textFill>
            </w:rPr>
            <w:t>9</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建设管理评价</w:t>
          </w:r>
          <w:bookmarkEnd w:id="77"/>
          <w:bookmarkEnd w:id="78"/>
          <w:bookmarkEnd w:id="79"/>
        </w:p>
        <w:p>
          <w:pPr>
            <w:pStyle w:val="50"/>
            <w:spacing w:before="120" w:after="120"/>
            <w:rPr>
              <w:rFonts w:hAnsi="黑体"/>
              <w:color w:val="000000" w:themeColor="text1"/>
              <w14:textFill>
                <w14:solidFill>
                  <w14:schemeClr w14:val="tx1"/>
                </w14:solidFill>
              </w14:textFill>
            </w:rPr>
          </w:pPr>
          <w:bookmarkStart w:id="80" w:name="_Toc7205"/>
          <w:bookmarkStart w:id="81" w:name="_Toc30610"/>
          <w:r>
            <w:rPr>
              <w:rFonts w:hint="eastAsia" w:hAnsi="黑体"/>
              <w:color w:val="000000" w:themeColor="text1"/>
              <w14:textFill>
                <w14:solidFill>
                  <w14:schemeClr w14:val="tx1"/>
                </w14:solidFill>
              </w14:textFill>
            </w:rPr>
            <w:t>9</w:t>
          </w:r>
          <w:r>
            <w:rPr>
              <w:rFonts w:hAnsi="黑体"/>
              <w:color w:val="000000" w:themeColor="text1"/>
              <w14:textFill>
                <w14:solidFill>
                  <w14:schemeClr w14:val="tx1"/>
                </w14:solidFill>
              </w14:textFill>
            </w:rPr>
            <w:t xml:space="preserve">.1  </w:t>
          </w:r>
          <w:r>
            <w:rPr>
              <w:rFonts w:hint="eastAsia" w:hAnsi="黑体"/>
              <w:color w:val="000000" w:themeColor="text1"/>
              <w14:textFill>
                <w14:solidFill>
                  <w14:schemeClr w14:val="tx1"/>
                </w14:solidFill>
              </w14:textFill>
            </w:rPr>
            <w:t>评价内容</w:t>
          </w:r>
          <w:bookmarkEnd w:id="80"/>
          <w:bookmarkEnd w:id="81"/>
        </w:p>
        <w:p>
          <w:pPr>
            <w:pStyle w:val="47"/>
            <w:ind w:firstLine="0" w:firstLineChars="0"/>
          </w:pPr>
          <w:r>
            <w:rPr>
              <w:rFonts w:hint="eastAsia" w:ascii="黑体" w:hAnsi="黑体" w:eastAsia="黑体"/>
              <w:color w:val="000000" w:themeColor="text1"/>
              <w:szCs w:val="21"/>
              <w:lang w:eastAsia="en-US"/>
              <w14:textFill>
                <w14:solidFill>
                  <w14:schemeClr w14:val="tx1"/>
                </w14:solidFill>
              </w14:textFill>
            </w:rPr>
            <w:t>9.1.1</w:t>
          </w:r>
          <w:r>
            <w:rPr>
              <w:rFonts w:hint="eastAsia" w:ascii="黑体" w:hAnsi="黑体" w:eastAsia="黑体"/>
              <w:color w:val="000000" w:themeColor="text1"/>
              <w:szCs w:val="21"/>
              <w14:textFill>
                <w14:solidFill>
                  <w14:schemeClr w14:val="tx1"/>
                </w14:solidFill>
              </w14:textFill>
            </w:rPr>
            <w:t xml:space="preserve">  </w:t>
          </w:r>
          <w:r>
            <w:rPr>
              <w:rFonts w:hint="eastAsia"/>
            </w:rPr>
            <w:t>建设管理评价内容包括建设工程的项目前期决策、实施管理和后期管护利用等。使用社会资金开展高标准农田建设管理评价时，可只对后期管护利用情况进行评价。</w:t>
          </w:r>
        </w:p>
        <w:p>
          <w:pPr>
            <w:pStyle w:val="47"/>
            <w:ind w:firstLine="0" w:firstLineChars="0"/>
          </w:pPr>
          <w:r>
            <w:rPr>
              <w:rFonts w:hint="eastAsia" w:ascii="黑体" w:hAnsi="黑体" w:eastAsia="黑体"/>
              <w:color w:val="000000" w:themeColor="text1"/>
              <w:szCs w:val="21"/>
              <w:lang w:eastAsia="en-US"/>
              <w14:textFill>
                <w14:solidFill>
                  <w14:schemeClr w14:val="tx1"/>
                </w14:solidFill>
              </w14:textFill>
            </w:rPr>
            <w:t>9.1.</w:t>
          </w:r>
          <w:r>
            <w:rPr>
              <w:rFonts w:hint="eastAsia" w:ascii="黑体" w:hAnsi="黑体" w:eastAsia="黑体"/>
              <w:color w:val="000000" w:themeColor="text1"/>
              <w:szCs w:val="21"/>
              <w14:textFill>
                <w14:solidFill>
                  <w14:schemeClr w14:val="tx1"/>
                </w14:solidFill>
              </w14:textFill>
            </w:rPr>
            <w:t xml:space="preserve">2  </w:t>
          </w:r>
          <w:r>
            <w:rPr>
              <w:rFonts w:hint="eastAsia"/>
            </w:rPr>
            <w:t>项目前期决策包括</w:t>
          </w:r>
          <w:r>
            <w:rPr>
              <w:rFonts w:hint="eastAsia" w:hAnsi="ºÚÌå" w:cs="宋体"/>
              <w:szCs w:val="21"/>
            </w:rPr>
            <w:t>项目建议书、可行性研究报告、项目初步设计（含概算）、总体方案设计等前期文件审批依据的合理性、审批程序的合法性等进行评价。</w:t>
          </w:r>
          <w:r>
            <w:rPr>
              <w:rFonts w:hint="eastAsia"/>
            </w:rPr>
            <w:t>并符合下列要求：</w:t>
          </w:r>
        </w:p>
        <w:p>
          <w:pPr>
            <w:pStyle w:val="47"/>
          </w:pPr>
          <w:r>
            <w:rPr>
              <w:rFonts w:hint="eastAsia"/>
            </w:rPr>
            <w:t>    a)  应全面执行国家及地方法律、法规、部门规章、规范性文件；</w:t>
          </w:r>
        </w:p>
        <w:p>
          <w:pPr>
            <w:pStyle w:val="47"/>
          </w:pPr>
          <w:r>
            <w:rPr>
              <w:rFonts w:hint="eastAsia"/>
            </w:rPr>
            <w:t>    b)  项目建设应符合高标准农田建设有关规划，项目立项应有批复文件；</w:t>
          </w:r>
        </w:p>
        <w:p>
          <w:pPr>
            <w:pStyle w:val="47"/>
          </w:pPr>
          <w:r>
            <w:rPr>
              <w:rFonts w:hint="eastAsia"/>
            </w:rPr>
            <w:t>    c)  项目可行性研究和设计等成果编制应符合相关标准规定，并有专家审查意见。</w:t>
          </w:r>
        </w:p>
        <w:p>
          <w:pPr>
            <w:pStyle w:val="47"/>
            <w:ind w:firstLine="0" w:firstLineChars="0"/>
          </w:pPr>
          <w:r>
            <w:rPr>
              <w:rFonts w:hint="eastAsia" w:ascii="黑体" w:hAnsi="黑体" w:eastAsia="黑体"/>
              <w:color w:val="000000" w:themeColor="text1"/>
              <w:szCs w:val="21"/>
              <w:lang w:eastAsia="en-US"/>
              <w14:textFill>
                <w14:solidFill>
                  <w14:schemeClr w14:val="tx1"/>
                </w14:solidFill>
              </w14:textFill>
            </w:rPr>
            <w:t>9.1.</w:t>
          </w:r>
          <w:r>
            <w:rPr>
              <w:rFonts w:hint="eastAsia" w:ascii="黑体" w:hAnsi="黑体" w:eastAsia="黑体"/>
              <w:color w:val="000000" w:themeColor="text1"/>
              <w:szCs w:val="21"/>
              <w14:textFill>
                <w14:solidFill>
                  <w14:schemeClr w14:val="tx1"/>
                </w14:solidFill>
              </w14:textFill>
            </w:rPr>
            <w:t xml:space="preserve">3  </w:t>
          </w:r>
          <w:r>
            <w:rPr>
              <w:rFonts w:hint="eastAsia"/>
            </w:rPr>
            <w:t>项目管理包括项目建设制度与标准执行、资金管理、工程进度与质量，新技术应用、施工管理、竣工验收等内容，并符合下列要求：</w:t>
          </w:r>
        </w:p>
        <w:p>
          <w:pPr>
            <w:pStyle w:val="47"/>
          </w:pPr>
          <w:r>
            <w:rPr>
              <w:rFonts w:hint="eastAsia"/>
            </w:rPr>
            <w:t>    a)  项目实施应执行“五项制度”，包括法人制、招投标制、工程监理制、合同制、公告制；</w:t>
          </w:r>
        </w:p>
        <w:p>
          <w:pPr>
            <w:pStyle w:val="47"/>
          </w:pPr>
          <w:r>
            <w:rPr>
              <w:rFonts w:hint="eastAsia"/>
            </w:rPr>
            <w:t>    b)  资金管理和资金筹措应符合立项文件规定，资金到位及时，资金使用和拨付符合规定；</w:t>
          </w:r>
        </w:p>
        <w:p>
          <w:pPr>
            <w:pStyle w:val="47"/>
          </w:pPr>
          <w:r>
            <w:rPr>
              <w:rFonts w:hint="eastAsia"/>
            </w:rPr>
            <w:t>    c)  工程进度计划合理，无工程质量和安全事故发生；</w:t>
          </w:r>
        </w:p>
        <w:p>
          <w:pPr>
            <w:pStyle w:val="47"/>
          </w:pPr>
          <w:r>
            <w:rPr>
              <w:rFonts w:hint="eastAsia"/>
            </w:rPr>
            <w:t>    d)  积极使用新技术、新工艺、新材料、新设备；</w:t>
          </w:r>
        </w:p>
        <w:p>
          <w:pPr>
            <w:pStyle w:val="8"/>
            <w:ind w:firstLine="0" w:firstLineChars="0"/>
          </w:pPr>
          <w:r>
            <w:rPr>
              <w:rFonts w:hint="eastAsia"/>
            </w:rPr>
            <w:t>    e)  高标准农田建设内容和标准应符合项目规划设计、施工组织设计、管理制度、合同执行和档案资料等方面要求；</w:t>
          </w:r>
        </w:p>
        <w:p>
          <w:pPr>
            <w:pStyle w:val="8"/>
            <w:ind w:firstLine="0" w:firstLineChars="0"/>
          </w:pPr>
          <w:r>
            <w:rPr>
              <w:rFonts w:hint="eastAsia"/>
            </w:rPr>
            <w:t>    f)  项目验收程序合法，验收结论正确，遗留问题已处理。</w:t>
          </w:r>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 xml:space="preserve">9.1.4  </w:t>
          </w:r>
          <w:r>
            <w:rPr>
              <w:rFonts w:hint="eastAsia"/>
            </w:rPr>
            <w:t>后期管护利用包括土地确权登记、上图入库、基本农田划定、土地权属管理、田间工程运行管理、工程管护资金与管护责任落实等内容，并符合下列要求：</w:t>
          </w:r>
        </w:p>
        <w:p>
          <w:pPr>
            <w:pStyle w:val="8"/>
            <w:ind w:firstLine="0" w:firstLineChars="0"/>
          </w:pPr>
          <w:r>
            <w:rPr>
              <w:rFonts w:hint="eastAsia"/>
            </w:rPr>
            <w:t>    a)  高标准农田项目竣工验收后应及时办理移交手续，并明晰产权，落实管护主体；</w:t>
          </w:r>
        </w:p>
        <w:p>
          <w:pPr>
            <w:pStyle w:val="8"/>
            <w:ind w:firstLine="0" w:firstLineChars="0"/>
          </w:pPr>
          <w:r>
            <w:rPr>
              <w:rFonts w:hint="eastAsia"/>
            </w:rPr>
            <w:t>    b)  高标准农田建成后应上图入库，并划入基本农田进行保护；</w:t>
          </w:r>
        </w:p>
        <w:p>
          <w:pPr>
            <w:pStyle w:val="8"/>
            <w:ind w:firstLine="0" w:firstLineChars="0"/>
          </w:pPr>
          <w:r>
            <w:rPr>
              <w:rFonts w:hint="eastAsia"/>
            </w:rPr>
            <w:t>    c)  变更后的土地权属应及时变更登记，土地权属调整方案应符合当地农民利益；</w:t>
          </w:r>
        </w:p>
        <w:p>
          <w:pPr>
            <w:pStyle w:val="8"/>
            <w:ind w:firstLine="0" w:firstLineChars="0"/>
          </w:pPr>
          <w:r>
            <w:rPr>
              <w:rFonts w:hint="eastAsia"/>
            </w:rPr>
            <w:t>    d)  工程管护资金应足额到位，管理人员和管理制度健全；</w:t>
          </w:r>
        </w:p>
        <w:p>
          <w:pPr>
            <w:pStyle w:val="8"/>
            <w:ind w:firstLine="0" w:firstLineChars="0"/>
          </w:pPr>
          <w:r>
            <w:rPr>
              <w:rFonts w:hint="eastAsia"/>
            </w:rPr>
            <w:t>    e)  各项工程应保持完好，运行状况良好，运行观测资料完整。</w:t>
          </w:r>
        </w:p>
        <w:p>
          <w:pPr>
            <w:pStyle w:val="50"/>
            <w:spacing w:before="120" w:after="120"/>
            <w:rPr>
              <w:rFonts w:hAnsi="黑体"/>
              <w:color w:val="000000" w:themeColor="text1"/>
              <w14:textFill>
                <w14:solidFill>
                  <w14:schemeClr w14:val="tx1"/>
                </w14:solidFill>
              </w14:textFill>
            </w:rPr>
          </w:pPr>
          <w:bookmarkStart w:id="82" w:name="_Toc19672"/>
          <w:bookmarkStart w:id="83" w:name="_Toc8601"/>
          <w:r>
            <w:rPr>
              <w:rFonts w:hint="eastAsia" w:hAnsi="黑体"/>
              <w:color w:val="000000" w:themeColor="text1"/>
              <w14:textFill>
                <w14:solidFill>
                  <w14:schemeClr w14:val="tx1"/>
                </w14:solidFill>
              </w14:textFill>
            </w:rPr>
            <w:t>9.2  评价要求</w:t>
          </w:r>
          <w:bookmarkEnd w:id="82"/>
          <w:bookmarkEnd w:id="83"/>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 xml:space="preserve">9.2.1  </w:t>
          </w:r>
          <w:r>
            <w:rPr>
              <w:rFonts w:hint="eastAsia"/>
            </w:rPr>
            <w:t>通过资料查阅、专家评议等方法，开展建设管理评价。</w:t>
          </w:r>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 xml:space="preserve">9.2.2  </w:t>
          </w:r>
          <w:r>
            <w:rPr>
              <w:rFonts w:hint="eastAsia"/>
            </w:rPr>
            <w:t>依据TD/T 1032、TD/T 1034、TD/T 1035等规定，查看基本农田划定、有关高标准农田建设规划编制情况。</w:t>
          </w:r>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 xml:space="preserve">9.2.3  </w:t>
          </w:r>
          <w:r>
            <w:rPr>
              <w:rFonts w:hint="eastAsia"/>
            </w:rPr>
            <w:t>通过查阅项目建设管理文件及设计、施工、监理、竣工验收和运行管理等资料，对项目前期工作、施工管理、后期管护利用等进行评价，全面评价建设管理情况。</w:t>
          </w:r>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 xml:space="preserve">9.2.4  </w:t>
          </w:r>
          <w:r>
            <w:rPr>
              <w:rFonts w:hint="eastAsia"/>
            </w:rPr>
            <w:t>对于设计方案合理性、新技术应用和标准执行等内容，可采用专家打分的方式，进行全面评价；对于制度执行、上图入库与基本农田划定、后期管护方案等内容，可选用量化指标进行全面评价。对于重要的评价指标，可采用专家集中评议的方法确定。</w:t>
          </w:r>
        </w:p>
        <w:p>
          <w:pPr>
            <w:pStyle w:val="8"/>
            <w:ind w:firstLine="0" w:firstLineChars="0"/>
          </w:pPr>
          <w:r>
            <w:rPr>
              <w:rFonts w:hint="eastAsia" w:ascii="黑体" w:hAnsi="黑体" w:eastAsia="黑体"/>
              <w:color w:val="000000" w:themeColor="text1"/>
              <w:kern w:val="0"/>
              <w:szCs w:val="21"/>
              <w:lang w:eastAsia="en-US"/>
              <w14:textFill>
                <w14:solidFill>
                  <w14:schemeClr w14:val="tx1"/>
                </w14:solidFill>
              </w14:textFill>
            </w:rPr>
            <w:t>9.2.5  随机从项目</w:t>
          </w:r>
          <w:r>
            <w:rPr>
              <w:rFonts w:hint="eastAsia" w:ascii="黑体" w:hAnsi="黑体" w:eastAsia="黑体"/>
              <w:color w:val="000000" w:themeColor="text1"/>
              <w:kern w:val="0"/>
              <w:szCs w:val="21"/>
              <w:lang w:eastAsia="zh-CN"/>
              <w14:textFill>
                <w14:solidFill>
                  <w14:schemeClr w14:val="tx1"/>
                </w14:solidFill>
              </w14:textFill>
            </w:rPr>
            <w:t>建设区</w:t>
          </w:r>
          <w:r>
            <w:rPr>
              <w:rFonts w:hint="eastAsia" w:ascii="黑体" w:hAnsi="黑体" w:eastAsia="黑体"/>
              <w:color w:val="000000" w:themeColor="text1"/>
              <w:kern w:val="0"/>
              <w:szCs w:val="21"/>
              <w:lang w:eastAsia="en-US"/>
              <w14:textFill>
                <w14:solidFill>
                  <w14:schemeClr w14:val="tx1"/>
                </w14:solidFill>
              </w14:textFill>
            </w:rPr>
            <w:t>抽查10%以上面积比例的高标准农田</w:t>
          </w:r>
          <w:r>
            <w:rPr>
              <w:rFonts w:hint="eastAsia"/>
            </w:rPr>
            <w:t>。</w:t>
          </w:r>
        </w:p>
        <w:p>
          <w:pPr>
            <w:ind w:firstLine="420" w:firstLineChars="200"/>
            <w:jc w:val="left"/>
            <w:rPr>
              <w:color w:val="000000" w:themeColor="text1"/>
              <w14:textFill>
                <w14:solidFill>
                  <w14:schemeClr w14:val="tx1"/>
                </w14:solidFill>
              </w14:textFill>
            </w:rPr>
            <w:sectPr>
              <w:headerReference r:id="rId17" w:type="default"/>
              <w:footerReference r:id="rId19" w:type="default"/>
              <w:headerReference r:id="rId18" w:type="even"/>
              <w:footerReference r:id="rId20" w:type="even"/>
              <w:pgSz w:w="11906" w:h="16838"/>
              <w:pgMar w:top="2410" w:right="1134" w:bottom="1134" w:left="1134" w:header="1418" w:footer="1134" w:gutter="284"/>
              <w:pgNumType w:start="1"/>
              <w:cols w:space="425" w:num="1"/>
              <w:formProt w:val="0"/>
              <w:docGrid w:linePitch="312" w:charSpace="0"/>
            </w:sectPr>
          </w:pPr>
        </w:p>
      </w:sdtContent>
    </w:sdt>
    <w:bookmarkEnd w:id="6"/>
    <w:bookmarkEnd w:id="7"/>
    <w:p>
      <w:pPr>
        <w:pStyle w:val="99"/>
        <w:numPr>
          <w:ilvl w:val="0"/>
          <w:numId w:val="0"/>
        </w:numPr>
        <w:spacing w:beforeLines="0" w:afterLines="0"/>
        <w:jc w:val="center"/>
        <w:outlineLvl w:val="0"/>
      </w:pPr>
      <w:bookmarkStart w:id="84" w:name="bookmark85"/>
      <w:bookmarkStart w:id="85" w:name="bookmark86"/>
      <w:bookmarkStart w:id="86" w:name="_Toc13021"/>
      <w:bookmarkStart w:id="87" w:name="bookmark84"/>
      <w:bookmarkStart w:id="88" w:name="_Toc22152"/>
      <w:r>
        <w:rPr>
          <w:rFonts w:hint="eastAsia" w:hAnsi="黑体"/>
          <w:color w:val="000000" w:themeColor="text1"/>
          <w:szCs w:val="21"/>
          <w:lang w:val="zh-TW" w:eastAsia="zh-TW"/>
          <w14:textFill>
            <w14:solidFill>
              <w14:schemeClr w14:val="tx1"/>
            </w14:solidFill>
          </w14:textFill>
        </w:rPr>
        <w:t>附录</w:t>
      </w:r>
      <w:r>
        <w:rPr>
          <w:rFonts w:hint="eastAsia" w:hAnsi="黑体"/>
          <w:color w:val="000000" w:themeColor="text1"/>
          <w:szCs w:val="21"/>
          <w:lang w:eastAsia="en-US"/>
          <w14:textFill>
            <w14:solidFill>
              <w14:schemeClr w14:val="tx1"/>
            </w14:solidFill>
          </w14:textFill>
        </w:rPr>
        <w:t>A</w:t>
      </w:r>
      <w:bookmarkEnd w:id="84"/>
      <w:bookmarkEnd w:id="85"/>
      <w:bookmarkEnd w:id="86"/>
      <w:bookmarkEnd w:id="87"/>
      <w:r>
        <w:br w:type="textWrapping"/>
      </w:r>
      <w:r>
        <w:t>（规范性）</w:t>
      </w:r>
      <w:r>
        <w:br w:type="textWrapping"/>
      </w:r>
      <w:r>
        <w:t>高标准农田建设评价工作程序</w:t>
      </w:r>
      <w:bookmarkEnd w:id="88"/>
    </w:p>
    <w:p>
      <w:pPr>
        <w:pStyle w:val="181"/>
        <w:spacing w:after="280" w:line="299" w:lineRule="exact"/>
        <w:ind w:firstLine="480"/>
      </w:pPr>
      <w:r>
        <w:t>高标准农田建设评价工作程序见图</w:t>
      </w:r>
      <w:r>
        <w:rPr>
          <w:rFonts w:ascii="Times New Roman" w:hAnsi="Times New Roman" w:eastAsia="Times New Roman" w:cs="Times New Roman"/>
          <w:lang w:val="en-US" w:eastAsia="en-US" w:bidi="en-US"/>
        </w:rPr>
        <w:t>A.1</w:t>
      </w:r>
      <w:r>
        <w:rPr>
          <w:lang w:val="en-US" w:eastAsia="en-US" w:bidi="en-US"/>
        </w:rPr>
        <w:t>。</w:t>
      </w:r>
    </w:p>
    <w:p>
      <w:pPr>
        <w:pStyle w:val="47"/>
      </w:pPr>
      <w:r>
        <w:rPr>
          <w:rFonts w:hint="eastAsia"/>
        </w:rPr>
        <w:drawing>
          <wp:inline distT="0" distB="0" distL="114300" distR="114300">
            <wp:extent cx="5636895" cy="5433695"/>
            <wp:effectExtent l="0" t="0" r="1905" b="14605"/>
            <wp:docPr id="11" name="图片 11" descr="1663127357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63127357769"/>
                    <pic:cNvPicPr>
                      <a:picLocks noChangeAspect="1"/>
                    </pic:cNvPicPr>
                  </pic:nvPicPr>
                  <pic:blipFill>
                    <a:blip r:embed="rId22"/>
                    <a:stretch>
                      <a:fillRect/>
                    </a:stretch>
                  </pic:blipFill>
                  <pic:spPr>
                    <a:xfrm>
                      <a:off x="0" y="0"/>
                      <a:ext cx="5636895" cy="5433695"/>
                    </a:xfrm>
                    <a:prstGeom prst="rect">
                      <a:avLst/>
                    </a:prstGeom>
                  </pic:spPr>
                </pic:pic>
              </a:graphicData>
            </a:graphic>
          </wp:inline>
        </w:drawing>
      </w:r>
    </w:p>
    <w:p>
      <w:pPr>
        <w:pStyle w:val="47"/>
      </w:pPr>
    </w:p>
    <w:p>
      <w:pPr>
        <w:pStyle w:val="47"/>
        <w:jc w:val="center"/>
      </w:pPr>
      <w:r>
        <w:rPr>
          <w:rFonts w:hint="eastAsia"/>
        </w:rPr>
        <w:t>图A.1高标准农田建设评价工作程序图</w:t>
      </w:r>
    </w:p>
    <w:p>
      <w:pPr>
        <w:pStyle w:val="47"/>
        <w:sectPr>
          <w:pgSz w:w="11906" w:h="16838"/>
          <w:pgMar w:top="2410" w:right="1134" w:bottom="1134" w:left="1134" w:header="1418" w:footer="1134" w:gutter="284"/>
          <w:cols w:space="425" w:num="1"/>
          <w:formProt w:val="0"/>
          <w:docGrid w:linePitch="312" w:charSpace="0"/>
        </w:sectPr>
      </w:pPr>
    </w:p>
    <w:p>
      <w:pPr>
        <w:pStyle w:val="99"/>
        <w:numPr>
          <w:ilvl w:val="0"/>
          <w:numId w:val="0"/>
        </w:numPr>
        <w:spacing w:beforeLines="0" w:afterLines="0"/>
        <w:jc w:val="center"/>
        <w:outlineLvl w:val="0"/>
      </w:pPr>
      <w:bookmarkStart w:id="89" w:name="_Toc18917"/>
      <w:bookmarkStart w:id="90" w:name="_Toc13281"/>
      <w:r>
        <w:rPr>
          <w:rFonts w:hint="eastAsia" w:hAnsi="黑体"/>
          <w:color w:val="000000" w:themeColor="text1"/>
          <w:szCs w:val="21"/>
          <w:lang w:val="zh-TW" w:eastAsia="zh-TW"/>
          <w14:textFill>
            <w14:solidFill>
              <w14:schemeClr w14:val="tx1"/>
            </w14:solidFill>
          </w14:textFill>
        </w:rPr>
        <w:t>附录</w:t>
      </w:r>
      <w:r>
        <w:rPr>
          <w:rFonts w:hint="eastAsia" w:hAnsi="黑体"/>
          <w:color w:val="000000" w:themeColor="text1"/>
          <w:szCs w:val="21"/>
          <w:lang w:eastAsia="en-US"/>
          <w14:textFill>
            <w14:solidFill>
              <w14:schemeClr w14:val="tx1"/>
            </w14:solidFill>
          </w14:textFill>
        </w:rPr>
        <w:t>B</w:t>
      </w:r>
      <w:bookmarkEnd w:id="89"/>
      <w:r>
        <w:br w:type="textWrapping"/>
      </w:r>
      <w:r>
        <w:t>（规范性）</w:t>
      </w:r>
      <w:r>
        <w:br w:type="textWrapping"/>
      </w:r>
      <w:r>
        <w:rPr>
          <w:color w:val="474747"/>
        </w:rPr>
        <w:t>高标准农</w:t>
      </w:r>
      <w:r>
        <w:t>田建设评价指</w:t>
      </w:r>
      <w:r>
        <w:rPr>
          <w:color w:val="474747"/>
        </w:rPr>
        <w:t>标体系</w:t>
      </w:r>
      <w:bookmarkEnd w:id="90"/>
    </w:p>
    <w:p>
      <w:pPr>
        <w:pStyle w:val="181"/>
        <w:spacing w:after="240" w:line="240" w:lineRule="auto"/>
        <w:ind w:firstLine="420"/>
        <w:jc w:val="left"/>
      </w:pPr>
      <w:r>
        <w:t>高标准农田建设评价指标体系见表</w:t>
      </w:r>
      <w:r>
        <w:rPr>
          <w:rFonts w:hint="eastAsia"/>
          <w:lang w:val="en-US" w:eastAsia="en-US" w:bidi="en-US"/>
        </w:rPr>
        <w:t>B.1。</w:t>
      </w:r>
    </w:p>
    <w:p>
      <w:pPr>
        <w:pStyle w:val="181"/>
        <w:spacing w:after="240" w:line="240" w:lineRule="auto"/>
        <w:ind w:firstLine="0"/>
        <w:jc w:val="center"/>
        <w:rPr>
          <w:rFonts w:ascii="黑体" w:hAnsi="黑体" w:eastAsia="黑体" w:cs="黑体"/>
        </w:rPr>
      </w:pPr>
      <w:r>
        <w:rPr>
          <w:rFonts w:hint="eastAsia" w:ascii="黑体" w:hAnsi="黑体" w:eastAsia="黑体" w:cs="黑体"/>
          <w:color w:val="474747"/>
        </w:rPr>
        <w:t>表</w:t>
      </w:r>
      <w:r>
        <w:rPr>
          <w:rFonts w:hint="eastAsia" w:ascii="黑体" w:hAnsi="黑体" w:eastAsia="黑体" w:cs="黑体"/>
          <w:color w:val="474747"/>
          <w:sz w:val="19"/>
          <w:szCs w:val="19"/>
          <w:lang w:val="en-US" w:eastAsia="en-US" w:bidi="en-US"/>
        </w:rPr>
        <w:t>B.1</w:t>
      </w:r>
      <w:r>
        <w:rPr>
          <w:rFonts w:hint="eastAsia" w:ascii="黑体" w:hAnsi="黑体" w:eastAsia="黑体" w:cs="黑体"/>
          <w:color w:val="474747"/>
          <w:sz w:val="19"/>
          <w:szCs w:val="19"/>
          <w:lang w:val="en-US" w:eastAsia="zh-CN" w:bidi="en-US"/>
        </w:rPr>
        <w:t xml:space="preserve">  </w:t>
      </w:r>
      <w:r>
        <w:rPr>
          <w:rFonts w:hint="eastAsia" w:ascii="黑体" w:hAnsi="黑体" w:eastAsia="黑体" w:cs="黑体"/>
          <w:color w:val="474747"/>
        </w:rPr>
        <w:t>高标准农田建设评</w:t>
      </w:r>
      <w:r>
        <w:rPr>
          <w:rFonts w:hint="eastAsia" w:ascii="黑体" w:hAnsi="黑体" w:eastAsia="黑体" w:cs="黑体"/>
        </w:rPr>
        <w:t>价指标</w:t>
      </w:r>
      <w:r>
        <w:rPr>
          <w:rFonts w:hint="eastAsia" w:ascii="黑体" w:hAnsi="黑体" w:eastAsia="黑体" w:cs="黑体"/>
          <w:color w:val="474747"/>
        </w:rPr>
        <w:t>体系表</w:t>
      </w:r>
    </w:p>
    <w:tbl>
      <w:tblPr>
        <w:tblStyle w:val="36"/>
        <w:tblW w:w="0" w:type="auto"/>
        <w:jc w:val="center"/>
        <w:tblLayout w:type="fixed"/>
        <w:tblCellMar>
          <w:top w:w="0" w:type="dxa"/>
          <w:left w:w="10" w:type="dxa"/>
          <w:bottom w:w="0" w:type="dxa"/>
          <w:right w:w="10" w:type="dxa"/>
        </w:tblCellMar>
      </w:tblPr>
      <w:tblGrid>
        <w:gridCol w:w="1472"/>
        <w:gridCol w:w="1613"/>
        <w:gridCol w:w="2696"/>
        <w:gridCol w:w="3467"/>
      </w:tblGrid>
      <w:tr>
        <w:tblPrEx>
          <w:tblCellMar>
            <w:top w:w="0" w:type="dxa"/>
            <w:left w:w="10" w:type="dxa"/>
            <w:bottom w:w="0" w:type="dxa"/>
            <w:right w:w="10" w:type="dxa"/>
          </w:tblCellMar>
        </w:tblPrEx>
        <w:trPr>
          <w:trHeight w:val="374" w:hRule="exact"/>
          <w:jc w:val="center"/>
        </w:trPr>
        <w:tc>
          <w:tcPr>
            <w:tcW w:w="1472" w:type="dxa"/>
            <w:vMerge w:val="restart"/>
            <w:tcBorders>
              <w:top w:val="single" w:color="auto" w:sz="4" w:space="0"/>
              <w:left w:val="single" w:color="auto" w:sz="4" w:space="0"/>
            </w:tcBorders>
            <w:shd w:val="clear" w:color="auto" w:fill="FFFFFF"/>
            <w:vAlign w:val="center"/>
          </w:tcPr>
          <w:p>
            <w:pPr>
              <w:pStyle w:val="183"/>
              <w:spacing w:line="240" w:lineRule="auto"/>
              <w:ind w:firstLine="360"/>
              <w:jc w:val="left"/>
              <w:rPr>
                <w:sz w:val="16"/>
                <w:szCs w:val="16"/>
              </w:rPr>
            </w:pPr>
            <w:r>
              <w:rPr>
                <w:sz w:val="16"/>
                <w:szCs w:val="16"/>
              </w:rPr>
              <w:t>一级指标</w:t>
            </w:r>
          </w:p>
        </w:tc>
        <w:tc>
          <w:tcPr>
            <w:tcW w:w="1613" w:type="dxa"/>
            <w:vMerge w:val="restart"/>
            <w:tcBorders>
              <w:top w:val="single" w:color="auto" w:sz="4" w:space="0"/>
              <w:left w:val="single" w:color="auto" w:sz="4" w:space="0"/>
            </w:tcBorders>
            <w:shd w:val="clear" w:color="auto" w:fill="FFFFFF"/>
            <w:vAlign w:val="center"/>
          </w:tcPr>
          <w:p>
            <w:pPr>
              <w:pStyle w:val="183"/>
              <w:spacing w:line="240" w:lineRule="auto"/>
              <w:ind w:firstLine="440"/>
              <w:jc w:val="left"/>
              <w:rPr>
                <w:sz w:val="16"/>
                <w:szCs w:val="16"/>
              </w:rPr>
            </w:pPr>
            <w:r>
              <w:rPr>
                <w:sz w:val="16"/>
                <w:szCs w:val="16"/>
              </w:rPr>
              <w:t>二级指标</w:t>
            </w:r>
          </w:p>
        </w:tc>
        <w:tc>
          <w:tcPr>
            <w:tcW w:w="6163" w:type="dxa"/>
            <w:gridSpan w:val="2"/>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sz w:val="16"/>
                <w:szCs w:val="16"/>
              </w:rPr>
              <w:t>三级指标</w:t>
            </w:r>
          </w:p>
        </w:tc>
      </w:tr>
      <w:tr>
        <w:tblPrEx>
          <w:tblCellMar>
            <w:top w:w="0" w:type="dxa"/>
            <w:left w:w="10" w:type="dxa"/>
            <w:bottom w:w="0" w:type="dxa"/>
            <w:right w:w="10" w:type="dxa"/>
          </w:tblCellMar>
        </w:tblPrEx>
        <w:trPr>
          <w:trHeight w:val="356" w:hRule="exact"/>
          <w:jc w:val="center"/>
        </w:trPr>
        <w:tc>
          <w:tcPr>
            <w:tcW w:w="1472" w:type="dxa"/>
            <w:vMerge w:val="continue"/>
            <w:tcBorders>
              <w:left w:val="single" w:color="auto" w:sz="4" w:space="0"/>
            </w:tcBorders>
            <w:shd w:val="clear" w:color="auto" w:fill="FFFFFF"/>
            <w:vAlign w:val="center"/>
          </w:tcPr>
          <w:p/>
        </w:tc>
        <w:tc>
          <w:tcPr>
            <w:tcW w:w="1613" w:type="dxa"/>
            <w:vMerge w:val="continue"/>
            <w:tcBorders>
              <w:left w:val="single" w:color="auto" w:sz="4" w:space="0"/>
            </w:tcBorders>
            <w:shd w:val="clear" w:color="auto" w:fill="FFFFFF"/>
            <w:vAlign w:val="center"/>
          </w:tcP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sz w:val="16"/>
                <w:szCs w:val="16"/>
              </w:rPr>
              <w:t>必选指标</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sz w:val="16"/>
                <w:szCs w:val="16"/>
              </w:rPr>
              <w:t>备选指标</w:t>
            </w:r>
          </w:p>
        </w:tc>
      </w:tr>
      <w:tr>
        <w:tblPrEx>
          <w:tblCellMar>
            <w:top w:w="0" w:type="dxa"/>
            <w:left w:w="10" w:type="dxa"/>
            <w:bottom w:w="0" w:type="dxa"/>
            <w:right w:w="10" w:type="dxa"/>
          </w:tblCellMar>
        </w:tblPrEx>
        <w:trPr>
          <w:trHeight w:val="727" w:hRule="exact"/>
          <w:jc w:val="center"/>
        </w:trPr>
        <w:tc>
          <w:tcPr>
            <w:tcW w:w="1472"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建设任务</w:t>
            </w: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计划完成情况</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rPr>
                <w:sz w:val="16"/>
                <w:szCs w:val="16"/>
              </w:rPr>
            </w:pPr>
            <w:r>
              <w:rPr>
                <w:sz w:val="16"/>
                <w:szCs w:val="16"/>
              </w:rPr>
              <w:t>高标准农田建设面积</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88" w:lineRule="exact"/>
              <w:ind w:firstLine="0"/>
              <w:rPr>
                <w:sz w:val="16"/>
                <w:szCs w:val="16"/>
              </w:rPr>
            </w:pPr>
            <w:r>
              <w:rPr>
                <w:sz w:val="16"/>
                <w:szCs w:val="16"/>
              </w:rPr>
              <w:t>财政投入资金，社会投资，灌溉渠、排水 沟、道路、建筑物等各类工程量</w:t>
            </w:r>
          </w:p>
        </w:tc>
      </w:tr>
      <w:tr>
        <w:tblPrEx>
          <w:tblCellMar>
            <w:top w:w="0" w:type="dxa"/>
            <w:left w:w="10" w:type="dxa"/>
            <w:bottom w:w="0" w:type="dxa"/>
            <w:right w:w="10" w:type="dxa"/>
          </w:tblCellMar>
        </w:tblPrEx>
        <w:trPr>
          <w:trHeight w:val="724" w:hRule="exact"/>
          <w:jc w:val="center"/>
        </w:trPr>
        <w:tc>
          <w:tcPr>
            <w:tcW w:w="1472" w:type="dxa"/>
            <w:vMerge w:val="restart"/>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建设质量</w:t>
            </w: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土地平整工程</w:t>
            </w:r>
          </w:p>
        </w:tc>
        <w:tc>
          <w:tcPr>
            <w:tcW w:w="2696" w:type="dxa"/>
            <w:tcBorders>
              <w:top w:val="single" w:color="auto" w:sz="4" w:space="0"/>
              <w:left w:val="single" w:color="auto" w:sz="4" w:space="0"/>
            </w:tcBorders>
            <w:shd w:val="clear" w:color="auto" w:fill="FFFFFF"/>
            <w:vAlign w:val="center"/>
          </w:tcPr>
          <w:p>
            <w:pPr>
              <w:pStyle w:val="183"/>
              <w:spacing w:line="292" w:lineRule="exact"/>
              <w:ind w:firstLine="0"/>
              <w:rPr>
                <w:sz w:val="16"/>
                <w:szCs w:val="16"/>
              </w:rPr>
            </w:pPr>
            <w:r>
              <w:rPr>
                <w:sz w:val="16"/>
                <w:szCs w:val="16"/>
              </w:rPr>
              <w:t>土层厚度，地面坡度，地表砾石 含量</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left"/>
              <w:rPr>
                <w:sz w:val="16"/>
                <w:szCs w:val="16"/>
              </w:rPr>
            </w:pPr>
            <w:r>
              <w:rPr>
                <w:sz w:val="16"/>
                <w:szCs w:val="16"/>
              </w:rPr>
              <w:t>田块标准化，田面平整度，梯田修筑标准</w:t>
            </w:r>
          </w:p>
        </w:tc>
      </w:tr>
      <w:tr>
        <w:tblPrEx>
          <w:tblCellMar>
            <w:top w:w="0" w:type="dxa"/>
            <w:left w:w="10" w:type="dxa"/>
            <w:bottom w:w="0" w:type="dxa"/>
            <w:right w:w="10" w:type="dxa"/>
          </w:tblCellMar>
        </w:tblPrEx>
        <w:trPr>
          <w:trHeight w:val="760"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土壤改良工程</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rPr>
                <w:rFonts w:hint="eastAsia" w:eastAsia="宋体"/>
                <w:sz w:val="16"/>
                <w:szCs w:val="16"/>
                <w:lang w:eastAsia="zh-CN"/>
              </w:rPr>
            </w:pPr>
            <w:r>
              <w:rPr>
                <w:sz w:val="16"/>
                <w:szCs w:val="16"/>
              </w:rPr>
              <w:t>土壤质地，土壤有机质含量</w:t>
            </w:r>
            <w:r>
              <w:rPr>
                <w:rFonts w:hint="eastAsia"/>
                <w:sz w:val="16"/>
                <w:szCs w:val="16"/>
                <w:lang w:eastAsia="zh-CN"/>
              </w:rPr>
              <w:t>、土壤污染风险筛选指基本项目</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left"/>
              <w:rPr>
                <w:rFonts w:hint="eastAsia" w:eastAsia="宋体"/>
                <w:sz w:val="16"/>
                <w:szCs w:val="16"/>
                <w:lang w:eastAsia="zh-CN"/>
              </w:rPr>
            </w:pPr>
            <w:r>
              <w:rPr>
                <w:sz w:val="16"/>
                <w:szCs w:val="16"/>
              </w:rPr>
              <w:t>土壤养分，障碍因子，土壤</w:t>
            </w:r>
            <w:r>
              <w:rPr>
                <w:rFonts w:ascii="Times New Roman" w:hAnsi="Times New Roman" w:eastAsia="Times New Roman" w:cs="Times New Roman"/>
                <w:sz w:val="18"/>
                <w:szCs w:val="18"/>
                <w:lang w:val="en-US" w:eastAsia="en-US" w:bidi="en-US"/>
              </w:rPr>
              <w:t>pH</w:t>
            </w:r>
            <w:r>
              <w:rPr>
                <w:sz w:val="16"/>
                <w:szCs w:val="16"/>
              </w:rPr>
              <w:t>（改良标准）</w:t>
            </w:r>
            <w:r>
              <w:rPr>
                <w:rFonts w:hint="eastAsia"/>
                <w:sz w:val="16"/>
                <w:szCs w:val="16"/>
                <w:lang w:eastAsia="zh-CN"/>
              </w:rPr>
              <w:t>、容重、阳离子交换量、有效磷、速效钾、微生物碳量、病虫害生物防治率</w:t>
            </w:r>
          </w:p>
        </w:tc>
      </w:tr>
      <w:tr>
        <w:tblPrEx>
          <w:tblCellMar>
            <w:top w:w="0" w:type="dxa"/>
            <w:left w:w="10" w:type="dxa"/>
            <w:bottom w:w="0" w:type="dxa"/>
            <w:right w:w="10" w:type="dxa"/>
          </w:tblCellMar>
        </w:tblPrEx>
        <w:trPr>
          <w:trHeight w:val="727"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灌溉与排水工程</w:t>
            </w:r>
          </w:p>
        </w:tc>
        <w:tc>
          <w:tcPr>
            <w:tcW w:w="2696" w:type="dxa"/>
            <w:tcBorders>
              <w:top w:val="single" w:color="auto" w:sz="4" w:space="0"/>
              <w:left w:val="single" w:color="auto" w:sz="4" w:space="0"/>
            </w:tcBorders>
            <w:shd w:val="clear" w:color="auto" w:fill="FFFFFF"/>
            <w:vAlign w:val="center"/>
          </w:tcPr>
          <w:p>
            <w:pPr>
              <w:pStyle w:val="183"/>
              <w:spacing w:after="100" w:line="240" w:lineRule="auto"/>
              <w:ind w:firstLine="0"/>
              <w:rPr>
                <w:sz w:val="16"/>
                <w:szCs w:val="16"/>
              </w:rPr>
            </w:pPr>
            <w:r>
              <w:rPr>
                <w:sz w:val="16"/>
                <w:szCs w:val="16"/>
              </w:rPr>
              <w:t>灌溉设计保证率，排水标准，建</w:t>
            </w:r>
          </w:p>
          <w:p>
            <w:pPr>
              <w:pStyle w:val="183"/>
              <w:spacing w:line="240" w:lineRule="auto"/>
              <w:ind w:firstLine="0"/>
              <w:jc w:val="left"/>
              <w:rPr>
                <w:sz w:val="16"/>
                <w:szCs w:val="16"/>
              </w:rPr>
            </w:pPr>
            <w:r>
              <w:rPr>
                <w:sz w:val="16"/>
                <w:szCs w:val="16"/>
              </w:rPr>
              <w:t>（构）筑物使用年限</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灌溉水利用效率，基础设施配套率</w:t>
            </w:r>
          </w:p>
        </w:tc>
      </w:tr>
      <w:tr>
        <w:tblPrEx>
          <w:tblCellMar>
            <w:top w:w="0" w:type="dxa"/>
            <w:left w:w="10" w:type="dxa"/>
            <w:bottom w:w="0" w:type="dxa"/>
            <w:right w:w="10" w:type="dxa"/>
          </w:tblCellMar>
        </w:tblPrEx>
        <w:trPr>
          <w:trHeight w:val="364"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田间道路工程</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道路通达度，道路使用年限</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路面修筑标准与平整度</w:t>
            </w:r>
          </w:p>
        </w:tc>
      </w:tr>
      <w:tr>
        <w:tblPrEx>
          <w:tblCellMar>
            <w:top w:w="0" w:type="dxa"/>
            <w:left w:w="10" w:type="dxa"/>
            <w:bottom w:w="0" w:type="dxa"/>
            <w:right w:w="10" w:type="dxa"/>
          </w:tblCellMar>
        </w:tblPrEx>
        <w:trPr>
          <w:trHeight w:val="720"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74" w:lineRule="exact"/>
              <w:ind w:firstLine="0"/>
              <w:jc w:val="left"/>
              <w:rPr>
                <w:sz w:val="16"/>
                <w:szCs w:val="16"/>
              </w:rPr>
            </w:pPr>
            <w:r>
              <w:rPr>
                <w:sz w:val="16"/>
                <w:szCs w:val="16"/>
              </w:rPr>
              <w:t>农田防护与生态 环境保持工程</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rPr>
                <w:sz w:val="16"/>
                <w:szCs w:val="16"/>
              </w:rPr>
            </w:pPr>
            <w:r>
              <w:rPr>
                <w:sz w:val="16"/>
                <w:szCs w:val="16"/>
              </w:rPr>
              <w:t>农田防护标准</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农田林网密度与保存率</w:t>
            </w:r>
          </w:p>
        </w:tc>
      </w:tr>
      <w:tr>
        <w:tblPrEx>
          <w:tblCellMar>
            <w:top w:w="0" w:type="dxa"/>
            <w:left w:w="10" w:type="dxa"/>
            <w:bottom w:w="0" w:type="dxa"/>
            <w:right w:w="10" w:type="dxa"/>
          </w:tblCellMar>
        </w:tblPrEx>
        <w:trPr>
          <w:trHeight w:val="364"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农田输配电工程</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474747"/>
                <w:sz w:val="16"/>
                <w:szCs w:val="16"/>
              </w:rPr>
              <w:t>一</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输电线路配套程度，变配电装置配套率</w:t>
            </w:r>
          </w:p>
        </w:tc>
      </w:tr>
      <w:tr>
        <w:tblPrEx>
          <w:tblCellMar>
            <w:top w:w="0" w:type="dxa"/>
            <w:left w:w="10" w:type="dxa"/>
            <w:bottom w:w="0" w:type="dxa"/>
            <w:right w:w="10" w:type="dxa"/>
          </w:tblCellMar>
        </w:tblPrEx>
        <w:trPr>
          <w:trHeight w:val="724" w:hRule="exact"/>
          <w:jc w:val="center"/>
        </w:trPr>
        <w:tc>
          <w:tcPr>
            <w:tcW w:w="1472" w:type="dxa"/>
            <w:vMerge w:val="restart"/>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建设成效</w:t>
            </w: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经济效益</w:t>
            </w:r>
          </w:p>
        </w:tc>
        <w:tc>
          <w:tcPr>
            <w:tcW w:w="2696" w:type="dxa"/>
            <w:tcBorders>
              <w:top w:val="single" w:color="auto" w:sz="4" w:space="0"/>
              <w:left w:val="single" w:color="auto" w:sz="4" w:space="0"/>
            </w:tcBorders>
            <w:shd w:val="clear" w:color="auto" w:fill="FFFFFF"/>
            <w:vAlign w:val="center"/>
          </w:tcPr>
          <w:p>
            <w:pPr>
              <w:pStyle w:val="183"/>
              <w:spacing w:line="274" w:lineRule="exact"/>
              <w:ind w:firstLine="0"/>
              <w:rPr>
                <w:sz w:val="16"/>
                <w:szCs w:val="16"/>
              </w:rPr>
            </w:pPr>
            <w:r>
              <w:rPr>
                <w:sz w:val="16"/>
                <w:szCs w:val="16"/>
              </w:rPr>
              <w:t>新增粮食产能，建成旱涝保收高 标准农田面积</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新增农业产值，减少农业生产成本</w:t>
            </w:r>
          </w:p>
        </w:tc>
      </w:tr>
      <w:tr>
        <w:tblPrEx>
          <w:tblCellMar>
            <w:top w:w="0" w:type="dxa"/>
            <w:left w:w="10" w:type="dxa"/>
            <w:bottom w:w="0" w:type="dxa"/>
            <w:right w:w="10" w:type="dxa"/>
          </w:tblCellMar>
        </w:tblPrEx>
        <w:trPr>
          <w:trHeight w:val="724"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社会效益</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农业综合机械化率提高值</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81" w:lineRule="exact"/>
              <w:ind w:firstLine="0"/>
              <w:rPr>
                <w:sz w:val="16"/>
                <w:szCs w:val="16"/>
              </w:rPr>
            </w:pPr>
            <w:r>
              <w:rPr>
                <w:sz w:val="16"/>
                <w:szCs w:val="16"/>
              </w:rPr>
              <w:t>受益总人数，农民人均增加年净收入，单 位面积增加年净收入，转移农村劳力数</w:t>
            </w:r>
          </w:p>
        </w:tc>
      </w:tr>
      <w:tr>
        <w:tblPrEx>
          <w:tblCellMar>
            <w:top w:w="0" w:type="dxa"/>
            <w:left w:w="10" w:type="dxa"/>
            <w:bottom w:w="0" w:type="dxa"/>
            <w:right w:w="10" w:type="dxa"/>
          </w:tblCellMar>
        </w:tblPrEx>
        <w:trPr>
          <w:trHeight w:val="1267"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生态效益</w:t>
            </w:r>
          </w:p>
        </w:tc>
        <w:tc>
          <w:tcPr>
            <w:tcW w:w="2696" w:type="dxa"/>
            <w:tcBorders>
              <w:top w:val="single" w:color="auto" w:sz="4" w:space="0"/>
              <w:left w:val="single" w:color="auto" w:sz="4" w:space="0"/>
            </w:tcBorders>
            <w:shd w:val="clear" w:color="auto" w:fill="FFFFFF"/>
            <w:vAlign w:val="center"/>
          </w:tcPr>
          <w:p>
            <w:pPr>
              <w:pStyle w:val="183"/>
              <w:spacing w:line="295" w:lineRule="exact"/>
              <w:ind w:firstLine="0"/>
              <w:rPr>
                <w:sz w:val="16"/>
                <w:szCs w:val="16"/>
              </w:rPr>
            </w:pPr>
            <w:r>
              <w:rPr>
                <w:sz w:val="16"/>
                <w:szCs w:val="16"/>
              </w:rPr>
              <w:t>新增农田灌溉达标面积，新增农 田排水达标面积</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90" w:lineRule="exact"/>
              <w:ind w:firstLine="0"/>
              <w:rPr>
                <w:sz w:val="16"/>
                <w:szCs w:val="16"/>
              </w:rPr>
            </w:pPr>
            <w:r>
              <w:rPr>
                <w:sz w:val="16"/>
                <w:szCs w:val="16"/>
              </w:rPr>
              <w:t>新增农田林网面积，水土流失治理面积， 新增农田防洪面积，盐碱地治理面积，血 吸虫治理面积，化肥农药使用减少量，土 壤污染治理面积</w:t>
            </w:r>
          </w:p>
        </w:tc>
      </w:tr>
      <w:tr>
        <w:tblPrEx>
          <w:tblCellMar>
            <w:top w:w="0" w:type="dxa"/>
            <w:left w:w="10" w:type="dxa"/>
            <w:bottom w:w="0" w:type="dxa"/>
            <w:right w:w="10" w:type="dxa"/>
          </w:tblCellMar>
        </w:tblPrEx>
        <w:trPr>
          <w:trHeight w:val="1267"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资源环境</w:t>
            </w:r>
          </w:p>
        </w:tc>
        <w:tc>
          <w:tcPr>
            <w:tcW w:w="2696" w:type="dxa"/>
            <w:tcBorders>
              <w:top w:val="single" w:color="auto" w:sz="4" w:space="0"/>
              <w:left w:val="single" w:color="auto" w:sz="4" w:space="0"/>
            </w:tcBorders>
            <w:shd w:val="clear" w:color="auto" w:fill="FFFFFF"/>
            <w:vAlign w:val="center"/>
          </w:tcPr>
          <w:p>
            <w:pPr>
              <w:pStyle w:val="183"/>
              <w:spacing w:line="284" w:lineRule="exact"/>
              <w:ind w:firstLine="0"/>
              <w:rPr>
                <w:sz w:val="16"/>
                <w:szCs w:val="16"/>
              </w:rPr>
            </w:pPr>
            <w:r>
              <w:rPr>
                <w:sz w:val="16"/>
                <w:szCs w:val="16"/>
              </w:rPr>
              <w:t>耕地质量等别（等级）提高值，基 础设施占地率，工程质量寿命</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86" w:lineRule="exact"/>
              <w:ind w:firstLine="0"/>
              <w:rPr>
                <w:sz w:val="16"/>
                <w:szCs w:val="16"/>
              </w:rPr>
            </w:pPr>
            <w:r>
              <w:rPr>
                <w:sz w:val="16"/>
                <w:szCs w:val="16"/>
              </w:rPr>
              <w:t>新增耕地面积，建设用地面积变化情况， 建设用地整治增加耕地面积，单位面积节 约水量，新增供水能力，增加林木蓄积量， 耕作层土壤剥离利用量</w:t>
            </w:r>
          </w:p>
        </w:tc>
      </w:tr>
      <w:tr>
        <w:tblPrEx>
          <w:tblCellMar>
            <w:top w:w="0" w:type="dxa"/>
            <w:left w:w="10" w:type="dxa"/>
            <w:bottom w:w="0" w:type="dxa"/>
            <w:right w:w="10" w:type="dxa"/>
          </w:tblCellMar>
        </w:tblPrEx>
        <w:trPr>
          <w:trHeight w:val="364" w:hRule="exact"/>
          <w:jc w:val="center"/>
        </w:trPr>
        <w:tc>
          <w:tcPr>
            <w:tcW w:w="1472" w:type="dxa"/>
            <w:vMerge w:val="restart"/>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建设管理</w:t>
            </w: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前期工作</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工作程序合规性，规划编制</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rPr>
                <w:sz w:val="16"/>
                <w:szCs w:val="16"/>
              </w:rPr>
            </w:pPr>
            <w:r>
              <w:rPr>
                <w:color w:val="000000"/>
                <w:sz w:val="16"/>
                <w:szCs w:val="16"/>
              </w:rPr>
              <w:t>设计方案合理性</w:t>
            </w:r>
          </w:p>
        </w:tc>
      </w:tr>
      <w:tr>
        <w:tblPrEx>
          <w:tblCellMar>
            <w:top w:w="0" w:type="dxa"/>
            <w:left w:w="10" w:type="dxa"/>
            <w:bottom w:w="0" w:type="dxa"/>
            <w:right w:w="10" w:type="dxa"/>
          </w:tblCellMar>
        </w:tblPrEx>
        <w:trPr>
          <w:trHeight w:val="724"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项目管理</w:t>
            </w:r>
          </w:p>
        </w:tc>
        <w:tc>
          <w:tcPr>
            <w:tcW w:w="2696"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竣工验收，资金管理</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84" w:lineRule="exact"/>
              <w:ind w:firstLine="0"/>
              <w:rPr>
                <w:sz w:val="16"/>
                <w:szCs w:val="16"/>
              </w:rPr>
            </w:pPr>
            <w:r>
              <w:rPr>
                <w:sz w:val="16"/>
                <w:szCs w:val="16"/>
              </w:rPr>
              <w:t>制度执行，标准执行，新技术应用，定位 观测</w:t>
            </w:r>
          </w:p>
        </w:tc>
      </w:tr>
      <w:tr>
        <w:tblPrEx>
          <w:tblCellMar>
            <w:top w:w="0" w:type="dxa"/>
            <w:left w:w="10" w:type="dxa"/>
            <w:bottom w:w="0" w:type="dxa"/>
            <w:right w:w="10" w:type="dxa"/>
          </w:tblCellMar>
        </w:tblPrEx>
        <w:trPr>
          <w:trHeight w:val="724"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sz w:val="16"/>
                <w:szCs w:val="16"/>
              </w:rPr>
              <w:t>后期管护利用</w:t>
            </w:r>
          </w:p>
        </w:tc>
        <w:tc>
          <w:tcPr>
            <w:tcW w:w="2696" w:type="dxa"/>
            <w:tcBorders>
              <w:top w:val="single" w:color="auto" w:sz="4" w:space="0"/>
              <w:left w:val="single" w:color="auto" w:sz="4" w:space="0"/>
            </w:tcBorders>
            <w:shd w:val="clear" w:color="auto" w:fill="FFFFFF"/>
            <w:vAlign w:val="center"/>
          </w:tcPr>
          <w:p>
            <w:pPr>
              <w:pStyle w:val="183"/>
              <w:spacing w:line="284" w:lineRule="exact"/>
              <w:ind w:firstLine="0"/>
              <w:rPr>
                <w:sz w:val="16"/>
                <w:szCs w:val="16"/>
              </w:rPr>
            </w:pPr>
            <w:r>
              <w:rPr>
                <w:sz w:val="16"/>
                <w:szCs w:val="16"/>
              </w:rPr>
              <w:t>土地确权登记，上图入库，基本 农田划定，田间工程运行管护</w:t>
            </w:r>
          </w:p>
        </w:tc>
        <w:tc>
          <w:tcPr>
            <w:tcW w:w="3467" w:type="dxa"/>
            <w:tcBorders>
              <w:top w:val="single" w:color="auto" w:sz="4" w:space="0"/>
              <w:left w:val="single" w:color="auto" w:sz="4" w:space="0"/>
              <w:right w:val="single" w:color="auto" w:sz="4" w:space="0"/>
            </w:tcBorders>
            <w:shd w:val="clear" w:color="auto" w:fill="FFFFFF"/>
            <w:vAlign w:val="center"/>
          </w:tcPr>
          <w:p>
            <w:pPr>
              <w:pStyle w:val="183"/>
              <w:spacing w:line="288" w:lineRule="exact"/>
              <w:ind w:firstLine="0"/>
              <w:rPr>
                <w:sz w:val="16"/>
                <w:szCs w:val="16"/>
              </w:rPr>
            </w:pPr>
            <w:r>
              <w:rPr>
                <w:sz w:val="16"/>
                <w:szCs w:val="16"/>
              </w:rPr>
              <w:t>管护主体责任落实（办理转移交手续），管 护资金到位，土地权属管理</w:t>
            </w:r>
          </w:p>
        </w:tc>
      </w:tr>
      <w:tr>
        <w:tblPrEx>
          <w:tblCellMar>
            <w:top w:w="0" w:type="dxa"/>
            <w:left w:w="10" w:type="dxa"/>
            <w:bottom w:w="0" w:type="dxa"/>
            <w:right w:w="10" w:type="dxa"/>
          </w:tblCellMar>
        </w:tblPrEx>
        <w:trPr>
          <w:trHeight w:val="371" w:hRule="exact"/>
          <w:jc w:val="center"/>
        </w:trPr>
        <w:tc>
          <w:tcPr>
            <w:tcW w:w="1472" w:type="dxa"/>
            <w:vMerge w:val="continue"/>
            <w:tcBorders>
              <w:left w:val="single" w:color="auto" w:sz="4" w:space="0"/>
            </w:tcBorders>
            <w:shd w:val="clear" w:color="auto" w:fill="FFFFFF"/>
            <w:vAlign w:val="center"/>
          </w:tcPr>
          <w:p/>
        </w:tc>
        <w:tc>
          <w:tcPr>
            <w:tcW w:w="1613"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sz w:val="16"/>
                <w:szCs w:val="16"/>
              </w:rPr>
            </w:pPr>
            <w:r>
              <w:rPr>
                <w:sz w:val="16"/>
                <w:szCs w:val="16"/>
              </w:rPr>
              <w:t>公众参与</w:t>
            </w:r>
          </w:p>
        </w:tc>
        <w:tc>
          <w:tcPr>
            <w:tcW w:w="2696"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sz w:val="16"/>
                <w:szCs w:val="16"/>
              </w:rPr>
            </w:pPr>
            <w:r>
              <w:rPr>
                <w:sz w:val="16"/>
                <w:szCs w:val="16"/>
              </w:rPr>
              <w:t>公众满意度</w:t>
            </w:r>
          </w:p>
        </w:tc>
        <w:tc>
          <w:tcPr>
            <w:tcW w:w="346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3"/>
              <w:spacing w:line="240" w:lineRule="auto"/>
              <w:ind w:firstLine="0"/>
              <w:rPr>
                <w:sz w:val="16"/>
                <w:szCs w:val="16"/>
              </w:rPr>
            </w:pPr>
            <w:r>
              <w:rPr>
                <w:sz w:val="16"/>
                <w:szCs w:val="16"/>
              </w:rPr>
              <w:t>项目区群众参与方案论证,参与工程施工</w:t>
            </w:r>
          </w:p>
        </w:tc>
      </w:tr>
      <w:tr>
        <w:tblPrEx>
          <w:tblCellMar>
            <w:top w:w="0" w:type="dxa"/>
            <w:left w:w="10" w:type="dxa"/>
            <w:bottom w:w="0" w:type="dxa"/>
            <w:right w:w="10" w:type="dxa"/>
          </w:tblCellMar>
        </w:tblPrEx>
        <w:trPr>
          <w:trHeight w:val="608" w:hRule="exact"/>
          <w:jc w:val="center"/>
        </w:trPr>
        <w:tc>
          <w:tcPr>
            <w:tcW w:w="1472" w:type="dxa"/>
            <w:vMerge w:val="restart"/>
            <w:tcBorders>
              <w:left w:val="single" w:color="auto" w:sz="4" w:space="0"/>
            </w:tcBorders>
            <w:shd w:val="clear" w:color="auto" w:fill="FFFFFF"/>
            <w:vAlign w:val="center"/>
          </w:tcPr>
          <w:p>
            <w:pPr>
              <w:jc w:val="center"/>
              <w:rPr>
                <w:rFonts w:hint="eastAsia" w:eastAsia="宋体"/>
                <w:lang w:val="en-US" w:eastAsia="zh-CN"/>
              </w:rPr>
            </w:pPr>
            <w:r>
              <w:rPr>
                <w:rFonts w:hint="default" w:ascii="宋体" w:hAnsi="宋体" w:cs="宋体"/>
                <w:color w:val="000000" w:themeColor="text1"/>
                <w:sz w:val="16"/>
                <w:szCs w:val="16"/>
                <w:lang w:val="zh-TW" w:eastAsia="zh-TW" w:bidi="zh-TW"/>
                <w14:textFill>
                  <w14:solidFill>
                    <w14:schemeClr w14:val="tx1"/>
                  </w14:solidFill>
                </w14:textFill>
              </w:rPr>
              <w:t>加分项</w:t>
            </w:r>
          </w:p>
        </w:tc>
        <w:tc>
          <w:tcPr>
            <w:tcW w:w="1613"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rFonts w:hint="default" w:eastAsia="宋体"/>
                <w:sz w:val="16"/>
                <w:szCs w:val="16"/>
                <w:lang w:val="en-US" w:eastAsia="zh-CN"/>
              </w:rPr>
            </w:pPr>
            <w:r>
              <w:rPr>
                <w:rFonts w:hint="eastAsia"/>
                <w:sz w:val="16"/>
                <w:szCs w:val="16"/>
              </w:rPr>
              <w:t>新技术、新材料、新设备、新工艺</w:t>
            </w:r>
            <w:r>
              <w:rPr>
                <w:rFonts w:hint="eastAsia"/>
                <w:sz w:val="16"/>
                <w:szCs w:val="16"/>
                <w:lang w:val="en-US" w:eastAsia="zh-CN"/>
              </w:rPr>
              <w:t>运用情况</w:t>
            </w:r>
          </w:p>
        </w:tc>
        <w:tc>
          <w:tcPr>
            <w:tcW w:w="616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83"/>
              <w:spacing w:line="240" w:lineRule="auto"/>
              <w:ind w:firstLine="0"/>
              <w:rPr>
                <w:rFonts w:hint="default" w:eastAsia="宋体"/>
                <w:sz w:val="16"/>
                <w:szCs w:val="16"/>
                <w:lang w:val="en-US" w:eastAsia="zh-CN"/>
              </w:rPr>
            </w:pPr>
            <w:r>
              <w:rPr>
                <w:rFonts w:hint="eastAsia"/>
                <w:sz w:val="16"/>
                <w:szCs w:val="16"/>
                <w:lang w:val="en-US" w:eastAsia="zh-CN"/>
              </w:rPr>
              <w:t>根据</w:t>
            </w:r>
            <w:r>
              <w:rPr>
                <w:rFonts w:hint="eastAsia"/>
                <w:sz w:val="16"/>
                <w:szCs w:val="16"/>
              </w:rPr>
              <w:t>工程新材料、新技术、新工艺，示范推广土壤改良、增肥地力新技术、新产品</w:t>
            </w:r>
            <w:r>
              <w:rPr>
                <w:rFonts w:hint="eastAsia"/>
                <w:sz w:val="16"/>
                <w:szCs w:val="16"/>
                <w:lang w:val="en-US" w:eastAsia="zh-CN"/>
              </w:rPr>
              <w:t>的运用情况给予加分</w:t>
            </w:r>
          </w:p>
        </w:tc>
      </w:tr>
      <w:tr>
        <w:tblPrEx>
          <w:tblCellMar>
            <w:top w:w="0" w:type="dxa"/>
            <w:left w:w="10" w:type="dxa"/>
            <w:bottom w:w="0" w:type="dxa"/>
            <w:right w:w="10" w:type="dxa"/>
          </w:tblCellMar>
        </w:tblPrEx>
        <w:trPr>
          <w:trHeight w:val="681" w:hRule="exact"/>
          <w:jc w:val="center"/>
        </w:trPr>
        <w:tc>
          <w:tcPr>
            <w:tcW w:w="1472" w:type="dxa"/>
            <w:vMerge w:val="continue"/>
            <w:tcBorders>
              <w:left w:val="single" w:color="auto" w:sz="4" w:space="0"/>
            </w:tcBorders>
            <w:shd w:val="clear" w:color="auto" w:fill="FFFFFF"/>
            <w:vAlign w:val="center"/>
          </w:tcPr>
          <w:p>
            <w:pPr>
              <w:rPr>
                <w:rFonts w:hint="eastAsia"/>
                <w:lang w:val="en-US" w:eastAsia="zh-CN"/>
              </w:rPr>
            </w:pPr>
          </w:p>
        </w:tc>
        <w:tc>
          <w:tcPr>
            <w:tcW w:w="1613"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rFonts w:hint="default" w:eastAsia="宋体"/>
                <w:sz w:val="16"/>
                <w:szCs w:val="16"/>
                <w:lang w:val="en-US" w:eastAsia="zh-CN"/>
              </w:rPr>
            </w:pPr>
            <w:r>
              <w:rPr>
                <w:rFonts w:hint="eastAsia"/>
                <w:sz w:val="16"/>
                <w:szCs w:val="16"/>
                <w:lang w:val="en-US" w:eastAsia="zh-CN"/>
              </w:rPr>
              <w:t>数字化运用情况</w:t>
            </w:r>
          </w:p>
        </w:tc>
        <w:tc>
          <w:tcPr>
            <w:tcW w:w="616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183"/>
              <w:spacing w:line="240" w:lineRule="auto"/>
              <w:ind w:firstLine="0"/>
              <w:rPr>
                <w:rFonts w:hint="default" w:eastAsia="宋体"/>
                <w:sz w:val="16"/>
                <w:szCs w:val="16"/>
                <w:lang w:val="en-US" w:eastAsia="zh-CN"/>
              </w:rPr>
            </w:pPr>
            <w:r>
              <w:rPr>
                <w:rFonts w:hint="eastAsia"/>
                <w:sz w:val="16"/>
                <w:szCs w:val="16"/>
                <w:lang w:val="en-US" w:eastAsia="zh-CN"/>
              </w:rPr>
              <w:t>综合考虑智慧监管技术运用情况给予加分。如结合多层次数据，如遥感、水文以及农田多要素数据，对耕地质量与产能定量评估，构建农田智慧监测监管与预警系统等，提高监管、防灾监测能力。</w:t>
            </w:r>
          </w:p>
        </w:tc>
      </w:tr>
    </w:tbl>
    <w:p>
      <w:pPr>
        <w:pStyle w:val="181"/>
        <w:spacing w:after="220" w:line="240" w:lineRule="auto"/>
        <w:ind w:firstLine="0"/>
        <w:jc w:val="center"/>
      </w:pPr>
      <w:r>
        <w:t>表</w:t>
      </w:r>
      <w:r>
        <w:rPr>
          <w:rFonts w:ascii="Times New Roman" w:hAnsi="Times New Roman" w:eastAsia="Times New Roman" w:cs="Times New Roman"/>
          <w:lang w:val="en-US" w:eastAsia="en-US" w:bidi="en-US"/>
        </w:rPr>
        <w:t xml:space="preserve">B.1 </w:t>
      </w:r>
      <w:r>
        <w:rPr>
          <w:lang w:val="en-US" w:eastAsia="en-US" w:bidi="en-US"/>
        </w:rPr>
        <w:t>（</w:t>
      </w:r>
      <w:r>
        <w:t>续）</w:t>
      </w:r>
    </w:p>
    <w:tbl>
      <w:tblPr>
        <w:tblStyle w:val="36"/>
        <w:tblW w:w="0" w:type="auto"/>
        <w:jc w:val="center"/>
        <w:tblLayout w:type="fixed"/>
        <w:tblCellMar>
          <w:top w:w="0" w:type="dxa"/>
          <w:left w:w="10" w:type="dxa"/>
          <w:bottom w:w="0" w:type="dxa"/>
          <w:right w:w="10" w:type="dxa"/>
        </w:tblCellMar>
      </w:tblPr>
      <w:tblGrid>
        <w:gridCol w:w="9204"/>
      </w:tblGrid>
      <w:tr>
        <w:tblPrEx>
          <w:tblCellMar>
            <w:top w:w="0" w:type="dxa"/>
            <w:left w:w="10" w:type="dxa"/>
            <w:bottom w:w="0" w:type="dxa"/>
            <w:right w:w="10" w:type="dxa"/>
          </w:tblCellMar>
        </w:tblPrEx>
        <w:trPr>
          <w:trHeight w:val="1465" w:hRule="exact"/>
          <w:jc w:val="center"/>
        </w:trPr>
        <w:tc>
          <w:tcPr>
            <w:tcW w:w="920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3"/>
              <w:spacing w:after="60" w:line="299" w:lineRule="exact"/>
              <w:ind w:left="920" w:hanging="460"/>
              <w:jc w:val="left"/>
              <w:rPr>
                <w:sz w:val="16"/>
                <w:szCs w:val="16"/>
              </w:rPr>
            </w:pPr>
            <w:r>
              <w:rPr>
                <w:sz w:val="16"/>
                <w:szCs w:val="16"/>
              </w:rPr>
              <w:t>注</w:t>
            </w:r>
            <w:r>
              <w:rPr>
                <w:rFonts w:ascii="Times New Roman" w:hAnsi="Times New Roman" w:eastAsia="Times New Roman" w:cs="Times New Roman"/>
                <w:sz w:val="18"/>
                <w:szCs w:val="18"/>
              </w:rPr>
              <w:t>1:</w:t>
            </w:r>
            <w:r>
              <w:rPr>
                <w:sz w:val="16"/>
                <w:szCs w:val="16"/>
              </w:rPr>
              <w:t>三级指标层中的必选指标为评价时的必选项，备选指标为可选项，可根据实际增加或删减备选指标。</w:t>
            </w:r>
          </w:p>
          <w:p>
            <w:pPr>
              <w:pStyle w:val="183"/>
              <w:spacing w:line="240" w:lineRule="auto"/>
              <w:ind w:firstLine="460"/>
              <w:jc w:val="left"/>
              <w:rPr>
                <w:sz w:val="16"/>
                <w:szCs w:val="16"/>
              </w:rPr>
            </w:pPr>
            <w:r>
              <w:rPr>
                <w:sz w:val="16"/>
                <w:szCs w:val="16"/>
              </w:rPr>
              <w:t>注</w:t>
            </w:r>
            <w:r>
              <w:rPr>
                <w:rFonts w:ascii="Times New Roman" w:hAnsi="Times New Roman" w:eastAsia="Times New Roman" w:cs="Times New Roman"/>
                <w:sz w:val="18"/>
                <w:szCs w:val="18"/>
              </w:rPr>
              <w:t>2</w:t>
            </w:r>
            <w:r>
              <w:rPr>
                <w:sz w:val="18"/>
                <w:szCs w:val="18"/>
              </w:rPr>
              <w:t>：</w:t>
            </w:r>
            <w:r>
              <w:rPr>
                <w:sz w:val="16"/>
                <w:szCs w:val="16"/>
              </w:rPr>
              <w:t>开展其他评价时，三级评价指标可增加或删减。</w:t>
            </w:r>
          </w:p>
          <w:p>
            <w:pPr>
              <w:pStyle w:val="183"/>
              <w:spacing w:line="299" w:lineRule="exact"/>
              <w:ind w:firstLine="460"/>
              <w:jc w:val="left"/>
              <w:rPr>
                <w:sz w:val="16"/>
                <w:szCs w:val="16"/>
              </w:rPr>
            </w:pPr>
            <w:r>
              <w:rPr>
                <w:sz w:val="16"/>
                <w:szCs w:val="16"/>
              </w:rPr>
              <w:t>注</w:t>
            </w:r>
            <w:r>
              <w:rPr>
                <w:rFonts w:ascii="Times New Roman" w:hAnsi="Times New Roman" w:eastAsia="Times New Roman" w:cs="Times New Roman"/>
                <w:sz w:val="18"/>
                <w:szCs w:val="18"/>
              </w:rPr>
              <w:t>3</w:t>
            </w:r>
            <w:r>
              <w:rPr>
                <w:sz w:val="18"/>
                <w:szCs w:val="18"/>
              </w:rPr>
              <w:t>：</w:t>
            </w:r>
            <w:r>
              <w:rPr>
                <w:sz w:val="16"/>
                <w:szCs w:val="16"/>
              </w:rPr>
              <w:t>各项评价指标的涵义见附录</w:t>
            </w:r>
            <w:r>
              <w:rPr>
                <w:rFonts w:ascii="Times New Roman" w:hAnsi="Times New Roman" w:eastAsia="Times New Roman" w:cs="Times New Roman"/>
                <w:sz w:val="18"/>
                <w:szCs w:val="18"/>
                <w:lang w:val="en-US" w:eastAsia="en-US" w:bidi="en-US"/>
              </w:rPr>
              <w:t>C</w:t>
            </w:r>
            <w:r>
              <w:rPr>
                <w:sz w:val="16"/>
                <w:szCs w:val="16"/>
                <w:lang w:val="en-US" w:eastAsia="en-US" w:bidi="en-US"/>
              </w:rPr>
              <w:t>。</w:t>
            </w:r>
          </w:p>
        </w:tc>
      </w:tr>
    </w:tbl>
    <w:p>
      <w:pPr>
        <w:pStyle w:val="47"/>
        <w:sectPr>
          <w:pgSz w:w="11906" w:h="16838"/>
          <w:pgMar w:top="2410" w:right="1134" w:bottom="1134" w:left="1134" w:header="1418" w:footer="1134" w:gutter="284"/>
          <w:cols w:space="425" w:num="1"/>
          <w:formProt w:val="0"/>
          <w:docGrid w:linePitch="312" w:charSpace="0"/>
        </w:sectPr>
      </w:pPr>
    </w:p>
    <w:p>
      <w:pPr>
        <w:jc w:val="center"/>
        <w:outlineLvl w:val="0"/>
        <w:rPr>
          <w:rFonts w:ascii="黑体" w:eastAsia="黑体"/>
        </w:rPr>
      </w:pPr>
      <w:bookmarkStart w:id="91" w:name="_Toc21816"/>
      <w:bookmarkStart w:id="92" w:name="_Toc10198"/>
      <w:r>
        <w:rPr>
          <w:rFonts w:hint="eastAsia" w:ascii="黑体" w:hAnsi="黑体" w:eastAsia="黑体"/>
          <w:color w:val="000000"/>
          <w:szCs w:val="21"/>
          <w:lang w:val="zh-TW" w:eastAsia="zh-TW"/>
        </w:rPr>
        <w:t>附录</w:t>
      </w:r>
      <w:r>
        <w:rPr>
          <w:rFonts w:hint="eastAsia" w:ascii="黑体" w:hAnsi="黑体" w:eastAsia="黑体"/>
          <w:color w:val="000000"/>
          <w:szCs w:val="21"/>
        </w:rPr>
        <w:t>C</w:t>
      </w:r>
      <w:bookmarkEnd w:id="91"/>
      <w:r>
        <w:rPr>
          <w:rFonts w:ascii="黑体" w:eastAsia="黑体"/>
        </w:rPr>
        <w:br w:type="textWrapping"/>
      </w:r>
      <w:r>
        <w:rPr>
          <w:rFonts w:ascii="黑体" w:eastAsia="黑体"/>
        </w:rPr>
        <w:t>（规范性）</w:t>
      </w:r>
      <w:r>
        <w:rPr>
          <w:rFonts w:ascii="黑体" w:eastAsia="黑体"/>
        </w:rPr>
        <w:br w:type="textWrapping"/>
      </w:r>
      <w:r>
        <w:rPr>
          <w:rFonts w:ascii="黑体" w:eastAsia="黑体"/>
        </w:rPr>
        <w:t>高标准农田建设评价指标、指标涵义、数据来源、评分方法与评分规则</w:t>
      </w:r>
      <w:bookmarkEnd w:id="92"/>
    </w:p>
    <w:p>
      <w:pPr>
        <w:spacing w:before="120" w:beforeLines="50" w:after="120" w:afterLines="50"/>
        <w:ind w:firstLine="420"/>
        <w:jc w:val="left"/>
        <w:rPr>
          <w:rFonts w:ascii="宋体" w:hAnsi="宋体" w:cs="宋体"/>
          <w:color w:val="252525"/>
          <w:szCs w:val="21"/>
          <w:lang w:val="zh-TW" w:eastAsia="zh-TW" w:bidi="zh-TW"/>
        </w:rPr>
      </w:pPr>
      <w:r>
        <w:rPr>
          <w:rFonts w:hint="eastAsia" w:ascii="宋体" w:hAnsi="宋体" w:cs="宋体"/>
          <w:color w:val="252525"/>
          <w:szCs w:val="21"/>
          <w:lang w:val="zh-TW" w:eastAsia="zh-TW" w:bidi="zh-TW"/>
        </w:rPr>
        <w:t>高标准农田建设评价指标、指标涵义、数据来源、评分方法与评分规则见表</w:t>
      </w:r>
      <w:r>
        <w:rPr>
          <w:rFonts w:hint="eastAsia" w:ascii="宋体" w:hAnsi="宋体" w:cs="宋体"/>
          <w:color w:val="252525"/>
          <w:szCs w:val="21"/>
          <w:lang w:eastAsia="en-US" w:bidi="en-US"/>
        </w:rPr>
        <w:t>C.1</w:t>
      </w:r>
      <w:r>
        <w:rPr>
          <w:rFonts w:hint="eastAsia" w:ascii="宋体" w:hAnsi="宋体" w:cs="宋体"/>
          <w:color w:val="252525"/>
          <w:szCs w:val="21"/>
          <w:lang w:val="zh-TW" w:eastAsia="zh-TW" w:bidi="zh-TW"/>
        </w:rPr>
        <w:t>。</w:t>
      </w:r>
    </w:p>
    <w:p>
      <w:pPr>
        <w:spacing w:after="240"/>
        <w:jc w:val="center"/>
        <w:rPr>
          <w:rFonts w:ascii="黑体" w:hAnsi="黑体" w:eastAsia="黑体" w:cs="黑体"/>
          <w:color w:val="252525"/>
          <w:szCs w:val="21"/>
          <w:lang w:val="zh-TW" w:eastAsia="zh-TW" w:bidi="zh-TW"/>
        </w:rPr>
      </w:pPr>
      <w:r>
        <w:rPr>
          <w:rFonts w:hint="eastAsia" w:ascii="黑体" w:hAnsi="黑体" w:eastAsia="黑体" w:cs="黑体"/>
          <w:color w:val="252525"/>
          <w:szCs w:val="21"/>
          <w:lang w:val="zh-TW" w:eastAsia="zh-TW" w:bidi="zh-TW"/>
        </w:rPr>
        <w:t>表</w:t>
      </w:r>
      <w:r>
        <w:rPr>
          <w:rFonts w:hint="eastAsia" w:ascii="黑体" w:hAnsi="黑体" w:eastAsia="黑体" w:cs="黑体"/>
          <w:color w:val="252525"/>
          <w:szCs w:val="21"/>
          <w:lang w:eastAsia="en-US" w:bidi="en-US"/>
        </w:rPr>
        <w:t>C.1</w:t>
      </w:r>
      <w:r>
        <w:rPr>
          <w:rFonts w:hint="eastAsia" w:ascii="黑体" w:hAnsi="黑体" w:eastAsia="黑体" w:cs="黑体"/>
          <w:color w:val="252525"/>
          <w:szCs w:val="21"/>
          <w:lang w:val="zh-TW" w:eastAsia="zh-TW" w:bidi="zh-TW"/>
        </w:rPr>
        <w:t>高标准农田建设评价指标、指标涵义、数据来源、评分方法与评分规则表</w:t>
      </w:r>
    </w:p>
    <w:p>
      <w:pPr>
        <w:spacing w:after="240"/>
        <w:jc w:val="center"/>
        <w:rPr>
          <w:rFonts w:ascii="黑体" w:hAnsi="黑体" w:eastAsia="黑体" w:cs="黑体"/>
          <w:color w:val="252525"/>
          <w:szCs w:val="21"/>
          <w:lang w:val="zh-TW" w:eastAsia="zh-TW" w:bidi="zh-TW"/>
        </w:rPr>
      </w:pPr>
    </w:p>
    <w:tbl>
      <w:tblPr>
        <w:tblStyle w:val="36"/>
        <w:tblW w:w="14203" w:type="dxa"/>
        <w:jc w:val="center"/>
        <w:tblLayout w:type="fixed"/>
        <w:tblCellMar>
          <w:top w:w="0" w:type="dxa"/>
          <w:left w:w="10" w:type="dxa"/>
          <w:bottom w:w="0" w:type="dxa"/>
          <w:right w:w="10" w:type="dxa"/>
        </w:tblCellMar>
      </w:tblPr>
      <w:tblGrid>
        <w:gridCol w:w="612"/>
        <w:gridCol w:w="119"/>
        <w:gridCol w:w="827"/>
        <w:gridCol w:w="45"/>
        <w:gridCol w:w="924"/>
        <w:gridCol w:w="91"/>
        <w:gridCol w:w="2055"/>
        <w:gridCol w:w="426"/>
        <w:gridCol w:w="1455"/>
        <w:gridCol w:w="481"/>
        <w:gridCol w:w="5581"/>
        <w:gridCol w:w="110"/>
        <w:gridCol w:w="1386"/>
        <w:gridCol w:w="91"/>
      </w:tblGrid>
      <w:tr>
        <w:tblPrEx>
          <w:tblCellMar>
            <w:top w:w="0" w:type="dxa"/>
            <w:left w:w="10" w:type="dxa"/>
            <w:bottom w:w="0" w:type="dxa"/>
            <w:right w:w="10" w:type="dxa"/>
          </w:tblCellMar>
        </w:tblPrEx>
        <w:trPr>
          <w:gridAfter w:val="1"/>
          <w:wAfter w:w="91" w:type="dxa"/>
          <w:trHeight w:val="544" w:hRule="exact"/>
          <w:jc w:val="center"/>
        </w:trPr>
        <w:tc>
          <w:tcPr>
            <w:tcW w:w="612"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946"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969"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146"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881"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6062"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496" w:type="dxa"/>
            <w:gridSpan w:val="2"/>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gridAfter w:val="1"/>
          <w:wAfter w:w="91" w:type="dxa"/>
          <w:trHeight w:val="3593" w:hRule="exact"/>
          <w:jc w:val="center"/>
        </w:trPr>
        <w:tc>
          <w:tcPr>
            <w:tcW w:w="612"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A01</w:t>
            </w:r>
          </w:p>
        </w:tc>
        <w:tc>
          <w:tcPr>
            <w:tcW w:w="946" w:type="dxa"/>
            <w:gridSpan w:val="2"/>
            <w:tcBorders>
              <w:top w:val="single" w:color="auto" w:sz="4" w:space="0"/>
              <w:left w:val="single" w:color="auto" w:sz="4" w:space="0"/>
            </w:tcBorders>
            <w:shd w:val="clear" w:color="auto" w:fill="FFFFFF"/>
            <w:vAlign w:val="center"/>
          </w:tcPr>
          <w:p>
            <w:pPr>
              <w:spacing w:after="100"/>
              <w:jc w:val="left"/>
              <w:rPr>
                <w:rFonts w:cs="宋体"/>
                <w:color w:val="252525"/>
                <w:sz w:val="16"/>
                <w:szCs w:val="16"/>
                <w:lang w:val="zh-TW" w:eastAsia="zh-TW" w:bidi="zh-TW"/>
              </w:rPr>
            </w:pPr>
            <w:r>
              <w:rPr>
                <w:rFonts w:cs="宋体"/>
                <w:color w:val="252525"/>
                <w:sz w:val="16"/>
                <w:szCs w:val="16"/>
                <w:lang w:val="zh-TW" w:eastAsia="zh-TW" w:bidi="zh-TW"/>
              </w:rPr>
              <w:t>高标准农田建设面积</w:t>
            </w:r>
            <w:r>
              <w:rPr>
                <w:rFonts w:cs="宋体"/>
                <w:color w:val="252525"/>
                <w:sz w:val="16"/>
                <w:szCs w:val="16"/>
                <w:lang w:eastAsia="en-US" w:bidi="en-US"/>
              </w:rPr>
              <w:t>*</w:t>
            </w:r>
          </w:p>
        </w:tc>
        <w:tc>
          <w:tcPr>
            <w:tcW w:w="969" w:type="dxa"/>
            <w:gridSpan w:val="2"/>
            <w:tcBorders>
              <w:top w:val="single" w:color="auto" w:sz="4" w:space="0"/>
              <w:left w:val="single" w:color="auto" w:sz="4" w:space="0"/>
            </w:tcBorders>
            <w:shd w:val="clear" w:color="auto" w:fill="FFFFFF"/>
            <w:vAlign w:val="center"/>
          </w:tcPr>
          <w:p>
            <w:pPr>
              <w:ind w:firstLine="34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146" w:type="dxa"/>
            <w:gridSpan w:val="2"/>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对于财政投资项目，应履行有关建设程序，并经竣工验收后认定的高标准农田面积</w:t>
            </w:r>
            <w:r>
              <w:rPr>
                <w:rFonts w:hint="eastAsia" w:cs="宋体"/>
                <w:color w:val="252525"/>
                <w:sz w:val="16"/>
                <w:szCs w:val="16"/>
                <w:lang w:val="zh-TW" w:bidi="zh-TW"/>
              </w:rPr>
              <w:t>；</w:t>
            </w:r>
            <w:r>
              <w:rPr>
                <w:rFonts w:cs="宋体"/>
                <w:color w:val="252525"/>
                <w:sz w:val="16"/>
                <w:szCs w:val="16"/>
                <w:lang w:val="zh-TW" w:eastAsia="zh-TW" w:bidi="zh-TW"/>
              </w:rPr>
              <w:t>对于社会投资项目，需经有关部门验收认定的高标准农田面积</w:t>
            </w:r>
            <w:r>
              <w:rPr>
                <w:rFonts w:hint="eastAsia" w:cs="宋体"/>
                <w:color w:val="252525"/>
                <w:sz w:val="16"/>
                <w:szCs w:val="16"/>
                <w:lang w:val="zh-TW" w:eastAsia="zh-CN" w:bidi="zh-TW"/>
              </w:rPr>
              <w:t>。</w:t>
            </w:r>
          </w:p>
        </w:tc>
        <w:tc>
          <w:tcPr>
            <w:tcW w:w="1881" w:type="dxa"/>
            <w:gridSpan w:val="2"/>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项目设计文件，竣工验收文件，工程复核报告，耕地质量评定报告</w:t>
            </w:r>
          </w:p>
        </w:tc>
        <w:tc>
          <w:tcPr>
            <w:tcW w:w="6062" w:type="dxa"/>
            <w:gridSpan w:val="2"/>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釆用目标比较法进行评价,将实际完成的高标准农田面积与有关规划或计划下达的高标准农田面积进行对比，计算高标准农田建设任务完成情况。对于项目评价，将竣工验收并认定的高标准农田面积与批准的项目设计文件（或计划文件）确定的面积值进行比较。对于年度和规划期评价，从项目竣工验收文件中获得，或从项目报备数据库、国土资源综合信息监管平台等数据库中获得,并与高标准农田建设有关规划和年度计划进行比 较，同时抽样调查项目，开展现场调查。</w:t>
            </w:r>
          </w:p>
          <w:p>
            <w:pPr>
              <w:spacing w:line="263" w:lineRule="exact"/>
              <w:jc w:val="left"/>
              <w:rPr>
                <w:rFonts w:cs="宋体"/>
                <w:color w:val="252525"/>
                <w:sz w:val="16"/>
                <w:szCs w:val="16"/>
                <w:lang w:val="zh-TW" w:eastAsia="zh-TW" w:bidi="zh-TW"/>
              </w:rPr>
            </w:pPr>
            <w:r>
              <w:rPr>
                <w:rFonts w:cs="宋体"/>
                <w:color w:val="252525"/>
                <w:sz w:val="16"/>
                <w:szCs w:val="16"/>
                <w:lang w:val="zh-TW" w:eastAsia="zh-TW" w:bidi="zh-TW"/>
              </w:rPr>
              <w:t>评分采用五分制，即根据目标完成程度，评分为五分：</w:t>
            </w:r>
            <w:r>
              <w:rPr>
                <w:color w:val="252525"/>
                <w:sz w:val="18"/>
                <w:szCs w:val="18"/>
                <w:lang w:val="zh-TW" w:eastAsia="zh-TW" w:bidi="zh-TW"/>
              </w:rPr>
              <w:t>5</w:t>
            </w:r>
            <w:r>
              <w:rPr>
                <w:rFonts w:cs="宋体"/>
                <w:color w:val="252525"/>
                <w:sz w:val="16"/>
                <w:szCs w:val="16"/>
                <w:lang w:val="zh-TW" w:eastAsia="zh-TW" w:bidi="zh-TW"/>
              </w:rPr>
              <w:t>分、</w:t>
            </w:r>
            <w:r>
              <w:rPr>
                <w:color w:val="252525"/>
                <w:sz w:val="18"/>
                <w:szCs w:val="18"/>
                <w:lang w:val="zh-TW" w:eastAsia="zh-TW" w:bidi="zh-TW"/>
              </w:rPr>
              <w:t>4</w:t>
            </w:r>
            <w:r>
              <w:rPr>
                <w:rFonts w:cs="宋体"/>
                <w:color w:val="252525"/>
                <w:sz w:val="16"/>
                <w:szCs w:val="16"/>
                <w:lang w:val="zh-TW" w:eastAsia="zh-TW" w:bidi="zh-TW"/>
              </w:rPr>
              <w:t>分、</w:t>
            </w:r>
            <w:r>
              <w:rPr>
                <w:color w:val="252525"/>
                <w:sz w:val="18"/>
                <w:szCs w:val="18"/>
                <w:lang w:val="zh-TW" w:eastAsia="zh-TW" w:bidi="zh-TW"/>
              </w:rPr>
              <w:t>3</w:t>
            </w:r>
            <w:r>
              <w:rPr>
                <w:rFonts w:cs="宋体"/>
                <w:color w:val="252525"/>
                <w:sz w:val="16"/>
                <w:szCs w:val="16"/>
                <w:lang w:val="zh-TW" w:eastAsia="zh-TW" w:bidi="zh-TW"/>
              </w:rPr>
              <w:t>分、</w:t>
            </w:r>
            <w:r>
              <w:rPr>
                <w:color w:val="252525"/>
                <w:sz w:val="18"/>
                <w:szCs w:val="18"/>
                <w:lang w:val="zh-TW" w:eastAsia="zh-TW" w:bidi="zh-TW"/>
              </w:rPr>
              <w:t>2</w:t>
            </w:r>
            <w:r>
              <w:rPr>
                <w:rFonts w:cs="宋体"/>
                <w:color w:val="252525"/>
                <w:sz w:val="16"/>
                <w:szCs w:val="16"/>
                <w:lang w:val="zh-TW" w:eastAsia="zh-TW" w:bidi="zh-TW"/>
              </w:rPr>
              <w:t>分、</w:t>
            </w:r>
            <w:r>
              <w:rPr>
                <w:color w:val="252525"/>
                <w:sz w:val="18"/>
                <w:szCs w:val="18"/>
                <w:lang w:val="zh-TW" w:eastAsia="zh-TW" w:bidi="zh-TW"/>
              </w:rPr>
              <w:t>1</w:t>
            </w:r>
            <w:r>
              <w:rPr>
                <w:rFonts w:cs="宋体"/>
                <w:color w:val="252525"/>
                <w:sz w:val="16"/>
                <w:szCs w:val="16"/>
                <w:lang w:val="zh-TW" w:eastAsia="zh-TW" w:bidi="zh-TW"/>
              </w:rPr>
              <w:t>分。下同</w:t>
            </w:r>
          </w:p>
        </w:tc>
        <w:tc>
          <w:tcPr>
            <w:tcW w:w="1496"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gridAfter w:val="1"/>
          <w:wAfter w:w="91" w:type="dxa"/>
          <w:trHeight w:val="2103" w:hRule="exact"/>
          <w:jc w:val="center"/>
        </w:trPr>
        <w:tc>
          <w:tcPr>
            <w:tcW w:w="612"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A02</w:t>
            </w:r>
          </w:p>
        </w:tc>
        <w:tc>
          <w:tcPr>
            <w:tcW w:w="946"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财政投入资金</w:t>
            </w:r>
          </w:p>
        </w:tc>
        <w:tc>
          <w:tcPr>
            <w:tcW w:w="969" w:type="dxa"/>
            <w:gridSpan w:val="2"/>
            <w:tcBorders>
              <w:top w:val="single" w:color="auto" w:sz="4" w:space="0"/>
              <w:left w:val="single" w:color="auto" w:sz="4" w:space="0"/>
              <w:bottom w:val="single" w:color="auto" w:sz="4" w:space="0"/>
            </w:tcBorders>
            <w:shd w:val="clear" w:color="auto" w:fill="FFFFFF"/>
            <w:vAlign w:val="center"/>
          </w:tcPr>
          <w:p>
            <w:pPr>
              <w:ind w:firstLine="340"/>
              <w:jc w:val="left"/>
              <w:rPr>
                <w:rFonts w:cs="宋体"/>
                <w:color w:val="252525"/>
                <w:sz w:val="16"/>
                <w:szCs w:val="16"/>
                <w:lang w:val="zh-TW" w:eastAsia="zh-TW" w:bidi="zh-TW"/>
              </w:rPr>
            </w:pPr>
            <w:r>
              <w:rPr>
                <w:rFonts w:cs="宋体"/>
                <w:color w:val="252525"/>
                <w:sz w:val="16"/>
                <w:szCs w:val="16"/>
                <w:lang w:val="zh-TW" w:eastAsia="zh-TW" w:bidi="zh-TW"/>
              </w:rPr>
              <w:t>万元</w:t>
            </w:r>
          </w:p>
        </w:tc>
        <w:tc>
          <w:tcPr>
            <w:tcW w:w="2146" w:type="dxa"/>
            <w:gridSpan w:val="2"/>
            <w:tcBorders>
              <w:top w:val="single" w:color="auto" w:sz="4" w:space="0"/>
              <w:left w:val="single" w:color="auto" w:sz="4" w:space="0"/>
              <w:bottom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各级财政投入高标准农田建设的资金总量</w:t>
            </w:r>
            <w:r>
              <w:rPr>
                <w:rFonts w:hint="eastAsia" w:cs="宋体"/>
                <w:color w:val="252525"/>
                <w:sz w:val="16"/>
                <w:szCs w:val="16"/>
                <w:lang w:val="zh-TW" w:eastAsia="zh-CN" w:bidi="zh-TW"/>
              </w:rPr>
              <w:t>。</w:t>
            </w:r>
          </w:p>
        </w:tc>
        <w:tc>
          <w:tcPr>
            <w:tcW w:w="1881" w:type="dxa"/>
            <w:gridSpan w:val="2"/>
            <w:tcBorders>
              <w:top w:val="single" w:color="auto" w:sz="4" w:space="0"/>
              <w:left w:val="single" w:color="auto" w:sz="4" w:space="0"/>
              <w:bottom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项目设计文件，竣工验收文件，工程复核报告，财务审计报告</w:t>
            </w:r>
          </w:p>
        </w:tc>
        <w:tc>
          <w:tcPr>
            <w:tcW w:w="6062" w:type="dxa"/>
            <w:gridSpan w:val="2"/>
            <w:tcBorders>
              <w:top w:val="single" w:color="auto" w:sz="4" w:space="0"/>
              <w:left w:val="single" w:color="auto" w:sz="4" w:space="0"/>
              <w:bottom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采用目标比较法进行评价,将竣工验收审定的投资与财政计划投入的资金进行对比，计算财政资金计划使用情况和效率。对于项目评价，将实际完成的投资额与批准的项目设计文件（含变更文件）所确定的预算投资额进行比较。对于年度或规划期评价,将各个项目实际投资总额与年度或规划期内计划用于高标准农田建设的总资金进行比较，同时抽样调查项目，开展现场调查。 评分釆用五分制，即根据目标完成程度，评分为五分</w:t>
            </w:r>
          </w:p>
        </w:tc>
        <w:tc>
          <w:tcPr>
            <w:tcW w:w="149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426" w:hRule="exact"/>
          <w:jc w:val="center"/>
        </w:trPr>
        <w:tc>
          <w:tcPr>
            <w:tcW w:w="731"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编号</w:t>
            </w:r>
          </w:p>
        </w:tc>
        <w:tc>
          <w:tcPr>
            <w:tcW w:w="872"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bidi="zh-TW"/>
              </w:rPr>
            </w:pPr>
            <w:r>
              <w:rPr>
                <w:rFonts w:cs="宋体"/>
                <w:color w:val="000000"/>
                <w:sz w:val="16"/>
                <w:szCs w:val="16"/>
                <w:lang w:val="zh-TW" w:eastAsia="zh-TW" w:bidi="zh-TW"/>
              </w:rPr>
              <w:t>评价指</w:t>
            </w:r>
            <w:r>
              <w:rPr>
                <w:rFonts w:hint="eastAsia" w:cs="宋体"/>
                <w:color w:val="000000"/>
                <w:sz w:val="16"/>
                <w:szCs w:val="16"/>
                <w:lang w:bidi="zh-TW"/>
              </w:rPr>
              <w:t>标</w:t>
            </w:r>
          </w:p>
        </w:tc>
        <w:tc>
          <w:tcPr>
            <w:tcW w:w="1015"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计量单位</w:t>
            </w:r>
          </w:p>
        </w:tc>
        <w:tc>
          <w:tcPr>
            <w:tcW w:w="2481"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指标涵义</w:t>
            </w:r>
          </w:p>
        </w:tc>
        <w:tc>
          <w:tcPr>
            <w:tcW w:w="1936"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数据来源</w:t>
            </w:r>
          </w:p>
        </w:tc>
        <w:tc>
          <w:tcPr>
            <w:tcW w:w="5691"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评价方法与评分规则</w:t>
            </w:r>
          </w:p>
        </w:tc>
        <w:tc>
          <w:tcPr>
            <w:tcW w:w="1477" w:type="dxa"/>
            <w:gridSpan w:val="2"/>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适用对象</w:t>
            </w:r>
          </w:p>
        </w:tc>
      </w:tr>
      <w:tr>
        <w:tblPrEx>
          <w:tblCellMar>
            <w:top w:w="0" w:type="dxa"/>
            <w:left w:w="10" w:type="dxa"/>
            <w:bottom w:w="0" w:type="dxa"/>
            <w:right w:w="10" w:type="dxa"/>
          </w:tblCellMar>
        </w:tblPrEx>
        <w:trPr>
          <w:trHeight w:val="2599" w:hRule="exact"/>
          <w:jc w:val="center"/>
        </w:trPr>
        <w:tc>
          <w:tcPr>
            <w:tcW w:w="731" w:type="dxa"/>
            <w:gridSpan w:val="2"/>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000000"/>
                <w:sz w:val="18"/>
                <w:szCs w:val="18"/>
                <w:lang w:eastAsia="en-US" w:bidi="en-US"/>
              </w:rPr>
              <w:t>A03</w:t>
            </w:r>
          </w:p>
        </w:tc>
        <w:tc>
          <w:tcPr>
            <w:tcW w:w="872" w:type="dxa"/>
            <w:gridSpan w:val="2"/>
            <w:tcBorders>
              <w:top w:val="single" w:color="auto" w:sz="4" w:space="0"/>
              <w:left w:val="single" w:color="auto" w:sz="4" w:space="0"/>
            </w:tcBorders>
            <w:shd w:val="clear" w:color="auto" w:fill="FFFFFF"/>
            <w:vAlign w:val="center"/>
          </w:tcPr>
          <w:p>
            <w:pPr>
              <w:jc w:val="left"/>
              <w:rPr>
                <w:rFonts w:cs="宋体"/>
                <w:color w:val="000000"/>
                <w:sz w:val="20"/>
                <w:szCs w:val="20"/>
                <w:lang w:bidi="zh-TW"/>
              </w:rPr>
            </w:pPr>
            <w:r>
              <w:rPr>
                <w:rFonts w:hint="eastAsia" w:cs="宋体"/>
                <w:color w:val="000000"/>
                <w:sz w:val="16"/>
                <w:szCs w:val="16"/>
                <w:lang w:bidi="zh-TW"/>
              </w:rPr>
              <w:t>社会投资</w:t>
            </w:r>
          </w:p>
        </w:tc>
        <w:tc>
          <w:tcPr>
            <w:tcW w:w="1015" w:type="dxa"/>
            <w:gridSpan w:val="2"/>
            <w:tcBorders>
              <w:top w:val="single" w:color="auto" w:sz="4" w:space="0"/>
              <w:left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万元</w:t>
            </w:r>
          </w:p>
        </w:tc>
        <w:tc>
          <w:tcPr>
            <w:tcW w:w="2481" w:type="dxa"/>
            <w:gridSpan w:val="2"/>
            <w:tcBorders>
              <w:top w:val="single" w:color="auto" w:sz="4" w:space="0"/>
              <w:left w:val="single" w:color="auto" w:sz="4" w:space="0"/>
            </w:tcBorders>
            <w:shd w:val="clear" w:color="auto" w:fill="FFFFFF"/>
            <w:vAlign w:val="center"/>
          </w:tcPr>
          <w:p>
            <w:pPr>
              <w:spacing w:line="284" w:lineRule="exact"/>
              <w:rPr>
                <w:rFonts w:hint="eastAsia" w:eastAsia="宋体" w:cs="宋体"/>
                <w:color w:val="000000"/>
                <w:sz w:val="16"/>
                <w:szCs w:val="16"/>
                <w:lang w:val="zh-TW" w:eastAsia="zh-CN" w:bidi="zh-TW"/>
              </w:rPr>
            </w:pPr>
            <w:r>
              <w:rPr>
                <w:rFonts w:cs="宋体"/>
                <w:color w:val="000000"/>
                <w:sz w:val="16"/>
                <w:szCs w:val="16"/>
                <w:lang w:val="zh-TW" w:eastAsia="zh-TW" w:bidi="zh-TW"/>
              </w:rPr>
              <w:t>除财政资金投入之外的社会投资部分,包括项目所带来的农业投资、居民安置等费用,但不包含财政投资项目中已批准的地方融资部分</w:t>
            </w:r>
            <w:r>
              <w:rPr>
                <w:rFonts w:hint="eastAsia" w:cs="宋体"/>
                <w:color w:val="000000"/>
                <w:sz w:val="16"/>
                <w:szCs w:val="16"/>
                <w:lang w:val="zh-TW" w:eastAsia="zh-CN" w:bidi="zh-TW"/>
              </w:rPr>
              <w:t>。</w:t>
            </w:r>
          </w:p>
        </w:tc>
        <w:tc>
          <w:tcPr>
            <w:tcW w:w="1936" w:type="dxa"/>
            <w:gridSpan w:val="2"/>
            <w:tcBorders>
              <w:top w:val="single" w:color="auto" w:sz="4" w:space="0"/>
              <w:left w:val="single" w:color="auto" w:sz="4" w:space="0"/>
            </w:tcBorders>
            <w:shd w:val="clear" w:color="auto" w:fill="FFFFFF"/>
            <w:vAlign w:val="center"/>
          </w:tcPr>
          <w:p>
            <w:pPr>
              <w:spacing w:line="284" w:lineRule="exact"/>
              <w:rPr>
                <w:rFonts w:cs="宋体"/>
                <w:color w:val="000000"/>
                <w:sz w:val="16"/>
                <w:szCs w:val="16"/>
                <w:lang w:val="zh-TW" w:eastAsia="zh-TW" w:bidi="zh-TW"/>
              </w:rPr>
            </w:pPr>
            <w:r>
              <w:rPr>
                <w:rFonts w:cs="宋体"/>
                <w:color w:val="000000"/>
                <w:sz w:val="16"/>
                <w:szCs w:val="16"/>
                <w:lang w:val="zh-TW" w:eastAsia="zh-TW" w:bidi="zh-TW"/>
              </w:rPr>
              <w:t>项目设计文件，立项文件或实施方案，竣工验收文件，行政主 管部门的批准文件</w:t>
            </w:r>
          </w:p>
        </w:tc>
        <w:tc>
          <w:tcPr>
            <w:tcW w:w="5691" w:type="dxa"/>
            <w:gridSpan w:val="2"/>
            <w:tcBorders>
              <w:top w:val="single" w:color="auto" w:sz="4" w:space="0"/>
              <w:left w:val="single" w:color="auto" w:sz="4" w:space="0"/>
            </w:tcBorders>
            <w:shd w:val="clear" w:color="auto" w:fill="FFFFFF"/>
            <w:vAlign w:val="center"/>
          </w:tcPr>
          <w:p>
            <w:pPr>
              <w:spacing w:line="284" w:lineRule="exact"/>
              <w:rPr>
                <w:rFonts w:cs="宋体"/>
                <w:color w:val="000000"/>
                <w:sz w:val="16"/>
                <w:szCs w:val="16"/>
                <w:lang w:val="zh-TW" w:eastAsia="zh-TW" w:bidi="zh-TW"/>
              </w:rPr>
            </w:pPr>
            <w:r>
              <w:rPr>
                <w:rFonts w:cs="宋体"/>
                <w:color w:val="000000"/>
                <w:sz w:val="16"/>
                <w:szCs w:val="16"/>
                <w:lang w:val="zh-TW" w:eastAsia="zh-TW" w:bidi="zh-TW"/>
              </w:rPr>
              <w:t>釆用目标比较法进行评价,将社会投资项目的实际投入资金量与计划投入资金量进行对比，计算社会资金的到位情况。对于项目评价，将实际投资额与项目立项文件（或实施档案）中计划投资额进行比较。对于年度或规划期评价，将各个项目实际投资总额与年度或规划期内计划投资总额进行比较，同时抽样调查项目，开展现场调查。</w:t>
            </w:r>
          </w:p>
          <w:p>
            <w:pPr>
              <w:spacing w:line="284" w:lineRule="exact"/>
              <w:rPr>
                <w:rFonts w:cs="宋体"/>
                <w:color w:val="000000"/>
                <w:sz w:val="16"/>
                <w:szCs w:val="16"/>
                <w:lang w:val="zh-TW" w:eastAsia="zh-TW" w:bidi="zh-TW"/>
              </w:rPr>
            </w:pPr>
            <w:r>
              <w:rPr>
                <w:rFonts w:cs="宋体"/>
                <w:color w:val="000000"/>
                <w:sz w:val="16"/>
                <w:szCs w:val="16"/>
                <w:lang w:val="zh-TW" w:eastAsia="zh-TW" w:bidi="zh-TW"/>
              </w:rPr>
              <w:t>评分采用五分制，即根据目标完成程度，评分为五分</w:t>
            </w:r>
          </w:p>
        </w:tc>
        <w:tc>
          <w:tcPr>
            <w:tcW w:w="1477"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2610" w:hRule="exact"/>
          <w:jc w:val="center"/>
        </w:trPr>
        <w:tc>
          <w:tcPr>
            <w:tcW w:w="731" w:type="dxa"/>
            <w:gridSpan w:val="2"/>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000000"/>
                <w:sz w:val="18"/>
                <w:szCs w:val="18"/>
                <w:lang w:eastAsia="en-US" w:bidi="en-US"/>
              </w:rPr>
              <w:t>A04</w:t>
            </w:r>
          </w:p>
        </w:tc>
        <w:tc>
          <w:tcPr>
            <w:tcW w:w="872" w:type="dxa"/>
            <w:gridSpan w:val="2"/>
            <w:tcBorders>
              <w:top w:val="single" w:color="auto" w:sz="4" w:space="0"/>
              <w:left w:val="single" w:color="auto" w:sz="4" w:space="0"/>
            </w:tcBorders>
            <w:shd w:val="clear" w:color="auto" w:fill="FFFFFF"/>
            <w:vAlign w:val="center"/>
          </w:tcPr>
          <w:p>
            <w:pPr>
              <w:jc w:val="left"/>
              <w:rPr>
                <w:rFonts w:cs="宋体"/>
                <w:color w:val="000000"/>
                <w:sz w:val="16"/>
                <w:szCs w:val="16"/>
                <w:lang w:val="zh-TW" w:eastAsia="zh-TW" w:bidi="zh-TW"/>
              </w:rPr>
            </w:pPr>
            <w:r>
              <w:rPr>
                <w:rFonts w:cs="宋体"/>
                <w:color w:val="000000"/>
                <w:sz w:val="16"/>
                <w:szCs w:val="16"/>
                <w:lang w:val="zh-TW" w:eastAsia="zh-TW" w:bidi="zh-TW"/>
              </w:rPr>
              <w:t>各类工程量</w:t>
            </w:r>
          </w:p>
        </w:tc>
        <w:tc>
          <w:tcPr>
            <w:tcW w:w="1015" w:type="dxa"/>
            <w:gridSpan w:val="2"/>
            <w:tcBorders>
              <w:top w:val="single" w:color="auto" w:sz="4" w:space="0"/>
              <w:left w:val="single" w:color="auto" w:sz="4" w:space="0"/>
            </w:tcBorders>
            <w:shd w:val="clear" w:color="auto" w:fill="FFFFFF"/>
            <w:vAlign w:val="center"/>
          </w:tcPr>
          <w:p>
            <w:pPr>
              <w:spacing w:line="310" w:lineRule="exact"/>
              <w:jc w:val="center"/>
              <w:rPr>
                <w:rFonts w:cs="宋体"/>
                <w:color w:val="000000"/>
                <w:sz w:val="16"/>
                <w:szCs w:val="16"/>
                <w:lang w:val="zh-TW" w:eastAsia="zh-TW" w:bidi="zh-TW"/>
              </w:rPr>
            </w:pPr>
            <w:r>
              <w:rPr>
                <w:color w:val="000000"/>
                <w:sz w:val="18"/>
                <w:szCs w:val="18"/>
                <w:lang w:eastAsia="en-US" w:bidi="en-US"/>
              </w:rPr>
              <w:t>m</w:t>
            </w:r>
            <w:r>
              <w:rPr>
                <w:color w:val="000000"/>
                <w:sz w:val="18"/>
                <w:szCs w:val="18"/>
                <w:vertAlign w:val="superscript"/>
                <w:lang w:eastAsia="en-US" w:bidi="en-US"/>
              </w:rPr>
              <w:t>3</w:t>
            </w:r>
            <w:r>
              <w:rPr>
                <w:rFonts w:hint="eastAsia" w:cs="宋体"/>
                <w:color w:val="000000"/>
                <w:sz w:val="16"/>
                <w:szCs w:val="16"/>
                <w:lang w:bidi="zh-TW"/>
              </w:rPr>
              <w:t>，</w:t>
            </w:r>
            <w:r>
              <w:rPr>
                <w:color w:val="000000"/>
                <w:sz w:val="18"/>
                <w:szCs w:val="18"/>
                <w:lang w:eastAsia="en-US" w:bidi="en-US"/>
              </w:rPr>
              <w:t>km</w:t>
            </w:r>
            <w:r>
              <w:rPr>
                <w:rFonts w:hint="eastAsia"/>
                <w:color w:val="000000"/>
                <w:sz w:val="18"/>
                <w:szCs w:val="18"/>
                <w:lang w:val="zh-TW" w:bidi="zh-TW"/>
              </w:rPr>
              <w:t>，</w:t>
            </w:r>
            <w:r>
              <w:rPr>
                <w:rFonts w:cs="宋体"/>
                <w:color w:val="000000"/>
                <w:sz w:val="16"/>
                <w:szCs w:val="16"/>
                <w:lang w:val="zh-TW" w:eastAsia="zh-TW" w:bidi="zh-TW"/>
              </w:rPr>
              <w:t>座，株</w:t>
            </w:r>
          </w:p>
        </w:tc>
        <w:tc>
          <w:tcPr>
            <w:tcW w:w="2481" w:type="dxa"/>
            <w:gridSpan w:val="2"/>
            <w:tcBorders>
              <w:top w:val="single" w:color="auto" w:sz="4" w:space="0"/>
              <w:left w:val="single" w:color="auto" w:sz="4" w:space="0"/>
            </w:tcBorders>
            <w:shd w:val="clear" w:color="auto" w:fill="FFFFFF"/>
            <w:vAlign w:val="center"/>
          </w:tcPr>
          <w:p>
            <w:pPr>
              <w:spacing w:line="287" w:lineRule="exact"/>
              <w:rPr>
                <w:rFonts w:hint="eastAsia" w:eastAsia="宋体" w:cs="宋体"/>
                <w:color w:val="000000"/>
                <w:sz w:val="16"/>
                <w:szCs w:val="16"/>
                <w:lang w:val="zh-TW" w:eastAsia="zh-CN" w:bidi="zh-TW"/>
              </w:rPr>
            </w:pPr>
            <w:r>
              <w:rPr>
                <w:rFonts w:cs="宋体"/>
                <w:color w:val="000000"/>
                <w:sz w:val="16"/>
                <w:szCs w:val="16"/>
                <w:lang w:val="zh-TW" w:eastAsia="zh-TW" w:bidi="zh-TW"/>
              </w:rPr>
              <w:t>履行高标准农田建设规划和年度计划，经批准的设计文件确定的各项工程的工程量，</w:t>
            </w:r>
            <w:r>
              <w:rPr>
                <w:rFonts w:hint="eastAsia" w:cs="宋体"/>
                <w:color w:val="000000"/>
                <w:sz w:val="16"/>
                <w:szCs w:val="16"/>
                <w:lang w:val="zh-TW" w:eastAsia="zh-CN" w:bidi="zh-TW"/>
              </w:rPr>
              <w:t>如改造提升面积、高效节水灌溉面积、新增建设面积，蓄水池、泵站数量</w:t>
            </w:r>
            <w:r>
              <w:rPr>
                <w:rFonts w:cs="宋体"/>
                <w:color w:val="000000"/>
                <w:sz w:val="16"/>
                <w:szCs w:val="16"/>
                <w:lang w:val="zh-TW" w:eastAsia="zh-TW" w:bidi="zh-TW"/>
              </w:rPr>
              <w:t>、田间道路工程、</w:t>
            </w:r>
            <w:r>
              <w:rPr>
                <w:rFonts w:hint="eastAsia" w:cs="宋体"/>
                <w:color w:val="000000"/>
                <w:sz w:val="16"/>
                <w:szCs w:val="16"/>
                <w:lang w:val="zh-TW" w:eastAsia="zh-TW" w:bidi="zh-TW"/>
              </w:rPr>
              <w:t>农田防护与生态环境保持工程</w:t>
            </w:r>
            <w:r>
              <w:rPr>
                <w:rFonts w:hint="eastAsia" w:cs="宋体"/>
                <w:color w:val="000000"/>
                <w:sz w:val="16"/>
                <w:szCs w:val="16"/>
                <w:lang w:val="zh-TW" w:eastAsia="zh-CN" w:bidi="zh-TW"/>
              </w:rPr>
              <w:t>量、输配电</w:t>
            </w:r>
            <w:r>
              <w:rPr>
                <w:rFonts w:cs="宋体"/>
                <w:color w:val="000000"/>
                <w:sz w:val="16"/>
                <w:szCs w:val="16"/>
                <w:lang w:val="zh-TW" w:eastAsia="zh-TW" w:bidi="zh-TW"/>
              </w:rPr>
              <w:t>工程量</w:t>
            </w:r>
            <w:r>
              <w:rPr>
                <w:rFonts w:hint="eastAsia" w:cs="宋体"/>
                <w:color w:val="000000"/>
                <w:sz w:val="16"/>
                <w:szCs w:val="16"/>
                <w:lang w:val="zh-TW" w:eastAsia="zh-CN" w:bidi="zh-TW"/>
              </w:rPr>
              <w:t>等。</w:t>
            </w:r>
          </w:p>
        </w:tc>
        <w:tc>
          <w:tcPr>
            <w:tcW w:w="1936" w:type="dxa"/>
            <w:gridSpan w:val="2"/>
            <w:tcBorders>
              <w:top w:val="single" w:color="auto" w:sz="4" w:space="0"/>
              <w:left w:val="single" w:color="auto" w:sz="4" w:space="0"/>
            </w:tcBorders>
            <w:shd w:val="clear" w:color="auto" w:fill="FFFFFF"/>
            <w:vAlign w:val="center"/>
          </w:tcPr>
          <w:p>
            <w:pPr>
              <w:spacing w:line="286" w:lineRule="exact"/>
              <w:rPr>
                <w:rFonts w:cs="宋体"/>
                <w:color w:val="000000"/>
                <w:sz w:val="16"/>
                <w:szCs w:val="16"/>
                <w:lang w:val="zh-TW" w:eastAsia="zh-TW" w:bidi="zh-TW"/>
              </w:rPr>
            </w:pPr>
            <w:r>
              <w:rPr>
                <w:rFonts w:cs="宋体"/>
                <w:color w:val="000000"/>
                <w:sz w:val="16"/>
                <w:szCs w:val="16"/>
                <w:lang w:val="zh-TW" w:eastAsia="zh-TW" w:bidi="zh-TW"/>
              </w:rPr>
              <w:t>项目设计文件，竣工验收文件，工程复核报告</w:t>
            </w:r>
          </w:p>
        </w:tc>
        <w:tc>
          <w:tcPr>
            <w:tcW w:w="5691" w:type="dxa"/>
            <w:gridSpan w:val="2"/>
            <w:tcBorders>
              <w:top w:val="single" w:color="auto" w:sz="4" w:space="0"/>
              <w:left w:val="single" w:color="auto" w:sz="4" w:space="0"/>
            </w:tcBorders>
            <w:shd w:val="clear" w:color="auto" w:fill="FFFFFF"/>
            <w:vAlign w:val="center"/>
          </w:tcPr>
          <w:p>
            <w:pPr>
              <w:spacing w:line="287" w:lineRule="exact"/>
              <w:rPr>
                <w:rFonts w:cs="宋体"/>
                <w:color w:val="000000"/>
                <w:sz w:val="16"/>
                <w:szCs w:val="16"/>
                <w:lang w:val="zh-TW" w:eastAsia="zh-TW" w:bidi="zh-TW"/>
              </w:rPr>
            </w:pPr>
            <w:r>
              <w:rPr>
                <w:rFonts w:cs="宋体"/>
                <w:color w:val="000000"/>
                <w:sz w:val="16"/>
                <w:szCs w:val="16"/>
                <w:lang w:val="zh-TW" w:eastAsia="zh-TW" w:bidi="zh-TW"/>
              </w:rPr>
              <w:t>釆用目标比较法进行评价,将实际完成的各项工程量与批准的设计文件（含变更文件）进行对比，计算各项工程的完成情况。对于项目评价，将实际完成的工程量与项目设计文件批准的工程量进行比较。对于年度或规划期评价，将各个项目实际完成的工程量与年度或规划期 内计划完成的工程量进行比较，同时抽样调查项目，开展现场调查。</w:t>
            </w:r>
          </w:p>
          <w:p>
            <w:pPr>
              <w:spacing w:line="287" w:lineRule="exact"/>
              <w:rPr>
                <w:rFonts w:cs="宋体"/>
                <w:color w:val="000000"/>
                <w:sz w:val="16"/>
                <w:szCs w:val="16"/>
                <w:lang w:val="zh-TW" w:eastAsia="zh-TW" w:bidi="zh-TW"/>
              </w:rPr>
            </w:pPr>
            <w:r>
              <w:rPr>
                <w:rFonts w:cs="宋体"/>
                <w:color w:val="000000"/>
                <w:sz w:val="16"/>
                <w:szCs w:val="16"/>
                <w:lang w:val="zh-TW" w:eastAsia="zh-TW" w:bidi="zh-TW"/>
              </w:rPr>
              <w:t>评分釆用五分制，即根据目标完成程度，评分为五分</w:t>
            </w:r>
          </w:p>
        </w:tc>
        <w:tc>
          <w:tcPr>
            <w:tcW w:w="1477"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2790" w:hRule="exact"/>
          <w:jc w:val="center"/>
        </w:trPr>
        <w:tc>
          <w:tcPr>
            <w:tcW w:w="731" w:type="dxa"/>
            <w:gridSpan w:val="2"/>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000000"/>
                <w:sz w:val="18"/>
                <w:szCs w:val="18"/>
                <w:lang w:eastAsia="en-US" w:bidi="en-US"/>
              </w:rPr>
              <w:t>A05</w:t>
            </w:r>
          </w:p>
        </w:tc>
        <w:tc>
          <w:tcPr>
            <w:tcW w:w="872"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000000"/>
                <w:sz w:val="16"/>
                <w:szCs w:val="16"/>
                <w:lang w:val="zh-TW" w:eastAsia="zh-TW" w:bidi="zh-TW"/>
              </w:rPr>
            </w:pPr>
            <w:r>
              <w:rPr>
                <w:rFonts w:cs="宋体"/>
                <w:color w:val="000000"/>
                <w:sz w:val="16"/>
                <w:szCs w:val="16"/>
                <w:lang w:val="zh-TW" w:eastAsia="zh-TW" w:bidi="zh-TW"/>
              </w:rPr>
              <w:t>土层厚度*</w:t>
            </w:r>
          </w:p>
        </w:tc>
        <w:tc>
          <w:tcPr>
            <w:tcW w:w="1015"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8"/>
                <w:szCs w:val="18"/>
                <w:lang w:val="zh-TW" w:eastAsia="zh-TW" w:bidi="zh-TW"/>
              </w:rPr>
            </w:pPr>
            <w:r>
              <w:rPr>
                <w:color w:val="000000"/>
                <w:sz w:val="18"/>
                <w:szCs w:val="18"/>
                <w:lang w:eastAsia="en-US" w:bidi="en-US"/>
              </w:rPr>
              <w:t>cm</w:t>
            </w:r>
          </w:p>
        </w:tc>
        <w:tc>
          <w:tcPr>
            <w:tcW w:w="2481" w:type="dxa"/>
            <w:gridSpan w:val="2"/>
            <w:tcBorders>
              <w:top w:val="single" w:color="auto" w:sz="4" w:space="0"/>
              <w:left w:val="single" w:color="auto" w:sz="4" w:space="0"/>
              <w:bottom w:val="single" w:color="auto" w:sz="4" w:space="0"/>
            </w:tcBorders>
            <w:shd w:val="clear" w:color="auto" w:fill="FFFFFF"/>
            <w:vAlign w:val="center"/>
          </w:tcPr>
          <w:p>
            <w:pPr>
              <w:spacing w:line="285" w:lineRule="exact"/>
              <w:rPr>
                <w:rFonts w:hint="eastAsia" w:eastAsia="宋体" w:cs="宋体"/>
                <w:color w:val="000000"/>
                <w:sz w:val="16"/>
                <w:szCs w:val="16"/>
                <w:lang w:val="zh-TW" w:eastAsia="zh-CN" w:bidi="zh-TW"/>
              </w:rPr>
            </w:pPr>
            <w:r>
              <w:rPr>
                <w:rFonts w:hint="eastAsia" w:cs="宋体"/>
                <w:color w:val="000000"/>
                <w:sz w:val="16"/>
                <w:szCs w:val="16"/>
                <w:lang w:val="zh-TW" w:eastAsia="zh-TW" w:bidi="zh-TW"/>
              </w:rPr>
              <w:t>建成后，常规农机能够进入田块开展机械化作业，农田土体厚度宜达到50cm以上，水田耕作层厚度宜在20cm以上，水浇地和旱地耕作层厚度宜在25cm以上</w:t>
            </w:r>
            <w:r>
              <w:rPr>
                <w:rFonts w:hint="eastAsia" w:cs="宋体"/>
                <w:color w:val="000000"/>
                <w:sz w:val="16"/>
                <w:szCs w:val="16"/>
                <w:lang w:val="zh-TW" w:eastAsia="zh-CN" w:bidi="zh-TW"/>
              </w:rPr>
              <w:t>。</w:t>
            </w:r>
          </w:p>
        </w:tc>
        <w:tc>
          <w:tcPr>
            <w:tcW w:w="1936" w:type="dxa"/>
            <w:gridSpan w:val="2"/>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000000"/>
                <w:sz w:val="16"/>
                <w:szCs w:val="16"/>
                <w:lang w:val="zh-TW" w:eastAsia="zh-TW" w:bidi="zh-TW"/>
              </w:rPr>
            </w:pPr>
            <w:r>
              <w:rPr>
                <w:rFonts w:cs="宋体"/>
                <w:color w:val="000000"/>
                <w:sz w:val="16"/>
                <w:szCs w:val="16"/>
                <w:lang w:val="zh-TW" w:eastAsia="zh-TW" w:bidi="zh-TW"/>
              </w:rPr>
              <w:t>项目工程施工质量检验与评定成果，工程复核报告，已竣工验收的耕作田块</w:t>
            </w:r>
          </w:p>
        </w:tc>
        <w:tc>
          <w:tcPr>
            <w:tcW w:w="5691" w:type="dxa"/>
            <w:gridSpan w:val="2"/>
            <w:tcBorders>
              <w:top w:val="single" w:color="auto" w:sz="4" w:space="0"/>
              <w:left w:val="single" w:color="auto" w:sz="4" w:space="0"/>
              <w:bottom w:val="single" w:color="auto" w:sz="4" w:space="0"/>
            </w:tcBorders>
            <w:shd w:val="clear" w:color="auto" w:fill="FFFFFF"/>
            <w:vAlign w:val="center"/>
          </w:tcPr>
          <w:p>
            <w:pPr>
              <w:spacing w:line="285" w:lineRule="exact"/>
              <w:rPr>
                <w:rFonts w:cs="宋体"/>
                <w:color w:val="000000"/>
                <w:sz w:val="16"/>
                <w:szCs w:val="16"/>
                <w:lang w:val="zh-TW" w:eastAsia="zh-TW" w:bidi="zh-TW"/>
              </w:rPr>
            </w:pPr>
            <w:r>
              <w:rPr>
                <w:rFonts w:cs="宋体"/>
                <w:color w:val="000000"/>
                <w:sz w:val="16"/>
                <w:szCs w:val="16"/>
                <w:lang w:val="zh-TW" w:eastAsia="zh-TW" w:bidi="zh-TW"/>
              </w:rPr>
              <w:t>釆用资料查阅法、现场调查法、抽样调查法进行评价。对于项目评价，应先查阅工程施工质量和耕地质量评价成果，再选择典型地块（耕作田块）进行现场量测和检验，</w:t>
            </w:r>
            <w:r>
              <w:rPr>
                <w:rFonts w:hint="eastAsia" w:cs="宋体"/>
                <w:color w:val="000000"/>
                <w:sz w:val="16"/>
                <w:szCs w:val="16"/>
                <w:lang w:val="zh-TW" w:eastAsia="zh-CN" w:bidi="zh-TW"/>
              </w:rPr>
              <w:t>随机从项目建设区抽查10%以上面积比例的高标准农田</w:t>
            </w:r>
            <w:r>
              <w:rPr>
                <w:rFonts w:cs="宋体"/>
                <w:color w:val="000000"/>
                <w:sz w:val="16"/>
                <w:szCs w:val="16"/>
                <w:lang w:val="zh-TW" w:eastAsia="zh-TW" w:bidi="zh-TW"/>
              </w:rPr>
              <w:t>。对于年度或规划期的评价，需抽样调查项目，在室内査阅有关工程质量和耕地质量评定资料的基础上，现场检验土层厚度。</w:t>
            </w:r>
          </w:p>
          <w:p>
            <w:pPr>
              <w:spacing w:line="285" w:lineRule="exact"/>
              <w:rPr>
                <w:rFonts w:cs="宋体"/>
                <w:color w:val="000000"/>
                <w:sz w:val="16"/>
                <w:szCs w:val="16"/>
                <w:lang w:val="zh-TW" w:eastAsia="zh-TW" w:bidi="zh-TW"/>
              </w:rPr>
            </w:pPr>
            <w:r>
              <w:rPr>
                <w:rFonts w:cs="宋体"/>
                <w:color w:val="000000"/>
                <w:sz w:val="16"/>
                <w:szCs w:val="16"/>
                <w:lang w:val="zh-TW" w:eastAsia="zh-TW" w:bidi="zh-TW"/>
              </w:rPr>
              <w:t>评分采用二分制，即当抽查的土层厚度均满足标准规定时得</w:t>
            </w:r>
            <w:r>
              <w:rPr>
                <w:color w:val="000000"/>
                <w:sz w:val="18"/>
                <w:szCs w:val="18"/>
                <w:lang w:val="zh-TW" w:eastAsia="zh-TW" w:bidi="zh-TW"/>
              </w:rPr>
              <w:t>1</w:t>
            </w:r>
            <w:r>
              <w:rPr>
                <w:rFonts w:cs="宋体"/>
                <w:color w:val="000000"/>
                <w:sz w:val="16"/>
                <w:szCs w:val="16"/>
                <w:lang w:val="zh-TW" w:eastAsia="zh-TW" w:bidi="zh-TW"/>
              </w:rPr>
              <w:t>分,否则得</w:t>
            </w:r>
            <w:r>
              <w:rPr>
                <w:color w:val="000000"/>
                <w:sz w:val="18"/>
                <w:szCs w:val="18"/>
                <w:lang w:val="zh-TW" w:eastAsia="zh-TW" w:bidi="zh-TW"/>
              </w:rPr>
              <w:t>0</w:t>
            </w:r>
            <w:r>
              <w:rPr>
                <w:rFonts w:cs="宋体"/>
                <w:color w:val="000000"/>
                <w:sz w:val="16"/>
                <w:szCs w:val="16"/>
                <w:lang w:val="zh-TW" w:eastAsia="zh-TW" w:bidi="zh-TW"/>
              </w:rPr>
              <w:t>分。下同</w:t>
            </w:r>
          </w:p>
        </w:tc>
        <w:tc>
          <w:tcPr>
            <w:tcW w:w="14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000000"/>
                <w:sz w:val="16"/>
                <w:szCs w:val="16"/>
                <w:lang w:val="zh-TW" w:eastAsia="zh-TW" w:bidi="zh-TW"/>
              </w:rPr>
              <w:t>地块/项目/年度/规 划期</w:t>
            </w:r>
          </w:p>
        </w:tc>
      </w:tr>
      <w:tr>
        <w:tblPrEx>
          <w:tblCellMar>
            <w:top w:w="0" w:type="dxa"/>
            <w:left w:w="10" w:type="dxa"/>
            <w:bottom w:w="0" w:type="dxa"/>
            <w:right w:w="10" w:type="dxa"/>
          </w:tblCellMar>
        </w:tblPrEx>
        <w:trPr>
          <w:trHeight w:val="708" w:hRule="exact"/>
          <w:jc w:val="center"/>
        </w:trPr>
        <w:tc>
          <w:tcPr>
            <w:tcW w:w="731"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eastAsia="en-US" w:bidi="zh-TW"/>
              </w:rPr>
            </w:pPr>
            <w:r>
              <w:rPr>
                <w:rFonts w:cs="宋体"/>
                <w:color w:val="252525"/>
                <w:sz w:val="16"/>
                <w:szCs w:val="16"/>
                <w:lang w:val="zh-TW" w:eastAsia="zh-TW" w:bidi="zh-TW"/>
              </w:rPr>
              <w:t>编号</w:t>
            </w:r>
          </w:p>
        </w:tc>
        <w:tc>
          <w:tcPr>
            <w:tcW w:w="872"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评价指标</w:t>
            </w:r>
          </w:p>
        </w:tc>
        <w:tc>
          <w:tcPr>
            <w:tcW w:w="1015"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6"/>
                <w:szCs w:val="16"/>
                <w:lang w:eastAsia="en-US" w:bidi="zh-TW"/>
              </w:rPr>
            </w:pPr>
            <w:r>
              <w:rPr>
                <w:rFonts w:cs="宋体"/>
                <w:color w:val="000000"/>
                <w:sz w:val="16"/>
                <w:szCs w:val="16"/>
                <w:lang w:val="zh-TW" w:eastAsia="zh-TW" w:bidi="zh-TW"/>
              </w:rPr>
              <w:t>计量单位</w:t>
            </w:r>
          </w:p>
        </w:tc>
        <w:tc>
          <w:tcPr>
            <w:tcW w:w="2481"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指标涵义</w:t>
            </w:r>
          </w:p>
        </w:tc>
        <w:tc>
          <w:tcPr>
            <w:tcW w:w="1936"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数据来源</w:t>
            </w:r>
          </w:p>
        </w:tc>
        <w:tc>
          <w:tcPr>
            <w:tcW w:w="5691"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000000"/>
                <w:sz w:val="16"/>
                <w:szCs w:val="16"/>
                <w:lang w:val="zh-TW" w:eastAsia="zh-TW" w:bidi="zh-TW"/>
              </w:rPr>
            </w:pPr>
            <w:r>
              <w:rPr>
                <w:rFonts w:cs="宋体"/>
                <w:color w:val="000000"/>
                <w:sz w:val="16"/>
                <w:szCs w:val="16"/>
                <w:lang w:val="zh-TW" w:eastAsia="zh-TW" w:bidi="zh-TW"/>
              </w:rPr>
              <w:t>评价方法与评分规则</w:t>
            </w:r>
          </w:p>
        </w:tc>
        <w:tc>
          <w:tcPr>
            <w:tcW w:w="14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适用对象</w:t>
            </w:r>
          </w:p>
        </w:tc>
      </w:tr>
      <w:tr>
        <w:tblPrEx>
          <w:tblCellMar>
            <w:top w:w="0" w:type="dxa"/>
            <w:left w:w="10" w:type="dxa"/>
            <w:bottom w:w="0" w:type="dxa"/>
            <w:right w:w="10" w:type="dxa"/>
          </w:tblCellMar>
        </w:tblPrEx>
        <w:trPr>
          <w:trHeight w:val="2308" w:hRule="exact"/>
          <w:jc w:val="center"/>
        </w:trPr>
        <w:tc>
          <w:tcPr>
            <w:tcW w:w="731"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A06</w:t>
            </w:r>
          </w:p>
        </w:tc>
        <w:tc>
          <w:tcPr>
            <w:tcW w:w="872"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000000"/>
                <w:sz w:val="16"/>
                <w:szCs w:val="16"/>
                <w:lang w:val="zh-TW" w:eastAsia="zh-TW" w:bidi="zh-TW"/>
              </w:rPr>
            </w:pPr>
            <w:r>
              <w:rPr>
                <w:rFonts w:cs="宋体"/>
                <w:color w:val="000000"/>
                <w:sz w:val="16"/>
                <w:szCs w:val="16"/>
                <w:lang w:val="zh-TW" w:eastAsia="zh-TW" w:bidi="zh-TW"/>
              </w:rPr>
              <w:t>地面坡度*</w:t>
            </w:r>
          </w:p>
        </w:tc>
        <w:tc>
          <w:tcPr>
            <w:tcW w:w="1015" w:type="dxa"/>
            <w:gridSpan w:val="2"/>
            <w:tcBorders>
              <w:top w:val="single" w:color="auto" w:sz="4" w:space="0"/>
              <w:left w:val="single" w:color="auto" w:sz="4" w:space="0"/>
              <w:bottom w:val="single" w:color="auto" w:sz="4" w:space="0"/>
            </w:tcBorders>
            <w:shd w:val="clear" w:color="auto" w:fill="FFFFFF"/>
          </w:tcPr>
          <w:p>
            <w:pPr>
              <w:rPr>
                <w:color w:val="000000"/>
                <w:sz w:val="10"/>
                <w:szCs w:val="10"/>
              </w:rPr>
            </w:pPr>
          </w:p>
        </w:tc>
        <w:tc>
          <w:tcPr>
            <w:tcW w:w="2481" w:type="dxa"/>
            <w:gridSpan w:val="2"/>
            <w:tcBorders>
              <w:top w:val="single" w:color="auto" w:sz="4" w:space="0"/>
              <w:left w:val="single" w:color="auto" w:sz="4" w:space="0"/>
              <w:bottom w:val="single" w:color="auto" w:sz="4" w:space="0"/>
            </w:tcBorders>
            <w:shd w:val="clear" w:color="auto" w:fill="FFFFFF"/>
            <w:vAlign w:val="center"/>
          </w:tcPr>
          <w:p>
            <w:pPr>
              <w:spacing w:line="306" w:lineRule="exact"/>
              <w:jc w:val="left"/>
              <w:rPr>
                <w:rFonts w:hint="eastAsia" w:eastAsia="宋体" w:cs="宋体"/>
                <w:color w:val="000000"/>
                <w:sz w:val="16"/>
                <w:szCs w:val="16"/>
                <w:lang w:val="zh-TW" w:eastAsia="zh-CN" w:bidi="zh-TW"/>
              </w:rPr>
            </w:pPr>
            <w:r>
              <w:rPr>
                <w:rFonts w:cs="宋体"/>
                <w:color w:val="000000"/>
                <w:sz w:val="16"/>
                <w:szCs w:val="16"/>
                <w:lang w:val="zh-TW" w:eastAsia="zh-TW" w:bidi="zh-TW"/>
              </w:rPr>
              <w:t>满足</w:t>
            </w:r>
            <w:r>
              <w:rPr>
                <w:color w:val="000000"/>
                <w:sz w:val="18"/>
                <w:szCs w:val="18"/>
                <w:lang w:eastAsia="en-US" w:bidi="en-US"/>
              </w:rPr>
              <w:t xml:space="preserve">GB/T </w:t>
            </w:r>
            <w:r>
              <w:rPr>
                <w:color w:val="000000"/>
                <w:sz w:val="18"/>
                <w:szCs w:val="18"/>
                <w:lang w:val="zh-TW" w:eastAsia="zh-TW" w:bidi="zh-TW"/>
              </w:rPr>
              <w:t>30600</w:t>
            </w:r>
            <w:r>
              <w:rPr>
                <w:rFonts w:hint="eastAsia"/>
                <w:color w:val="000000"/>
                <w:sz w:val="18"/>
                <w:szCs w:val="18"/>
                <w:lang w:val="zh-TW" w:eastAsia="zh-CN" w:bidi="zh-TW"/>
              </w:rPr>
              <w:t>对</w:t>
            </w:r>
            <w:r>
              <w:rPr>
                <w:rFonts w:hint="eastAsia" w:cs="宋体"/>
                <w:color w:val="000000"/>
                <w:sz w:val="16"/>
                <w:szCs w:val="16"/>
                <w:lang w:eastAsia="zh-CN" w:bidi="en-US"/>
              </w:rPr>
              <w:t>坡耕地的建设规定。</w:t>
            </w:r>
          </w:p>
        </w:tc>
        <w:tc>
          <w:tcPr>
            <w:tcW w:w="1936" w:type="dxa"/>
            <w:gridSpan w:val="2"/>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000000"/>
                <w:sz w:val="16"/>
                <w:szCs w:val="16"/>
                <w:lang w:val="zh-TW" w:eastAsia="zh-TW" w:bidi="zh-TW"/>
              </w:rPr>
            </w:pPr>
            <w:r>
              <w:rPr>
                <w:rFonts w:cs="宋体"/>
                <w:color w:val="000000"/>
                <w:sz w:val="16"/>
                <w:szCs w:val="16"/>
                <w:lang w:val="zh-TW" w:eastAsia="zh-TW" w:bidi="zh-TW"/>
              </w:rPr>
              <w:t>项目工程施工质量检验与评 定成果，耕地质量评价成果，工程复核报告，已竣工验收的耕作田块</w:t>
            </w:r>
          </w:p>
        </w:tc>
        <w:tc>
          <w:tcPr>
            <w:tcW w:w="5691" w:type="dxa"/>
            <w:gridSpan w:val="2"/>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000000"/>
                <w:sz w:val="16"/>
                <w:szCs w:val="16"/>
                <w:lang w:val="zh-TW" w:eastAsia="zh-TW" w:bidi="zh-TW"/>
              </w:rPr>
            </w:pPr>
            <w:r>
              <w:rPr>
                <w:rFonts w:cs="宋体"/>
                <w:color w:val="000000"/>
                <w:sz w:val="16"/>
                <w:szCs w:val="16"/>
                <w:lang w:val="zh-TW" w:eastAsia="zh-TW" w:bidi="zh-TW"/>
              </w:rPr>
              <w:t>釆用资料查阅法、现场调查法、抽样调查法进行评价。对于项目评价，应先查阅工程施工质量和耕地质量评价成果，再选择典型地块（耕作田块）进行现场量测和检验，</w:t>
            </w:r>
            <w:r>
              <w:rPr>
                <w:rFonts w:hint="eastAsia" w:cs="宋体"/>
                <w:color w:val="000000"/>
                <w:sz w:val="16"/>
                <w:szCs w:val="16"/>
                <w:lang w:val="zh-TW" w:eastAsia="zh-CN" w:bidi="zh-TW"/>
              </w:rPr>
              <w:t>随机从项目建设区抽查10%以上面积比例的高标准农田</w:t>
            </w:r>
            <w:r>
              <w:rPr>
                <w:rFonts w:cs="宋体"/>
                <w:color w:val="000000"/>
                <w:sz w:val="16"/>
                <w:szCs w:val="16"/>
                <w:lang w:val="zh-TW" w:eastAsia="zh-TW" w:bidi="zh-TW"/>
              </w:rPr>
              <w:t>。对于年度或规划期的评价，需抽样调查项目，在室内查阅有关工程质量和耕地质量评定资料的基础上,现场检验田面坡度。</w:t>
            </w:r>
          </w:p>
          <w:p>
            <w:pPr>
              <w:spacing w:line="286" w:lineRule="exact"/>
              <w:rPr>
                <w:rFonts w:cs="宋体"/>
                <w:color w:val="000000"/>
                <w:sz w:val="16"/>
                <w:szCs w:val="16"/>
                <w:lang w:val="zh-TW" w:eastAsia="zh-TW" w:bidi="zh-TW"/>
              </w:rPr>
            </w:pPr>
            <w:r>
              <w:rPr>
                <w:rFonts w:cs="宋体"/>
                <w:color w:val="000000"/>
                <w:sz w:val="16"/>
                <w:szCs w:val="16"/>
                <w:lang w:val="zh-TW" w:eastAsia="zh-TW" w:bidi="zh-TW"/>
              </w:rPr>
              <w:t>评分釆用二分制，即当抽查的地块地面坡度均满足标准规定时得</w:t>
            </w:r>
            <w:r>
              <w:rPr>
                <w:color w:val="000000"/>
                <w:sz w:val="18"/>
                <w:szCs w:val="18"/>
                <w:lang w:val="zh-TW" w:eastAsia="zh-TW" w:bidi="zh-TW"/>
              </w:rPr>
              <w:t>1</w:t>
            </w:r>
            <w:r>
              <w:rPr>
                <w:rFonts w:cs="宋体"/>
                <w:color w:val="000000"/>
                <w:sz w:val="16"/>
                <w:szCs w:val="16"/>
                <w:lang w:val="zh-TW" w:eastAsia="zh-TW" w:bidi="zh-TW"/>
              </w:rPr>
              <w:t>分,否则得</w:t>
            </w:r>
            <w:r>
              <w:rPr>
                <w:rFonts w:hint="eastAsia"/>
                <w:color w:val="000000"/>
                <w:sz w:val="18"/>
                <w:szCs w:val="18"/>
                <w:lang w:bidi="zh-TW"/>
              </w:rPr>
              <w:t>0</w:t>
            </w:r>
            <w:r>
              <w:rPr>
                <w:rFonts w:cs="宋体"/>
                <w:color w:val="000000"/>
                <w:sz w:val="16"/>
                <w:szCs w:val="16"/>
                <w:lang w:val="zh-CN" w:bidi="zh-CN"/>
              </w:rPr>
              <w:t>分</w:t>
            </w:r>
          </w:p>
        </w:tc>
        <w:tc>
          <w:tcPr>
            <w:tcW w:w="14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474747"/>
                <w:sz w:val="16"/>
                <w:szCs w:val="16"/>
                <w:lang w:val="zh-TW" w:eastAsia="zh-TW" w:bidi="zh-TW"/>
              </w:rPr>
              <w:t>地块/项目/年度/规划期</w:t>
            </w:r>
          </w:p>
        </w:tc>
      </w:tr>
      <w:tr>
        <w:tblPrEx>
          <w:tblCellMar>
            <w:top w:w="0" w:type="dxa"/>
            <w:left w:w="10" w:type="dxa"/>
            <w:bottom w:w="0" w:type="dxa"/>
            <w:right w:w="10" w:type="dxa"/>
          </w:tblCellMar>
        </w:tblPrEx>
        <w:trPr>
          <w:trHeight w:val="2395" w:hRule="exact"/>
          <w:jc w:val="center"/>
        </w:trPr>
        <w:tc>
          <w:tcPr>
            <w:tcW w:w="731" w:type="dxa"/>
            <w:gridSpan w:val="2"/>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w:t>
            </w:r>
            <w:r>
              <w:rPr>
                <w:rFonts w:hint="eastAsia"/>
                <w:color w:val="252525"/>
                <w:sz w:val="18"/>
                <w:szCs w:val="18"/>
                <w:lang w:bidi="en-US"/>
              </w:rPr>
              <w:t>0</w:t>
            </w:r>
            <w:r>
              <w:rPr>
                <w:color w:val="252525"/>
                <w:sz w:val="18"/>
                <w:szCs w:val="18"/>
                <w:lang w:eastAsia="en-US" w:bidi="en-US"/>
              </w:rPr>
              <w:t>7</w:t>
            </w:r>
          </w:p>
        </w:tc>
        <w:tc>
          <w:tcPr>
            <w:tcW w:w="872"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地表砾石含量</w:t>
            </w:r>
          </w:p>
        </w:tc>
        <w:tc>
          <w:tcPr>
            <w:tcW w:w="1015" w:type="dxa"/>
            <w:gridSpan w:val="2"/>
            <w:tcBorders>
              <w:top w:val="single" w:color="auto" w:sz="4" w:space="0"/>
              <w:left w:val="single" w:color="auto" w:sz="4" w:space="0"/>
              <w:bottom w:val="single" w:color="auto" w:sz="4" w:space="0"/>
            </w:tcBorders>
            <w:shd w:val="clear" w:color="auto" w:fill="FFFFFF"/>
          </w:tcPr>
          <w:p>
            <w:pPr>
              <w:rPr>
                <w:sz w:val="10"/>
                <w:szCs w:val="10"/>
              </w:rPr>
            </w:pPr>
          </w:p>
        </w:tc>
        <w:tc>
          <w:tcPr>
            <w:tcW w:w="2481" w:type="dxa"/>
            <w:gridSpan w:val="2"/>
            <w:tcBorders>
              <w:top w:val="single" w:color="auto" w:sz="4" w:space="0"/>
              <w:left w:val="single" w:color="auto" w:sz="4" w:space="0"/>
              <w:bottom w:val="single" w:color="auto" w:sz="4" w:space="0"/>
            </w:tcBorders>
            <w:shd w:val="clear" w:color="auto" w:fill="FFFFFF"/>
            <w:vAlign w:val="center"/>
          </w:tcPr>
          <w:p>
            <w:pPr>
              <w:spacing w:line="283" w:lineRule="exact"/>
              <w:jc w:val="left"/>
              <w:rPr>
                <w:rFonts w:hint="eastAsia" w:eastAsia="宋体" w:cs="宋体"/>
                <w:color w:val="252525"/>
                <w:sz w:val="16"/>
                <w:szCs w:val="16"/>
                <w:lang w:val="zh-TW" w:eastAsia="zh-CN" w:bidi="zh-TW"/>
              </w:rPr>
            </w:pPr>
            <w:r>
              <w:rPr>
                <w:rFonts w:hint="eastAsia" w:eastAsia="宋体" w:cs="宋体"/>
                <w:color w:val="252525"/>
                <w:sz w:val="16"/>
                <w:szCs w:val="16"/>
                <w:lang w:val="zh-TW" w:eastAsia="zh-CN" w:bidi="zh-TW"/>
              </w:rPr>
              <w:t>机耕路的砂砾石路面，参照《城镇道路工程施工与质量验收规范》（CJJ 1-2008 ）“7.6级配砂砾及级配砾石基层”等相关规定</w:t>
            </w:r>
          </w:p>
        </w:tc>
        <w:tc>
          <w:tcPr>
            <w:tcW w:w="1936" w:type="dxa"/>
            <w:gridSpan w:val="2"/>
            <w:tcBorders>
              <w:top w:val="single" w:color="auto" w:sz="4" w:space="0"/>
              <w:left w:val="single" w:color="auto" w:sz="4" w:space="0"/>
              <w:bottom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项目工程施工质量检验与评定成果，耕地质量评价成果，工程复核报告，已竣工验收的耕作田块</w:t>
            </w:r>
          </w:p>
        </w:tc>
        <w:tc>
          <w:tcPr>
            <w:tcW w:w="5691" w:type="dxa"/>
            <w:gridSpan w:val="2"/>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釆用资料查阅法、现场调査法、抽样调查法进行评价。对于项目评价，应先查阅工程施工质量和耕地质量评价成果，再选择典型地块（耕作田块）进行现场量测和检验，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；对于年度或规划期的评价，需抽样调查项目，在室内查阅有关工程质量和耕地质量评定资料的基础上，现场检验土层厚度。</w:t>
            </w:r>
          </w:p>
          <w:p>
            <w:pPr>
              <w:spacing w:line="286" w:lineRule="exact"/>
              <w:rPr>
                <w:rFonts w:cs="宋体"/>
                <w:color w:val="252525"/>
                <w:sz w:val="16"/>
                <w:szCs w:val="16"/>
                <w:lang w:val="zh-TW" w:eastAsia="zh-TW" w:bidi="zh-TW"/>
              </w:rPr>
            </w:pPr>
            <w:r>
              <w:rPr>
                <w:rFonts w:cs="宋体"/>
                <w:color w:val="252525"/>
                <w:sz w:val="16"/>
                <w:szCs w:val="16"/>
                <w:lang w:val="zh-TW" w:eastAsia="zh-TW" w:bidi="zh-TW"/>
              </w:rPr>
              <w:t>评分釆用二分制，即当抽查的土层厚度均满足标准规定时得</w:t>
            </w:r>
            <w:r>
              <w:rPr>
                <w:color w:val="252525"/>
                <w:sz w:val="18"/>
                <w:szCs w:val="18"/>
                <w:lang w:val="zh-TW" w:eastAsia="zh-TW" w:bidi="zh-TW"/>
              </w:rPr>
              <w:t>1</w:t>
            </w:r>
            <w:r>
              <w:rPr>
                <w:rFonts w:cs="宋体"/>
                <w:color w:val="252525"/>
                <w:sz w:val="16"/>
                <w:szCs w:val="16"/>
                <w:lang w:val="zh-TW" w:eastAsia="zh-TW" w:bidi="zh-TW"/>
              </w:rPr>
              <w:t>分,否则得</w:t>
            </w:r>
            <w:r>
              <w:rPr>
                <w:color w:val="252525"/>
                <w:sz w:val="18"/>
                <w:szCs w:val="18"/>
                <w:lang w:val="zh-TW" w:eastAsia="zh-TW" w:bidi="zh-TW"/>
              </w:rPr>
              <w:t>0</w:t>
            </w:r>
            <w:r>
              <w:rPr>
                <w:rFonts w:cs="宋体"/>
                <w:color w:val="252525"/>
                <w:sz w:val="16"/>
                <w:szCs w:val="16"/>
                <w:lang w:val="zh-TW" w:eastAsia="zh-TW" w:bidi="zh-TW"/>
              </w:rPr>
              <w:t>分</w:t>
            </w:r>
          </w:p>
        </w:tc>
        <w:tc>
          <w:tcPr>
            <w:tcW w:w="14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3021" w:hRule="exact"/>
          <w:jc w:val="center"/>
        </w:trPr>
        <w:tc>
          <w:tcPr>
            <w:tcW w:w="731" w:type="dxa"/>
            <w:gridSpan w:val="2"/>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eastAsia="en-US" w:bidi="zh-TW"/>
              </w:rPr>
            </w:pPr>
            <w:r>
              <w:rPr>
                <w:color w:val="252525"/>
                <w:sz w:val="18"/>
                <w:szCs w:val="18"/>
                <w:lang w:eastAsia="en-US" w:bidi="en-US"/>
              </w:rPr>
              <w:t>A08</w:t>
            </w:r>
          </w:p>
        </w:tc>
        <w:tc>
          <w:tcPr>
            <w:tcW w:w="872"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田块标准化</w:t>
            </w:r>
          </w:p>
        </w:tc>
        <w:tc>
          <w:tcPr>
            <w:tcW w:w="1015" w:type="dxa"/>
            <w:gridSpan w:val="2"/>
            <w:tcBorders>
              <w:top w:val="single" w:color="auto" w:sz="4" w:space="0"/>
              <w:left w:val="single" w:color="auto" w:sz="4" w:space="0"/>
              <w:bottom w:val="single" w:color="auto" w:sz="4" w:space="0"/>
            </w:tcBorders>
            <w:shd w:val="clear" w:color="auto" w:fill="FFFFFF"/>
          </w:tcPr>
          <w:p>
            <w:pPr>
              <w:rPr>
                <w:sz w:val="10"/>
                <w:szCs w:val="10"/>
              </w:rPr>
            </w:pPr>
          </w:p>
        </w:tc>
        <w:tc>
          <w:tcPr>
            <w:tcW w:w="2481" w:type="dxa"/>
            <w:gridSpan w:val="2"/>
            <w:tcBorders>
              <w:top w:val="single" w:color="auto" w:sz="4" w:space="0"/>
              <w:left w:val="single" w:color="auto" w:sz="4" w:space="0"/>
              <w:bottom w:val="single" w:color="auto" w:sz="4" w:space="0"/>
            </w:tcBorders>
            <w:shd w:val="clear" w:color="auto" w:fill="FFFFFF"/>
            <w:vAlign w:val="center"/>
          </w:tcPr>
          <w:p>
            <w:pPr>
              <w:spacing w:line="285" w:lineRule="exact"/>
              <w:jc w:val="left"/>
              <w:rPr>
                <w:rFonts w:cs="宋体"/>
                <w:color w:val="252525"/>
                <w:sz w:val="18"/>
                <w:szCs w:val="18"/>
                <w:lang w:val="zh-TW" w:eastAsia="zh-TW" w:bidi="zh-TW"/>
              </w:rPr>
            </w:pPr>
            <w:r>
              <w:rPr>
                <w:rFonts w:hint="eastAsia" w:cs="宋体"/>
                <w:color w:val="252525"/>
                <w:sz w:val="16"/>
                <w:szCs w:val="16"/>
                <w:lang w:val="zh-TW" w:eastAsia="zh-CN" w:bidi="zh-TW"/>
              </w:rPr>
              <w:t>符合</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eastAsia="en-US" w:bidi="en-US"/>
              </w:rPr>
              <w:t>、</w:t>
            </w:r>
            <w:r>
              <w:rPr>
                <w:color w:val="252525"/>
                <w:sz w:val="18"/>
                <w:szCs w:val="18"/>
                <w:lang w:eastAsia="en-US" w:bidi="en-US"/>
              </w:rPr>
              <w:t>NY/T</w:t>
            </w:r>
            <w:r>
              <w:rPr>
                <w:rFonts w:hint="eastAsia"/>
                <w:color w:val="252525"/>
                <w:sz w:val="18"/>
                <w:szCs w:val="18"/>
                <w:lang w:bidi="en-US"/>
              </w:rPr>
              <w:t xml:space="preserve"> </w:t>
            </w:r>
            <w:r>
              <w:rPr>
                <w:color w:val="252525"/>
                <w:sz w:val="18"/>
                <w:szCs w:val="18"/>
                <w:lang w:val="zh-TW" w:eastAsia="zh-TW" w:bidi="zh-TW"/>
              </w:rPr>
              <w:t>2148</w:t>
            </w:r>
            <w:r>
              <w:rPr>
                <w:rFonts w:cs="宋体"/>
                <w:color w:val="252525"/>
                <w:sz w:val="16"/>
                <w:szCs w:val="16"/>
                <w:lang w:val="zh-TW" w:eastAsia="zh-TW" w:bidi="zh-TW"/>
              </w:rPr>
              <w:t>规定的</w:t>
            </w:r>
            <w:r>
              <w:rPr>
                <w:rFonts w:hint="eastAsia" w:cs="宋体"/>
                <w:color w:val="252525"/>
                <w:sz w:val="16"/>
                <w:szCs w:val="16"/>
                <w:lang w:val="zh-TW" w:eastAsia="zh-TW" w:bidi="zh-TW"/>
              </w:rPr>
              <w:t>田块</w:t>
            </w:r>
            <w:r>
              <w:rPr>
                <w:rFonts w:hint="eastAsia" w:cs="宋体"/>
                <w:color w:val="252525"/>
                <w:sz w:val="16"/>
                <w:szCs w:val="16"/>
                <w:lang w:val="zh-TW" w:eastAsia="zh-CN" w:bidi="zh-TW"/>
              </w:rPr>
              <w:t>规模要求</w:t>
            </w:r>
            <w:r>
              <w:rPr>
                <w:rFonts w:cs="宋体"/>
                <w:color w:val="252525"/>
                <w:sz w:val="16"/>
                <w:szCs w:val="16"/>
                <w:lang w:val="zh-TW" w:eastAsia="zh-TW" w:bidi="zh-TW"/>
              </w:rPr>
              <w:t>，且田块集中连片。</w:t>
            </w:r>
          </w:p>
        </w:tc>
        <w:tc>
          <w:tcPr>
            <w:tcW w:w="1936" w:type="dxa"/>
            <w:gridSpan w:val="2"/>
            <w:tcBorders>
              <w:top w:val="single" w:color="auto" w:sz="4" w:space="0"/>
              <w:left w:val="single" w:color="auto" w:sz="4" w:space="0"/>
              <w:bottom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项目工程施工质量检验与评定成果，耕地质量评价成果，工程复核报告，已竣工验收的耕作田块</w:t>
            </w:r>
          </w:p>
        </w:tc>
        <w:tc>
          <w:tcPr>
            <w:tcW w:w="5691" w:type="dxa"/>
            <w:gridSpan w:val="2"/>
            <w:tcBorders>
              <w:top w:val="single" w:color="auto" w:sz="4" w:space="0"/>
              <w:left w:val="single" w:color="auto" w:sz="4" w:space="0"/>
              <w:bottom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釆用资料查阅法、现场调査法、抽样调查法进行评价。对于项目评价，应先查阅工程施工质量和耕地质量评价成果，再选择典型地块（耕作田块）进行现场量测和检验，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。对于年度或规划期的评价，需抽样调查项目，在室内查阅有关工程质量和耕地质量评定资料的基础上，现场检验田块的规格、规模和集中度。</w:t>
            </w:r>
          </w:p>
          <w:p>
            <w:pPr>
              <w:spacing w:line="285"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按照抽样田块满足标准规定的数量占总数量的比值进行评价，评分釆用五分制</w:t>
            </w:r>
          </w:p>
        </w:tc>
        <w:tc>
          <w:tcPr>
            <w:tcW w:w="14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bl>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1"/>
        <w:gridCol w:w="872"/>
        <w:gridCol w:w="1015"/>
        <w:gridCol w:w="2458"/>
        <w:gridCol w:w="1959"/>
        <w:gridCol w:w="5691"/>
        <w:gridCol w:w="1477"/>
      </w:tblGrid>
      <w:tr>
        <w:tblPrEx>
          <w:tblCellMar>
            <w:top w:w="0" w:type="dxa"/>
            <w:left w:w="10" w:type="dxa"/>
            <w:bottom w:w="0" w:type="dxa"/>
            <w:right w:w="10" w:type="dxa"/>
          </w:tblCellMar>
        </w:tblPrEx>
        <w:trPr>
          <w:trHeight w:val="732"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eastAsia="en-US" w:bidi="zh-TW"/>
              </w:rPr>
            </w:pPr>
            <w:r>
              <w:rPr>
                <w:rFonts w:cs="宋体"/>
                <w:color w:val="000000"/>
                <w:sz w:val="16"/>
                <w:szCs w:val="16"/>
                <w:lang w:val="zh-TW" w:eastAsia="zh-TW" w:bidi="zh-TW"/>
              </w:rPr>
              <w:t>编号</w:t>
            </w:r>
          </w:p>
        </w:tc>
        <w:tc>
          <w:tcPr>
            <w:tcW w:w="872"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bidi="zh-TW"/>
              </w:rPr>
            </w:pPr>
            <w:r>
              <w:rPr>
                <w:rFonts w:cs="宋体"/>
                <w:color w:val="000000"/>
                <w:sz w:val="16"/>
                <w:szCs w:val="16"/>
                <w:lang w:val="zh-TW" w:eastAsia="zh-TW" w:bidi="zh-TW"/>
              </w:rPr>
              <w:t>计量单位</w:t>
            </w:r>
          </w:p>
        </w:tc>
        <w:tc>
          <w:tcPr>
            <w:tcW w:w="245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959" w:type="dxa"/>
            <w:tcBorders>
              <w:top w:val="single" w:color="auto" w:sz="4" w:space="0"/>
              <w:left w:val="single" w:color="auto" w:sz="4" w:space="0"/>
              <w:bottom w:val="single" w:color="auto" w:sz="4" w:space="0"/>
            </w:tcBorders>
            <w:shd w:val="clear" w:color="auto" w:fill="FFFFFF"/>
            <w:vAlign w:val="center"/>
          </w:tcPr>
          <w:p>
            <w:pPr>
              <w:ind w:firstLine="400"/>
              <w:rPr>
                <w:rFonts w:cs="宋体"/>
                <w:color w:val="252525"/>
                <w:sz w:val="16"/>
                <w:szCs w:val="16"/>
                <w:lang w:val="zh-TW" w:eastAsia="zh-TW" w:bidi="zh-TW"/>
              </w:rPr>
            </w:pPr>
            <w:r>
              <w:rPr>
                <w:rFonts w:cs="宋体"/>
                <w:color w:val="252525"/>
                <w:sz w:val="16"/>
                <w:szCs w:val="16"/>
                <w:lang w:val="zh-TW" w:eastAsia="zh-TW" w:bidi="zh-TW"/>
              </w:rPr>
              <w:t>数据来源</w:t>
            </w:r>
          </w:p>
        </w:tc>
        <w:tc>
          <w:tcPr>
            <w:tcW w:w="569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适用对象</w:t>
            </w:r>
          </w:p>
        </w:tc>
      </w:tr>
      <w:tr>
        <w:tblPrEx>
          <w:tblCellMar>
            <w:top w:w="0" w:type="dxa"/>
            <w:left w:w="10" w:type="dxa"/>
            <w:bottom w:w="0" w:type="dxa"/>
            <w:right w:w="10" w:type="dxa"/>
          </w:tblCellMar>
        </w:tblPrEx>
        <w:trPr>
          <w:trHeight w:val="1881"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000000"/>
                <w:sz w:val="18"/>
                <w:szCs w:val="18"/>
                <w:lang w:eastAsia="en-US" w:bidi="en-US"/>
              </w:rPr>
              <w:t>A09</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田面平整度</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000000"/>
                <w:sz w:val="18"/>
                <w:szCs w:val="18"/>
                <w:lang w:eastAsia="en-US" w:bidi="en-US"/>
              </w:rPr>
              <w:t>cm</w:t>
            </w:r>
          </w:p>
        </w:tc>
        <w:tc>
          <w:tcPr>
            <w:tcW w:w="2458" w:type="dxa"/>
            <w:tcBorders>
              <w:top w:val="single" w:color="auto" w:sz="4" w:space="0"/>
              <w:left w:val="single" w:color="auto" w:sz="4" w:space="0"/>
              <w:bottom w:val="single" w:color="auto" w:sz="4" w:space="0"/>
            </w:tcBorders>
            <w:shd w:val="clear" w:color="auto" w:fill="FFFFFF"/>
            <w:vAlign w:val="center"/>
          </w:tcPr>
          <w:p>
            <w:pPr>
              <w:spacing w:line="302" w:lineRule="exact"/>
              <w:rPr>
                <w:rFonts w:cs="宋体"/>
                <w:color w:val="252525"/>
                <w:sz w:val="16"/>
                <w:szCs w:val="16"/>
                <w:lang w:val="zh-TW" w:eastAsia="zh-TW"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hint="eastAsia" w:cs="宋体"/>
                <w:color w:val="252525"/>
                <w:sz w:val="16"/>
                <w:szCs w:val="16"/>
                <w:lang w:val="zh-TW" w:eastAsia="zh-CN" w:bidi="zh-TW"/>
              </w:rPr>
              <w:t>对</w:t>
            </w:r>
            <w:r>
              <w:rPr>
                <w:rFonts w:hint="eastAsia" w:cs="宋体"/>
                <w:color w:val="252525"/>
                <w:sz w:val="16"/>
                <w:szCs w:val="16"/>
                <w:lang w:val="zh-TW" w:eastAsia="zh-TW" w:bidi="zh-TW"/>
              </w:rPr>
              <w:t>田面高差</w:t>
            </w:r>
            <w:r>
              <w:rPr>
                <w:rFonts w:hint="eastAsia" w:cs="宋体"/>
                <w:color w:val="252525"/>
                <w:sz w:val="16"/>
                <w:szCs w:val="16"/>
                <w:lang w:val="zh-TW" w:eastAsia="zh-CN" w:bidi="zh-TW"/>
              </w:rPr>
              <w:t>的要求</w:t>
            </w:r>
            <w:r>
              <w:rPr>
                <w:rFonts w:cs="宋体"/>
                <w:color w:val="252525"/>
                <w:sz w:val="16"/>
                <w:szCs w:val="16"/>
                <w:lang w:val="zh-TW" w:eastAsia="zh-TW" w:bidi="zh-TW"/>
              </w:rPr>
              <w:t>。</w:t>
            </w:r>
          </w:p>
          <w:p>
            <w:pPr>
              <w:spacing w:line="287" w:lineRule="exact"/>
              <w:rPr>
                <w:rFonts w:hint="eastAsia" w:eastAsia="宋体" w:cs="宋体"/>
                <w:color w:val="252525"/>
                <w:sz w:val="18"/>
                <w:szCs w:val="18"/>
                <w:lang w:val="zh-TW" w:eastAsia="zh-CN" w:bidi="zh-TW"/>
              </w:rPr>
            </w:pPr>
          </w:p>
        </w:tc>
        <w:tc>
          <w:tcPr>
            <w:tcW w:w="1959" w:type="dxa"/>
            <w:tcBorders>
              <w:top w:val="single" w:color="auto" w:sz="4" w:space="0"/>
              <w:left w:val="single" w:color="auto" w:sz="4" w:space="0"/>
              <w:bottom w:val="single" w:color="auto" w:sz="4" w:space="0"/>
            </w:tcBorders>
            <w:shd w:val="clear" w:color="auto" w:fill="FFFFFF"/>
          </w:tcPr>
          <w:p>
            <w:pPr>
              <w:spacing w:before="260" w:line="282" w:lineRule="exact"/>
              <w:ind w:firstLine="140"/>
              <w:rPr>
                <w:rFonts w:cs="宋体"/>
                <w:color w:val="252525"/>
                <w:sz w:val="16"/>
                <w:szCs w:val="16"/>
                <w:lang w:val="zh-TW" w:eastAsia="zh-TW" w:bidi="zh-TW"/>
              </w:rPr>
            </w:pPr>
            <w:r>
              <w:rPr>
                <w:rFonts w:cs="宋体"/>
                <w:color w:val="252525"/>
                <w:sz w:val="16"/>
                <w:szCs w:val="16"/>
                <w:lang w:val="zh-TW" w:eastAsia="zh-TW" w:bidi="zh-TW"/>
              </w:rPr>
              <w:t>项目工程施工质量检验</w:t>
            </w:r>
            <w:r>
              <w:rPr>
                <w:rFonts w:hint="eastAsia" w:cs="宋体"/>
                <w:color w:val="252525"/>
                <w:sz w:val="16"/>
                <w:szCs w:val="16"/>
                <w:lang w:bidi="zh-TW"/>
              </w:rPr>
              <w:t>与</w:t>
            </w:r>
            <w:r>
              <w:rPr>
                <w:rFonts w:cs="宋体"/>
                <w:color w:val="252525"/>
                <w:sz w:val="16"/>
                <w:szCs w:val="16"/>
                <w:lang w:val="zh-TW" w:eastAsia="zh-TW" w:bidi="zh-TW"/>
              </w:rPr>
              <w:t>评定成果，耕地质量评价成果，工程复核报告，已</w:t>
            </w:r>
            <w:r>
              <w:rPr>
                <w:rFonts w:hint="eastAsia" w:cs="宋体"/>
                <w:color w:val="252525"/>
                <w:sz w:val="16"/>
                <w:szCs w:val="16"/>
                <w:lang w:val="zh-TW" w:bidi="zh-TW"/>
              </w:rPr>
              <w:t>竣工验收的耕作田块</w:t>
            </w:r>
          </w:p>
        </w:tc>
        <w:tc>
          <w:tcPr>
            <w:tcW w:w="5691" w:type="dxa"/>
            <w:tcBorders>
              <w:top w:val="single" w:color="auto" w:sz="4" w:space="0"/>
              <w:left w:val="single" w:color="auto" w:sz="4" w:space="0"/>
              <w:bottom w:val="single" w:color="auto" w:sz="4" w:space="0"/>
            </w:tcBorders>
            <w:shd w:val="clear" w:color="auto" w:fill="FFFFFF"/>
          </w:tcPr>
          <w:p>
            <w:pPr>
              <w:spacing w:line="283" w:lineRule="exact"/>
              <w:rPr>
                <w:rFonts w:cs="宋体"/>
                <w:color w:val="252525"/>
                <w:sz w:val="16"/>
                <w:szCs w:val="16"/>
                <w:lang w:val="zh-TW" w:eastAsia="zh-TW" w:bidi="zh-TW"/>
              </w:rPr>
            </w:pPr>
            <w:r>
              <w:rPr>
                <w:rFonts w:cs="宋体"/>
                <w:color w:val="252525"/>
                <w:sz w:val="16"/>
                <w:szCs w:val="16"/>
                <w:lang w:val="zh-TW" w:eastAsia="zh-TW" w:bidi="zh-TW"/>
              </w:rPr>
              <w:t>釆用资料查阅法、现场调查法、抽样调查法进行评价。对于项目评价，应先查阅工程施工质量和耕地质量评价成果，再选择典型地块（耕作田块）进行现场量测和检验，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。对于年度或规划期的评价，需抽样调查项目，在室内查阅有关工程质量和耕地质量评定资料的基础上,现场检验田面高差。</w:t>
            </w:r>
          </w:p>
          <w:p>
            <w:pPr>
              <w:spacing w:line="283"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按照抽样田块满足标准规定的数量占总数量的比值进行评价，评分釆用五分制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eastAsia="en-US" w:bidi="zh-TW"/>
              </w:rPr>
            </w:pPr>
            <w:r>
              <w:rPr>
                <w:color w:val="000000"/>
                <w:sz w:val="18"/>
                <w:szCs w:val="18"/>
                <w:lang w:eastAsia="en-US" w:bidi="en-US"/>
              </w:rPr>
              <w:t>A10</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梯田修筑标准</w:t>
            </w:r>
          </w:p>
        </w:tc>
        <w:tc>
          <w:tcPr>
            <w:tcW w:w="1015" w:type="dxa"/>
            <w:tcBorders>
              <w:top w:val="single" w:color="auto" w:sz="4" w:space="0"/>
              <w:left w:val="single" w:color="auto" w:sz="4" w:space="0"/>
              <w:bottom w:val="single" w:color="auto" w:sz="4" w:space="0"/>
            </w:tcBorders>
            <w:shd w:val="clear" w:color="auto" w:fill="FFFFFF"/>
          </w:tcPr>
          <w:p>
            <w:pPr>
              <w:rPr>
                <w:sz w:val="10"/>
                <w:szCs w:val="10"/>
                <w:lang w:eastAsia="en-US"/>
              </w:rPr>
            </w:pPr>
          </w:p>
        </w:tc>
        <w:tc>
          <w:tcPr>
            <w:tcW w:w="2458" w:type="dxa"/>
            <w:tcBorders>
              <w:top w:val="single" w:color="auto" w:sz="4" w:space="0"/>
              <w:left w:val="single" w:color="auto" w:sz="4" w:space="0"/>
              <w:bottom w:val="single" w:color="auto" w:sz="4" w:space="0"/>
            </w:tcBorders>
            <w:shd w:val="clear" w:color="auto" w:fill="FFFFFF"/>
          </w:tcPr>
          <w:p>
            <w:pPr>
              <w:spacing w:line="286"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GB/T</w:t>
            </w:r>
            <w:r>
              <w:rPr>
                <w:rFonts w:hint="eastAsia"/>
                <w:color w:val="252525"/>
                <w:sz w:val="18"/>
                <w:szCs w:val="18"/>
                <w:lang w:bidi="en-US"/>
              </w:rPr>
              <w:t xml:space="preserve"> </w:t>
            </w:r>
            <w:r>
              <w:rPr>
                <w:color w:val="252525"/>
                <w:sz w:val="18"/>
                <w:szCs w:val="18"/>
                <w:lang w:val="zh-TW" w:eastAsia="zh-TW" w:bidi="zh-TW"/>
              </w:rPr>
              <w:t>30600</w:t>
            </w:r>
            <w:r>
              <w:rPr>
                <w:rFonts w:cs="宋体"/>
                <w:color w:val="252525"/>
                <w:sz w:val="16"/>
                <w:szCs w:val="16"/>
                <w:lang w:val="zh-TW" w:eastAsia="zh-TW" w:bidi="zh-TW"/>
              </w:rPr>
              <w:t>规定的陵区梯田建设标准，</w:t>
            </w:r>
            <w:r>
              <w:rPr>
                <w:rFonts w:hint="eastAsia" w:cs="宋体"/>
                <w:color w:val="252525"/>
                <w:sz w:val="16"/>
                <w:szCs w:val="16"/>
                <w:lang w:val="zh-TW" w:eastAsia="zh-TW" w:bidi="zh-TW"/>
              </w:rPr>
              <w:t>坡度为10°~25°的山地丘陵区梯田化率宜达到90%以上</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tcPr>
          <w:p>
            <w:pPr>
              <w:spacing w:before="380" w:line="286" w:lineRule="exact"/>
              <w:ind w:firstLine="140"/>
              <w:rPr>
                <w:rFonts w:cs="宋体"/>
                <w:color w:val="252525"/>
                <w:sz w:val="16"/>
                <w:szCs w:val="16"/>
                <w:lang w:val="zh-TW" w:bidi="zh-TW"/>
              </w:rPr>
            </w:pPr>
            <w:r>
              <w:rPr>
                <w:rFonts w:cs="宋体"/>
                <w:color w:val="252525"/>
                <w:sz w:val="16"/>
                <w:szCs w:val="16"/>
                <w:lang w:val="zh-TW" w:eastAsia="zh-TW" w:bidi="zh-TW"/>
              </w:rPr>
              <w:t>项目工程施工质量检验</w:t>
            </w:r>
            <w:r>
              <w:rPr>
                <w:rFonts w:hint="eastAsia" w:cs="宋体"/>
                <w:color w:val="252525"/>
                <w:sz w:val="16"/>
                <w:szCs w:val="16"/>
                <w:lang w:bidi="zh-TW"/>
              </w:rPr>
              <w:t>与</w:t>
            </w:r>
            <w:r>
              <w:rPr>
                <w:rFonts w:cs="宋体"/>
                <w:color w:val="252525"/>
                <w:sz w:val="16"/>
                <w:szCs w:val="16"/>
                <w:lang w:val="zh-TW" w:eastAsia="zh-TW" w:bidi="zh-TW"/>
              </w:rPr>
              <w:t>评定成果，耕地质量评价成果，工程复核报告，已</w:t>
            </w:r>
            <w:r>
              <w:rPr>
                <w:rFonts w:hint="eastAsia" w:cs="宋体"/>
                <w:color w:val="252525"/>
                <w:sz w:val="16"/>
                <w:szCs w:val="16"/>
                <w:lang w:val="zh-TW" w:bidi="zh-TW"/>
              </w:rPr>
              <w:t>竣工验收的耕作田块</w:t>
            </w:r>
          </w:p>
        </w:tc>
        <w:tc>
          <w:tcPr>
            <w:tcW w:w="5691" w:type="dxa"/>
            <w:tcBorders>
              <w:top w:val="single" w:color="auto" w:sz="4" w:space="0"/>
              <w:left w:val="single" w:color="auto" w:sz="4" w:space="0"/>
              <w:bottom w:val="single" w:color="auto" w:sz="4" w:space="0"/>
            </w:tcBorders>
            <w:shd w:val="clear" w:color="auto" w:fill="FFFFFF"/>
            <w:vAlign w:val="bottom"/>
          </w:tcPr>
          <w:p>
            <w:pPr>
              <w:spacing w:line="290" w:lineRule="exact"/>
              <w:rPr>
                <w:rFonts w:cs="宋体"/>
                <w:color w:val="252525"/>
                <w:sz w:val="18"/>
                <w:szCs w:val="18"/>
                <w:lang w:val="zh-TW" w:bidi="zh-TW"/>
              </w:rPr>
            </w:pPr>
            <w:r>
              <w:rPr>
                <w:rFonts w:cs="宋体"/>
                <w:color w:val="252525"/>
                <w:sz w:val="16"/>
                <w:szCs w:val="16"/>
                <w:lang w:val="zh-TW" w:eastAsia="zh-TW" w:bidi="zh-TW"/>
              </w:rPr>
              <w:t>采用资料查阅法、现场调查法、抽样调查法进行评价。对于项目评价，应先查阅工程施工质量和耕地质量评价成果，再选择典型地块（一个梯田田面）进行现场量测和检验，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。对于年度或规划期的评价，需抽样调查项目，在室内查阅有关工程质量和耕地质量评定资料的基础上，现场对梯田田面进行抽样调査，重点检验梯田田面和埴坎的修筑</w:t>
            </w:r>
            <w:r>
              <w:rPr>
                <w:rFonts w:hint="eastAsia" w:cs="宋体"/>
                <w:color w:val="252525"/>
                <w:sz w:val="16"/>
                <w:szCs w:val="16"/>
                <w:lang w:val="zh-TW" w:bidi="zh-TW"/>
              </w:rPr>
              <w:t>标准。</w:t>
            </w:r>
          </w:p>
          <w:p>
            <w:pPr>
              <w:spacing w:line="367" w:lineRule="exact"/>
              <w:rPr>
                <w:rFonts w:cs="宋体"/>
                <w:color w:val="252525"/>
                <w:sz w:val="16"/>
                <w:szCs w:val="16"/>
                <w:lang w:val="zh-TW" w:eastAsia="zh-TW" w:bidi="zh-TW"/>
              </w:rPr>
            </w:pPr>
            <w:r>
              <w:rPr>
                <w:rFonts w:cs="宋体"/>
                <w:color w:val="252525"/>
                <w:sz w:val="16"/>
                <w:szCs w:val="16"/>
                <w:lang w:val="zh-TW" w:eastAsia="zh-TW" w:bidi="zh-TW"/>
              </w:rPr>
              <w:t>按照抽样地块满足标准规定的数量占总数量的比值进行评价</w:t>
            </w:r>
            <w:r>
              <w:rPr>
                <w:rFonts w:hint="eastAsia" w:cs="宋体"/>
                <w:color w:val="252525"/>
                <w:sz w:val="16"/>
                <w:szCs w:val="16"/>
                <w:lang w:val="zh-TW" w:bidi="zh-TW"/>
              </w:rPr>
              <w:t>，</w:t>
            </w:r>
            <w:r>
              <w:rPr>
                <w:rFonts w:cs="宋体"/>
                <w:color w:val="252525"/>
                <w:sz w:val="16"/>
                <w:szCs w:val="16"/>
                <w:lang w:val="zh-TW" w:eastAsia="zh-TW" w:bidi="zh-TW"/>
              </w:rPr>
              <w:t>评分釆用五分制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bidi="zh-TW"/>
              </w:rPr>
            </w:pPr>
            <w:r>
              <w:rPr>
                <w:color w:val="000000"/>
                <w:sz w:val="18"/>
                <w:szCs w:val="18"/>
                <w:lang w:eastAsia="en-US" w:bidi="en-US"/>
              </w:rPr>
              <w:t>A</w:t>
            </w:r>
            <w:r>
              <w:rPr>
                <w:rFonts w:hint="eastAsia"/>
                <w:color w:val="000000"/>
                <w:sz w:val="18"/>
                <w:szCs w:val="18"/>
                <w:lang w:bidi="en-US"/>
              </w:rPr>
              <w:t>11</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土壤质地</w:t>
            </w:r>
            <w:r>
              <w:rPr>
                <w:rFonts w:cs="宋体"/>
                <w:color w:val="000000"/>
                <w:sz w:val="16"/>
                <w:szCs w:val="16"/>
                <w:lang w:eastAsia="en-US" w:bidi="en-US"/>
              </w:rPr>
              <w:t>*</w:t>
            </w:r>
          </w:p>
        </w:tc>
        <w:tc>
          <w:tcPr>
            <w:tcW w:w="1015" w:type="dxa"/>
            <w:tcBorders>
              <w:top w:val="single" w:color="auto" w:sz="4" w:space="0"/>
              <w:left w:val="single" w:color="auto" w:sz="4" w:space="0"/>
              <w:bottom w:val="single" w:color="auto" w:sz="4" w:space="0"/>
            </w:tcBorders>
            <w:shd w:val="clear" w:color="auto" w:fill="FFFFFF"/>
          </w:tcPr>
          <w:p>
            <w:pPr>
              <w:rPr>
                <w:sz w:val="10"/>
                <w:szCs w:val="10"/>
                <w:lang w:eastAsia="en-US"/>
              </w:rPr>
            </w:pPr>
          </w:p>
        </w:tc>
        <w:tc>
          <w:tcPr>
            <w:tcW w:w="2458" w:type="dxa"/>
            <w:tcBorders>
              <w:top w:val="single" w:color="auto" w:sz="4" w:space="0"/>
              <w:left w:val="single" w:color="auto" w:sz="4" w:space="0"/>
              <w:bottom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规定的土壤质地。整治后的土壤无过沙、过粘现象；土体</w:t>
            </w:r>
            <w:r>
              <w:rPr>
                <w:rFonts w:hint="eastAsia" w:cs="宋体"/>
                <w:color w:val="252525"/>
                <w:sz w:val="16"/>
                <w:szCs w:val="16"/>
                <w:lang w:bidi="zh-TW"/>
              </w:rPr>
              <w:t>中无</w:t>
            </w:r>
            <w:r>
              <w:rPr>
                <w:rFonts w:cs="宋体"/>
                <w:color w:val="252525"/>
                <w:sz w:val="16"/>
                <w:szCs w:val="16"/>
                <w:lang w:val="zh-TW" w:eastAsia="zh-TW" w:bidi="zh-TW"/>
              </w:rPr>
              <w:t>明显粘盘层、砂砾层等障碍因素</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tcPr>
          <w:p>
            <w:pPr>
              <w:rPr>
                <w:rFonts w:cs="宋体"/>
                <w:color w:val="252525"/>
                <w:sz w:val="16"/>
                <w:szCs w:val="16"/>
                <w:lang w:val="zh-TW" w:eastAsia="zh-TW" w:bidi="zh-TW"/>
              </w:rPr>
            </w:pPr>
          </w:p>
          <w:p>
            <w:pPr>
              <w:spacing w:line="284" w:lineRule="exact"/>
              <w:jc w:val="center"/>
              <w:rPr>
                <w:rFonts w:cs="宋体"/>
                <w:color w:val="252525"/>
                <w:sz w:val="16"/>
                <w:szCs w:val="16"/>
                <w:lang w:val="zh-TW" w:eastAsia="zh-TW" w:bidi="zh-TW"/>
              </w:rPr>
            </w:pPr>
            <w:r>
              <w:rPr>
                <w:rFonts w:cs="宋体"/>
                <w:color w:val="252525"/>
                <w:sz w:val="16"/>
                <w:szCs w:val="16"/>
                <w:lang w:val="zh-TW" w:eastAsia="zh-TW" w:bidi="zh-TW"/>
              </w:rPr>
              <w:t>项目工程施工质量检验号评 定成果，耕地质量评价成果，工程复核报告，已</w:t>
            </w:r>
            <w:r>
              <w:rPr>
                <w:rFonts w:hint="eastAsia" w:cs="宋体"/>
                <w:color w:val="252525"/>
                <w:sz w:val="16"/>
                <w:szCs w:val="16"/>
                <w:lang w:val="zh-TW" w:bidi="zh-TW"/>
              </w:rPr>
              <w:t>竣工验收的耕作田块</w:t>
            </w:r>
          </w:p>
        </w:tc>
        <w:tc>
          <w:tcPr>
            <w:tcW w:w="5691" w:type="dxa"/>
            <w:tcBorders>
              <w:top w:val="single" w:color="auto" w:sz="4" w:space="0"/>
              <w:left w:val="single" w:color="auto" w:sz="4" w:space="0"/>
              <w:bottom w:val="single" w:color="auto" w:sz="4" w:space="0"/>
            </w:tcBorders>
            <w:shd w:val="clear" w:color="auto" w:fill="FFFFFF"/>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釆用资料查阅法、现场调査法、抽样调查法进行评价。对于项目评价，应先查阅工程施</w:t>
            </w:r>
            <w:r>
              <w:rPr>
                <w:rFonts w:hint="eastAsia" w:cs="宋体"/>
                <w:color w:val="252525"/>
                <w:sz w:val="16"/>
                <w:szCs w:val="16"/>
                <w:lang w:bidi="zh-TW"/>
              </w:rPr>
              <w:t>工质</w:t>
            </w:r>
            <w:r>
              <w:rPr>
                <w:rFonts w:cs="宋体"/>
                <w:color w:val="252525"/>
                <w:sz w:val="16"/>
                <w:szCs w:val="16"/>
                <w:lang w:val="zh-TW" w:eastAsia="zh-TW" w:bidi="zh-TW"/>
              </w:rPr>
              <w:t>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。对于年度或规划期的评价，需抽样调査项目，在室内查阅有关工程质量和耕地质量评定资料的基础上</w:t>
            </w:r>
            <w:r>
              <w:rPr>
                <w:rFonts w:hint="eastAsia" w:cs="宋体"/>
                <w:color w:val="252525"/>
                <w:sz w:val="16"/>
                <w:szCs w:val="16"/>
                <w:lang w:val="zh-TW" w:bidi="zh-TW"/>
              </w:rPr>
              <w:t>，</w:t>
            </w:r>
            <w:r>
              <w:rPr>
                <w:rFonts w:cs="宋体"/>
                <w:color w:val="252525"/>
                <w:sz w:val="16"/>
                <w:szCs w:val="16"/>
                <w:lang w:val="zh-TW" w:eastAsia="zh-TW" w:bidi="zh-TW"/>
              </w:rPr>
              <w:t>现场检验土壤质地。</w:t>
            </w:r>
          </w:p>
          <w:p>
            <w:pPr>
              <w:spacing w:line="285" w:lineRule="exact"/>
              <w:rPr>
                <w:rFonts w:cs="宋体"/>
                <w:color w:val="252525"/>
                <w:sz w:val="16"/>
                <w:szCs w:val="16"/>
                <w:lang w:val="zh-TW" w:eastAsia="zh-TW" w:bidi="zh-TW"/>
              </w:rPr>
            </w:pPr>
            <w:r>
              <w:rPr>
                <w:rFonts w:cs="宋体"/>
                <w:color w:val="252525"/>
                <w:sz w:val="16"/>
                <w:szCs w:val="16"/>
                <w:lang w:val="zh-TW" w:eastAsia="zh-TW" w:bidi="zh-TW"/>
              </w:rPr>
              <w:t>评分采用二分制，即当抽查的土壤质地均满足标准规定时得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rFonts w:hint="eastAsia" w:cs="宋体"/>
                <w:color w:val="252525"/>
                <w:sz w:val="16"/>
                <w:szCs w:val="16"/>
                <w:lang w:bidi="zh-TW"/>
              </w:rPr>
              <w:t>0</w:t>
            </w:r>
            <w:r>
              <w:rPr>
                <w:rFonts w:cs="宋体"/>
                <w:color w:val="252525"/>
                <w:sz w:val="16"/>
                <w:szCs w:val="16"/>
                <w:lang w:val="zh-CN" w:bidi="zh-CN"/>
              </w:rPr>
              <w:t>分</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000000"/>
                <w:sz w:val="16"/>
                <w:szCs w:val="16"/>
                <w:lang w:val="zh-TW" w:eastAsia="zh-TW" w:bidi="zh-TW"/>
              </w:rPr>
              <w:t>地块/项目/年度/规划期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1"/>
        <w:gridCol w:w="872"/>
        <w:gridCol w:w="1015"/>
        <w:gridCol w:w="2458"/>
        <w:gridCol w:w="1959"/>
        <w:gridCol w:w="5691"/>
        <w:gridCol w:w="1477"/>
      </w:tblGrid>
      <w:tr>
        <w:tblPrEx>
          <w:tblCellMar>
            <w:top w:w="0" w:type="dxa"/>
            <w:left w:w="10" w:type="dxa"/>
            <w:bottom w:w="0" w:type="dxa"/>
            <w:right w:w="10" w:type="dxa"/>
          </w:tblCellMar>
        </w:tblPrEx>
        <w:trPr>
          <w:trHeight w:val="732"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eastAsia="en-US" w:bidi="zh-TW"/>
              </w:rPr>
            </w:pPr>
            <w:r>
              <w:rPr>
                <w:rFonts w:cs="宋体"/>
                <w:color w:val="000000"/>
                <w:sz w:val="16"/>
                <w:szCs w:val="16"/>
                <w:lang w:val="zh-TW" w:eastAsia="zh-TW" w:bidi="zh-TW"/>
              </w:rPr>
              <w:t>编号</w:t>
            </w:r>
          </w:p>
        </w:tc>
        <w:tc>
          <w:tcPr>
            <w:tcW w:w="872"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bidi="zh-TW"/>
              </w:rPr>
            </w:pPr>
            <w:r>
              <w:rPr>
                <w:rFonts w:cs="宋体"/>
                <w:color w:val="000000"/>
                <w:sz w:val="16"/>
                <w:szCs w:val="16"/>
                <w:lang w:val="zh-TW" w:eastAsia="zh-TW" w:bidi="zh-TW"/>
              </w:rPr>
              <w:t>计量单位</w:t>
            </w:r>
          </w:p>
        </w:tc>
        <w:tc>
          <w:tcPr>
            <w:tcW w:w="245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959" w:type="dxa"/>
            <w:tcBorders>
              <w:top w:val="single" w:color="auto" w:sz="4" w:space="0"/>
              <w:left w:val="single" w:color="auto" w:sz="4" w:space="0"/>
              <w:bottom w:val="single" w:color="auto" w:sz="4" w:space="0"/>
            </w:tcBorders>
            <w:shd w:val="clear" w:color="auto" w:fill="FFFFFF"/>
            <w:vAlign w:val="center"/>
          </w:tcPr>
          <w:p>
            <w:pPr>
              <w:ind w:firstLine="400"/>
              <w:rPr>
                <w:rFonts w:cs="宋体"/>
                <w:color w:val="252525"/>
                <w:sz w:val="16"/>
                <w:szCs w:val="16"/>
                <w:lang w:val="zh-TW" w:eastAsia="zh-TW" w:bidi="zh-TW"/>
              </w:rPr>
            </w:pPr>
            <w:r>
              <w:rPr>
                <w:rFonts w:cs="宋体"/>
                <w:color w:val="252525"/>
                <w:sz w:val="16"/>
                <w:szCs w:val="16"/>
                <w:lang w:val="zh-TW" w:eastAsia="zh-TW" w:bidi="zh-TW"/>
              </w:rPr>
              <w:t>数据来源</w:t>
            </w:r>
          </w:p>
        </w:tc>
        <w:tc>
          <w:tcPr>
            <w:tcW w:w="569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适用对象</w:t>
            </w:r>
          </w:p>
        </w:tc>
      </w:tr>
      <w:tr>
        <w:tblPrEx>
          <w:tblCellMar>
            <w:top w:w="0" w:type="dxa"/>
            <w:left w:w="10" w:type="dxa"/>
            <w:bottom w:w="0" w:type="dxa"/>
            <w:right w:w="10" w:type="dxa"/>
          </w:tblCellMar>
        </w:tblPrEx>
        <w:trPr>
          <w:trHeight w:val="1881"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A12</w:t>
            </w:r>
          </w:p>
        </w:tc>
        <w:tc>
          <w:tcPr>
            <w:tcW w:w="872" w:type="dxa"/>
            <w:tcBorders>
              <w:top w:val="single" w:color="auto" w:sz="4" w:space="0"/>
              <w:left w:val="single" w:color="auto" w:sz="4" w:space="0"/>
              <w:bottom w:val="single" w:color="auto" w:sz="4" w:space="0"/>
            </w:tcBorders>
            <w:shd w:val="clear" w:color="auto" w:fill="FFFFFF"/>
            <w:vAlign w:val="center"/>
          </w:tcPr>
          <w:p>
            <w:pPr>
              <w:spacing w:line="270" w:lineRule="exact"/>
              <w:jc w:val="left"/>
              <w:rPr>
                <w:rFonts w:cs="宋体"/>
                <w:color w:val="252525"/>
                <w:sz w:val="16"/>
                <w:szCs w:val="16"/>
                <w:lang w:val="zh-TW" w:eastAsia="zh-TW" w:bidi="zh-TW"/>
              </w:rPr>
            </w:pPr>
            <w:r>
              <w:rPr>
                <w:rFonts w:cs="宋体"/>
                <w:color w:val="252525"/>
                <w:sz w:val="16"/>
                <w:szCs w:val="16"/>
                <w:lang w:val="zh-TW" w:eastAsia="zh-TW" w:bidi="zh-TW"/>
              </w:rPr>
              <w:t>土壤有机质含量</w:t>
            </w:r>
            <w:r>
              <w:rPr>
                <w:rFonts w:cs="宋体"/>
                <w:color w:val="252525"/>
                <w:sz w:val="16"/>
                <w:szCs w:val="16"/>
                <w:lang w:eastAsia="en-US" w:bidi="en-US"/>
              </w:rPr>
              <w:t>*</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g/kg</w:t>
            </w:r>
          </w:p>
        </w:tc>
        <w:tc>
          <w:tcPr>
            <w:tcW w:w="2458" w:type="dxa"/>
            <w:tcBorders>
              <w:top w:val="single" w:color="auto" w:sz="4" w:space="0"/>
              <w:left w:val="single" w:color="auto" w:sz="4" w:space="0"/>
              <w:bottom w:val="single" w:color="auto" w:sz="4" w:space="0"/>
            </w:tcBorders>
            <w:shd w:val="clear" w:color="auto" w:fill="FFFFFF"/>
            <w:vAlign w:val="center"/>
          </w:tcPr>
          <w:p>
            <w:pPr>
              <w:spacing w:line="281" w:lineRule="exact"/>
              <w:rPr>
                <w:rFonts w:hint="eastAsia" w:eastAsia="宋体" w:cs="宋体"/>
                <w:color w:val="252525"/>
                <w:sz w:val="18"/>
                <w:szCs w:val="18"/>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规定的土壤有机质含量。</w:t>
            </w:r>
            <w:r>
              <w:rPr>
                <w:rFonts w:hint="eastAsia" w:cs="宋体"/>
                <w:color w:val="252525"/>
                <w:sz w:val="16"/>
                <w:szCs w:val="16"/>
                <w:lang w:val="zh-TW" w:eastAsia="zh-TW" w:bidi="zh-TW"/>
              </w:rPr>
              <w:t>土壤的有机质含量、容重、阳离子交换量、有效磷、速效钾、微生物碳量等其他物理、化学、生物指标达到当地自然条件和种植水平下的中上等水平</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 定成果，耕地质量评价成果，工程复核报告，已竣工验收的耕作田块</w:t>
            </w:r>
          </w:p>
        </w:tc>
        <w:tc>
          <w:tcPr>
            <w:tcW w:w="5691" w:type="dxa"/>
            <w:tcBorders>
              <w:top w:val="single" w:color="auto" w:sz="4" w:space="0"/>
              <w:left w:val="single" w:color="auto" w:sz="4" w:space="0"/>
              <w:bottom w:val="single" w:color="auto" w:sz="4" w:space="0"/>
            </w:tcBorders>
            <w:shd w:val="clear" w:color="auto" w:fill="FFFFFF"/>
            <w:vAlign w:val="bottom"/>
          </w:tcPr>
          <w:p>
            <w:pPr>
              <w:spacing w:line="285" w:lineRule="exact"/>
              <w:rPr>
                <w:rFonts w:cs="宋体"/>
                <w:color w:val="252525"/>
                <w:sz w:val="16"/>
                <w:szCs w:val="16"/>
                <w:lang w:val="zh-TW" w:eastAsia="zh-TW" w:bidi="zh-TW"/>
              </w:rPr>
            </w:pPr>
            <w:r>
              <w:rPr>
                <w:rFonts w:cs="宋体"/>
                <w:color w:val="252525"/>
                <w:sz w:val="16"/>
                <w:szCs w:val="16"/>
                <w:lang w:val="zh-TW" w:eastAsia="zh-TW" w:bidi="zh-TW"/>
              </w:rPr>
              <w:t>采用资料查阅法、现场调查法、抽样调查法进行评价。对于项目评价，应先查阅工程施工质量和耕地质量评价成果，再选择典型地块进行现场量测和检验，</w:t>
            </w:r>
            <w:r>
              <w:rPr>
                <w:rFonts w:hint="eastAsia" w:cs="宋体"/>
                <w:color w:val="252525"/>
                <w:sz w:val="16"/>
                <w:szCs w:val="16"/>
                <w:lang w:val="zh-TW" w:eastAsia="zh-CN" w:bidi="zh-TW"/>
              </w:rPr>
              <w:t>随机从项目建设区抽查10%以上面积比例的高标准农田</w:t>
            </w:r>
            <w:r>
              <w:rPr>
                <w:rFonts w:hint="eastAsia" w:cs="宋体"/>
                <w:color w:val="252525"/>
                <w:sz w:val="16"/>
                <w:szCs w:val="16"/>
                <w:lang w:val="zh-TW" w:bidi="zh-TW"/>
              </w:rPr>
              <w:t>；</w:t>
            </w:r>
            <w:r>
              <w:rPr>
                <w:rFonts w:cs="宋体"/>
                <w:color w:val="252525"/>
                <w:sz w:val="16"/>
                <w:szCs w:val="16"/>
                <w:lang w:val="zh-TW" w:eastAsia="zh-TW" w:bidi="zh-TW"/>
              </w:rPr>
              <w:t>对于年度或规划期的评价，需抽样调查项目，在室内查阅有关工程质量和耕地质量评定资料的基础上，现场检验土壤中的有机质含量。</w:t>
            </w:r>
          </w:p>
          <w:p>
            <w:pPr>
              <w:spacing w:line="285" w:lineRule="exact"/>
              <w:rPr>
                <w:rFonts w:cs="宋体"/>
                <w:color w:val="252525"/>
                <w:sz w:val="16"/>
                <w:szCs w:val="16"/>
                <w:lang w:val="zh-TW" w:eastAsia="zh-TW" w:bidi="zh-TW"/>
              </w:rPr>
            </w:pPr>
            <w:r>
              <w:rPr>
                <w:rFonts w:cs="宋体"/>
                <w:color w:val="252525"/>
                <w:sz w:val="16"/>
                <w:szCs w:val="16"/>
                <w:lang w:val="zh-TW" w:eastAsia="zh-TW" w:bidi="zh-TW"/>
              </w:rPr>
              <w:t>评分采用二分制，即当抽查的土壤有机质均满足标准规定时得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rFonts w:hint="eastAsia" w:cs="宋体"/>
                <w:color w:val="252525"/>
                <w:sz w:val="16"/>
                <w:szCs w:val="16"/>
                <w:lang w:bidi="zh-CN"/>
              </w:rPr>
              <w:t>0</w:t>
            </w:r>
            <w:r>
              <w:rPr>
                <w:rFonts w:cs="宋体"/>
                <w:color w:val="252525"/>
                <w:sz w:val="16"/>
                <w:szCs w:val="16"/>
                <w:lang w:val="zh-CN" w:bidi="zh-CN"/>
              </w:rPr>
              <w:t>分</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eastAsia="en-US" w:bidi="zh-TW"/>
              </w:rPr>
            </w:pPr>
            <w:r>
              <w:rPr>
                <w:color w:val="474747"/>
                <w:sz w:val="18"/>
                <w:szCs w:val="18"/>
                <w:lang w:eastAsia="en-US" w:bidi="en-US"/>
              </w:rPr>
              <w:t>A13</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土壤养分</w:t>
            </w:r>
          </w:p>
        </w:tc>
        <w:tc>
          <w:tcPr>
            <w:tcW w:w="1015" w:type="dxa"/>
            <w:tcBorders>
              <w:top w:val="single" w:color="auto" w:sz="4" w:space="0"/>
              <w:left w:val="single" w:color="auto" w:sz="4" w:space="0"/>
              <w:bottom w:val="single" w:color="auto" w:sz="4" w:space="0"/>
            </w:tcBorders>
            <w:shd w:val="clear" w:color="auto" w:fill="FFFFFF"/>
          </w:tcPr>
          <w:p>
            <w:pPr>
              <w:rPr>
                <w:sz w:val="10"/>
                <w:szCs w:val="10"/>
                <w:lang w:eastAsia="en-US"/>
              </w:rPr>
            </w:pPr>
          </w:p>
        </w:tc>
        <w:tc>
          <w:tcPr>
            <w:tcW w:w="2458" w:type="dxa"/>
            <w:tcBorders>
              <w:top w:val="single" w:color="auto" w:sz="4" w:space="0"/>
              <w:left w:val="single" w:color="auto" w:sz="4" w:space="0"/>
              <w:bottom w:val="single" w:color="auto" w:sz="4" w:space="0"/>
            </w:tcBorders>
            <w:shd w:val="clear" w:color="auto" w:fill="FFFFFF"/>
            <w:vAlign w:val="center"/>
          </w:tcPr>
          <w:p>
            <w:pPr>
              <w:spacing w:line="289"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规定的土壤养分含量。各项养分含量指标应达到并保持在当地土壤养分丰缺指标体系的中值水平</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252525"/>
                <w:sz w:val="16"/>
                <w:szCs w:val="16"/>
                <w:lang w:val="zh-TW" w:bidi="zh-TW"/>
              </w:rPr>
            </w:pPr>
            <w:r>
              <w:rPr>
                <w:rFonts w:cs="宋体"/>
                <w:color w:val="252525"/>
                <w:sz w:val="16"/>
                <w:szCs w:val="16"/>
                <w:lang w:val="zh-TW" w:eastAsia="zh-TW" w:bidi="zh-TW"/>
              </w:rPr>
              <w:t>项目工程施工质量检验与评 定成果，耕地质量评价成果，工程复核报告，已竣工验收的耕作田块</w:t>
            </w:r>
          </w:p>
        </w:tc>
        <w:tc>
          <w:tcPr>
            <w:tcW w:w="5691" w:type="dxa"/>
            <w:tcBorders>
              <w:top w:val="single" w:color="auto" w:sz="4" w:space="0"/>
              <w:left w:val="single" w:color="auto" w:sz="4" w:space="0"/>
              <w:bottom w:val="single" w:color="auto" w:sz="4" w:space="0"/>
            </w:tcBorders>
            <w:shd w:val="clear" w:color="auto" w:fill="FFFFFF"/>
          </w:tcPr>
          <w:p>
            <w:pPr>
              <w:spacing w:line="286" w:lineRule="exact"/>
              <w:rPr>
                <w:rFonts w:cs="宋体"/>
                <w:color w:val="252525"/>
                <w:sz w:val="16"/>
                <w:szCs w:val="16"/>
                <w:lang w:val="zh-TW" w:eastAsia="zh-TW" w:bidi="zh-TW"/>
              </w:rPr>
            </w:pPr>
            <w:r>
              <w:rPr>
                <w:rFonts w:cs="宋体"/>
                <w:color w:val="252525"/>
                <w:sz w:val="16"/>
                <w:szCs w:val="16"/>
                <w:lang w:val="zh-TW" w:eastAsia="zh-TW" w:bidi="zh-TW"/>
              </w:rPr>
              <w:t>釆用资料查阅法、现场调查法、抽样调查法进行评价。对于项目评价，应先查阅工程施工质量和耕地质量评价成果，再选择典型地块（耕作田块）进行现场量测和检验，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。对于年度或规划期的评价，需抽样调查项目，在室内查阅有关工程质量和耕地质量评定资料的基础上，现场检验土壤中养分的含量。</w:t>
            </w:r>
          </w:p>
          <w:p>
            <w:pPr>
              <w:spacing w:line="286"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按照抽样田块满足标准规定的数量占总数量的比值进行评价，评分采用五分制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eastAsia="en-US" w:bidi="zh-TW"/>
              </w:rPr>
            </w:pPr>
            <w:r>
              <w:rPr>
                <w:color w:val="474747"/>
                <w:sz w:val="18"/>
                <w:szCs w:val="18"/>
                <w:lang w:eastAsia="en-US" w:bidi="en-US"/>
              </w:rPr>
              <w:t>A14</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障碍因子</w:t>
            </w:r>
          </w:p>
        </w:tc>
        <w:tc>
          <w:tcPr>
            <w:tcW w:w="1015" w:type="dxa"/>
            <w:tcBorders>
              <w:top w:val="single" w:color="auto" w:sz="4" w:space="0"/>
              <w:left w:val="single" w:color="auto" w:sz="4" w:space="0"/>
              <w:bottom w:val="single" w:color="auto" w:sz="4" w:space="0"/>
            </w:tcBorders>
            <w:shd w:val="clear" w:color="auto" w:fill="FFFFFF"/>
          </w:tcPr>
          <w:p>
            <w:pPr>
              <w:rPr>
                <w:sz w:val="10"/>
                <w:szCs w:val="10"/>
                <w:lang w:eastAsia="en-US"/>
              </w:rPr>
            </w:pPr>
          </w:p>
        </w:tc>
        <w:tc>
          <w:tcPr>
            <w:tcW w:w="2458" w:type="dxa"/>
            <w:tcBorders>
              <w:top w:val="single" w:color="auto" w:sz="4" w:space="0"/>
              <w:left w:val="single" w:color="auto" w:sz="4" w:space="0"/>
              <w:bottom w:val="single" w:color="auto" w:sz="4" w:space="0"/>
            </w:tcBorders>
            <w:shd w:val="clear" w:color="auto" w:fill="FFFFFF"/>
            <w:vAlign w:val="center"/>
          </w:tcPr>
          <w:p>
            <w:pPr>
              <w:spacing w:line="283"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规定的土壤中障碍因子限值,包括土壤侵蚀情况、盐碱化程度（灌溉产生的次生盐碱化情况）、障碍层厚度和土壤污染等。土壤污染经修复后，</w:t>
            </w:r>
            <w:r>
              <w:rPr>
                <w:rFonts w:cs="宋体"/>
                <w:color w:val="000000"/>
                <w:sz w:val="16"/>
                <w:szCs w:val="16"/>
                <w:lang w:val="zh-TW" w:eastAsia="zh-TW" w:bidi="zh-TW"/>
              </w:rPr>
              <w:t>耕作层土壤重金属含量应</w:t>
            </w:r>
            <w:r>
              <w:rPr>
                <w:rFonts w:cs="宋体"/>
                <w:color w:val="252525"/>
                <w:sz w:val="16"/>
                <w:szCs w:val="16"/>
                <w:lang w:val="zh-TW" w:eastAsia="zh-TW" w:bidi="zh-TW"/>
              </w:rPr>
              <w:t>符合</w:t>
            </w:r>
            <w:r>
              <w:rPr>
                <w:color w:val="252525"/>
                <w:sz w:val="18"/>
                <w:szCs w:val="18"/>
                <w:lang w:eastAsia="en-US" w:bidi="en-US"/>
              </w:rPr>
              <w:t xml:space="preserve">GB </w:t>
            </w:r>
            <w:r>
              <w:rPr>
                <w:color w:val="252525"/>
                <w:sz w:val="18"/>
                <w:szCs w:val="18"/>
                <w:lang w:val="zh-TW" w:eastAsia="zh-TW" w:bidi="zh-TW"/>
              </w:rPr>
              <w:t>15618</w:t>
            </w:r>
            <w:r>
              <w:rPr>
                <w:rFonts w:cs="宋体"/>
                <w:color w:val="252525"/>
                <w:sz w:val="16"/>
                <w:szCs w:val="16"/>
                <w:lang w:val="zh-TW" w:eastAsia="zh-TW" w:bidi="zh-TW"/>
              </w:rPr>
              <w:t>规定</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 定成果，耕地质量评价成果，工程复核报告，已竣工验收的耕作田块</w:t>
            </w:r>
          </w:p>
        </w:tc>
        <w:tc>
          <w:tcPr>
            <w:tcW w:w="5691" w:type="dxa"/>
            <w:tcBorders>
              <w:top w:val="single" w:color="auto" w:sz="4" w:space="0"/>
              <w:left w:val="single" w:color="auto" w:sz="4" w:space="0"/>
              <w:bottom w:val="single" w:color="auto" w:sz="4" w:space="0"/>
            </w:tcBorders>
            <w:shd w:val="clear" w:color="auto" w:fill="FFFFFF"/>
          </w:tcPr>
          <w:p>
            <w:pPr>
              <w:spacing w:line="283" w:lineRule="exact"/>
              <w:rPr>
                <w:rFonts w:cs="宋体"/>
                <w:color w:val="252525"/>
                <w:sz w:val="16"/>
                <w:szCs w:val="16"/>
                <w:lang w:val="zh-TW" w:eastAsia="zh-TW" w:bidi="zh-TW"/>
              </w:rPr>
            </w:pPr>
            <w:r>
              <w:rPr>
                <w:rFonts w:cs="宋体"/>
                <w:color w:val="252525"/>
                <w:sz w:val="16"/>
                <w:szCs w:val="16"/>
                <w:lang w:val="zh-TW" w:eastAsia="zh-TW" w:bidi="zh-TW"/>
              </w:rPr>
              <w:t>釆用资料查阅法、现场调查法、抽样调查法进行评价。对于项目评价，应先查阅工程施工质量和耕地质量评价成果，再选择典型地块（耕作田块）进行现场量测和检验，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。对于年度或规划期的评价，需抽样调查项目，在室内查阅有关工程质量和耕地质量评定资料的基础上，现场检验土壤中障碍因子限值。</w:t>
            </w:r>
          </w:p>
          <w:p>
            <w:pPr>
              <w:spacing w:line="283"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按照抽样田块满足标准规定的数量占总数量的比值进行评价，评分采用五分制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1"/>
        <w:gridCol w:w="872"/>
        <w:gridCol w:w="1015"/>
        <w:gridCol w:w="2458"/>
        <w:gridCol w:w="1959"/>
        <w:gridCol w:w="5691"/>
        <w:gridCol w:w="1477"/>
      </w:tblGrid>
      <w:tr>
        <w:tblPrEx>
          <w:tblCellMar>
            <w:top w:w="0" w:type="dxa"/>
            <w:left w:w="10" w:type="dxa"/>
            <w:bottom w:w="0" w:type="dxa"/>
            <w:right w:w="10" w:type="dxa"/>
          </w:tblCellMar>
        </w:tblPrEx>
        <w:trPr>
          <w:trHeight w:val="732"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eastAsia="en-US" w:bidi="zh-TW"/>
              </w:rPr>
            </w:pPr>
            <w:r>
              <w:rPr>
                <w:rFonts w:cs="宋体"/>
                <w:color w:val="000000"/>
                <w:sz w:val="16"/>
                <w:szCs w:val="16"/>
                <w:lang w:val="zh-TW" w:eastAsia="zh-TW" w:bidi="zh-TW"/>
              </w:rPr>
              <w:t>编号</w:t>
            </w:r>
          </w:p>
        </w:tc>
        <w:tc>
          <w:tcPr>
            <w:tcW w:w="872"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bidi="zh-TW"/>
              </w:rPr>
            </w:pPr>
            <w:r>
              <w:rPr>
                <w:rFonts w:cs="宋体"/>
                <w:color w:val="000000"/>
                <w:sz w:val="16"/>
                <w:szCs w:val="16"/>
                <w:lang w:val="zh-TW" w:eastAsia="zh-TW" w:bidi="zh-TW"/>
              </w:rPr>
              <w:t>计量单位</w:t>
            </w:r>
          </w:p>
        </w:tc>
        <w:tc>
          <w:tcPr>
            <w:tcW w:w="245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959" w:type="dxa"/>
            <w:tcBorders>
              <w:top w:val="single" w:color="auto" w:sz="4" w:space="0"/>
              <w:left w:val="single" w:color="auto" w:sz="4" w:space="0"/>
              <w:bottom w:val="single" w:color="auto" w:sz="4" w:space="0"/>
            </w:tcBorders>
            <w:shd w:val="clear" w:color="auto" w:fill="FFFFFF"/>
            <w:vAlign w:val="center"/>
          </w:tcPr>
          <w:p>
            <w:pPr>
              <w:ind w:firstLine="400"/>
              <w:rPr>
                <w:rFonts w:cs="宋体"/>
                <w:color w:val="252525"/>
                <w:sz w:val="16"/>
                <w:szCs w:val="16"/>
                <w:lang w:val="zh-TW" w:eastAsia="zh-TW" w:bidi="zh-TW"/>
              </w:rPr>
            </w:pPr>
            <w:r>
              <w:rPr>
                <w:rFonts w:cs="宋体"/>
                <w:color w:val="252525"/>
                <w:sz w:val="16"/>
                <w:szCs w:val="16"/>
                <w:lang w:val="zh-TW" w:eastAsia="zh-TW" w:bidi="zh-TW"/>
              </w:rPr>
              <w:t>数据来源</w:t>
            </w:r>
          </w:p>
        </w:tc>
        <w:tc>
          <w:tcPr>
            <w:tcW w:w="569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适用对象</w:t>
            </w:r>
          </w:p>
        </w:tc>
      </w:tr>
      <w:tr>
        <w:tblPrEx>
          <w:tblCellMar>
            <w:top w:w="0" w:type="dxa"/>
            <w:left w:w="10" w:type="dxa"/>
            <w:bottom w:w="0" w:type="dxa"/>
            <w:right w:w="10" w:type="dxa"/>
          </w:tblCellMar>
        </w:tblPrEx>
        <w:trPr>
          <w:trHeight w:val="1999"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A15</w:t>
            </w:r>
          </w:p>
        </w:tc>
        <w:tc>
          <w:tcPr>
            <w:tcW w:w="872" w:type="dxa"/>
            <w:tcBorders>
              <w:top w:val="single" w:color="auto" w:sz="4" w:space="0"/>
              <w:left w:val="single" w:color="auto" w:sz="4" w:space="0"/>
              <w:bottom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土壤</w:t>
            </w:r>
            <w:r>
              <w:rPr>
                <w:color w:val="252525"/>
                <w:sz w:val="18"/>
                <w:szCs w:val="18"/>
                <w:lang w:eastAsia="en-US" w:bidi="en-US"/>
              </w:rPr>
              <w:t>pH</w:t>
            </w:r>
            <w:r>
              <w:rPr>
                <w:rFonts w:cs="宋体"/>
                <w:color w:val="252525"/>
                <w:sz w:val="16"/>
                <w:szCs w:val="16"/>
                <w:lang w:val="zh-TW" w:eastAsia="zh-TW" w:bidi="zh-TW"/>
              </w:rPr>
              <w:t>（改良标准）</w:t>
            </w:r>
          </w:p>
        </w:tc>
        <w:tc>
          <w:tcPr>
            <w:tcW w:w="1015" w:type="dxa"/>
            <w:tcBorders>
              <w:top w:val="single" w:color="auto" w:sz="4" w:space="0"/>
              <w:left w:val="single" w:color="auto" w:sz="4" w:space="0"/>
              <w:bottom w:val="single" w:color="auto" w:sz="4" w:space="0"/>
            </w:tcBorders>
            <w:shd w:val="clear" w:color="auto" w:fill="FFFFFF"/>
          </w:tcPr>
          <w:p>
            <w:pPr>
              <w:rPr>
                <w:rFonts w:cs="宋体"/>
                <w:color w:val="252525"/>
                <w:sz w:val="18"/>
                <w:szCs w:val="18"/>
                <w:lang w:val="zh-TW" w:eastAsia="zh-TW" w:bidi="zh-TW"/>
              </w:rPr>
            </w:pPr>
          </w:p>
        </w:tc>
        <w:tc>
          <w:tcPr>
            <w:tcW w:w="2458" w:type="dxa"/>
            <w:tcBorders>
              <w:top w:val="single" w:color="auto" w:sz="4" w:space="0"/>
              <w:left w:val="single" w:color="auto" w:sz="4" w:space="0"/>
              <w:bottom w:val="single" w:color="auto" w:sz="4" w:space="0"/>
            </w:tcBorders>
            <w:shd w:val="clear" w:color="auto" w:fill="FFFFFF"/>
            <w:vAlign w:val="center"/>
          </w:tcPr>
          <w:p>
            <w:pPr>
              <w:spacing w:line="280" w:lineRule="exact"/>
              <w:rPr>
                <w:rFonts w:hint="eastAsia" w:eastAsia="宋体" w:cs="宋体"/>
                <w:color w:val="252525"/>
                <w:sz w:val="18"/>
                <w:szCs w:val="18"/>
                <w:lang w:val="zh-TW" w:eastAsia="zh-CN" w:bidi="zh-TW"/>
              </w:rPr>
            </w:pPr>
            <w:r>
              <w:rPr>
                <w:rFonts w:cs="宋体"/>
                <w:color w:val="252525"/>
                <w:sz w:val="16"/>
                <w:szCs w:val="16"/>
                <w:lang w:val="zh-TW" w:eastAsia="zh-TW" w:bidi="zh-TW"/>
              </w:rPr>
              <w:t>改良后的土壤</w:t>
            </w:r>
            <w:r>
              <w:rPr>
                <w:color w:val="252525"/>
                <w:sz w:val="18"/>
                <w:szCs w:val="18"/>
                <w:lang w:eastAsia="en-US" w:bidi="en-US"/>
              </w:rPr>
              <w:t>pH</w:t>
            </w:r>
            <w:r>
              <w:rPr>
                <w:rFonts w:cs="宋体"/>
                <w:color w:val="252525"/>
                <w:sz w:val="16"/>
                <w:szCs w:val="16"/>
                <w:lang w:val="zh-TW" w:eastAsia="zh-TW" w:bidi="zh-TW"/>
              </w:rPr>
              <w:t>值</w:t>
            </w:r>
            <w:r>
              <w:rPr>
                <w:rFonts w:hint="eastAsia" w:cs="宋体"/>
                <w:color w:val="252525"/>
                <w:sz w:val="16"/>
                <w:szCs w:val="16"/>
                <w:lang w:val="zh-TW" w:bidi="zh-TW"/>
              </w:rPr>
              <w:t>，</w:t>
            </w:r>
            <w:r>
              <w:rPr>
                <w:rFonts w:cs="宋体"/>
                <w:color w:val="252525"/>
                <w:sz w:val="16"/>
                <w:szCs w:val="16"/>
                <w:lang w:val="zh-TW" w:eastAsia="zh-TW" w:bidi="zh-TW"/>
              </w:rPr>
              <w:t>土壤应保持在</w:t>
            </w:r>
            <w:r>
              <w:rPr>
                <w:color w:val="252525"/>
                <w:sz w:val="18"/>
                <w:szCs w:val="18"/>
                <w:lang w:eastAsia="en-US" w:bidi="en-US"/>
              </w:rPr>
              <w:t>PH5.5</w:t>
            </w:r>
            <w:r>
              <w:rPr>
                <w:rFonts w:cs="宋体"/>
                <w:color w:val="252525"/>
                <w:sz w:val="16"/>
                <w:szCs w:val="16"/>
                <w:lang w:val="zh-TW" w:eastAsia="zh-TW" w:bidi="zh-TW"/>
              </w:rPr>
              <w:t>以上，同时不高于</w:t>
            </w:r>
            <w:r>
              <w:rPr>
                <w:color w:val="252525"/>
                <w:sz w:val="18"/>
                <w:szCs w:val="18"/>
                <w:lang w:eastAsia="en-US" w:bidi="en-US"/>
              </w:rPr>
              <w:t>pH8.5</w:t>
            </w:r>
            <w:r>
              <w:rPr>
                <w:rFonts w:hint="eastAsia"/>
                <w:color w:val="252525"/>
                <w:sz w:val="18"/>
                <w:szCs w:val="18"/>
                <w:lang w:eastAsia="zh-CN" w:bidi="en-US"/>
              </w:rPr>
              <w:t>。</w:t>
            </w:r>
          </w:p>
        </w:tc>
        <w:tc>
          <w:tcPr>
            <w:tcW w:w="1959" w:type="dxa"/>
            <w:tcBorders>
              <w:top w:val="single" w:color="auto" w:sz="4" w:space="0"/>
              <w:left w:val="single" w:color="auto" w:sz="4" w:space="0"/>
              <w:bottom w:val="single" w:color="auto" w:sz="4" w:space="0"/>
            </w:tcBorders>
            <w:shd w:val="clear" w:color="auto" w:fill="FFFFFF"/>
          </w:tcPr>
          <w:p>
            <w:pPr>
              <w:spacing w:before="260" w:line="283"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 定成果，耕地质量评价成果，工程复核报告，已竣工验收的耕作田块</w:t>
            </w:r>
          </w:p>
        </w:tc>
        <w:tc>
          <w:tcPr>
            <w:tcW w:w="5691" w:type="dxa"/>
            <w:tcBorders>
              <w:top w:val="single" w:color="auto" w:sz="4" w:space="0"/>
              <w:left w:val="single" w:color="auto" w:sz="4" w:space="0"/>
              <w:bottom w:val="single" w:color="auto" w:sz="4" w:space="0"/>
            </w:tcBorders>
            <w:shd w:val="clear" w:color="auto" w:fill="FFFFFF"/>
          </w:tcPr>
          <w:p>
            <w:pPr>
              <w:spacing w:line="283" w:lineRule="exact"/>
              <w:rPr>
                <w:rFonts w:cs="宋体"/>
                <w:color w:val="252525"/>
                <w:sz w:val="16"/>
                <w:szCs w:val="16"/>
                <w:lang w:val="zh-TW" w:eastAsia="zh-TW" w:bidi="zh-TW"/>
              </w:rPr>
            </w:pPr>
            <w:r>
              <w:rPr>
                <w:rFonts w:cs="宋体"/>
                <w:color w:val="252525"/>
                <w:sz w:val="16"/>
                <w:szCs w:val="16"/>
                <w:lang w:val="zh-TW" w:eastAsia="zh-TW" w:bidi="zh-TW"/>
              </w:rPr>
              <w:t>釆用资料查阅法、现场调查法、抽样调查法进行评价。对于项目评价，应先查阅工程施工质量和耕地质量评 成果，再选择典型地块（耕作田块）进行现场量测和检验，</w:t>
            </w:r>
            <w:r>
              <w:rPr>
                <w:rFonts w:hint="eastAsia" w:cs="宋体"/>
                <w:color w:val="252525"/>
                <w:sz w:val="16"/>
                <w:szCs w:val="16"/>
                <w:lang w:val="zh-TW" w:eastAsia="zh-CN" w:bidi="zh-TW"/>
              </w:rPr>
              <w:t>随机从项目建设区抽查10%以上面积比例的高标准农田</w:t>
            </w:r>
            <w:r>
              <w:rPr>
                <w:rFonts w:cs="宋体"/>
                <w:color w:val="252525"/>
                <w:sz w:val="16"/>
                <w:szCs w:val="16"/>
                <w:lang w:val="zh-TW" w:eastAsia="zh-TW" w:bidi="zh-TW"/>
              </w:rPr>
              <w:t>。对于年度或规划期的评价，需抽样调查项目，在室内查阅有关工程质量和耕地质量评定资料的基础上，现场检验土壤中障碍因子限值。</w:t>
            </w:r>
          </w:p>
          <w:p>
            <w:pPr>
              <w:spacing w:line="283"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按照抽样田块满足标准规定的数量占总数量的比值进行评价，评分采用五分制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bidi="zh-TW"/>
              </w:rPr>
            </w:pPr>
            <w:r>
              <w:rPr>
                <w:color w:val="474747"/>
                <w:sz w:val="18"/>
                <w:szCs w:val="18"/>
                <w:lang w:eastAsia="en-US" w:bidi="en-US"/>
              </w:rPr>
              <w:t>A1</w:t>
            </w:r>
            <w:r>
              <w:rPr>
                <w:rFonts w:hint="eastAsia"/>
                <w:color w:val="474747"/>
                <w:sz w:val="18"/>
                <w:szCs w:val="18"/>
                <w:lang w:bidi="en-US"/>
              </w:rPr>
              <w:t>6</w:t>
            </w:r>
          </w:p>
        </w:tc>
        <w:tc>
          <w:tcPr>
            <w:tcW w:w="872" w:type="dxa"/>
            <w:tcBorders>
              <w:top w:val="single" w:color="auto" w:sz="4" w:space="0"/>
              <w:left w:val="single" w:color="auto" w:sz="4" w:space="0"/>
              <w:bottom w:val="single" w:color="auto" w:sz="4" w:space="0"/>
            </w:tcBorders>
            <w:shd w:val="clear" w:color="auto" w:fill="FFFFFF"/>
            <w:vAlign w:val="center"/>
          </w:tcPr>
          <w:p>
            <w:pPr>
              <w:spacing w:line="252" w:lineRule="exact"/>
              <w:jc w:val="left"/>
              <w:rPr>
                <w:rFonts w:cs="宋体"/>
                <w:color w:val="252525"/>
                <w:sz w:val="16"/>
                <w:szCs w:val="16"/>
                <w:lang w:val="zh-TW" w:eastAsia="zh-TW" w:bidi="zh-TW"/>
              </w:rPr>
            </w:pPr>
            <w:r>
              <w:rPr>
                <w:rFonts w:cs="宋体"/>
                <w:color w:val="252525"/>
                <w:sz w:val="16"/>
                <w:szCs w:val="16"/>
                <w:lang w:val="zh-TW" w:eastAsia="zh-TW" w:bidi="zh-TW"/>
              </w:rPr>
              <w:t>灌溉设计保证率</w:t>
            </w:r>
            <w:r>
              <w:rPr>
                <w:rFonts w:cs="宋体"/>
                <w:color w:val="252525"/>
                <w:sz w:val="16"/>
                <w:szCs w:val="16"/>
                <w:lang w:eastAsia="en-US" w:bidi="en-US"/>
              </w:rPr>
              <w:t>*</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color w:val="252525"/>
                <w:sz w:val="10"/>
                <w:szCs w:val="10"/>
                <w:lang w:eastAsia="en-US"/>
              </w:rPr>
            </w:pPr>
            <w:r>
              <w:rPr>
                <w:rFonts w:cs="宋体"/>
                <w:color w:val="252525"/>
                <w:sz w:val="16"/>
                <w:szCs w:val="16"/>
                <w:lang w:val="zh-TW" w:eastAsia="zh-TW" w:bidi="zh-TW"/>
              </w:rPr>
              <w:t>%</w:t>
            </w:r>
          </w:p>
        </w:tc>
        <w:tc>
          <w:tcPr>
            <w:tcW w:w="2458" w:type="dxa"/>
            <w:tcBorders>
              <w:top w:val="single" w:color="auto" w:sz="4" w:space="0"/>
              <w:left w:val="single" w:color="auto" w:sz="4" w:space="0"/>
              <w:bottom w:val="single" w:color="auto" w:sz="4" w:space="0"/>
            </w:tcBorders>
            <w:shd w:val="clear" w:color="auto" w:fill="FFFFFF"/>
          </w:tcPr>
          <w:p>
            <w:pPr>
              <w:spacing w:line="284" w:lineRule="exact"/>
              <w:rPr>
                <w:rFonts w:cs="宋体"/>
                <w:color w:val="252525"/>
                <w:sz w:val="18"/>
                <w:szCs w:val="18"/>
                <w:lang w:val="zh-TW" w:eastAsia="zh-TW" w:bidi="zh-TW"/>
              </w:rPr>
            </w:pPr>
            <w:r>
              <w:rPr>
                <w:rFonts w:hint="eastAsia"/>
                <w:color w:val="252525"/>
                <w:sz w:val="18"/>
                <w:szCs w:val="18"/>
                <w:lang w:bidi="en-US"/>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和</w:t>
            </w:r>
            <w:r>
              <w:rPr>
                <w:color w:val="252525"/>
                <w:sz w:val="18"/>
                <w:szCs w:val="18"/>
                <w:lang w:eastAsia="en-US" w:bidi="en-US"/>
              </w:rPr>
              <w:t xml:space="preserve">GB </w:t>
            </w:r>
            <w:r>
              <w:rPr>
                <w:color w:val="252525"/>
                <w:sz w:val="18"/>
                <w:szCs w:val="18"/>
                <w:lang w:val="zh-TW" w:eastAsia="zh-TW" w:bidi="zh-TW"/>
              </w:rPr>
              <w:t xml:space="preserve">50288 </w:t>
            </w:r>
            <w:r>
              <w:rPr>
                <w:rFonts w:cs="宋体"/>
                <w:color w:val="252525"/>
                <w:sz w:val="16"/>
                <w:szCs w:val="16"/>
                <w:lang w:val="zh-TW" w:eastAsia="zh-TW" w:bidi="zh-TW"/>
              </w:rPr>
              <w:t>规定的灌溉设计保证率。</w:t>
            </w:r>
            <w:r>
              <w:rPr>
                <w:rFonts w:hint="eastAsia" w:cs="宋体"/>
                <w:color w:val="252525"/>
                <w:sz w:val="16"/>
                <w:szCs w:val="16"/>
                <w:lang w:val="zh-TW" w:eastAsia="zh-TW" w:bidi="zh-TW"/>
              </w:rPr>
              <w:t>旱作区灌溉设计保证率不低于75%</w:t>
            </w:r>
            <w:r>
              <w:rPr>
                <w:rFonts w:hint="eastAsia" w:cs="宋体"/>
                <w:color w:val="252525"/>
                <w:sz w:val="16"/>
                <w:szCs w:val="16"/>
                <w:lang w:val="zh-TW" w:eastAsia="zh-CN" w:bidi="zh-TW"/>
              </w:rPr>
              <w:t>。</w:t>
            </w:r>
          </w:p>
          <w:p>
            <w:pPr>
              <w:tabs>
                <w:tab w:val="left" w:pos="2188"/>
              </w:tabs>
              <w:ind w:firstLine="600"/>
              <w:jc w:val="left"/>
              <w:rPr>
                <w:rFonts w:cs="宋体"/>
                <w:color w:val="252525"/>
                <w:sz w:val="16"/>
                <w:szCs w:val="16"/>
                <w:lang w:val="zh-TW" w:bidi="zh-TW"/>
              </w:rPr>
            </w:pPr>
            <w:r>
              <w:rPr>
                <w:rFonts w:cs="宋体"/>
                <w:color w:val="A0A0A0"/>
                <w:sz w:val="130"/>
                <w:szCs w:val="130"/>
                <w:lang w:val="zh-TW" w:eastAsia="zh-TW" w:bidi="zh-TW"/>
              </w:rPr>
              <w:t>、、</w:t>
            </w:r>
            <w:r>
              <w:rPr>
                <w:rFonts w:cs="宋体"/>
                <w:color w:val="A0A0A0"/>
                <w:sz w:val="130"/>
                <w:szCs w:val="130"/>
                <w:lang w:val="zh-TW" w:eastAsia="zh-TW" w:bidi="zh-TW"/>
              </w:rPr>
              <w:tab/>
            </w:r>
            <w:r>
              <w:rPr>
                <w:color w:val="A0A0A0"/>
                <w:sz w:val="18"/>
                <w:szCs w:val="18"/>
                <w:lang w:eastAsia="en-US" w:bidi="en-US"/>
              </w:rPr>
              <w:t>'1</w:t>
            </w:r>
          </w:p>
        </w:tc>
        <w:tc>
          <w:tcPr>
            <w:tcW w:w="1959" w:type="dxa"/>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252525"/>
                <w:sz w:val="16"/>
                <w:szCs w:val="16"/>
                <w:lang w:val="zh-TW" w:bidi="zh-TW"/>
              </w:rPr>
            </w:pPr>
            <w:r>
              <w:rPr>
                <w:rFonts w:cs="宋体"/>
                <w:color w:val="252525"/>
                <w:sz w:val="16"/>
                <w:szCs w:val="16"/>
                <w:lang w:val="zh-TW" w:eastAsia="zh-TW" w:bidi="zh-TW"/>
              </w:rPr>
              <w:t>项目工程</w:t>
            </w:r>
            <w:r>
              <w:rPr>
                <w:rFonts w:hint="eastAsia" w:cs="宋体"/>
                <w:color w:val="252525"/>
                <w:sz w:val="16"/>
                <w:szCs w:val="16"/>
                <w:lang w:val="zh-TW" w:bidi="zh-TW"/>
              </w:rPr>
              <w:t>施工质量检验与评定成果，设计文件，工程复核报告，竣工验收技术总结报告</w:t>
            </w:r>
          </w:p>
        </w:tc>
        <w:tc>
          <w:tcPr>
            <w:tcW w:w="5691" w:type="dxa"/>
            <w:tcBorders>
              <w:top w:val="single" w:color="auto" w:sz="4" w:space="0"/>
              <w:left w:val="single" w:color="auto" w:sz="4" w:space="0"/>
              <w:bottom w:val="single" w:color="auto" w:sz="4" w:space="0"/>
            </w:tcBorders>
            <w:shd w:val="clear" w:color="auto" w:fill="FFFFFF"/>
          </w:tcPr>
          <w:p>
            <w:pPr>
              <w:spacing w:line="283" w:lineRule="exact"/>
              <w:rPr>
                <w:rFonts w:cs="宋体"/>
                <w:color w:val="252525"/>
                <w:sz w:val="16"/>
                <w:szCs w:val="16"/>
                <w:lang w:bidi="zh-TW"/>
              </w:rPr>
            </w:pPr>
            <w:r>
              <w:rPr>
                <w:rFonts w:cs="宋体"/>
                <w:color w:val="252525"/>
                <w:sz w:val="16"/>
                <w:szCs w:val="16"/>
                <w:lang w:val="zh-TW" w:eastAsia="zh-TW" w:bidi="zh-TW"/>
              </w:rPr>
              <w:t>釆用资料查阅法、</w:t>
            </w:r>
            <w:r>
              <w:rPr>
                <w:rFonts w:hint="eastAsia" w:cs="宋体"/>
                <w:color w:val="252525"/>
                <w:sz w:val="16"/>
                <w:szCs w:val="16"/>
                <w:lang w:val="zh-TW" w:bidi="zh-TW"/>
              </w:rPr>
              <w:t>专家评议法、</w:t>
            </w:r>
            <w:r>
              <w:rPr>
                <w:rFonts w:cs="宋体"/>
                <w:color w:val="252525"/>
                <w:sz w:val="16"/>
                <w:szCs w:val="16"/>
                <w:lang w:val="zh-TW" w:eastAsia="zh-TW" w:bidi="zh-TW"/>
              </w:rPr>
              <w:t>现场调查法、抽样调查法进行评价。对于项目评价，应先</w:t>
            </w:r>
            <w:r>
              <w:rPr>
                <w:rFonts w:hint="eastAsia" w:cs="宋体"/>
                <w:color w:val="252525"/>
                <w:sz w:val="16"/>
                <w:szCs w:val="16"/>
                <w:lang w:val="zh-TW" w:bidi="zh-TW"/>
              </w:rPr>
              <w:t>通过查阅设计文件和专家评议，审查项目设计文件所采用灌溉设计标准的合理性及灌溉设计标准与蓄、引、提水工程数量的配套情况；在通过查阅工程施工质量评价成果，现场检查灌溉工程的数量和质量，每个项目抽查的灌溉工程数量不少于本类型总数量的</w:t>
            </w:r>
            <w:r>
              <w:rPr>
                <w:rFonts w:hint="eastAsia" w:cs="宋体"/>
                <w:color w:val="252525"/>
                <w:sz w:val="16"/>
                <w:szCs w:val="16"/>
                <w:lang w:bidi="zh-TW"/>
              </w:rPr>
              <w:t>10%。对于年度和规划期的评价，应抽样调查项目进行评价。</w:t>
            </w:r>
          </w:p>
          <w:p>
            <w:pPr>
              <w:spacing w:line="286" w:lineRule="exact"/>
              <w:rPr>
                <w:rFonts w:cs="宋体"/>
                <w:color w:val="252525"/>
                <w:sz w:val="16"/>
                <w:szCs w:val="16"/>
                <w:lang w:bidi="zh-TW"/>
              </w:rPr>
            </w:pPr>
            <w:r>
              <w:rPr>
                <w:rFonts w:hint="eastAsia" w:cs="宋体"/>
                <w:color w:val="252525"/>
                <w:sz w:val="16"/>
                <w:szCs w:val="16"/>
                <w:lang w:val="zh-TW" w:bidi="zh-TW"/>
              </w:rPr>
              <w:t>评分采用二分制。当灌溉设计保证率和蓄、引、提水工程数量和质量均满足标准规定时得</w:t>
            </w:r>
            <w:r>
              <w:rPr>
                <w:rFonts w:hint="eastAsia" w:cs="宋体"/>
                <w:color w:val="252525"/>
                <w:sz w:val="16"/>
                <w:szCs w:val="16"/>
                <w:lang w:bidi="zh-TW"/>
              </w:rPr>
              <w:t>1分，否则得0分</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eastAsia="en-US" w:bidi="zh-TW"/>
              </w:rPr>
            </w:pPr>
            <w:r>
              <w:rPr>
                <w:color w:val="252525"/>
                <w:sz w:val="18"/>
                <w:szCs w:val="18"/>
                <w:lang w:eastAsia="en-US" w:bidi="en-US"/>
              </w:rPr>
              <w:t>A17</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排水标准</w:t>
            </w:r>
            <w:r>
              <w:rPr>
                <w:rFonts w:cs="宋体"/>
                <w:color w:val="252525"/>
                <w:sz w:val="16"/>
                <w:szCs w:val="16"/>
                <w:lang w:eastAsia="en-US" w:bidi="en-US"/>
              </w:rPr>
              <w:t>*</w:t>
            </w:r>
          </w:p>
        </w:tc>
        <w:tc>
          <w:tcPr>
            <w:tcW w:w="1015" w:type="dxa"/>
            <w:tcBorders>
              <w:top w:val="single" w:color="auto" w:sz="4" w:space="0"/>
              <w:left w:val="single" w:color="auto" w:sz="4" w:space="0"/>
              <w:bottom w:val="single" w:color="auto" w:sz="4" w:space="0"/>
            </w:tcBorders>
            <w:shd w:val="clear" w:color="auto" w:fill="FFFFFF"/>
          </w:tcPr>
          <w:p>
            <w:pPr>
              <w:rPr>
                <w:sz w:val="10"/>
                <w:szCs w:val="10"/>
                <w:lang w:eastAsia="en-US"/>
              </w:rPr>
            </w:pPr>
          </w:p>
        </w:tc>
        <w:tc>
          <w:tcPr>
            <w:tcW w:w="2458" w:type="dxa"/>
            <w:tcBorders>
              <w:top w:val="single" w:color="auto" w:sz="4" w:space="0"/>
              <w:left w:val="single" w:color="auto" w:sz="4" w:space="0"/>
              <w:bottom w:val="single" w:color="auto" w:sz="4" w:space="0"/>
            </w:tcBorders>
            <w:shd w:val="clear" w:color="auto" w:fill="FFFFFF"/>
          </w:tcPr>
          <w:p>
            <w:pPr>
              <w:spacing w:line="286" w:lineRule="exact"/>
              <w:rPr>
                <w:rFonts w:cs="宋体"/>
                <w:color w:val="252525"/>
                <w:sz w:val="16"/>
                <w:szCs w:val="16"/>
                <w:lang w:val="zh-TW" w:eastAsia="zh-TW"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规定的排水标准。</w:t>
            </w:r>
            <w:r>
              <w:rPr>
                <w:rFonts w:hint="eastAsia" w:cs="宋体"/>
                <w:color w:val="252525"/>
                <w:sz w:val="16"/>
                <w:szCs w:val="16"/>
                <w:lang w:val="zh-TW" w:eastAsia="zh-TW" w:bidi="zh-TW"/>
              </w:rPr>
              <w:t>农田排水设计暴雨重现期达到5~10年一遇，1~3d暴雨从作物受淹起1~3d排至田面无积水；水稻区灌溉设计保证率不低于85%，农田排水设计暴雨重现期达到10年一遇，1~3d暴雨3~5d排至作物耐淹水深。</w:t>
            </w:r>
          </w:p>
        </w:tc>
        <w:tc>
          <w:tcPr>
            <w:tcW w:w="1959"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项目工程</w:t>
            </w:r>
            <w:r>
              <w:rPr>
                <w:rFonts w:hint="eastAsia" w:cs="宋体"/>
                <w:color w:val="252525"/>
                <w:sz w:val="16"/>
                <w:szCs w:val="16"/>
                <w:lang w:val="zh-TW" w:bidi="zh-TW"/>
              </w:rPr>
              <w:t>施工质量检验与评定成果，设计文件，工程复核报告，竣工验收技术总结报告</w:t>
            </w:r>
          </w:p>
        </w:tc>
        <w:tc>
          <w:tcPr>
            <w:tcW w:w="5691" w:type="dxa"/>
            <w:tcBorders>
              <w:top w:val="single" w:color="auto" w:sz="4" w:space="0"/>
              <w:left w:val="single" w:color="auto" w:sz="4" w:space="0"/>
              <w:bottom w:val="single" w:color="auto" w:sz="4" w:space="0"/>
            </w:tcBorders>
            <w:shd w:val="clear" w:color="auto" w:fill="FFFFFF"/>
          </w:tcPr>
          <w:p>
            <w:pPr>
              <w:spacing w:line="285" w:lineRule="exact"/>
              <w:rPr>
                <w:rFonts w:cs="宋体"/>
                <w:color w:val="252525"/>
                <w:sz w:val="16"/>
                <w:szCs w:val="16"/>
                <w:lang w:val="zh-TW" w:eastAsia="zh-TW" w:bidi="zh-TW"/>
              </w:rPr>
            </w:pPr>
            <w:r>
              <w:rPr>
                <w:rFonts w:cs="宋体"/>
                <w:color w:val="252525"/>
                <w:sz w:val="16"/>
                <w:szCs w:val="16"/>
                <w:lang w:val="zh-TW" w:eastAsia="zh-TW" w:bidi="zh-TW"/>
              </w:rPr>
              <w:t>采用资料査阅法、考家</w:t>
            </w:r>
            <w:r>
              <w:rPr>
                <w:rFonts w:hint="eastAsia" w:cs="宋体"/>
                <w:color w:val="252525"/>
                <w:sz w:val="16"/>
                <w:szCs w:val="16"/>
                <w:lang w:val="zh-TW" w:bidi="zh-TW"/>
              </w:rPr>
              <w:t>评议</w:t>
            </w:r>
            <w:r>
              <w:rPr>
                <w:rFonts w:cs="宋体"/>
                <w:color w:val="252525"/>
                <w:sz w:val="16"/>
                <w:szCs w:val="16"/>
                <w:lang w:eastAsia="en-US" w:bidi="en-US"/>
              </w:rPr>
              <w:t>、</w:t>
            </w:r>
            <w:r>
              <w:rPr>
                <w:rFonts w:cs="宋体"/>
                <w:color w:val="252525"/>
                <w:sz w:val="16"/>
                <w:szCs w:val="16"/>
                <w:lang w:val="zh-TW" w:eastAsia="zh-TW" w:bidi="zh-TW"/>
              </w:rPr>
              <w:t>现场调查法、抽样调查法进行评价。对于项目评价，应先通过查阅设计文件和专家评议，审查项</w:t>
            </w:r>
            <w:r>
              <w:rPr>
                <w:rFonts w:hint="eastAsia" w:cs="宋体"/>
                <w:color w:val="252525"/>
                <w:sz w:val="16"/>
                <w:szCs w:val="16"/>
                <w:lang w:bidi="zh-TW"/>
              </w:rPr>
              <w:t>目设计</w:t>
            </w:r>
            <w:r>
              <w:rPr>
                <w:rFonts w:cs="宋体"/>
                <w:color w:val="252525"/>
                <w:sz w:val="16"/>
                <w:szCs w:val="16"/>
                <w:lang w:val="zh-TW" w:eastAsia="zh-TW" w:bidi="zh-TW"/>
              </w:rPr>
              <w:t>文件所釆用的排水标准与排水工程数量的合理性；再通过查阅工程施工质量评价成果，现场检查排水工程的数量和质量，每个项目抽查的排水工程数量不少于本类型总数量的</w:t>
            </w:r>
            <w:r>
              <w:rPr>
                <w:color w:val="252525"/>
                <w:sz w:val="18"/>
                <w:szCs w:val="18"/>
                <w:lang w:val="zh-TW" w:eastAsia="zh-TW" w:bidi="zh-TW"/>
              </w:rPr>
              <w:t>10%</w:t>
            </w:r>
            <w:r>
              <w:rPr>
                <w:rFonts w:cs="宋体"/>
                <w:color w:val="252525"/>
                <w:sz w:val="16"/>
                <w:szCs w:val="16"/>
                <w:lang w:val="zh-TW" w:eastAsia="zh-TW" w:bidi="zh-TW"/>
              </w:rPr>
              <w:t>。对于年度和规划期的评价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3" w:lineRule="exact"/>
              <w:rPr>
                <w:rFonts w:cs="宋体"/>
                <w:color w:val="252525"/>
                <w:sz w:val="16"/>
                <w:szCs w:val="16"/>
                <w:lang w:val="zh-TW" w:eastAsia="zh-TW" w:bidi="zh-TW"/>
              </w:rPr>
            </w:pPr>
            <w:r>
              <w:rPr>
                <w:rFonts w:cs="宋体"/>
                <w:color w:val="252525"/>
                <w:sz w:val="16"/>
                <w:szCs w:val="16"/>
                <w:lang w:val="zh-TW" w:eastAsia="zh-TW" w:bidi="zh-TW"/>
              </w:rPr>
              <w:t>评分釆用二分制。当排水标准和排水工程数量与质量满足标准规定时得</w:t>
            </w:r>
            <w:r>
              <w:rPr>
                <w:rFonts w:hint="eastAsia" w:cs="宋体"/>
                <w:color w:val="252525"/>
                <w:sz w:val="16"/>
                <w:szCs w:val="16"/>
                <w:lang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1"/>
        <w:gridCol w:w="872"/>
        <w:gridCol w:w="1015"/>
        <w:gridCol w:w="2458"/>
        <w:gridCol w:w="1959"/>
        <w:gridCol w:w="5691"/>
        <w:gridCol w:w="1477"/>
      </w:tblGrid>
      <w:tr>
        <w:tblPrEx>
          <w:tblCellMar>
            <w:top w:w="0" w:type="dxa"/>
            <w:left w:w="10" w:type="dxa"/>
            <w:bottom w:w="0" w:type="dxa"/>
            <w:right w:w="10" w:type="dxa"/>
          </w:tblCellMar>
        </w:tblPrEx>
        <w:trPr>
          <w:trHeight w:val="732" w:hRule="exact"/>
        </w:trPr>
        <w:tc>
          <w:tcPr>
            <w:tcW w:w="73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eastAsia="en-US" w:bidi="zh-TW"/>
              </w:rPr>
            </w:pPr>
            <w:r>
              <w:rPr>
                <w:rFonts w:cs="宋体"/>
                <w:color w:val="000000"/>
                <w:sz w:val="16"/>
                <w:szCs w:val="16"/>
                <w:lang w:val="zh-TW" w:eastAsia="zh-TW" w:bidi="zh-TW"/>
              </w:rPr>
              <w:t>编号</w:t>
            </w:r>
          </w:p>
        </w:tc>
        <w:tc>
          <w:tcPr>
            <w:tcW w:w="872"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bidi="zh-TW"/>
              </w:rPr>
            </w:pPr>
            <w:r>
              <w:rPr>
                <w:rFonts w:cs="宋体"/>
                <w:color w:val="000000"/>
                <w:sz w:val="16"/>
                <w:szCs w:val="16"/>
                <w:lang w:val="zh-TW" w:eastAsia="zh-TW" w:bidi="zh-TW"/>
              </w:rPr>
              <w:t>计量单位</w:t>
            </w:r>
          </w:p>
        </w:tc>
        <w:tc>
          <w:tcPr>
            <w:tcW w:w="245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959" w:type="dxa"/>
            <w:tcBorders>
              <w:top w:val="single" w:color="auto" w:sz="4" w:space="0"/>
              <w:left w:val="single" w:color="auto" w:sz="4" w:space="0"/>
              <w:bottom w:val="single" w:color="auto" w:sz="4" w:space="0"/>
            </w:tcBorders>
            <w:shd w:val="clear" w:color="auto" w:fill="FFFFFF"/>
            <w:vAlign w:val="center"/>
          </w:tcPr>
          <w:p>
            <w:pPr>
              <w:ind w:firstLine="400"/>
              <w:rPr>
                <w:rFonts w:cs="宋体"/>
                <w:color w:val="252525"/>
                <w:sz w:val="16"/>
                <w:szCs w:val="16"/>
                <w:lang w:val="zh-TW" w:eastAsia="zh-TW" w:bidi="zh-TW"/>
              </w:rPr>
            </w:pPr>
            <w:r>
              <w:rPr>
                <w:rFonts w:cs="宋体"/>
                <w:color w:val="252525"/>
                <w:sz w:val="16"/>
                <w:szCs w:val="16"/>
                <w:lang w:val="zh-TW" w:eastAsia="zh-TW" w:bidi="zh-TW"/>
              </w:rPr>
              <w:t>数据来源</w:t>
            </w:r>
          </w:p>
        </w:tc>
        <w:tc>
          <w:tcPr>
            <w:tcW w:w="569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适用对象</w:t>
            </w:r>
          </w:p>
        </w:tc>
      </w:tr>
      <w:tr>
        <w:tblPrEx>
          <w:tblCellMar>
            <w:top w:w="0" w:type="dxa"/>
            <w:left w:w="10" w:type="dxa"/>
            <w:bottom w:w="0" w:type="dxa"/>
            <w:right w:w="10" w:type="dxa"/>
          </w:tblCellMar>
        </w:tblPrEx>
        <w:trPr>
          <w:trHeight w:val="1999"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200"/>
              <w:jc w:val="left"/>
              <w:rPr>
                <w:rFonts w:cs="宋体"/>
                <w:color w:val="252525"/>
                <w:sz w:val="18"/>
                <w:szCs w:val="18"/>
                <w:lang w:val="zh-TW" w:eastAsia="zh-TW" w:bidi="zh-TW"/>
              </w:rPr>
            </w:pPr>
            <w:r>
              <w:rPr>
                <w:color w:val="252525"/>
                <w:sz w:val="18"/>
                <w:szCs w:val="18"/>
                <w:lang w:eastAsia="en-US" w:bidi="en-US"/>
              </w:rPr>
              <w:t>A18</w:t>
            </w:r>
          </w:p>
        </w:tc>
        <w:tc>
          <w:tcPr>
            <w:tcW w:w="872" w:type="dxa"/>
            <w:tcBorders>
              <w:top w:val="single" w:color="auto" w:sz="4" w:space="0"/>
              <w:left w:val="single" w:color="auto" w:sz="4" w:space="0"/>
              <w:bottom w:val="single" w:color="auto" w:sz="4" w:space="0"/>
            </w:tcBorders>
            <w:shd w:val="clear" w:color="auto" w:fill="FFFFFF"/>
            <w:vAlign w:val="center"/>
          </w:tcPr>
          <w:p>
            <w:pPr>
              <w:spacing w:line="259" w:lineRule="exact"/>
              <w:jc w:val="left"/>
              <w:rPr>
                <w:rFonts w:cs="宋体"/>
                <w:color w:val="252525"/>
                <w:sz w:val="16"/>
                <w:szCs w:val="16"/>
                <w:lang w:val="zh-TW" w:eastAsia="zh-TW" w:bidi="zh-TW"/>
              </w:rPr>
            </w:pPr>
            <w:r>
              <w:rPr>
                <w:rFonts w:cs="宋体"/>
                <w:color w:val="252525"/>
                <w:sz w:val="16"/>
                <w:szCs w:val="16"/>
                <w:lang w:val="zh-TW" w:eastAsia="zh-TW" w:bidi="zh-TW"/>
              </w:rPr>
              <w:t>建（构）筑物使用年限</w:t>
            </w:r>
            <w:r>
              <w:rPr>
                <w:rFonts w:cs="宋体"/>
                <w:color w:val="252525"/>
                <w:sz w:val="16"/>
                <w:szCs w:val="16"/>
                <w:lang w:eastAsia="en-US" w:bidi="en-US"/>
              </w:rPr>
              <w:t>*</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rFonts w:cs="宋体"/>
                <w:color w:val="252525"/>
                <w:sz w:val="16"/>
                <w:szCs w:val="16"/>
                <w:lang w:val="zh-TW" w:eastAsia="zh-TW" w:bidi="zh-TW"/>
              </w:rPr>
              <w:t>年</w:t>
            </w:r>
          </w:p>
        </w:tc>
        <w:tc>
          <w:tcPr>
            <w:tcW w:w="2458" w:type="dxa"/>
            <w:tcBorders>
              <w:top w:val="single" w:color="auto" w:sz="4" w:space="0"/>
              <w:left w:val="single" w:color="auto" w:sz="4" w:space="0"/>
              <w:bottom w:val="single" w:color="auto" w:sz="4" w:space="0"/>
            </w:tcBorders>
            <w:shd w:val="clear" w:color="auto" w:fill="FFFFFF"/>
            <w:vAlign w:val="center"/>
          </w:tcPr>
          <w:p>
            <w:pPr>
              <w:spacing w:line="257" w:lineRule="exact"/>
              <w:rPr>
                <w:rFonts w:hint="eastAsia" w:eastAsia="宋体" w:cs="宋体"/>
                <w:color w:val="252525"/>
                <w:sz w:val="18"/>
                <w:szCs w:val="18"/>
                <w:lang w:val="zh-TW" w:eastAsia="zh-CN" w:bidi="zh-TW"/>
              </w:rPr>
            </w:pPr>
            <w:r>
              <w:rPr>
                <w:rFonts w:cs="宋体"/>
                <w:color w:val="252525"/>
                <w:sz w:val="16"/>
                <w:szCs w:val="16"/>
                <w:lang w:val="zh-TW" w:eastAsia="zh-TW" w:bidi="zh-TW"/>
              </w:rPr>
              <w:t>项目建设后，各项工程质量满足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规定的质量寿命。各类渠道、排水沟和渠系建筑物的使用年限不低于</w:t>
            </w:r>
            <w:r>
              <w:rPr>
                <w:color w:val="252525"/>
                <w:sz w:val="18"/>
                <w:szCs w:val="18"/>
                <w:lang w:val="zh-TW" w:eastAsia="zh-TW" w:bidi="zh-TW"/>
              </w:rPr>
              <w:t>15</w:t>
            </w:r>
            <w:r>
              <w:rPr>
                <w:rFonts w:cs="宋体"/>
                <w:color w:val="252525"/>
                <w:sz w:val="16"/>
                <w:szCs w:val="16"/>
                <w:lang w:val="zh-TW" w:eastAsia="zh-TW" w:bidi="zh-TW"/>
              </w:rPr>
              <w:t>年</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vAlign w:val="center"/>
          </w:tcPr>
          <w:p>
            <w:pPr>
              <w:spacing w:line="260"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项目工程施工质量检验与评定成果，设计文件，工程复核报告，竣工验收技术总结文件</w:t>
            </w:r>
          </w:p>
        </w:tc>
        <w:tc>
          <w:tcPr>
            <w:tcW w:w="5691" w:type="dxa"/>
            <w:tcBorders>
              <w:top w:val="single" w:color="auto" w:sz="4" w:space="0"/>
              <w:left w:val="single" w:color="auto" w:sz="4" w:space="0"/>
              <w:bottom w:val="single" w:color="auto" w:sz="4" w:space="0"/>
            </w:tcBorders>
            <w:shd w:val="clear" w:color="auto" w:fill="FFFFFF"/>
            <w:vAlign w:val="center"/>
          </w:tcPr>
          <w:p>
            <w:pPr>
              <w:spacing w:line="260"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采用资料查阅法、专家评议法、现场调查法、抽样调查法进行评价。对于项目评价，应通过专家评议，审查项目设计文件中各级各类工程（建筑物）设计使用寿命</w:t>
            </w:r>
            <w:r>
              <w:rPr>
                <w:rFonts w:hint="eastAsia" w:cs="宋体"/>
                <w:color w:val="252525"/>
                <w:sz w:val="16"/>
                <w:szCs w:val="16"/>
                <w:lang w:val="zh-TW" w:bidi="zh-TW"/>
              </w:rPr>
              <w:t>；</w:t>
            </w:r>
            <w:r>
              <w:rPr>
                <w:rFonts w:cs="宋体"/>
                <w:color w:val="252525"/>
                <w:sz w:val="16"/>
                <w:szCs w:val="16"/>
                <w:lang w:val="zh-TW" w:eastAsia="zh-TW" w:bidi="zh-TW"/>
              </w:rPr>
              <w:t>查阅工程施工质量验收资料，并通过现场查看工程外观质量及运行状况，综合判断建（构）筑物使用情况；每个项目抽查工程项目数量不少于本类型数量的</w:t>
            </w:r>
            <w:r>
              <w:rPr>
                <w:color w:val="252525"/>
                <w:sz w:val="18"/>
                <w:szCs w:val="18"/>
                <w:lang w:val="zh-TW" w:eastAsia="zh-TW" w:bidi="zh-TW"/>
              </w:rPr>
              <w:t>10%</w:t>
            </w:r>
            <w:r>
              <w:rPr>
                <w:rFonts w:hint="eastAsia"/>
                <w:color w:val="252525"/>
                <w:sz w:val="18"/>
                <w:szCs w:val="18"/>
                <w:lang w:val="zh-TW" w:bidi="zh-TW"/>
              </w:rPr>
              <w:t>；</w:t>
            </w:r>
            <w:r>
              <w:rPr>
                <w:rFonts w:cs="宋体"/>
                <w:color w:val="252525"/>
                <w:sz w:val="16"/>
                <w:szCs w:val="16"/>
                <w:lang w:val="zh-TW" w:eastAsia="zh-TW" w:bidi="zh-TW"/>
              </w:rPr>
              <w:t>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60" w:lineRule="exact"/>
              <w:rPr>
                <w:rFonts w:cs="宋体"/>
                <w:color w:val="252525"/>
                <w:sz w:val="16"/>
                <w:szCs w:val="16"/>
                <w:lang w:val="zh-TW" w:eastAsia="zh-TW" w:bidi="zh-TW"/>
              </w:rPr>
            </w:pPr>
            <w:r>
              <w:rPr>
                <w:rFonts w:cs="宋体"/>
                <w:color w:val="252525"/>
                <w:sz w:val="16"/>
                <w:szCs w:val="16"/>
                <w:lang w:val="zh-TW" w:eastAsia="zh-TW" w:bidi="zh-TW"/>
              </w:rPr>
              <w:t>评分釆用二分制。当抽查的单体建（构）筑物均能够正常使用且无安全隐患时得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359"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200"/>
              <w:jc w:val="left"/>
              <w:rPr>
                <w:rFonts w:cs="宋体"/>
                <w:color w:val="252525"/>
                <w:sz w:val="18"/>
                <w:szCs w:val="18"/>
                <w:lang w:bidi="zh-TW"/>
              </w:rPr>
            </w:pPr>
            <w:r>
              <w:rPr>
                <w:color w:val="474747"/>
                <w:sz w:val="18"/>
                <w:szCs w:val="18"/>
                <w:lang w:eastAsia="en-US" w:bidi="en-US"/>
              </w:rPr>
              <w:t>A19</w:t>
            </w:r>
          </w:p>
        </w:tc>
        <w:tc>
          <w:tcPr>
            <w:tcW w:w="872"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灌溉水利用效率</w:t>
            </w:r>
          </w:p>
        </w:tc>
        <w:tc>
          <w:tcPr>
            <w:tcW w:w="1015" w:type="dxa"/>
            <w:tcBorders>
              <w:top w:val="single" w:color="auto" w:sz="4" w:space="0"/>
              <w:left w:val="single" w:color="auto" w:sz="4" w:space="0"/>
              <w:bottom w:val="single" w:color="auto" w:sz="4" w:space="0"/>
            </w:tcBorders>
            <w:shd w:val="clear" w:color="auto" w:fill="FFFFFF"/>
            <w:vAlign w:val="center"/>
          </w:tcPr>
          <w:p>
            <w:pPr>
              <w:jc w:val="center"/>
              <w:rPr>
                <w:color w:val="252525"/>
                <w:sz w:val="10"/>
                <w:szCs w:val="10"/>
                <w:lang w:eastAsia="en-US"/>
              </w:rPr>
            </w:pPr>
            <w:r>
              <w:rPr>
                <w:rFonts w:cs="宋体"/>
                <w:color w:val="252525"/>
                <w:sz w:val="16"/>
                <w:szCs w:val="16"/>
                <w:lang w:val="zh-TW" w:eastAsia="zh-TW" w:bidi="zh-TW"/>
              </w:rPr>
              <w:t>%</w:t>
            </w:r>
          </w:p>
        </w:tc>
        <w:tc>
          <w:tcPr>
            <w:tcW w:w="2458" w:type="dxa"/>
            <w:tcBorders>
              <w:top w:val="single" w:color="auto" w:sz="4" w:space="0"/>
              <w:left w:val="single" w:color="auto" w:sz="4" w:space="0"/>
              <w:bottom w:val="single" w:color="auto" w:sz="4" w:space="0"/>
            </w:tcBorders>
            <w:shd w:val="clear" w:color="auto" w:fill="FFFFFF"/>
            <w:vAlign w:val="center"/>
          </w:tcPr>
          <w:p>
            <w:pPr>
              <w:spacing w:line="263"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规定的灌溉水利用系数。建设后的农田，</w:t>
            </w:r>
            <w:r>
              <w:rPr>
                <w:rFonts w:hint="eastAsia" w:cs="宋体"/>
                <w:color w:val="252525"/>
                <w:sz w:val="16"/>
                <w:szCs w:val="16"/>
                <w:lang w:val="zh-TW" w:eastAsia="zh-TW" w:bidi="zh-TW"/>
              </w:rPr>
              <w:t>田间灌排系统完善、工程配套、利用充分，输、配、灌、排水及时高效，灌溉水利用效率和水分生产率明显提高</w:t>
            </w:r>
            <w:r>
              <w:rPr>
                <w:rFonts w:hint="eastAsia" w:cs="宋体"/>
                <w:color w:val="252525"/>
                <w:sz w:val="16"/>
                <w:szCs w:val="16"/>
                <w:lang w:val="zh-TW" w:eastAsia="zh-CN" w:bidi="zh-TW"/>
              </w:rPr>
              <w:t>，</w:t>
            </w:r>
            <w:r>
              <w:rPr>
                <w:rFonts w:cs="宋体"/>
                <w:color w:val="252525"/>
                <w:sz w:val="16"/>
                <w:szCs w:val="16"/>
                <w:lang w:val="zh-TW" w:eastAsia="zh-TW" w:bidi="zh-TW"/>
              </w:rPr>
              <w:t>灌溉水质满足</w:t>
            </w:r>
            <w:r>
              <w:rPr>
                <w:color w:val="252525"/>
                <w:sz w:val="18"/>
                <w:szCs w:val="18"/>
                <w:lang w:eastAsia="en-US" w:bidi="en-US"/>
              </w:rPr>
              <w:t xml:space="preserve">GB </w:t>
            </w:r>
            <w:r>
              <w:rPr>
                <w:color w:val="252525"/>
                <w:sz w:val="18"/>
                <w:szCs w:val="18"/>
                <w:lang w:val="zh-TW" w:eastAsia="zh-TW" w:bidi="zh-TW"/>
              </w:rPr>
              <w:t>5084</w:t>
            </w:r>
            <w:r>
              <w:rPr>
                <w:rFonts w:cs="宋体"/>
                <w:color w:val="252525"/>
                <w:sz w:val="16"/>
                <w:szCs w:val="16"/>
                <w:lang w:val="zh-TW" w:eastAsia="zh-TW" w:bidi="zh-TW"/>
              </w:rPr>
              <w:t>的规定</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vAlign w:val="center"/>
          </w:tcPr>
          <w:p>
            <w:pPr>
              <w:spacing w:line="260" w:lineRule="exact"/>
              <w:rPr>
                <w:rFonts w:cs="宋体"/>
                <w:color w:val="252525"/>
                <w:sz w:val="16"/>
                <w:szCs w:val="16"/>
                <w:lang w:val="zh-TW" w:bidi="zh-TW"/>
              </w:rPr>
            </w:pPr>
            <w:r>
              <w:rPr>
                <w:rFonts w:cs="宋体"/>
                <w:color w:val="252525"/>
                <w:sz w:val="16"/>
                <w:szCs w:val="16"/>
                <w:lang w:val="zh-TW" w:eastAsia="zh-TW" w:bidi="zh-TW"/>
              </w:rPr>
              <w:t>项目工程施工质量检验与评 定成果，设计文件，工程复核报告，竣工验收技术总结报告，灌溉水利用效率试验观测站</w:t>
            </w:r>
          </w:p>
        </w:tc>
        <w:tc>
          <w:tcPr>
            <w:tcW w:w="5691" w:type="dxa"/>
            <w:tcBorders>
              <w:top w:val="single" w:color="auto" w:sz="4" w:space="0"/>
              <w:left w:val="single" w:color="auto" w:sz="4" w:space="0"/>
              <w:bottom w:val="single" w:color="auto" w:sz="4" w:space="0"/>
            </w:tcBorders>
            <w:shd w:val="clear" w:color="auto" w:fill="FFFFFF"/>
            <w:vAlign w:val="center"/>
          </w:tcPr>
          <w:p>
            <w:pPr>
              <w:spacing w:line="260"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釆用资料查阅法、专家评议法、试验观测法、抽样调査法进行评价。对于项目评价，可通过现场测试或参照条件相似地区的样点灌区试验结果，分析计算农田灌溉水利用系数</w:t>
            </w:r>
            <w:r>
              <w:rPr>
                <w:rFonts w:hint="eastAsia" w:cs="宋体"/>
                <w:color w:val="252525"/>
                <w:sz w:val="16"/>
                <w:szCs w:val="16"/>
                <w:lang w:val="zh-TW" w:bidi="zh-TW"/>
              </w:rPr>
              <w:t>；</w:t>
            </w:r>
            <w:r>
              <w:rPr>
                <w:rFonts w:cs="宋体"/>
                <w:color w:val="252525"/>
                <w:sz w:val="16"/>
                <w:szCs w:val="16"/>
                <w:lang w:val="zh-TW" w:eastAsia="zh-TW" w:bidi="zh-TW"/>
              </w:rPr>
              <w:t>无法开展现场测试试验时，可通过查阅设计文件和专家评议，审查设计文件所釆用的灌溉水利用效率与节水灌溉工程措施的合理性，再通过查阅工程施工质量评价成果，检查灌溉工程的质量及水利用效果。一个项目区至少应选取</w:t>
            </w:r>
            <w:r>
              <w:rPr>
                <w:color w:val="252525"/>
                <w:sz w:val="18"/>
                <w:szCs w:val="18"/>
                <w:lang w:val="zh-TW" w:eastAsia="zh-TW" w:bidi="zh-TW"/>
              </w:rPr>
              <w:t>1</w:t>
            </w:r>
            <w:r>
              <w:rPr>
                <w:rFonts w:cs="宋体"/>
                <w:color w:val="252525"/>
                <w:sz w:val="16"/>
                <w:szCs w:val="16"/>
                <w:lang w:val="zh-TW" w:eastAsia="zh-TW" w:bidi="zh-TW"/>
              </w:rPr>
              <w:t>个独立的灌溉系统进行分析。对于年度和规划期的评价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60" w:lineRule="exact"/>
              <w:rPr>
                <w:rFonts w:cs="宋体"/>
                <w:color w:val="252525"/>
                <w:sz w:val="16"/>
                <w:szCs w:val="16"/>
                <w:lang w:bidi="zh-TW"/>
              </w:rPr>
            </w:pPr>
            <w:r>
              <w:rPr>
                <w:rFonts w:cs="宋体"/>
                <w:color w:val="252525"/>
                <w:sz w:val="16"/>
                <w:szCs w:val="16"/>
                <w:lang w:val="zh-TW" w:eastAsia="zh-TW" w:bidi="zh-TW"/>
              </w:rPr>
              <w:t>按照抽取样本数量满足标准规定的数量占总数量的比值进行评价，评分采用五分制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229" w:hRule="exact"/>
        </w:trPr>
        <w:tc>
          <w:tcPr>
            <w:tcW w:w="731" w:type="dxa"/>
            <w:tcBorders>
              <w:top w:val="single" w:color="auto" w:sz="4" w:space="0"/>
              <w:left w:val="single" w:color="auto" w:sz="4" w:space="0"/>
              <w:bottom w:val="single" w:color="auto" w:sz="4" w:space="0"/>
            </w:tcBorders>
            <w:shd w:val="clear" w:color="auto" w:fill="FFFFFF"/>
          </w:tcPr>
          <w:p>
            <w:pPr>
              <w:spacing w:before="1120"/>
              <w:jc w:val="center"/>
              <w:rPr>
                <w:rFonts w:cs="宋体"/>
                <w:color w:val="252525"/>
                <w:sz w:val="18"/>
                <w:szCs w:val="18"/>
                <w:lang w:eastAsia="en-US" w:bidi="zh-TW"/>
              </w:rPr>
            </w:pPr>
            <w:r>
              <w:rPr>
                <w:color w:val="252525"/>
                <w:sz w:val="18"/>
                <w:szCs w:val="18"/>
                <w:lang w:eastAsia="en-US" w:bidi="en-US"/>
              </w:rPr>
              <w:t>A20</w:t>
            </w:r>
          </w:p>
        </w:tc>
        <w:tc>
          <w:tcPr>
            <w:tcW w:w="872" w:type="dxa"/>
            <w:tcBorders>
              <w:top w:val="single" w:color="auto" w:sz="4" w:space="0"/>
              <w:left w:val="single" w:color="auto" w:sz="4" w:space="0"/>
              <w:bottom w:val="single" w:color="auto" w:sz="4" w:space="0"/>
            </w:tcBorders>
            <w:shd w:val="clear" w:color="auto" w:fill="FFFFFF"/>
          </w:tcPr>
          <w:p>
            <w:pPr>
              <w:spacing w:before="1140"/>
              <w:jc w:val="left"/>
              <w:rPr>
                <w:rFonts w:cs="宋体"/>
                <w:color w:val="252525"/>
                <w:sz w:val="16"/>
                <w:szCs w:val="16"/>
                <w:lang w:val="zh-TW" w:eastAsia="zh-TW" w:bidi="zh-TW"/>
              </w:rPr>
            </w:pPr>
            <w:r>
              <w:rPr>
                <w:rFonts w:cs="宋体"/>
                <w:color w:val="252525"/>
                <w:sz w:val="16"/>
                <w:szCs w:val="16"/>
                <w:lang w:val="zh-TW" w:eastAsia="zh-TW" w:bidi="zh-TW"/>
              </w:rPr>
              <w:t>基础设施配套率</w:t>
            </w:r>
          </w:p>
        </w:tc>
        <w:tc>
          <w:tcPr>
            <w:tcW w:w="1015" w:type="dxa"/>
            <w:tcBorders>
              <w:top w:val="single" w:color="auto" w:sz="4" w:space="0"/>
              <w:left w:val="single" w:color="auto" w:sz="4" w:space="0"/>
              <w:bottom w:val="single" w:color="auto" w:sz="4" w:space="0"/>
            </w:tcBorders>
            <w:shd w:val="clear" w:color="auto" w:fill="FFFFFF"/>
          </w:tcPr>
          <w:p>
            <w:pPr>
              <w:spacing w:before="1140"/>
              <w:jc w:val="center"/>
              <w:rPr>
                <w:color w:val="252525"/>
                <w:sz w:val="10"/>
                <w:szCs w:val="10"/>
                <w:lang w:eastAsia="en-US"/>
              </w:rPr>
            </w:pPr>
            <w:r>
              <w:rPr>
                <w:rFonts w:cs="宋体"/>
                <w:color w:val="000000"/>
                <w:sz w:val="16"/>
                <w:szCs w:val="16"/>
                <w:lang w:val="zh-TW" w:eastAsia="zh-TW" w:bidi="zh-TW"/>
              </w:rPr>
              <w:t>%</w:t>
            </w:r>
          </w:p>
        </w:tc>
        <w:tc>
          <w:tcPr>
            <w:tcW w:w="2458" w:type="dxa"/>
            <w:tcBorders>
              <w:top w:val="single" w:color="auto" w:sz="4" w:space="0"/>
              <w:left w:val="single" w:color="auto" w:sz="4" w:space="0"/>
              <w:bottom w:val="single" w:color="auto" w:sz="4" w:space="0"/>
            </w:tcBorders>
            <w:shd w:val="clear" w:color="auto" w:fill="FFFFFF"/>
          </w:tcPr>
          <w:p>
            <w:pPr>
              <w:spacing w:before="420" w:line="261"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规定的各类建筑物数量和功能要求。建筑物配套完善，满足灌溉与排水系统水位、流量、泥沙处理、施工、运行、管理、 生产、生活的需要</w:t>
            </w:r>
            <w:r>
              <w:rPr>
                <w:rFonts w:hint="eastAsia" w:cs="宋体"/>
                <w:color w:val="252525"/>
                <w:sz w:val="16"/>
                <w:szCs w:val="16"/>
                <w:lang w:val="zh-TW" w:eastAsia="zh-CN" w:bidi="zh-TW"/>
              </w:rPr>
              <w:t>。</w:t>
            </w:r>
          </w:p>
        </w:tc>
        <w:tc>
          <w:tcPr>
            <w:tcW w:w="1959" w:type="dxa"/>
            <w:tcBorders>
              <w:top w:val="single" w:color="auto" w:sz="4" w:space="0"/>
              <w:left w:val="single" w:color="auto" w:sz="4" w:space="0"/>
              <w:bottom w:val="single" w:color="auto" w:sz="4" w:space="0"/>
            </w:tcBorders>
            <w:shd w:val="clear" w:color="auto" w:fill="FFFFFF"/>
          </w:tcPr>
          <w:p>
            <w:pPr>
              <w:spacing w:before="420" w:line="259"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项目工程施工质量检验与评定成果，设计文件，工程复核报告，竣工验收技术总结报告</w:t>
            </w:r>
          </w:p>
        </w:tc>
        <w:tc>
          <w:tcPr>
            <w:tcW w:w="5691" w:type="dxa"/>
            <w:tcBorders>
              <w:top w:val="single" w:color="auto" w:sz="4" w:space="0"/>
              <w:left w:val="single" w:color="auto" w:sz="4" w:space="0"/>
              <w:bottom w:val="single" w:color="auto" w:sz="4" w:space="0"/>
            </w:tcBorders>
            <w:shd w:val="clear" w:color="auto" w:fill="FFFFFF"/>
          </w:tcPr>
          <w:p>
            <w:pPr>
              <w:spacing w:line="258"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目评价，应先通过查阅设计文件，查看各类建筑物的布置情况；再选择典型地块（耕作田块），通过查阅工程施工质量评价成果，现场检查各类建筑物的数量、质量及配套情况，每个项目抽查的地块数量不少于总地块的</w:t>
            </w:r>
            <w:r>
              <w:rPr>
                <w:color w:val="252525"/>
                <w:sz w:val="18"/>
                <w:szCs w:val="18"/>
                <w:lang w:val="zh-TW" w:eastAsia="zh-TW" w:bidi="zh-TW"/>
              </w:rPr>
              <w:t>10%</w:t>
            </w:r>
            <w:r>
              <w:rPr>
                <w:rFonts w:cs="宋体"/>
                <w:color w:val="252525"/>
                <w:sz w:val="16"/>
                <w:szCs w:val="16"/>
                <w:lang w:val="zh-TW" w:eastAsia="zh-TW" w:bidi="zh-TW"/>
              </w:rPr>
              <w:t>。对于年度和规划期的评价，应抽样调査项目进行评价。</w:t>
            </w:r>
          </w:p>
          <w:p>
            <w:pPr>
              <w:spacing w:line="258" w:lineRule="exact"/>
              <w:rPr>
                <w:rFonts w:cs="宋体"/>
                <w:color w:val="252525"/>
                <w:sz w:val="16"/>
                <w:szCs w:val="16"/>
                <w:lang w:val="zh-TW" w:eastAsia="zh-TW" w:bidi="zh-TW"/>
              </w:rPr>
            </w:pPr>
            <w:r>
              <w:rPr>
                <w:rFonts w:cs="宋体"/>
                <w:color w:val="252525"/>
                <w:sz w:val="16"/>
                <w:szCs w:val="16"/>
                <w:lang w:val="zh-TW" w:eastAsia="zh-TW" w:bidi="zh-TW"/>
              </w:rPr>
              <w:t>按照抽取样本数量满足标准规定的数量占总数量的比值进行评价，评分釆用五分制</w:t>
            </w:r>
          </w:p>
        </w:tc>
        <w:tc>
          <w:tcPr>
            <w:tcW w:w="1477" w:type="dxa"/>
            <w:tcBorders>
              <w:top w:val="single" w:color="auto" w:sz="4" w:space="0"/>
              <w:left w:val="single" w:color="auto" w:sz="4" w:space="0"/>
              <w:bottom w:val="single" w:color="auto" w:sz="4" w:space="0"/>
              <w:right w:val="single" w:color="auto" w:sz="4" w:space="0"/>
            </w:tcBorders>
            <w:shd w:val="clear" w:color="auto" w:fill="FFFFFF"/>
          </w:tcPr>
          <w:p>
            <w:pPr>
              <w:spacing w:before="1160"/>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1"/>
        <w:gridCol w:w="1444"/>
        <w:gridCol w:w="1080"/>
        <w:gridCol w:w="2344"/>
        <w:gridCol w:w="1440"/>
        <w:gridCol w:w="4507"/>
        <w:gridCol w:w="1843"/>
      </w:tblGrid>
      <w:tr>
        <w:tblPrEx>
          <w:tblCellMar>
            <w:top w:w="0" w:type="dxa"/>
            <w:left w:w="10" w:type="dxa"/>
            <w:bottom w:w="0" w:type="dxa"/>
            <w:right w:w="10" w:type="dxa"/>
          </w:tblCellMar>
        </w:tblPrEx>
        <w:trPr>
          <w:trHeight w:val="378" w:hRule="exact"/>
        </w:trPr>
        <w:tc>
          <w:tcPr>
            <w:tcW w:w="73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数据来源</w:t>
            </w:r>
          </w:p>
        </w:tc>
        <w:tc>
          <w:tcPr>
            <w:tcW w:w="450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2648" w:hRule="exact"/>
        </w:trPr>
        <w:tc>
          <w:tcPr>
            <w:tcW w:w="731"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000000"/>
                <w:sz w:val="18"/>
                <w:szCs w:val="18"/>
                <w:lang w:eastAsia="en-US" w:bidi="en-US"/>
              </w:rPr>
              <w:t>A21</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道路通达度</w:t>
            </w:r>
            <w:r>
              <w:rPr>
                <w:rFonts w:cs="宋体"/>
                <w:color w:val="000000"/>
                <w:sz w:val="16"/>
                <w:szCs w:val="16"/>
                <w:lang w:eastAsia="en-US" w:bidi="en-US"/>
              </w:rPr>
              <w:t>*</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w:t>
            </w:r>
          </w:p>
        </w:tc>
        <w:tc>
          <w:tcPr>
            <w:tcW w:w="2344" w:type="dxa"/>
            <w:tcBorders>
              <w:top w:val="single" w:color="auto" w:sz="4" w:space="0"/>
              <w:left w:val="single" w:color="auto" w:sz="4" w:space="0"/>
            </w:tcBorders>
            <w:shd w:val="clear" w:color="auto" w:fill="FFFFFF"/>
            <w:vAlign w:val="center"/>
          </w:tcPr>
          <w:p>
            <w:pPr>
              <w:spacing w:line="286" w:lineRule="exact"/>
              <w:rPr>
                <w:rFonts w:hint="eastAsia" w:eastAsia="宋体" w:cs="宋体"/>
                <w:color w:val="252525"/>
                <w:sz w:val="18"/>
                <w:szCs w:val="18"/>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规定的道路通达度。平原区应达到</w:t>
            </w:r>
            <w:r>
              <w:rPr>
                <w:color w:val="252525"/>
                <w:sz w:val="18"/>
                <w:szCs w:val="18"/>
                <w:lang w:val="zh-TW" w:eastAsia="zh-TW" w:bidi="zh-TW"/>
              </w:rPr>
              <w:t>100%,</w:t>
            </w:r>
            <w:r>
              <w:rPr>
                <w:rFonts w:cs="宋体"/>
                <w:color w:val="252525"/>
                <w:sz w:val="16"/>
                <w:szCs w:val="16"/>
                <w:lang w:val="zh-TW" w:eastAsia="zh-TW" w:bidi="zh-TW"/>
              </w:rPr>
              <w:t>丘陵区应不低于</w:t>
            </w:r>
            <w:r>
              <w:rPr>
                <w:color w:val="252525"/>
                <w:sz w:val="18"/>
                <w:szCs w:val="18"/>
                <w:lang w:val="zh-TW" w:eastAsia="zh-TW" w:bidi="zh-TW"/>
              </w:rPr>
              <w:t>90%</w:t>
            </w:r>
            <w:r>
              <w:rPr>
                <w:rFonts w:hint="eastAsia"/>
                <w:color w:val="252525"/>
                <w:sz w:val="18"/>
                <w:szCs w:val="18"/>
                <w:lang w:val="zh-TW" w:eastAsia="zh-CN" w:bidi="zh-TW"/>
              </w:rPr>
              <w:t>。</w:t>
            </w:r>
          </w:p>
        </w:tc>
        <w:tc>
          <w:tcPr>
            <w:tcW w:w="1440" w:type="dxa"/>
            <w:tcBorders>
              <w:top w:val="single" w:color="auto" w:sz="4" w:space="0"/>
              <w:left w:val="single" w:color="auto" w:sz="4" w:space="0"/>
            </w:tcBorders>
            <w:shd w:val="clear" w:color="auto" w:fill="FFFFFF"/>
            <w:vAlign w:val="center"/>
          </w:tcPr>
          <w:p>
            <w:pPr>
              <w:spacing w:line="282" w:lineRule="exact"/>
              <w:rPr>
                <w:rFonts w:cs="宋体"/>
                <w:color w:val="252525"/>
                <w:sz w:val="16"/>
                <w:szCs w:val="16"/>
                <w:lang w:val="zh-TW" w:eastAsia="zh-TW" w:bidi="zh-TW"/>
              </w:rPr>
            </w:pPr>
            <w:r>
              <w:rPr>
                <w:rFonts w:cs="宋体"/>
                <w:color w:val="252525"/>
                <w:sz w:val="16"/>
                <w:szCs w:val="16"/>
                <w:lang w:val="zh-TW" w:eastAsia="zh-TW" w:bidi="zh-TW"/>
              </w:rPr>
              <w:t>项目设计文件，工程复核报告，竣工验收文件，竣工图</w:t>
            </w:r>
          </w:p>
        </w:tc>
        <w:tc>
          <w:tcPr>
            <w:tcW w:w="4507"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先通过查阅设计文件和专家评议，审查项目设计文件所釆用的道路通达度与田间道路布置的合理性；再选择典型地块（耕作田块），通过查阅道路工程施工质量评价成果，现场检查道路的通达情况，每个项目抽查的地块数量不少于总地块数量的</w:t>
            </w:r>
            <w:r>
              <w:rPr>
                <w:color w:val="252525"/>
                <w:sz w:val="18"/>
                <w:szCs w:val="18"/>
                <w:lang w:val="zh-TW" w:eastAsia="zh-TW" w:bidi="zh-TW"/>
              </w:rPr>
              <w:t>10%</w:t>
            </w:r>
            <w:r>
              <w:rPr>
                <w:rFonts w:cs="宋体"/>
                <w:color w:val="252525"/>
                <w:sz w:val="16"/>
                <w:szCs w:val="16"/>
                <w:lang w:val="zh-TW" w:eastAsia="zh-TW" w:bidi="zh-TW"/>
              </w:rPr>
              <w:t>。对于年度和规划期的评价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 评价。</w:t>
            </w:r>
          </w:p>
          <w:p>
            <w:pPr>
              <w:spacing w:line="299" w:lineRule="exact"/>
              <w:rPr>
                <w:rFonts w:cs="宋体"/>
                <w:color w:val="252525"/>
                <w:sz w:val="16"/>
                <w:szCs w:val="16"/>
                <w:lang w:val="zh-TW" w:eastAsia="zh-TW" w:bidi="zh-TW"/>
              </w:rPr>
            </w:pPr>
            <w:r>
              <w:rPr>
                <w:rFonts w:cs="宋体"/>
                <w:color w:val="252525"/>
                <w:sz w:val="16"/>
                <w:szCs w:val="16"/>
                <w:lang w:val="zh-TW" w:eastAsia="zh-TW" w:bidi="zh-TW"/>
              </w:rPr>
              <w:t>评分采用二分制。当道路通达度均满足标准规定时得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rFonts w:hint="eastAsia" w:cs="宋体"/>
                <w:color w:val="252525"/>
                <w:sz w:val="16"/>
                <w:szCs w:val="16"/>
                <w:lang w:bidi="zh-TW"/>
              </w:rPr>
              <w:t>0</w:t>
            </w:r>
            <w:r>
              <w:rPr>
                <w:rFonts w:cs="宋体"/>
                <w:color w:val="252525"/>
                <w:sz w:val="16"/>
                <w:szCs w:val="16"/>
                <w:lang w:val="zh-CN" w:bidi="zh-CN"/>
              </w:rPr>
              <w:t>分</w:t>
            </w:r>
          </w:p>
        </w:tc>
        <w:tc>
          <w:tcPr>
            <w:tcW w:w="1843" w:type="dxa"/>
            <w:tcBorders>
              <w:top w:val="single" w:color="auto" w:sz="4" w:space="0"/>
              <w:left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r>
        <w:tblPrEx>
          <w:tblCellMar>
            <w:top w:w="0" w:type="dxa"/>
            <w:left w:w="10" w:type="dxa"/>
            <w:bottom w:w="0" w:type="dxa"/>
            <w:right w:w="10" w:type="dxa"/>
          </w:tblCellMar>
        </w:tblPrEx>
        <w:trPr>
          <w:trHeight w:val="2385" w:hRule="exact"/>
        </w:trPr>
        <w:tc>
          <w:tcPr>
            <w:tcW w:w="731"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000000"/>
                <w:sz w:val="18"/>
                <w:szCs w:val="18"/>
                <w:lang w:eastAsia="en-US" w:bidi="en-US"/>
              </w:rPr>
              <w:t>A22</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道路使用年限*</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年</w:t>
            </w:r>
          </w:p>
        </w:tc>
        <w:tc>
          <w:tcPr>
            <w:tcW w:w="2344" w:type="dxa"/>
            <w:tcBorders>
              <w:top w:val="single" w:color="auto" w:sz="4" w:space="0"/>
              <w:left w:val="single" w:color="auto" w:sz="4" w:space="0"/>
            </w:tcBorders>
            <w:shd w:val="clear" w:color="auto" w:fill="FFFFFF"/>
            <w:vAlign w:val="center"/>
          </w:tcPr>
          <w:p>
            <w:pPr>
              <w:spacing w:line="275" w:lineRule="exact"/>
              <w:rPr>
                <w:rFonts w:hint="eastAsia" w:eastAsia="宋体" w:cs="宋体"/>
                <w:color w:val="252525"/>
                <w:sz w:val="16"/>
                <w:szCs w:val="16"/>
                <w:lang w:val="zh-TW" w:eastAsia="zh-CN" w:bidi="zh-TW"/>
              </w:rPr>
            </w:pPr>
            <w:r>
              <w:rPr>
                <w:rFonts w:cs="宋体"/>
                <w:color w:val="000000"/>
                <w:sz w:val="16"/>
                <w:szCs w:val="16"/>
                <w:lang w:val="zh-TW" w:eastAsia="zh-TW" w:bidi="zh-TW"/>
              </w:rPr>
              <w:t>项目建设后，道路工程质量满足</w:t>
            </w:r>
            <w:r>
              <w:rPr>
                <w:color w:val="000000"/>
                <w:sz w:val="18"/>
                <w:szCs w:val="18"/>
                <w:lang w:eastAsia="en-US" w:bidi="en-US"/>
              </w:rPr>
              <w:t xml:space="preserve">GB/T </w:t>
            </w:r>
            <w:r>
              <w:rPr>
                <w:color w:val="000000"/>
                <w:sz w:val="18"/>
                <w:szCs w:val="18"/>
                <w:lang w:val="zh-TW" w:eastAsia="zh-TW" w:bidi="zh-TW"/>
              </w:rPr>
              <w:t>30600</w:t>
            </w:r>
            <w:r>
              <w:rPr>
                <w:rFonts w:cs="宋体"/>
                <w:color w:val="000000"/>
                <w:sz w:val="16"/>
                <w:szCs w:val="16"/>
                <w:lang w:val="zh-TW" w:eastAsia="zh-TW" w:bidi="zh-TW"/>
              </w:rPr>
              <w:t>规定的质量寿命，为</w:t>
            </w:r>
            <w:r>
              <w:rPr>
                <w:color w:val="000000"/>
                <w:sz w:val="18"/>
                <w:szCs w:val="18"/>
                <w:lang w:val="zh-TW" w:eastAsia="zh-TW" w:bidi="zh-TW"/>
              </w:rPr>
              <w:t>15</w:t>
            </w:r>
            <w:r>
              <w:rPr>
                <w:rFonts w:cs="宋体"/>
                <w:color w:val="000000"/>
                <w:sz w:val="16"/>
                <w:szCs w:val="16"/>
                <w:lang w:val="zh-TW" w:eastAsia="zh-TW" w:bidi="zh-TW"/>
              </w:rPr>
              <w:t>年</w:t>
            </w:r>
            <w:r>
              <w:rPr>
                <w:rFonts w:hint="eastAsia" w:cs="宋体"/>
                <w:color w:val="000000"/>
                <w:sz w:val="16"/>
                <w:szCs w:val="16"/>
                <w:lang w:val="zh-TW" w:eastAsia="zh-CN" w:bidi="zh-TW"/>
              </w:rPr>
              <w:t>。</w:t>
            </w:r>
          </w:p>
        </w:tc>
        <w:tc>
          <w:tcPr>
            <w:tcW w:w="1440"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告，竣工验收技术总结文件</w:t>
            </w:r>
          </w:p>
        </w:tc>
        <w:tc>
          <w:tcPr>
            <w:tcW w:w="4507" w:type="dxa"/>
            <w:tcBorders>
              <w:top w:val="single" w:color="auto" w:sz="4" w:space="0"/>
              <w:left w:val="single" w:color="auto" w:sz="4" w:space="0"/>
            </w:tcBorders>
            <w:shd w:val="clear" w:color="auto" w:fill="FFFFFF"/>
            <w:vAlign w:val="bottom"/>
          </w:tcPr>
          <w:p>
            <w:pPr>
              <w:spacing w:line="284"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采用资料查阅法、专家评议法、现场调查法、抽样调查法进行评价。对于项目评价，应通过专家评议，审查项目设计文件中各级各类道路工程设计使用寿命</w:t>
            </w:r>
            <w:r>
              <w:rPr>
                <w:rFonts w:hint="eastAsia" w:cs="宋体"/>
                <w:color w:val="252525"/>
                <w:sz w:val="16"/>
                <w:szCs w:val="16"/>
                <w:lang w:val="zh-TW" w:bidi="zh-TW"/>
              </w:rPr>
              <w:t>；</w:t>
            </w:r>
            <w:r>
              <w:rPr>
                <w:rFonts w:cs="宋体"/>
                <w:color w:val="252525"/>
                <w:sz w:val="16"/>
                <w:szCs w:val="16"/>
                <w:lang w:val="zh-TW" w:eastAsia="zh-TW" w:bidi="zh-TW"/>
              </w:rPr>
              <w:t>查阅道路工程施工质量评价资料，并通过现场查看道路工程外观质量及运行状况，综合判断道路工程使用情况；每个项目抽查道路数量不少于本类型的</w:t>
            </w:r>
            <w:r>
              <w:rPr>
                <w:color w:val="252525"/>
                <w:sz w:val="18"/>
                <w:szCs w:val="18"/>
                <w:lang w:val="zh-TW" w:eastAsia="zh-TW" w:bidi="zh-TW"/>
              </w:rPr>
              <w:t>10%</w:t>
            </w:r>
            <w:r>
              <w:rPr>
                <w:rFonts w:cs="宋体"/>
                <w:color w:val="252525"/>
                <w:sz w:val="16"/>
                <w:szCs w:val="16"/>
                <w:lang w:val="zh-TW" w:eastAsia="zh-TW" w:bidi="zh-TW"/>
              </w:rPr>
              <w:t>。对于年度和规划期的评价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评分釆用二分制。当抽查的道路工程均能够正常使用且无安全隐患时得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rFonts w:hint="eastAsia" w:cs="宋体"/>
                <w:color w:val="252525"/>
                <w:sz w:val="16"/>
                <w:szCs w:val="16"/>
                <w:lang w:bidi="zh-TW"/>
              </w:rPr>
              <w:t>0</w:t>
            </w:r>
            <w:r>
              <w:rPr>
                <w:rFonts w:cs="宋体"/>
                <w:color w:val="252525"/>
                <w:sz w:val="16"/>
                <w:szCs w:val="16"/>
                <w:lang w:val="zh-CN" w:bidi="zh-CN"/>
              </w:rPr>
              <w:t>分</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2288" w:hRule="exact"/>
        </w:trPr>
        <w:tc>
          <w:tcPr>
            <w:tcW w:w="731"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000000"/>
                <w:sz w:val="18"/>
                <w:szCs w:val="18"/>
                <w:lang w:eastAsia="en-US" w:bidi="en-US"/>
              </w:rPr>
              <w:t>A23</w:t>
            </w:r>
          </w:p>
        </w:tc>
        <w:tc>
          <w:tcPr>
            <w:tcW w:w="1444" w:type="dxa"/>
            <w:tcBorders>
              <w:top w:val="single" w:color="auto" w:sz="4" w:space="0"/>
              <w:left w:val="single" w:color="auto" w:sz="4" w:space="0"/>
              <w:bottom w:val="single" w:color="auto" w:sz="4" w:space="0"/>
            </w:tcBorders>
            <w:shd w:val="clear" w:color="auto" w:fill="FFFFFF"/>
            <w:vAlign w:val="center"/>
          </w:tcPr>
          <w:p>
            <w:pPr>
              <w:spacing w:line="277" w:lineRule="exact"/>
              <w:jc w:val="left"/>
              <w:rPr>
                <w:rFonts w:cs="宋体"/>
                <w:color w:val="252525"/>
                <w:sz w:val="16"/>
                <w:szCs w:val="16"/>
                <w:lang w:val="zh-TW" w:eastAsia="zh-TW" w:bidi="zh-TW"/>
              </w:rPr>
            </w:pPr>
            <w:r>
              <w:rPr>
                <w:rFonts w:cs="宋体"/>
                <w:color w:val="252525"/>
                <w:sz w:val="16"/>
                <w:szCs w:val="16"/>
                <w:lang w:val="zh-TW" w:eastAsia="zh-TW" w:bidi="zh-TW"/>
              </w:rPr>
              <w:t>路面修筑标准与平整度</w:t>
            </w:r>
          </w:p>
        </w:tc>
        <w:tc>
          <w:tcPr>
            <w:tcW w:w="1080" w:type="dxa"/>
            <w:tcBorders>
              <w:top w:val="single" w:color="auto" w:sz="4" w:space="0"/>
              <w:left w:val="single" w:color="auto" w:sz="4" w:space="0"/>
              <w:bottom w:val="single" w:color="auto" w:sz="4" w:space="0"/>
            </w:tcBorders>
            <w:shd w:val="clear" w:color="auto" w:fill="FFFFFF"/>
          </w:tcPr>
          <w:p>
            <w:pPr>
              <w:rPr>
                <w:sz w:val="10"/>
                <w:szCs w:val="10"/>
              </w:rPr>
            </w:pPr>
          </w:p>
        </w:tc>
        <w:tc>
          <w:tcPr>
            <w:tcW w:w="2344" w:type="dxa"/>
            <w:tcBorders>
              <w:top w:val="single" w:color="auto" w:sz="4" w:space="0"/>
              <w:left w:val="single" w:color="auto" w:sz="4" w:space="0"/>
              <w:bottom w:val="single" w:color="auto" w:sz="4" w:space="0"/>
            </w:tcBorders>
            <w:shd w:val="clear" w:color="auto" w:fill="FFFFFF"/>
            <w:vAlign w:val="center"/>
          </w:tcPr>
          <w:p>
            <w:pPr>
              <w:spacing w:line="287"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w:t>
            </w:r>
            <w:r>
              <w:rPr>
                <w:rFonts w:hint="eastAsia" w:cs="宋体"/>
                <w:color w:val="252525"/>
                <w:sz w:val="16"/>
                <w:szCs w:val="16"/>
                <w:lang w:val="zh-TW" w:eastAsia="zh-TW" w:bidi="zh-TW"/>
              </w:rPr>
              <w:t>生产路宽度一般不超过3米，机耕路宽度宜3~6米，在大型机械化作业区，路面可适当放宽</w:t>
            </w:r>
            <w:r>
              <w:rPr>
                <w:rFonts w:hint="eastAsia" w:cs="宋体"/>
                <w:color w:val="252525"/>
                <w:sz w:val="18"/>
                <w:szCs w:val="18"/>
                <w:lang w:eastAsia="zh-CN" w:bidi="en-US"/>
              </w:rPr>
              <w:t>。</w:t>
            </w:r>
            <w:r>
              <w:rPr>
                <w:rFonts w:hint="eastAsia" w:cs="宋体"/>
                <w:color w:val="252525"/>
                <w:sz w:val="18"/>
                <w:szCs w:val="18"/>
                <w:lang w:eastAsia="en-US" w:bidi="en-US"/>
              </w:rPr>
              <w:t>倡导建设轮迹路等生态型田间道路，减少硬化路面对生态的不利影响。</w:t>
            </w:r>
            <w:r>
              <w:rPr>
                <w:rFonts w:cs="宋体"/>
                <w:color w:val="252525"/>
                <w:sz w:val="16"/>
                <w:szCs w:val="16"/>
                <w:lang w:val="zh-TW" w:eastAsia="zh-TW" w:bidi="zh-TW"/>
              </w:rPr>
              <w:t>各种路面要满足设计标准、车辆载荷和质量寿命等要求</w:t>
            </w:r>
            <w:r>
              <w:rPr>
                <w:rFonts w:hint="eastAsia" w:cs="宋体"/>
                <w:color w:val="252525"/>
                <w:sz w:val="16"/>
                <w:szCs w:val="16"/>
                <w:lang w:val="zh-TW" w:eastAsia="zh-CN" w:bidi="zh-TW"/>
              </w:rPr>
              <w:t>。</w:t>
            </w:r>
          </w:p>
        </w:tc>
        <w:tc>
          <w:tcPr>
            <w:tcW w:w="1440"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07" w:type="dxa"/>
            <w:tcBorders>
              <w:top w:val="single" w:color="auto" w:sz="4" w:space="0"/>
              <w:left w:val="single" w:color="auto" w:sz="4" w:space="0"/>
              <w:bottom w:val="single" w:color="auto" w:sz="4" w:space="0"/>
            </w:tcBorders>
            <w:shd w:val="clear" w:color="auto" w:fill="FFFFFF"/>
          </w:tcPr>
          <w:p>
            <w:pPr>
              <w:spacing w:line="283"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目评价，应先通过查阅设计文件和专家评议，审查项目设计文件中各级道路路面设计标准的合理性;再通过査阅工程施工质量评价成果，现场检查道路路面的修筑标准和平整度，每个项目抽查的道路数量不少于本类型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3" w:lineRule="exact"/>
              <w:rPr>
                <w:rFonts w:cs="宋体"/>
                <w:color w:val="252525"/>
                <w:sz w:val="16"/>
                <w:szCs w:val="16"/>
                <w:lang w:val="zh-TW" w:eastAsia="zh-TW" w:bidi="zh-TW"/>
              </w:rPr>
            </w:pPr>
            <w:r>
              <w:rPr>
                <w:rFonts w:cs="宋体"/>
                <w:color w:val="252525"/>
                <w:sz w:val="16"/>
                <w:szCs w:val="16"/>
                <w:lang w:val="zh-TW" w:eastAsia="zh-TW" w:bidi="zh-TW"/>
              </w:rPr>
              <w:t>按照抽取样本数量满足标准规定的数量占总数量的比值进行评价，评分采用五分制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42"/>
        <w:gridCol w:w="1447"/>
        <w:gridCol w:w="1080"/>
        <w:gridCol w:w="2347"/>
        <w:gridCol w:w="1447"/>
        <w:gridCol w:w="4511"/>
        <w:gridCol w:w="1850"/>
      </w:tblGrid>
      <w:tr>
        <w:tblPrEx>
          <w:tblCellMar>
            <w:top w:w="0" w:type="dxa"/>
            <w:left w:w="10" w:type="dxa"/>
            <w:bottom w:w="0" w:type="dxa"/>
            <w:right w:w="10" w:type="dxa"/>
          </w:tblCellMar>
        </w:tblPrEx>
        <w:trPr>
          <w:trHeight w:val="389" w:hRule="exact"/>
          <w:jc w:val="center"/>
        </w:trPr>
        <w:tc>
          <w:tcPr>
            <w:tcW w:w="742"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50"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适用对象</w:t>
            </w:r>
          </w:p>
        </w:tc>
      </w:tr>
      <w:tr>
        <w:tblPrEx>
          <w:tblCellMar>
            <w:top w:w="0" w:type="dxa"/>
            <w:left w:w="10" w:type="dxa"/>
            <w:bottom w:w="0" w:type="dxa"/>
            <w:right w:w="10" w:type="dxa"/>
          </w:tblCellMar>
        </w:tblPrEx>
        <w:trPr>
          <w:trHeight w:val="2261" w:hRule="exact"/>
          <w:jc w:val="center"/>
        </w:trPr>
        <w:tc>
          <w:tcPr>
            <w:tcW w:w="742" w:type="dxa"/>
            <w:tcBorders>
              <w:top w:val="single" w:color="auto" w:sz="4" w:space="0"/>
              <w:left w:val="single" w:color="auto" w:sz="4" w:space="0"/>
            </w:tcBorders>
            <w:shd w:val="clear" w:color="auto" w:fill="FFFFFF"/>
            <w:vAlign w:val="center"/>
          </w:tcPr>
          <w:p>
            <w:pPr>
              <w:ind w:firstLine="180"/>
              <w:rPr>
                <w:rFonts w:cs="宋体"/>
                <w:color w:val="252525"/>
                <w:sz w:val="18"/>
                <w:szCs w:val="18"/>
                <w:lang w:val="zh-TW" w:eastAsia="zh-TW" w:bidi="zh-TW"/>
              </w:rPr>
            </w:pPr>
            <w:r>
              <w:rPr>
                <w:color w:val="474747"/>
                <w:sz w:val="18"/>
                <w:szCs w:val="18"/>
                <w:lang w:eastAsia="en-US" w:bidi="en-US"/>
              </w:rPr>
              <w:t>A24</w:t>
            </w:r>
          </w:p>
        </w:tc>
        <w:tc>
          <w:tcPr>
            <w:tcW w:w="1447"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农田防护标准*</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w:t>
            </w:r>
          </w:p>
        </w:tc>
        <w:tc>
          <w:tcPr>
            <w:tcW w:w="2347" w:type="dxa"/>
            <w:tcBorders>
              <w:top w:val="single" w:color="auto" w:sz="4" w:space="0"/>
              <w:left w:val="single" w:color="auto" w:sz="4" w:space="0"/>
            </w:tcBorders>
            <w:shd w:val="clear" w:color="auto" w:fill="FFFFFF"/>
            <w:vAlign w:val="center"/>
          </w:tcPr>
          <w:p>
            <w:pPr>
              <w:spacing w:line="287" w:lineRule="exact"/>
              <w:rPr>
                <w:rFonts w:cs="宋体"/>
                <w:color w:val="252525"/>
                <w:sz w:val="18"/>
                <w:szCs w:val="18"/>
                <w:lang w:val="zh-TW" w:eastAsia="zh-TW"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规定的农田防护标准。</w:t>
            </w:r>
            <w:r>
              <w:rPr>
                <w:rFonts w:hint="eastAsia" w:cs="宋体"/>
                <w:color w:val="252525"/>
                <w:sz w:val="16"/>
                <w:szCs w:val="16"/>
                <w:lang w:val="zh-TW" w:eastAsia="zh-TW" w:bidi="zh-TW"/>
              </w:rPr>
              <w:t>区域内受防护农田面积比例一般不低于90%，防洪标准达到10~20年一遇。</w:t>
            </w:r>
          </w:p>
        </w:tc>
        <w:tc>
          <w:tcPr>
            <w:tcW w:w="1447"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11" w:type="dxa"/>
            <w:tcBorders>
              <w:top w:val="single" w:color="auto" w:sz="4" w:space="0"/>
              <w:left w:val="single" w:color="auto" w:sz="4" w:space="0"/>
            </w:tcBorders>
            <w:shd w:val="clear" w:color="auto" w:fill="FFFFFF"/>
          </w:tcPr>
          <w:p>
            <w:pPr>
              <w:spacing w:line="287" w:lineRule="exact"/>
              <w:rPr>
                <w:rFonts w:cs="宋体"/>
                <w:color w:val="252525"/>
                <w:sz w:val="16"/>
                <w:szCs w:val="16"/>
                <w:lang w:val="zh-TW" w:eastAsia="zh-TW" w:bidi="zh-TW"/>
              </w:rPr>
            </w:pPr>
            <w:r>
              <w:rPr>
                <w:rFonts w:cs="宋体"/>
                <w:color w:val="252525"/>
                <w:sz w:val="16"/>
                <w:szCs w:val="16"/>
                <w:lang w:val="zh-TW" w:eastAsia="zh-TW" w:bidi="zh-TW"/>
              </w:rPr>
              <w:t>釆用资料查阅法、现场调查法、抽样调查法进行评价。对于项目评价，应先通过查阅设计文件和专家评议，审查设计文件中农田防护标准的合理性；再选择典型地块（耕作田块），通过查阅工程施工质量评价成果，现场量测和检验农田防护工程的数量和质量，每个项目抽查的地块数量不少于总地块数量的</w:t>
            </w:r>
            <w:r>
              <w:rPr>
                <w:color w:val="252525"/>
                <w:sz w:val="18"/>
                <w:szCs w:val="18"/>
                <w:lang w:val="zh-TW" w:eastAsia="zh-TW" w:bidi="zh-TW"/>
              </w:rPr>
              <w:t>10%</w:t>
            </w:r>
            <w:r>
              <w:rPr>
                <w:rFonts w:cs="宋体"/>
                <w:color w:val="252525"/>
                <w:sz w:val="16"/>
                <w:szCs w:val="16"/>
                <w:lang w:val="zh-TW" w:eastAsia="zh-TW" w:bidi="zh-TW"/>
              </w:rPr>
              <w:t>。对于年度或规划期的评价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7" w:lineRule="exact"/>
              <w:rPr>
                <w:rFonts w:cs="宋体"/>
                <w:color w:val="252525"/>
                <w:sz w:val="16"/>
                <w:szCs w:val="16"/>
                <w:lang w:val="zh-TW" w:eastAsia="zh-TW" w:bidi="zh-TW"/>
              </w:rPr>
            </w:pPr>
            <w:r>
              <w:rPr>
                <w:rFonts w:cs="宋体"/>
                <w:color w:val="252525"/>
                <w:sz w:val="16"/>
                <w:szCs w:val="16"/>
                <w:lang w:val="zh-TW" w:eastAsia="zh-TW" w:bidi="zh-TW"/>
              </w:rPr>
              <w:t>评分釆用二分制。当抽查的农田防护面积比例均达到标准规定时得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50" w:type="dxa"/>
            <w:tcBorders>
              <w:top w:val="single" w:color="auto" w:sz="4" w:space="0"/>
              <w:left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474747"/>
                <w:sz w:val="16"/>
                <w:szCs w:val="16"/>
                <w:lang w:val="zh-TW" w:eastAsia="zh-TW" w:bidi="zh-TW"/>
              </w:rPr>
              <w:t>地块/项目/年度/规划期</w:t>
            </w:r>
          </w:p>
        </w:tc>
      </w:tr>
      <w:tr>
        <w:tblPrEx>
          <w:tblCellMar>
            <w:top w:w="0" w:type="dxa"/>
            <w:left w:w="10" w:type="dxa"/>
            <w:bottom w:w="0" w:type="dxa"/>
            <w:right w:w="10" w:type="dxa"/>
          </w:tblCellMar>
        </w:tblPrEx>
        <w:trPr>
          <w:trHeight w:val="2780" w:hRule="exact"/>
          <w:jc w:val="center"/>
        </w:trPr>
        <w:tc>
          <w:tcPr>
            <w:tcW w:w="742" w:type="dxa"/>
            <w:tcBorders>
              <w:top w:val="single" w:color="auto" w:sz="4" w:space="0"/>
              <w:left w:val="single" w:color="auto" w:sz="4" w:space="0"/>
            </w:tcBorders>
            <w:shd w:val="clear" w:color="auto" w:fill="FFFFFF"/>
            <w:vAlign w:val="center"/>
          </w:tcPr>
          <w:p>
            <w:pPr>
              <w:ind w:firstLine="180"/>
              <w:rPr>
                <w:rFonts w:cs="宋体"/>
                <w:color w:val="252525"/>
                <w:sz w:val="18"/>
                <w:szCs w:val="18"/>
                <w:lang w:val="zh-TW" w:eastAsia="zh-TW" w:bidi="zh-TW"/>
              </w:rPr>
            </w:pPr>
            <w:r>
              <w:rPr>
                <w:color w:val="252525"/>
                <w:sz w:val="18"/>
                <w:szCs w:val="18"/>
                <w:lang w:eastAsia="en-US" w:bidi="en-US"/>
              </w:rPr>
              <w:t>A25</w:t>
            </w:r>
          </w:p>
        </w:tc>
        <w:tc>
          <w:tcPr>
            <w:tcW w:w="1447" w:type="dxa"/>
            <w:tcBorders>
              <w:top w:val="single" w:color="auto" w:sz="4" w:space="0"/>
              <w:left w:val="single" w:color="auto" w:sz="4" w:space="0"/>
            </w:tcBorders>
            <w:shd w:val="clear" w:color="auto" w:fill="FFFFFF"/>
            <w:vAlign w:val="center"/>
          </w:tcPr>
          <w:p>
            <w:pPr>
              <w:spacing w:line="295" w:lineRule="exact"/>
              <w:jc w:val="left"/>
              <w:rPr>
                <w:rFonts w:cs="宋体"/>
                <w:color w:val="252525"/>
                <w:sz w:val="16"/>
                <w:szCs w:val="16"/>
                <w:lang w:val="zh-TW" w:eastAsia="zh-TW" w:bidi="zh-TW"/>
              </w:rPr>
            </w:pPr>
            <w:r>
              <w:rPr>
                <w:rFonts w:cs="宋体"/>
                <w:color w:val="252525"/>
                <w:sz w:val="16"/>
                <w:szCs w:val="16"/>
                <w:lang w:val="zh-TW" w:eastAsia="zh-TW" w:bidi="zh-TW"/>
              </w:rPr>
              <w:t>农田林网密度与保存率</w:t>
            </w:r>
          </w:p>
        </w:tc>
        <w:tc>
          <w:tcPr>
            <w:tcW w:w="1080"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规定的各类农田防护林种植的密度和保存率。林网密度应满足</w:t>
            </w:r>
            <w:r>
              <w:rPr>
                <w:color w:val="252525"/>
                <w:sz w:val="18"/>
                <w:szCs w:val="18"/>
                <w:lang w:eastAsia="en-US" w:bidi="en-US"/>
              </w:rPr>
              <w:t xml:space="preserve">GB/T </w:t>
            </w:r>
            <w:r>
              <w:rPr>
                <w:color w:val="252525"/>
                <w:sz w:val="18"/>
                <w:szCs w:val="18"/>
                <w:lang w:val="zh-TW" w:eastAsia="zh-TW" w:bidi="zh-TW"/>
              </w:rPr>
              <w:t>50817</w:t>
            </w:r>
            <w:r>
              <w:rPr>
                <w:rFonts w:cs="宋体"/>
                <w:color w:val="252525"/>
                <w:sz w:val="16"/>
                <w:szCs w:val="16"/>
                <w:lang w:val="zh-TW" w:eastAsia="zh-TW" w:bidi="zh-TW"/>
              </w:rPr>
              <w:t>的规定，当年林木成活率宜达到</w:t>
            </w:r>
            <w:r>
              <w:rPr>
                <w:color w:val="252525"/>
                <w:sz w:val="18"/>
                <w:szCs w:val="18"/>
                <w:lang w:val="zh-TW" w:eastAsia="zh-TW" w:bidi="zh-TW"/>
              </w:rPr>
              <w:t xml:space="preserve">85% </w:t>
            </w:r>
            <w:r>
              <w:rPr>
                <w:rFonts w:cs="宋体"/>
                <w:color w:val="252525"/>
                <w:sz w:val="16"/>
                <w:szCs w:val="16"/>
                <w:lang w:val="zh-TW" w:eastAsia="zh-TW" w:bidi="zh-TW"/>
              </w:rPr>
              <w:t>（含）以上，三年后林木保存率宜达到</w:t>
            </w:r>
            <w:r>
              <w:rPr>
                <w:color w:val="252525"/>
                <w:sz w:val="18"/>
                <w:szCs w:val="18"/>
                <w:lang w:val="zh-TW" w:eastAsia="zh-TW" w:bidi="zh-TW"/>
              </w:rPr>
              <w:t>80%</w:t>
            </w:r>
            <w:r>
              <w:rPr>
                <w:rFonts w:cs="宋体"/>
                <w:color w:val="252525"/>
                <w:sz w:val="16"/>
                <w:szCs w:val="16"/>
                <w:lang w:val="zh-TW" w:eastAsia="zh-TW" w:bidi="zh-TW"/>
              </w:rPr>
              <w:t>（含）以上</w:t>
            </w:r>
            <w:r>
              <w:rPr>
                <w:rFonts w:hint="eastAsia" w:cs="宋体"/>
                <w:color w:val="252525"/>
                <w:sz w:val="16"/>
                <w:szCs w:val="16"/>
                <w:lang w:val="zh-TW" w:eastAsia="zh-CN" w:bidi="zh-TW"/>
              </w:rPr>
              <w:t>。</w:t>
            </w:r>
          </w:p>
        </w:tc>
        <w:tc>
          <w:tcPr>
            <w:tcW w:w="1447"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11"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先通过查阅设计文件和专家评议，审查设计文件中各级农田林网设计的科学性和设计标准的合理性；再选择典型地块（耕作田块），通过查阅工程施工质量评价成果，现场检查农田林网密度和 树木的存活率，每个项目抽査的地块数量不少于总地块数量的</w:t>
            </w:r>
            <w:r>
              <w:rPr>
                <w:color w:val="252525"/>
                <w:sz w:val="18"/>
                <w:szCs w:val="18"/>
                <w:lang w:val="zh-TW" w:eastAsia="zh-TW" w:bidi="zh-TW"/>
              </w:rPr>
              <w:t>10%</w:t>
            </w:r>
            <w:r>
              <w:rPr>
                <w:rFonts w:cs="宋体"/>
                <w:color w:val="252525"/>
                <w:sz w:val="16"/>
                <w:szCs w:val="16"/>
                <w:lang w:val="zh-TW" w:eastAsia="zh-TW" w:bidi="zh-TW"/>
              </w:rPr>
              <w:t>。对于年度或规划期的评价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按照抽样田块满足标准规定的数量占总数量的比值进行评价，评分采用五分制</w:t>
            </w:r>
          </w:p>
        </w:tc>
        <w:tc>
          <w:tcPr>
            <w:tcW w:w="1850" w:type="dxa"/>
            <w:tcBorders>
              <w:top w:val="single" w:color="auto" w:sz="4" w:space="0"/>
              <w:left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地块/项目/年度/规 划期</w:t>
            </w:r>
          </w:p>
        </w:tc>
      </w:tr>
      <w:tr>
        <w:tblPrEx>
          <w:tblCellMar>
            <w:top w:w="0" w:type="dxa"/>
            <w:left w:w="10" w:type="dxa"/>
            <w:bottom w:w="0" w:type="dxa"/>
            <w:right w:w="10" w:type="dxa"/>
          </w:tblCellMar>
        </w:tblPrEx>
        <w:trPr>
          <w:trHeight w:val="2628" w:hRule="exact"/>
          <w:jc w:val="center"/>
        </w:trPr>
        <w:tc>
          <w:tcPr>
            <w:tcW w:w="742" w:type="dxa"/>
            <w:tcBorders>
              <w:top w:val="single" w:color="auto" w:sz="4" w:space="0"/>
              <w:left w:val="single" w:color="auto" w:sz="4" w:space="0"/>
              <w:bottom w:val="single" w:color="auto" w:sz="4" w:space="0"/>
            </w:tcBorders>
            <w:shd w:val="clear" w:color="auto" w:fill="FFFFFF"/>
            <w:vAlign w:val="center"/>
          </w:tcPr>
          <w:p>
            <w:pPr>
              <w:ind w:firstLine="180"/>
              <w:rPr>
                <w:rFonts w:cs="宋体"/>
                <w:color w:val="252525"/>
                <w:sz w:val="18"/>
                <w:szCs w:val="18"/>
                <w:lang w:val="zh-TW" w:eastAsia="zh-TW" w:bidi="zh-TW"/>
              </w:rPr>
            </w:pPr>
            <w:r>
              <w:rPr>
                <w:color w:val="252525"/>
                <w:sz w:val="18"/>
                <w:szCs w:val="18"/>
                <w:lang w:eastAsia="en-US" w:bidi="en-US"/>
              </w:rPr>
              <w:t>A26</w:t>
            </w:r>
          </w:p>
        </w:tc>
        <w:tc>
          <w:tcPr>
            <w:tcW w:w="1447" w:type="dxa"/>
            <w:tcBorders>
              <w:top w:val="single" w:color="auto" w:sz="4" w:space="0"/>
              <w:left w:val="single" w:color="auto" w:sz="4" w:space="0"/>
              <w:bottom w:val="single" w:color="auto" w:sz="4" w:space="0"/>
            </w:tcBorders>
            <w:shd w:val="clear" w:color="auto" w:fill="FFFFFF"/>
            <w:vAlign w:val="center"/>
          </w:tcPr>
          <w:p>
            <w:pPr>
              <w:spacing w:line="292" w:lineRule="exact"/>
              <w:jc w:val="left"/>
              <w:rPr>
                <w:rFonts w:cs="宋体"/>
                <w:color w:val="252525"/>
                <w:sz w:val="16"/>
                <w:szCs w:val="16"/>
                <w:lang w:val="zh-TW" w:eastAsia="zh-TW" w:bidi="zh-TW"/>
              </w:rPr>
            </w:pPr>
            <w:r>
              <w:rPr>
                <w:rFonts w:cs="宋体"/>
                <w:color w:val="252525"/>
                <w:sz w:val="16"/>
                <w:szCs w:val="16"/>
                <w:lang w:val="zh-TW" w:eastAsia="zh-TW" w:bidi="zh-TW"/>
              </w:rPr>
              <w:t>输电线路配套程度</w:t>
            </w:r>
          </w:p>
        </w:tc>
        <w:tc>
          <w:tcPr>
            <w:tcW w:w="1080"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w:t>
            </w:r>
          </w:p>
        </w:tc>
        <w:tc>
          <w:tcPr>
            <w:tcW w:w="2347" w:type="dxa"/>
            <w:tcBorders>
              <w:top w:val="single" w:color="auto" w:sz="4" w:space="0"/>
              <w:left w:val="single" w:color="auto" w:sz="4" w:space="0"/>
              <w:bottom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规定的农田输电线路的配套率和标准。</w:t>
            </w:r>
            <w:r>
              <w:rPr>
                <w:rFonts w:hint="eastAsia" w:cs="宋体"/>
                <w:color w:val="252525"/>
                <w:sz w:val="16"/>
                <w:szCs w:val="16"/>
                <w:lang w:val="zh-TW" w:eastAsia="zh-TW" w:bidi="zh-TW"/>
              </w:rPr>
              <w:t>建成后，实现农田机井、泵站等供电设施完善，电力系统安装与运行符合相关标准，农田信息化、智能化设施满足使用需要。</w:t>
            </w:r>
          </w:p>
        </w:tc>
        <w:tc>
          <w:tcPr>
            <w:tcW w:w="1447" w:type="dxa"/>
            <w:tcBorders>
              <w:top w:val="single" w:color="auto" w:sz="4" w:space="0"/>
              <w:left w:val="single" w:color="auto" w:sz="4" w:space="0"/>
              <w:bottom w:val="single" w:color="auto" w:sz="4" w:space="0"/>
            </w:tcBorders>
            <w:shd w:val="clear" w:color="auto" w:fill="FFFFFF"/>
            <w:vAlign w:val="center"/>
          </w:tcPr>
          <w:p>
            <w:pPr>
              <w:spacing w:line="289"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11" w:type="dxa"/>
            <w:tcBorders>
              <w:top w:val="single" w:color="auto" w:sz="4" w:space="0"/>
              <w:left w:val="single" w:color="auto" w:sz="4" w:space="0"/>
              <w:bottom w:val="single" w:color="auto" w:sz="4" w:space="0"/>
            </w:tcBorders>
            <w:shd w:val="clear" w:color="auto" w:fill="FFFFFF"/>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先通过查阅设计文件和专家评议，审查设计文件中各级输电线路布置的科学性和设计标准的合理性；再通过现场查看，检查工程施工质量评定资料和各级输电线路的数量和质量，每个项目抽查的输电线路数量不少于本类型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5" w:lineRule="exact"/>
              <w:rPr>
                <w:rFonts w:cs="宋体"/>
                <w:color w:val="252525"/>
                <w:sz w:val="16"/>
                <w:szCs w:val="16"/>
                <w:lang w:val="zh-TW" w:eastAsia="zh-TW" w:bidi="zh-TW"/>
              </w:rPr>
            </w:pPr>
            <w:r>
              <w:rPr>
                <w:rFonts w:cs="宋体"/>
                <w:color w:val="252525"/>
                <w:sz w:val="16"/>
                <w:szCs w:val="16"/>
                <w:lang w:val="zh-TW" w:eastAsia="zh-TW" w:bidi="zh-TW"/>
              </w:rPr>
              <w:t>按照抽取样本数量满足标准规定的数量占总数量的比值进行评价，评分采用五分制</w:t>
            </w:r>
          </w:p>
        </w:tc>
        <w:tc>
          <w:tcPr>
            <w:tcW w:w="1850"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38"/>
        <w:gridCol w:w="1444"/>
        <w:gridCol w:w="1084"/>
        <w:gridCol w:w="2347"/>
        <w:gridCol w:w="1444"/>
        <w:gridCol w:w="4518"/>
        <w:gridCol w:w="1843"/>
      </w:tblGrid>
      <w:tr>
        <w:tblPrEx>
          <w:tblCellMar>
            <w:top w:w="0" w:type="dxa"/>
            <w:left w:w="10" w:type="dxa"/>
            <w:bottom w:w="0" w:type="dxa"/>
            <w:right w:w="10" w:type="dxa"/>
          </w:tblCellMar>
        </w:tblPrEx>
        <w:trPr>
          <w:trHeight w:val="374"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4394" w:hRule="exact"/>
          <w:jc w:val="center"/>
        </w:trPr>
        <w:tc>
          <w:tcPr>
            <w:tcW w:w="738" w:type="dxa"/>
            <w:tcBorders>
              <w:top w:val="single" w:color="auto" w:sz="4" w:space="0"/>
              <w:left w:val="single" w:color="auto" w:sz="4" w:space="0"/>
            </w:tcBorders>
            <w:shd w:val="clear" w:color="auto" w:fill="FFFFFF"/>
            <w:vAlign w:val="center"/>
          </w:tcPr>
          <w:p>
            <w:pPr>
              <w:ind w:firstLine="200"/>
              <w:jc w:val="left"/>
              <w:rPr>
                <w:rFonts w:cs="宋体"/>
                <w:color w:val="252525"/>
                <w:sz w:val="18"/>
                <w:szCs w:val="18"/>
                <w:lang w:val="zh-TW" w:eastAsia="zh-TW" w:bidi="zh-TW"/>
              </w:rPr>
            </w:pPr>
            <w:r>
              <w:rPr>
                <w:color w:val="252525"/>
                <w:sz w:val="18"/>
                <w:szCs w:val="18"/>
                <w:lang w:eastAsia="en-US" w:bidi="en-US"/>
              </w:rPr>
              <w:t>A27</w:t>
            </w:r>
          </w:p>
        </w:tc>
        <w:tc>
          <w:tcPr>
            <w:tcW w:w="1444" w:type="dxa"/>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变配电装置配套率</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9" w:lineRule="exact"/>
              <w:rPr>
                <w:rFonts w:hint="eastAsia" w:eastAsia="宋体" w:cs="宋体"/>
                <w:color w:val="252525"/>
                <w:sz w:val="18"/>
                <w:szCs w:val="18"/>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规定的变配电装置（设施）的配套率和质量标准。在主要配电装置处，设置围栏和警示标志，变压器外壳距地面建筑 物的净距离应大于</w:t>
            </w:r>
            <w:r>
              <w:rPr>
                <w:color w:val="252525"/>
                <w:sz w:val="18"/>
                <w:szCs w:val="18"/>
                <w:lang w:eastAsia="en-US" w:bidi="en-US"/>
              </w:rPr>
              <w:t>0.8m</w:t>
            </w:r>
            <w:r>
              <w:rPr>
                <w:rFonts w:cs="宋体"/>
                <w:color w:val="252525"/>
                <w:sz w:val="18"/>
                <w:szCs w:val="18"/>
                <w:lang w:eastAsia="en-US" w:bidi="en-US"/>
              </w:rPr>
              <w:t>；</w:t>
            </w:r>
            <w:r>
              <w:rPr>
                <w:rFonts w:cs="宋体"/>
                <w:color w:val="252525"/>
                <w:sz w:val="16"/>
                <w:szCs w:val="16"/>
                <w:lang w:val="zh-TW" w:eastAsia="zh-TW" w:bidi="zh-TW"/>
              </w:rPr>
              <w:t>变压器装设在杆上时，无遮拦导电部分距地面应大于</w:t>
            </w:r>
            <w:r>
              <w:rPr>
                <w:rFonts w:hint="eastAsia" w:cs="宋体"/>
                <w:color w:val="252525"/>
                <w:sz w:val="16"/>
                <w:szCs w:val="16"/>
                <w:lang w:bidi="zh-TW"/>
              </w:rPr>
              <w:t>3.5</w:t>
            </w:r>
            <w:r>
              <w:rPr>
                <w:color w:val="252525"/>
                <w:sz w:val="18"/>
                <w:szCs w:val="18"/>
                <w:lang w:eastAsia="en-US" w:bidi="en-US"/>
              </w:rPr>
              <w:t>m</w:t>
            </w:r>
            <w:r>
              <w:rPr>
                <w:rFonts w:cs="宋体"/>
                <w:color w:val="252525"/>
                <w:sz w:val="18"/>
                <w:szCs w:val="18"/>
                <w:lang w:eastAsia="en-US" w:bidi="en-US"/>
              </w:rPr>
              <w:t>；</w:t>
            </w:r>
            <w:r>
              <w:rPr>
                <w:rFonts w:cs="宋体"/>
                <w:color w:val="252525"/>
                <w:sz w:val="16"/>
                <w:szCs w:val="16"/>
                <w:lang w:val="zh-TW" w:eastAsia="zh-TW" w:bidi="zh-TW"/>
              </w:rPr>
              <w:t>变压器的绝缘子最低瓷裙距地面高度小于</w:t>
            </w:r>
            <w:r>
              <w:rPr>
                <w:rFonts w:hint="eastAsia" w:cs="宋体"/>
                <w:color w:val="252525"/>
                <w:sz w:val="16"/>
                <w:szCs w:val="16"/>
                <w:lang w:bidi="zh-TW"/>
              </w:rPr>
              <w:t>2.5</w:t>
            </w:r>
            <w:r>
              <w:rPr>
                <w:color w:val="252525"/>
                <w:sz w:val="18"/>
                <w:szCs w:val="18"/>
                <w:lang w:eastAsia="en-US" w:bidi="en-US"/>
              </w:rPr>
              <w:t>m</w:t>
            </w:r>
            <w:r>
              <w:rPr>
                <w:rFonts w:cs="宋体"/>
                <w:color w:val="252525"/>
                <w:sz w:val="16"/>
                <w:szCs w:val="16"/>
                <w:lang w:val="zh-TW" w:eastAsia="zh-TW" w:bidi="zh-TW"/>
              </w:rPr>
              <w:t>时，固定围栏高度应大于</w:t>
            </w:r>
            <w:r>
              <w:rPr>
                <w:color w:val="252525"/>
                <w:sz w:val="18"/>
                <w:szCs w:val="18"/>
                <w:lang w:eastAsia="en-US" w:bidi="en-US"/>
              </w:rPr>
              <w:t>1.5m</w:t>
            </w:r>
            <w:r>
              <w:rPr>
                <w:rFonts w:hint="eastAsia"/>
                <w:color w:val="252525"/>
                <w:sz w:val="18"/>
                <w:szCs w:val="18"/>
                <w:lang w:eastAsia="zh-CN" w:bidi="en-US"/>
              </w:rPr>
              <w:t>。对适宜电力灌排和信息化管理的农田，结合与田间道路、灌溉与排水等工程，铺设高压和低压输电线路，配套建设变配电设施，为泵站、机井以及信息化设备等提供电力保障。</w:t>
            </w:r>
          </w:p>
        </w:tc>
        <w:tc>
          <w:tcPr>
            <w:tcW w:w="144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18"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先通过查阅设计文件，查看各类配电装置的布置情况；再选择独立的泵站或机井，通过查阅工程施工质量和耕地质量评价成果，现场检查各类配电装置的数量、质量及配套情况，每个项目抽查的配电装置数量不少于本类型数量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5" w:lineRule="exact"/>
              <w:rPr>
                <w:rFonts w:cs="宋体"/>
                <w:color w:val="252525"/>
                <w:sz w:val="16"/>
                <w:szCs w:val="16"/>
                <w:lang w:val="zh-TW" w:eastAsia="zh-TW" w:bidi="zh-TW"/>
              </w:rPr>
            </w:pPr>
            <w:r>
              <w:rPr>
                <w:rFonts w:cs="宋体"/>
                <w:color w:val="252525"/>
                <w:sz w:val="16"/>
                <w:szCs w:val="16"/>
                <w:lang w:val="zh-TW" w:eastAsia="zh-TW" w:bidi="zh-TW"/>
              </w:rPr>
              <w:t>按照抽取样本数量满足标准规定的数量占总数量的比值进行评价，评分采用五分制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984"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A28</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新增粮食产能</w:t>
            </w:r>
            <w:r>
              <w:rPr>
                <w:rFonts w:cs="宋体"/>
                <w:color w:val="252525"/>
                <w:sz w:val="16"/>
                <w:szCs w:val="16"/>
                <w:lang w:eastAsia="en-US" w:bidi="en-US"/>
              </w:rPr>
              <w:t>*</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kg/hm</w:t>
            </w:r>
            <w:r>
              <w:rPr>
                <w:color w:val="252525"/>
                <w:sz w:val="18"/>
                <w:szCs w:val="18"/>
                <w:vertAlign w:val="superscript"/>
                <w:lang w:eastAsia="en-US" w:bidi="en-US"/>
              </w:rPr>
              <w:t>2</w:t>
            </w:r>
          </w:p>
        </w:tc>
        <w:tc>
          <w:tcPr>
            <w:tcW w:w="2347" w:type="dxa"/>
            <w:tcBorders>
              <w:top w:val="single" w:color="auto" w:sz="4" w:space="0"/>
              <w:left w:val="single" w:color="auto" w:sz="4" w:space="0"/>
            </w:tcBorders>
            <w:shd w:val="clear" w:color="auto" w:fill="FFFFFF"/>
            <w:vAlign w:val="center"/>
          </w:tcPr>
          <w:p>
            <w:pPr>
              <w:spacing w:line="283"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经建设前后比较，某一种作物在项目区内单位耕地上实际增加的粮食产量。粮食作物可选用小麦、水稻、玉米</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8"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釆用问卷调查法、抽样调查法、专家评议法进行评价。对于项目评价，可通过问卷调查和典型地块观测试验，分析不同代表作物的粮食产能（棉花、油料折算成粮食），根据建设前后对比，计算新增粮食产能，并经专家评议确定</w:t>
            </w:r>
            <w:r>
              <w:rPr>
                <w:rFonts w:hint="eastAsia" w:cs="宋体"/>
                <w:color w:val="252525"/>
                <w:sz w:val="16"/>
                <w:szCs w:val="16"/>
                <w:lang w:val="zh-TW" w:bidi="zh-TW"/>
              </w:rPr>
              <w:t>；</w:t>
            </w:r>
            <w:r>
              <w:rPr>
                <w:rFonts w:cs="宋体"/>
                <w:color w:val="252525"/>
                <w:sz w:val="16"/>
                <w:szCs w:val="16"/>
                <w:lang w:val="zh-TW" w:eastAsia="zh-TW" w:bidi="zh-TW"/>
              </w:rPr>
              <w:t>不同作物选取的样地数不少于</w:t>
            </w:r>
            <w:r>
              <w:rPr>
                <w:color w:val="252525"/>
                <w:sz w:val="18"/>
                <w:szCs w:val="18"/>
                <w:lang w:val="zh-TW" w:eastAsia="zh-TW" w:bidi="zh-TW"/>
              </w:rPr>
              <w:t>3</w:t>
            </w:r>
            <w:r>
              <w:rPr>
                <w:rFonts w:cs="宋体"/>
                <w:color w:val="252525"/>
                <w:sz w:val="16"/>
                <w:szCs w:val="16"/>
                <w:lang w:val="zh-TW" w:eastAsia="zh-TW" w:bidi="zh-TW"/>
              </w:rPr>
              <w:t>个。对于年 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76"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A29</w:t>
            </w:r>
          </w:p>
        </w:tc>
        <w:tc>
          <w:tcPr>
            <w:tcW w:w="1444" w:type="dxa"/>
            <w:tcBorders>
              <w:top w:val="single" w:color="auto" w:sz="4" w:space="0"/>
              <w:left w:val="single" w:color="auto" w:sz="4" w:space="0"/>
              <w:bottom w:val="single" w:color="auto" w:sz="4" w:space="0"/>
            </w:tcBorders>
            <w:shd w:val="clear" w:color="auto" w:fill="FFFFFF"/>
            <w:vAlign w:val="center"/>
          </w:tcPr>
          <w:p>
            <w:pPr>
              <w:spacing w:line="283" w:lineRule="exact"/>
              <w:jc w:val="left"/>
              <w:rPr>
                <w:rFonts w:cs="宋体"/>
                <w:color w:val="252525"/>
                <w:sz w:val="16"/>
                <w:szCs w:val="16"/>
                <w:lang w:val="zh-TW" w:eastAsia="zh-TW" w:bidi="zh-TW"/>
              </w:rPr>
            </w:pPr>
            <w:r>
              <w:rPr>
                <w:rFonts w:cs="宋体"/>
                <w:color w:val="252525"/>
                <w:sz w:val="16"/>
                <w:szCs w:val="16"/>
                <w:lang w:val="zh-TW" w:eastAsia="zh-TW" w:bidi="zh-TW"/>
              </w:rPr>
              <w:t>建成旱涝保收高标准农田面积*</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47" w:type="dxa"/>
            <w:tcBorders>
              <w:top w:val="single" w:color="auto" w:sz="4" w:space="0"/>
              <w:left w:val="single" w:color="auto" w:sz="4" w:space="0"/>
              <w:bottom w:val="single" w:color="auto" w:sz="4" w:space="0"/>
            </w:tcBorders>
            <w:shd w:val="clear" w:color="auto" w:fill="FFFFFF"/>
            <w:vAlign w:val="center"/>
          </w:tcPr>
          <w:p>
            <w:pPr>
              <w:spacing w:line="293"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color w:val="252525"/>
                <w:sz w:val="18"/>
                <w:szCs w:val="18"/>
                <w:lang w:eastAsia="en-US" w:bidi="en-US"/>
              </w:rPr>
              <w:t xml:space="preserve">GB </w:t>
            </w:r>
            <w:r>
              <w:rPr>
                <w:color w:val="252525"/>
                <w:sz w:val="18"/>
                <w:szCs w:val="18"/>
                <w:lang w:val="zh-TW" w:eastAsia="zh-TW" w:bidi="zh-TW"/>
              </w:rPr>
              <w:t>50288</w:t>
            </w:r>
            <w:r>
              <w:rPr>
                <w:rFonts w:cs="宋体"/>
                <w:color w:val="252525"/>
                <w:sz w:val="16"/>
                <w:szCs w:val="16"/>
                <w:lang w:val="zh-TW" w:eastAsia="zh-TW" w:bidi="zh-TW"/>
              </w:rPr>
              <w:t>提出的灌溉设计保证率下的耕地面积</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项目设计文件，竣工验收技术总结报告，竣工图</w:t>
            </w:r>
          </w:p>
        </w:tc>
        <w:tc>
          <w:tcPr>
            <w:tcW w:w="4518"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采用目标比较法进行评价。对于项目评价，可将满足灌溉保证率的灌溉工程所控制的地块面积进行求和，并与设计文件提出的灌漑面积进行比较，也可通过查阅竣工图与规划图进行对比，计算规划目标的完成情况；对于年度和规划期的评价，应抽样调查项目进行评价。釆用目标对比法评价，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38"/>
        <w:gridCol w:w="1444"/>
        <w:gridCol w:w="1084"/>
        <w:gridCol w:w="2347"/>
        <w:gridCol w:w="1444"/>
        <w:gridCol w:w="4518"/>
        <w:gridCol w:w="1843"/>
      </w:tblGrid>
      <w:tr>
        <w:tblPrEx>
          <w:tblCellMar>
            <w:top w:w="0" w:type="dxa"/>
            <w:left w:w="10" w:type="dxa"/>
            <w:bottom w:w="0" w:type="dxa"/>
            <w:right w:w="10" w:type="dxa"/>
          </w:tblCellMar>
        </w:tblPrEx>
        <w:trPr>
          <w:trHeight w:val="374"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2955"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A30</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新增农业产值</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0"/>
                <w:szCs w:val="10"/>
                <w:lang w:val="zh-TW" w:eastAsia="zh-TW" w:bidi="zh-TW"/>
              </w:rPr>
            </w:pPr>
            <w:r>
              <w:rPr>
                <w:rFonts w:cs="宋体"/>
                <w:color w:val="252525"/>
                <w:sz w:val="16"/>
                <w:szCs w:val="16"/>
                <w:lang w:val="zh-TW" w:eastAsia="zh-TW" w:bidi="zh-TW"/>
              </w:rPr>
              <w:t>万元</w:t>
            </w:r>
          </w:p>
        </w:tc>
        <w:tc>
          <w:tcPr>
            <w:tcW w:w="2347" w:type="dxa"/>
            <w:tcBorders>
              <w:top w:val="single" w:color="auto" w:sz="4" w:space="0"/>
              <w:left w:val="single" w:color="auto" w:sz="4" w:space="0"/>
            </w:tcBorders>
            <w:shd w:val="clear" w:color="auto" w:fill="FFFFFF"/>
            <w:vAlign w:val="center"/>
          </w:tcPr>
          <w:p>
            <w:pPr>
              <w:spacing w:line="289" w:lineRule="exact"/>
              <w:rPr>
                <w:rFonts w:hint="eastAsia" w:eastAsia="宋体" w:cs="宋体"/>
                <w:color w:val="252525"/>
                <w:sz w:val="18"/>
                <w:szCs w:val="18"/>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规定的变配电装置（设施）的配套率和质量标准。在主要配电装置处，设置围栏和警示标志，变压器外壳距地面建筑 物的净距离应大于</w:t>
            </w:r>
            <w:r>
              <w:rPr>
                <w:color w:val="252525"/>
                <w:sz w:val="18"/>
                <w:szCs w:val="18"/>
                <w:lang w:eastAsia="en-US" w:bidi="en-US"/>
              </w:rPr>
              <w:t>0.8m</w:t>
            </w:r>
            <w:r>
              <w:rPr>
                <w:rFonts w:cs="宋体"/>
                <w:color w:val="252525"/>
                <w:sz w:val="18"/>
                <w:szCs w:val="18"/>
                <w:lang w:eastAsia="en-US" w:bidi="en-US"/>
              </w:rPr>
              <w:t>；</w:t>
            </w:r>
            <w:r>
              <w:rPr>
                <w:rFonts w:cs="宋体"/>
                <w:color w:val="252525"/>
                <w:sz w:val="16"/>
                <w:szCs w:val="16"/>
                <w:lang w:val="zh-TW" w:eastAsia="zh-TW" w:bidi="zh-TW"/>
              </w:rPr>
              <w:t>变压器装设在杆上时，无遮拦导电部分距地面应大于</w:t>
            </w:r>
            <w:r>
              <w:rPr>
                <w:rFonts w:hint="eastAsia" w:cs="宋体"/>
                <w:color w:val="252525"/>
                <w:sz w:val="16"/>
                <w:szCs w:val="16"/>
                <w:lang w:bidi="zh-TW"/>
              </w:rPr>
              <w:t>3.5</w:t>
            </w:r>
            <w:r>
              <w:rPr>
                <w:color w:val="252525"/>
                <w:sz w:val="18"/>
                <w:szCs w:val="18"/>
                <w:lang w:eastAsia="en-US" w:bidi="en-US"/>
              </w:rPr>
              <w:t>m</w:t>
            </w:r>
            <w:r>
              <w:rPr>
                <w:rFonts w:cs="宋体"/>
                <w:color w:val="252525"/>
                <w:sz w:val="18"/>
                <w:szCs w:val="18"/>
                <w:lang w:eastAsia="en-US" w:bidi="en-US"/>
              </w:rPr>
              <w:t>；</w:t>
            </w:r>
            <w:r>
              <w:rPr>
                <w:rFonts w:cs="宋体"/>
                <w:color w:val="252525"/>
                <w:sz w:val="16"/>
                <w:szCs w:val="16"/>
                <w:lang w:val="zh-TW" w:eastAsia="zh-TW" w:bidi="zh-TW"/>
              </w:rPr>
              <w:t>变压器的绝缘子最 低瓷裙距地面高度小于</w:t>
            </w:r>
            <w:r>
              <w:rPr>
                <w:rFonts w:hint="eastAsia" w:cs="宋体"/>
                <w:color w:val="252525"/>
                <w:sz w:val="16"/>
                <w:szCs w:val="16"/>
                <w:lang w:bidi="zh-TW"/>
              </w:rPr>
              <w:t>2.5</w:t>
            </w:r>
            <w:r>
              <w:rPr>
                <w:color w:val="252525"/>
                <w:sz w:val="18"/>
                <w:szCs w:val="18"/>
                <w:lang w:eastAsia="en-US" w:bidi="en-US"/>
              </w:rPr>
              <w:t>m</w:t>
            </w:r>
            <w:r>
              <w:rPr>
                <w:rFonts w:cs="宋体"/>
                <w:color w:val="252525"/>
                <w:sz w:val="16"/>
                <w:szCs w:val="16"/>
                <w:lang w:val="zh-TW" w:eastAsia="zh-TW" w:bidi="zh-TW"/>
              </w:rPr>
              <w:t>时，固定围栏高度应大于</w:t>
            </w:r>
            <w:r>
              <w:rPr>
                <w:color w:val="252525"/>
                <w:sz w:val="18"/>
                <w:szCs w:val="18"/>
                <w:lang w:eastAsia="en-US" w:bidi="en-US"/>
              </w:rPr>
              <w:t>1.5m</w:t>
            </w:r>
            <w:r>
              <w:rPr>
                <w:rFonts w:hint="eastAsia"/>
                <w:color w:val="252525"/>
                <w:sz w:val="18"/>
                <w:szCs w:val="18"/>
                <w:lang w:eastAsia="zh-CN" w:bidi="en-US"/>
              </w:rPr>
              <w:t>。</w:t>
            </w:r>
          </w:p>
        </w:tc>
        <w:tc>
          <w:tcPr>
            <w:tcW w:w="144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项目工程施工质量检验与评定成果，设计文件，工程复核报 告，竣工验收技术总结报告</w:t>
            </w:r>
          </w:p>
        </w:tc>
        <w:tc>
          <w:tcPr>
            <w:tcW w:w="4518"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先通过查阅设计文件，查看各类配电装置的布置情况；再选择独立的泵站或机井，通过查阅工程施工质量和耕地质量评价成果，现场检查各类配电装置的数量、质量及配套情况，每个项目抽查的配电装置数量不少于本类型数量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5" w:lineRule="exact"/>
              <w:rPr>
                <w:rFonts w:cs="宋体"/>
                <w:color w:val="252525"/>
                <w:sz w:val="16"/>
                <w:szCs w:val="16"/>
                <w:lang w:val="zh-TW" w:eastAsia="zh-TW" w:bidi="zh-TW"/>
              </w:rPr>
            </w:pPr>
            <w:r>
              <w:rPr>
                <w:rFonts w:cs="宋体"/>
                <w:color w:val="252525"/>
                <w:sz w:val="16"/>
                <w:szCs w:val="16"/>
                <w:lang w:val="zh-TW" w:eastAsia="zh-TW" w:bidi="zh-TW"/>
              </w:rPr>
              <w:t>按照抽取样本数量满足标准规定的数量占总数量的比值进行评价，评分采用五分制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79"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A31</w:t>
            </w:r>
          </w:p>
        </w:tc>
        <w:tc>
          <w:tcPr>
            <w:tcW w:w="1444" w:type="dxa"/>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减少农业生产成本</w:t>
            </w:r>
          </w:p>
        </w:tc>
        <w:tc>
          <w:tcPr>
            <w:tcW w:w="1084" w:type="dxa"/>
            <w:tcBorders>
              <w:top w:val="single" w:color="auto" w:sz="4" w:space="0"/>
              <w:left w:val="single" w:color="auto" w:sz="4" w:space="0"/>
            </w:tcBorders>
            <w:shd w:val="clear" w:color="auto" w:fill="FFFFFF"/>
            <w:vAlign w:val="center"/>
          </w:tcPr>
          <w:p>
            <w:pPr>
              <w:ind w:firstLine="160"/>
              <w:jc w:val="left"/>
              <w:rPr>
                <w:rFonts w:cs="宋体"/>
                <w:color w:val="252525"/>
                <w:sz w:val="18"/>
                <w:szCs w:val="18"/>
                <w:lang w:val="zh-TW" w:eastAsia="zh-TW" w:bidi="zh-TW"/>
              </w:rPr>
            </w:pPr>
            <w:r>
              <w:rPr>
                <w:rFonts w:cs="宋体"/>
                <w:color w:val="252525"/>
                <w:sz w:val="16"/>
                <w:szCs w:val="16"/>
                <w:lang w:val="zh-TW" w:eastAsia="zh-TW" w:bidi="zh-TW"/>
              </w:rPr>
              <w:t>元/</w:t>
            </w:r>
            <w:r>
              <w:rPr>
                <w:color w:val="252525"/>
                <w:sz w:val="18"/>
                <w:szCs w:val="18"/>
                <w:lang w:eastAsia="en-US" w:bidi="en-US"/>
              </w:rPr>
              <w:t>hm</w:t>
            </w:r>
            <w:r>
              <w:rPr>
                <w:color w:val="252525"/>
                <w:sz w:val="18"/>
                <w:szCs w:val="18"/>
                <w:vertAlign w:val="superscript"/>
                <w:lang w:eastAsia="en-US" w:bidi="en-US"/>
              </w:rPr>
              <w:t>2</w:t>
            </w:r>
          </w:p>
        </w:tc>
        <w:tc>
          <w:tcPr>
            <w:tcW w:w="2347" w:type="dxa"/>
            <w:tcBorders>
              <w:top w:val="single" w:color="auto" w:sz="4" w:space="0"/>
              <w:left w:val="single" w:color="auto" w:sz="4" w:space="0"/>
            </w:tcBorders>
            <w:shd w:val="clear" w:color="auto" w:fill="FFFFFF"/>
            <w:vAlign w:val="center"/>
          </w:tcPr>
          <w:p>
            <w:pPr>
              <w:spacing w:after="160" w:line="281" w:lineRule="exact"/>
              <w:rPr>
                <w:rFonts w:hint="eastAsia" w:eastAsia="宋体" w:cs="宋体"/>
                <w:color w:val="252525"/>
                <w:sz w:val="16"/>
                <w:szCs w:val="16"/>
                <w:lang w:val="zh-TW" w:eastAsia="zh-CN" w:bidi="zh-TW"/>
              </w:rPr>
            </w:pPr>
            <w:r>
              <w:rPr>
                <w:rFonts w:cs="宋体"/>
                <w:color w:val="000000"/>
                <w:sz w:val="16"/>
                <w:szCs w:val="16"/>
                <w:lang w:val="zh-TW" w:eastAsia="zh-TW" w:bidi="zh-TW"/>
              </w:rPr>
              <w:t>经</w:t>
            </w:r>
            <w:r>
              <w:rPr>
                <w:rFonts w:cs="宋体"/>
                <w:color w:val="252525"/>
                <w:sz w:val="16"/>
                <w:szCs w:val="16"/>
                <w:lang w:val="zh-TW" w:eastAsia="zh-TW" w:bidi="zh-TW"/>
              </w:rPr>
              <w:t>建设前后比较，项目区内单位耕地从事农业生产时实际减少的成本</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8"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釆用问卷调查法、抽样调查法、专家评议法进行评价。对于项目评价，可通过问卷调查和典型地块观测试验，分析建设前后农业生产的成本，包括种子、化肥、农药、劳动力和水费等成本，根据建设前后对比，计算建设后实际减少的农业生产成本，并经专家评议确定；一个项</w:t>
            </w:r>
            <w:r>
              <w:rPr>
                <w:rFonts w:cs="宋体"/>
                <w:color w:val="252525"/>
                <w:sz w:val="16"/>
                <w:szCs w:val="16"/>
                <w:lang w:val="zh-CN" w:bidi="zh-CN"/>
              </w:rPr>
              <w:t>目</w:t>
            </w:r>
            <w:r>
              <w:rPr>
                <w:rFonts w:hint="eastAsia" w:cs="宋体"/>
                <w:color w:val="252525"/>
                <w:sz w:val="16"/>
                <w:szCs w:val="16"/>
                <w:lang w:bidi="zh-CN"/>
              </w:rPr>
              <w:t>区</w:t>
            </w:r>
            <w:r>
              <w:rPr>
                <w:rFonts w:cs="宋体"/>
                <w:color w:val="252525"/>
                <w:sz w:val="16"/>
                <w:szCs w:val="16"/>
                <w:lang w:val="zh-TW" w:eastAsia="zh-TW" w:bidi="zh-TW"/>
              </w:rPr>
              <w:t>选取的样地数不少于</w:t>
            </w:r>
            <w:r>
              <w:rPr>
                <w:color w:val="252525"/>
                <w:sz w:val="18"/>
                <w:szCs w:val="18"/>
                <w:lang w:val="zh-TW" w:eastAsia="zh-TW" w:bidi="zh-TW"/>
              </w:rPr>
              <w:t>3</w:t>
            </w:r>
            <w:r>
              <w:rPr>
                <w:rFonts w:cs="宋体"/>
                <w:color w:val="252525"/>
                <w:sz w:val="16"/>
                <w:szCs w:val="16"/>
                <w:lang w:val="zh-TW" w:eastAsia="zh-TW" w:bidi="zh-TW"/>
              </w:rPr>
              <w:t>个。对于年度和规划期的评价,应抽样调查项目进行评价。</w:t>
            </w:r>
          </w:p>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456"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A3</w:t>
            </w:r>
            <w:r>
              <w:rPr>
                <w:color w:val="252525"/>
                <w:sz w:val="18"/>
                <w:szCs w:val="18"/>
                <w:lang w:val="zh-TW" w:eastAsia="zh-TW" w:bidi="zh-TW"/>
              </w:rPr>
              <w:t>2</w:t>
            </w:r>
          </w:p>
        </w:tc>
        <w:tc>
          <w:tcPr>
            <w:tcW w:w="1444" w:type="dxa"/>
            <w:tcBorders>
              <w:top w:val="single" w:color="auto" w:sz="4" w:space="0"/>
              <w:left w:val="single" w:color="auto" w:sz="4" w:space="0"/>
              <w:bottom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农业综合机械化率提高值</w:t>
            </w:r>
            <w:r>
              <w:rPr>
                <w:rFonts w:cs="宋体"/>
                <w:color w:val="252525"/>
                <w:sz w:val="16"/>
                <w:szCs w:val="16"/>
                <w:lang w:eastAsia="en-US" w:bidi="en-US"/>
              </w:rPr>
              <w:t>*</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val="zh-TW" w:eastAsia="zh-TW" w:bidi="zh-TW"/>
              </w:rPr>
              <w:t>%</w:t>
            </w:r>
          </w:p>
        </w:tc>
        <w:tc>
          <w:tcPr>
            <w:tcW w:w="2347" w:type="dxa"/>
            <w:tcBorders>
              <w:top w:val="single" w:color="auto" w:sz="4" w:space="0"/>
              <w:left w:val="single" w:color="auto" w:sz="4" w:space="0"/>
              <w:bottom w:val="single" w:color="auto" w:sz="4" w:space="0"/>
            </w:tcBorders>
            <w:shd w:val="clear" w:color="auto" w:fill="FFFFFF"/>
            <w:vAlign w:val="center"/>
          </w:tcPr>
          <w:p>
            <w:pPr>
              <w:spacing w:line="293"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经建设前后比较，项目区农业综合机械化率的提高程度。农业综合机械化应同时满足机械在田间从事耕作、播种、收割等工作</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项目设计文件，竣工验收技术总结报告，竣工图</w:t>
            </w:r>
          </w:p>
        </w:tc>
        <w:tc>
          <w:tcPr>
            <w:tcW w:w="4518" w:type="dxa"/>
            <w:tcBorders>
              <w:top w:val="single" w:color="auto" w:sz="4" w:space="0"/>
              <w:left w:val="single" w:color="auto" w:sz="4" w:space="0"/>
              <w:bottom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通过查阅有关资料、现场调查、专家评议法进行评价。对于项目评价，可通过查阅项目设计文件和竣工验收文件，并通过现场调査和专家评议，逐田块统计项目区农业机械能够到达的地块总面积，将实际完成值与设计目标值进行对比。对于年度和规划期的评价，应抽样调查项目进行评松。</w:t>
            </w:r>
          </w:p>
          <w:p>
            <w:pPr>
              <w:spacing w:line="284" w:lineRule="exact"/>
              <w:rPr>
                <w:rFonts w:cs="宋体"/>
                <w:color w:val="252525"/>
                <w:sz w:val="16"/>
                <w:szCs w:val="16"/>
                <w:lang w:val="zh-TW" w:eastAsia="zh-TW" w:bidi="zh-TW"/>
              </w:rPr>
            </w:pPr>
            <w:r>
              <w:rPr>
                <w:rFonts w:cs="宋体"/>
                <w:color w:val="252525"/>
                <w:sz w:val="16"/>
                <w:szCs w:val="16"/>
                <w:lang w:val="zh-TW" w:eastAsia="zh-TW" w:bidi="zh-TW"/>
              </w:rPr>
              <w:t>采用目标对比法评价，评分采用五分制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571"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eastAsia="en-US" w:bidi="zh-TW"/>
              </w:rPr>
            </w:pPr>
            <w:r>
              <w:rPr>
                <w:color w:val="252525"/>
                <w:sz w:val="18"/>
                <w:szCs w:val="18"/>
                <w:lang w:eastAsia="en-US" w:bidi="en-US"/>
              </w:rPr>
              <w:t>A3</w:t>
            </w:r>
            <w:r>
              <w:rPr>
                <w:color w:val="252525"/>
                <w:sz w:val="18"/>
                <w:szCs w:val="18"/>
                <w:lang w:val="zh-TW" w:eastAsia="zh-TW" w:bidi="zh-TW"/>
              </w:rPr>
              <w:t>3</w:t>
            </w:r>
          </w:p>
        </w:tc>
        <w:tc>
          <w:tcPr>
            <w:tcW w:w="1444"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受益总人数</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人</w:t>
            </w:r>
          </w:p>
        </w:tc>
        <w:tc>
          <w:tcPr>
            <w:tcW w:w="2347" w:type="dxa"/>
            <w:tcBorders>
              <w:top w:val="single" w:color="auto" w:sz="4" w:space="0"/>
              <w:left w:val="single" w:color="auto" w:sz="4" w:space="0"/>
              <w:bottom w:val="single" w:color="auto" w:sz="4" w:space="0"/>
            </w:tcBorders>
            <w:shd w:val="clear" w:color="auto" w:fill="FFFFFF"/>
            <w:vAlign w:val="center"/>
          </w:tcPr>
          <w:p>
            <w:pPr>
              <w:spacing w:after="100"/>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项目建设后，项目区内直接受益的人口总数量</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8" w:type="dxa"/>
            <w:tcBorders>
              <w:top w:val="single" w:color="auto" w:sz="4" w:space="0"/>
              <w:left w:val="single" w:color="auto" w:sz="4" w:space="0"/>
              <w:bottom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采用统计分析法、问卷调查法、抽样调查法进行评价。对于项目评价，可通过统计分析、问卷调查和典型地块调查算项目区直接受益的总人口数；对于年度和规划期的评价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8"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tbl>
      <w:tblPr>
        <w:tblStyle w:val="36"/>
        <w:tblW w:w="13425" w:type="dxa"/>
        <w:tblInd w:w="0" w:type="dxa"/>
        <w:tblLayout w:type="fixed"/>
        <w:tblCellMar>
          <w:top w:w="0" w:type="dxa"/>
          <w:left w:w="10" w:type="dxa"/>
          <w:bottom w:w="0" w:type="dxa"/>
          <w:right w:w="10" w:type="dxa"/>
        </w:tblCellMar>
      </w:tblPr>
      <w:tblGrid>
        <w:gridCol w:w="737"/>
        <w:gridCol w:w="1447"/>
        <w:gridCol w:w="1084"/>
        <w:gridCol w:w="2299"/>
        <w:gridCol w:w="51"/>
        <w:gridCol w:w="1444"/>
        <w:gridCol w:w="6"/>
        <w:gridCol w:w="4511"/>
        <w:gridCol w:w="1846"/>
      </w:tblGrid>
      <w:tr>
        <w:tblPrEx>
          <w:tblCellMar>
            <w:top w:w="0" w:type="dxa"/>
            <w:left w:w="10" w:type="dxa"/>
            <w:bottom w:w="0" w:type="dxa"/>
            <w:right w:w="10" w:type="dxa"/>
          </w:tblCellMar>
        </w:tblPrEx>
        <w:trPr>
          <w:trHeight w:val="378" w:hRule="exact"/>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编号</w:t>
            </w:r>
          </w:p>
        </w:tc>
        <w:tc>
          <w:tcPr>
            <w:tcW w:w="14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评价指标</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计量单位</w:t>
            </w:r>
          </w:p>
        </w:tc>
        <w:tc>
          <w:tcPr>
            <w:tcW w:w="2351"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ind w:firstLine="360"/>
              <w:jc w:val="left"/>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评价方法与评分规则</w:t>
            </w:r>
          </w:p>
        </w:tc>
        <w:tc>
          <w:tcPr>
            <w:tcW w:w="1847"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2174" w:hRule="exact"/>
        </w:trPr>
        <w:tc>
          <w:tcPr>
            <w:tcW w:w="738" w:type="dxa"/>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A34</w:t>
            </w:r>
          </w:p>
        </w:tc>
        <w:tc>
          <w:tcPr>
            <w:tcW w:w="1447" w:type="dxa"/>
            <w:tcBorders>
              <w:top w:val="single" w:color="auto" w:sz="4" w:space="0"/>
              <w:lef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000000"/>
                <w:sz w:val="16"/>
                <w:szCs w:val="16"/>
                <w:lang w:val="zh-TW" w:eastAsia="zh-TW" w:bidi="zh-TW"/>
              </w:rPr>
              <w:t>人均增加年净收入</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元</w:t>
            </w:r>
          </w:p>
        </w:tc>
        <w:tc>
          <w:tcPr>
            <w:tcW w:w="2351" w:type="dxa"/>
            <w:gridSpan w:val="2"/>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经建设前后比较，项目区内人均增加总的农业净收入</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after="100"/>
              <w:jc w:val="lef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8" w:type="dxa"/>
            <w:gridSpan w:val="2"/>
            <w:tcBorders>
              <w:top w:val="single" w:color="auto" w:sz="4" w:space="0"/>
              <w:left w:val="single" w:color="auto" w:sz="4" w:space="0"/>
            </w:tcBorders>
            <w:shd w:val="clear" w:color="auto" w:fill="FFFFFF"/>
            <w:vAlign w:val="center"/>
          </w:tcPr>
          <w:p>
            <w:pPr>
              <w:spacing w:line="289" w:lineRule="exact"/>
              <w:rPr>
                <w:rFonts w:cs="宋体"/>
                <w:color w:val="252525"/>
                <w:sz w:val="16"/>
                <w:szCs w:val="16"/>
                <w:lang w:val="zh-TW" w:eastAsia="zh-TW" w:bidi="zh-TW"/>
              </w:rPr>
            </w:pPr>
            <w:r>
              <w:rPr>
                <w:rFonts w:cs="宋体"/>
                <w:color w:val="252525"/>
                <w:sz w:val="16"/>
                <w:szCs w:val="16"/>
                <w:lang w:val="zh-TW" w:eastAsia="zh-TW" w:bidi="zh-TW"/>
              </w:rPr>
              <w:t>釆用统计分析法、问卷调查法、抽样调查法进行评价。对于项目评价，可通过统计分析、问卷调查和典型地块调查</w:t>
            </w:r>
            <w:r>
              <w:rPr>
                <w:rFonts w:hint="eastAsia" w:cs="宋体"/>
                <w:color w:val="252525"/>
                <w:sz w:val="16"/>
                <w:szCs w:val="16"/>
                <w:lang w:val="zh-TW" w:bidi="zh-TW"/>
              </w:rPr>
              <w:t>，</w:t>
            </w:r>
            <w:r>
              <w:rPr>
                <w:rFonts w:cs="宋体"/>
                <w:color w:val="252525"/>
                <w:sz w:val="16"/>
                <w:szCs w:val="16"/>
                <w:lang w:val="zh-TW" w:eastAsia="zh-TW" w:bidi="zh-TW"/>
              </w:rPr>
              <w:t>计算项目建成后人均增加的农业净收入；或通过新增粮食生产能力和农产品转化增加值计算总的收入，再除以项目区受益总人数。对于年度和规划期的评价，应抽样调查项目进行评价。</w:t>
            </w:r>
          </w:p>
          <w:p>
            <w:pPr>
              <w:spacing w:line="289" w:lineRule="exact"/>
              <w:jc w:val="left"/>
              <w:rPr>
                <w:rFonts w:cs="宋体"/>
                <w:color w:val="252525"/>
                <w:sz w:val="16"/>
                <w:szCs w:val="16"/>
                <w:lang w:val="zh-TW" w:eastAsia="zh-TW" w:bidi="zh-TW"/>
              </w:rPr>
            </w:pPr>
            <w:r>
              <w:rPr>
                <w:rFonts w:cs="宋体"/>
                <w:color w:val="252525"/>
                <w:sz w:val="16"/>
                <w:szCs w:val="16"/>
                <w:lang w:val="zh-TW" w:eastAsia="zh-TW" w:bidi="zh-TW"/>
              </w:rPr>
              <w:t>采用目标对比法评价，评分釆用五分制</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1969" w:hRule="exact"/>
        </w:trPr>
        <w:tc>
          <w:tcPr>
            <w:tcW w:w="738" w:type="dxa"/>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A3</w:t>
            </w:r>
            <w:r>
              <w:rPr>
                <w:color w:val="252525"/>
                <w:sz w:val="18"/>
                <w:szCs w:val="18"/>
                <w:lang w:val="zh-TW" w:eastAsia="zh-TW" w:bidi="zh-TW"/>
              </w:rPr>
              <w:t>5</w:t>
            </w:r>
          </w:p>
        </w:tc>
        <w:tc>
          <w:tcPr>
            <w:tcW w:w="1447" w:type="dxa"/>
            <w:tcBorders>
              <w:top w:val="single" w:color="auto" w:sz="4" w:space="0"/>
              <w:lef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000000"/>
                <w:sz w:val="16"/>
                <w:szCs w:val="16"/>
                <w:lang w:val="zh-TW" w:eastAsia="zh-TW" w:bidi="zh-TW"/>
              </w:rPr>
              <w:t>单位面积增加年净收入</w:t>
            </w:r>
          </w:p>
        </w:tc>
        <w:tc>
          <w:tcPr>
            <w:tcW w:w="1080" w:type="dxa"/>
            <w:tcBorders>
              <w:top w:val="single" w:color="auto" w:sz="4" w:space="0"/>
              <w:left w:val="single" w:color="auto" w:sz="4" w:space="0"/>
            </w:tcBorders>
            <w:shd w:val="clear" w:color="auto" w:fill="FFFFFF"/>
            <w:vAlign w:val="center"/>
          </w:tcPr>
          <w:p>
            <w:pPr>
              <w:ind w:firstLine="420"/>
              <w:jc w:val="left"/>
              <w:rPr>
                <w:rFonts w:cs="宋体"/>
                <w:color w:val="252525"/>
                <w:sz w:val="16"/>
                <w:szCs w:val="16"/>
                <w:lang w:val="zh-TW" w:eastAsia="zh-TW" w:bidi="zh-TW"/>
              </w:rPr>
            </w:pPr>
            <w:r>
              <w:rPr>
                <w:rFonts w:cs="宋体"/>
                <w:color w:val="000000"/>
                <w:sz w:val="16"/>
                <w:szCs w:val="16"/>
                <w:lang w:val="zh-TW" w:eastAsia="zh-TW" w:bidi="zh-TW"/>
              </w:rPr>
              <w:t>元</w:t>
            </w:r>
          </w:p>
        </w:tc>
        <w:tc>
          <w:tcPr>
            <w:tcW w:w="2351" w:type="dxa"/>
            <w:gridSpan w:val="2"/>
            <w:tcBorders>
              <w:top w:val="single" w:color="auto" w:sz="4" w:space="0"/>
              <w:left w:val="single" w:color="auto" w:sz="4" w:space="0"/>
            </w:tcBorders>
            <w:shd w:val="clear" w:color="auto" w:fill="FFFFFF"/>
            <w:vAlign w:val="center"/>
          </w:tcPr>
          <w:p>
            <w:pPr>
              <w:spacing w:line="282"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经建设前后比较，项目区内每公顷耕地增加的年纯收益。可用总收入减去农业生产成本</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after="100"/>
              <w:jc w:val="lef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8" w:type="dxa"/>
            <w:gridSpan w:val="2"/>
            <w:tcBorders>
              <w:top w:val="single" w:color="auto" w:sz="4" w:space="0"/>
              <w:left w:val="single" w:color="auto" w:sz="4" w:space="0"/>
            </w:tcBorders>
            <w:shd w:val="clear" w:color="auto" w:fill="FFFFFF"/>
            <w:vAlign w:val="center"/>
          </w:tcPr>
          <w:p>
            <w:pPr>
              <w:spacing w:line="282" w:lineRule="exact"/>
              <w:rPr>
                <w:rFonts w:cs="宋体"/>
                <w:color w:val="252525"/>
                <w:sz w:val="16"/>
                <w:szCs w:val="16"/>
                <w:lang w:val="zh-TW" w:eastAsia="zh-TW" w:bidi="zh-TW"/>
              </w:rPr>
            </w:pPr>
            <w:r>
              <w:rPr>
                <w:rFonts w:cs="宋体"/>
                <w:color w:val="252525"/>
                <w:sz w:val="16"/>
                <w:szCs w:val="16"/>
                <w:lang w:val="zh-TW" w:eastAsia="zh-TW" w:bidi="zh-TW"/>
              </w:rPr>
              <w:t>釆用问卷调查法、抽样调查法、专家评议法进行评价。对于项目评价，可通过问卷调查和典型地块观测试验，分析建设前后单位面积耕地增加的纯收益，并经专家评议确定</w:t>
            </w:r>
            <w:r>
              <w:rPr>
                <w:rFonts w:hint="eastAsia" w:cs="宋体"/>
                <w:color w:val="252525"/>
                <w:sz w:val="16"/>
                <w:szCs w:val="16"/>
                <w:lang w:val="zh-TW" w:bidi="zh-TW"/>
              </w:rPr>
              <w:t>；</w:t>
            </w:r>
            <w:r>
              <w:rPr>
                <w:rFonts w:cs="宋体"/>
                <w:color w:val="252525"/>
                <w:sz w:val="16"/>
                <w:szCs w:val="16"/>
                <w:lang w:val="zh-TW" w:eastAsia="zh-TW" w:bidi="zh-TW"/>
              </w:rPr>
              <w:t>一个项目区选取的样地数不少于</w:t>
            </w:r>
            <w:r>
              <w:rPr>
                <w:color w:val="252525"/>
                <w:sz w:val="18"/>
                <w:szCs w:val="18"/>
                <w:lang w:val="zh-TW" w:eastAsia="zh-TW" w:bidi="zh-TW"/>
              </w:rPr>
              <w:t>3</w:t>
            </w:r>
            <w:r>
              <w:rPr>
                <w:rFonts w:cs="宋体"/>
                <w:color w:val="252525"/>
                <w:sz w:val="16"/>
                <w:szCs w:val="16"/>
                <w:lang w:val="zh-TW" w:eastAsia="zh-TW" w:bidi="zh-TW"/>
              </w:rPr>
              <w:t>个。对于年度和规划期的评价，应抽样调查项目进行评价。</w:t>
            </w:r>
          </w:p>
          <w:p>
            <w:pPr>
              <w:spacing w:line="282" w:lineRule="exact"/>
              <w:jc w:val="left"/>
              <w:rPr>
                <w:rFonts w:cs="宋体"/>
                <w:color w:val="252525"/>
                <w:sz w:val="16"/>
                <w:szCs w:val="16"/>
                <w:lang w:val="zh-TW" w:eastAsia="zh-TW" w:bidi="zh-TW"/>
              </w:rPr>
            </w:pPr>
            <w:r>
              <w:rPr>
                <w:rFonts w:cs="宋体"/>
                <w:color w:val="252525"/>
                <w:sz w:val="16"/>
                <w:szCs w:val="16"/>
                <w:lang w:val="zh-TW" w:eastAsia="zh-TW" w:bidi="zh-TW"/>
              </w:rPr>
              <w:t>采用目标对比法评价，评分釆用五分制</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2164" w:hRule="exact"/>
        </w:trPr>
        <w:tc>
          <w:tcPr>
            <w:tcW w:w="738"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000000"/>
                <w:sz w:val="18"/>
                <w:szCs w:val="18"/>
                <w:lang w:eastAsia="en-US" w:bidi="en-US"/>
              </w:rPr>
              <w:t>A3</w:t>
            </w:r>
            <w:r>
              <w:rPr>
                <w:color w:val="000000"/>
                <w:sz w:val="18"/>
                <w:szCs w:val="18"/>
                <w:lang w:val="zh-TW" w:eastAsia="zh-TW" w:bidi="zh-TW"/>
              </w:rPr>
              <w:t>6</w:t>
            </w:r>
          </w:p>
        </w:tc>
        <w:tc>
          <w:tcPr>
            <w:tcW w:w="1447"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节省农村劳动力</w:t>
            </w:r>
          </w:p>
        </w:tc>
        <w:tc>
          <w:tcPr>
            <w:tcW w:w="1080" w:type="dxa"/>
            <w:tcBorders>
              <w:top w:val="single" w:color="auto" w:sz="4" w:space="0"/>
              <w:left w:val="single" w:color="auto" w:sz="4" w:space="0"/>
            </w:tcBorders>
            <w:shd w:val="clear" w:color="auto" w:fill="FFFFFF"/>
            <w:vAlign w:val="center"/>
          </w:tcPr>
          <w:p>
            <w:pPr>
              <w:ind w:firstLine="160"/>
              <w:jc w:val="left"/>
              <w:rPr>
                <w:rFonts w:cs="宋体"/>
                <w:color w:val="252525"/>
                <w:sz w:val="18"/>
                <w:szCs w:val="18"/>
                <w:lang w:val="zh-TW" w:eastAsia="zh-TW" w:bidi="zh-TW"/>
              </w:rPr>
            </w:pPr>
            <w:r>
              <w:rPr>
                <w:rFonts w:cs="宋体"/>
                <w:color w:val="252525"/>
                <w:sz w:val="16"/>
                <w:szCs w:val="16"/>
                <w:lang w:val="zh-TW" w:eastAsia="zh-TW" w:bidi="zh-TW"/>
              </w:rPr>
              <w:t>人/</w:t>
            </w:r>
            <w:r>
              <w:rPr>
                <w:color w:val="252525"/>
                <w:sz w:val="18"/>
                <w:szCs w:val="18"/>
                <w:lang w:eastAsia="en-US" w:bidi="en-US"/>
              </w:rPr>
              <w:t>hm</w:t>
            </w:r>
            <w:r>
              <w:rPr>
                <w:color w:val="252525"/>
                <w:sz w:val="18"/>
                <w:szCs w:val="18"/>
                <w:vertAlign w:val="superscript"/>
                <w:lang w:eastAsia="en-US" w:bidi="en-US"/>
              </w:rPr>
              <w:t>2</w:t>
            </w:r>
          </w:p>
        </w:tc>
        <w:tc>
          <w:tcPr>
            <w:tcW w:w="2351" w:type="dxa"/>
            <w:gridSpan w:val="2"/>
            <w:tcBorders>
              <w:top w:val="single" w:color="auto" w:sz="4" w:space="0"/>
              <w:left w:val="single" w:color="auto" w:sz="4" w:space="0"/>
            </w:tcBorders>
            <w:shd w:val="clear" w:color="auto" w:fill="FFFFFF"/>
            <w:vAlign w:val="center"/>
          </w:tcPr>
          <w:p>
            <w:pPr>
              <w:spacing w:line="283"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经建设前后比较，项目区内单位耕地开展某一粮食生产时实际减少的劳动力数量</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000000"/>
                <w:sz w:val="16"/>
                <w:szCs w:val="16"/>
                <w:lang w:val="zh-TW" w:eastAsia="zh-TW" w:bidi="zh-TW"/>
              </w:rPr>
              <w:t>项目设计文件，统计年鉴，实地观测数据</w:t>
            </w:r>
          </w:p>
        </w:tc>
        <w:tc>
          <w:tcPr>
            <w:tcW w:w="4518" w:type="dxa"/>
            <w:gridSpan w:val="2"/>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bidi="zh-TW"/>
              </w:rPr>
            </w:pPr>
            <w:r>
              <w:rPr>
                <w:rFonts w:cs="宋体"/>
                <w:color w:val="252525"/>
                <w:sz w:val="16"/>
                <w:szCs w:val="16"/>
                <w:lang w:val="zh-TW" w:eastAsia="zh-TW" w:bidi="zh-TW"/>
              </w:rPr>
              <w:t>采用问卷调查法、抽样调查法、专家评议法进行评价。对于项目评价，可通过问卷调查，分析建设前后农业生产所需要的劳动力数量，根据建设前后对比，计算建设后实际减少的劳动力数量，并经专家评议确定；一个项目区至少选择一个行政村开展问卷调查。对于年度和规划期的评价，应抽样调查项目进行评价</w:t>
            </w:r>
            <w:r>
              <w:rPr>
                <w:rFonts w:hint="eastAsia" w:cs="宋体"/>
                <w:color w:val="252525"/>
                <w:sz w:val="16"/>
                <w:szCs w:val="16"/>
                <w:lang w:val="zh-TW" w:bidi="zh-TW"/>
              </w:rPr>
              <w:t>。</w:t>
            </w:r>
          </w:p>
          <w:p>
            <w:pPr>
              <w:spacing w:line="284" w:lineRule="exact"/>
              <w:rPr>
                <w:rFonts w:cs="宋体"/>
                <w:color w:val="252525"/>
                <w:sz w:val="16"/>
                <w:szCs w:val="16"/>
                <w:lang w:val="zh-TW" w:eastAsia="zh-TW" w:bidi="zh-TW"/>
              </w:rPr>
            </w:pPr>
            <w:r>
              <w:rPr>
                <w:rFonts w:cs="宋体"/>
                <w:color w:val="252525"/>
                <w:sz w:val="16"/>
                <w:szCs w:val="16"/>
                <w:lang w:val="zh-TW" w:eastAsia="zh-TW" w:bidi="zh-TW"/>
              </w:rPr>
              <w:t>采用目标对比法评价，评分采用五分制</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1642" w:hRule="exact"/>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000000"/>
                <w:sz w:val="18"/>
                <w:szCs w:val="18"/>
                <w:lang w:eastAsia="en-US" w:bidi="en-US"/>
              </w:rPr>
              <w:t>A3</w:t>
            </w:r>
            <w:r>
              <w:rPr>
                <w:color w:val="000000"/>
                <w:sz w:val="18"/>
                <w:szCs w:val="18"/>
                <w:lang w:val="zh-TW" w:eastAsia="zh-TW" w:bidi="zh-TW"/>
              </w:rPr>
              <w:t>7</w:t>
            </w:r>
          </w:p>
        </w:tc>
        <w:tc>
          <w:tcPr>
            <w:tcW w:w="1447"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转移农村劳力数</w:t>
            </w:r>
          </w:p>
        </w:tc>
        <w:tc>
          <w:tcPr>
            <w:tcW w:w="1080"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000000"/>
                <w:sz w:val="16"/>
                <w:szCs w:val="16"/>
                <w:lang w:val="zh-TW" w:eastAsia="zh-TW" w:bidi="zh-TW"/>
              </w:rPr>
              <w:t>人</w:t>
            </w:r>
          </w:p>
        </w:tc>
        <w:tc>
          <w:tcPr>
            <w:tcW w:w="2351" w:type="dxa"/>
            <w:gridSpan w:val="2"/>
            <w:tcBorders>
              <w:top w:val="single" w:color="auto" w:sz="4" w:space="0"/>
              <w:left w:val="single" w:color="auto" w:sz="4" w:space="0"/>
              <w:bottom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经建设前后比较，项目区土地流转、农业综合机械化程度提高后，实际转移出的农村劳动力数</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000000"/>
                <w:sz w:val="16"/>
                <w:szCs w:val="16"/>
                <w:lang w:val="zh-TW" w:eastAsia="zh-TW" w:bidi="zh-TW"/>
              </w:rPr>
              <w:t>项目设计文件，统计年鉴，实地观测数据</w:t>
            </w:r>
          </w:p>
        </w:tc>
        <w:tc>
          <w:tcPr>
            <w:tcW w:w="4518" w:type="dxa"/>
            <w:gridSpan w:val="2"/>
            <w:tcBorders>
              <w:top w:val="single" w:color="auto" w:sz="4" w:space="0"/>
              <w:left w:val="single" w:color="auto" w:sz="4" w:space="0"/>
              <w:bottom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采用问卷调查法、抽样调査法进行评价。对于项目评价，可通过问卷调查，统计项目区实际转移出去的劳动力人数。对于年度和规划期的评价，应抽样调查项目进行评价。</w:t>
            </w:r>
          </w:p>
          <w:p>
            <w:pPr>
              <w:spacing w:line="286" w:lineRule="exact"/>
              <w:jc w:val="lef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项目/年度/规划期</w:t>
            </w:r>
          </w:p>
        </w:tc>
      </w:tr>
      <w:tr>
        <w:tblPrEx>
          <w:tblCellMar>
            <w:top w:w="0" w:type="dxa"/>
            <w:left w:w="10" w:type="dxa"/>
            <w:bottom w:w="0" w:type="dxa"/>
            <w:right w:w="10" w:type="dxa"/>
          </w:tblCellMar>
        </w:tblPrEx>
        <w:trPr>
          <w:trHeight w:val="400"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00"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501" w:type="dxa"/>
            <w:gridSpan w:val="3"/>
            <w:tcBorders>
              <w:top w:val="single" w:color="auto" w:sz="4" w:space="0"/>
              <w:left w:val="single" w:color="auto" w:sz="4" w:space="0"/>
              <w:bottom w:val="single" w:color="auto" w:sz="4" w:space="0"/>
            </w:tcBorders>
            <w:shd w:val="clear" w:color="auto" w:fill="FFFFFF"/>
            <w:vAlign w:val="center"/>
          </w:tcPr>
          <w:p>
            <w:pPr>
              <w:ind w:firstLine="380"/>
              <w:jc w:val="left"/>
              <w:rPr>
                <w:rFonts w:cs="宋体"/>
                <w:color w:val="252525"/>
                <w:sz w:val="16"/>
                <w:szCs w:val="16"/>
                <w:lang w:val="zh-TW" w:eastAsia="zh-TW" w:bidi="zh-TW"/>
              </w:rPr>
            </w:pPr>
            <w:r>
              <w:rPr>
                <w:rFonts w:cs="宋体"/>
                <w:color w:val="252525"/>
                <w:sz w:val="16"/>
                <w:szCs w:val="16"/>
                <w:lang w:val="zh-TW" w:eastAsia="zh-TW" w:bidi="zh-TW"/>
              </w:rPr>
              <w:t>数据来源</w:t>
            </w:r>
          </w:p>
        </w:tc>
        <w:tc>
          <w:tcPr>
            <w:tcW w:w="4507" w:type="dxa"/>
            <w:tcBorders>
              <w:top w:val="single" w:color="auto" w:sz="4" w:space="0"/>
              <w:left w:val="single" w:color="auto" w:sz="4" w:space="0"/>
              <w:bottom w:val="single" w:color="auto" w:sz="4" w:space="0"/>
            </w:tcBorders>
            <w:shd w:val="clear" w:color="auto" w:fill="FFFFFF"/>
            <w:vAlign w:val="center"/>
          </w:tcPr>
          <w:p>
            <w:pPr>
              <w:ind w:right="1420"/>
              <w:jc w:val="right"/>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适用对象</w:t>
            </w:r>
          </w:p>
        </w:tc>
      </w:tr>
      <w:tr>
        <w:tblPrEx>
          <w:tblCellMar>
            <w:top w:w="0" w:type="dxa"/>
            <w:left w:w="10" w:type="dxa"/>
            <w:bottom w:w="0" w:type="dxa"/>
            <w:right w:w="10" w:type="dxa"/>
          </w:tblCellMar>
        </w:tblPrEx>
        <w:trPr>
          <w:trHeight w:val="2333" w:hRule="exact"/>
          <w:jc w:val="center"/>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A38</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农产品转化增加值</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60"/>
              <w:jc w:val="left"/>
              <w:rPr>
                <w:rFonts w:cs="宋体"/>
                <w:color w:val="252525"/>
                <w:sz w:val="18"/>
                <w:szCs w:val="18"/>
                <w:lang w:val="zh-TW" w:eastAsia="zh-TW" w:bidi="zh-TW"/>
              </w:rPr>
            </w:pPr>
            <w:r>
              <w:rPr>
                <w:rFonts w:cs="宋体"/>
                <w:color w:val="252525"/>
                <w:sz w:val="16"/>
                <w:szCs w:val="16"/>
                <w:lang w:val="zh-TW" w:eastAsia="zh-TW" w:bidi="zh-TW"/>
              </w:rPr>
              <w:t>元/</w:t>
            </w:r>
            <w:r>
              <w:rPr>
                <w:color w:val="252525"/>
                <w:sz w:val="18"/>
                <w:szCs w:val="18"/>
                <w:lang w:eastAsia="en-US" w:bidi="en-US"/>
              </w:rPr>
              <w:t>hm</w:t>
            </w:r>
            <w:r>
              <w:rPr>
                <w:color w:val="252525"/>
                <w:sz w:val="18"/>
                <w:szCs w:val="18"/>
                <w:vertAlign w:val="superscript"/>
                <w:lang w:eastAsia="en-US" w:bidi="en-US"/>
              </w:rPr>
              <w:t>2</w:t>
            </w:r>
          </w:p>
        </w:tc>
        <w:tc>
          <w:tcPr>
            <w:tcW w:w="23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经建设前后比较，项目区内单位耕地从事粮食生产之外增加的农业收入，包括粮食加工收入、种植经济作物在扣除粮食生产收入后所增加的其他收入</w:t>
            </w:r>
            <w:r>
              <w:rPr>
                <w:rFonts w:hint="eastAsia" w:cs="宋体"/>
                <w:color w:val="252525"/>
                <w:sz w:val="16"/>
                <w:szCs w:val="16"/>
                <w:lang w:val="zh-TW" w:eastAsia="zh-CN" w:bidi="zh-TW"/>
              </w:rPr>
              <w:t>。</w:t>
            </w:r>
          </w:p>
        </w:tc>
        <w:tc>
          <w:tcPr>
            <w:tcW w:w="1501" w:type="dxa"/>
            <w:gridSpan w:val="3"/>
            <w:tcBorders>
              <w:top w:val="single" w:color="auto" w:sz="4" w:space="0"/>
              <w:left w:val="single" w:color="auto" w:sz="4" w:space="0"/>
              <w:bottom w:val="single" w:color="auto" w:sz="4" w:space="0"/>
              <w:right w:val="single" w:color="auto" w:sz="4" w:space="0"/>
            </w:tcBorders>
            <w:shd w:val="clear" w:color="auto" w:fill="FFFFFF"/>
            <w:vAlign w:val="bottom"/>
          </w:tcPr>
          <w:p>
            <w:pPr>
              <w:spacing w:after="520" w:line="286" w:lineRule="exact"/>
              <w:jc w:val="lef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p>
            <w:pPr>
              <w:spacing w:line="286" w:lineRule="exact"/>
              <w:jc w:val="left"/>
              <w:rPr>
                <w:rFonts w:cs="宋体"/>
                <w:color w:val="252525"/>
                <w:sz w:val="16"/>
                <w:szCs w:val="16"/>
                <w:lang w:val="zh-TW" w:eastAsia="zh-TW" w:bidi="zh-TW"/>
              </w:rPr>
            </w:pPr>
          </w:p>
        </w:tc>
        <w:tc>
          <w:tcPr>
            <w:tcW w:w="450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采用</w:t>
            </w:r>
            <w:r>
              <w:rPr>
                <w:rFonts w:hint="eastAsia" w:cs="宋体"/>
                <w:color w:val="252525"/>
                <w:sz w:val="16"/>
                <w:szCs w:val="16"/>
                <w:lang w:val="zh-TW" w:bidi="zh-TW"/>
              </w:rPr>
              <w:t>问卷</w:t>
            </w:r>
            <w:r>
              <w:rPr>
                <w:rFonts w:cs="宋体"/>
                <w:color w:val="252525"/>
                <w:sz w:val="16"/>
                <w:szCs w:val="16"/>
                <w:lang w:val="zh-TW" w:eastAsia="zh-TW" w:bidi="zh-TW"/>
              </w:rPr>
              <w:t>调查法、抽样调查法、专家评议法进行评价。对于项目评价，可通过问卷调查，分析建设前后从事粮食生产之外增加的其他农业收入</w:t>
            </w:r>
            <w:r>
              <w:rPr>
                <w:rFonts w:hint="eastAsia" w:cs="宋体"/>
                <w:color w:val="252525"/>
                <w:sz w:val="16"/>
                <w:szCs w:val="16"/>
                <w:lang w:val="zh-TW" w:bidi="zh-TW"/>
              </w:rPr>
              <w:t>，</w:t>
            </w:r>
            <w:r>
              <w:rPr>
                <w:rFonts w:cs="宋体"/>
                <w:color w:val="252525"/>
                <w:sz w:val="16"/>
                <w:szCs w:val="16"/>
                <w:lang w:val="zh-TW" w:eastAsia="zh-TW" w:bidi="zh-TW"/>
              </w:rPr>
              <w:t>将实际完成值与设计目标值进行对比；一个项目区至少选择一个行政村开展问卷调查。对于年度和规划期的评价，应抽样调查项目进行评价。</w:t>
            </w:r>
          </w:p>
          <w:p>
            <w:pPr>
              <w:spacing w:line="286" w:lineRule="exact"/>
              <w:jc w:val="left"/>
              <w:rPr>
                <w:rFonts w:cs="宋体"/>
                <w:color w:val="252525"/>
                <w:sz w:val="16"/>
                <w:szCs w:val="16"/>
                <w:lang w:val="zh-TW" w:eastAsia="zh-TW" w:bidi="zh-TW"/>
              </w:rPr>
            </w:pPr>
            <w:r>
              <w:rPr>
                <w:rFonts w:cs="宋体"/>
                <w:color w:val="252525"/>
                <w:sz w:val="16"/>
                <w:szCs w:val="16"/>
                <w:lang w:val="zh-TW" w:eastAsia="zh-TW" w:bidi="zh-TW"/>
              </w:rPr>
              <w:t>釆用目标对比法评价，评分采用五分制</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94" w:hRule="exact"/>
          <w:jc w:val="center"/>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cs="宋体"/>
                <w:color w:val="252525"/>
                <w:sz w:val="18"/>
                <w:szCs w:val="18"/>
                <w:lang w:eastAsia="en-US" w:bidi="zh-TW"/>
              </w:rPr>
            </w:pPr>
            <w:r>
              <w:rPr>
                <w:color w:val="252525"/>
                <w:sz w:val="18"/>
                <w:szCs w:val="18"/>
                <w:lang w:eastAsia="en-US" w:bidi="en-US"/>
              </w:rPr>
              <w:t>A3</w:t>
            </w:r>
            <w:r>
              <w:rPr>
                <w:color w:val="252525"/>
                <w:sz w:val="18"/>
                <w:szCs w:val="18"/>
                <w:lang w:val="zh-TW" w:eastAsia="zh-TW" w:bidi="zh-TW"/>
              </w:rPr>
              <w:t>9</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建成家庭农场面积</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100"/>
              <w:jc w:val="left"/>
              <w:rPr>
                <w:rFonts w:hint="eastAsia" w:eastAsia="宋体" w:cs="宋体"/>
                <w:color w:val="252525"/>
                <w:sz w:val="16"/>
                <w:szCs w:val="16"/>
                <w:lang w:val="zh-TW" w:eastAsia="zh-CN" w:bidi="zh-TW"/>
              </w:rPr>
            </w:pPr>
            <w:r>
              <w:rPr>
                <w:rFonts w:cs="宋体"/>
                <w:color w:val="252525"/>
                <w:sz w:val="16"/>
                <w:szCs w:val="16"/>
                <w:lang w:val="zh-TW" w:eastAsia="zh-TW" w:bidi="zh-TW"/>
              </w:rPr>
              <w:t>项目建成后，项目区通过土地流转，实现满足家庭农场经营最小规模的耕地面积</w:t>
            </w:r>
            <w:r>
              <w:rPr>
                <w:rFonts w:hint="eastAsia" w:cs="宋体"/>
                <w:color w:val="252525"/>
                <w:sz w:val="16"/>
                <w:szCs w:val="16"/>
                <w:lang w:val="zh-TW" w:eastAsia="zh-CN" w:bidi="zh-TW"/>
              </w:rPr>
              <w:t>。</w:t>
            </w:r>
          </w:p>
        </w:tc>
        <w:tc>
          <w:tcPr>
            <w:tcW w:w="1501" w:type="dxa"/>
            <w:gridSpan w:val="3"/>
            <w:tcBorders>
              <w:top w:val="single" w:color="auto" w:sz="4" w:space="0"/>
              <w:left w:val="single" w:color="auto" w:sz="4" w:space="0"/>
              <w:bottom w:val="single" w:color="auto" w:sz="4" w:space="0"/>
              <w:right w:val="single" w:color="auto" w:sz="4" w:space="0"/>
            </w:tcBorders>
            <w:shd w:val="clear" w:color="auto" w:fill="FFFFFF"/>
            <w:vAlign w:val="bottom"/>
          </w:tcPr>
          <w:p>
            <w:pPr>
              <w:spacing w:after="520" w:line="286" w:lineRule="exact"/>
              <w:jc w:val="lef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p>
            <w:pPr>
              <w:spacing w:line="286" w:lineRule="exact"/>
              <w:jc w:val="left"/>
              <w:rPr>
                <w:rFonts w:cs="宋体"/>
                <w:color w:val="252525"/>
                <w:sz w:val="16"/>
                <w:szCs w:val="16"/>
                <w:lang w:val="zh-TW" w:eastAsia="zh-TW" w:bidi="zh-TW"/>
              </w:rPr>
            </w:pPr>
          </w:p>
        </w:tc>
        <w:tc>
          <w:tcPr>
            <w:tcW w:w="450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jc w:val="left"/>
              <w:rPr>
                <w:rFonts w:cs="宋体"/>
                <w:color w:val="252525"/>
                <w:sz w:val="16"/>
                <w:szCs w:val="16"/>
                <w:lang w:val="zh-TW" w:bidi="zh-TW"/>
              </w:rPr>
            </w:pPr>
            <w:r>
              <w:rPr>
                <w:rFonts w:hint="eastAsia" w:cs="宋体"/>
                <w:color w:val="252525"/>
                <w:sz w:val="16"/>
                <w:szCs w:val="16"/>
                <w:lang w:val="zh-TW" w:bidi="zh-TW"/>
              </w:rPr>
              <w:t>采用</w:t>
            </w:r>
            <w:r>
              <w:rPr>
                <w:rFonts w:cs="宋体"/>
                <w:color w:val="252525"/>
                <w:sz w:val="16"/>
                <w:szCs w:val="16"/>
                <w:lang w:val="zh-TW" w:eastAsia="zh-TW" w:bidi="zh-TW"/>
              </w:rPr>
              <w:t>统计分析法、问卷调查法、抽样调查法进行评价。对于项目评价，可通过统计分析、问卷调查和典型地块调査</w:t>
            </w:r>
            <w:r>
              <w:rPr>
                <w:rFonts w:hint="eastAsia" w:cs="宋体"/>
                <w:color w:val="252525"/>
                <w:sz w:val="16"/>
                <w:szCs w:val="16"/>
                <w:lang w:val="zh-TW" w:bidi="zh-TW"/>
              </w:rPr>
              <w:t>，计算</w:t>
            </w:r>
            <w:r>
              <w:rPr>
                <w:rFonts w:cs="宋体"/>
                <w:color w:val="252525"/>
                <w:sz w:val="16"/>
                <w:szCs w:val="16"/>
                <w:lang w:val="zh-TW" w:eastAsia="zh-TW" w:bidi="zh-TW"/>
              </w:rPr>
              <w:t>项目建成后土地流转面积。对于年度和规划期的评价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r>
              <w:rPr>
                <w:rFonts w:hint="eastAsia" w:cs="宋体"/>
                <w:color w:val="252525"/>
                <w:sz w:val="16"/>
                <w:szCs w:val="16"/>
                <w:lang w:val="zh-TW" w:bidi="zh-TW"/>
              </w:rPr>
              <w:t>。</w:t>
            </w:r>
          </w:p>
          <w:p>
            <w:pPr>
              <w:spacing w:line="286" w:lineRule="exact"/>
              <w:jc w:val="left"/>
              <w:rPr>
                <w:rFonts w:cs="宋体"/>
                <w:color w:val="252525"/>
                <w:sz w:val="16"/>
                <w:szCs w:val="16"/>
                <w:lang w:val="zh-TW" w:bidi="zh-TW"/>
              </w:rPr>
            </w:pPr>
            <w:r>
              <w:rPr>
                <w:rFonts w:cs="宋体"/>
                <w:color w:val="252525"/>
                <w:sz w:val="16"/>
                <w:szCs w:val="16"/>
                <w:lang w:val="zh-TW" w:eastAsia="zh-TW" w:bidi="zh-TW"/>
              </w:rPr>
              <w:t>釆用目标对比法评价，评分采用五分制</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553" w:hRule="exact"/>
          <w:jc w:val="center"/>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rPr>
                <w:rFonts w:cs="宋体"/>
                <w:color w:val="252525"/>
                <w:sz w:val="18"/>
                <w:szCs w:val="18"/>
                <w:lang w:eastAsia="en-US" w:bidi="zh-TW"/>
              </w:rPr>
            </w:pPr>
            <w:r>
              <w:rPr>
                <w:color w:val="474747"/>
                <w:sz w:val="18"/>
                <w:szCs w:val="18"/>
                <w:lang w:eastAsia="en-US" w:bidi="en-US"/>
              </w:rPr>
              <w:t>A40</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cs="宋体"/>
                <w:color w:val="252525"/>
                <w:sz w:val="16"/>
                <w:szCs w:val="16"/>
                <w:lang w:val="zh-TW" w:eastAsia="zh-TW" w:bidi="zh-TW"/>
              </w:rPr>
            </w:pPr>
            <w:r>
              <w:rPr>
                <w:rFonts w:cs="宋体"/>
                <w:color w:val="252525"/>
                <w:sz w:val="16"/>
                <w:szCs w:val="16"/>
                <w:lang w:val="zh-TW" w:eastAsia="zh-TW" w:bidi="zh-TW"/>
              </w:rPr>
              <w:t>户均经营面积</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rPr>
                <w:rFonts w:cs="宋体"/>
                <w:color w:val="252525"/>
                <w:sz w:val="18"/>
                <w:szCs w:val="18"/>
                <w:lang w:eastAsia="en-US" w:bidi="zh-TW"/>
              </w:rPr>
            </w:pPr>
            <w:r>
              <w:rPr>
                <w:color w:val="252525"/>
                <w:sz w:val="18"/>
                <w:szCs w:val="18"/>
                <w:lang w:eastAsia="en-US" w:bidi="en-US"/>
              </w:rPr>
              <w:t>hm</w:t>
            </w:r>
            <w:r>
              <w:rPr>
                <w:color w:val="252525"/>
                <w:sz w:val="18"/>
                <w:szCs w:val="18"/>
                <w:vertAlign w:val="superscript"/>
                <w:lang w:eastAsia="en-US" w:bidi="en-US"/>
              </w:rPr>
              <w:t>2</w:t>
            </w:r>
          </w:p>
        </w:tc>
        <w:tc>
          <w:tcPr>
            <w:tcW w:w="23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79" w:lineRule="exact"/>
              <w:rPr>
                <w:rFonts w:hint="eastAsia" w:eastAsia="宋体" w:cs="宋体"/>
                <w:color w:val="252525"/>
                <w:sz w:val="34"/>
                <w:szCs w:val="34"/>
                <w:lang w:val="zh-TW" w:eastAsia="zh-CN" w:bidi="zh-TW"/>
              </w:rPr>
            </w:pPr>
            <w:r>
              <w:rPr>
                <w:rFonts w:cs="宋体"/>
                <w:color w:val="252525"/>
                <w:sz w:val="16"/>
                <w:szCs w:val="16"/>
                <w:lang w:val="zh-TW" w:eastAsia="zh-TW" w:bidi="zh-TW"/>
              </w:rPr>
              <w:t>项目</w:t>
            </w:r>
            <w:r>
              <w:rPr>
                <w:rFonts w:hint="eastAsia" w:cs="宋体"/>
                <w:color w:val="252525"/>
                <w:sz w:val="16"/>
                <w:szCs w:val="16"/>
                <w:lang w:val="zh-TW" w:bidi="zh-TW"/>
              </w:rPr>
              <w:t>建设后</w:t>
            </w:r>
            <w:r>
              <w:rPr>
                <w:rFonts w:cs="宋体"/>
                <w:color w:val="252525"/>
                <w:sz w:val="16"/>
                <w:szCs w:val="16"/>
                <w:lang w:val="zh-TW" w:eastAsia="zh-TW" w:bidi="zh-TW"/>
              </w:rPr>
              <w:t>，项目区耕地总面积与拥有土地经营权户数的比值</w:t>
            </w:r>
            <w:r>
              <w:rPr>
                <w:rFonts w:hint="eastAsia" w:cs="宋体"/>
                <w:color w:val="252525"/>
                <w:sz w:val="16"/>
                <w:szCs w:val="16"/>
                <w:lang w:val="zh-TW" w:eastAsia="zh-CN" w:bidi="zh-TW"/>
              </w:rPr>
              <w:t>。</w:t>
            </w:r>
          </w:p>
        </w:tc>
        <w:tc>
          <w:tcPr>
            <w:tcW w:w="150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cs="宋体"/>
                <w:color w:val="252525"/>
                <w:sz w:val="16"/>
                <w:szCs w:val="16"/>
                <w:lang w:val="zh-TW" w:bidi="zh-TW"/>
              </w:rPr>
            </w:pPr>
            <w:r>
              <w:rPr>
                <w:rFonts w:hint="eastAsia" w:cs="宋体"/>
                <w:color w:val="252525"/>
                <w:sz w:val="16"/>
                <w:szCs w:val="16"/>
                <w:lang w:val="zh-TW" w:bidi="zh-TW"/>
              </w:rPr>
              <w:t>项目设计文件，土地承包权证，统计年鉴</w:t>
            </w:r>
          </w:p>
        </w:tc>
        <w:tc>
          <w:tcPr>
            <w:tcW w:w="450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rPr>
                <w:rFonts w:cs="宋体"/>
                <w:color w:val="252525"/>
                <w:sz w:val="16"/>
                <w:szCs w:val="16"/>
                <w:lang w:val="zh-TW" w:eastAsia="zh-TW" w:bidi="zh-TW"/>
              </w:rPr>
            </w:pPr>
            <w:r>
              <w:rPr>
                <w:rFonts w:cs="宋体"/>
                <w:color w:val="252525"/>
                <w:sz w:val="16"/>
                <w:szCs w:val="16"/>
                <w:lang w:val="zh-TW" w:eastAsia="zh-TW" w:bidi="zh-TW"/>
              </w:rPr>
              <w:t>通过统计分析法、问卷调査法、抽样调查法进行评价。对于项目评价，可通过统计分析、问卷调查和典型地块调査，计算项目建成后从事农业生产的总户数，再与项目区耕地总面积进行比较。对于年度和规划期的评价，应抽样调査项目进行评价。</w:t>
            </w:r>
          </w:p>
          <w:p>
            <w:pPr>
              <w:spacing w:line="281"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p>
            <w:pPr>
              <w:spacing w:line="286" w:lineRule="exact"/>
              <w:rPr>
                <w:rFonts w:cs="宋体"/>
                <w:color w:val="252525"/>
                <w:sz w:val="16"/>
                <w:szCs w:val="16"/>
                <w:lang w:val="zh-TW" w:eastAsia="zh-TW" w:bidi="zh-TW"/>
              </w:rPr>
            </w:pP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84" w:hRule="exact"/>
          <w:jc w:val="center"/>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cs="宋体"/>
                <w:color w:val="252525"/>
                <w:sz w:val="18"/>
                <w:szCs w:val="18"/>
                <w:lang w:eastAsia="en-US" w:bidi="zh-TW"/>
              </w:rPr>
            </w:pPr>
            <w:r>
              <w:rPr>
                <w:color w:val="474747"/>
                <w:sz w:val="18"/>
                <w:szCs w:val="18"/>
                <w:lang w:eastAsia="en-US" w:bidi="en-US"/>
              </w:rPr>
              <w:t>A41</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92" w:lineRule="exact"/>
              <w:jc w:val="left"/>
              <w:rPr>
                <w:rFonts w:cs="宋体"/>
                <w:color w:val="252525"/>
                <w:sz w:val="16"/>
                <w:szCs w:val="16"/>
                <w:lang w:val="zh-TW" w:eastAsia="zh-TW" w:bidi="zh-TW"/>
              </w:rPr>
            </w:pPr>
            <w:r>
              <w:rPr>
                <w:rFonts w:cs="宋体"/>
                <w:color w:val="252525"/>
                <w:sz w:val="16"/>
                <w:szCs w:val="16"/>
                <w:lang w:val="zh-TW" w:eastAsia="zh-TW" w:bidi="zh-TW"/>
              </w:rPr>
              <w:t>新增农田灌溉达标面积</w:t>
            </w:r>
            <w:r>
              <w:rPr>
                <w:rFonts w:cs="宋体"/>
                <w:color w:val="252525"/>
                <w:sz w:val="16"/>
                <w:szCs w:val="16"/>
                <w:lang w:eastAsia="en-US" w:bidi="en-US"/>
              </w:rPr>
              <w:t>*</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8"/>
                <w:szCs w:val="18"/>
                <w:lang w:eastAsia="en-US" w:bidi="zh-TW"/>
              </w:rPr>
            </w:pPr>
            <w:r>
              <w:rPr>
                <w:color w:val="252525"/>
                <w:sz w:val="18"/>
                <w:szCs w:val="18"/>
                <w:lang w:eastAsia="en-US" w:bidi="en-US"/>
              </w:rPr>
              <w:t>hm</w:t>
            </w:r>
            <w:r>
              <w:rPr>
                <w:color w:val="252525"/>
                <w:sz w:val="18"/>
                <w:szCs w:val="18"/>
                <w:vertAlign w:val="superscript"/>
                <w:lang w:eastAsia="en-US" w:bidi="en-US"/>
              </w:rPr>
              <w:t>2</w:t>
            </w:r>
          </w:p>
        </w:tc>
        <w:tc>
          <w:tcPr>
            <w:tcW w:w="230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项目建设后，项目区达到灌溉保证率的耕地面积。</w:t>
            </w:r>
            <w:r>
              <w:rPr>
                <w:rFonts w:hint="eastAsia" w:cs="宋体"/>
                <w:color w:val="252525"/>
                <w:sz w:val="16"/>
                <w:szCs w:val="16"/>
                <w:lang w:val="zh-TW" w:bidi="zh-TW"/>
              </w:rPr>
              <w:t>即</w:t>
            </w:r>
            <w:r>
              <w:rPr>
                <w:rFonts w:cs="宋体"/>
                <w:color w:val="252525"/>
                <w:sz w:val="16"/>
                <w:szCs w:val="16"/>
                <w:lang w:val="zh-TW" w:eastAsia="zh-TW" w:bidi="zh-TW"/>
              </w:rPr>
              <w:t>按照设计灌溉保证率的要求，各项水源工程和输配水工程所控制的耕地面积</w:t>
            </w:r>
            <w:r>
              <w:rPr>
                <w:rFonts w:hint="eastAsia" w:cs="宋体"/>
                <w:color w:val="252525"/>
                <w:sz w:val="16"/>
                <w:szCs w:val="16"/>
                <w:lang w:val="zh-TW" w:eastAsia="zh-CN" w:bidi="zh-TW"/>
              </w:rPr>
              <w:t>。</w:t>
            </w:r>
          </w:p>
        </w:tc>
        <w:tc>
          <w:tcPr>
            <w:tcW w:w="150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cs="宋体"/>
                <w:color w:val="252525"/>
                <w:sz w:val="16"/>
                <w:szCs w:val="16"/>
                <w:lang w:val="zh-TW" w:bidi="zh-TW"/>
              </w:rPr>
            </w:pPr>
            <w:r>
              <w:rPr>
                <w:rFonts w:cs="宋体"/>
                <w:color w:val="252525"/>
                <w:sz w:val="16"/>
                <w:szCs w:val="16"/>
                <w:lang w:val="zh-TW" w:eastAsia="zh-TW" w:bidi="zh-TW"/>
              </w:rPr>
              <w:t>项目设计文件，竣工验收技术文件，工程复核报告,竣工图</w:t>
            </w:r>
          </w:p>
        </w:tc>
        <w:tc>
          <w:tcPr>
            <w:tcW w:w="450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通过查阅有关资料、现状调查进行评价。对于项目评价，可通过查阅项目设计文件、竣工验收技术文件和竣工图，并进行现状调査，计算农田灌溉面积。对于年度和规划期的评价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采用目标对比法评价，评分釆用五分制</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38"/>
        <w:gridCol w:w="1447"/>
        <w:gridCol w:w="980"/>
        <w:gridCol w:w="2451"/>
        <w:gridCol w:w="1444"/>
        <w:gridCol w:w="4514"/>
        <w:gridCol w:w="1843"/>
      </w:tblGrid>
      <w:tr>
        <w:tblPrEx>
          <w:tblCellMar>
            <w:top w:w="0" w:type="dxa"/>
            <w:left w:w="10" w:type="dxa"/>
            <w:bottom w:w="0" w:type="dxa"/>
            <w:right w:w="10" w:type="dxa"/>
          </w:tblCellMar>
        </w:tblPrEx>
        <w:trPr>
          <w:trHeight w:val="378"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9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45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502"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A42</w:t>
            </w:r>
          </w:p>
        </w:tc>
        <w:tc>
          <w:tcPr>
            <w:tcW w:w="1447" w:type="dxa"/>
            <w:tcBorders>
              <w:top w:val="single" w:color="auto" w:sz="4" w:space="0"/>
              <w:left w:val="single" w:color="auto" w:sz="4" w:space="0"/>
            </w:tcBorders>
            <w:shd w:val="clear" w:color="auto" w:fill="FFFFFF"/>
            <w:vAlign w:val="center"/>
          </w:tcPr>
          <w:p>
            <w:pPr>
              <w:spacing w:line="281" w:lineRule="exact"/>
              <w:jc w:val="left"/>
              <w:rPr>
                <w:rFonts w:cs="宋体"/>
                <w:color w:val="252525"/>
                <w:sz w:val="16"/>
                <w:szCs w:val="16"/>
                <w:lang w:val="zh-TW" w:eastAsia="zh-TW" w:bidi="zh-TW"/>
              </w:rPr>
            </w:pPr>
            <w:r>
              <w:rPr>
                <w:rFonts w:cs="宋体"/>
                <w:color w:val="252525"/>
                <w:sz w:val="16"/>
                <w:szCs w:val="16"/>
                <w:lang w:val="zh-TW" w:eastAsia="zh-TW" w:bidi="zh-TW"/>
              </w:rPr>
              <w:t>新增农田排水达标面积*</w:t>
            </w:r>
          </w:p>
        </w:tc>
        <w:tc>
          <w:tcPr>
            <w:tcW w:w="980"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w:t>
            </w:r>
            <w:r>
              <w:rPr>
                <w:rFonts w:hint="eastAsia"/>
                <w:color w:val="252525"/>
                <w:sz w:val="18"/>
                <w:szCs w:val="18"/>
                <w:lang w:bidi="en-US"/>
              </w:rPr>
              <w:t>m</w:t>
            </w:r>
            <w:r>
              <w:rPr>
                <w:color w:val="252525"/>
                <w:sz w:val="18"/>
                <w:szCs w:val="18"/>
                <w:vertAlign w:val="superscript"/>
                <w:lang w:eastAsia="en-US" w:bidi="en-US"/>
              </w:rPr>
              <w:t>2</w:t>
            </w:r>
          </w:p>
        </w:tc>
        <w:tc>
          <w:tcPr>
            <w:tcW w:w="2451" w:type="dxa"/>
            <w:tcBorders>
              <w:top w:val="single" w:color="auto" w:sz="4" w:space="0"/>
              <w:left w:val="single" w:color="auto" w:sz="4" w:space="0"/>
            </w:tcBorders>
            <w:shd w:val="clear" w:color="auto" w:fill="FFFFFF"/>
            <w:vAlign w:val="center"/>
          </w:tcPr>
          <w:p>
            <w:pPr>
              <w:spacing w:line="286"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项目建设后，项目区达到农田排涝标准的土地面积。即按照农田排涝标准，各项排水工程所控制的面积</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通过查阅有关资料、现状调查进行评价。对于项目评价，可通过查阅项目设计文件、竣工验收技术文件和竣工图，并进行现状调查，计算农田排涝面积。对于年度和规划期的评价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釆用目标对比法评价，评分采用五分制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498"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A43</w:t>
            </w:r>
          </w:p>
        </w:tc>
        <w:tc>
          <w:tcPr>
            <w:tcW w:w="1447" w:type="dxa"/>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000000"/>
                <w:sz w:val="16"/>
                <w:szCs w:val="16"/>
                <w:lang w:val="zh-TW" w:eastAsia="zh-TW" w:bidi="zh-TW"/>
              </w:rPr>
              <w:t>增加农田林网面积</w:t>
            </w:r>
          </w:p>
        </w:tc>
        <w:tc>
          <w:tcPr>
            <w:tcW w:w="980"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451"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经建设前后比较，项目区实际增加林木绿化的面积</w:t>
            </w:r>
          </w:p>
        </w:tc>
        <w:tc>
          <w:tcPr>
            <w:tcW w:w="1444" w:type="dxa"/>
            <w:tcBorders>
              <w:top w:val="single" w:color="auto" w:sz="4" w:space="0"/>
              <w:left w:val="single" w:color="auto" w:sz="4" w:space="0"/>
            </w:tcBorders>
            <w:shd w:val="clear" w:color="auto" w:fill="FFFFFF"/>
            <w:vAlign w:val="center"/>
          </w:tcPr>
          <w:p>
            <w:pPr>
              <w:spacing w:line="280"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各类农田防护林木的占地面积，再减去建设前上述地类的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3" w:lineRule="exact"/>
              <w:rPr>
                <w:rFonts w:cs="宋体"/>
                <w:color w:val="252525"/>
                <w:sz w:val="16"/>
                <w:szCs w:val="16"/>
                <w:lang w:val="zh-TW" w:eastAsia="zh-TW" w:bidi="zh-TW"/>
              </w:rPr>
            </w:pPr>
            <w:r>
              <w:rPr>
                <w:rFonts w:cs="宋体"/>
                <w:color w:val="252525"/>
                <w:sz w:val="16"/>
                <w:szCs w:val="16"/>
                <w:lang w:val="zh-TW" w:eastAsia="zh-TW" w:bidi="zh-TW"/>
              </w:rPr>
              <w:t>采用目标对比法评价</w:t>
            </w:r>
            <w:r>
              <w:rPr>
                <w:rFonts w:hint="eastAsia" w:cs="宋体"/>
                <w:color w:val="252525"/>
                <w:sz w:val="16"/>
                <w:szCs w:val="16"/>
                <w:lang w:val="zh-TW" w:bidi="zh-TW"/>
              </w:rPr>
              <w:t>，</w:t>
            </w:r>
            <w:r>
              <w:rPr>
                <w:rFonts w:cs="宋体"/>
                <w:color w:val="252525"/>
                <w:sz w:val="16"/>
                <w:szCs w:val="16"/>
                <w:lang w:val="zh-TW" w:eastAsia="zh-TW" w:bidi="zh-TW"/>
              </w:rPr>
              <w:t>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226"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A44</w:t>
            </w:r>
          </w:p>
        </w:tc>
        <w:tc>
          <w:tcPr>
            <w:tcW w:w="1447" w:type="dxa"/>
            <w:tcBorders>
              <w:top w:val="single" w:color="auto" w:sz="4" w:space="0"/>
              <w:lef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000000"/>
                <w:sz w:val="16"/>
                <w:szCs w:val="16"/>
                <w:lang w:val="zh-TW" w:eastAsia="zh-TW" w:bidi="zh-TW"/>
              </w:rPr>
              <w:t>水土流失治理面积</w:t>
            </w:r>
          </w:p>
        </w:tc>
        <w:tc>
          <w:tcPr>
            <w:tcW w:w="980"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451"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项目建设后，项目区达到水土流失治理标准的土地面积。即按照水土流失防治标准,各项工程措施和生物措施所防护治理的面积</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1"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水土流失治理面积。对于年度和规划期的评价，应抽样调查项目进行评价。采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408"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A45</w:t>
            </w:r>
          </w:p>
        </w:tc>
        <w:tc>
          <w:tcPr>
            <w:tcW w:w="1447" w:type="dxa"/>
            <w:tcBorders>
              <w:top w:val="single" w:color="auto" w:sz="4" w:space="0"/>
              <w:left w:val="single" w:color="auto" w:sz="4" w:space="0"/>
            </w:tcBorders>
            <w:shd w:val="clear" w:color="auto" w:fill="FFFFFF"/>
            <w:vAlign w:val="center"/>
          </w:tcPr>
          <w:p>
            <w:pPr>
              <w:spacing w:line="292" w:lineRule="exact"/>
              <w:jc w:val="left"/>
              <w:rPr>
                <w:rFonts w:cs="宋体"/>
                <w:color w:val="252525"/>
                <w:sz w:val="16"/>
                <w:szCs w:val="16"/>
                <w:lang w:val="zh-TW" w:eastAsia="zh-TW" w:bidi="zh-TW"/>
              </w:rPr>
            </w:pPr>
            <w:r>
              <w:rPr>
                <w:rFonts w:cs="宋体"/>
                <w:color w:val="252525"/>
                <w:sz w:val="16"/>
                <w:szCs w:val="16"/>
                <w:lang w:val="zh-TW" w:eastAsia="zh-TW" w:bidi="zh-TW"/>
              </w:rPr>
              <w:t>新增农田防洪面积</w:t>
            </w:r>
          </w:p>
        </w:tc>
        <w:tc>
          <w:tcPr>
            <w:tcW w:w="980"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451"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项目建设后，项目区达到农田防洪标准的土地面积。防洪工程措施包括修建防洪堤、防洪沟、排洪泵站等</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2"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tcBorders>
            <w:shd w:val="clear" w:color="auto" w:fill="FFFFFF"/>
            <w:vAlign w:val="center"/>
          </w:tcPr>
          <w:p>
            <w:pPr>
              <w:spacing w:line="282"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通过查阅有关资料、现状调查进行评价。对于项目评价，可通过查阅项目设计文件、竣工验收技术文件和竣工图，并进行现状调查，计算农田防洪面积。对于年度和规划期的评价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2"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591"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252525"/>
                <w:sz w:val="18"/>
                <w:szCs w:val="18"/>
                <w:lang w:eastAsia="en-US" w:bidi="en-US"/>
              </w:rPr>
              <w:t>A46</w:t>
            </w:r>
          </w:p>
        </w:tc>
        <w:tc>
          <w:tcPr>
            <w:tcW w:w="1447"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盐碱地治理面积</w:t>
            </w:r>
          </w:p>
        </w:tc>
        <w:tc>
          <w:tcPr>
            <w:tcW w:w="980" w:type="dxa"/>
            <w:tcBorders>
              <w:top w:val="single" w:color="auto" w:sz="4" w:space="0"/>
              <w:left w:val="single" w:color="auto" w:sz="4" w:space="0"/>
              <w:bottom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451" w:type="dxa"/>
            <w:tcBorders>
              <w:top w:val="single" w:color="auto" w:sz="4" w:space="0"/>
              <w:left w:val="single" w:color="auto" w:sz="4" w:space="0"/>
              <w:bottom w:val="single" w:color="auto" w:sz="4" w:space="0"/>
            </w:tcBorders>
            <w:shd w:val="clear" w:color="auto" w:fill="FFFFFF"/>
            <w:vAlign w:val="center"/>
          </w:tcPr>
          <w:p>
            <w:pPr>
              <w:spacing w:line="285"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项目建设后，项目区盐碱地得到治理的土地面积。即按照农田地下水排除标准，各项排水工程所控制的 面积</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bottom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通过查阅有关资料、现状调查进行评价。对于项目评价，可通过查阅项目设计文件、竣工验收技术文件和竣工图，并进行现状调查，计算盐碱地治理面积。对于年度和规划期的评价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7" w:lineRule="exact"/>
              <w:rPr>
                <w:rFonts w:cs="宋体"/>
                <w:color w:val="252525"/>
                <w:sz w:val="16"/>
                <w:szCs w:val="16"/>
                <w:lang w:val="zh-TW" w:eastAsia="zh-TW" w:bidi="zh-TW"/>
              </w:rPr>
            </w:pPr>
            <w:r>
              <w:rPr>
                <w:rFonts w:cs="宋体"/>
                <w:color w:val="252525"/>
                <w:sz w:val="16"/>
                <w:szCs w:val="16"/>
                <w:lang w:val="zh-TW" w:eastAsia="zh-TW" w:bidi="zh-TW"/>
              </w:rPr>
              <w:t>釆用目标对比法评价</w:t>
            </w:r>
            <w:r>
              <w:rPr>
                <w:rFonts w:hint="eastAsia" w:cs="宋体"/>
                <w:color w:val="252525"/>
                <w:sz w:val="16"/>
                <w:szCs w:val="16"/>
                <w:lang w:val="zh-TW" w:bidi="zh-TW"/>
              </w:rPr>
              <w:t>，</w:t>
            </w:r>
            <w:r>
              <w:rPr>
                <w:rFonts w:cs="宋体"/>
                <w:color w:val="252525"/>
                <w:sz w:val="16"/>
                <w:szCs w:val="16"/>
                <w:lang w:val="zh-TW" w:eastAsia="zh-TW" w:bidi="zh-TW"/>
              </w:rPr>
              <w:t>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13418" w:type="dxa"/>
        <w:jc w:val="center"/>
        <w:tblLayout w:type="fixed"/>
        <w:tblCellMar>
          <w:top w:w="0" w:type="dxa"/>
          <w:left w:w="10" w:type="dxa"/>
          <w:bottom w:w="0" w:type="dxa"/>
          <w:right w:w="10" w:type="dxa"/>
        </w:tblCellMar>
      </w:tblPr>
      <w:tblGrid>
        <w:gridCol w:w="738"/>
        <w:gridCol w:w="4"/>
        <w:gridCol w:w="1440"/>
        <w:gridCol w:w="7"/>
        <w:gridCol w:w="1073"/>
        <w:gridCol w:w="7"/>
        <w:gridCol w:w="2344"/>
        <w:gridCol w:w="3"/>
        <w:gridCol w:w="1441"/>
        <w:gridCol w:w="3"/>
        <w:gridCol w:w="4511"/>
        <w:gridCol w:w="1843"/>
        <w:gridCol w:w="4"/>
      </w:tblGrid>
      <w:tr>
        <w:tblPrEx>
          <w:tblCellMar>
            <w:top w:w="0" w:type="dxa"/>
            <w:left w:w="10" w:type="dxa"/>
            <w:bottom w:w="0" w:type="dxa"/>
            <w:right w:w="10" w:type="dxa"/>
          </w:tblCellMar>
        </w:tblPrEx>
        <w:trPr>
          <w:trHeight w:val="374" w:hRule="exact"/>
          <w:jc w:val="center"/>
        </w:trPr>
        <w:tc>
          <w:tcPr>
            <w:tcW w:w="742"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编号</w:t>
            </w:r>
          </w:p>
        </w:tc>
        <w:tc>
          <w:tcPr>
            <w:tcW w:w="1447"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0"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gridSpan w:val="2"/>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评价方法与评分规则</w:t>
            </w:r>
          </w:p>
        </w:tc>
        <w:tc>
          <w:tcPr>
            <w:tcW w:w="1847" w:type="dxa"/>
            <w:gridSpan w:val="2"/>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474747"/>
                <w:sz w:val="16"/>
                <w:szCs w:val="16"/>
                <w:lang w:val="zh-TW" w:eastAsia="zh-TW" w:bidi="zh-TW"/>
              </w:rPr>
              <w:t>适用对象</w:t>
            </w:r>
          </w:p>
        </w:tc>
      </w:tr>
      <w:tr>
        <w:tblPrEx>
          <w:tblCellMar>
            <w:top w:w="0" w:type="dxa"/>
            <w:left w:w="10" w:type="dxa"/>
            <w:bottom w:w="0" w:type="dxa"/>
            <w:right w:w="10" w:type="dxa"/>
          </w:tblCellMar>
        </w:tblPrEx>
        <w:trPr>
          <w:trHeight w:val="1490" w:hRule="exact"/>
          <w:jc w:val="center"/>
        </w:trPr>
        <w:tc>
          <w:tcPr>
            <w:tcW w:w="742"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A47</w:t>
            </w:r>
          </w:p>
        </w:tc>
        <w:tc>
          <w:tcPr>
            <w:tcW w:w="1447" w:type="dxa"/>
            <w:gridSpan w:val="2"/>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血吸虫治理面积</w:t>
            </w:r>
          </w:p>
        </w:tc>
        <w:tc>
          <w:tcPr>
            <w:tcW w:w="1080"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47" w:type="dxa"/>
            <w:gridSpan w:val="2"/>
            <w:tcBorders>
              <w:top w:val="single" w:color="auto" w:sz="4" w:space="0"/>
              <w:left w:val="single" w:color="auto" w:sz="4" w:space="0"/>
            </w:tcBorders>
            <w:shd w:val="clear" w:color="auto" w:fill="FFFFFF"/>
            <w:vAlign w:val="center"/>
          </w:tcPr>
          <w:p>
            <w:pPr>
              <w:spacing w:after="100"/>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项目建设后，项目区血吸虫得到治理的土地面积</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1" w:type="dxa"/>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通过查阅有关资料、现状调查进行评价。对于项目评价，可通过查阅项目设计文件、竣工验收技术文件和竣工图，并进行现状调查，计算血吸虫治理面积。对于年度和规划期的评价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8"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7"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091" w:hRule="exact"/>
          <w:jc w:val="center"/>
        </w:trPr>
        <w:tc>
          <w:tcPr>
            <w:tcW w:w="742"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474747"/>
                <w:sz w:val="18"/>
                <w:szCs w:val="18"/>
                <w:lang w:eastAsia="en-US" w:bidi="en-US"/>
              </w:rPr>
              <w:t>A48</w:t>
            </w:r>
          </w:p>
        </w:tc>
        <w:tc>
          <w:tcPr>
            <w:tcW w:w="1447" w:type="dxa"/>
            <w:gridSpan w:val="2"/>
            <w:tcBorders>
              <w:top w:val="single" w:color="auto" w:sz="4" w:space="0"/>
              <w:left w:val="single" w:color="auto" w:sz="4" w:space="0"/>
            </w:tcBorders>
            <w:shd w:val="clear" w:color="auto" w:fill="FFFFFF"/>
            <w:vAlign w:val="center"/>
          </w:tcPr>
          <w:p>
            <w:pPr>
              <w:spacing w:line="292" w:lineRule="exact"/>
              <w:jc w:val="left"/>
              <w:rPr>
                <w:rFonts w:cs="宋体"/>
                <w:color w:val="252525"/>
                <w:sz w:val="16"/>
                <w:szCs w:val="16"/>
                <w:lang w:val="zh-TW" w:eastAsia="zh-TW" w:bidi="zh-TW"/>
              </w:rPr>
            </w:pPr>
            <w:r>
              <w:rPr>
                <w:rFonts w:cs="宋体"/>
                <w:color w:val="252525"/>
                <w:sz w:val="16"/>
                <w:szCs w:val="16"/>
                <w:lang w:val="zh-TW" w:eastAsia="zh-TW" w:bidi="zh-TW"/>
              </w:rPr>
              <w:t>单位面积化肥使用减少量</w:t>
            </w:r>
          </w:p>
        </w:tc>
        <w:tc>
          <w:tcPr>
            <w:tcW w:w="1080"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kg</w:t>
            </w:r>
          </w:p>
        </w:tc>
        <w:tc>
          <w:tcPr>
            <w:tcW w:w="2347" w:type="dxa"/>
            <w:gridSpan w:val="2"/>
            <w:tcBorders>
              <w:top w:val="single" w:color="auto" w:sz="4" w:space="0"/>
              <w:left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经建设前后比较，项目区单位耕地减少的化肥使用量</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1" w:type="dxa"/>
            <w:tcBorders>
              <w:top w:val="single" w:color="auto" w:sz="4" w:space="0"/>
              <w:left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釆用问卷调查法、抽样调查法、专家评议法进行评价。对于项目评价，可通过问卷调查和典型地块观测试验，并经专家评议，分析建设前后单位面积农田减少的化肥使用量，再乘以项目区耕地面积；一个项目区选取的样地数不少于</w:t>
            </w:r>
            <w:r>
              <w:rPr>
                <w:color w:val="252525"/>
                <w:sz w:val="18"/>
                <w:szCs w:val="18"/>
                <w:lang w:val="zh-TW" w:eastAsia="zh-TW" w:bidi="zh-TW"/>
              </w:rPr>
              <w:t>3</w:t>
            </w:r>
            <w:r>
              <w:rPr>
                <w:rFonts w:cs="宋体"/>
                <w:color w:val="252525"/>
                <w:sz w:val="16"/>
                <w:szCs w:val="16"/>
                <w:lang w:val="zh-TW" w:eastAsia="zh-TW" w:bidi="zh-TW"/>
              </w:rPr>
              <w:t>个。对于年度和规划期的评价，应抽样调查项目进行评价。</w:t>
            </w:r>
          </w:p>
          <w:p>
            <w:pPr>
              <w:spacing w:line="287" w:lineRule="exact"/>
              <w:rPr>
                <w:rFonts w:cs="宋体"/>
                <w:color w:val="252525"/>
                <w:sz w:val="16"/>
                <w:szCs w:val="16"/>
                <w:lang w:val="zh-TW" w:eastAsia="zh-TW" w:bidi="zh-TW"/>
              </w:rPr>
            </w:pPr>
            <w:r>
              <w:rPr>
                <w:rFonts w:cs="宋体"/>
                <w:color w:val="252525"/>
                <w:sz w:val="16"/>
                <w:szCs w:val="16"/>
                <w:lang w:val="zh-TW" w:eastAsia="zh-TW" w:bidi="zh-TW"/>
              </w:rPr>
              <w:t>采用目标对比法和专家打分法进行评价，评分采用五分制</w:t>
            </w:r>
          </w:p>
        </w:tc>
        <w:tc>
          <w:tcPr>
            <w:tcW w:w="1847"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90" w:hRule="exact"/>
          <w:jc w:val="center"/>
        </w:trPr>
        <w:tc>
          <w:tcPr>
            <w:tcW w:w="742" w:type="dxa"/>
            <w:gridSpan w:val="2"/>
            <w:tcBorders>
              <w:top w:val="single" w:color="auto" w:sz="4" w:space="0"/>
              <w:left w:val="single" w:color="auto" w:sz="4" w:space="0"/>
            </w:tcBorders>
            <w:shd w:val="clear" w:color="auto" w:fill="FFFFFF"/>
            <w:vAlign w:val="center"/>
          </w:tcPr>
          <w:p>
            <w:pPr>
              <w:ind w:firstLine="180"/>
              <w:jc w:val="left"/>
              <w:rPr>
                <w:rFonts w:cs="宋体"/>
                <w:color w:val="252525"/>
                <w:sz w:val="18"/>
                <w:szCs w:val="18"/>
                <w:lang w:val="zh-TW" w:eastAsia="zh-TW" w:bidi="zh-TW"/>
              </w:rPr>
            </w:pPr>
            <w:r>
              <w:rPr>
                <w:color w:val="474747"/>
                <w:sz w:val="18"/>
                <w:szCs w:val="18"/>
                <w:lang w:eastAsia="en-US" w:bidi="en-US"/>
              </w:rPr>
              <w:t>A49</w:t>
            </w:r>
          </w:p>
        </w:tc>
        <w:tc>
          <w:tcPr>
            <w:tcW w:w="1447" w:type="dxa"/>
            <w:gridSpan w:val="2"/>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单位面积农药使用减少量</w:t>
            </w:r>
          </w:p>
        </w:tc>
        <w:tc>
          <w:tcPr>
            <w:tcW w:w="1080"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kg</w:t>
            </w:r>
          </w:p>
        </w:tc>
        <w:tc>
          <w:tcPr>
            <w:tcW w:w="2347" w:type="dxa"/>
            <w:gridSpan w:val="2"/>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经建设前后比较，项目区单位耕地减少的农药使用量</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tcBorders>
            <w:shd w:val="clear" w:color="auto" w:fill="FFFFFF"/>
            <w:vAlign w:val="center"/>
          </w:tcPr>
          <w:p>
            <w:pPr>
              <w:spacing w:line="281" w:lineRule="exact"/>
              <w:rPr>
                <w:rFonts w:cs="宋体"/>
                <w:color w:val="252525"/>
                <w:sz w:val="16"/>
                <w:szCs w:val="16"/>
                <w:lang w:val="zh-TW" w:eastAsia="zh-TW" w:bidi="zh-TW"/>
              </w:rPr>
            </w:pPr>
            <w:r>
              <w:rPr>
                <w:rFonts w:cs="宋体"/>
                <w:color w:val="252525"/>
                <w:sz w:val="16"/>
                <w:szCs w:val="16"/>
                <w:lang w:val="zh-TW" w:eastAsia="zh-TW" w:bidi="zh-TW"/>
              </w:rPr>
              <w:t>统计年鉴，实地观测数据</w:t>
            </w:r>
          </w:p>
        </w:tc>
        <w:tc>
          <w:tcPr>
            <w:tcW w:w="4511"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釆用问卷调查法、抽样调查法、专家评议法进行评价。对于项目评价，可通过问卷调查和典型地块观测试验，并经专家评议，分析建设前后单位面积农田减少的农药使用量，再乘以项目区耕地面积；一个项目区选取的样地数不少于</w:t>
            </w:r>
            <w:r>
              <w:rPr>
                <w:color w:val="252525"/>
                <w:sz w:val="18"/>
                <w:szCs w:val="18"/>
                <w:lang w:val="zh-TW" w:eastAsia="zh-TW" w:bidi="zh-TW"/>
              </w:rPr>
              <w:t>3</w:t>
            </w:r>
            <w:r>
              <w:rPr>
                <w:rFonts w:cs="宋体"/>
                <w:color w:val="252525"/>
                <w:sz w:val="16"/>
                <w:szCs w:val="16"/>
                <w:lang w:val="zh-TW" w:eastAsia="zh-TW" w:bidi="zh-TW"/>
              </w:rPr>
              <w:t>个。对于年度和规划期的评价，应抽样调查项目进行评价。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釆用目标对比法和专家打分法进行评价，评分采用五分制</w:t>
            </w:r>
          </w:p>
        </w:tc>
        <w:tc>
          <w:tcPr>
            <w:tcW w:w="1847" w:type="dxa"/>
            <w:gridSpan w:val="2"/>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gridAfter w:val="1"/>
          <w:wAfter w:w="4" w:type="dxa"/>
          <w:trHeight w:val="1281"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50</w:t>
            </w:r>
          </w:p>
        </w:tc>
        <w:tc>
          <w:tcPr>
            <w:tcW w:w="1444" w:type="dxa"/>
            <w:gridSpan w:val="2"/>
            <w:tcBorders>
              <w:top w:val="single" w:color="auto" w:sz="4" w:space="0"/>
              <w:left w:val="single" w:color="auto" w:sz="4" w:space="0"/>
            </w:tcBorders>
            <w:shd w:val="clear" w:color="auto" w:fill="FFFFFF"/>
            <w:vAlign w:val="center"/>
          </w:tcPr>
          <w:p>
            <w:pPr>
              <w:spacing w:line="252" w:lineRule="exact"/>
              <w:rPr>
                <w:rFonts w:cs="宋体"/>
                <w:color w:val="252525"/>
                <w:sz w:val="16"/>
                <w:szCs w:val="16"/>
                <w:lang w:val="zh-TW" w:eastAsia="zh-TW" w:bidi="zh-TW"/>
              </w:rPr>
            </w:pPr>
            <w:r>
              <w:rPr>
                <w:rFonts w:cs="宋体"/>
                <w:color w:val="252525"/>
                <w:sz w:val="16"/>
                <w:szCs w:val="16"/>
                <w:lang w:val="zh-TW" w:eastAsia="zh-TW" w:bidi="zh-TW"/>
              </w:rPr>
              <w:t>环境整治面积</w:t>
            </w:r>
          </w:p>
        </w:tc>
        <w:tc>
          <w:tcPr>
            <w:tcW w:w="1080" w:type="dxa"/>
            <w:gridSpan w:val="2"/>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51" w:type="dxa"/>
            <w:gridSpan w:val="2"/>
            <w:tcBorders>
              <w:top w:val="single" w:color="auto" w:sz="4" w:space="0"/>
              <w:left w:val="single" w:color="auto" w:sz="4" w:space="0"/>
            </w:tcBorders>
            <w:shd w:val="clear" w:color="auto" w:fill="FFFFFF"/>
            <w:vAlign w:val="center"/>
          </w:tcPr>
          <w:p>
            <w:pPr>
              <w:spacing w:line="260"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项目建设后，项目区村庄内环境得到治理的农村居民点用地面积。治理措施包括排水、污水处理、垃圾存放等</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tcBorders>
            <w:shd w:val="clear" w:color="auto" w:fill="FFFFFF"/>
            <w:vAlign w:val="center"/>
          </w:tcPr>
          <w:p>
            <w:pPr>
              <w:spacing w:line="256"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项目设计文件，竣工验收技术文件，工程复核报告</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gridSpan w:val="2"/>
            <w:tcBorders>
              <w:top w:val="single" w:color="auto" w:sz="4" w:space="0"/>
              <w:left w:val="single" w:color="auto" w:sz="4" w:space="0"/>
            </w:tcBorders>
            <w:shd w:val="clear" w:color="auto" w:fill="FFFFFF"/>
            <w:vAlign w:val="center"/>
          </w:tcPr>
          <w:p>
            <w:pPr>
              <w:spacing w:line="260"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通过查阅有关资料、现状调查进行评价。对于项目评价，可通过查阅项目设计文件、竣工验收技术文件和竣工图，并进行现状调查，计算村庄环境整治面积。对于年度和规划期的评价，应抽样调查项目进行评价。</w:t>
            </w:r>
          </w:p>
          <w:p>
            <w:pPr>
              <w:spacing w:line="260" w:lineRule="exact"/>
              <w:rPr>
                <w:rFonts w:cs="宋体"/>
                <w:color w:val="252525"/>
                <w:sz w:val="16"/>
                <w:szCs w:val="16"/>
                <w:lang w:val="zh-TW" w:eastAsia="zh-TW" w:bidi="zh-TW"/>
              </w:rPr>
            </w:pPr>
            <w:r>
              <w:rPr>
                <w:rFonts w:cs="宋体"/>
                <w:color w:val="252525"/>
                <w:sz w:val="16"/>
                <w:szCs w:val="16"/>
                <w:lang w:val="zh-TW" w:eastAsia="zh-TW" w:bidi="zh-TW"/>
              </w:rPr>
              <w:t>采用目标对比法评价，评分釆用五分制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gridAfter w:val="1"/>
          <w:wAfter w:w="4" w:type="dxa"/>
          <w:trHeight w:val="2345" w:hRule="exact"/>
          <w:jc w:val="center"/>
        </w:trPr>
        <w:tc>
          <w:tcPr>
            <w:tcW w:w="738" w:type="dxa"/>
            <w:tcBorders>
              <w:top w:val="single" w:color="auto" w:sz="4" w:space="0"/>
              <w:left w:val="single" w:color="auto" w:sz="4" w:space="0"/>
            </w:tcBorders>
            <w:shd w:val="clear" w:color="auto" w:fill="FFFFFF"/>
            <w:vAlign w:val="center"/>
          </w:tcPr>
          <w:p>
            <w:pPr>
              <w:jc w:val="center"/>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1</w:t>
            </w:r>
          </w:p>
        </w:tc>
        <w:tc>
          <w:tcPr>
            <w:tcW w:w="1444" w:type="dxa"/>
            <w:gridSpan w:val="2"/>
            <w:tcBorders>
              <w:top w:val="single" w:color="auto" w:sz="4" w:space="0"/>
              <w:left w:val="single" w:color="auto" w:sz="4" w:space="0"/>
            </w:tcBorders>
            <w:shd w:val="clear" w:color="auto" w:fill="FFFFFF"/>
            <w:vAlign w:val="center"/>
          </w:tcPr>
          <w:p>
            <w:pPr>
              <w:spacing w:line="266" w:lineRule="exact"/>
              <w:rPr>
                <w:rFonts w:cs="宋体"/>
                <w:color w:val="252525"/>
                <w:sz w:val="16"/>
                <w:szCs w:val="16"/>
                <w:lang w:val="zh-TW" w:eastAsia="zh-TW" w:bidi="zh-TW"/>
              </w:rPr>
            </w:pPr>
            <w:r>
              <w:rPr>
                <w:rFonts w:cs="宋体"/>
                <w:color w:val="000000"/>
                <w:sz w:val="16"/>
                <w:szCs w:val="16"/>
                <w:lang w:val="zh-TW" w:eastAsia="zh-TW" w:bidi="zh-TW"/>
              </w:rPr>
              <w:t>土壤污染治理面积</w:t>
            </w:r>
          </w:p>
        </w:tc>
        <w:tc>
          <w:tcPr>
            <w:tcW w:w="1080" w:type="dxa"/>
            <w:gridSpan w:val="2"/>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000000"/>
                <w:sz w:val="18"/>
                <w:szCs w:val="18"/>
                <w:lang w:eastAsia="en-US" w:bidi="en-US"/>
              </w:rPr>
              <w:t>hm</w:t>
            </w:r>
            <w:r>
              <w:rPr>
                <w:color w:val="000000"/>
                <w:sz w:val="18"/>
                <w:szCs w:val="18"/>
                <w:vertAlign w:val="superscript"/>
                <w:lang w:eastAsia="en-US" w:bidi="en-US"/>
              </w:rPr>
              <w:t>2</w:t>
            </w:r>
          </w:p>
        </w:tc>
        <w:tc>
          <w:tcPr>
            <w:tcW w:w="2351" w:type="dxa"/>
            <w:gridSpan w:val="2"/>
            <w:tcBorders>
              <w:top w:val="single" w:color="auto" w:sz="4" w:space="0"/>
              <w:left w:val="single" w:color="auto" w:sz="4" w:space="0"/>
            </w:tcBorders>
            <w:shd w:val="clear" w:color="auto" w:fill="FFFFFF"/>
            <w:vAlign w:val="center"/>
          </w:tcPr>
          <w:p>
            <w:pPr>
              <w:spacing w:line="259"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项目建设后，项目区达到土壤污染治理标准的土地面积。即按照耕地土壤质量标准</w:t>
            </w:r>
            <w:r>
              <w:rPr>
                <w:rFonts w:hint="eastAsia" w:cs="宋体"/>
                <w:color w:val="252525"/>
                <w:sz w:val="16"/>
                <w:szCs w:val="16"/>
                <w:lang w:val="zh-TW" w:bidi="zh-TW"/>
              </w:rPr>
              <w:t>，</w:t>
            </w:r>
            <w:r>
              <w:rPr>
                <w:rFonts w:cs="宋体"/>
                <w:color w:val="252525"/>
                <w:sz w:val="16"/>
                <w:szCs w:val="16"/>
                <w:lang w:val="zh-TW" w:eastAsia="zh-TW" w:bidi="zh-TW"/>
              </w:rPr>
              <w:t>治理土壤污染的面积</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tcBorders>
            <w:shd w:val="clear" w:color="auto" w:fill="FFFFFF"/>
            <w:vAlign w:val="center"/>
          </w:tcPr>
          <w:p>
            <w:pPr>
              <w:spacing w:line="258" w:lineRule="exact"/>
              <w:rPr>
                <w:rFonts w:cs="宋体"/>
                <w:color w:val="252525"/>
                <w:sz w:val="16"/>
                <w:szCs w:val="16"/>
                <w:lang w:val="zh-TW" w:eastAsia="zh-TW" w:bidi="zh-TW"/>
              </w:rPr>
            </w:pPr>
            <w:r>
              <w:rPr>
                <w:rFonts w:cs="宋体"/>
                <w:color w:val="252525"/>
                <w:sz w:val="16"/>
                <w:szCs w:val="16"/>
                <w:lang w:val="zh-TW" w:eastAsia="zh-TW" w:bidi="zh-TW"/>
              </w:rPr>
              <w:t>项目设计文件，工程质量与耕地质量评价成果，竣工验收技 术文件，工程复核报告，竣工图</w:t>
            </w:r>
          </w:p>
        </w:tc>
        <w:tc>
          <w:tcPr>
            <w:tcW w:w="4514" w:type="dxa"/>
            <w:gridSpan w:val="2"/>
            <w:tcBorders>
              <w:top w:val="single" w:color="auto" w:sz="4" w:space="0"/>
              <w:left w:val="single" w:color="auto" w:sz="4" w:space="0"/>
            </w:tcBorders>
            <w:shd w:val="clear" w:color="auto" w:fill="FFFFFF"/>
            <w:vAlign w:val="center"/>
          </w:tcPr>
          <w:p>
            <w:pPr>
              <w:spacing w:line="259"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 价，可先查阅工程施工质量和耕地质量评价成果或土地污染调查报告，再选择典型地块（耕作田块）进行现场检测，计算土壤污染污染治理面积，抽查地块的数量不少于总污染地块的</w:t>
            </w:r>
            <w:r>
              <w:rPr>
                <w:color w:val="252525"/>
                <w:sz w:val="18"/>
                <w:szCs w:val="18"/>
                <w:lang w:val="zh-TW" w:eastAsia="zh-TW" w:bidi="zh-TW"/>
              </w:rPr>
              <w:t>10%</w:t>
            </w:r>
            <w:r>
              <w:rPr>
                <w:rFonts w:hint="eastAsia"/>
                <w:color w:val="252525"/>
                <w:sz w:val="18"/>
                <w:szCs w:val="18"/>
                <w:lang w:val="zh-TW" w:bidi="zh-TW"/>
              </w:rPr>
              <w:t>，</w:t>
            </w:r>
            <w:r>
              <w:rPr>
                <w:rFonts w:cs="宋体"/>
                <w:color w:val="252525"/>
                <w:sz w:val="16"/>
                <w:szCs w:val="16"/>
                <w:lang w:val="zh-TW" w:eastAsia="zh-TW" w:bidi="zh-TW"/>
              </w:rPr>
              <w:t>每个地块的监测点不少于</w:t>
            </w:r>
            <w:r>
              <w:rPr>
                <w:color w:val="252525"/>
                <w:sz w:val="18"/>
                <w:szCs w:val="18"/>
                <w:lang w:val="zh-TW" w:eastAsia="zh-TW" w:bidi="zh-TW"/>
              </w:rPr>
              <w:t>9</w:t>
            </w:r>
            <w:r>
              <w:rPr>
                <w:rFonts w:cs="宋体"/>
                <w:color w:val="252525"/>
                <w:sz w:val="16"/>
                <w:szCs w:val="16"/>
                <w:lang w:val="zh-TW" w:eastAsia="zh-TW" w:bidi="zh-TW"/>
              </w:rPr>
              <w:t>个。对于年度和规划期的评价，需抽样调查污染土地项目，在室内查阅有关工程质量和耕地质量评价资料的基础 上，现场检测土壤污染治理情况。</w:t>
            </w:r>
          </w:p>
          <w:p>
            <w:pPr>
              <w:spacing w:line="259" w:lineRule="exact"/>
              <w:rPr>
                <w:rFonts w:cs="宋体"/>
                <w:color w:val="252525"/>
                <w:sz w:val="16"/>
                <w:szCs w:val="16"/>
                <w:lang w:val="zh-TW" w:eastAsia="zh-TW" w:bidi="zh-TW"/>
              </w:rPr>
            </w:pPr>
            <w:r>
              <w:rPr>
                <w:rFonts w:cs="宋体"/>
                <w:color w:val="252525"/>
                <w:sz w:val="16"/>
                <w:szCs w:val="16"/>
                <w:lang w:val="zh-TW" w:eastAsia="zh-TW" w:bidi="zh-TW"/>
              </w:rPr>
              <w:t>采用目标对比法和专家打分法进行评价，评分釆用五分制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gridAfter w:val="1"/>
          <w:wAfter w:w="4" w:type="dxa"/>
          <w:trHeight w:val="2352"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2</w:t>
            </w:r>
          </w:p>
        </w:tc>
        <w:tc>
          <w:tcPr>
            <w:tcW w:w="1444" w:type="dxa"/>
            <w:gridSpan w:val="2"/>
            <w:tcBorders>
              <w:top w:val="single" w:color="auto" w:sz="4" w:space="0"/>
              <w:left w:val="single" w:color="auto" w:sz="4" w:space="0"/>
              <w:bottom w:val="single" w:color="auto" w:sz="4" w:space="0"/>
            </w:tcBorders>
            <w:shd w:val="clear" w:color="auto" w:fill="FFFFFF"/>
            <w:vAlign w:val="center"/>
          </w:tcPr>
          <w:p>
            <w:pPr>
              <w:spacing w:line="257" w:lineRule="exact"/>
              <w:jc w:val="left"/>
              <w:rPr>
                <w:rFonts w:cs="宋体"/>
                <w:color w:val="252525"/>
                <w:sz w:val="16"/>
                <w:szCs w:val="16"/>
                <w:lang w:val="zh-TW" w:eastAsia="zh-TW" w:bidi="zh-TW"/>
              </w:rPr>
            </w:pPr>
            <w:r>
              <w:rPr>
                <w:rFonts w:cs="宋体"/>
                <w:color w:val="252525"/>
                <w:sz w:val="16"/>
                <w:szCs w:val="16"/>
                <w:lang w:val="zh-TW" w:eastAsia="zh-TW" w:bidi="zh-TW"/>
              </w:rPr>
              <w:t>耕地质量等别（等级）提高值</w:t>
            </w:r>
            <w:r>
              <w:rPr>
                <w:rFonts w:cs="宋体"/>
                <w:color w:val="252525"/>
                <w:sz w:val="16"/>
                <w:szCs w:val="16"/>
                <w:lang w:eastAsia="en-US" w:bidi="en-US"/>
              </w:rPr>
              <w:t>*</w:t>
            </w:r>
          </w:p>
        </w:tc>
        <w:tc>
          <w:tcPr>
            <w:tcW w:w="1080" w:type="dxa"/>
            <w:gridSpan w:val="2"/>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等别（等级）</w:t>
            </w:r>
          </w:p>
        </w:tc>
        <w:tc>
          <w:tcPr>
            <w:tcW w:w="2351" w:type="dxa"/>
            <w:gridSpan w:val="2"/>
            <w:tcBorders>
              <w:top w:val="single" w:color="auto" w:sz="4" w:space="0"/>
              <w:left w:val="single" w:color="auto" w:sz="4" w:space="0"/>
              <w:bottom w:val="single" w:color="auto" w:sz="4" w:space="0"/>
            </w:tcBorders>
            <w:shd w:val="clear" w:color="auto" w:fill="FFFFFF"/>
            <w:vAlign w:val="center"/>
          </w:tcPr>
          <w:p>
            <w:pPr>
              <w:spacing w:line="263" w:lineRule="exact"/>
              <w:rPr>
                <w:rFonts w:hint="eastAsia" w:eastAsia="宋体" w:cs="宋体"/>
                <w:color w:val="252525"/>
                <w:sz w:val="16"/>
                <w:szCs w:val="16"/>
                <w:lang w:val="zh-TW" w:eastAsia="zh-CN" w:bidi="zh-TW"/>
              </w:rPr>
            </w:pPr>
            <w:r>
              <w:rPr>
                <w:rFonts w:cs="宋体"/>
                <w:color w:val="252525"/>
                <w:sz w:val="16"/>
                <w:szCs w:val="16"/>
                <w:lang w:val="zh-TW" w:eastAsia="zh-TW" w:bidi="zh-TW"/>
              </w:rPr>
              <w:t>对于同一地块，在评价因子相同的情况下，建设前后耕地质量等别（等级）发生的变化值</w:t>
            </w:r>
            <w:r>
              <w:rPr>
                <w:rFonts w:hint="eastAsia" w:cs="宋体"/>
                <w:color w:val="252525"/>
                <w:sz w:val="16"/>
                <w:szCs w:val="16"/>
                <w:lang w:val="zh-TW" w:eastAsia="zh-CN" w:bidi="zh-TW"/>
              </w:rPr>
              <w:t>。</w:t>
            </w:r>
          </w:p>
        </w:tc>
        <w:tc>
          <w:tcPr>
            <w:tcW w:w="1444" w:type="dxa"/>
            <w:gridSpan w:val="2"/>
            <w:tcBorders>
              <w:top w:val="single" w:color="auto" w:sz="4" w:space="0"/>
              <w:left w:val="single" w:color="auto" w:sz="4" w:space="0"/>
              <w:bottom w:val="single" w:color="auto" w:sz="4" w:space="0"/>
            </w:tcBorders>
            <w:shd w:val="clear" w:color="auto" w:fill="FFFFFF"/>
            <w:vAlign w:val="center"/>
          </w:tcPr>
          <w:p>
            <w:pPr>
              <w:spacing w:line="261" w:lineRule="exact"/>
              <w:rPr>
                <w:rFonts w:cs="宋体"/>
                <w:color w:val="252525"/>
                <w:sz w:val="16"/>
                <w:szCs w:val="16"/>
                <w:lang w:val="zh-TW" w:eastAsia="zh-TW" w:bidi="zh-TW"/>
              </w:rPr>
            </w:pPr>
            <w:r>
              <w:rPr>
                <w:rFonts w:cs="宋体"/>
                <w:color w:val="252525"/>
                <w:sz w:val="16"/>
                <w:szCs w:val="16"/>
                <w:lang w:val="zh-TW" w:eastAsia="zh-TW" w:bidi="zh-TW"/>
              </w:rPr>
              <w:t>项目设计文件，耕地质量评价成果，竣工验收技术文件，工程 复核报告，竣工图</w:t>
            </w:r>
          </w:p>
        </w:tc>
        <w:tc>
          <w:tcPr>
            <w:tcW w:w="4514" w:type="dxa"/>
            <w:gridSpan w:val="2"/>
            <w:tcBorders>
              <w:top w:val="single" w:color="auto" w:sz="4" w:space="0"/>
              <w:left w:val="single" w:color="auto" w:sz="4" w:space="0"/>
              <w:bottom w:val="single" w:color="auto" w:sz="4" w:space="0"/>
            </w:tcBorders>
            <w:shd w:val="clear" w:color="auto" w:fill="FFFFFF"/>
            <w:vAlign w:val="center"/>
          </w:tcPr>
          <w:p>
            <w:pPr>
              <w:spacing w:line="262" w:lineRule="exact"/>
              <w:rPr>
                <w:rFonts w:cs="宋体"/>
                <w:color w:val="252525"/>
                <w:sz w:val="16"/>
                <w:szCs w:val="16"/>
                <w:lang w:val="zh-TW" w:eastAsia="zh-TW" w:bidi="zh-TW"/>
              </w:rPr>
            </w:pPr>
            <w:r>
              <w:rPr>
                <w:rFonts w:cs="宋体"/>
                <w:color w:val="252525"/>
                <w:sz w:val="16"/>
                <w:szCs w:val="16"/>
                <w:lang w:val="zh-TW" w:eastAsia="zh-TW" w:bidi="zh-TW"/>
              </w:rPr>
              <w:t>可直接查阅项目建设前后的耕地质量评价成果。若无该成果，也可选用</w:t>
            </w:r>
            <w:r>
              <w:rPr>
                <w:color w:val="252525"/>
                <w:sz w:val="18"/>
                <w:szCs w:val="18"/>
                <w:lang w:eastAsia="en-US" w:bidi="en-US"/>
              </w:rPr>
              <w:t>GB/T 28407-2014</w:t>
            </w:r>
            <w:r>
              <w:rPr>
                <w:rFonts w:cs="宋体"/>
                <w:color w:val="252525"/>
                <w:sz w:val="16"/>
                <w:szCs w:val="16"/>
                <w:lang w:val="zh-TW" w:eastAsia="zh-TW" w:bidi="zh-TW"/>
              </w:rPr>
              <w:t>或</w:t>
            </w:r>
            <w:r>
              <w:rPr>
                <w:color w:val="252525"/>
                <w:sz w:val="18"/>
                <w:szCs w:val="18"/>
                <w:lang w:eastAsia="en-US" w:bidi="en-US"/>
              </w:rPr>
              <w:t xml:space="preserve">NY/T </w:t>
            </w:r>
            <w:r>
              <w:rPr>
                <w:color w:val="252525"/>
                <w:sz w:val="18"/>
                <w:szCs w:val="18"/>
                <w:lang w:val="zh-TW" w:eastAsia="zh-TW" w:bidi="zh-TW"/>
              </w:rPr>
              <w:t>1634—2008</w:t>
            </w:r>
            <w:r>
              <w:rPr>
                <w:rFonts w:cs="宋体"/>
                <w:color w:val="252525"/>
                <w:sz w:val="16"/>
                <w:szCs w:val="16"/>
                <w:lang w:val="zh-TW" w:eastAsia="zh-TW" w:bidi="zh-TW"/>
              </w:rPr>
              <w:t>进行耕地质量等别（等级）计算，有关评价因子与取值可参照工程质量评价结果。对于项目评价，可逐地块评价,也可选用标准地块进行评价，再进行项目区内全部耕地地块的加权计算求得平均值。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62" w:lineRule="exact"/>
              <w:rPr>
                <w:rFonts w:cs="宋体"/>
                <w:color w:val="252525"/>
                <w:sz w:val="16"/>
                <w:szCs w:val="16"/>
                <w:lang w:val="zh-TW" w:eastAsia="zh-TW" w:bidi="zh-TW"/>
              </w:rPr>
            </w:pPr>
            <w:r>
              <w:rPr>
                <w:rFonts w:cs="宋体"/>
                <w:color w:val="252525"/>
                <w:sz w:val="16"/>
                <w:szCs w:val="16"/>
                <w:lang w:val="zh-TW" w:eastAsia="zh-TW" w:bidi="zh-TW"/>
              </w:rPr>
              <w:t>评分采用二分制。当耕地质量等别（等级）提高</w:t>
            </w:r>
            <w:r>
              <w:rPr>
                <w:color w:val="252525"/>
                <w:sz w:val="18"/>
                <w:szCs w:val="18"/>
                <w:lang w:val="zh-TW" w:eastAsia="zh-TW" w:bidi="zh-TW"/>
              </w:rPr>
              <w:t>1</w:t>
            </w:r>
            <w:r>
              <w:rPr>
                <w:rFonts w:cs="宋体"/>
                <w:color w:val="252525"/>
                <w:sz w:val="16"/>
                <w:szCs w:val="16"/>
                <w:lang w:val="zh-TW" w:eastAsia="zh-TW" w:bidi="zh-TW"/>
              </w:rPr>
              <w:t>个等级时，得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rFonts w:hint="eastAsia" w:cs="宋体"/>
                <w:color w:val="252525"/>
                <w:sz w:val="16"/>
                <w:szCs w:val="16"/>
                <w:lang w:bidi="zh-TW"/>
              </w:rPr>
              <w:t>0</w:t>
            </w:r>
            <w:r>
              <w:rPr>
                <w:rFonts w:cs="宋体"/>
                <w:color w:val="252525"/>
                <w:sz w:val="16"/>
                <w:szCs w:val="16"/>
                <w:lang w:val="zh-CN" w:bidi="zh-CN"/>
              </w:rPr>
              <w:t>分</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63" w:lineRule="exact"/>
              <w:jc w:val="left"/>
              <w:rPr>
                <w:rFonts w:cs="宋体"/>
                <w:color w:val="252525"/>
                <w:sz w:val="16"/>
                <w:szCs w:val="16"/>
                <w:lang w:val="zh-TW" w:eastAsia="zh-TW" w:bidi="zh-TW"/>
              </w:rPr>
            </w:pPr>
            <w:r>
              <w:rPr>
                <w:rFonts w:cs="宋体"/>
                <w:color w:val="252525"/>
                <w:sz w:val="16"/>
                <w:szCs w:val="16"/>
                <w:lang w:val="zh-TW" w:eastAsia="zh-TW" w:bidi="zh-TW"/>
              </w:rPr>
              <w:t>地块/项目/年度/规划期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42"/>
        <w:gridCol w:w="1444"/>
        <w:gridCol w:w="1084"/>
        <w:gridCol w:w="2347"/>
        <w:gridCol w:w="1444"/>
        <w:gridCol w:w="4511"/>
        <w:gridCol w:w="1847"/>
      </w:tblGrid>
      <w:tr>
        <w:tblPrEx>
          <w:tblCellMar>
            <w:top w:w="0" w:type="dxa"/>
            <w:left w:w="10" w:type="dxa"/>
            <w:bottom w:w="0" w:type="dxa"/>
            <w:right w:w="10" w:type="dxa"/>
          </w:tblCellMar>
        </w:tblPrEx>
        <w:trPr>
          <w:trHeight w:val="371" w:hRule="exact"/>
          <w:jc w:val="center"/>
        </w:trPr>
        <w:tc>
          <w:tcPr>
            <w:tcW w:w="742"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ind w:firstLine="340"/>
              <w:jc w:val="left"/>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7"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469" w:hRule="exact"/>
          <w:jc w:val="center"/>
        </w:trPr>
        <w:tc>
          <w:tcPr>
            <w:tcW w:w="742"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3</w:t>
            </w:r>
          </w:p>
        </w:tc>
        <w:tc>
          <w:tcPr>
            <w:tcW w:w="1444" w:type="dxa"/>
            <w:tcBorders>
              <w:top w:val="single" w:color="auto" w:sz="4" w:space="0"/>
              <w:left w:val="single" w:color="auto" w:sz="4" w:space="0"/>
            </w:tcBorders>
            <w:shd w:val="clear" w:color="auto" w:fill="FFFFFF"/>
            <w:vAlign w:val="center"/>
          </w:tcPr>
          <w:p>
            <w:pPr>
              <w:spacing w:after="80"/>
              <w:jc w:val="left"/>
              <w:rPr>
                <w:rFonts w:cs="宋体"/>
                <w:color w:val="252525"/>
                <w:sz w:val="16"/>
                <w:szCs w:val="16"/>
                <w:lang w:val="zh-TW" w:eastAsia="zh-TW" w:bidi="zh-TW"/>
              </w:rPr>
            </w:pPr>
            <w:r>
              <w:rPr>
                <w:rFonts w:cs="宋体"/>
                <w:color w:val="252525"/>
                <w:sz w:val="16"/>
                <w:szCs w:val="16"/>
                <w:lang w:val="zh-TW" w:eastAsia="zh-TW" w:bidi="zh-TW"/>
              </w:rPr>
              <w:t>基础设施占地率</w:t>
            </w:r>
            <w:r>
              <w:rPr>
                <w:rFonts w:cs="宋体"/>
                <w:color w:val="252525"/>
                <w:sz w:val="16"/>
                <w:szCs w:val="16"/>
                <w:lang w:eastAsia="en-US" w:bidi="en-US"/>
              </w:rPr>
              <w:t>*</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w:t>
            </w:r>
          </w:p>
        </w:tc>
        <w:tc>
          <w:tcPr>
            <w:tcW w:w="2347" w:type="dxa"/>
            <w:tcBorders>
              <w:top w:val="single" w:color="auto" w:sz="4" w:space="0"/>
              <w:left w:val="single" w:color="auto" w:sz="4" w:space="0"/>
            </w:tcBorders>
            <w:shd w:val="clear" w:color="auto" w:fill="FFFFFF"/>
            <w:vAlign w:val="center"/>
          </w:tcPr>
          <w:p>
            <w:pPr>
              <w:spacing w:line="282" w:lineRule="exact"/>
              <w:rPr>
                <w:rFonts w:hint="eastAsia" w:eastAsia="宋体" w:cs="宋体"/>
                <w:color w:val="252525"/>
                <w:sz w:val="18"/>
                <w:szCs w:val="18"/>
                <w:lang w:val="zh-TW" w:eastAsia="zh-CN" w:bidi="zh-TW"/>
              </w:rPr>
            </w:pPr>
            <w:r>
              <w:rPr>
                <w:rFonts w:cs="宋体"/>
                <w:color w:val="252525"/>
                <w:sz w:val="16"/>
                <w:szCs w:val="16"/>
                <w:lang w:val="zh-TW" w:eastAsia="zh-TW" w:bidi="zh-TW"/>
              </w:rPr>
              <w:t>各项工程设施占地总面积与项目建设规模的比值，评价土地节约集约利用效率。</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规定，各项农田基础设施（沟、渠、路）占地率不超过不大于</w:t>
            </w:r>
            <w:r>
              <w:rPr>
                <w:color w:val="252525"/>
                <w:sz w:val="18"/>
                <w:szCs w:val="18"/>
                <w:lang w:val="zh-TW" w:eastAsia="zh-TW" w:bidi="zh-TW"/>
              </w:rPr>
              <w:t>8%</w:t>
            </w:r>
            <w:r>
              <w:rPr>
                <w:rFonts w:hint="eastAsia"/>
                <w:color w:val="252525"/>
                <w:sz w:val="18"/>
                <w:szCs w:val="18"/>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项目设计文件，竣工验收技术总结文件，竣工图</w:t>
            </w:r>
          </w:p>
        </w:tc>
        <w:tc>
          <w:tcPr>
            <w:tcW w:w="4511"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采用资料查阅法、现场调查法进行评价。对于项目评 价，应通过审阅设计文件，计算各项基础设施的占地情况，并通过现场查看，统计各项基础设施的占地情况。对于年度和规划期的评价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应抽样调查项目进行评价。评分釆用二分制。基础设施占地率满足标准规定值的，得</w:t>
            </w:r>
            <w:r>
              <w:rPr>
                <w:color w:val="252525"/>
                <w:sz w:val="18"/>
                <w:szCs w:val="18"/>
                <w:lang w:val="zh-TW" w:eastAsia="zh-TW" w:bidi="zh-TW"/>
              </w:rPr>
              <w:t>1</w:t>
            </w:r>
            <w:r>
              <w:rPr>
                <w:rFonts w:cs="宋体"/>
                <w:color w:val="252525"/>
                <w:sz w:val="16"/>
                <w:szCs w:val="16"/>
                <w:lang w:val="zh-TW" w:eastAsia="zh-TW" w:bidi="zh-TW"/>
              </w:rPr>
              <w:t>分,否则得</w:t>
            </w:r>
            <w:r>
              <w:rPr>
                <w:rFonts w:hint="eastAsia" w:cs="宋体"/>
                <w:color w:val="252525"/>
                <w:sz w:val="16"/>
                <w:szCs w:val="16"/>
                <w:lang w:bidi="zh-TW"/>
              </w:rPr>
              <w:t>0</w:t>
            </w:r>
            <w:r>
              <w:rPr>
                <w:rFonts w:cs="宋体"/>
                <w:color w:val="252525"/>
                <w:sz w:val="16"/>
                <w:szCs w:val="16"/>
                <w:lang w:val="zh-CN" w:bidi="zh-CN"/>
              </w:rPr>
              <w:t>分</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397" w:hRule="exact"/>
          <w:jc w:val="center"/>
        </w:trPr>
        <w:tc>
          <w:tcPr>
            <w:tcW w:w="742" w:type="dxa"/>
            <w:tcBorders>
              <w:top w:val="single" w:color="auto" w:sz="4" w:space="0"/>
              <w:left w:val="single" w:color="auto" w:sz="4" w:space="0"/>
            </w:tcBorders>
            <w:shd w:val="clear" w:color="auto" w:fill="FFFFFF"/>
            <w:vAlign w:val="center"/>
          </w:tcPr>
          <w:p>
            <w:pPr>
              <w:jc w:val="center"/>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4</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工程质量寿命</w:t>
            </w:r>
            <w:r>
              <w:rPr>
                <w:rFonts w:cs="宋体"/>
                <w:color w:val="000000"/>
                <w:sz w:val="16"/>
                <w:szCs w:val="16"/>
                <w:lang w:eastAsia="en-US" w:bidi="en-US"/>
              </w:rPr>
              <w:t>*</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年</w:t>
            </w:r>
          </w:p>
        </w:tc>
        <w:tc>
          <w:tcPr>
            <w:tcW w:w="2347" w:type="dxa"/>
            <w:tcBorders>
              <w:top w:val="single" w:color="auto" w:sz="4" w:space="0"/>
              <w:left w:val="single" w:color="auto" w:sz="4" w:space="0"/>
            </w:tcBorders>
            <w:shd w:val="clear" w:color="auto" w:fill="FFFFFF"/>
            <w:vAlign w:val="center"/>
          </w:tcPr>
          <w:p>
            <w:pPr>
              <w:spacing w:line="286"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项目建设后，各项工程质量满足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规定的质量寿命。各类渠道、排水沟和渠系建筑物的使用年限不低于</w:t>
            </w:r>
            <w:r>
              <w:rPr>
                <w:color w:val="252525"/>
                <w:sz w:val="18"/>
                <w:szCs w:val="18"/>
                <w:lang w:val="zh-TW" w:eastAsia="zh-TW" w:bidi="zh-TW"/>
              </w:rPr>
              <w:t>15</w:t>
            </w:r>
            <w:r>
              <w:rPr>
                <w:rFonts w:cs="宋体"/>
                <w:color w:val="252525"/>
                <w:sz w:val="16"/>
                <w:szCs w:val="16"/>
                <w:lang w:val="zh-TW" w:eastAsia="zh-TW" w:bidi="zh-TW"/>
              </w:rPr>
              <w:t>年</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项目设计文件，工程施工质量检验与评定成</w:t>
            </w:r>
            <w:r>
              <w:rPr>
                <w:rFonts w:cs="宋体"/>
                <w:color w:val="000000"/>
                <w:sz w:val="16"/>
                <w:szCs w:val="16"/>
                <w:lang w:val="zh-TW" w:eastAsia="zh-TW" w:bidi="zh-TW"/>
              </w:rPr>
              <w:t xml:space="preserve">果，工程复核报 </w:t>
            </w:r>
            <w:r>
              <w:rPr>
                <w:rFonts w:cs="宋体"/>
                <w:color w:val="252525"/>
                <w:sz w:val="16"/>
                <w:szCs w:val="16"/>
                <w:lang w:val="zh-TW" w:eastAsia="zh-TW" w:bidi="zh-TW"/>
              </w:rPr>
              <w:t>告，竣工验收技术总结文件，竣工图</w:t>
            </w:r>
          </w:p>
        </w:tc>
        <w:tc>
          <w:tcPr>
            <w:tcW w:w="4511" w:type="dxa"/>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现场调查法、抽样调查法进行评价。对于项目评价，应通过专家评议，审查项目设计文件中各级各类工程（建筑物）设计标准的合理性；查阅工程施工质量验收资料，并通过现场查看工程外观质量及运行状况，综合判断工程质量；每个项目抽查的工程外观质量的数量不少于本类型数量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8" w:lineRule="exact"/>
              <w:rPr>
                <w:rFonts w:cs="宋体"/>
                <w:color w:val="252525"/>
                <w:sz w:val="16"/>
                <w:szCs w:val="16"/>
                <w:lang w:val="zh-TW" w:eastAsia="zh-TW" w:bidi="zh-TW"/>
              </w:rPr>
            </w:pPr>
            <w:r>
              <w:rPr>
                <w:rFonts w:cs="宋体"/>
                <w:color w:val="252525"/>
                <w:sz w:val="16"/>
                <w:szCs w:val="16"/>
                <w:lang w:val="zh-TW" w:eastAsia="zh-TW" w:bidi="zh-TW"/>
              </w:rPr>
              <w:t>评分釆用二分制。按照评价结果，工程质量出现一处不合格或有安全隐患的，得</w:t>
            </w:r>
            <w:r>
              <w:rPr>
                <w:color w:val="252525"/>
                <w:sz w:val="18"/>
                <w:szCs w:val="18"/>
                <w:lang w:val="zh-TW" w:eastAsia="zh-TW" w:bidi="zh-TW"/>
              </w:rPr>
              <w:t>0</w:t>
            </w:r>
            <w:r>
              <w:rPr>
                <w:rFonts w:cs="宋体"/>
                <w:color w:val="252525"/>
                <w:sz w:val="16"/>
                <w:szCs w:val="16"/>
                <w:lang w:val="zh-TW" w:eastAsia="zh-TW" w:bidi="zh-TW"/>
              </w:rPr>
              <w:t>分，全部合格得</w:t>
            </w:r>
            <w:r>
              <w:rPr>
                <w:color w:val="252525"/>
                <w:sz w:val="18"/>
                <w:szCs w:val="18"/>
                <w:lang w:val="zh-TW" w:eastAsia="zh-TW" w:bidi="zh-TW"/>
              </w:rPr>
              <w:t>1</w:t>
            </w:r>
            <w:r>
              <w:rPr>
                <w:rFonts w:cs="宋体"/>
                <w:color w:val="252525"/>
                <w:sz w:val="16"/>
                <w:szCs w:val="16"/>
                <w:lang w:val="zh-TW" w:eastAsia="zh-TW" w:bidi="zh-TW"/>
              </w:rPr>
              <w:t>分</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541" w:hRule="exact"/>
          <w:jc w:val="center"/>
        </w:trPr>
        <w:tc>
          <w:tcPr>
            <w:tcW w:w="742"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5</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新增耕地面积</w:t>
            </w:r>
          </w:p>
        </w:tc>
        <w:tc>
          <w:tcPr>
            <w:tcW w:w="1084"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47"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经建设前后比较，项目区实际增加的耕地面积</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项目设计文件，竣工验收技术文件，竣工图或建成后的项目 土地利用现状图</w:t>
            </w:r>
          </w:p>
        </w:tc>
        <w:tc>
          <w:tcPr>
            <w:tcW w:w="4511"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w:t>
            </w:r>
            <w:r>
              <w:rPr>
                <w:rFonts w:hint="eastAsia" w:cs="宋体"/>
                <w:color w:val="252525"/>
                <w:sz w:val="16"/>
                <w:szCs w:val="16"/>
                <w:lang w:val="zh-TW" w:bidi="zh-TW"/>
              </w:rPr>
              <w:t>，</w:t>
            </w:r>
            <w:r>
              <w:rPr>
                <w:rFonts w:cs="宋体"/>
                <w:color w:val="252525"/>
                <w:sz w:val="16"/>
                <w:szCs w:val="16"/>
                <w:lang w:val="zh-TW" w:eastAsia="zh-TW" w:bidi="zh-TW"/>
              </w:rPr>
              <w:t>可通过查阅项目竣工验收技术文件、竣工图，或进行竣工后项目区土地利用现状调查，计算建设后耕地面积，减去建设前的耕地面积。对于年度和规划期的评价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釆用目标对比法评价</w:t>
            </w:r>
            <w:r>
              <w:rPr>
                <w:rFonts w:hint="eastAsia" w:cs="宋体"/>
                <w:color w:val="252525"/>
                <w:sz w:val="16"/>
                <w:szCs w:val="16"/>
                <w:lang w:val="zh-TW" w:bidi="zh-TW"/>
              </w:rPr>
              <w:t>，</w:t>
            </w:r>
            <w:r>
              <w:rPr>
                <w:rFonts w:cs="宋体"/>
                <w:color w:val="252525"/>
                <w:sz w:val="16"/>
                <w:szCs w:val="16"/>
                <w:lang w:val="zh-TW" w:eastAsia="zh-TW" w:bidi="zh-TW"/>
              </w:rPr>
              <w:t>评分采用五分制</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618" w:hRule="exact"/>
          <w:jc w:val="center"/>
        </w:trPr>
        <w:tc>
          <w:tcPr>
            <w:tcW w:w="742" w:type="dxa"/>
            <w:tcBorders>
              <w:top w:val="single" w:color="auto" w:sz="4" w:space="0"/>
              <w:left w:val="single" w:color="auto" w:sz="4" w:space="0"/>
              <w:bottom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6</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建设用地面积变化情况</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z</w:t>
            </w:r>
          </w:p>
        </w:tc>
        <w:tc>
          <w:tcPr>
            <w:tcW w:w="2347" w:type="dxa"/>
            <w:tcBorders>
              <w:top w:val="single" w:color="auto" w:sz="4" w:space="0"/>
              <w:left w:val="single" w:color="auto" w:sz="4" w:space="0"/>
              <w:bottom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经建设前后比较，项目区内建设用地面积实际变化情况</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项目设计文件，竣工验收技术文件，竣工图或建成后的项目 土地利用现状图</w:t>
            </w:r>
          </w:p>
        </w:tc>
        <w:tc>
          <w:tcPr>
            <w:tcW w:w="4511" w:type="dxa"/>
            <w:tcBorders>
              <w:top w:val="single" w:color="auto" w:sz="4" w:space="0"/>
              <w:left w:val="single" w:color="auto" w:sz="4" w:space="0"/>
              <w:bottom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w:t>
            </w:r>
            <w:r>
              <w:rPr>
                <w:rFonts w:hint="eastAsia" w:cs="宋体"/>
                <w:color w:val="252525"/>
                <w:sz w:val="16"/>
                <w:szCs w:val="16"/>
                <w:lang w:val="zh-TW" w:bidi="zh-TW"/>
              </w:rPr>
              <w:t>，</w:t>
            </w:r>
            <w:r>
              <w:rPr>
                <w:rFonts w:cs="宋体"/>
                <w:color w:val="252525"/>
                <w:sz w:val="16"/>
                <w:szCs w:val="16"/>
                <w:lang w:val="zh-TW" w:eastAsia="zh-TW" w:bidi="zh-TW"/>
              </w:rPr>
              <w:t>可通过查阅项目竣工验收技术文件、竣工图，或进行竣工后项目区土地利用现状调查，计算建设后建设用地面积，与建设前的建设用地面积进行对比分析得出。对于年度和规划期的评价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应抽样调查项目进行评价。釆用目标对比法评价，评分采用五分制</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8"/>
        <w:gridCol w:w="1444"/>
        <w:gridCol w:w="1084"/>
        <w:gridCol w:w="2347"/>
        <w:gridCol w:w="1444"/>
        <w:gridCol w:w="4514"/>
        <w:gridCol w:w="1843"/>
      </w:tblGrid>
      <w:tr>
        <w:tblPrEx>
          <w:tblCellMar>
            <w:top w:w="0" w:type="dxa"/>
            <w:left w:w="10" w:type="dxa"/>
            <w:bottom w:w="0" w:type="dxa"/>
            <w:right w:w="10" w:type="dxa"/>
          </w:tblCellMar>
        </w:tblPrEx>
        <w:trPr>
          <w:trHeight w:val="382" w:hRule="exact"/>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576" w:hRule="exact"/>
        </w:trPr>
        <w:tc>
          <w:tcPr>
            <w:tcW w:w="738"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A5</w:t>
            </w:r>
            <w:r>
              <w:rPr>
                <w:rFonts w:hint="eastAsia"/>
                <w:color w:val="252525"/>
                <w:sz w:val="18"/>
                <w:szCs w:val="18"/>
                <w:lang w:val="en-US" w:eastAsia="zh-CN" w:bidi="en-US"/>
              </w:rPr>
              <w:t>7</w:t>
            </w:r>
          </w:p>
        </w:tc>
        <w:tc>
          <w:tcPr>
            <w:tcW w:w="1444" w:type="dxa"/>
            <w:tcBorders>
              <w:top w:val="single" w:color="auto" w:sz="4" w:space="0"/>
              <w:lef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建设用地整治增加耕地面积</w:t>
            </w:r>
          </w:p>
        </w:tc>
        <w:tc>
          <w:tcPr>
            <w:tcW w:w="1084" w:type="dxa"/>
            <w:tcBorders>
              <w:top w:val="single" w:color="auto" w:sz="4" w:space="0"/>
              <w:left w:val="single" w:color="auto" w:sz="4" w:space="0"/>
            </w:tcBorders>
            <w:shd w:val="clear" w:color="auto" w:fill="FFFFFF"/>
            <w:vAlign w:val="center"/>
          </w:tcPr>
          <w:p>
            <w:pPr>
              <w:ind w:firstLine="360"/>
              <w:jc w:val="left"/>
              <w:rPr>
                <w:rFonts w:cs="宋体"/>
                <w:color w:val="252525"/>
                <w:sz w:val="18"/>
                <w:szCs w:val="18"/>
                <w:lang w:val="zh-TW" w:eastAsia="zh-TW" w:bidi="zh-TW"/>
              </w:rPr>
            </w:pPr>
            <w:r>
              <w:rPr>
                <w:color w:val="252525"/>
                <w:sz w:val="18"/>
                <w:szCs w:val="18"/>
                <w:lang w:eastAsia="en-US" w:bidi="en-US"/>
              </w:rPr>
              <w:t>hm</w:t>
            </w:r>
            <w:r>
              <w:rPr>
                <w:color w:val="252525"/>
                <w:sz w:val="18"/>
                <w:szCs w:val="18"/>
                <w:vertAlign w:val="superscript"/>
                <w:lang w:eastAsia="en-US" w:bidi="en-US"/>
              </w:rPr>
              <w:t>2</w:t>
            </w:r>
          </w:p>
        </w:tc>
        <w:tc>
          <w:tcPr>
            <w:tcW w:w="2347"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通过建设用地整治而增加的耕地面积</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项目设计文件，竣工验收技术文件，竣工图或建成后的项目 土地利用现状图</w:t>
            </w:r>
          </w:p>
        </w:tc>
        <w:tc>
          <w:tcPr>
            <w:tcW w:w="451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通过查阅有关资料、现状调查进行评价。对于项目评价</w:t>
            </w:r>
            <w:r>
              <w:rPr>
                <w:rFonts w:hint="eastAsia" w:cs="宋体"/>
                <w:color w:val="252525"/>
                <w:sz w:val="16"/>
                <w:szCs w:val="16"/>
                <w:lang w:val="zh-TW" w:bidi="zh-TW"/>
              </w:rPr>
              <w:t>，</w:t>
            </w:r>
            <w:r>
              <w:rPr>
                <w:rFonts w:cs="宋体"/>
                <w:color w:val="252525"/>
                <w:sz w:val="16"/>
                <w:szCs w:val="16"/>
                <w:lang w:val="zh-TW" w:eastAsia="zh-TW" w:bidi="zh-TW"/>
              </w:rPr>
              <w:t>可通过查阅项目竣工验收技术文件、竣工图，或进行竣工后项目区土地利用现状调查，计算建设后通过整治建设用地增加的耕地面积。对于年度和规划期的评价，应抽样调查项目进行评价。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93" w:hRule="exact"/>
        </w:trPr>
        <w:tc>
          <w:tcPr>
            <w:tcW w:w="738" w:type="dxa"/>
            <w:tcBorders>
              <w:top w:val="single" w:color="auto" w:sz="4" w:space="0"/>
              <w:left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58</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节水量</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color w:val="252525"/>
                <w:sz w:val="18"/>
                <w:szCs w:val="18"/>
                <w:lang w:eastAsia="en-US" w:bidi="en-US"/>
              </w:rPr>
              <w:t>m</w:t>
            </w:r>
            <w:r>
              <w:rPr>
                <w:color w:val="252525"/>
                <w:sz w:val="18"/>
                <w:szCs w:val="18"/>
                <w:vertAlign w:val="superscript"/>
                <w:lang w:eastAsia="en-US" w:bidi="en-US"/>
              </w:rPr>
              <w:t>3</w:t>
            </w:r>
          </w:p>
        </w:tc>
        <w:tc>
          <w:tcPr>
            <w:tcW w:w="2347" w:type="dxa"/>
            <w:tcBorders>
              <w:top w:val="single" w:color="auto" w:sz="4" w:space="0"/>
              <w:left w:val="single" w:color="auto" w:sz="4" w:space="0"/>
            </w:tcBorders>
            <w:shd w:val="clear" w:color="auto" w:fill="FFFFFF"/>
            <w:vAlign w:val="center"/>
          </w:tcPr>
          <w:p>
            <w:pPr>
              <w:spacing w:line="281" w:lineRule="exact"/>
              <w:rPr>
                <w:rFonts w:hint="eastAsia" w:eastAsia="宋体" w:cs="宋体"/>
                <w:color w:val="252525"/>
                <w:sz w:val="16"/>
                <w:szCs w:val="16"/>
                <w:lang w:val="zh-TW" w:eastAsia="zh-CN" w:bidi="zh-TW"/>
              </w:rPr>
            </w:pPr>
            <w:r>
              <w:rPr>
                <w:rFonts w:cs="宋体"/>
                <w:color w:val="252525"/>
                <w:sz w:val="16"/>
                <w:szCs w:val="16"/>
                <w:lang w:val="zh-TW" w:eastAsia="zh-TW" w:bidi="zh-TW"/>
              </w:rPr>
              <w:t>针对某一类型的灌溉方式，经建设前后比较，项目区农业用水量的减小值</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项目设计文件，统计年鉴，实地观测数据</w:t>
            </w:r>
          </w:p>
        </w:tc>
        <w:tc>
          <w:tcPr>
            <w:tcW w:w="451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采用问卷调查法、抽样调查法、专家评议法进行评价。对于项目评价，可通过问卷调查和典型地块观测试验，分析同一地块建设前后种植同一作物时的灌溉水量的差值，并与设计文件提出的目标值进行对比。一个项目区选取的样地数不少于</w:t>
            </w:r>
            <w:r>
              <w:rPr>
                <w:color w:val="252525"/>
                <w:sz w:val="18"/>
                <w:szCs w:val="18"/>
                <w:lang w:val="zh-TW" w:eastAsia="zh-TW" w:bidi="zh-TW"/>
              </w:rPr>
              <w:t>3</w:t>
            </w:r>
            <w:r>
              <w:rPr>
                <w:rFonts w:cs="宋体"/>
                <w:color w:val="252525"/>
                <w:sz w:val="16"/>
                <w:szCs w:val="16"/>
                <w:lang w:val="zh-TW" w:eastAsia="zh-TW" w:bidi="zh-TW"/>
              </w:rPr>
              <w:t>个。对于年度和规划期的评价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釆用目标对比法评价，评分采用五分制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670" w:hRule="exact"/>
        </w:trPr>
        <w:tc>
          <w:tcPr>
            <w:tcW w:w="738" w:type="dxa"/>
            <w:tcBorders>
              <w:top w:val="single" w:color="auto" w:sz="4" w:space="0"/>
              <w:left w:val="single" w:color="auto" w:sz="4" w:space="0"/>
            </w:tcBorders>
            <w:shd w:val="clear" w:color="auto" w:fill="FFFFFF"/>
            <w:vAlign w:val="center"/>
          </w:tcPr>
          <w:p>
            <w:pPr>
              <w:jc w:val="center"/>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59</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000000"/>
                <w:sz w:val="16"/>
                <w:szCs w:val="16"/>
                <w:lang w:val="zh-TW" w:eastAsia="zh-TW" w:bidi="zh-TW"/>
              </w:rPr>
              <w:t>新增供水能力</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8"/>
                <w:szCs w:val="18"/>
                <w:lang w:val="zh-TW" w:eastAsia="zh-TW" w:bidi="zh-TW"/>
              </w:rPr>
            </w:pPr>
            <w:r>
              <w:rPr>
                <w:rFonts w:cs="宋体"/>
                <w:color w:val="252525"/>
                <w:sz w:val="16"/>
                <w:szCs w:val="16"/>
                <w:lang w:val="zh-TW" w:eastAsia="zh-TW" w:bidi="zh-TW"/>
              </w:rPr>
              <w:t>万</w:t>
            </w:r>
            <w:r>
              <w:rPr>
                <w:color w:val="252525"/>
                <w:sz w:val="18"/>
                <w:szCs w:val="18"/>
                <w:lang w:eastAsia="en-US" w:bidi="en-US"/>
              </w:rPr>
              <w:t>m</w:t>
            </w:r>
            <w:r>
              <w:rPr>
                <w:color w:val="252525"/>
                <w:sz w:val="18"/>
                <w:szCs w:val="18"/>
                <w:vertAlign w:val="superscript"/>
                <w:lang w:eastAsia="en-US" w:bidi="en-US"/>
              </w:rPr>
              <w:t>3</w:t>
            </w:r>
          </w:p>
        </w:tc>
        <w:tc>
          <w:tcPr>
            <w:tcW w:w="2347"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项目建设后，增加的蓄、引、提水量。蓄水量可用设计 容量与复蓄指数进行计算，</w:t>
            </w:r>
            <w:r>
              <w:rPr>
                <w:rFonts w:hint="eastAsia" w:cs="宋体"/>
                <w:color w:val="252525"/>
                <w:sz w:val="16"/>
                <w:szCs w:val="16"/>
                <w:lang w:bidi="zh-TW"/>
              </w:rPr>
              <w:t>引</w:t>
            </w:r>
            <w:r>
              <w:rPr>
                <w:rFonts w:cs="宋体"/>
                <w:color w:val="252525"/>
                <w:sz w:val="16"/>
                <w:szCs w:val="16"/>
                <w:lang w:val="zh-TW" w:eastAsia="zh-TW" w:bidi="zh-TW"/>
              </w:rPr>
              <w:t>、提水量可用设计流量乘以引提水的时间进行计算</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79"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通过查阅有关资料、现场调查、专家评议法进行评价。对于项目评价，可通过查阅项目设计文件和竣工验收文件，并通过现场调查和专家评议，统计项目建设后增加的蓄、引、提水资源量。对于年度和规划期的评价，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98" w:hRule="exact"/>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60</w:t>
            </w:r>
          </w:p>
        </w:tc>
        <w:tc>
          <w:tcPr>
            <w:tcW w:w="1444"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增加林木蓄积量</w:t>
            </w:r>
          </w:p>
        </w:tc>
        <w:tc>
          <w:tcPr>
            <w:tcW w:w="1084" w:type="dxa"/>
            <w:tcBorders>
              <w:top w:val="single" w:color="auto" w:sz="4" w:space="0"/>
              <w:left w:val="single" w:color="auto" w:sz="4" w:space="0"/>
              <w:bottom w:val="single" w:color="auto" w:sz="4" w:space="0"/>
            </w:tcBorders>
            <w:shd w:val="clear" w:color="auto" w:fill="FFFFFF"/>
            <w:vAlign w:val="center"/>
          </w:tcPr>
          <w:p>
            <w:pPr>
              <w:ind w:firstLine="300"/>
              <w:jc w:val="left"/>
              <w:rPr>
                <w:rFonts w:cs="宋体"/>
                <w:color w:val="252525"/>
                <w:sz w:val="18"/>
                <w:szCs w:val="18"/>
                <w:lang w:val="zh-TW" w:eastAsia="zh-TW" w:bidi="zh-TW"/>
              </w:rPr>
            </w:pPr>
            <w:r>
              <w:rPr>
                <w:rFonts w:cs="宋体"/>
                <w:color w:val="252525"/>
                <w:sz w:val="16"/>
                <w:szCs w:val="16"/>
                <w:lang w:val="zh-TW" w:eastAsia="zh-TW" w:bidi="zh-TW"/>
              </w:rPr>
              <w:t>万</w:t>
            </w:r>
            <w:r>
              <w:rPr>
                <w:color w:val="252525"/>
                <w:sz w:val="18"/>
                <w:szCs w:val="18"/>
                <w:lang w:eastAsia="en-US" w:bidi="en-US"/>
              </w:rPr>
              <w:t>m</w:t>
            </w:r>
            <w:r>
              <w:rPr>
                <w:color w:val="252525"/>
                <w:sz w:val="18"/>
                <w:szCs w:val="18"/>
                <w:vertAlign w:val="superscript"/>
                <w:lang w:eastAsia="en-US" w:bidi="en-US"/>
              </w:rPr>
              <w:t>3</w:t>
            </w:r>
          </w:p>
        </w:tc>
        <w:tc>
          <w:tcPr>
            <w:tcW w:w="2347" w:type="dxa"/>
            <w:tcBorders>
              <w:top w:val="single" w:color="auto" w:sz="4" w:space="0"/>
              <w:left w:val="single" w:color="auto" w:sz="4" w:space="0"/>
              <w:bottom w:val="single" w:color="auto" w:sz="4" w:space="0"/>
            </w:tcBorders>
            <w:shd w:val="clear" w:color="auto" w:fill="FFFFFF"/>
            <w:vAlign w:val="center"/>
          </w:tcPr>
          <w:p>
            <w:pPr>
              <w:spacing w:line="289"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项目建设后，增加的林木蓄积量。林木蓄积量可以规划目标年的成材林木总量进行计算</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项目设计文件，竣工验收技术文件</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bottom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通过查阅有关资料、抽样调查、专家评议法进行评价。对于项目评价，可通过查阅项目设计文件和竣工验收文件，并通过抽样调查和专家评议</w:t>
            </w:r>
            <w:r>
              <w:rPr>
                <w:rFonts w:hint="eastAsia" w:cs="宋体"/>
                <w:color w:val="252525"/>
                <w:sz w:val="16"/>
                <w:szCs w:val="16"/>
                <w:lang w:val="zh-TW" w:bidi="zh-TW"/>
              </w:rPr>
              <w:t>，</w:t>
            </w:r>
            <w:r>
              <w:rPr>
                <w:rFonts w:cs="宋体"/>
                <w:color w:val="252525"/>
                <w:sz w:val="16"/>
                <w:szCs w:val="16"/>
                <w:lang w:val="zh-TW" w:eastAsia="zh-TW" w:bidi="zh-TW"/>
              </w:rPr>
              <w:t>计算规划年项目区林木蓄积量。对于年度和规划期的评价，应抽样调查项目进行评价。</w:t>
            </w:r>
          </w:p>
          <w:p>
            <w:pPr>
              <w:spacing w:line="288" w:lineRule="exact"/>
              <w:rPr>
                <w:rFonts w:cs="宋体"/>
                <w:color w:val="252525"/>
                <w:sz w:val="16"/>
                <w:szCs w:val="16"/>
                <w:lang w:val="zh-TW" w:eastAsia="zh-TW" w:bidi="zh-TW"/>
              </w:rPr>
            </w:pPr>
            <w:r>
              <w:rPr>
                <w:rFonts w:cs="宋体"/>
                <w:color w:val="252525"/>
                <w:sz w:val="16"/>
                <w:szCs w:val="16"/>
                <w:lang w:val="zh-TW" w:eastAsia="zh-TW" w:bidi="zh-TW"/>
              </w:rPr>
              <w:t>釆用目标对比法评价，评分采用五分制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8"/>
        <w:gridCol w:w="1444"/>
        <w:gridCol w:w="1084"/>
        <w:gridCol w:w="2347"/>
        <w:gridCol w:w="1444"/>
        <w:gridCol w:w="4514"/>
        <w:gridCol w:w="1843"/>
      </w:tblGrid>
      <w:tr>
        <w:tblPrEx>
          <w:tblCellMar>
            <w:top w:w="0" w:type="dxa"/>
            <w:left w:w="10" w:type="dxa"/>
            <w:bottom w:w="0" w:type="dxa"/>
            <w:right w:w="10" w:type="dxa"/>
          </w:tblCellMar>
        </w:tblPrEx>
        <w:trPr>
          <w:trHeight w:val="382" w:hRule="exact"/>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576"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s="宋体"/>
                <w:color w:val="252525"/>
                <w:sz w:val="18"/>
                <w:szCs w:val="18"/>
                <w:lang w:eastAsia="zh-CN" w:bidi="zh-TW"/>
              </w:rPr>
            </w:pPr>
            <w:r>
              <w:rPr>
                <w:color w:val="252525"/>
                <w:sz w:val="18"/>
                <w:szCs w:val="18"/>
                <w:lang w:eastAsia="en-US" w:bidi="en-US"/>
              </w:rPr>
              <w:t>A</w:t>
            </w:r>
            <w:r>
              <w:rPr>
                <w:rFonts w:hint="eastAsia"/>
                <w:color w:val="252525"/>
                <w:sz w:val="18"/>
                <w:szCs w:val="18"/>
                <w:lang w:bidi="en-US"/>
              </w:rPr>
              <w:t>6</w:t>
            </w:r>
            <w:r>
              <w:rPr>
                <w:rFonts w:hint="eastAsia"/>
                <w:color w:val="252525"/>
                <w:sz w:val="18"/>
                <w:szCs w:val="18"/>
                <w:lang w:val="en-US" w:eastAsia="zh-CN" w:bidi="en-US"/>
              </w:rPr>
              <w:t>1</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耕作层土壤剥离量</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jc w:val="left"/>
              <w:rPr>
                <w:rFonts w:cs="宋体"/>
                <w:color w:val="252525"/>
                <w:sz w:val="18"/>
                <w:szCs w:val="18"/>
                <w:lang w:val="zh-TW" w:eastAsia="zh-TW" w:bidi="zh-TW"/>
              </w:rPr>
            </w:pPr>
            <w:r>
              <w:rPr>
                <w:rFonts w:hint="eastAsia" w:cs="宋体"/>
                <w:color w:val="252525"/>
                <w:sz w:val="18"/>
                <w:szCs w:val="18"/>
                <w:lang w:val="zh-TW" w:eastAsia="zh-TW" w:bidi="zh-TW"/>
              </w:rPr>
              <w:t>万m3</w:t>
            </w:r>
          </w:p>
        </w:tc>
        <w:tc>
          <w:tcPr>
            <w:tcW w:w="23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hint="eastAsia" w:cs="宋体"/>
                <w:color w:val="252525"/>
                <w:sz w:val="16"/>
                <w:szCs w:val="16"/>
                <w:lang w:val="zh-TW" w:eastAsia="zh-TW" w:bidi="zh-TW"/>
              </w:rPr>
              <w:t>项目建设后，因建设占压增加的耕作层土壤剥离量，但不包括因施工工艺需要的耕作层土壤剥离量（如梯田修筑）</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项目设计</w:t>
            </w:r>
            <w:r>
              <w:rPr>
                <w:rFonts w:hint="eastAsia" w:cs="宋体"/>
                <w:color w:val="252525"/>
                <w:sz w:val="16"/>
                <w:szCs w:val="16"/>
                <w:lang w:bidi="zh-TW"/>
              </w:rPr>
              <w:t>文件，</w:t>
            </w:r>
            <w:r>
              <w:rPr>
                <w:rFonts w:cs="宋体"/>
                <w:color w:val="252525"/>
                <w:sz w:val="16"/>
                <w:szCs w:val="16"/>
                <w:lang w:val="zh-TW" w:eastAsia="zh-TW" w:bidi="zh-TW"/>
              </w:rPr>
              <w:t>竣工验收技术文件</w:t>
            </w:r>
            <w:r>
              <w:rPr>
                <w:rFonts w:hint="eastAsia" w:cs="宋体"/>
                <w:color w:val="252525"/>
                <w:sz w:val="16"/>
                <w:szCs w:val="16"/>
                <w:lang w:val="zh-TW" w:bidi="zh-TW"/>
              </w:rPr>
              <w:t>，</w:t>
            </w:r>
            <w:r>
              <w:rPr>
                <w:rFonts w:cs="宋体"/>
                <w:color w:val="252525"/>
                <w:sz w:val="16"/>
                <w:szCs w:val="16"/>
                <w:lang w:val="zh-TW" w:eastAsia="zh-TW" w:bidi="zh-TW"/>
              </w:rPr>
              <w:t>竣工图</w:t>
            </w:r>
          </w:p>
        </w:tc>
        <w:tc>
          <w:tcPr>
            <w:tcW w:w="451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通过查阅有关资料、现场调查进行评价。对于</w:t>
            </w:r>
            <w:r>
              <w:rPr>
                <w:rFonts w:cs="宋体"/>
                <w:color w:val="474747"/>
                <w:sz w:val="16"/>
                <w:szCs w:val="16"/>
                <w:lang w:val="zh-TW" w:eastAsia="zh-TW" w:bidi="zh-TW"/>
              </w:rPr>
              <w:t>项目评</w:t>
            </w:r>
            <w:r>
              <w:rPr>
                <w:rFonts w:cs="宋体"/>
                <w:color w:val="252525"/>
                <w:sz w:val="16"/>
                <w:szCs w:val="16"/>
                <w:lang w:val="zh-TW" w:eastAsia="zh-TW" w:bidi="zh-TW"/>
              </w:rPr>
              <w:t>价，可通过查阅项目设计文件和竣工验收</w:t>
            </w:r>
            <w:r>
              <w:rPr>
                <w:rFonts w:cs="宋体"/>
                <w:color w:val="474747"/>
                <w:sz w:val="16"/>
                <w:szCs w:val="16"/>
                <w:lang w:val="zh-TW" w:eastAsia="zh-TW" w:bidi="zh-TW"/>
              </w:rPr>
              <w:t>文件，</w:t>
            </w:r>
            <w:r>
              <w:rPr>
                <w:rFonts w:cs="宋体"/>
                <w:color w:val="252525"/>
                <w:sz w:val="16"/>
                <w:szCs w:val="16"/>
                <w:lang w:val="zh-TW" w:eastAsia="zh-TW" w:bidi="zh-TW"/>
              </w:rPr>
              <w:t>并通过现场调查，统计项目工程施工中因建设占用而开展的耕作层土壤剥离量。对于年度和规划期的评价，应抽样调查项目进行评价。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釆用目标对比法评价，评分釆用五分制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76"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olor w:val="252525"/>
                <w:sz w:val="18"/>
                <w:szCs w:val="18"/>
                <w:lang w:eastAsia="zh-CN" w:bidi="en-US"/>
              </w:rPr>
            </w:pPr>
            <w:r>
              <w:rPr>
                <w:rFonts w:hint="eastAsia"/>
                <w:color w:val="252525"/>
                <w:sz w:val="18"/>
                <w:szCs w:val="18"/>
                <w:lang w:eastAsia="en-US" w:bidi="en-US"/>
              </w:rPr>
              <w:t>A6</w:t>
            </w:r>
            <w:r>
              <w:rPr>
                <w:rFonts w:hint="eastAsia"/>
                <w:color w:val="252525"/>
                <w:sz w:val="18"/>
                <w:szCs w:val="18"/>
                <w:lang w:val="en-US" w:eastAsia="zh-CN" w:bidi="en-US"/>
              </w:rPr>
              <w:t>2</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hint="eastAsia" w:cs="宋体"/>
                <w:color w:val="252525"/>
                <w:sz w:val="16"/>
                <w:szCs w:val="16"/>
                <w:lang w:val="zh-TW" w:eastAsia="zh-TW" w:bidi="zh-TW"/>
              </w:rPr>
              <w:t>灌溉水利用系数提高值</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jc w:val="left"/>
              <w:rPr>
                <w:rFonts w:cs="宋体"/>
                <w:color w:val="252525"/>
                <w:sz w:val="18"/>
                <w:szCs w:val="18"/>
                <w:lang w:bidi="zh-TW"/>
              </w:rPr>
            </w:pPr>
          </w:p>
        </w:tc>
        <w:tc>
          <w:tcPr>
            <w:tcW w:w="23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hint="eastAsia" w:cs="宋体"/>
                <w:color w:val="252525"/>
                <w:sz w:val="16"/>
                <w:szCs w:val="16"/>
                <w:lang w:val="zh-TW" w:eastAsia="zh-TW" w:bidi="zh-TW"/>
              </w:rPr>
              <w:t>经建设前后比较，项目区农田灌溉水利用系数的</w:t>
            </w:r>
            <w:r>
              <w:rPr>
                <w:rFonts w:hint="eastAsia" w:cs="宋体"/>
                <w:color w:val="252525"/>
                <w:sz w:val="16"/>
                <w:szCs w:val="16"/>
                <w:lang w:val="zh-TW" w:bidi="zh-TW"/>
              </w:rPr>
              <w:t>提高值</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hint="eastAsia" w:cs="宋体"/>
                <w:color w:val="252525"/>
                <w:sz w:val="16"/>
                <w:szCs w:val="16"/>
                <w:lang w:bidi="zh-TW"/>
              </w:rPr>
              <w:t>项目涉及文件，</w:t>
            </w:r>
            <w:r>
              <w:rPr>
                <w:rFonts w:hint="eastAsia" w:cs="宋体"/>
                <w:color w:val="252525"/>
                <w:sz w:val="16"/>
                <w:szCs w:val="16"/>
                <w:lang w:val="zh-TW" w:eastAsia="zh-TW" w:bidi="zh-TW"/>
              </w:rPr>
              <w:t>统计年鉴，实地观测数据</w:t>
            </w:r>
          </w:p>
        </w:tc>
        <w:tc>
          <w:tcPr>
            <w:tcW w:w="451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cs="宋体"/>
                <w:color w:val="252525"/>
                <w:sz w:val="16"/>
                <w:szCs w:val="16"/>
                <w:lang w:val="zh-TW" w:bidi="zh-TW"/>
              </w:rPr>
            </w:pPr>
            <w:r>
              <w:rPr>
                <w:rFonts w:hint="eastAsia" w:cs="宋体"/>
                <w:color w:val="252525"/>
                <w:sz w:val="16"/>
                <w:szCs w:val="16"/>
                <w:lang w:val="zh-TW" w:eastAsia="zh-TW" w:bidi="zh-TW"/>
              </w:rPr>
              <w:t>釆用问卷调查法、抽样调査法、专家评议法进行评价。对于项目评价，可通过现场测试或参照条件相似地区的样点灌区测试结果，并经专家评议，分析建设前后农田灌溉水利用系数的变化值</w:t>
            </w:r>
            <w:r>
              <w:rPr>
                <w:rFonts w:hint="eastAsia" w:cs="宋体"/>
                <w:color w:val="252525"/>
                <w:sz w:val="16"/>
                <w:szCs w:val="16"/>
                <w:lang w:val="zh-TW" w:bidi="zh-TW"/>
              </w:rPr>
              <w:t>；</w:t>
            </w:r>
            <w:r>
              <w:rPr>
                <w:rFonts w:hint="eastAsia" w:cs="宋体"/>
                <w:color w:val="252525"/>
                <w:sz w:val="16"/>
                <w:szCs w:val="16"/>
                <w:lang w:val="zh-TW" w:eastAsia="zh-TW" w:bidi="zh-TW"/>
              </w:rPr>
              <w:t>一个项目区至少应选取1个</w:t>
            </w:r>
            <w:r>
              <w:rPr>
                <w:rFonts w:hint="eastAsia" w:cs="宋体"/>
                <w:color w:val="252525"/>
                <w:sz w:val="16"/>
                <w:szCs w:val="16"/>
                <w:lang w:val="zh-TW" w:bidi="zh-TW"/>
              </w:rPr>
              <w:t>独立的灌溉系统进行分析。对于年度和规划期的评价，应采用抽样调查项目进行评价。</w:t>
            </w:r>
          </w:p>
          <w:p>
            <w:pPr>
              <w:spacing w:line="286" w:lineRule="exact"/>
              <w:rPr>
                <w:rFonts w:cs="宋体"/>
                <w:color w:val="252525"/>
                <w:sz w:val="16"/>
                <w:szCs w:val="16"/>
                <w:lang w:val="zh-TW" w:bidi="zh-TW"/>
              </w:rPr>
            </w:pPr>
            <w:r>
              <w:rPr>
                <w:rFonts w:hint="eastAsia" w:cs="宋体"/>
                <w:color w:val="252525"/>
                <w:sz w:val="16"/>
                <w:szCs w:val="16"/>
                <w:lang w:val="zh-TW" w:bidi="zh-TW"/>
              </w:rPr>
              <w:t>采用目标对比法评价，评分采用五分制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27"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olor w:val="252525"/>
                <w:sz w:val="18"/>
                <w:szCs w:val="18"/>
                <w:lang w:eastAsia="zh-CN" w:bidi="en-US"/>
              </w:rPr>
            </w:pPr>
            <w:r>
              <w:rPr>
                <w:rFonts w:hint="eastAsia"/>
                <w:color w:val="252525"/>
                <w:sz w:val="18"/>
                <w:szCs w:val="18"/>
                <w:lang w:eastAsia="en-US" w:bidi="en-US"/>
              </w:rPr>
              <w:t>A6</w:t>
            </w:r>
            <w:r>
              <w:rPr>
                <w:rFonts w:hint="eastAsia"/>
                <w:color w:val="252525"/>
                <w:sz w:val="18"/>
                <w:szCs w:val="18"/>
                <w:lang w:val="en-US" w:eastAsia="zh-CN" w:bidi="en-US"/>
              </w:rPr>
              <w:t>3</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hint="eastAsia" w:cs="宋体"/>
                <w:color w:val="252525"/>
                <w:sz w:val="16"/>
                <w:szCs w:val="16"/>
                <w:lang w:val="zh-TW" w:eastAsia="zh-TW" w:bidi="zh-TW"/>
              </w:rPr>
              <w:t>农田基础设施覆盖面积</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jc w:val="left"/>
              <w:rPr>
                <w:rFonts w:cs="宋体"/>
                <w:color w:val="252525"/>
                <w:sz w:val="18"/>
                <w:szCs w:val="18"/>
                <w:lang w:val="zh-TW" w:eastAsia="zh-TW" w:bidi="zh-TW"/>
              </w:rPr>
            </w:pPr>
            <w:r>
              <w:rPr>
                <w:rFonts w:hint="eastAsia" w:cs="宋体"/>
                <w:color w:val="252525"/>
                <w:sz w:val="18"/>
                <w:szCs w:val="18"/>
                <w:lang w:val="zh-TW" w:eastAsia="zh-TW" w:bidi="zh-TW"/>
              </w:rPr>
              <w:t>hm2</w:t>
            </w:r>
          </w:p>
        </w:tc>
        <w:tc>
          <w:tcPr>
            <w:tcW w:w="23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hint="eastAsia" w:cs="宋体"/>
                <w:color w:val="252525"/>
                <w:sz w:val="16"/>
                <w:szCs w:val="16"/>
                <w:lang w:val="zh-TW" w:eastAsia="zh-TW" w:bidi="zh-TW"/>
              </w:rPr>
              <w:t>按照G</w:t>
            </w:r>
            <w:r>
              <w:rPr>
                <w:rFonts w:hint="eastAsia" w:cs="宋体"/>
                <w:color w:val="252525"/>
                <w:sz w:val="16"/>
                <w:szCs w:val="16"/>
                <w:lang w:bidi="zh-TW"/>
              </w:rPr>
              <w:t>B/</w:t>
            </w:r>
            <w:r>
              <w:rPr>
                <w:rFonts w:hint="eastAsia" w:cs="宋体"/>
                <w:color w:val="252525"/>
                <w:sz w:val="16"/>
                <w:szCs w:val="16"/>
                <w:lang w:val="zh-TW" w:eastAsia="zh-TW" w:bidi="zh-TW"/>
              </w:rPr>
              <w:t>T 30600规定的工程建设标准和项目设计方案，满足项目区设计功能要求的农田基础设施所覆盖的面积。农田基础设施覆盖范围应</w:t>
            </w:r>
            <w:r>
              <w:rPr>
                <w:rFonts w:hint="eastAsia" w:cs="宋体"/>
                <w:color w:val="252525"/>
                <w:sz w:val="16"/>
                <w:szCs w:val="16"/>
                <w:lang w:val="zh-TW" w:bidi="zh-TW"/>
              </w:rPr>
              <w:t>同时</w:t>
            </w:r>
            <w:r>
              <w:rPr>
                <w:rFonts w:hint="eastAsia" w:cs="宋体"/>
                <w:color w:val="252525"/>
                <w:sz w:val="16"/>
                <w:szCs w:val="16"/>
                <w:lang w:val="zh-TW" w:eastAsia="zh-TW" w:bidi="zh-TW"/>
              </w:rPr>
              <w:t>满足田块内灌溉、排水和交通等功能</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cs="宋体"/>
                <w:color w:val="252525"/>
                <w:sz w:val="16"/>
                <w:szCs w:val="16"/>
                <w:lang w:val="zh-TW" w:bidi="zh-TW"/>
              </w:rPr>
            </w:pPr>
            <w:r>
              <w:rPr>
                <w:rFonts w:hint="eastAsia" w:cs="宋体"/>
                <w:color w:val="252525"/>
                <w:sz w:val="16"/>
                <w:szCs w:val="16"/>
                <w:lang w:val="zh-TW" w:bidi="zh-TW"/>
              </w:rPr>
              <w:t>项目设计文件，竣工验收技术文件，竣工图</w:t>
            </w:r>
          </w:p>
        </w:tc>
        <w:tc>
          <w:tcPr>
            <w:tcW w:w="451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1" w:lineRule="exact"/>
              <w:rPr>
                <w:rFonts w:cs="宋体"/>
                <w:color w:val="252525"/>
                <w:sz w:val="16"/>
                <w:szCs w:val="16"/>
                <w:lang w:val="zh-TW" w:bidi="zh-TW"/>
              </w:rPr>
            </w:pPr>
            <w:r>
              <w:rPr>
                <w:rFonts w:cs="宋体"/>
                <w:color w:val="252525"/>
                <w:sz w:val="16"/>
                <w:szCs w:val="16"/>
                <w:lang w:val="zh-TW" w:eastAsia="zh-TW" w:bidi="zh-TW"/>
              </w:rPr>
              <w:t>采用资料查阅法、专岑貝法进行评价。对于项目评价,应通过审阅设计文件、招投标文件、竣工验收报告, 并经过专家评议，评价项目建设程序的合规性和规范性。对于年度和规划期的评价，应抽样调查项目进行</w:t>
            </w:r>
            <w:r>
              <w:rPr>
                <w:rFonts w:hint="eastAsia" w:cs="宋体"/>
                <w:color w:val="252525"/>
                <w:sz w:val="16"/>
                <w:szCs w:val="16"/>
                <w:lang w:val="zh-TW" w:bidi="zh-TW"/>
              </w:rPr>
              <w:t>评价。</w:t>
            </w:r>
          </w:p>
          <w:p>
            <w:pPr>
              <w:spacing w:line="281" w:lineRule="exact"/>
              <w:rPr>
                <w:rFonts w:cs="宋体"/>
                <w:color w:val="252525"/>
                <w:sz w:val="16"/>
                <w:szCs w:val="16"/>
                <w:lang w:val="zh-TW" w:eastAsia="zh-TW" w:bidi="zh-TW"/>
              </w:rPr>
            </w:pPr>
            <w:r>
              <w:rPr>
                <w:rFonts w:hint="eastAsia" w:cs="宋体"/>
                <w:color w:val="252525"/>
                <w:sz w:val="16"/>
                <w:szCs w:val="16"/>
                <w:lang w:val="zh-TW" w:bidi="zh-TW"/>
              </w:rPr>
              <w:t>采用目标对比法评价，评分采用五分制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727"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olor w:val="252525"/>
                <w:sz w:val="18"/>
                <w:szCs w:val="18"/>
                <w:lang w:eastAsia="zh-CN" w:bidi="en-US"/>
              </w:rPr>
            </w:pPr>
            <w:r>
              <w:rPr>
                <w:rFonts w:hint="eastAsia"/>
                <w:color w:val="252525"/>
                <w:sz w:val="18"/>
                <w:szCs w:val="18"/>
                <w:lang w:eastAsia="en-US" w:bidi="en-US"/>
              </w:rPr>
              <w:t>A6</w:t>
            </w:r>
            <w:r>
              <w:rPr>
                <w:rFonts w:hint="eastAsia"/>
                <w:color w:val="252525"/>
                <w:sz w:val="18"/>
                <w:szCs w:val="18"/>
                <w:lang w:val="en-US" w:eastAsia="zh-CN" w:bidi="en-US"/>
              </w:rPr>
              <w:t>4</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hint="eastAsia" w:cs="宋体"/>
                <w:color w:val="252525"/>
                <w:sz w:val="16"/>
                <w:szCs w:val="16"/>
                <w:lang w:val="zh-TW" w:eastAsia="zh-TW" w:bidi="zh-TW"/>
              </w:rPr>
              <w:t>工作程序合规</w:t>
            </w:r>
          </w:p>
          <w:p>
            <w:pPr>
              <w:spacing w:line="284" w:lineRule="exact"/>
              <w:jc w:val="left"/>
              <w:rPr>
                <w:rFonts w:cs="宋体"/>
                <w:color w:val="252525"/>
                <w:sz w:val="16"/>
                <w:szCs w:val="16"/>
                <w:lang w:val="zh-TW" w:eastAsia="zh-TW" w:bidi="zh-TW"/>
              </w:rPr>
            </w:pPr>
            <w:r>
              <w:rPr>
                <w:rFonts w:hint="eastAsia" w:cs="宋体"/>
                <w:color w:val="252525"/>
                <w:sz w:val="16"/>
                <w:szCs w:val="16"/>
                <w:lang w:val="zh-TW" w:eastAsia="zh-TW" w:bidi="zh-TW"/>
              </w:rPr>
              <w:t>性*</w:t>
            </w:r>
          </w:p>
        </w:tc>
        <w:tc>
          <w:tcPr>
            <w:tcW w:w="1084"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60"/>
              <w:jc w:val="left"/>
              <w:rPr>
                <w:rFonts w:cs="宋体"/>
                <w:color w:val="252525"/>
                <w:sz w:val="18"/>
                <w:szCs w:val="18"/>
                <w:lang w:val="zh-TW" w:eastAsia="zh-TW" w:bidi="zh-TW"/>
              </w:rPr>
            </w:pPr>
          </w:p>
        </w:tc>
        <w:tc>
          <w:tcPr>
            <w:tcW w:w="23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hint="eastAsia" w:cs="宋体"/>
                <w:color w:val="252525"/>
                <w:sz w:val="16"/>
                <w:szCs w:val="16"/>
                <w:lang w:val="zh-TW" w:eastAsia="zh-TW" w:bidi="zh-TW"/>
              </w:rPr>
              <w:t>项目建设程序需满足</w:t>
            </w:r>
            <w:r>
              <w:rPr>
                <w:rFonts w:hint="eastAsia" w:cs="宋体"/>
                <w:color w:val="252525"/>
                <w:sz w:val="16"/>
                <w:szCs w:val="16"/>
                <w:lang w:val="zh-TW" w:bidi="zh-TW"/>
              </w:rPr>
              <w:t>基本</w:t>
            </w:r>
            <w:r>
              <w:rPr>
                <w:rFonts w:hint="eastAsia" w:cs="宋体"/>
                <w:color w:val="252525"/>
                <w:sz w:val="16"/>
                <w:szCs w:val="16"/>
                <w:lang w:val="zh-TW" w:eastAsia="zh-TW" w:bidi="zh-TW"/>
              </w:rPr>
              <w:t>建设程序的规定，即项目建设一般经过可行性研究（立项）、设计、招投标、施工、监理、验收等工作</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cs="宋体"/>
                <w:color w:val="252525"/>
                <w:sz w:val="16"/>
                <w:szCs w:val="16"/>
                <w:lang w:val="zh-TW" w:bidi="zh-TW"/>
              </w:rPr>
            </w:pPr>
            <w:r>
              <w:rPr>
                <w:rFonts w:hint="eastAsia" w:cs="宋体"/>
                <w:color w:val="252525"/>
                <w:sz w:val="16"/>
                <w:szCs w:val="16"/>
                <w:lang w:val="zh-TW" w:bidi="zh-TW"/>
              </w:rPr>
              <w:t>项目招投标文件，规划设计文件，竣工验收技术文件</w:t>
            </w:r>
          </w:p>
        </w:tc>
        <w:tc>
          <w:tcPr>
            <w:tcW w:w="451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rPr>
                <w:rFonts w:cs="宋体"/>
                <w:color w:val="252525"/>
                <w:sz w:val="16"/>
                <w:szCs w:val="16"/>
                <w:lang w:val="zh-TW" w:bidi="zh-TW"/>
              </w:rPr>
            </w:pPr>
            <w:r>
              <w:rPr>
                <w:rFonts w:hint="eastAsia" w:cs="宋体"/>
                <w:color w:val="252525"/>
                <w:sz w:val="16"/>
                <w:szCs w:val="16"/>
                <w:lang w:val="zh-TW" w:eastAsia="zh-TW" w:bidi="zh-TW"/>
              </w:rPr>
              <w:t>采用资料查阅法、</w:t>
            </w:r>
            <w:r>
              <w:rPr>
                <w:rFonts w:hint="eastAsia" w:cs="宋体"/>
                <w:color w:val="252525"/>
                <w:sz w:val="16"/>
                <w:szCs w:val="16"/>
                <w:lang w:val="zh-TW" w:bidi="zh-TW"/>
              </w:rPr>
              <w:t>专家评议法</w:t>
            </w:r>
            <w:r>
              <w:rPr>
                <w:rFonts w:hint="eastAsia" w:cs="宋体"/>
                <w:color w:val="252525"/>
                <w:sz w:val="16"/>
                <w:szCs w:val="16"/>
                <w:lang w:val="zh-TW" w:eastAsia="zh-TW" w:bidi="zh-TW"/>
              </w:rPr>
              <w:t>进行评价。对于项目评价,应通过审阅设计文件、招投标文件、竣工验收报告</w:t>
            </w:r>
            <w:r>
              <w:rPr>
                <w:rFonts w:hint="eastAsia" w:cs="宋体"/>
                <w:color w:val="252525"/>
                <w:sz w:val="16"/>
                <w:szCs w:val="16"/>
                <w:lang w:val="zh-TW" w:bidi="zh-TW"/>
              </w:rPr>
              <w:t>，</w:t>
            </w:r>
            <w:r>
              <w:rPr>
                <w:rFonts w:hint="eastAsia" w:cs="宋体"/>
                <w:color w:val="252525"/>
                <w:sz w:val="16"/>
                <w:szCs w:val="16"/>
                <w:lang w:val="zh-TW" w:eastAsia="zh-TW" w:bidi="zh-TW"/>
              </w:rPr>
              <w:t>并经过专家评议，评价项目建设程序的合规性和规范性。对于年度和规划期的评价，应抽样调查项目进行</w:t>
            </w:r>
            <w:r>
              <w:rPr>
                <w:rFonts w:hint="eastAsia" w:cs="宋体"/>
                <w:color w:val="252525"/>
                <w:sz w:val="16"/>
                <w:szCs w:val="16"/>
                <w:lang w:val="zh-TW" w:bidi="zh-TW"/>
              </w:rPr>
              <w:t>评价。</w:t>
            </w:r>
          </w:p>
          <w:p>
            <w:pPr>
              <w:spacing w:line="286" w:lineRule="exact"/>
              <w:rPr>
                <w:rFonts w:cs="宋体"/>
                <w:color w:val="252525"/>
                <w:sz w:val="16"/>
                <w:szCs w:val="16"/>
                <w:lang w:bidi="zh-TW"/>
              </w:rPr>
            </w:pPr>
            <w:r>
              <w:rPr>
                <w:rFonts w:hint="eastAsia" w:cs="宋体"/>
                <w:color w:val="252525"/>
                <w:sz w:val="16"/>
                <w:szCs w:val="16"/>
                <w:lang w:val="zh-TW" w:bidi="zh-TW"/>
              </w:rPr>
              <w:t>评分采用二分制。按照专家集中评议，工作程序全部合规的，得</w:t>
            </w:r>
            <w:r>
              <w:rPr>
                <w:rFonts w:hint="eastAsia" w:cs="宋体"/>
                <w:color w:val="252525"/>
                <w:sz w:val="16"/>
                <w:szCs w:val="16"/>
                <w:lang w:bidi="zh-TW"/>
              </w:rPr>
              <w:t>1分，否则得0分</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8"/>
        <w:gridCol w:w="1444"/>
        <w:gridCol w:w="1084"/>
        <w:gridCol w:w="2347"/>
        <w:gridCol w:w="1444"/>
        <w:gridCol w:w="4518"/>
        <w:gridCol w:w="1843"/>
      </w:tblGrid>
      <w:tr>
        <w:tblPrEx>
          <w:tblCellMar>
            <w:top w:w="0" w:type="dxa"/>
            <w:left w:w="10" w:type="dxa"/>
            <w:bottom w:w="0" w:type="dxa"/>
            <w:right w:w="10" w:type="dxa"/>
          </w:tblCellMar>
        </w:tblPrEx>
        <w:trPr>
          <w:trHeight w:val="378" w:hRule="exact"/>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right w:val="single" w:color="auto" w:sz="4" w:space="0"/>
            </w:tcBorders>
            <w:shd w:val="clear" w:color="auto" w:fill="FFFFFF"/>
            <w:vAlign w:val="center"/>
          </w:tcPr>
          <w:p>
            <w:pPr>
              <w:ind w:firstLine="540"/>
              <w:jc w:val="left"/>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840" w:hRule="exact"/>
        </w:trPr>
        <w:tc>
          <w:tcPr>
            <w:tcW w:w="738"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A6</w:t>
            </w:r>
            <w:r>
              <w:rPr>
                <w:rFonts w:hint="eastAsia"/>
                <w:color w:val="252525"/>
                <w:sz w:val="18"/>
                <w:szCs w:val="18"/>
                <w:lang w:val="en-US" w:eastAsia="zh-CN" w:bidi="en-US"/>
              </w:rPr>
              <w:t>5</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规划编制</w:t>
            </w:r>
            <w:r>
              <w:rPr>
                <w:rFonts w:cs="宋体"/>
                <w:color w:val="252525"/>
                <w:sz w:val="16"/>
                <w:szCs w:val="16"/>
                <w:lang w:eastAsia="en-US" w:bidi="en-US"/>
              </w:rPr>
              <w:t>*</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62" w:lineRule="exact"/>
              <w:rPr>
                <w:rFonts w:hint="eastAsia" w:eastAsia="宋体" w:cs="宋体"/>
                <w:color w:val="252525"/>
                <w:sz w:val="16"/>
                <w:szCs w:val="16"/>
                <w:lang w:val="zh-TW" w:eastAsia="zh-CN" w:bidi="zh-TW"/>
              </w:rPr>
            </w:pPr>
            <w:r>
              <w:rPr>
                <w:rFonts w:cs="宋体"/>
                <w:color w:val="252525"/>
                <w:sz w:val="16"/>
                <w:szCs w:val="16"/>
                <w:lang w:val="zh-TW" w:eastAsia="zh-TW" w:bidi="zh-TW"/>
              </w:rPr>
              <w:t>按照高标准农田建设有关规划或标准（</w:t>
            </w:r>
            <w:r>
              <w:rPr>
                <w:color w:val="252525"/>
                <w:sz w:val="18"/>
                <w:szCs w:val="18"/>
                <w:lang w:eastAsia="en-US" w:bidi="en-US"/>
              </w:rPr>
              <w:t xml:space="preserve">TD/T </w:t>
            </w:r>
            <w:r>
              <w:rPr>
                <w:color w:val="252525"/>
                <w:sz w:val="18"/>
                <w:szCs w:val="18"/>
                <w:lang w:val="zh-TW" w:eastAsia="zh-TW" w:bidi="zh-TW"/>
              </w:rPr>
              <w:t>1034</w:t>
            </w:r>
            <w:r>
              <w:rPr>
                <w:rFonts w:cs="宋体"/>
                <w:color w:val="252525"/>
                <w:sz w:val="16"/>
                <w:szCs w:val="16"/>
                <w:lang w:val="zh-TW" w:eastAsia="zh-TW" w:bidi="zh-TW"/>
              </w:rPr>
              <w:t>、</w:t>
            </w:r>
            <w:r>
              <w:rPr>
                <w:color w:val="252525"/>
                <w:sz w:val="18"/>
                <w:szCs w:val="18"/>
                <w:lang w:eastAsia="en-US" w:bidi="en-US"/>
              </w:rPr>
              <w:t xml:space="preserve">TD/T </w:t>
            </w:r>
            <w:r>
              <w:rPr>
                <w:color w:val="252525"/>
                <w:sz w:val="18"/>
                <w:szCs w:val="18"/>
                <w:lang w:val="zh-TW" w:eastAsia="zh-TW" w:bidi="zh-TW"/>
              </w:rPr>
              <w:t>1035</w:t>
            </w:r>
            <w:r>
              <w:rPr>
                <w:rFonts w:cs="宋体"/>
                <w:color w:val="252525"/>
                <w:sz w:val="16"/>
                <w:szCs w:val="16"/>
                <w:lang w:val="zh-TW" w:eastAsia="zh-TW" w:bidi="zh-TW"/>
              </w:rPr>
              <w:t>等）规定，编制</w:t>
            </w:r>
            <w:r>
              <w:rPr>
                <w:rFonts w:hint="eastAsia" w:cs="宋体"/>
                <w:color w:val="252525"/>
                <w:sz w:val="16"/>
                <w:szCs w:val="16"/>
                <w:lang w:val="en-US" w:eastAsia="zh-CN" w:bidi="zh-TW"/>
              </w:rPr>
              <w:t>区级</w:t>
            </w:r>
            <w:r>
              <w:rPr>
                <w:rFonts w:cs="宋体"/>
                <w:color w:val="252525"/>
                <w:sz w:val="16"/>
                <w:szCs w:val="16"/>
                <w:lang w:val="zh-TW" w:eastAsia="zh-TW" w:bidi="zh-TW"/>
              </w:rPr>
              <w:t>高标准农田建设规划或土地整治规划，提出年度或规划期建设计划（方案）</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63" w:lineRule="exact"/>
              <w:rPr>
                <w:rFonts w:cs="宋体"/>
                <w:color w:val="252525"/>
                <w:sz w:val="16"/>
                <w:szCs w:val="16"/>
                <w:lang w:val="zh-TW" w:eastAsia="zh-TW" w:bidi="zh-TW"/>
              </w:rPr>
            </w:pPr>
            <w:r>
              <w:rPr>
                <w:rFonts w:cs="宋体"/>
                <w:color w:val="252525"/>
                <w:sz w:val="16"/>
                <w:szCs w:val="16"/>
                <w:lang w:val="zh-TW" w:eastAsia="zh-TW" w:bidi="zh-TW"/>
              </w:rPr>
              <w:t>高标准农田建设规划，土地整治规划</w:t>
            </w:r>
          </w:p>
        </w:tc>
        <w:tc>
          <w:tcPr>
            <w:tcW w:w="4518" w:type="dxa"/>
            <w:tcBorders>
              <w:top w:val="single" w:color="auto" w:sz="4" w:space="0"/>
              <w:left w:val="single" w:color="auto" w:sz="4" w:space="0"/>
            </w:tcBorders>
            <w:shd w:val="clear" w:color="auto" w:fill="FFFFFF"/>
            <w:vAlign w:val="center"/>
          </w:tcPr>
          <w:p>
            <w:pPr>
              <w:spacing w:line="263"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釆用资料查阅法、专家评议法进行评价。对于项目评价，通过查阅</w:t>
            </w:r>
            <w:r>
              <w:rPr>
                <w:rFonts w:hint="eastAsia" w:cs="宋体"/>
                <w:color w:val="252525"/>
                <w:sz w:val="16"/>
                <w:szCs w:val="16"/>
                <w:lang w:val="en-US" w:eastAsia="zh-CN" w:bidi="zh-TW"/>
              </w:rPr>
              <w:t>区级</w:t>
            </w:r>
            <w:r>
              <w:rPr>
                <w:rFonts w:cs="宋体"/>
                <w:color w:val="252525"/>
                <w:sz w:val="16"/>
                <w:szCs w:val="16"/>
                <w:lang w:val="zh-TW" w:eastAsia="zh-TW" w:bidi="zh-TW"/>
              </w:rPr>
              <w:t>高标准农田建设规划或土地整治规划，评价规划目标任务和方案的合理性。对于年度和规划期的评价，应抽样调查项目进行评价。</w:t>
            </w:r>
          </w:p>
          <w:p>
            <w:pPr>
              <w:spacing w:line="263" w:lineRule="exact"/>
              <w:rPr>
                <w:rFonts w:cs="宋体"/>
                <w:color w:val="252525"/>
                <w:sz w:val="16"/>
                <w:szCs w:val="16"/>
                <w:lang w:val="zh-TW" w:eastAsia="zh-TW" w:bidi="zh-TW"/>
              </w:rPr>
            </w:pPr>
            <w:r>
              <w:rPr>
                <w:rFonts w:cs="宋体"/>
                <w:color w:val="252525"/>
                <w:sz w:val="16"/>
                <w:szCs w:val="16"/>
                <w:lang w:val="zh-TW" w:eastAsia="zh-TW" w:bidi="zh-TW"/>
              </w:rPr>
              <w:t>评分釆用二分制。编制有关高标准农田建设规划，并符合有关规定的得</w:t>
            </w:r>
            <w:r>
              <w:rPr>
                <w:color w:val="252525"/>
                <w:sz w:val="18"/>
                <w:szCs w:val="18"/>
                <w:lang w:val="zh-TW" w:eastAsia="zh-TW" w:bidi="zh-TW"/>
              </w:rPr>
              <w:t>1</w:t>
            </w:r>
            <w:r>
              <w:rPr>
                <w:rFonts w:cs="宋体"/>
                <w:color w:val="252525"/>
                <w:sz w:val="16"/>
                <w:szCs w:val="16"/>
                <w:lang w:val="zh-TW" w:eastAsia="zh-TW" w:bidi="zh-TW"/>
              </w:rPr>
              <w:t>分,否则得</w:t>
            </w:r>
            <w:r>
              <w:rPr>
                <w:color w:val="252525"/>
                <w:sz w:val="18"/>
                <w:szCs w:val="18"/>
                <w:lang w:val="zh-TW" w:eastAsia="zh-TW" w:bidi="zh-TW"/>
              </w:rPr>
              <w:t>0</w:t>
            </w:r>
            <w:r>
              <w:rPr>
                <w:rFonts w:cs="宋体"/>
                <w:color w:val="252525"/>
                <w:sz w:val="16"/>
                <w:szCs w:val="16"/>
                <w:lang w:val="zh-TW" w:eastAsia="zh-TW" w:bidi="zh-TW"/>
              </w:rPr>
              <w:t>分</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年度/规划期</w:t>
            </w:r>
          </w:p>
        </w:tc>
      </w:tr>
      <w:tr>
        <w:tblPrEx>
          <w:tblCellMar>
            <w:top w:w="0" w:type="dxa"/>
            <w:left w:w="10" w:type="dxa"/>
            <w:bottom w:w="0" w:type="dxa"/>
            <w:right w:w="10" w:type="dxa"/>
          </w:tblCellMar>
        </w:tblPrEx>
        <w:trPr>
          <w:trHeight w:val="1582" w:hRule="exact"/>
        </w:trPr>
        <w:tc>
          <w:tcPr>
            <w:tcW w:w="738"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A6</w:t>
            </w:r>
            <w:r>
              <w:rPr>
                <w:rFonts w:hint="eastAsia"/>
                <w:color w:val="252525"/>
                <w:sz w:val="18"/>
                <w:szCs w:val="18"/>
                <w:lang w:val="en-US" w:eastAsia="zh-CN" w:bidi="en-US"/>
              </w:rPr>
              <w:t>6</w:t>
            </w:r>
          </w:p>
        </w:tc>
        <w:tc>
          <w:tcPr>
            <w:tcW w:w="1444" w:type="dxa"/>
            <w:tcBorders>
              <w:top w:val="single" w:color="auto" w:sz="4" w:space="0"/>
              <w:left w:val="single" w:color="auto" w:sz="4" w:space="0"/>
            </w:tcBorders>
            <w:shd w:val="clear" w:color="auto" w:fill="FFFFFF"/>
            <w:vAlign w:val="center"/>
          </w:tcPr>
          <w:p>
            <w:pPr>
              <w:spacing w:line="252" w:lineRule="exact"/>
              <w:jc w:val="left"/>
              <w:rPr>
                <w:rFonts w:cs="宋体"/>
                <w:color w:val="252525"/>
                <w:sz w:val="16"/>
                <w:szCs w:val="16"/>
                <w:lang w:val="zh-TW" w:eastAsia="zh-TW" w:bidi="zh-TW"/>
              </w:rPr>
            </w:pPr>
            <w:r>
              <w:rPr>
                <w:rFonts w:cs="宋体"/>
                <w:color w:val="252525"/>
                <w:sz w:val="16"/>
                <w:szCs w:val="16"/>
                <w:lang w:val="zh-TW" w:eastAsia="zh-TW" w:bidi="zh-TW"/>
              </w:rPr>
              <w:t>设计方案的合理性</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59"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项目设计方案合理</w:t>
            </w:r>
            <w:r>
              <w:rPr>
                <w:rFonts w:hint="eastAsia" w:cs="宋体"/>
                <w:color w:val="252525"/>
                <w:sz w:val="16"/>
                <w:szCs w:val="16"/>
                <w:lang w:val="zh-TW" w:bidi="zh-TW"/>
              </w:rPr>
              <w:t>，</w:t>
            </w:r>
            <w:r>
              <w:rPr>
                <w:rFonts w:cs="宋体"/>
                <w:color w:val="252525"/>
                <w:sz w:val="16"/>
                <w:szCs w:val="16"/>
                <w:lang w:val="zh-TW" w:eastAsia="zh-TW" w:bidi="zh-TW"/>
              </w:rPr>
              <w:t>实现了预期建设目标和设计功能，无质量事故发生</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62" w:lineRule="exact"/>
              <w:rPr>
                <w:rFonts w:cs="宋体"/>
                <w:color w:val="252525"/>
                <w:sz w:val="16"/>
                <w:szCs w:val="16"/>
                <w:lang w:val="zh-TW" w:eastAsia="zh-TW" w:bidi="zh-TW"/>
              </w:rPr>
            </w:pPr>
            <w:r>
              <w:rPr>
                <w:rFonts w:cs="宋体"/>
                <w:color w:val="252525"/>
                <w:sz w:val="16"/>
                <w:szCs w:val="16"/>
                <w:lang w:val="zh-TW" w:eastAsia="zh-TW" w:bidi="zh-TW"/>
              </w:rPr>
              <w:t>项目设计文件，竣工验收技术总结文件，项目运行报告</w:t>
            </w:r>
          </w:p>
        </w:tc>
        <w:tc>
          <w:tcPr>
            <w:tcW w:w="4518" w:type="dxa"/>
            <w:tcBorders>
              <w:top w:val="single" w:color="auto" w:sz="4" w:space="0"/>
              <w:left w:val="single" w:color="auto" w:sz="4" w:space="0"/>
            </w:tcBorders>
            <w:shd w:val="clear" w:color="auto" w:fill="FFFFFF"/>
            <w:vAlign w:val="center"/>
          </w:tcPr>
          <w:p>
            <w:pPr>
              <w:spacing w:line="261"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目评价，应通过专家评议，审查项目设计方案的合理性；并通过现场查看，检查设计方案的合理性，评价建设目标和设计功能的实现程度。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61" w:lineRule="exact"/>
              <w:rPr>
                <w:rFonts w:cs="宋体"/>
                <w:color w:val="252525"/>
                <w:sz w:val="16"/>
                <w:szCs w:val="16"/>
                <w:lang w:val="zh-TW" w:eastAsia="zh-TW" w:bidi="zh-TW"/>
              </w:rPr>
            </w:pPr>
            <w:r>
              <w:rPr>
                <w:rFonts w:cs="宋体"/>
                <w:color w:val="252525"/>
                <w:sz w:val="16"/>
                <w:szCs w:val="16"/>
                <w:lang w:val="zh-TW" w:eastAsia="zh-TW" w:bidi="zh-TW"/>
              </w:rPr>
              <w:t>釆用专家打分法评价，评分采用五分制</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426" w:hRule="exact"/>
        </w:trPr>
        <w:tc>
          <w:tcPr>
            <w:tcW w:w="738" w:type="dxa"/>
            <w:tcBorders>
              <w:top w:val="single" w:color="auto" w:sz="4" w:space="0"/>
              <w:left w:val="single" w:color="auto" w:sz="4" w:space="0"/>
            </w:tcBorders>
            <w:shd w:val="clear" w:color="auto" w:fill="FFFFFF"/>
            <w:vAlign w:val="center"/>
          </w:tcPr>
          <w:p>
            <w:pPr>
              <w:jc w:val="center"/>
              <w:rPr>
                <w:rFonts w:hint="eastAsia" w:eastAsia="宋体" w:cs="宋体"/>
                <w:color w:val="252525"/>
                <w:sz w:val="18"/>
                <w:szCs w:val="18"/>
                <w:lang w:val="zh-TW" w:eastAsia="zh-CN" w:bidi="zh-TW"/>
              </w:rPr>
            </w:pPr>
            <w:r>
              <w:rPr>
                <w:color w:val="252525"/>
                <w:sz w:val="18"/>
                <w:szCs w:val="18"/>
                <w:lang w:eastAsia="en-US" w:bidi="en-US"/>
              </w:rPr>
              <w:t>A6</w:t>
            </w:r>
            <w:r>
              <w:rPr>
                <w:rFonts w:hint="eastAsia"/>
                <w:color w:val="252525"/>
                <w:sz w:val="18"/>
                <w:szCs w:val="18"/>
                <w:lang w:val="en-US" w:eastAsia="zh-CN" w:bidi="en-US"/>
              </w:rPr>
              <w:t>7</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竣工验收*</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61"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项目一次性通过竣工验收，并能够提供完整的竣工验收文件</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62" w:lineRule="exact"/>
              <w:rPr>
                <w:rFonts w:cs="宋体"/>
                <w:color w:val="252525"/>
                <w:sz w:val="16"/>
                <w:szCs w:val="16"/>
                <w:lang w:val="zh-TW" w:eastAsia="zh-TW" w:bidi="zh-TW"/>
              </w:rPr>
            </w:pPr>
            <w:r>
              <w:rPr>
                <w:rFonts w:cs="宋体"/>
                <w:color w:val="252525"/>
                <w:sz w:val="16"/>
                <w:szCs w:val="16"/>
                <w:lang w:val="zh-TW" w:eastAsia="zh-TW" w:bidi="zh-TW"/>
              </w:rPr>
              <w:t>项目竣工验收报告，验收结论，竣工总结 报告</w:t>
            </w:r>
          </w:p>
        </w:tc>
        <w:tc>
          <w:tcPr>
            <w:tcW w:w="4518" w:type="dxa"/>
            <w:tcBorders>
              <w:top w:val="single" w:color="auto" w:sz="4" w:space="0"/>
              <w:left w:val="single" w:color="auto" w:sz="4" w:space="0"/>
            </w:tcBorders>
            <w:shd w:val="clear" w:color="auto" w:fill="FFFFFF"/>
            <w:vAlign w:val="center"/>
          </w:tcPr>
          <w:p>
            <w:pPr>
              <w:spacing w:line="260" w:lineRule="exact"/>
              <w:rPr>
                <w:rFonts w:cs="宋体"/>
                <w:color w:val="252525"/>
                <w:sz w:val="16"/>
                <w:szCs w:val="16"/>
                <w:lang w:val="zh-TW" w:eastAsia="zh-TW" w:bidi="zh-TW"/>
              </w:rPr>
            </w:pPr>
            <w:r>
              <w:rPr>
                <w:rFonts w:cs="宋体"/>
                <w:color w:val="252525"/>
                <w:sz w:val="16"/>
                <w:szCs w:val="16"/>
                <w:lang w:val="zh-TW" w:eastAsia="zh-TW" w:bidi="zh-TW"/>
              </w:rPr>
              <w:t>采用资料查阅法，对项目竣工验收的意见、结论和程序合法性进行评价。对于年度和规划期的评价，应抽样调查项目进行评价。</w:t>
            </w:r>
          </w:p>
          <w:p>
            <w:pPr>
              <w:spacing w:line="260" w:lineRule="exact"/>
              <w:rPr>
                <w:rFonts w:cs="宋体"/>
                <w:color w:val="252525"/>
                <w:sz w:val="16"/>
                <w:szCs w:val="16"/>
                <w:lang w:val="zh-TW" w:eastAsia="zh-TW" w:bidi="zh-TW"/>
              </w:rPr>
            </w:pPr>
            <w:r>
              <w:rPr>
                <w:rFonts w:cs="宋体"/>
                <w:color w:val="252525"/>
                <w:sz w:val="16"/>
                <w:szCs w:val="16"/>
                <w:lang w:val="zh-TW" w:eastAsia="zh-TW" w:bidi="zh-TW"/>
              </w:rPr>
              <w:t>评分釆用二分制。按照规定一次性通过竣工验收并有完整的竣工验收意见时得</w:t>
            </w:r>
            <w:r>
              <w:rPr>
                <w:color w:val="252525"/>
                <w:sz w:val="18"/>
                <w:szCs w:val="18"/>
                <w:lang w:val="zh-TW" w:eastAsia="zh-TW" w:bidi="zh-TW"/>
              </w:rPr>
              <w:t>1</w:t>
            </w:r>
            <w:r>
              <w:rPr>
                <w:rFonts w:cs="宋体"/>
                <w:color w:val="252525"/>
                <w:sz w:val="16"/>
                <w:szCs w:val="16"/>
                <w:lang w:val="zh-TW" w:eastAsia="zh-TW" w:bidi="zh-TW"/>
              </w:rPr>
              <w:t>分,否则得</w:t>
            </w:r>
            <w:r>
              <w:rPr>
                <w:color w:val="252525"/>
                <w:sz w:val="18"/>
                <w:szCs w:val="18"/>
                <w:lang w:val="zh-TW" w:eastAsia="zh-TW" w:bidi="zh-TW"/>
              </w:rPr>
              <w:t>0</w:t>
            </w:r>
            <w:r>
              <w:rPr>
                <w:rFonts w:cs="宋体"/>
                <w:color w:val="252525"/>
                <w:sz w:val="16"/>
                <w:szCs w:val="16"/>
                <w:lang w:val="zh-TW" w:eastAsia="zh-TW" w:bidi="zh-TW"/>
              </w:rPr>
              <w:t>分</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358" w:hRule="exact"/>
        </w:trPr>
        <w:tc>
          <w:tcPr>
            <w:tcW w:w="738" w:type="dxa"/>
            <w:tcBorders>
              <w:top w:val="single" w:color="auto" w:sz="4" w:space="0"/>
              <w:left w:val="single" w:color="auto" w:sz="4" w:space="0"/>
            </w:tcBorders>
            <w:shd w:val="clear" w:color="auto" w:fill="FFFFFF"/>
            <w:vAlign w:val="center"/>
          </w:tcPr>
          <w:p>
            <w:pPr>
              <w:jc w:val="center"/>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68</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资金管理*</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59" w:lineRule="exact"/>
              <w:rPr>
                <w:rFonts w:hint="eastAsia" w:eastAsia="宋体" w:cs="宋体"/>
                <w:color w:val="252525"/>
                <w:sz w:val="16"/>
                <w:szCs w:val="16"/>
                <w:lang w:val="zh-TW" w:eastAsia="zh-CN" w:bidi="zh-TW"/>
              </w:rPr>
            </w:pPr>
            <w:r>
              <w:rPr>
                <w:rFonts w:cs="宋体"/>
                <w:color w:val="252525"/>
                <w:sz w:val="16"/>
                <w:szCs w:val="16"/>
                <w:lang w:val="zh-TW" w:eastAsia="zh-TW" w:bidi="zh-TW"/>
              </w:rPr>
              <w:t>针对财政投资项目，在项目建设过程中，各项资金使用规范</w:t>
            </w:r>
            <w:r>
              <w:rPr>
                <w:rFonts w:hint="eastAsia" w:cs="宋体"/>
                <w:color w:val="252525"/>
                <w:sz w:val="16"/>
                <w:szCs w:val="16"/>
                <w:lang w:val="zh-TW" w:bidi="zh-TW"/>
              </w:rPr>
              <w:t>，</w:t>
            </w:r>
            <w:r>
              <w:rPr>
                <w:rFonts w:cs="宋体"/>
                <w:color w:val="252525"/>
                <w:sz w:val="16"/>
                <w:szCs w:val="16"/>
                <w:lang w:val="zh-TW" w:eastAsia="zh-TW" w:bidi="zh-TW"/>
              </w:rPr>
              <w:t>符合财政资金使用管理规定</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59" w:lineRule="exact"/>
              <w:rPr>
                <w:rFonts w:cs="宋体"/>
                <w:color w:val="252525"/>
                <w:sz w:val="16"/>
                <w:szCs w:val="16"/>
                <w:lang w:val="zh-TW" w:eastAsia="zh-TW" w:bidi="zh-TW"/>
              </w:rPr>
            </w:pPr>
            <w:r>
              <w:rPr>
                <w:rFonts w:cs="宋体"/>
                <w:color w:val="252525"/>
                <w:sz w:val="16"/>
                <w:szCs w:val="16"/>
                <w:lang w:val="zh-TW" w:eastAsia="zh-TW" w:bidi="zh-TW"/>
              </w:rPr>
              <w:t>项目竣工验收报告，财务决算报告，审计报告</w:t>
            </w:r>
          </w:p>
        </w:tc>
        <w:tc>
          <w:tcPr>
            <w:tcW w:w="4518" w:type="dxa"/>
            <w:tcBorders>
              <w:top w:val="single" w:color="auto" w:sz="4" w:space="0"/>
              <w:left w:val="single" w:color="auto" w:sz="4" w:space="0"/>
            </w:tcBorders>
            <w:shd w:val="clear" w:color="auto" w:fill="FFFFFF"/>
            <w:vAlign w:val="center"/>
          </w:tcPr>
          <w:p>
            <w:pPr>
              <w:spacing w:line="264" w:lineRule="exact"/>
              <w:rPr>
                <w:rFonts w:cs="宋体"/>
                <w:color w:val="252525"/>
                <w:sz w:val="16"/>
                <w:szCs w:val="16"/>
                <w:lang w:val="zh-TW" w:eastAsia="zh-TW" w:bidi="zh-TW"/>
              </w:rPr>
            </w:pPr>
            <w:r>
              <w:rPr>
                <w:rFonts w:cs="宋体"/>
                <w:color w:val="252525"/>
                <w:sz w:val="16"/>
                <w:szCs w:val="16"/>
                <w:lang w:val="zh-TW" w:eastAsia="zh-TW" w:bidi="zh-TW"/>
              </w:rPr>
              <w:t>釆用资料查阅法，对项目资金管理和使用情况进行检查，综合评价各项资金支出的合理性和规范性。对于年度和规划期的评价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64" w:lineRule="exact"/>
              <w:rPr>
                <w:rFonts w:cs="宋体"/>
                <w:color w:val="252525"/>
                <w:sz w:val="16"/>
                <w:szCs w:val="16"/>
                <w:lang w:val="zh-TW" w:eastAsia="zh-TW" w:bidi="zh-TW"/>
              </w:rPr>
            </w:pPr>
            <w:r>
              <w:rPr>
                <w:rFonts w:cs="宋体"/>
                <w:color w:val="252525"/>
                <w:sz w:val="16"/>
                <w:szCs w:val="16"/>
                <w:lang w:val="zh-TW" w:eastAsia="zh-TW" w:bidi="zh-TW"/>
              </w:rPr>
              <w:t>评分釆用二分制。各项资金使用均符合规定并通过审计的，得</w:t>
            </w:r>
            <w:r>
              <w:rPr>
                <w:color w:val="252525"/>
                <w:sz w:val="18"/>
                <w:szCs w:val="18"/>
                <w:lang w:val="zh-TW" w:eastAsia="zh-TW" w:bidi="zh-TW"/>
              </w:rPr>
              <w:t>1</w:t>
            </w:r>
            <w:r>
              <w:rPr>
                <w:rFonts w:cs="宋体"/>
                <w:color w:val="252525"/>
                <w:sz w:val="16"/>
                <w:szCs w:val="16"/>
                <w:lang w:val="zh-TW" w:eastAsia="zh-TW" w:bidi="zh-TW"/>
              </w:rPr>
              <w:t>分，否则</w:t>
            </w:r>
            <w:r>
              <w:rPr>
                <w:rFonts w:hint="eastAsia" w:cs="宋体"/>
                <w:color w:val="252525"/>
                <w:sz w:val="16"/>
                <w:szCs w:val="16"/>
                <w:lang w:bidi="zh-TW"/>
              </w:rPr>
              <w:t>0</w:t>
            </w:r>
            <w:r>
              <w:rPr>
                <w:rFonts w:cs="宋体"/>
                <w:color w:val="252525"/>
                <w:sz w:val="16"/>
                <w:szCs w:val="16"/>
                <w:lang w:val="zh-CN" w:bidi="zh-CN"/>
              </w:rPr>
              <w:t>分</w:t>
            </w:r>
          </w:p>
        </w:tc>
        <w:tc>
          <w:tcPr>
            <w:tcW w:w="1843"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347" w:hRule="exact"/>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69</w:t>
            </w:r>
          </w:p>
        </w:tc>
        <w:tc>
          <w:tcPr>
            <w:tcW w:w="1444"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制度执行</w:t>
            </w:r>
          </w:p>
        </w:tc>
        <w:tc>
          <w:tcPr>
            <w:tcW w:w="1084" w:type="dxa"/>
            <w:tcBorders>
              <w:top w:val="single" w:color="auto" w:sz="4" w:space="0"/>
              <w:left w:val="single" w:color="auto" w:sz="4" w:space="0"/>
              <w:bottom w:val="single" w:color="auto" w:sz="4" w:space="0"/>
            </w:tcBorders>
            <w:shd w:val="clear" w:color="auto" w:fill="FFFFFF"/>
          </w:tcPr>
          <w:p>
            <w:pPr>
              <w:rPr>
                <w:sz w:val="10"/>
                <w:szCs w:val="10"/>
              </w:rPr>
            </w:pPr>
          </w:p>
        </w:tc>
        <w:tc>
          <w:tcPr>
            <w:tcW w:w="2347" w:type="dxa"/>
            <w:tcBorders>
              <w:top w:val="single" w:color="auto" w:sz="4" w:space="0"/>
              <w:left w:val="single" w:color="auto" w:sz="4" w:space="0"/>
              <w:bottom w:val="single" w:color="auto" w:sz="4" w:space="0"/>
            </w:tcBorders>
            <w:shd w:val="clear" w:color="auto" w:fill="FFFFFF"/>
            <w:vAlign w:val="center"/>
          </w:tcPr>
          <w:p>
            <w:pPr>
              <w:spacing w:line="264"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项目建设中各项制度的制定和执行情况。项目基本制度包括项目法人制、招投标、工程监理制、合同制、公告制</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64" w:lineRule="exact"/>
              <w:rPr>
                <w:rFonts w:cs="宋体"/>
                <w:color w:val="252525"/>
                <w:sz w:val="16"/>
                <w:szCs w:val="16"/>
                <w:lang w:val="zh-TW" w:eastAsia="zh-TW" w:bidi="zh-TW"/>
              </w:rPr>
            </w:pPr>
            <w:r>
              <w:rPr>
                <w:rFonts w:cs="宋体"/>
                <w:color w:val="252525"/>
                <w:sz w:val="16"/>
                <w:szCs w:val="16"/>
                <w:lang w:val="zh-TW" w:eastAsia="zh-TW" w:bidi="zh-TW"/>
              </w:rPr>
              <w:t>项目管理制度文件，项目建设各方的总结报告</w:t>
            </w:r>
          </w:p>
        </w:tc>
        <w:tc>
          <w:tcPr>
            <w:tcW w:w="4518" w:type="dxa"/>
            <w:tcBorders>
              <w:top w:val="single" w:color="auto" w:sz="4" w:space="0"/>
              <w:left w:val="single" w:color="auto" w:sz="4" w:space="0"/>
              <w:bottom w:val="single" w:color="auto" w:sz="4" w:space="0"/>
            </w:tcBorders>
            <w:shd w:val="clear" w:color="auto" w:fill="FFFFFF"/>
            <w:vAlign w:val="center"/>
          </w:tcPr>
          <w:p>
            <w:pPr>
              <w:spacing w:line="259" w:lineRule="exact"/>
              <w:rPr>
                <w:rFonts w:cs="宋体"/>
                <w:color w:val="252525"/>
                <w:sz w:val="16"/>
                <w:szCs w:val="16"/>
                <w:lang w:val="zh-TW" w:eastAsia="zh-TW" w:bidi="zh-TW"/>
              </w:rPr>
            </w:pPr>
            <w:r>
              <w:rPr>
                <w:rFonts w:cs="宋体"/>
                <w:color w:val="252525"/>
                <w:sz w:val="16"/>
                <w:szCs w:val="16"/>
                <w:lang w:val="zh-TW" w:eastAsia="zh-TW" w:bidi="zh-TW"/>
              </w:rPr>
              <w:t>釆用资料查阅法、专家评议法，对项目建设各项制度的完整性、规范性、可实施性进行评价。对于年度和规划期的评价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59" w:lineRule="exact"/>
              <w:rPr>
                <w:rFonts w:cs="宋体"/>
                <w:color w:val="252525"/>
                <w:sz w:val="16"/>
                <w:szCs w:val="16"/>
                <w:lang w:val="zh-TW" w:eastAsia="zh-TW" w:bidi="zh-TW"/>
              </w:rPr>
            </w:pPr>
            <w:r>
              <w:rPr>
                <w:rFonts w:cs="宋体"/>
                <w:color w:val="252525"/>
                <w:sz w:val="16"/>
                <w:szCs w:val="16"/>
                <w:lang w:val="zh-TW" w:eastAsia="zh-TW" w:bidi="zh-TW"/>
              </w:rPr>
              <w:t>采用专家打分法评价，评分釆用五分制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8"/>
        <w:gridCol w:w="1444"/>
        <w:gridCol w:w="990"/>
        <w:gridCol w:w="2441"/>
        <w:gridCol w:w="1444"/>
        <w:gridCol w:w="4518"/>
        <w:gridCol w:w="1843"/>
      </w:tblGrid>
      <w:tr>
        <w:tblPrEx>
          <w:tblCellMar>
            <w:top w:w="0" w:type="dxa"/>
            <w:left w:w="10" w:type="dxa"/>
            <w:bottom w:w="0" w:type="dxa"/>
            <w:right w:w="10" w:type="dxa"/>
          </w:tblCellMar>
        </w:tblPrEx>
        <w:trPr>
          <w:trHeight w:val="378" w:hRule="exact"/>
        </w:trPr>
        <w:tc>
          <w:tcPr>
            <w:tcW w:w="73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990"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441"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tcBorders>
              <w:top w:val="single" w:color="auto" w:sz="4" w:space="0"/>
              <w:left w:val="single" w:color="auto" w:sz="4" w:space="0"/>
              <w:bottom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540"/>
              <w:jc w:val="left"/>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840"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70</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标准执行</w:t>
            </w:r>
          </w:p>
        </w:tc>
        <w:tc>
          <w:tcPr>
            <w:tcW w:w="99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sz w:val="10"/>
                <w:szCs w:val="10"/>
              </w:rPr>
            </w:pP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62"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项目建设中和建设后，项目建设管理工作所依据</w:t>
            </w:r>
            <w:r>
              <w:rPr>
                <w:rFonts w:hint="eastAsia" w:cs="宋体"/>
                <w:color w:val="252525"/>
                <w:sz w:val="16"/>
                <w:szCs w:val="16"/>
                <w:lang w:val="zh-TW" w:bidi="zh-TW"/>
              </w:rPr>
              <w:t>的标准化文件，以及现有标准的执行情况</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63" w:lineRule="exact"/>
              <w:rPr>
                <w:rFonts w:cs="宋体"/>
                <w:color w:val="252525"/>
                <w:sz w:val="16"/>
                <w:szCs w:val="16"/>
                <w:lang w:val="zh-TW" w:bidi="zh-TW"/>
              </w:rPr>
            </w:pPr>
            <w:r>
              <w:rPr>
                <w:rFonts w:hint="eastAsia" w:cs="宋体"/>
                <w:color w:val="252525"/>
                <w:sz w:val="16"/>
                <w:szCs w:val="16"/>
                <w:lang w:val="zh-TW" w:bidi="zh-TW"/>
              </w:rPr>
              <w:t>技术标准，项目建设各方（设计、施工、监理、验收等）总结报告</w:t>
            </w:r>
          </w:p>
        </w:tc>
        <w:tc>
          <w:tcPr>
            <w:tcW w:w="451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3"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采用资料查阅法、专家评议法、现场调查法、抽样调查法进行评价。对于项皆评价，应通过专家评议，审查项目设计、工程施工、监理和验收等标准化工作依据，以及执行标准的有效性；并通过</w:t>
            </w:r>
            <w:r>
              <w:rPr>
                <w:rFonts w:cs="宋体"/>
                <w:color w:val="252525"/>
                <w:sz w:val="16"/>
                <w:szCs w:val="16"/>
                <w:lang w:val="zh-CN" w:bidi="zh-CN"/>
              </w:rPr>
              <w:t>现新辑</w:t>
            </w:r>
            <w:r>
              <w:rPr>
                <w:rFonts w:cs="宋体"/>
                <w:color w:val="252525"/>
                <w:sz w:val="16"/>
                <w:szCs w:val="16"/>
                <w:lang w:val="zh-TW" w:eastAsia="zh-TW" w:bidi="zh-TW"/>
              </w:rPr>
              <w:t>，检查工程布局的合理性和工程质量。对于年度和规划期的评价，应抽样调査项目进行评价。</w:t>
            </w:r>
          </w:p>
          <w:p>
            <w:pPr>
              <w:spacing w:line="283" w:lineRule="exact"/>
              <w:jc w:val="left"/>
              <w:rPr>
                <w:rFonts w:cs="宋体"/>
                <w:color w:val="252525"/>
                <w:sz w:val="16"/>
                <w:szCs w:val="16"/>
                <w:lang w:val="zh-TW" w:eastAsia="zh-TW" w:bidi="zh-TW"/>
              </w:rPr>
            </w:pPr>
            <w:r>
              <w:rPr>
                <w:rFonts w:cs="宋体"/>
                <w:color w:val="252525"/>
                <w:sz w:val="16"/>
                <w:szCs w:val="16"/>
                <w:lang w:val="zh-TW" w:eastAsia="zh-TW" w:bidi="zh-TW"/>
              </w:rPr>
              <w:t>采用专家打分法评价，评分采用五分制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489"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s="宋体"/>
                <w:color w:val="252525"/>
                <w:sz w:val="18"/>
                <w:szCs w:val="18"/>
                <w:lang w:eastAsia="zh-CN" w:bidi="zh-TW"/>
              </w:rPr>
            </w:pPr>
            <w:r>
              <w:rPr>
                <w:color w:val="474747"/>
                <w:sz w:val="18"/>
                <w:szCs w:val="18"/>
                <w:lang w:eastAsia="en-US" w:bidi="en-US"/>
              </w:rPr>
              <w:t>A7</w:t>
            </w:r>
            <w:r>
              <w:rPr>
                <w:rFonts w:hint="eastAsia"/>
                <w:color w:val="474747"/>
                <w:sz w:val="18"/>
                <w:szCs w:val="18"/>
                <w:lang w:val="en-US" w:eastAsia="zh-CN" w:bidi="en-US"/>
              </w:rPr>
              <w:t>1</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新技术应用</w:t>
            </w:r>
          </w:p>
        </w:tc>
        <w:tc>
          <w:tcPr>
            <w:tcW w:w="990"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62" w:lineRule="exact"/>
              <w:rPr>
                <w:rFonts w:hint="eastAsia" w:eastAsia="宋体" w:cs="宋体"/>
                <w:color w:val="252525"/>
                <w:sz w:val="16"/>
                <w:szCs w:val="16"/>
                <w:lang w:val="zh-TW" w:eastAsia="zh-CN" w:bidi="zh-TW"/>
              </w:rPr>
            </w:pPr>
            <w:r>
              <w:rPr>
                <w:rFonts w:hint="eastAsia" w:cs="宋体"/>
                <w:color w:val="252525"/>
                <w:sz w:val="16"/>
                <w:szCs w:val="16"/>
                <w:lang w:val="zh-TW" w:eastAsia="zh-TW" w:bidi="zh-TW"/>
              </w:rPr>
              <w:t>满足GB/T S0600和设计文件规定的各种新技术及应用情况。工程设计中积极采用新材料、新工艺，测土配方施肥覆盖率达到95%日上，综合机械化作业（耕</w:t>
            </w:r>
            <w:r>
              <w:rPr>
                <w:rFonts w:hint="eastAsia" w:cs="宋体"/>
                <w:color w:val="252525"/>
                <w:sz w:val="16"/>
                <w:szCs w:val="16"/>
                <w:lang w:val="zh-TW" w:bidi="zh-TW"/>
              </w:rPr>
              <w:t>、种</w:t>
            </w:r>
            <w:r>
              <w:rPr>
                <w:rFonts w:hint="eastAsia" w:cs="宋体"/>
                <w:color w:val="252525"/>
                <w:sz w:val="16"/>
                <w:szCs w:val="16"/>
                <w:lang w:val="zh-TW" w:eastAsia="zh-TW" w:bidi="zh-TW"/>
              </w:rPr>
              <w:t>、收）水平达到50%以上，优良品种覆盖率达到95%以上</w:t>
            </w:r>
            <w:r>
              <w:rPr>
                <w:rFonts w:hint="eastAsia" w:cs="宋体"/>
                <w:color w:val="252525"/>
                <w:sz w:val="16"/>
                <w:szCs w:val="16"/>
                <w:lang w:val="zh-TW" w:bidi="zh-TW"/>
              </w:rPr>
              <w:t>，</w:t>
            </w:r>
            <w:r>
              <w:rPr>
                <w:rFonts w:hint="eastAsia" w:cs="宋体"/>
                <w:color w:val="252525"/>
                <w:sz w:val="16"/>
                <w:szCs w:val="16"/>
                <w:lang w:val="zh-TW" w:eastAsia="zh-TW" w:bidi="zh-TW"/>
              </w:rPr>
              <w:t>病虫害统防统治覆盖率达到50%以上，提高农田的防灾减灾</w:t>
            </w:r>
            <w:r>
              <w:rPr>
                <w:rFonts w:hint="eastAsia" w:cs="宋体"/>
                <w:color w:val="252525"/>
                <w:sz w:val="16"/>
                <w:szCs w:val="16"/>
                <w:lang w:val="zh-TW" w:bidi="zh-TW"/>
              </w:rPr>
              <w:t>水平</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63" w:lineRule="exact"/>
              <w:rPr>
                <w:rFonts w:cs="宋体"/>
                <w:color w:val="252525"/>
                <w:sz w:val="16"/>
                <w:szCs w:val="16"/>
                <w:lang w:val="zh-TW" w:bidi="zh-TW"/>
              </w:rPr>
            </w:pPr>
            <w:r>
              <w:rPr>
                <w:rFonts w:hint="eastAsia" w:cs="宋体"/>
                <w:color w:val="252525"/>
                <w:sz w:val="16"/>
                <w:szCs w:val="16"/>
                <w:lang w:val="zh-TW" w:bidi="zh-TW"/>
              </w:rPr>
              <w:t>项目设计文件，工程施工质量检验与评定成果，竣工验收技术总结报告</w:t>
            </w:r>
          </w:p>
        </w:tc>
        <w:tc>
          <w:tcPr>
            <w:tcW w:w="451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3" w:lineRule="exact"/>
              <w:jc w:val="left"/>
              <w:rPr>
                <w:rFonts w:cs="宋体"/>
                <w:color w:val="252525"/>
                <w:sz w:val="16"/>
                <w:szCs w:val="16"/>
                <w:lang w:val="zh-TW" w:bidi="zh-TW"/>
              </w:rPr>
            </w:pPr>
            <w:r>
              <w:rPr>
                <w:rFonts w:hint="eastAsia" w:cs="宋体"/>
                <w:color w:val="252525"/>
                <w:sz w:val="16"/>
                <w:szCs w:val="16"/>
                <w:lang w:val="zh-TW" w:eastAsia="zh-TW" w:bidi="zh-TW"/>
              </w:rPr>
              <w:t>采用资料査阅法、专家评议法、现场调查法、抽样调査法进行评价。对于项目评价，应通过专家评议，审查项目建设方案釆用新技术的水平，以及项目区建成后农业生产中各种新技术的应用程度；并通过现场查看，检查其使用效果，每个项目抽查的数量不少于本类型数量的3%。对于年度和规划期的评价，应抽样调查项目进行</w:t>
            </w:r>
            <w:r>
              <w:rPr>
                <w:rFonts w:hint="eastAsia" w:cs="宋体"/>
                <w:color w:val="252525"/>
                <w:sz w:val="16"/>
                <w:szCs w:val="16"/>
                <w:lang w:val="zh-TW" w:bidi="zh-TW"/>
              </w:rPr>
              <w:t>评价。</w:t>
            </w:r>
          </w:p>
          <w:p>
            <w:pPr>
              <w:spacing w:line="283" w:lineRule="exact"/>
              <w:jc w:val="left"/>
              <w:rPr>
                <w:rFonts w:cs="宋体"/>
                <w:color w:val="252525"/>
                <w:sz w:val="16"/>
                <w:szCs w:val="16"/>
                <w:lang w:val="zh-TW" w:bidi="zh-TW"/>
              </w:rPr>
            </w:pPr>
            <w:r>
              <w:rPr>
                <w:rFonts w:hint="eastAsia" w:cs="宋体"/>
                <w:color w:val="252525"/>
                <w:sz w:val="16"/>
                <w:szCs w:val="16"/>
                <w:lang w:val="zh-TW" w:bidi="zh-TW"/>
              </w:rPr>
              <w:t>按照抽取样本数量满足标准规定的数量占总数量的比值进行评价，评分采用五分制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594" w:hRule="exact"/>
        </w:trPr>
        <w:tc>
          <w:tcPr>
            <w:tcW w:w="738"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180"/>
              <w:jc w:val="left"/>
              <w:rPr>
                <w:rFonts w:hint="eastAsia" w:eastAsia="宋体" w:cs="宋体"/>
                <w:color w:val="252525"/>
                <w:sz w:val="18"/>
                <w:szCs w:val="18"/>
                <w:lang w:eastAsia="zh-CN" w:bidi="zh-TW"/>
              </w:rPr>
            </w:pPr>
            <w:r>
              <w:rPr>
                <w:color w:val="474747"/>
                <w:sz w:val="18"/>
                <w:szCs w:val="18"/>
                <w:lang w:eastAsia="en-US" w:bidi="en-US"/>
              </w:rPr>
              <w:t>A7</w:t>
            </w:r>
            <w:r>
              <w:rPr>
                <w:rFonts w:hint="eastAsia"/>
                <w:color w:val="474747"/>
                <w:sz w:val="18"/>
                <w:szCs w:val="18"/>
                <w:lang w:val="en-US" w:eastAsia="zh-CN" w:bidi="en-US"/>
              </w:rPr>
              <w:t>2</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定位观测</w:t>
            </w:r>
          </w:p>
        </w:tc>
        <w:tc>
          <w:tcPr>
            <w:tcW w:w="990"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5" w:lineRule="exact"/>
              <w:rPr>
                <w:rFonts w:hint="eastAsia" w:eastAsia="宋体" w:cs="宋体"/>
                <w:color w:val="252525"/>
                <w:sz w:val="16"/>
                <w:szCs w:val="16"/>
                <w:lang w:val="zh-TW" w:eastAsia="zh-CN" w:bidi="zh-TW"/>
              </w:rPr>
            </w:pPr>
            <w:r>
              <w:rPr>
                <w:rFonts w:cs="宋体"/>
                <w:color w:val="252525"/>
                <w:sz w:val="16"/>
                <w:szCs w:val="16"/>
                <w:lang w:val="zh-TW" w:eastAsia="zh-TW" w:bidi="zh-TW"/>
              </w:rPr>
              <w:t>满足</w:t>
            </w:r>
            <w:r>
              <w:rPr>
                <w:color w:val="252525"/>
                <w:sz w:val="18"/>
                <w:szCs w:val="18"/>
                <w:lang w:eastAsia="en-US" w:bidi="en-US"/>
              </w:rPr>
              <w:t xml:space="preserve">GB/T </w:t>
            </w:r>
            <w:r>
              <w:rPr>
                <w:color w:val="252525"/>
                <w:sz w:val="18"/>
                <w:szCs w:val="18"/>
                <w:lang w:val="zh-TW" w:eastAsia="zh-TW" w:bidi="zh-TW"/>
              </w:rPr>
              <w:t>30600</w:t>
            </w:r>
            <w:r>
              <w:rPr>
                <w:rFonts w:cs="宋体"/>
                <w:color w:val="252525"/>
                <w:sz w:val="16"/>
                <w:szCs w:val="16"/>
                <w:lang w:val="zh-TW" w:eastAsia="zh-TW" w:bidi="zh-TW"/>
              </w:rPr>
              <w:t>和设计文件规定的各类定位观测设施的数量和功能。包括各类耕地质量、农田土壤</w:t>
            </w:r>
            <w:r>
              <w:rPr>
                <w:rFonts w:hint="eastAsia" w:cs="宋体"/>
                <w:color w:val="252525"/>
                <w:sz w:val="16"/>
                <w:szCs w:val="16"/>
                <w:lang w:bidi="zh-TW"/>
              </w:rPr>
              <w:t>墒</w:t>
            </w:r>
            <w:r>
              <w:rPr>
                <w:rFonts w:cs="宋体"/>
                <w:color w:val="252525"/>
                <w:sz w:val="16"/>
                <w:szCs w:val="16"/>
                <w:lang w:val="zh-TW" w:eastAsia="zh-TW" w:bidi="zh-TW"/>
              </w:rPr>
              <w:t>情和虫情定位监测设施，基本形成农田监测网络，田间定位监测点覆盖率达到</w:t>
            </w:r>
            <w:r>
              <w:rPr>
                <w:color w:val="252525"/>
                <w:sz w:val="18"/>
                <w:szCs w:val="18"/>
                <w:lang w:val="zh-TW" w:eastAsia="zh-TW" w:bidi="zh-TW"/>
              </w:rPr>
              <w:t>50%</w:t>
            </w:r>
            <w:r>
              <w:rPr>
                <w:rFonts w:cs="宋体"/>
                <w:color w:val="252525"/>
                <w:sz w:val="16"/>
                <w:szCs w:val="16"/>
                <w:lang w:val="zh-TW" w:eastAsia="zh-TW" w:bidi="zh-TW"/>
              </w:rPr>
              <w:t>以上</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6" w:lineRule="exact"/>
              <w:ind w:firstLine="140"/>
              <w:rPr>
                <w:rFonts w:cs="宋体"/>
                <w:color w:val="252525"/>
                <w:sz w:val="16"/>
                <w:szCs w:val="16"/>
                <w:lang w:val="zh-TW" w:bidi="zh-TW"/>
              </w:rPr>
            </w:pPr>
            <w:r>
              <w:rPr>
                <w:rFonts w:cs="宋体"/>
                <w:color w:val="252525"/>
                <w:sz w:val="16"/>
                <w:szCs w:val="16"/>
                <w:lang w:val="zh-TW" w:eastAsia="zh-TW" w:bidi="zh-TW"/>
              </w:rPr>
              <w:t>工程施工质量检验与评定成果，竣工验收技术总结报告</w:t>
            </w:r>
          </w:p>
        </w:tc>
        <w:tc>
          <w:tcPr>
            <w:tcW w:w="451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采用资料查阅法、专家评议法、现场调査法、抽样调查法进行评价。对于项目评价，应通过专家评议，审查项目设计文件中各类农田观测设施布置的科学性和设计标准的合理性</w:t>
            </w:r>
            <w:r>
              <w:rPr>
                <w:rFonts w:hint="eastAsia" w:cs="宋体"/>
                <w:color w:val="252525"/>
                <w:sz w:val="16"/>
                <w:szCs w:val="16"/>
                <w:lang w:val="zh-TW" w:bidi="zh-TW"/>
              </w:rPr>
              <w:t>；</w:t>
            </w:r>
            <w:r>
              <w:rPr>
                <w:rFonts w:cs="宋体"/>
                <w:color w:val="252525"/>
                <w:sz w:val="16"/>
                <w:szCs w:val="16"/>
                <w:lang w:val="zh-TW" w:eastAsia="zh-TW" w:bidi="zh-TW"/>
              </w:rPr>
              <w:t>并通过现场查看，检查各类农田观测设施</w:t>
            </w:r>
            <w:r>
              <w:rPr>
                <w:rFonts w:hint="eastAsia" w:cs="宋体"/>
                <w:color w:val="252525"/>
                <w:sz w:val="16"/>
                <w:szCs w:val="16"/>
                <w:lang w:bidi="zh-TW"/>
              </w:rPr>
              <w:t>的数量和质量，</w:t>
            </w:r>
            <w:r>
              <w:rPr>
                <w:rFonts w:cs="宋体"/>
                <w:color w:val="252525"/>
                <w:sz w:val="16"/>
                <w:szCs w:val="16"/>
                <w:lang w:val="zh-TW" w:eastAsia="zh-TW" w:bidi="zh-TW"/>
              </w:rPr>
              <w:t>每个项目抽查的观测点数量不少于本类型数量的</w:t>
            </w:r>
            <w:r>
              <w:rPr>
                <w:color w:val="252525"/>
                <w:sz w:val="18"/>
                <w:szCs w:val="18"/>
                <w:lang w:val="zh-TW" w:eastAsia="zh-TW" w:bidi="zh-TW"/>
              </w:rPr>
              <w:t>10%</w:t>
            </w:r>
            <w:r>
              <w:rPr>
                <w:rFonts w:cs="宋体"/>
                <w:color w:val="252525"/>
                <w:sz w:val="16"/>
                <w:szCs w:val="16"/>
                <w:lang w:val="zh-TW" w:eastAsia="zh-TW" w:bidi="zh-TW"/>
              </w:rPr>
              <w:t>。对于年度和规划期的评价，应抽样调查项目进行评价。</w:t>
            </w:r>
          </w:p>
          <w:p>
            <w:pPr>
              <w:spacing w:line="284" w:lineRule="exact"/>
              <w:rPr>
                <w:rFonts w:cs="宋体"/>
                <w:color w:val="252525"/>
                <w:sz w:val="16"/>
                <w:szCs w:val="16"/>
                <w:lang w:val="zh-TW" w:bidi="zh-TW"/>
              </w:rPr>
            </w:pPr>
            <w:r>
              <w:rPr>
                <w:rFonts w:cs="宋体"/>
                <w:color w:val="252525"/>
                <w:sz w:val="16"/>
                <w:szCs w:val="16"/>
                <w:lang w:val="zh-TW" w:eastAsia="zh-TW" w:bidi="zh-TW"/>
              </w:rPr>
              <w:t>按照抽取样本数量满足标准规定的数量占总数量的比值进行评价，评分釆用五分制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474747"/>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8"/>
        <w:gridCol w:w="1444"/>
        <w:gridCol w:w="1084"/>
        <w:gridCol w:w="2347"/>
        <w:gridCol w:w="1444"/>
        <w:gridCol w:w="4518"/>
        <w:gridCol w:w="1847"/>
      </w:tblGrid>
      <w:tr>
        <w:tblPrEx>
          <w:tblCellMar>
            <w:top w:w="0" w:type="dxa"/>
            <w:left w:w="10" w:type="dxa"/>
            <w:bottom w:w="0" w:type="dxa"/>
            <w:right w:w="10" w:type="dxa"/>
          </w:tblCellMar>
        </w:tblPrEx>
        <w:trPr>
          <w:trHeight w:val="378" w:hRule="exact"/>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7"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1793" w:hRule="exact"/>
        </w:trPr>
        <w:tc>
          <w:tcPr>
            <w:tcW w:w="738" w:type="dxa"/>
            <w:tcBorders>
              <w:top w:val="single" w:color="auto" w:sz="4" w:space="0"/>
              <w:left w:val="single" w:color="auto" w:sz="4" w:space="0"/>
            </w:tcBorders>
            <w:shd w:val="clear" w:color="auto" w:fill="FFFFFF"/>
            <w:vAlign w:val="center"/>
          </w:tcPr>
          <w:p>
            <w:pPr>
              <w:ind w:firstLine="200"/>
              <w:jc w:val="left"/>
              <w:rPr>
                <w:rFonts w:hint="eastAsia" w:eastAsia="宋体" w:cs="宋体"/>
                <w:color w:val="252525"/>
                <w:sz w:val="18"/>
                <w:szCs w:val="18"/>
                <w:lang w:val="zh-TW" w:eastAsia="zh-CN" w:bidi="zh-TW"/>
              </w:rPr>
            </w:pPr>
            <w:r>
              <w:rPr>
                <w:color w:val="252525"/>
                <w:sz w:val="18"/>
                <w:szCs w:val="18"/>
                <w:lang w:eastAsia="en-US" w:bidi="en-US"/>
              </w:rPr>
              <w:t>A7</w:t>
            </w:r>
            <w:r>
              <w:rPr>
                <w:rFonts w:hint="eastAsia"/>
                <w:color w:val="252525"/>
                <w:sz w:val="18"/>
                <w:szCs w:val="18"/>
                <w:lang w:val="en-US" w:eastAsia="zh-CN" w:bidi="en-US"/>
              </w:rPr>
              <w:t>3</w:t>
            </w:r>
          </w:p>
        </w:tc>
        <w:tc>
          <w:tcPr>
            <w:tcW w:w="1444" w:type="dxa"/>
            <w:tcBorders>
              <w:top w:val="single" w:color="auto" w:sz="4" w:space="0"/>
              <w:left w:val="single" w:color="auto" w:sz="4" w:space="0"/>
            </w:tcBorders>
            <w:shd w:val="clear" w:color="auto" w:fill="FFFFFF"/>
            <w:vAlign w:val="center"/>
          </w:tcPr>
          <w:p>
            <w:pPr>
              <w:spacing w:after="100"/>
              <w:jc w:val="left"/>
              <w:rPr>
                <w:rFonts w:cs="宋体"/>
                <w:color w:val="252525"/>
                <w:sz w:val="16"/>
                <w:szCs w:val="16"/>
                <w:lang w:val="zh-TW" w:eastAsia="zh-TW" w:bidi="zh-TW"/>
              </w:rPr>
            </w:pPr>
            <w:r>
              <w:rPr>
                <w:rFonts w:cs="宋体"/>
                <w:color w:val="252525"/>
                <w:sz w:val="16"/>
                <w:szCs w:val="16"/>
                <w:lang w:val="zh-TW" w:eastAsia="zh-TW" w:bidi="zh-TW"/>
              </w:rPr>
              <w:t>土地确权登记（产权确定）</w:t>
            </w:r>
            <w:r>
              <w:rPr>
                <w:rFonts w:cs="宋体"/>
                <w:color w:val="252525"/>
                <w:sz w:val="16"/>
                <w:szCs w:val="16"/>
                <w:lang w:eastAsia="en-US" w:bidi="en-US"/>
              </w:rPr>
              <w:t>*</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6"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项目建设前后，对各种地类进行详细统计，做到四至界址清楚，并明确权益单位；项目建成后，能及时对项目区农村土地进行确权，并完 成电子信息录入和备案</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农村土地确权成果，国土资源综合信息监管平台</w:t>
            </w:r>
          </w:p>
        </w:tc>
        <w:tc>
          <w:tcPr>
            <w:tcW w:w="4518" w:type="dxa"/>
            <w:tcBorders>
              <w:top w:val="single" w:color="auto" w:sz="4" w:space="0"/>
              <w:left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查阅土地调查成果、农村土地确权成果和国土资源综合信息监管平台，对农村土地权属资料进行复核，评价项目区农村土地确权、登记和发证等工作的完成情况。对于年度和规划期的评价，应抽样调查项目进行评价。</w:t>
            </w:r>
          </w:p>
          <w:p>
            <w:pPr>
              <w:spacing w:line="285" w:lineRule="exact"/>
              <w:rPr>
                <w:rFonts w:cs="宋体"/>
                <w:color w:val="252525"/>
                <w:sz w:val="16"/>
                <w:szCs w:val="16"/>
                <w:lang w:val="zh-TW" w:eastAsia="zh-TW" w:bidi="zh-TW"/>
              </w:rPr>
            </w:pPr>
            <w:r>
              <w:rPr>
                <w:rFonts w:cs="宋体"/>
                <w:color w:val="252525"/>
                <w:sz w:val="16"/>
                <w:szCs w:val="16"/>
                <w:lang w:val="zh-TW" w:eastAsia="zh-TW" w:bidi="zh-TW"/>
              </w:rPr>
              <w:t>评分釆用二分制。当完成项目区农村土地确权、登记和发证全部工作，且无争议时，得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08" w:hRule="exact"/>
        </w:trPr>
        <w:tc>
          <w:tcPr>
            <w:tcW w:w="738" w:type="dxa"/>
            <w:tcBorders>
              <w:top w:val="single" w:color="auto" w:sz="4" w:space="0"/>
              <w:left w:val="single" w:color="auto" w:sz="4" w:space="0"/>
            </w:tcBorders>
            <w:shd w:val="clear" w:color="auto" w:fill="FFFFFF"/>
            <w:vAlign w:val="center"/>
          </w:tcPr>
          <w:p>
            <w:pPr>
              <w:ind w:firstLine="20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74</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上图入库情况</w:t>
            </w:r>
            <w:r>
              <w:rPr>
                <w:rFonts w:cs="宋体"/>
                <w:color w:val="252525"/>
                <w:sz w:val="16"/>
                <w:szCs w:val="16"/>
                <w:lang w:eastAsia="en-US" w:bidi="en-US"/>
              </w:rPr>
              <w:t>*</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项目建设后，能够及时在主管部门项目数据库和国土资源</w:t>
            </w:r>
            <w:r>
              <w:rPr>
                <w:rFonts w:cs="宋体"/>
                <w:color w:val="252525"/>
                <w:sz w:val="16"/>
                <w:szCs w:val="16"/>
                <w:lang w:val="zh-CN" w:bidi="zh-CN"/>
              </w:rPr>
              <w:t>“一</w:t>
            </w:r>
            <w:r>
              <w:rPr>
                <w:rFonts w:cs="宋体"/>
                <w:color w:val="252525"/>
                <w:sz w:val="16"/>
                <w:szCs w:val="16"/>
                <w:lang w:val="zh-TW" w:eastAsia="zh-TW" w:bidi="zh-TW"/>
              </w:rPr>
              <w:t>张图”中进行备案，并完成项目区拐点的上图入库</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92" w:lineRule="exact"/>
              <w:rPr>
                <w:rFonts w:cs="宋体"/>
                <w:color w:val="252525"/>
                <w:sz w:val="16"/>
                <w:szCs w:val="16"/>
                <w:lang w:val="zh-TW" w:eastAsia="zh-TW" w:bidi="zh-TW"/>
              </w:rPr>
            </w:pPr>
            <w:r>
              <w:rPr>
                <w:rFonts w:cs="宋体"/>
                <w:color w:val="252525"/>
                <w:sz w:val="16"/>
                <w:szCs w:val="16"/>
                <w:lang w:val="zh-TW" w:eastAsia="zh-TW" w:bidi="zh-TW"/>
              </w:rPr>
              <w:t>国土资源综合信息监管平台</w:t>
            </w:r>
          </w:p>
        </w:tc>
        <w:tc>
          <w:tcPr>
            <w:tcW w:w="4518" w:type="dxa"/>
            <w:tcBorders>
              <w:top w:val="single" w:color="auto" w:sz="4" w:space="0"/>
              <w:left w:val="single" w:color="auto" w:sz="4" w:space="0"/>
            </w:tcBorders>
            <w:shd w:val="clear" w:color="auto" w:fill="FFFFFF"/>
            <w:vAlign w:val="center"/>
          </w:tcPr>
          <w:p>
            <w:pPr>
              <w:spacing w:line="289" w:lineRule="exact"/>
              <w:rPr>
                <w:rFonts w:cs="宋体"/>
                <w:color w:val="252525"/>
                <w:sz w:val="16"/>
                <w:szCs w:val="16"/>
                <w:lang w:val="zh-TW" w:eastAsia="zh-TW" w:bidi="zh-TW"/>
              </w:rPr>
            </w:pPr>
            <w:r>
              <w:rPr>
                <w:rFonts w:cs="宋体"/>
                <w:color w:val="252525"/>
                <w:sz w:val="16"/>
                <w:szCs w:val="16"/>
                <w:lang w:val="zh-TW" w:eastAsia="zh-TW" w:bidi="zh-TW"/>
              </w:rPr>
              <w:t>查阅主管部门数据库和国土资源综合信息监管平台，对项目备案信息进行检查，评价项目区上图入库的及时性和完整性。对于年度和规划期的评价，应抽样调查项目进行评价。</w:t>
            </w:r>
          </w:p>
          <w:p>
            <w:pPr>
              <w:spacing w:line="289" w:lineRule="exact"/>
              <w:rPr>
                <w:rFonts w:cs="宋体"/>
                <w:color w:val="252525"/>
                <w:sz w:val="16"/>
                <w:szCs w:val="16"/>
                <w:lang w:val="zh-TW" w:eastAsia="zh-TW" w:bidi="zh-TW"/>
              </w:rPr>
            </w:pPr>
            <w:r>
              <w:rPr>
                <w:rFonts w:cs="宋体"/>
                <w:color w:val="252525"/>
                <w:sz w:val="16"/>
                <w:szCs w:val="16"/>
                <w:lang w:val="zh-TW" w:eastAsia="zh-TW" w:bidi="zh-TW"/>
              </w:rPr>
              <w:t>评分釆用二分制。当项目区主要拐点坐标完成上图入库、并满足其精度要求时得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589" w:hRule="exact"/>
        </w:trPr>
        <w:tc>
          <w:tcPr>
            <w:tcW w:w="738" w:type="dxa"/>
            <w:tcBorders>
              <w:top w:val="single" w:color="auto" w:sz="4" w:space="0"/>
              <w:left w:val="single" w:color="auto" w:sz="4" w:space="0"/>
            </w:tcBorders>
            <w:shd w:val="clear" w:color="auto" w:fill="FFFFFF"/>
            <w:vAlign w:val="center"/>
          </w:tcPr>
          <w:p>
            <w:pPr>
              <w:ind w:firstLine="200"/>
              <w:jc w:val="left"/>
              <w:rPr>
                <w:rFonts w:hint="eastAsia" w:eastAsia="宋体" w:cs="宋体"/>
                <w:color w:val="252525"/>
                <w:sz w:val="18"/>
                <w:szCs w:val="18"/>
                <w:lang w:val="zh-TW" w:eastAsia="zh-CN" w:bidi="zh-TW"/>
              </w:rPr>
            </w:pPr>
            <w:r>
              <w:rPr>
                <w:color w:val="252525"/>
                <w:sz w:val="18"/>
                <w:szCs w:val="18"/>
                <w:lang w:eastAsia="en-US" w:bidi="en-US"/>
              </w:rPr>
              <w:t>A7</w:t>
            </w:r>
            <w:r>
              <w:rPr>
                <w:rFonts w:hint="eastAsia"/>
                <w:color w:val="252525"/>
                <w:sz w:val="18"/>
                <w:szCs w:val="18"/>
                <w:lang w:val="en-US" w:eastAsia="zh-CN" w:bidi="en-US"/>
              </w:rPr>
              <w:t>5</w:t>
            </w:r>
          </w:p>
        </w:tc>
        <w:tc>
          <w:tcPr>
            <w:tcW w:w="1444"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基本农田划定*</w:t>
            </w:r>
          </w:p>
        </w:tc>
        <w:tc>
          <w:tcPr>
            <w:tcW w:w="1084"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79"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项目建设后，能够及时按规定划入基本农田，并在国土资源“一张图"中备案</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国土资源综合信息监管平台</w:t>
            </w:r>
          </w:p>
        </w:tc>
        <w:tc>
          <w:tcPr>
            <w:tcW w:w="4518"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查阅国土资源综合信息监管平台，按照</w:t>
            </w:r>
            <w:r>
              <w:rPr>
                <w:color w:val="252525"/>
                <w:sz w:val="18"/>
                <w:szCs w:val="18"/>
                <w:lang w:eastAsia="en-US" w:bidi="en-US"/>
              </w:rPr>
              <w:t>TD/T 1032-</w:t>
            </w:r>
            <w:r>
              <w:rPr>
                <w:color w:val="252525"/>
                <w:sz w:val="18"/>
                <w:szCs w:val="18"/>
                <w:lang w:val="zh-TW" w:eastAsia="zh-TW" w:bidi="zh-TW"/>
              </w:rPr>
              <w:t>2011</w:t>
            </w:r>
            <w:r>
              <w:rPr>
                <w:rFonts w:cs="宋体"/>
                <w:color w:val="252525"/>
                <w:sz w:val="16"/>
                <w:szCs w:val="16"/>
                <w:lang w:val="zh-TW" w:eastAsia="zh-TW" w:bidi="zh-TW"/>
              </w:rPr>
              <w:t>规定，对基本农田划定的面积进行核实，评价地块划定的完整性和准确性。对于年度和规划期的评价，应抽样调查项目进行评价。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评分采用二分制。当项目区全部地块完成基本农田划定、并上图入库时，得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47"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893" w:hRule="exact"/>
        </w:trPr>
        <w:tc>
          <w:tcPr>
            <w:tcW w:w="738" w:type="dxa"/>
            <w:tcBorders>
              <w:top w:val="single" w:color="auto" w:sz="4" w:space="0"/>
              <w:left w:val="single" w:color="auto" w:sz="4" w:space="0"/>
              <w:bottom w:val="single" w:color="auto" w:sz="4" w:space="0"/>
            </w:tcBorders>
            <w:shd w:val="clear" w:color="auto" w:fill="FFFFFF"/>
            <w:vAlign w:val="center"/>
          </w:tcPr>
          <w:p>
            <w:pPr>
              <w:ind w:firstLine="200"/>
              <w:jc w:val="left"/>
              <w:rPr>
                <w:rFonts w:hint="eastAsia" w:eastAsia="宋体" w:cs="宋体"/>
                <w:color w:val="252525"/>
                <w:sz w:val="18"/>
                <w:szCs w:val="18"/>
                <w:lang w:val="zh-TW" w:eastAsia="zh-CN" w:bidi="zh-TW"/>
              </w:rPr>
            </w:pPr>
            <w:r>
              <w:rPr>
                <w:color w:val="252525"/>
                <w:sz w:val="18"/>
                <w:szCs w:val="18"/>
                <w:lang w:eastAsia="en-US" w:bidi="en-US"/>
              </w:rPr>
              <w:t>A7</w:t>
            </w:r>
            <w:r>
              <w:rPr>
                <w:rFonts w:hint="eastAsia"/>
                <w:color w:val="252525"/>
                <w:sz w:val="18"/>
                <w:szCs w:val="18"/>
                <w:lang w:val="en-US" w:eastAsia="zh-CN" w:bidi="en-US"/>
              </w:rPr>
              <w:t>6</w:t>
            </w:r>
          </w:p>
        </w:tc>
        <w:tc>
          <w:tcPr>
            <w:tcW w:w="1444" w:type="dxa"/>
            <w:tcBorders>
              <w:top w:val="single" w:color="auto" w:sz="4" w:space="0"/>
              <w:left w:val="single" w:color="auto" w:sz="4" w:space="0"/>
              <w:bottom w:val="single" w:color="auto" w:sz="4" w:space="0"/>
            </w:tcBorders>
            <w:shd w:val="clear" w:color="auto" w:fill="FFFFFF"/>
            <w:vAlign w:val="center"/>
          </w:tcPr>
          <w:p>
            <w:pPr>
              <w:spacing w:line="284" w:lineRule="exact"/>
              <w:jc w:val="left"/>
              <w:rPr>
                <w:rFonts w:cs="宋体"/>
                <w:color w:val="252525"/>
                <w:sz w:val="16"/>
                <w:szCs w:val="16"/>
                <w:lang w:val="zh-TW" w:eastAsia="zh-TW" w:bidi="zh-TW"/>
              </w:rPr>
            </w:pPr>
            <w:r>
              <w:rPr>
                <w:rFonts w:cs="宋体"/>
                <w:color w:val="252525"/>
                <w:sz w:val="16"/>
                <w:szCs w:val="16"/>
                <w:lang w:val="zh-TW" w:eastAsia="zh-TW" w:bidi="zh-TW"/>
              </w:rPr>
              <w:t>管护主体责任落实</w:t>
            </w:r>
            <w:r>
              <w:rPr>
                <w:rFonts w:cs="宋体"/>
                <w:color w:val="252525"/>
                <w:sz w:val="16"/>
                <w:szCs w:val="16"/>
                <w:lang w:eastAsia="en-US" w:bidi="en-US"/>
              </w:rPr>
              <w:t>*</w:t>
            </w:r>
          </w:p>
        </w:tc>
        <w:tc>
          <w:tcPr>
            <w:tcW w:w="1084" w:type="dxa"/>
            <w:tcBorders>
              <w:top w:val="single" w:color="auto" w:sz="4" w:space="0"/>
              <w:left w:val="single" w:color="auto" w:sz="4" w:space="0"/>
              <w:bottom w:val="single" w:color="auto" w:sz="4" w:space="0"/>
            </w:tcBorders>
            <w:shd w:val="clear" w:color="auto" w:fill="FFFFFF"/>
          </w:tcPr>
          <w:p>
            <w:pPr>
              <w:rPr>
                <w:sz w:val="10"/>
                <w:szCs w:val="10"/>
              </w:rPr>
            </w:pPr>
          </w:p>
        </w:tc>
        <w:tc>
          <w:tcPr>
            <w:tcW w:w="2347" w:type="dxa"/>
            <w:tcBorders>
              <w:top w:val="single" w:color="auto" w:sz="4" w:space="0"/>
              <w:left w:val="single" w:color="auto" w:sz="4" w:space="0"/>
              <w:bottom w:val="single" w:color="auto" w:sz="4" w:space="0"/>
            </w:tcBorders>
            <w:shd w:val="clear" w:color="auto" w:fill="FFFFFF"/>
            <w:vAlign w:val="center"/>
          </w:tcPr>
          <w:p>
            <w:pPr>
              <w:spacing w:line="285"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项目竣工验收后，项目管护单位（</w:t>
            </w:r>
            <w:r>
              <w:rPr>
                <w:rFonts w:cs="宋体"/>
                <w:color w:val="252525"/>
                <w:sz w:val="16"/>
                <w:szCs w:val="16"/>
                <w:lang w:val="zh-CN" w:bidi="zh-CN"/>
              </w:rPr>
              <w:t>―</w:t>
            </w:r>
            <w:r>
              <w:rPr>
                <w:rFonts w:cs="宋体"/>
                <w:color w:val="252525"/>
                <w:sz w:val="16"/>
                <w:szCs w:val="16"/>
                <w:lang w:val="zh-TW" w:eastAsia="zh-TW" w:bidi="zh-TW"/>
              </w:rPr>
              <w:t>般为乡镇、村级集体经济组织或项目区土地承包经营人）签署的管护合同中有关管护责任人的落 实情况，并办理移交手续</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88" w:lineRule="exact"/>
              <w:rPr>
                <w:rFonts w:cs="宋体"/>
                <w:color w:val="252525"/>
                <w:sz w:val="16"/>
                <w:szCs w:val="16"/>
                <w:lang w:val="zh-TW" w:eastAsia="zh-TW" w:bidi="zh-TW"/>
              </w:rPr>
            </w:pPr>
            <w:r>
              <w:rPr>
                <w:rFonts w:cs="宋体"/>
                <w:color w:val="252525"/>
                <w:sz w:val="16"/>
                <w:szCs w:val="16"/>
                <w:lang w:val="zh-TW" w:eastAsia="zh-TW" w:bidi="zh-TW"/>
              </w:rPr>
              <w:t>项目管护合同，工程转移移交手续</w:t>
            </w:r>
          </w:p>
        </w:tc>
        <w:tc>
          <w:tcPr>
            <w:tcW w:w="4518" w:type="dxa"/>
            <w:tcBorders>
              <w:top w:val="single" w:color="auto" w:sz="4" w:space="0"/>
              <w:left w:val="single" w:color="auto" w:sz="4" w:space="0"/>
              <w:bottom w:val="single" w:color="auto" w:sz="4" w:space="0"/>
            </w:tcBorders>
            <w:shd w:val="clear" w:color="auto" w:fill="FFFFFF"/>
            <w:vAlign w:val="center"/>
          </w:tcPr>
          <w:p>
            <w:pPr>
              <w:spacing w:line="287" w:lineRule="exact"/>
              <w:rPr>
                <w:rFonts w:cs="宋体"/>
                <w:color w:val="252525"/>
                <w:sz w:val="16"/>
                <w:szCs w:val="16"/>
                <w:lang w:val="zh-TW" w:eastAsia="zh-TW" w:bidi="zh-TW"/>
              </w:rPr>
            </w:pPr>
            <w:r>
              <w:rPr>
                <w:rFonts w:cs="宋体"/>
                <w:color w:val="252525"/>
                <w:sz w:val="16"/>
                <w:szCs w:val="16"/>
                <w:lang w:val="zh-TW" w:eastAsia="zh-TW" w:bidi="zh-TW"/>
              </w:rPr>
              <w:t>釆用资料审阅法、专家评议法、现场调查法、抽样调查法进行评价。对于项目评价，应通过专家评议，审查项目管护合同（或方案）或工程移交手续中有关管护内容的合理性和管护责任人的落实情况。对于年度和规划期的评价，应抽样调查项目进行评价。</w:t>
            </w:r>
          </w:p>
          <w:p>
            <w:pPr>
              <w:spacing w:line="287" w:lineRule="exact"/>
              <w:rPr>
                <w:rFonts w:cs="宋体"/>
                <w:color w:val="252525"/>
                <w:sz w:val="16"/>
                <w:szCs w:val="16"/>
                <w:lang w:val="zh-TW" w:eastAsia="zh-TW" w:bidi="zh-TW"/>
              </w:rPr>
            </w:pPr>
            <w:r>
              <w:rPr>
                <w:rFonts w:cs="宋体"/>
                <w:color w:val="252525"/>
                <w:sz w:val="16"/>
                <w:szCs w:val="16"/>
                <w:lang w:val="zh-TW" w:eastAsia="zh-TW" w:bidi="zh-TW"/>
              </w:rPr>
              <w:t xml:space="preserve">评分釆用二分制。当项目区全部落实管护责任人时，得 </w:t>
            </w:r>
            <w:r>
              <w:rPr>
                <w:color w:val="252525"/>
                <w:sz w:val="18"/>
                <w:szCs w:val="18"/>
                <w:lang w:val="zh-TW" w:eastAsia="zh-TW" w:bidi="zh-TW"/>
              </w:rPr>
              <w:t>1</w:t>
            </w:r>
            <w:r>
              <w:rPr>
                <w:rFonts w:cs="宋体"/>
                <w:color w:val="252525"/>
                <w:sz w:val="16"/>
                <w:szCs w:val="16"/>
                <w:lang w:val="zh-TW" w:eastAsia="zh-TW" w:bidi="zh-TW"/>
              </w:rPr>
              <w:t>分,否则得</w:t>
            </w:r>
            <w:r>
              <w:rPr>
                <w:color w:val="252525"/>
                <w:sz w:val="18"/>
                <w:szCs w:val="18"/>
                <w:lang w:val="zh-TW" w:eastAsia="zh-TW" w:bidi="zh-TW"/>
              </w:rPr>
              <w:t>0</w:t>
            </w:r>
            <w:r>
              <w:rPr>
                <w:rFonts w:cs="宋体"/>
                <w:color w:val="252525"/>
                <w:sz w:val="16"/>
                <w:szCs w:val="16"/>
                <w:lang w:val="zh-TW" w:eastAsia="zh-TW" w:bidi="zh-TW"/>
              </w:rPr>
              <w:t>分</w:t>
            </w:r>
          </w:p>
        </w:tc>
        <w:tc>
          <w:tcPr>
            <w:tcW w:w="1847"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jc w:val="center"/>
        <w:tblLayout w:type="fixed"/>
        <w:tblCellMar>
          <w:top w:w="0" w:type="dxa"/>
          <w:left w:w="10" w:type="dxa"/>
          <w:bottom w:w="0" w:type="dxa"/>
          <w:right w:w="10" w:type="dxa"/>
        </w:tblCellMar>
      </w:tblPr>
      <w:tblGrid>
        <w:gridCol w:w="738"/>
        <w:gridCol w:w="1447"/>
        <w:gridCol w:w="1080"/>
        <w:gridCol w:w="2347"/>
        <w:gridCol w:w="1444"/>
        <w:gridCol w:w="4514"/>
        <w:gridCol w:w="1825"/>
        <w:gridCol w:w="554"/>
      </w:tblGrid>
      <w:tr>
        <w:tblPrEx>
          <w:tblCellMar>
            <w:top w:w="0" w:type="dxa"/>
            <w:left w:w="10" w:type="dxa"/>
            <w:bottom w:w="0" w:type="dxa"/>
            <w:right w:w="10" w:type="dxa"/>
          </w:tblCellMar>
        </w:tblPrEx>
        <w:trPr>
          <w:trHeight w:val="378" w:hRule="exact"/>
          <w:jc w:val="center"/>
        </w:trPr>
        <w:tc>
          <w:tcPr>
            <w:tcW w:w="738"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7" w:type="dxa"/>
            <w:tcBorders>
              <w:top w:val="single" w:color="auto" w:sz="4" w:space="0"/>
              <w:left w:val="single" w:color="auto" w:sz="4" w:space="0"/>
            </w:tcBorders>
            <w:shd w:val="clear" w:color="auto" w:fill="FFFFFF"/>
            <w:vAlign w:val="center"/>
          </w:tcPr>
          <w:p>
            <w:pPr>
              <w:ind w:firstLine="340"/>
              <w:jc w:val="left"/>
              <w:rPr>
                <w:rFonts w:cs="宋体"/>
                <w:color w:val="252525"/>
                <w:sz w:val="16"/>
                <w:szCs w:val="16"/>
                <w:lang w:val="zh-TW" w:eastAsia="zh-TW" w:bidi="zh-TW"/>
              </w:rPr>
            </w:pPr>
            <w:r>
              <w:rPr>
                <w:rFonts w:cs="宋体"/>
                <w:color w:val="252525"/>
                <w:sz w:val="16"/>
                <w:szCs w:val="16"/>
                <w:lang w:val="zh-TW" w:eastAsia="zh-TW" w:bidi="zh-TW"/>
              </w:rPr>
              <w:t>评价指标</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47"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25"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c>
          <w:tcPr>
            <w:tcW w:w="554" w:type="dxa"/>
            <w:vMerge w:val="restart"/>
            <w:tcBorders>
              <w:left w:val="single" w:color="auto" w:sz="4" w:space="0"/>
            </w:tcBorders>
            <w:shd w:val="clear" w:color="auto" w:fill="FFFFFF"/>
            <w:textDirection w:val="tbRl"/>
          </w:tcPr>
          <w:p>
            <w:pPr>
              <w:rPr>
                <w:rFonts w:cs="宋体"/>
                <w:color w:val="252525"/>
                <w:sz w:val="20"/>
                <w:szCs w:val="20"/>
                <w:lang w:val="zh-TW" w:eastAsia="zh-TW" w:bidi="zh-TW"/>
              </w:rPr>
            </w:pPr>
          </w:p>
        </w:tc>
      </w:tr>
      <w:tr>
        <w:tblPrEx>
          <w:tblCellMar>
            <w:top w:w="0" w:type="dxa"/>
            <w:left w:w="10" w:type="dxa"/>
            <w:bottom w:w="0" w:type="dxa"/>
            <w:right w:w="10" w:type="dxa"/>
          </w:tblCellMar>
        </w:tblPrEx>
        <w:trPr>
          <w:trHeight w:val="1696"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hint="eastAsia" w:eastAsia="宋体" w:cs="宋体"/>
                <w:color w:val="252525"/>
                <w:sz w:val="18"/>
                <w:szCs w:val="18"/>
                <w:lang w:val="zh-TW" w:eastAsia="zh-CN" w:bidi="zh-TW"/>
              </w:rPr>
            </w:pPr>
            <w:r>
              <w:rPr>
                <w:color w:val="252525"/>
                <w:sz w:val="18"/>
                <w:szCs w:val="18"/>
                <w:lang w:eastAsia="en-US" w:bidi="en-US"/>
              </w:rPr>
              <w:t>A7</w:t>
            </w:r>
            <w:r>
              <w:rPr>
                <w:rFonts w:hint="eastAsia"/>
                <w:color w:val="252525"/>
                <w:sz w:val="18"/>
                <w:szCs w:val="18"/>
                <w:lang w:val="en-US" w:eastAsia="zh-CN" w:bidi="en-US"/>
              </w:rPr>
              <w:t>7</w:t>
            </w:r>
          </w:p>
        </w:tc>
        <w:tc>
          <w:tcPr>
            <w:tcW w:w="1447" w:type="dxa"/>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田间工程使用情况*</w:t>
            </w:r>
          </w:p>
        </w:tc>
        <w:tc>
          <w:tcPr>
            <w:tcW w:w="1080"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4"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项目竣工验收后一段时间内（生命周期），项目工程使用和运行情况</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1" w:lineRule="exact"/>
              <w:rPr>
                <w:rFonts w:cs="宋体"/>
                <w:color w:val="252525"/>
                <w:sz w:val="16"/>
                <w:szCs w:val="16"/>
                <w:lang w:val="zh-TW" w:eastAsia="zh-TW" w:bidi="zh-TW"/>
              </w:rPr>
            </w:pPr>
            <w:r>
              <w:rPr>
                <w:rFonts w:cs="宋体"/>
                <w:color w:val="252525"/>
                <w:sz w:val="16"/>
                <w:szCs w:val="16"/>
                <w:lang w:val="zh-TW" w:eastAsia="zh-TW" w:bidi="zh-TW"/>
              </w:rPr>
              <w:t>设计文件，项目运行报告，现场检测报告</w:t>
            </w:r>
          </w:p>
        </w:tc>
        <w:tc>
          <w:tcPr>
            <w:tcW w:w="4514" w:type="dxa"/>
            <w:tcBorders>
              <w:top w:val="single" w:color="auto" w:sz="4" w:space="0"/>
              <w:left w:val="single" w:color="auto" w:sz="4" w:space="0"/>
            </w:tcBorders>
            <w:shd w:val="clear" w:color="auto" w:fill="FFFFFF"/>
            <w:vAlign w:val="center"/>
          </w:tcPr>
          <w:p>
            <w:pPr>
              <w:spacing w:line="284" w:lineRule="exact"/>
              <w:rPr>
                <w:rFonts w:cs="宋体"/>
                <w:color w:val="252525"/>
                <w:sz w:val="16"/>
                <w:szCs w:val="16"/>
                <w:lang w:val="zh-TW" w:eastAsia="zh-TW" w:bidi="zh-TW"/>
              </w:rPr>
            </w:pPr>
            <w:r>
              <w:rPr>
                <w:rFonts w:cs="宋体"/>
                <w:color w:val="252525"/>
                <w:sz w:val="16"/>
                <w:szCs w:val="16"/>
                <w:lang w:val="zh-TW" w:eastAsia="zh-TW" w:bidi="zh-TW"/>
              </w:rPr>
              <w:t>釆用现场调查法、抽样调查法进行评价。对于项目评价，应通过现场查看</w:t>
            </w:r>
            <w:r>
              <w:rPr>
                <w:rFonts w:hint="eastAsia" w:cs="宋体"/>
                <w:color w:val="252525"/>
                <w:sz w:val="16"/>
                <w:szCs w:val="16"/>
                <w:lang w:val="zh-TW" w:bidi="zh-TW"/>
              </w:rPr>
              <w:t>，</w:t>
            </w:r>
            <w:r>
              <w:rPr>
                <w:rFonts w:cs="宋体"/>
                <w:color w:val="252525"/>
                <w:sz w:val="16"/>
                <w:szCs w:val="16"/>
                <w:lang w:val="zh-TW" w:eastAsia="zh-TW" w:bidi="zh-TW"/>
              </w:rPr>
              <w:t>检测不同工程的使用和运行情况，每个项目抽查工程项目数量不少于本类型数量的</w:t>
            </w:r>
            <w:r>
              <w:rPr>
                <w:color w:val="252525"/>
                <w:sz w:val="18"/>
                <w:szCs w:val="18"/>
                <w:lang w:val="zh-TW" w:eastAsia="zh-TW" w:bidi="zh-TW"/>
              </w:rPr>
              <w:t>10%</w:t>
            </w:r>
            <w:r>
              <w:rPr>
                <w:rFonts w:cs="宋体"/>
                <w:color w:val="252525"/>
                <w:sz w:val="16"/>
                <w:szCs w:val="16"/>
                <w:lang w:val="zh-TW" w:eastAsia="zh-TW" w:bidi="zh-TW"/>
              </w:rPr>
              <w:t>。对于年度和规划期的评价</w:t>
            </w:r>
            <w:r>
              <w:rPr>
                <w:rFonts w:hint="eastAsia" w:cs="宋体"/>
                <w:color w:val="252525"/>
                <w:sz w:val="16"/>
                <w:szCs w:val="16"/>
                <w:lang w:val="zh-TW" w:bidi="zh-TW"/>
              </w:rPr>
              <w:t>，</w:t>
            </w:r>
            <w:r>
              <w:rPr>
                <w:rFonts w:cs="宋体"/>
                <w:color w:val="252525"/>
                <w:sz w:val="16"/>
                <w:szCs w:val="16"/>
                <w:lang w:val="zh-TW" w:eastAsia="zh-TW" w:bidi="zh-TW"/>
              </w:rPr>
              <w:t>应抽样调查项目进行评价。</w:t>
            </w:r>
          </w:p>
          <w:p>
            <w:pPr>
              <w:spacing w:line="284" w:lineRule="exact"/>
              <w:rPr>
                <w:rFonts w:cs="宋体"/>
                <w:color w:val="252525"/>
                <w:sz w:val="16"/>
                <w:szCs w:val="16"/>
                <w:lang w:val="zh-TW" w:eastAsia="zh-TW" w:bidi="zh-TW"/>
              </w:rPr>
            </w:pPr>
            <w:r>
              <w:rPr>
                <w:rFonts w:cs="宋体"/>
                <w:color w:val="252525"/>
                <w:sz w:val="16"/>
                <w:szCs w:val="16"/>
                <w:lang w:val="zh-TW" w:eastAsia="zh-TW" w:bidi="zh-TW"/>
              </w:rPr>
              <w:t>评分釆用二分制。当抽查项目工程均满足设计运行条件时得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25"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c>
          <w:tcPr>
            <w:tcW w:w="554" w:type="dxa"/>
            <w:vMerge w:val="continue"/>
            <w:tcBorders>
              <w:left w:val="single" w:color="auto" w:sz="4" w:space="0"/>
            </w:tcBorders>
            <w:shd w:val="clear" w:color="auto" w:fill="FFFFFF"/>
            <w:textDirection w:val="tbRl"/>
          </w:tcPr>
          <w:p/>
        </w:tc>
      </w:tr>
      <w:tr>
        <w:tblPrEx>
          <w:tblCellMar>
            <w:top w:w="0" w:type="dxa"/>
            <w:left w:w="10" w:type="dxa"/>
            <w:bottom w:w="0" w:type="dxa"/>
            <w:right w:w="10" w:type="dxa"/>
          </w:tblCellMar>
        </w:tblPrEx>
        <w:trPr>
          <w:trHeight w:val="1689" w:hRule="exact"/>
          <w:jc w:val="center"/>
        </w:trPr>
        <w:tc>
          <w:tcPr>
            <w:tcW w:w="738" w:type="dxa"/>
            <w:tcBorders>
              <w:top w:val="single" w:color="auto" w:sz="4" w:space="0"/>
              <w:left w:val="single" w:color="auto" w:sz="4" w:space="0"/>
            </w:tcBorders>
            <w:shd w:val="clear" w:color="auto" w:fill="FFFFFF"/>
            <w:vAlign w:val="center"/>
          </w:tcPr>
          <w:p>
            <w:pPr>
              <w:jc w:val="center"/>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78</w:t>
            </w:r>
          </w:p>
        </w:tc>
        <w:tc>
          <w:tcPr>
            <w:tcW w:w="1447"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管护资金到位</w:t>
            </w:r>
          </w:p>
        </w:tc>
        <w:tc>
          <w:tcPr>
            <w:tcW w:w="1080"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项目竣工验收后，项目管护单位（一般为乡镇、村级集体经济组织或项目区承包经营人）签署的管护合同中有关管护资金的筹措和到位情况</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89" w:lineRule="exact"/>
              <w:rPr>
                <w:rFonts w:cs="宋体"/>
                <w:color w:val="252525"/>
                <w:sz w:val="16"/>
                <w:szCs w:val="16"/>
                <w:lang w:val="zh-TW" w:eastAsia="zh-TW" w:bidi="zh-TW"/>
              </w:rPr>
            </w:pPr>
            <w:r>
              <w:rPr>
                <w:rFonts w:cs="宋体"/>
                <w:color w:val="252525"/>
                <w:sz w:val="16"/>
                <w:szCs w:val="16"/>
                <w:lang w:val="zh-TW" w:eastAsia="zh-TW" w:bidi="zh-TW"/>
              </w:rPr>
              <w:t>项目管护合同，项目验收单位或管护单位提供的资金凭证</w:t>
            </w:r>
          </w:p>
        </w:tc>
        <w:tc>
          <w:tcPr>
            <w:tcW w:w="4514" w:type="dxa"/>
            <w:tcBorders>
              <w:top w:val="single" w:color="auto" w:sz="4" w:space="0"/>
              <w:left w:val="single" w:color="auto" w:sz="4" w:space="0"/>
            </w:tcBorders>
            <w:shd w:val="clear" w:color="auto" w:fill="FFFFFF"/>
            <w:vAlign w:val="center"/>
          </w:tcPr>
          <w:p>
            <w:pPr>
              <w:spacing w:line="286" w:lineRule="exact"/>
              <w:rPr>
                <w:rFonts w:cs="宋体"/>
                <w:color w:val="252525"/>
                <w:sz w:val="16"/>
                <w:szCs w:val="16"/>
                <w:lang w:val="zh-TW" w:eastAsia="zh-TW" w:bidi="zh-TW"/>
              </w:rPr>
            </w:pPr>
            <w:r>
              <w:rPr>
                <w:rFonts w:cs="宋体"/>
                <w:color w:val="252525"/>
                <w:sz w:val="16"/>
                <w:szCs w:val="16"/>
                <w:lang w:val="zh-TW" w:eastAsia="zh-TW" w:bidi="zh-TW"/>
              </w:rPr>
              <w:t>采用室内资料审阅法、专家评议法、目标比较法进行评价。对于项目评价，可通过专家评议，审查管护合同（或方案）中有关管护内容的合理性和管护资金的筹措情况。对于年度和规划期的评价，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评分采用五分制，按照项目管护资金到位的比例情况进行评价</w:t>
            </w:r>
          </w:p>
        </w:tc>
        <w:tc>
          <w:tcPr>
            <w:tcW w:w="1825"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c>
          <w:tcPr>
            <w:tcW w:w="554" w:type="dxa"/>
            <w:vMerge w:val="continue"/>
            <w:tcBorders>
              <w:left w:val="single" w:color="auto" w:sz="4" w:space="0"/>
            </w:tcBorders>
            <w:shd w:val="clear" w:color="auto" w:fill="FFFFFF"/>
            <w:textDirection w:val="tbRl"/>
          </w:tcPr>
          <w:p/>
        </w:tc>
      </w:tr>
      <w:tr>
        <w:tblPrEx>
          <w:tblCellMar>
            <w:top w:w="0" w:type="dxa"/>
            <w:left w:w="10" w:type="dxa"/>
            <w:bottom w:w="0" w:type="dxa"/>
            <w:right w:w="10" w:type="dxa"/>
          </w:tblCellMar>
        </w:tblPrEx>
        <w:trPr>
          <w:trHeight w:val="1993" w:hRule="exact"/>
          <w:jc w:val="center"/>
        </w:trPr>
        <w:tc>
          <w:tcPr>
            <w:tcW w:w="738" w:type="dxa"/>
            <w:tcBorders>
              <w:top w:val="single" w:color="auto" w:sz="4" w:space="0"/>
              <w:left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79</w:t>
            </w:r>
          </w:p>
        </w:tc>
        <w:tc>
          <w:tcPr>
            <w:tcW w:w="1447"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土地权属管理</w:t>
            </w:r>
          </w:p>
        </w:tc>
        <w:tc>
          <w:tcPr>
            <w:tcW w:w="1080" w:type="dxa"/>
            <w:tcBorders>
              <w:top w:val="single" w:color="auto" w:sz="4" w:space="0"/>
              <w:left w:val="single" w:color="auto" w:sz="4" w:space="0"/>
            </w:tcBorders>
            <w:shd w:val="clear" w:color="auto" w:fill="FFFFFF"/>
          </w:tcPr>
          <w:p>
            <w:pPr>
              <w:rPr>
                <w:sz w:val="10"/>
                <w:szCs w:val="10"/>
              </w:rPr>
            </w:pPr>
          </w:p>
        </w:tc>
        <w:tc>
          <w:tcPr>
            <w:tcW w:w="2347" w:type="dxa"/>
            <w:tcBorders>
              <w:top w:val="single" w:color="auto" w:sz="4" w:space="0"/>
              <w:left w:val="single" w:color="auto" w:sz="4" w:space="0"/>
            </w:tcBorders>
            <w:shd w:val="clear" w:color="auto" w:fill="FFFFFF"/>
            <w:vAlign w:val="center"/>
          </w:tcPr>
          <w:p>
            <w:pPr>
              <w:spacing w:line="288" w:lineRule="exact"/>
              <w:rPr>
                <w:rFonts w:hint="eastAsia" w:eastAsia="宋体" w:cs="宋体"/>
                <w:color w:val="252525"/>
                <w:sz w:val="16"/>
                <w:szCs w:val="16"/>
                <w:lang w:val="zh-TW" w:eastAsia="zh-CN" w:bidi="zh-TW"/>
              </w:rPr>
            </w:pPr>
            <w:r>
              <w:rPr>
                <w:rFonts w:cs="宋体"/>
                <w:color w:val="252525"/>
                <w:sz w:val="16"/>
                <w:szCs w:val="16"/>
                <w:lang w:val="zh-TW" w:eastAsia="zh-TW" w:bidi="zh-TW"/>
              </w:rPr>
              <w:t>项目前期工作、工程施工和竣工验收等工作中，项目区开展土地权属调整工作的规范性、合法性，以及土地权益人的满意程度</w:t>
            </w:r>
            <w:r>
              <w:rPr>
                <w:rFonts w:hint="eastAsia" w:cs="宋体"/>
                <w:color w:val="252525"/>
                <w:sz w:val="16"/>
                <w:szCs w:val="16"/>
                <w:lang w:val="zh-TW" w:eastAsia="zh-CN" w:bidi="zh-TW"/>
              </w:rPr>
              <w:t>。</w:t>
            </w:r>
          </w:p>
        </w:tc>
        <w:tc>
          <w:tcPr>
            <w:tcW w:w="1444" w:type="dxa"/>
            <w:tcBorders>
              <w:top w:val="single" w:color="auto" w:sz="4" w:space="0"/>
              <w:left w:val="single" w:color="auto" w:sz="4" w:space="0"/>
            </w:tcBorders>
            <w:shd w:val="clear" w:color="auto" w:fill="FFFFFF"/>
            <w:vAlign w:val="center"/>
          </w:tcPr>
          <w:p>
            <w:pPr>
              <w:spacing w:line="290" w:lineRule="exact"/>
              <w:rPr>
                <w:rFonts w:cs="宋体"/>
                <w:color w:val="252525"/>
                <w:sz w:val="16"/>
                <w:szCs w:val="16"/>
                <w:lang w:val="zh-TW" w:eastAsia="zh-TW" w:bidi="zh-TW"/>
              </w:rPr>
            </w:pPr>
            <w:r>
              <w:rPr>
                <w:rFonts w:cs="宋体"/>
                <w:color w:val="252525"/>
                <w:sz w:val="16"/>
                <w:szCs w:val="16"/>
                <w:lang w:val="zh-TW" w:eastAsia="zh-TW" w:bidi="zh-TW"/>
              </w:rPr>
              <w:t>土地权属调整方案，项目公告，调查问卷</w:t>
            </w:r>
          </w:p>
        </w:tc>
        <w:tc>
          <w:tcPr>
            <w:tcW w:w="4514" w:type="dxa"/>
            <w:tcBorders>
              <w:top w:val="single" w:color="auto" w:sz="4" w:space="0"/>
              <w:left w:val="single" w:color="auto" w:sz="4" w:space="0"/>
            </w:tcBorders>
            <w:shd w:val="clear" w:color="auto" w:fill="FFFFFF"/>
          </w:tcPr>
          <w:p>
            <w:pPr>
              <w:spacing w:line="286" w:lineRule="exact"/>
              <w:rPr>
                <w:rFonts w:cs="宋体"/>
                <w:color w:val="252525"/>
                <w:sz w:val="16"/>
                <w:szCs w:val="16"/>
                <w:lang w:val="zh-TW" w:eastAsia="zh-TW" w:bidi="zh-TW"/>
              </w:rPr>
            </w:pPr>
            <w:r>
              <w:rPr>
                <w:rFonts w:cs="宋体"/>
                <w:color w:val="252525"/>
                <w:sz w:val="16"/>
                <w:szCs w:val="16"/>
                <w:lang w:val="zh-TW" w:eastAsia="zh-TW" w:bidi="zh-TW"/>
              </w:rPr>
              <w:t>釆用问卷调查法、现场调查法进行评价。对于项目评价</w:t>
            </w:r>
            <w:r>
              <w:rPr>
                <w:rFonts w:hint="eastAsia" w:cs="宋体"/>
                <w:color w:val="252525"/>
                <w:sz w:val="16"/>
                <w:szCs w:val="16"/>
                <w:lang w:val="zh-TW" w:bidi="zh-TW"/>
              </w:rPr>
              <w:t>，</w:t>
            </w:r>
            <w:r>
              <w:rPr>
                <w:rFonts w:cs="宋体"/>
                <w:color w:val="252525"/>
                <w:sz w:val="16"/>
                <w:szCs w:val="16"/>
                <w:lang w:val="zh-TW" w:eastAsia="zh-TW" w:bidi="zh-TW"/>
              </w:rPr>
              <w:t>应通过设计调查问卷，走访项目区土地权益人，调查项目实施中有关土地权属调整工作的规范性和合法性，查看土地权属调整文件和土地确权登记台账，征询土地权益人对土地权属调整工作的满意程度。对于年度和规划期的评价，应抽样调查项目进行评价。</w:t>
            </w:r>
          </w:p>
          <w:p>
            <w:pPr>
              <w:spacing w:line="286" w:lineRule="exact"/>
              <w:rPr>
                <w:rFonts w:cs="宋体"/>
                <w:color w:val="252525"/>
                <w:sz w:val="16"/>
                <w:szCs w:val="16"/>
                <w:lang w:val="zh-TW" w:eastAsia="zh-TW" w:bidi="zh-TW"/>
              </w:rPr>
            </w:pPr>
            <w:r>
              <w:rPr>
                <w:rFonts w:cs="宋体"/>
                <w:color w:val="252525"/>
                <w:sz w:val="16"/>
                <w:szCs w:val="16"/>
                <w:lang w:val="zh-TW" w:eastAsia="zh-TW" w:bidi="zh-TW"/>
              </w:rPr>
              <w:t>按照被调查人员对土地权属管理工作满意的人数占调查总人数的比值进行评价，评分采用五分制</w:t>
            </w:r>
          </w:p>
        </w:tc>
        <w:tc>
          <w:tcPr>
            <w:tcW w:w="1825" w:type="dxa"/>
            <w:tcBorders>
              <w:top w:val="single" w:color="auto" w:sz="4" w:space="0"/>
              <w:lef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c>
          <w:tcPr>
            <w:tcW w:w="554" w:type="dxa"/>
            <w:vMerge w:val="continue"/>
            <w:tcBorders>
              <w:left w:val="single" w:color="auto" w:sz="4" w:space="0"/>
            </w:tcBorders>
            <w:shd w:val="clear" w:color="auto" w:fill="FFFFFF"/>
            <w:textDirection w:val="tbRl"/>
          </w:tcPr>
          <w:p/>
        </w:tc>
      </w:tr>
      <w:tr>
        <w:tblPrEx>
          <w:tblCellMar>
            <w:top w:w="0" w:type="dxa"/>
            <w:left w:w="10" w:type="dxa"/>
            <w:bottom w:w="0" w:type="dxa"/>
            <w:right w:w="10" w:type="dxa"/>
          </w:tblCellMar>
        </w:tblPrEx>
        <w:trPr>
          <w:trHeight w:val="1912" w:hRule="exact"/>
          <w:jc w:val="center"/>
        </w:trPr>
        <w:tc>
          <w:tcPr>
            <w:tcW w:w="738" w:type="dxa"/>
            <w:tcBorders>
              <w:top w:val="single" w:color="auto" w:sz="4" w:space="0"/>
              <w:left w:val="single" w:color="auto" w:sz="4" w:space="0"/>
              <w:bottom w:val="single" w:color="auto" w:sz="4" w:space="0"/>
            </w:tcBorders>
            <w:shd w:val="clear" w:color="auto" w:fill="FFFFFF"/>
            <w:vAlign w:val="center"/>
          </w:tcPr>
          <w:p>
            <w:pPr>
              <w:ind w:firstLine="180"/>
              <w:jc w:val="left"/>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80</w:t>
            </w:r>
          </w:p>
        </w:tc>
        <w:tc>
          <w:tcPr>
            <w:tcW w:w="1447"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公众满意度</w:t>
            </w:r>
            <w:r>
              <w:rPr>
                <w:rFonts w:cs="宋体"/>
                <w:color w:val="252525"/>
                <w:sz w:val="16"/>
                <w:szCs w:val="16"/>
                <w:lang w:eastAsia="en-US" w:bidi="en-US"/>
              </w:rPr>
              <w:t>*</w:t>
            </w:r>
          </w:p>
        </w:tc>
        <w:tc>
          <w:tcPr>
            <w:tcW w:w="1080" w:type="dxa"/>
            <w:tcBorders>
              <w:top w:val="single" w:color="auto" w:sz="4" w:space="0"/>
              <w:left w:val="single" w:color="auto" w:sz="4" w:space="0"/>
              <w:bottom w:val="single" w:color="auto" w:sz="4" w:space="0"/>
            </w:tcBorders>
            <w:shd w:val="clear" w:color="auto" w:fill="FFFFFF"/>
          </w:tcPr>
          <w:p>
            <w:pPr>
              <w:rPr>
                <w:sz w:val="10"/>
                <w:szCs w:val="10"/>
              </w:rPr>
            </w:pPr>
          </w:p>
        </w:tc>
        <w:tc>
          <w:tcPr>
            <w:tcW w:w="2347" w:type="dxa"/>
            <w:tcBorders>
              <w:top w:val="single" w:color="auto" w:sz="4" w:space="0"/>
              <w:left w:val="single" w:color="auto" w:sz="4" w:space="0"/>
              <w:bottom w:val="single" w:color="auto" w:sz="4" w:space="0"/>
            </w:tcBorders>
            <w:shd w:val="clear" w:color="auto" w:fill="FFFFFF"/>
            <w:vAlign w:val="center"/>
          </w:tcPr>
          <w:p>
            <w:pPr>
              <w:spacing w:after="100"/>
              <w:rPr>
                <w:rFonts w:hint="eastAsia" w:eastAsia="宋体" w:cs="宋体"/>
                <w:color w:val="252525"/>
                <w:sz w:val="16"/>
                <w:szCs w:val="16"/>
                <w:lang w:val="zh-TW" w:eastAsia="zh-CN" w:bidi="zh-TW"/>
              </w:rPr>
            </w:pPr>
            <w:r>
              <w:rPr>
                <w:rFonts w:cs="宋体"/>
                <w:color w:val="252525"/>
                <w:sz w:val="16"/>
                <w:szCs w:val="16"/>
                <w:lang w:val="zh-TW" w:eastAsia="zh-TW" w:bidi="zh-TW"/>
              </w:rPr>
              <w:t>项目建设后，土地权益人对项目总体的满意程度</w:t>
            </w:r>
            <w:r>
              <w:rPr>
                <w:rFonts w:hint="eastAsia" w:cs="宋体"/>
                <w:color w:val="252525"/>
                <w:sz w:val="16"/>
                <w:szCs w:val="16"/>
                <w:lang w:val="zh-TW" w:eastAsia="zh-CN" w:bidi="zh-TW"/>
              </w:rPr>
              <w:t>。</w:t>
            </w:r>
          </w:p>
        </w:tc>
        <w:tc>
          <w:tcPr>
            <w:tcW w:w="1444" w:type="dxa"/>
            <w:tcBorders>
              <w:top w:val="single" w:color="auto" w:sz="4" w:space="0"/>
              <w:left w:val="single" w:color="auto" w:sz="4" w:space="0"/>
              <w:bottom w:val="single" w:color="auto" w:sz="4" w:space="0"/>
            </w:tcBorders>
            <w:shd w:val="clear" w:color="auto" w:fill="FFFFFF"/>
            <w:vAlign w:val="center"/>
          </w:tcPr>
          <w:p>
            <w:pPr>
              <w:spacing w:line="299" w:lineRule="exact"/>
              <w:rPr>
                <w:rFonts w:cs="宋体"/>
                <w:color w:val="252525"/>
                <w:sz w:val="16"/>
                <w:szCs w:val="16"/>
                <w:lang w:val="zh-TW" w:eastAsia="zh-TW" w:bidi="zh-TW"/>
              </w:rPr>
            </w:pPr>
            <w:r>
              <w:rPr>
                <w:rFonts w:cs="宋体"/>
                <w:color w:val="252525"/>
                <w:sz w:val="16"/>
                <w:szCs w:val="16"/>
                <w:lang w:val="zh-TW" w:eastAsia="zh-TW" w:bidi="zh-TW"/>
              </w:rPr>
              <w:t>项目公告，调查问卷</w:t>
            </w:r>
          </w:p>
        </w:tc>
        <w:tc>
          <w:tcPr>
            <w:tcW w:w="4514" w:type="dxa"/>
            <w:tcBorders>
              <w:top w:val="single" w:color="auto" w:sz="4" w:space="0"/>
              <w:left w:val="single" w:color="auto" w:sz="4" w:space="0"/>
              <w:bottom w:val="single" w:color="auto" w:sz="4" w:space="0"/>
            </w:tcBorders>
            <w:shd w:val="clear" w:color="auto" w:fill="FFFFFF"/>
            <w:vAlign w:val="center"/>
          </w:tcPr>
          <w:p>
            <w:pPr>
              <w:spacing w:line="285" w:lineRule="exact"/>
              <w:rPr>
                <w:rFonts w:cs="宋体"/>
                <w:color w:val="252525"/>
                <w:sz w:val="16"/>
                <w:szCs w:val="16"/>
                <w:lang w:val="zh-TW" w:eastAsia="zh-TW" w:bidi="zh-TW"/>
              </w:rPr>
            </w:pPr>
            <w:r>
              <w:rPr>
                <w:rFonts w:cs="宋体"/>
                <w:color w:val="252525"/>
                <w:sz w:val="16"/>
                <w:szCs w:val="16"/>
                <w:lang w:val="zh-TW" w:eastAsia="zh-TW" w:bidi="zh-TW"/>
              </w:rPr>
              <w:t>选择项目区，通过问卷调查，分析项目区土地权益人对高标准农田建设的总体满意程度。调查人员为项目区成年人</w:t>
            </w:r>
            <w:r>
              <w:rPr>
                <w:rFonts w:cs="宋体"/>
                <w:color w:val="252525"/>
                <w:sz w:val="18"/>
                <w:szCs w:val="18"/>
                <w:lang w:val="zh-TW" w:eastAsia="zh-TW" w:bidi="zh-TW"/>
              </w:rPr>
              <w:t>（</w:t>
            </w:r>
            <w:r>
              <w:rPr>
                <w:color w:val="252525"/>
                <w:sz w:val="18"/>
                <w:szCs w:val="18"/>
                <w:lang w:val="zh-TW" w:eastAsia="zh-TW" w:bidi="zh-TW"/>
              </w:rPr>
              <w:t>18</w:t>
            </w:r>
            <w:r>
              <w:rPr>
                <w:rFonts w:cs="宋体"/>
                <w:color w:val="252525"/>
                <w:sz w:val="16"/>
                <w:szCs w:val="16"/>
                <w:lang w:val="zh-TW" w:eastAsia="zh-TW" w:bidi="zh-TW"/>
              </w:rPr>
              <w:t>岁以上）。对于年度和规划期的评价，应抽样调查项目进行评价。</w:t>
            </w:r>
          </w:p>
          <w:p>
            <w:pPr>
              <w:spacing w:line="285" w:lineRule="exact"/>
              <w:rPr>
                <w:rFonts w:cs="宋体"/>
                <w:color w:val="252525"/>
                <w:sz w:val="16"/>
                <w:szCs w:val="16"/>
                <w:lang w:val="zh-TW" w:eastAsia="zh-TW" w:bidi="zh-TW"/>
              </w:rPr>
            </w:pPr>
            <w:r>
              <w:rPr>
                <w:rFonts w:cs="宋体"/>
                <w:color w:val="252525"/>
                <w:sz w:val="16"/>
                <w:szCs w:val="16"/>
                <w:lang w:val="zh-TW" w:eastAsia="zh-TW" w:bidi="zh-TW"/>
              </w:rPr>
              <w:t>评分釆用二分制。当调查满意的人数占调查总人数的</w:t>
            </w:r>
            <w:r>
              <w:rPr>
                <w:rFonts w:cs="宋体"/>
                <w:color w:val="000000"/>
                <w:sz w:val="16"/>
                <w:szCs w:val="16"/>
                <w:lang w:val="zh-TW" w:eastAsia="zh-TW" w:bidi="zh-TW"/>
              </w:rPr>
              <w:t>比</w:t>
            </w:r>
            <w:r>
              <w:rPr>
                <w:rFonts w:cs="宋体"/>
                <w:color w:val="252525"/>
                <w:sz w:val="16"/>
                <w:szCs w:val="16"/>
                <w:lang w:val="zh-TW" w:eastAsia="zh-TW" w:bidi="zh-TW"/>
              </w:rPr>
              <w:t>值超过</w:t>
            </w:r>
            <w:r>
              <w:rPr>
                <w:color w:val="252525"/>
                <w:sz w:val="18"/>
                <w:szCs w:val="18"/>
                <w:lang w:val="zh-TW" w:eastAsia="zh-TW" w:bidi="zh-TW"/>
              </w:rPr>
              <w:t>80%</w:t>
            </w:r>
            <w:r>
              <w:rPr>
                <w:rFonts w:cs="宋体"/>
                <w:color w:val="252525"/>
                <w:sz w:val="16"/>
                <w:szCs w:val="16"/>
                <w:lang w:val="zh-TW" w:eastAsia="zh-TW" w:bidi="zh-TW"/>
              </w:rPr>
              <w:t>时得</w:t>
            </w:r>
            <w:r>
              <w:rPr>
                <w:color w:val="252525"/>
                <w:sz w:val="18"/>
                <w:szCs w:val="18"/>
                <w:lang w:val="zh-TW" w:eastAsia="zh-TW" w:bidi="zh-TW"/>
              </w:rPr>
              <w:t>1</w:t>
            </w:r>
            <w:r>
              <w:rPr>
                <w:rFonts w:cs="宋体"/>
                <w:color w:val="252525"/>
                <w:sz w:val="16"/>
                <w:szCs w:val="16"/>
                <w:lang w:val="zh-TW" w:eastAsia="zh-TW" w:bidi="zh-TW"/>
              </w:rPr>
              <w:t>分</w:t>
            </w:r>
            <w:r>
              <w:rPr>
                <w:rFonts w:hint="eastAsia" w:cs="宋体"/>
                <w:color w:val="252525"/>
                <w:sz w:val="16"/>
                <w:szCs w:val="16"/>
                <w:lang w:val="zh-TW" w:bidi="zh-TW"/>
              </w:rPr>
              <w:t>，</w:t>
            </w:r>
            <w:r>
              <w:rPr>
                <w:rFonts w:cs="宋体"/>
                <w:color w:val="252525"/>
                <w:sz w:val="16"/>
                <w:szCs w:val="16"/>
                <w:lang w:val="zh-TW" w:eastAsia="zh-TW" w:bidi="zh-TW"/>
              </w:rPr>
              <w:t>否则得</w:t>
            </w:r>
            <w:r>
              <w:rPr>
                <w:color w:val="252525"/>
                <w:sz w:val="18"/>
                <w:szCs w:val="18"/>
                <w:lang w:val="zh-TW" w:eastAsia="zh-TW" w:bidi="zh-TW"/>
              </w:rPr>
              <w:t>0</w:t>
            </w:r>
            <w:r>
              <w:rPr>
                <w:rFonts w:cs="宋体"/>
                <w:color w:val="252525"/>
                <w:sz w:val="16"/>
                <w:szCs w:val="16"/>
                <w:lang w:val="zh-TW" w:eastAsia="zh-TW" w:bidi="zh-TW"/>
              </w:rPr>
              <w:t>分</w:t>
            </w:r>
          </w:p>
        </w:tc>
        <w:tc>
          <w:tcPr>
            <w:tcW w:w="1825" w:type="dxa"/>
            <w:tcBorders>
              <w:top w:val="single" w:color="auto" w:sz="4" w:space="0"/>
              <w:left w:val="single" w:color="auto" w:sz="4" w:space="0"/>
              <w:bottom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c>
          <w:tcPr>
            <w:tcW w:w="554" w:type="dxa"/>
            <w:vMerge w:val="continue"/>
            <w:tcBorders>
              <w:left w:val="single" w:color="auto" w:sz="4" w:space="0"/>
            </w:tcBorders>
            <w:shd w:val="clear" w:color="auto" w:fill="FFFFFF"/>
            <w:textDirection w:val="tbRl"/>
          </w:tcP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tbl>
      <w:tblPr>
        <w:tblStyle w:val="36"/>
        <w:tblW w:w="0" w:type="auto"/>
        <w:tblInd w:w="0" w:type="dxa"/>
        <w:tblLayout w:type="fixed"/>
        <w:tblCellMar>
          <w:top w:w="0" w:type="dxa"/>
          <w:left w:w="10" w:type="dxa"/>
          <w:bottom w:w="0" w:type="dxa"/>
          <w:right w:w="10" w:type="dxa"/>
        </w:tblCellMar>
      </w:tblPr>
      <w:tblGrid>
        <w:gridCol w:w="734"/>
        <w:gridCol w:w="1444"/>
        <w:gridCol w:w="1080"/>
        <w:gridCol w:w="2351"/>
        <w:gridCol w:w="1440"/>
        <w:gridCol w:w="4514"/>
        <w:gridCol w:w="1840"/>
      </w:tblGrid>
      <w:tr>
        <w:tblPrEx>
          <w:tblCellMar>
            <w:top w:w="0" w:type="dxa"/>
            <w:left w:w="10" w:type="dxa"/>
            <w:bottom w:w="0" w:type="dxa"/>
            <w:right w:w="10" w:type="dxa"/>
          </w:tblCellMar>
        </w:tblPrEx>
        <w:trPr>
          <w:trHeight w:val="371" w:hRule="exact"/>
        </w:trPr>
        <w:tc>
          <w:tcPr>
            <w:tcW w:w="73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编号</w:t>
            </w:r>
          </w:p>
        </w:tc>
        <w:tc>
          <w:tcPr>
            <w:tcW w:w="144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评价指标</w:t>
            </w:r>
          </w:p>
        </w:tc>
        <w:tc>
          <w:tcPr>
            <w:tcW w:w="108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计量单位</w:t>
            </w:r>
          </w:p>
        </w:tc>
        <w:tc>
          <w:tcPr>
            <w:tcW w:w="2351"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指标涵义</w:t>
            </w:r>
          </w:p>
        </w:tc>
        <w:tc>
          <w:tcPr>
            <w:tcW w:w="1440"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数据来源</w:t>
            </w:r>
          </w:p>
        </w:tc>
        <w:tc>
          <w:tcPr>
            <w:tcW w:w="4514" w:type="dxa"/>
            <w:tcBorders>
              <w:top w:val="single" w:color="auto" w:sz="4" w:space="0"/>
              <w:lef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评价方法与评分规则</w:t>
            </w:r>
          </w:p>
        </w:tc>
        <w:tc>
          <w:tcPr>
            <w:tcW w:w="1840" w:type="dxa"/>
            <w:tcBorders>
              <w:top w:val="single" w:color="auto" w:sz="4" w:space="0"/>
              <w:left w:val="single" w:color="auto" w:sz="4" w:space="0"/>
              <w:right w:val="single" w:color="auto" w:sz="4" w:space="0"/>
            </w:tcBorders>
            <w:shd w:val="clear" w:color="auto" w:fill="FFFFFF"/>
            <w:vAlign w:val="center"/>
          </w:tcPr>
          <w:p>
            <w:pPr>
              <w:jc w:val="center"/>
              <w:rPr>
                <w:rFonts w:cs="宋体"/>
                <w:color w:val="252525"/>
                <w:sz w:val="16"/>
                <w:szCs w:val="16"/>
                <w:lang w:val="zh-TW" w:eastAsia="zh-TW" w:bidi="zh-TW"/>
              </w:rPr>
            </w:pPr>
            <w:r>
              <w:rPr>
                <w:rFonts w:cs="宋体"/>
                <w:color w:val="252525"/>
                <w:sz w:val="16"/>
                <w:szCs w:val="16"/>
                <w:lang w:val="zh-TW" w:eastAsia="zh-TW" w:bidi="zh-TW"/>
              </w:rPr>
              <w:t>适用对象</w:t>
            </w:r>
          </w:p>
        </w:tc>
      </w:tr>
      <w:tr>
        <w:tblPrEx>
          <w:tblCellMar>
            <w:top w:w="0" w:type="dxa"/>
            <w:left w:w="10" w:type="dxa"/>
            <w:bottom w:w="0" w:type="dxa"/>
            <w:right w:w="10" w:type="dxa"/>
          </w:tblCellMar>
        </w:tblPrEx>
        <w:trPr>
          <w:trHeight w:val="2167" w:hRule="exact"/>
        </w:trPr>
        <w:tc>
          <w:tcPr>
            <w:tcW w:w="734" w:type="dxa"/>
            <w:tcBorders>
              <w:top w:val="single" w:color="auto" w:sz="4" w:space="0"/>
              <w:left w:val="single" w:color="auto" w:sz="4" w:space="0"/>
            </w:tcBorders>
            <w:shd w:val="clear" w:color="auto" w:fill="FFFFFF"/>
            <w:vAlign w:val="center"/>
          </w:tcPr>
          <w:p>
            <w:pPr>
              <w:jc w:val="center"/>
              <w:rPr>
                <w:rFonts w:hint="default" w:eastAsia="宋体" w:cs="宋体"/>
                <w:color w:val="252525"/>
                <w:sz w:val="18"/>
                <w:szCs w:val="18"/>
                <w:lang w:val="en-US" w:eastAsia="zh-CN" w:bidi="zh-TW"/>
              </w:rPr>
            </w:pPr>
            <w:r>
              <w:rPr>
                <w:color w:val="252525"/>
                <w:sz w:val="18"/>
                <w:szCs w:val="18"/>
                <w:lang w:eastAsia="en-US" w:bidi="en-US"/>
              </w:rPr>
              <w:t>A</w:t>
            </w:r>
            <w:r>
              <w:rPr>
                <w:rFonts w:hint="eastAsia"/>
                <w:color w:val="252525"/>
                <w:sz w:val="18"/>
                <w:szCs w:val="18"/>
                <w:lang w:val="en-US" w:eastAsia="zh-CN" w:bidi="en-US"/>
              </w:rPr>
              <w:t>81</w:t>
            </w:r>
          </w:p>
        </w:tc>
        <w:tc>
          <w:tcPr>
            <w:tcW w:w="1444" w:type="dxa"/>
            <w:tcBorders>
              <w:top w:val="single" w:color="auto" w:sz="4" w:space="0"/>
              <w:left w:val="single" w:color="auto" w:sz="4" w:space="0"/>
            </w:tcBorders>
            <w:shd w:val="clear" w:color="auto" w:fill="FFFFFF"/>
            <w:vAlign w:val="center"/>
          </w:tcPr>
          <w:p>
            <w:pPr>
              <w:spacing w:line="292" w:lineRule="exact"/>
              <w:jc w:val="left"/>
              <w:rPr>
                <w:rFonts w:cs="宋体"/>
                <w:color w:val="252525"/>
                <w:sz w:val="16"/>
                <w:szCs w:val="16"/>
                <w:lang w:val="zh-TW" w:eastAsia="zh-TW" w:bidi="zh-TW"/>
              </w:rPr>
            </w:pPr>
            <w:r>
              <w:rPr>
                <w:rFonts w:cs="宋体"/>
                <w:color w:val="252525"/>
                <w:sz w:val="16"/>
                <w:szCs w:val="16"/>
                <w:lang w:val="zh-TW" w:eastAsia="zh-TW" w:bidi="zh-TW"/>
              </w:rPr>
              <w:t>项目区群众参与规划方案论证</w:t>
            </w:r>
          </w:p>
        </w:tc>
        <w:tc>
          <w:tcPr>
            <w:tcW w:w="1080" w:type="dxa"/>
            <w:tcBorders>
              <w:top w:val="single" w:color="auto" w:sz="4" w:space="0"/>
              <w:left w:val="single" w:color="auto" w:sz="4" w:space="0"/>
            </w:tcBorders>
            <w:shd w:val="clear" w:color="auto" w:fill="FFFFFF"/>
          </w:tcPr>
          <w:p>
            <w:pPr>
              <w:rPr>
                <w:sz w:val="10"/>
                <w:szCs w:val="10"/>
              </w:rPr>
            </w:pPr>
          </w:p>
        </w:tc>
        <w:tc>
          <w:tcPr>
            <w:tcW w:w="2351" w:type="dxa"/>
            <w:tcBorders>
              <w:top w:val="single" w:color="auto" w:sz="4" w:space="0"/>
              <w:left w:val="single" w:color="auto" w:sz="4" w:space="0"/>
            </w:tcBorders>
            <w:shd w:val="clear" w:color="auto" w:fill="FFFFFF"/>
            <w:vAlign w:val="center"/>
          </w:tcPr>
          <w:p>
            <w:pPr>
              <w:spacing w:line="293" w:lineRule="exact"/>
              <w:jc w:val="left"/>
              <w:rPr>
                <w:rFonts w:hint="eastAsia" w:eastAsia="宋体" w:cs="宋体"/>
                <w:color w:val="252525"/>
                <w:sz w:val="16"/>
                <w:szCs w:val="16"/>
                <w:lang w:val="zh-TW" w:eastAsia="zh-CN" w:bidi="zh-TW"/>
              </w:rPr>
            </w:pPr>
            <w:r>
              <w:rPr>
                <w:rFonts w:cs="宋体"/>
                <w:color w:val="252525"/>
                <w:sz w:val="16"/>
                <w:szCs w:val="16"/>
                <w:lang w:val="zh-TW" w:eastAsia="zh-TW" w:bidi="zh-TW"/>
              </w:rPr>
              <w:t>在项目前期工作和工程施工过程中，土地权益人参与规划方案论证情况</w:t>
            </w:r>
            <w:r>
              <w:rPr>
                <w:rFonts w:hint="eastAsia" w:cs="宋体"/>
                <w:color w:val="252525"/>
                <w:sz w:val="16"/>
                <w:szCs w:val="16"/>
                <w:lang w:val="zh-TW" w:eastAsia="zh-CN" w:bidi="zh-TW"/>
              </w:rPr>
              <w:t>。</w:t>
            </w:r>
          </w:p>
        </w:tc>
        <w:tc>
          <w:tcPr>
            <w:tcW w:w="1440" w:type="dxa"/>
            <w:tcBorders>
              <w:top w:val="single" w:color="auto" w:sz="4" w:space="0"/>
              <w:left w:val="single" w:color="auto" w:sz="4" w:space="0"/>
            </w:tcBorders>
            <w:shd w:val="clear" w:color="auto" w:fill="FFFFFF"/>
            <w:vAlign w:val="center"/>
          </w:tcPr>
          <w:p>
            <w:pPr>
              <w:spacing w:line="302" w:lineRule="exact"/>
              <w:jc w:val="left"/>
              <w:rPr>
                <w:rFonts w:cs="宋体"/>
                <w:color w:val="252525"/>
                <w:sz w:val="16"/>
                <w:szCs w:val="16"/>
                <w:lang w:val="zh-TW" w:eastAsia="zh-TW" w:bidi="zh-TW"/>
              </w:rPr>
            </w:pPr>
            <w:r>
              <w:rPr>
                <w:rFonts w:cs="宋体"/>
                <w:color w:val="252525"/>
                <w:sz w:val="16"/>
                <w:szCs w:val="16"/>
                <w:lang w:val="zh-TW" w:eastAsia="zh-TW" w:bidi="zh-TW"/>
              </w:rPr>
              <w:t>项目公告，调查问卷</w:t>
            </w:r>
          </w:p>
        </w:tc>
        <w:tc>
          <w:tcPr>
            <w:tcW w:w="4514" w:type="dxa"/>
            <w:tcBorders>
              <w:top w:val="single" w:color="auto" w:sz="4" w:space="0"/>
              <w:left w:val="single" w:color="auto" w:sz="4" w:space="0"/>
            </w:tcBorders>
            <w:shd w:val="clear" w:color="auto" w:fill="FFFFFF"/>
            <w:vAlign w:val="center"/>
          </w:tcPr>
          <w:p>
            <w:pPr>
              <w:spacing w:line="295" w:lineRule="exact"/>
              <w:rPr>
                <w:rFonts w:cs="宋体"/>
                <w:color w:val="252525"/>
                <w:sz w:val="16"/>
                <w:szCs w:val="16"/>
                <w:lang w:val="zh-TW" w:eastAsia="zh-TW" w:bidi="zh-TW"/>
              </w:rPr>
            </w:pPr>
            <w:r>
              <w:rPr>
                <w:rFonts w:cs="宋体"/>
                <w:color w:val="252525"/>
                <w:sz w:val="16"/>
                <w:szCs w:val="16"/>
                <w:lang w:val="zh-TW" w:eastAsia="zh-TW" w:bidi="zh-TW"/>
              </w:rPr>
              <w:t>选择项目区，通过问卷调查，分析项目区土地权益人参与规划方案制定、论证的总体情况。调查人员为项目区的成年人</w:t>
            </w:r>
            <w:r>
              <w:rPr>
                <w:rFonts w:cs="宋体"/>
                <w:color w:val="252525"/>
                <w:sz w:val="18"/>
                <w:szCs w:val="18"/>
                <w:lang w:val="zh-TW" w:eastAsia="zh-TW" w:bidi="zh-TW"/>
              </w:rPr>
              <w:t>（</w:t>
            </w:r>
            <w:r>
              <w:rPr>
                <w:color w:val="252525"/>
                <w:sz w:val="18"/>
                <w:szCs w:val="18"/>
                <w:lang w:val="zh-TW" w:eastAsia="zh-TW" w:bidi="zh-TW"/>
              </w:rPr>
              <w:t>18</w:t>
            </w:r>
            <w:r>
              <w:rPr>
                <w:rFonts w:cs="宋体"/>
                <w:color w:val="252525"/>
                <w:sz w:val="16"/>
                <w:szCs w:val="16"/>
                <w:lang w:val="zh-TW" w:eastAsia="zh-TW" w:bidi="zh-TW"/>
              </w:rPr>
              <w:t>岁以上）。对于年度和规划期的评价，应抽样调查项目进行评价。</w:t>
            </w:r>
          </w:p>
          <w:p>
            <w:pPr>
              <w:spacing w:line="295" w:lineRule="exact"/>
              <w:rPr>
                <w:rFonts w:cs="宋体"/>
                <w:color w:val="252525"/>
                <w:sz w:val="16"/>
                <w:szCs w:val="16"/>
                <w:lang w:val="zh-TW" w:eastAsia="zh-TW" w:bidi="zh-TW"/>
              </w:rPr>
            </w:pPr>
            <w:r>
              <w:rPr>
                <w:rFonts w:cs="宋体"/>
                <w:color w:val="252525"/>
                <w:sz w:val="16"/>
                <w:szCs w:val="16"/>
                <w:lang w:val="zh-TW" w:eastAsia="zh-TW" w:bidi="zh-TW"/>
              </w:rPr>
              <w:t>按照调查人员参与规划方案制定的人数占被调查总人数的比值进行评价，评分釆用五分制</w:t>
            </w:r>
          </w:p>
        </w:tc>
        <w:tc>
          <w:tcPr>
            <w:tcW w:w="1840"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2167" w:hRule="exact"/>
        </w:trPr>
        <w:tc>
          <w:tcPr>
            <w:tcW w:w="734" w:type="dxa"/>
            <w:tcBorders>
              <w:top w:val="single" w:color="auto" w:sz="4" w:space="0"/>
              <w:left w:val="single" w:color="auto" w:sz="4" w:space="0"/>
            </w:tcBorders>
            <w:shd w:val="clear" w:color="auto" w:fill="FFFFFF"/>
            <w:vAlign w:val="center"/>
          </w:tcPr>
          <w:p>
            <w:pPr>
              <w:jc w:val="center"/>
              <w:rPr>
                <w:rFonts w:hint="eastAsia" w:eastAsia="宋体" w:cs="宋体"/>
                <w:color w:val="252525"/>
                <w:sz w:val="18"/>
                <w:szCs w:val="18"/>
                <w:lang w:val="zh-TW" w:eastAsia="zh-CN" w:bidi="zh-TW"/>
              </w:rPr>
            </w:pPr>
            <w:r>
              <w:rPr>
                <w:color w:val="252525"/>
                <w:sz w:val="18"/>
                <w:szCs w:val="18"/>
                <w:lang w:eastAsia="en-US" w:bidi="en-US"/>
              </w:rPr>
              <w:t>A8</w:t>
            </w:r>
            <w:r>
              <w:rPr>
                <w:rFonts w:hint="eastAsia"/>
                <w:color w:val="252525"/>
                <w:sz w:val="18"/>
                <w:szCs w:val="18"/>
                <w:lang w:val="en-US" w:eastAsia="zh-CN" w:bidi="en-US"/>
              </w:rPr>
              <w:t>2</w:t>
            </w:r>
          </w:p>
        </w:tc>
        <w:tc>
          <w:tcPr>
            <w:tcW w:w="1444" w:type="dxa"/>
            <w:tcBorders>
              <w:top w:val="single" w:color="auto" w:sz="4" w:space="0"/>
              <w:left w:val="single" w:color="auto" w:sz="4" w:space="0"/>
            </w:tcBorders>
            <w:shd w:val="clear" w:color="auto" w:fill="FFFFFF"/>
            <w:vAlign w:val="center"/>
          </w:tcPr>
          <w:p>
            <w:pPr>
              <w:spacing w:line="288" w:lineRule="exact"/>
              <w:jc w:val="left"/>
              <w:rPr>
                <w:rFonts w:cs="宋体"/>
                <w:color w:val="252525"/>
                <w:sz w:val="16"/>
                <w:szCs w:val="16"/>
                <w:lang w:val="zh-TW" w:eastAsia="zh-TW" w:bidi="zh-TW"/>
              </w:rPr>
            </w:pPr>
            <w:r>
              <w:rPr>
                <w:rFonts w:cs="宋体"/>
                <w:color w:val="252525"/>
                <w:sz w:val="16"/>
                <w:szCs w:val="16"/>
                <w:lang w:val="zh-TW" w:eastAsia="zh-TW" w:bidi="zh-TW"/>
              </w:rPr>
              <w:t>项目区群众参与工程施工</w:t>
            </w:r>
          </w:p>
        </w:tc>
        <w:tc>
          <w:tcPr>
            <w:tcW w:w="1080" w:type="dxa"/>
            <w:tcBorders>
              <w:top w:val="single" w:color="auto" w:sz="4" w:space="0"/>
              <w:left w:val="single" w:color="auto" w:sz="4" w:space="0"/>
            </w:tcBorders>
            <w:shd w:val="clear" w:color="auto" w:fill="FFFFFF"/>
          </w:tcPr>
          <w:p>
            <w:pPr>
              <w:rPr>
                <w:sz w:val="10"/>
                <w:szCs w:val="10"/>
              </w:rPr>
            </w:pPr>
          </w:p>
        </w:tc>
        <w:tc>
          <w:tcPr>
            <w:tcW w:w="2351" w:type="dxa"/>
            <w:tcBorders>
              <w:top w:val="single" w:color="auto" w:sz="4" w:space="0"/>
              <w:left w:val="single" w:color="auto" w:sz="4" w:space="0"/>
            </w:tcBorders>
            <w:shd w:val="clear" w:color="auto" w:fill="FFFFFF"/>
            <w:vAlign w:val="center"/>
          </w:tcPr>
          <w:p>
            <w:pPr>
              <w:spacing w:line="295" w:lineRule="exact"/>
              <w:jc w:val="left"/>
              <w:rPr>
                <w:rFonts w:hint="eastAsia" w:eastAsia="宋体" w:cs="宋体"/>
                <w:color w:val="252525"/>
                <w:sz w:val="16"/>
                <w:szCs w:val="16"/>
                <w:lang w:val="zh-TW" w:eastAsia="zh-CN" w:bidi="zh-TW"/>
              </w:rPr>
            </w:pPr>
            <w:r>
              <w:rPr>
                <w:rFonts w:cs="宋体"/>
                <w:color w:val="252525"/>
                <w:sz w:val="16"/>
                <w:szCs w:val="16"/>
                <w:lang w:val="zh-TW" w:eastAsia="zh-TW" w:bidi="zh-TW"/>
              </w:rPr>
              <w:t>在工程施工过程中，项目区土地权益人参与工程施工的人数比例</w:t>
            </w:r>
            <w:r>
              <w:rPr>
                <w:rFonts w:hint="eastAsia" w:cs="宋体"/>
                <w:color w:val="252525"/>
                <w:sz w:val="16"/>
                <w:szCs w:val="16"/>
                <w:lang w:val="zh-TW" w:eastAsia="zh-CN" w:bidi="zh-TW"/>
              </w:rPr>
              <w:t>。</w:t>
            </w:r>
          </w:p>
        </w:tc>
        <w:tc>
          <w:tcPr>
            <w:tcW w:w="1440" w:type="dxa"/>
            <w:tcBorders>
              <w:top w:val="single" w:color="auto" w:sz="4" w:space="0"/>
              <w:left w:val="single" w:color="auto" w:sz="4" w:space="0"/>
            </w:tcBorders>
            <w:shd w:val="clear" w:color="auto" w:fill="FFFFFF"/>
            <w:vAlign w:val="center"/>
          </w:tcPr>
          <w:p>
            <w:pPr>
              <w:spacing w:line="302" w:lineRule="exact"/>
              <w:jc w:val="left"/>
              <w:rPr>
                <w:rFonts w:cs="宋体"/>
                <w:color w:val="252525"/>
                <w:sz w:val="16"/>
                <w:szCs w:val="16"/>
                <w:lang w:val="zh-TW" w:eastAsia="zh-TW" w:bidi="zh-TW"/>
              </w:rPr>
            </w:pPr>
            <w:r>
              <w:rPr>
                <w:rFonts w:cs="宋体"/>
                <w:color w:val="252525"/>
                <w:sz w:val="16"/>
                <w:szCs w:val="16"/>
                <w:lang w:val="zh-TW" w:eastAsia="zh-TW" w:bidi="zh-TW"/>
              </w:rPr>
              <w:t>项目公吿，调查问卷</w:t>
            </w:r>
          </w:p>
        </w:tc>
        <w:tc>
          <w:tcPr>
            <w:tcW w:w="4514" w:type="dxa"/>
            <w:tcBorders>
              <w:top w:val="single" w:color="auto" w:sz="4" w:space="0"/>
              <w:left w:val="single" w:color="auto" w:sz="4" w:space="0"/>
            </w:tcBorders>
            <w:shd w:val="clear" w:color="auto" w:fill="FFFFFF"/>
            <w:vAlign w:val="center"/>
          </w:tcPr>
          <w:p>
            <w:pPr>
              <w:spacing w:line="298" w:lineRule="exact"/>
              <w:rPr>
                <w:rFonts w:cs="宋体"/>
                <w:color w:val="252525"/>
                <w:sz w:val="16"/>
                <w:szCs w:val="16"/>
                <w:lang w:val="zh-TW" w:eastAsia="zh-TW" w:bidi="zh-TW"/>
              </w:rPr>
            </w:pPr>
            <w:r>
              <w:rPr>
                <w:rFonts w:cs="宋体"/>
                <w:color w:val="252525"/>
                <w:sz w:val="16"/>
                <w:szCs w:val="16"/>
                <w:lang w:val="zh-TW" w:eastAsia="zh-TW" w:bidi="zh-TW"/>
              </w:rPr>
              <w:t>选择项目区，通过问卷调查，分析项目区土地权益人参与工程施工的总体情况。调查人员为项目区</w:t>
            </w:r>
            <w:r>
              <w:rPr>
                <w:color w:val="252525"/>
                <w:sz w:val="18"/>
                <w:szCs w:val="18"/>
                <w:lang w:val="zh-TW" w:eastAsia="zh-TW" w:bidi="zh-TW"/>
              </w:rPr>
              <w:t>18</w:t>
            </w:r>
            <w:r>
              <w:rPr>
                <w:rFonts w:cs="宋体"/>
                <w:color w:val="252525"/>
                <w:sz w:val="18"/>
                <w:szCs w:val="18"/>
                <w:lang w:val="zh-TW" w:eastAsia="zh-TW" w:bidi="zh-TW"/>
              </w:rPr>
              <w:t>〜</w:t>
            </w:r>
            <w:r>
              <w:rPr>
                <w:color w:val="252525"/>
                <w:sz w:val="18"/>
                <w:szCs w:val="18"/>
                <w:lang w:val="zh-TW" w:eastAsia="zh-TW" w:bidi="zh-TW"/>
              </w:rPr>
              <w:t>60</w:t>
            </w:r>
            <w:r>
              <w:rPr>
                <w:rFonts w:cs="宋体"/>
                <w:color w:val="252525"/>
                <w:sz w:val="16"/>
                <w:szCs w:val="16"/>
                <w:lang w:val="zh-TW" w:eastAsia="zh-TW" w:bidi="zh-TW"/>
              </w:rPr>
              <w:t>岁的劳动力。对于年度和规划期的评价，应抽样调查项目进行评价。</w:t>
            </w:r>
          </w:p>
          <w:p>
            <w:pPr>
              <w:spacing w:line="298" w:lineRule="exact"/>
              <w:rPr>
                <w:rFonts w:cs="宋体"/>
                <w:color w:val="252525"/>
                <w:sz w:val="16"/>
                <w:szCs w:val="16"/>
                <w:lang w:val="zh-TW" w:eastAsia="zh-TW" w:bidi="zh-TW"/>
              </w:rPr>
            </w:pPr>
            <w:r>
              <w:rPr>
                <w:rFonts w:cs="宋体"/>
                <w:color w:val="252525"/>
                <w:sz w:val="16"/>
                <w:szCs w:val="16"/>
                <w:lang w:val="zh-TW" w:eastAsia="zh-TW" w:bidi="zh-TW"/>
              </w:rPr>
              <w:t>按照调查人员参与工程施工的人数占被调查总人数的比值进行评价，评分釆用五分制</w:t>
            </w:r>
          </w:p>
        </w:tc>
        <w:tc>
          <w:tcPr>
            <w:tcW w:w="1840" w:type="dxa"/>
            <w:tcBorders>
              <w:top w:val="single" w:color="auto" w:sz="4" w:space="0"/>
              <w:left w:val="single" w:color="auto" w:sz="4" w:space="0"/>
              <w:right w:val="single" w:color="auto" w:sz="4" w:space="0"/>
            </w:tcBorders>
            <w:shd w:val="clear" w:color="auto" w:fill="FFFFFF"/>
            <w:vAlign w:val="center"/>
          </w:tcPr>
          <w:p>
            <w:pPr>
              <w:jc w:val="left"/>
              <w:rPr>
                <w:rFonts w:cs="宋体"/>
                <w:color w:val="252525"/>
                <w:sz w:val="16"/>
                <w:szCs w:val="16"/>
                <w:lang w:val="zh-TW" w:eastAsia="zh-TW" w:bidi="zh-TW"/>
              </w:rPr>
            </w:pPr>
            <w:r>
              <w:rPr>
                <w:rFonts w:cs="宋体"/>
                <w:color w:val="252525"/>
                <w:sz w:val="16"/>
                <w:szCs w:val="16"/>
                <w:lang w:val="zh-TW" w:eastAsia="zh-TW" w:bidi="zh-TW"/>
              </w:rPr>
              <w:t>项目/年度/规划期</w:t>
            </w:r>
          </w:p>
        </w:tc>
      </w:tr>
      <w:tr>
        <w:tblPrEx>
          <w:tblCellMar>
            <w:top w:w="0" w:type="dxa"/>
            <w:left w:w="10" w:type="dxa"/>
            <w:bottom w:w="0" w:type="dxa"/>
            <w:right w:w="10" w:type="dxa"/>
          </w:tblCellMar>
        </w:tblPrEx>
        <w:trPr>
          <w:trHeight w:val="1267" w:hRule="exact"/>
        </w:trPr>
        <w:tc>
          <w:tcPr>
            <w:tcW w:w="13403"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spacing w:line="295" w:lineRule="exact"/>
              <w:ind w:firstLine="460"/>
              <w:jc w:val="left"/>
              <w:rPr>
                <w:rFonts w:cs="宋体"/>
                <w:color w:val="252525"/>
                <w:sz w:val="16"/>
                <w:szCs w:val="16"/>
                <w:lang w:val="zh-TW" w:eastAsia="zh-TW" w:bidi="zh-TW"/>
              </w:rPr>
            </w:pPr>
            <w:r>
              <w:rPr>
                <w:rFonts w:cs="宋体"/>
                <w:color w:val="252525"/>
                <w:sz w:val="16"/>
                <w:szCs w:val="16"/>
                <w:lang w:val="zh-TW" w:eastAsia="zh-TW" w:bidi="zh-TW"/>
              </w:rPr>
              <w:t>注</w:t>
            </w:r>
            <w:r>
              <w:rPr>
                <w:color w:val="252525"/>
                <w:sz w:val="18"/>
                <w:szCs w:val="18"/>
                <w:lang w:val="zh-TW" w:eastAsia="zh-TW" w:bidi="zh-TW"/>
              </w:rPr>
              <w:t>1</w:t>
            </w:r>
            <w:r>
              <w:rPr>
                <w:rFonts w:cs="宋体"/>
                <w:color w:val="252525"/>
                <w:sz w:val="18"/>
                <w:szCs w:val="18"/>
                <w:lang w:val="zh-TW" w:eastAsia="zh-TW" w:bidi="zh-TW"/>
              </w:rPr>
              <w:t>：</w:t>
            </w:r>
            <w:r>
              <w:rPr>
                <w:rFonts w:cs="宋体"/>
                <w:color w:val="252525"/>
                <w:sz w:val="16"/>
                <w:szCs w:val="16"/>
                <w:lang w:val="zh-TW" w:eastAsia="zh-TW" w:bidi="zh-TW"/>
              </w:rPr>
              <w:t>评价指标后带</w:t>
            </w:r>
            <w:r>
              <w:rPr>
                <w:rFonts w:hint="eastAsia" w:cs="宋体"/>
                <w:color w:val="252525"/>
                <w:sz w:val="16"/>
                <w:szCs w:val="16"/>
                <w:lang w:val="zh-TW" w:bidi="zh-TW"/>
              </w:rPr>
              <w:t>“</w:t>
            </w:r>
            <w:r>
              <w:rPr>
                <w:rFonts w:cs="宋体"/>
                <w:color w:val="252525"/>
                <w:sz w:val="16"/>
                <w:szCs w:val="16"/>
                <w:lang w:eastAsia="en-US" w:bidi="en-US"/>
              </w:rPr>
              <w:t>*</w:t>
            </w:r>
            <w:r>
              <w:rPr>
                <w:rFonts w:hint="eastAsia" w:cs="宋体"/>
                <w:color w:val="252525"/>
                <w:sz w:val="16"/>
                <w:szCs w:val="16"/>
                <w:lang w:bidi="en-US"/>
              </w:rPr>
              <w:t>”</w:t>
            </w:r>
            <w:r>
              <w:rPr>
                <w:rFonts w:cs="宋体"/>
                <w:color w:val="252525"/>
                <w:sz w:val="16"/>
                <w:szCs w:val="16"/>
                <w:lang w:val="zh-CN" w:bidi="zh-CN"/>
              </w:rPr>
              <w:t>，为</w:t>
            </w:r>
            <w:r>
              <w:rPr>
                <w:rFonts w:cs="宋体"/>
                <w:color w:val="252525"/>
                <w:sz w:val="16"/>
                <w:szCs w:val="16"/>
                <w:lang w:val="zh-TW" w:eastAsia="zh-TW" w:bidi="zh-TW"/>
              </w:rPr>
              <w:t>必选指标。必选指标评价采用五分制，备选指标评价采用二分制。</w:t>
            </w:r>
          </w:p>
          <w:p>
            <w:pPr>
              <w:spacing w:line="295" w:lineRule="exact"/>
              <w:ind w:left="460"/>
              <w:jc w:val="left"/>
              <w:rPr>
                <w:rFonts w:cs="宋体"/>
                <w:color w:val="252525"/>
                <w:sz w:val="16"/>
                <w:szCs w:val="16"/>
                <w:lang w:val="zh-TW" w:eastAsia="zh-TW" w:bidi="zh-TW"/>
              </w:rPr>
            </w:pPr>
            <w:r>
              <w:rPr>
                <w:rFonts w:cs="宋体"/>
                <w:color w:val="252525"/>
                <w:sz w:val="16"/>
                <w:szCs w:val="16"/>
                <w:lang w:val="zh-TW" w:eastAsia="zh-TW" w:bidi="zh-TW"/>
              </w:rPr>
              <w:t>注</w:t>
            </w:r>
            <w:r>
              <w:rPr>
                <w:color w:val="252525"/>
                <w:sz w:val="18"/>
                <w:szCs w:val="18"/>
                <w:lang w:val="zh-TW" w:eastAsia="zh-TW" w:bidi="zh-TW"/>
              </w:rPr>
              <w:t>2:</w:t>
            </w:r>
            <w:r>
              <w:rPr>
                <w:rFonts w:cs="宋体"/>
                <w:color w:val="252525"/>
                <w:sz w:val="16"/>
                <w:szCs w:val="16"/>
                <w:lang w:val="zh-TW" w:eastAsia="zh-TW" w:bidi="zh-TW"/>
              </w:rPr>
              <w:t>评价分值釆用五分制时</w:t>
            </w:r>
            <w:r>
              <w:rPr>
                <w:rFonts w:cs="宋体"/>
                <w:color w:val="252525"/>
                <w:sz w:val="18"/>
                <w:szCs w:val="18"/>
                <w:lang w:val="zh-TW" w:eastAsia="zh-TW" w:bidi="zh-TW"/>
              </w:rPr>
              <w:t>，</w:t>
            </w:r>
            <w:r>
              <w:rPr>
                <w:color w:val="252525"/>
                <w:sz w:val="18"/>
                <w:szCs w:val="18"/>
                <w:lang w:val="zh-TW" w:eastAsia="zh-TW" w:bidi="zh-TW"/>
              </w:rPr>
              <w:t>5</w:t>
            </w:r>
            <w:r>
              <w:rPr>
                <w:rFonts w:cs="宋体"/>
                <w:color w:val="252525"/>
                <w:sz w:val="16"/>
                <w:szCs w:val="16"/>
                <w:lang w:val="zh-TW" w:eastAsia="zh-TW" w:bidi="zh-TW"/>
              </w:rPr>
              <w:t>分、</w:t>
            </w:r>
            <w:r>
              <w:rPr>
                <w:color w:val="252525"/>
                <w:sz w:val="18"/>
                <w:szCs w:val="18"/>
                <w:lang w:val="zh-TW" w:eastAsia="zh-TW" w:bidi="zh-TW"/>
              </w:rPr>
              <w:t>4</w:t>
            </w:r>
            <w:r>
              <w:rPr>
                <w:rFonts w:cs="宋体"/>
                <w:color w:val="252525"/>
                <w:sz w:val="16"/>
                <w:szCs w:val="16"/>
                <w:lang w:val="zh-TW" w:eastAsia="zh-TW" w:bidi="zh-TW"/>
              </w:rPr>
              <w:t>分、</w:t>
            </w:r>
            <w:r>
              <w:rPr>
                <w:color w:val="252525"/>
                <w:sz w:val="18"/>
                <w:szCs w:val="18"/>
                <w:lang w:val="zh-TW" w:eastAsia="zh-TW" w:bidi="zh-TW"/>
              </w:rPr>
              <w:t>3</w:t>
            </w:r>
            <w:r>
              <w:rPr>
                <w:rFonts w:cs="宋体"/>
                <w:color w:val="252525"/>
                <w:sz w:val="16"/>
                <w:szCs w:val="16"/>
                <w:lang w:val="zh-TW" w:eastAsia="zh-TW" w:bidi="zh-TW"/>
              </w:rPr>
              <w:t>分、</w:t>
            </w:r>
            <w:r>
              <w:rPr>
                <w:color w:val="252525"/>
                <w:sz w:val="18"/>
                <w:szCs w:val="18"/>
                <w:lang w:val="zh-TW" w:eastAsia="zh-TW" w:bidi="zh-TW"/>
              </w:rPr>
              <w:t>2</w:t>
            </w:r>
            <w:r>
              <w:rPr>
                <w:rFonts w:cs="宋体"/>
                <w:color w:val="252525"/>
                <w:sz w:val="16"/>
                <w:szCs w:val="16"/>
                <w:lang w:val="zh-TW" w:eastAsia="zh-TW" w:bidi="zh-TW"/>
              </w:rPr>
              <w:t>分、</w:t>
            </w:r>
            <w:r>
              <w:rPr>
                <w:color w:val="252525"/>
                <w:sz w:val="18"/>
                <w:szCs w:val="18"/>
                <w:lang w:val="zh-TW" w:eastAsia="zh-TW" w:bidi="zh-TW"/>
              </w:rPr>
              <w:t>1</w:t>
            </w:r>
            <w:r>
              <w:rPr>
                <w:rFonts w:cs="宋体"/>
                <w:color w:val="252525"/>
                <w:sz w:val="16"/>
                <w:szCs w:val="16"/>
                <w:lang w:val="zh-TW" w:eastAsia="zh-TW" w:bidi="zh-TW"/>
              </w:rPr>
              <w:t>分对应的百分值为</w:t>
            </w:r>
            <w:r>
              <w:rPr>
                <w:color w:val="252525"/>
                <w:sz w:val="18"/>
                <w:szCs w:val="18"/>
                <w:lang w:val="zh-TW" w:eastAsia="zh-TW" w:bidi="zh-TW"/>
              </w:rPr>
              <w:t>100</w:t>
            </w:r>
            <w:r>
              <w:rPr>
                <w:rFonts w:cs="宋体"/>
                <w:color w:val="252525"/>
                <w:sz w:val="16"/>
                <w:szCs w:val="16"/>
                <w:lang w:val="zh-TW" w:eastAsia="zh-TW" w:bidi="zh-TW"/>
              </w:rPr>
              <w:t>分〜</w:t>
            </w:r>
            <w:r>
              <w:rPr>
                <w:color w:val="252525"/>
                <w:sz w:val="18"/>
                <w:szCs w:val="18"/>
                <w:lang w:val="zh-TW" w:eastAsia="zh-TW" w:bidi="zh-TW"/>
              </w:rPr>
              <w:t>81</w:t>
            </w:r>
            <w:r>
              <w:rPr>
                <w:rFonts w:cs="宋体"/>
                <w:color w:val="252525"/>
                <w:sz w:val="16"/>
                <w:szCs w:val="16"/>
                <w:lang w:val="zh-TW" w:eastAsia="zh-TW" w:bidi="zh-TW"/>
              </w:rPr>
              <w:t>分、</w:t>
            </w:r>
            <w:r>
              <w:rPr>
                <w:color w:val="252525"/>
                <w:sz w:val="18"/>
                <w:szCs w:val="18"/>
                <w:lang w:val="zh-TW" w:eastAsia="zh-TW" w:bidi="zh-TW"/>
              </w:rPr>
              <w:t>80</w:t>
            </w:r>
            <w:r>
              <w:rPr>
                <w:rFonts w:cs="宋体"/>
                <w:color w:val="252525"/>
                <w:sz w:val="16"/>
                <w:szCs w:val="16"/>
                <w:lang w:val="zh-TW" w:eastAsia="zh-TW" w:bidi="zh-TW"/>
              </w:rPr>
              <w:t>分〜</w:t>
            </w:r>
            <w:r>
              <w:rPr>
                <w:color w:val="252525"/>
                <w:sz w:val="18"/>
                <w:szCs w:val="18"/>
                <w:lang w:val="zh-TW" w:eastAsia="zh-TW" w:bidi="zh-TW"/>
              </w:rPr>
              <w:t>61</w:t>
            </w:r>
            <w:r>
              <w:rPr>
                <w:rFonts w:cs="宋体"/>
                <w:color w:val="252525"/>
                <w:sz w:val="16"/>
                <w:szCs w:val="16"/>
                <w:lang w:val="zh-TW" w:eastAsia="zh-TW" w:bidi="zh-TW"/>
              </w:rPr>
              <w:t>分、</w:t>
            </w:r>
            <w:r>
              <w:rPr>
                <w:color w:val="252525"/>
                <w:sz w:val="18"/>
                <w:szCs w:val="18"/>
                <w:lang w:val="zh-TW" w:eastAsia="zh-TW" w:bidi="zh-TW"/>
              </w:rPr>
              <w:t>60</w:t>
            </w:r>
            <w:r>
              <w:rPr>
                <w:rFonts w:cs="宋体"/>
                <w:color w:val="252525"/>
                <w:sz w:val="16"/>
                <w:szCs w:val="16"/>
                <w:lang w:val="zh-TW" w:eastAsia="zh-TW" w:bidi="zh-TW"/>
              </w:rPr>
              <w:t>分〜</w:t>
            </w:r>
            <w:r>
              <w:rPr>
                <w:color w:val="252525"/>
                <w:sz w:val="18"/>
                <w:szCs w:val="18"/>
                <w:lang w:val="zh-TW" w:eastAsia="zh-TW" w:bidi="zh-TW"/>
              </w:rPr>
              <w:t>41</w:t>
            </w:r>
            <w:r>
              <w:rPr>
                <w:rFonts w:cs="宋体"/>
                <w:color w:val="252525"/>
                <w:sz w:val="16"/>
                <w:szCs w:val="16"/>
                <w:lang w:val="zh-TW" w:eastAsia="zh-TW" w:bidi="zh-TW"/>
              </w:rPr>
              <w:t>分、</w:t>
            </w:r>
            <w:r>
              <w:rPr>
                <w:color w:val="252525"/>
                <w:sz w:val="18"/>
                <w:szCs w:val="18"/>
                <w:lang w:val="zh-TW" w:eastAsia="zh-TW" w:bidi="zh-TW"/>
              </w:rPr>
              <w:t>40</w:t>
            </w:r>
            <w:r>
              <w:rPr>
                <w:rFonts w:cs="宋体"/>
                <w:color w:val="252525"/>
                <w:sz w:val="16"/>
                <w:szCs w:val="16"/>
                <w:lang w:val="zh-TW" w:eastAsia="zh-TW" w:bidi="zh-TW"/>
              </w:rPr>
              <w:t>分〜</w:t>
            </w:r>
            <w:r>
              <w:rPr>
                <w:color w:val="252525"/>
                <w:sz w:val="18"/>
                <w:szCs w:val="18"/>
                <w:lang w:val="zh-TW" w:eastAsia="zh-TW" w:bidi="zh-TW"/>
              </w:rPr>
              <w:t>21</w:t>
            </w:r>
            <w:r>
              <w:rPr>
                <w:rFonts w:cs="宋体"/>
                <w:color w:val="252525"/>
                <w:sz w:val="16"/>
                <w:szCs w:val="16"/>
                <w:lang w:val="zh-TW" w:eastAsia="zh-TW" w:bidi="zh-TW"/>
              </w:rPr>
              <w:t>分、</w:t>
            </w:r>
            <w:r>
              <w:rPr>
                <w:color w:val="252525"/>
                <w:sz w:val="18"/>
                <w:szCs w:val="18"/>
                <w:lang w:val="zh-TW" w:eastAsia="zh-TW" w:bidi="zh-TW"/>
              </w:rPr>
              <w:t>20</w:t>
            </w:r>
            <w:r>
              <w:rPr>
                <w:rFonts w:cs="宋体"/>
                <w:color w:val="252525"/>
                <w:sz w:val="16"/>
                <w:szCs w:val="16"/>
                <w:lang w:val="zh-TW" w:eastAsia="zh-TW" w:bidi="zh-TW"/>
              </w:rPr>
              <w:t>分〜</w:t>
            </w:r>
            <w:r>
              <w:rPr>
                <w:color w:val="252525"/>
                <w:sz w:val="18"/>
                <w:szCs w:val="18"/>
                <w:lang w:val="zh-TW" w:eastAsia="zh-TW" w:bidi="zh-TW"/>
              </w:rPr>
              <w:t>0</w:t>
            </w:r>
            <w:r>
              <w:rPr>
                <w:rFonts w:cs="宋体"/>
                <w:color w:val="252525"/>
                <w:sz w:val="16"/>
                <w:szCs w:val="16"/>
                <w:lang w:val="zh-TW" w:eastAsia="zh-TW" w:bidi="zh-TW"/>
              </w:rPr>
              <w:t>分。 注</w:t>
            </w:r>
            <w:r>
              <w:rPr>
                <w:color w:val="252525"/>
                <w:sz w:val="18"/>
                <w:szCs w:val="18"/>
                <w:lang w:val="zh-TW" w:eastAsia="zh-TW" w:bidi="zh-TW"/>
              </w:rPr>
              <w:t>3</w:t>
            </w:r>
            <w:r>
              <w:rPr>
                <w:rFonts w:cs="宋体"/>
                <w:color w:val="252525"/>
                <w:sz w:val="18"/>
                <w:szCs w:val="18"/>
                <w:lang w:val="zh-TW" w:eastAsia="zh-TW" w:bidi="zh-TW"/>
              </w:rPr>
              <w:t>：</w:t>
            </w:r>
            <w:r>
              <w:rPr>
                <w:rFonts w:cs="宋体"/>
                <w:color w:val="252525"/>
                <w:sz w:val="16"/>
                <w:szCs w:val="16"/>
                <w:lang w:val="zh-TW" w:eastAsia="zh-TW" w:bidi="zh-TW"/>
              </w:rPr>
              <w:t>评价分值采用二分制时</w:t>
            </w:r>
            <w:r>
              <w:rPr>
                <w:color w:val="252525"/>
                <w:sz w:val="18"/>
                <w:szCs w:val="18"/>
                <w:lang w:val="zh-TW" w:eastAsia="zh-TW" w:bidi="zh-TW"/>
              </w:rPr>
              <w:t>,1</w:t>
            </w:r>
            <w:r>
              <w:rPr>
                <w:rFonts w:cs="宋体"/>
                <w:color w:val="252525"/>
                <w:sz w:val="16"/>
                <w:szCs w:val="16"/>
                <w:lang w:val="zh-TW" w:eastAsia="zh-TW" w:bidi="zh-TW"/>
              </w:rPr>
              <w:t>分、</w:t>
            </w:r>
            <w:r>
              <w:rPr>
                <w:color w:val="252525"/>
                <w:sz w:val="18"/>
                <w:szCs w:val="18"/>
                <w:lang w:val="zh-TW" w:eastAsia="zh-TW" w:bidi="zh-TW"/>
              </w:rPr>
              <w:t>0</w:t>
            </w:r>
            <w:r>
              <w:rPr>
                <w:rFonts w:cs="宋体"/>
                <w:color w:val="252525"/>
                <w:sz w:val="16"/>
                <w:szCs w:val="16"/>
                <w:lang w:val="zh-TW" w:eastAsia="zh-TW" w:bidi="zh-TW"/>
              </w:rPr>
              <w:t>分对应的百分值为</w:t>
            </w:r>
            <w:r>
              <w:rPr>
                <w:color w:val="252525"/>
                <w:sz w:val="18"/>
                <w:szCs w:val="18"/>
                <w:lang w:val="zh-TW" w:eastAsia="zh-TW" w:bidi="zh-TW"/>
              </w:rPr>
              <w:t>100</w:t>
            </w:r>
            <w:r>
              <w:rPr>
                <w:rFonts w:cs="宋体"/>
                <w:color w:val="252525"/>
                <w:sz w:val="16"/>
                <w:szCs w:val="16"/>
                <w:lang w:val="zh-TW" w:eastAsia="zh-TW" w:bidi="zh-TW"/>
              </w:rPr>
              <w:t>分</w:t>
            </w:r>
            <w:r>
              <w:rPr>
                <w:color w:val="252525"/>
                <w:sz w:val="18"/>
                <w:szCs w:val="18"/>
                <w:lang w:val="zh-TW" w:eastAsia="zh-TW" w:bidi="zh-TW"/>
              </w:rPr>
              <w:t>,0</w:t>
            </w:r>
            <w:r>
              <w:rPr>
                <w:rFonts w:cs="宋体"/>
                <w:color w:val="252525"/>
                <w:sz w:val="16"/>
                <w:szCs w:val="16"/>
                <w:lang w:val="zh-TW" w:eastAsia="zh-TW" w:bidi="zh-TW"/>
              </w:rPr>
              <w:t>分。</w:t>
            </w:r>
          </w:p>
        </w:tc>
      </w:tr>
    </w:tbl>
    <w:p>
      <w:pPr>
        <w:pStyle w:val="47"/>
        <w:sectPr>
          <w:pgSz w:w="16838" w:h="11906" w:orient="landscape"/>
          <w:pgMar w:top="1134" w:right="2410" w:bottom="1134" w:left="1134" w:header="1418" w:footer="1134" w:gutter="284"/>
          <w:cols w:space="425" w:num="1"/>
          <w:formProt w:val="0"/>
          <w:docGrid w:linePitch="312" w:charSpace="0"/>
        </w:sectPr>
      </w:pPr>
    </w:p>
    <w:p>
      <w:pPr>
        <w:jc w:val="center"/>
        <w:outlineLvl w:val="0"/>
        <w:rPr>
          <w:rFonts w:ascii="黑体" w:eastAsia="黑体"/>
        </w:rPr>
      </w:pPr>
      <w:bookmarkStart w:id="93" w:name="_Toc32495"/>
      <w:bookmarkStart w:id="94" w:name="_Toc26281"/>
      <w:r>
        <w:rPr>
          <w:rFonts w:hint="eastAsia" w:ascii="黑体" w:hAnsi="黑体" w:eastAsia="黑体"/>
          <w:color w:val="000000"/>
          <w:szCs w:val="21"/>
          <w:lang w:val="zh-TW" w:eastAsia="zh-TW"/>
        </w:rPr>
        <w:t>附录</w:t>
      </w:r>
      <w:r>
        <w:rPr>
          <w:rFonts w:hint="eastAsia" w:ascii="黑体" w:hAnsi="黑体" w:eastAsia="黑体"/>
          <w:color w:val="000000"/>
          <w:szCs w:val="21"/>
          <w:lang w:eastAsia="en-US"/>
        </w:rPr>
        <w:t>D</w:t>
      </w:r>
      <w:bookmarkEnd w:id="93"/>
      <w:r>
        <w:rPr>
          <w:rFonts w:ascii="黑体" w:eastAsia="黑体"/>
        </w:rPr>
        <w:br w:type="textWrapping"/>
      </w:r>
      <w:r>
        <w:rPr>
          <w:rFonts w:ascii="黑体" w:eastAsia="黑体"/>
        </w:rPr>
        <w:t>（规范性）</w:t>
      </w:r>
      <w:r>
        <w:rPr>
          <w:rFonts w:ascii="黑体" w:eastAsia="黑体"/>
        </w:rPr>
        <w:br w:type="textWrapping"/>
      </w:r>
      <w:r>
        <w:rPr>
          <w:rFonts w:ascii="黑体" w:eastAsia="黑体"/>
        </w:rPr>
        <w:t>高</w:t>
      </w:r>
      <w:r>
        <w:rPr>
          <w:rFonts w:ascii="黑体" w:eastAsia="黑体"/>
          <w:color w:val="474747"/>
        </w:rPr>
        <w:t>标准农田建设</w:t>
      </w:r>
      <w:r>
        <w:rPr>
          <w:rFonts w:ascii="黑体" w:eastAsia="黑体"/>
        </w:rPr>
        <w:t>评价指</w:t>
      </w:r>
      <w:r>
        <w:rPr>
          <w:rFonts w:ascii="黑体" w:eastAsia="黑体"/>
          <w:color w:val="474747"/>
        </w:rPr>
        <w:t>标权重计算表</w:t>
      </w:r>
      <w:bookmarkEnd w:id="94"/>
    </w:p>
    <w:p>
      <w:pPr>
        <w:spacing w:after="240"/>
        <w:ind w:firstLine="420"/>
        <w:jc w:val="left"/>
        <w:rPr>
          <w:rFonts w:ascii="宋体" w:hAnsi="宋体" w:cs="宋体"/>
          <w:color w:val="252525"/>
          <w:szCs w:val="21"/>
          <w:lang w:val="zh-TW" w:eastAsia="zh-TW" w:bidi="zh-TW"/>
        </w:rPr>
      </w:pPr>
      <w:r>
        <w:rPr>
          <w:rFonts w:hint="eastAsia" w:ascii="宋体" w:hAnsi="宋体" w:cs="宋体"/>
          <w:color w:val="252525"/>
          <w:szCs w:val="21"/>
          <w:lang w:val="zh-TW" w:eastAsia="zh-TW" w:bidi="zh-TW"/>
        </w:rPr>
        <w:t>高标准农田建设评价指标权重计算表见表</w:t>
      </w:r>
      <w:r>
        <w:rPr>
          <w:rFonts w:hint="eastAsia" w:ascii="宋体" w:hAnsi="宋体" w:cs="宋体"/>
          <w:color w:val="252525"/>
          <w:szCs w:val="21"/>
          <w:lang w:eastAsia="en-US" w:bidi="en-US"/>
        </w:rPr>
        <w:t>D.1。</w:t>
      </w:r>
    </w:p>
    <w:p>
      <w:pPr>
        <w:spacing w:after="240"/>
        <w:jc w:val="center"/>
        <w:rPr>
          <w:rFonts w:ascii="黑体" w:hAnsi="黑体" w:eastAsia="黑体" w:cs="黑体"/>
          <w:color w:val="252525"/>
          <w:szCs w:val="21"/>
          <w:lang w:val="zh-TW" w:eastAsia="zh-TW" w:bidi="zh-TW"/>
        </w:rPr>
      </w:pPr>
      <w:r>
        <w:rPr>
          <w:rFonts w:hint="eastAsia" w:ascii="黑体" w:hAnsi="黑体" w:eastAsia="黑体" w:cs="黑体"/>
          <w:color w:val="474747"/>
          <w:szCs w:val="21"/>
          <w:lang w:val="zh-TW" w:eastAsia="zh-TW" w:bidi="zh-TW"/>
        </w:rPr>
        <w:t>表</w:t>
      </w:r>
      <w:r>
        <w:rPr>
          <w:rFonts w:hint="eastAsia" w:ascii="黑体" w:hAnsi="黑体" w:eastAsia="黑体" w:cs="黑体"/>
          <w:color w:val="474747"/>
          <w:szCs w:val="21"/>
          <w:lang w:eastAsia="en-US" w:bidi="en-US"/>
        </w:rPr>
        <w:t>D.1</w:t>
      </w:r>
      <w:r>
        <w:rPr>
          <w:rFonts w:hint="eastAsia" w:ascii="黑体" w:hAnsi="黑体" w:eastAsia="黑体" w:cs="黑体"/>
          <w:color w:val="474747"/>
          <w:szCs w:val="21"/>
          <w:lang w:bidi="en-US"/>
        </w:rPr>
        <w:t xml:space="preserve">  </w:t>
      </w:r>
      <w:r>
        <w:rPr>
          <w:rFonts w:hint="eastAsia" w:ascii="黑体" w:hAnsi="黑体" w:eastAsia="黑体" w:cs="黑体"/>
          <w:color w:val="474747"/>
          <w:szCs w:val="21"/>
          <w:lang w:val="zh-TW" w:eastAsia="zh-TW" w:bidi="zh-TW"/>
        </w:rPr>
        <w:t>高标准农田建设评价指标权重计算表</w:t>
      </w:r>
    </w:p>
    <w:tbl>
      <w:tblPr>
        <w:tblStyle w:val="36"/>
        <w:tblW w:w="0" w:type="auto"/>
        <w:jc w:val="center"/>
        <w:tblLayout w:type="fixed"/>
        <w:tblCellMar>
          <w:top w:w="0" w:type="dxa"/>
          <w:left w:w="10" w:type="dxa"/>
          <w:bottom w:w="0" w:type="dxa"/>
          <w:right w:w="10" w:type="dxa"/>
        </w:tblCellMar>
      </w:tblPr>
      <w:tblGrid>
        <w:gridCol w:w="1465"/>
        <w:gridCol w:w="893"/>
        <w:gridCol w:w="2520"/>
        <w:gridCol w:w="727"/>
        <w:gridCol w:w="716"/>
        <w:gridCol w:w="716"/>
        <w:gridCol w:w="720"/>
        <w:gridCol w:w="716"/>
        <w:gridCol w:w="756"/>
      </w:tblGrid>
      <w:tr>
        <w:tblPrEx>
          <w:tblCellMar>
            <w:top w:w="0" w:type="dxa"/>
            <w:left w:w="10" w:type="dxa"/>
            <w:bottom w:w="0" w:type="dxa"/>
            <w:right w:w="10" w:type="dxa"/>
          </w:tblCellMar>
        </w:tblPrEx>
        <w:trPr>
          <w:trHeight w:val="371" w:hRule="exact"/>
          <w:jc w:val="center"/>
        </w:trPr>
        <w:tc>
          <w:tcPr>
            <w:tcW w:w="2358" w:type="dxa"/>
            <w:gridSpan w:val="2"/>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一级指标</w:t>
            </w:r>
          </w:p>
        </w:tc>
        <w:tc>
          <w:tcPr>
            <w:tcW w:w="3247" w:type="dxa"/>
            <w:gridSpan w:val="2"/>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二级指标</w:t>
            </w:r>
          </w:p>
        </w:tc>
        <w:tc>
          <w:tcPr>
            <w:tcW w:w="2152" w:type="dxa"/>
            <w:gridSpan w:val="3"/>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三级指标</w:t>
            </w:r>
          </w:p>
        </w:tc>
        <w:tc>
          <w:tcPr>
            <w:tcW w:w="716" w:type="dxa"/>
            <w:vMerge w:val="restart"/>
            <w:tcBorders>
              <w:top w:val="single" w:color="auto" w:sz="4" w:space="0"/>
              <w:left w:val="single" w:color="auto" w:sz="4" w:space="0"/>
            </w:tcBorders>
            <w:shd w:val="clear" w:color="auto" w:fill="FFFFFF"/>
            <w:vAlign w:val="center"/>
          </w:tcPr>
          <w:p>
            <w:pPr>
              <w:spacing w:after="100"/>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实际</w:t>
            </w:r>
          </w:p>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得分</w:t>
            </w:r>
          </w:p>
        </w:tc>
        <w:tc>
          <w:tcPr>
            <w:tcW w:w="756" w:type="dxa"/>
            <w:vMerge w:val="restart"/>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总分</w:t>
            </w:r>
          </w:p>
        </w:tc>
      </w:tr>
      <w:tr>
        <w:tblPrEx>
          <w:tblCellMar>
            <w:top w:w="0" w:type="dxa"/>
            <w:left w:w="10" w:type="dxa"/>
            <w:bottom w:w="0" w:type="dxa"/>
            <w:right w:w="10" w:type="dxa"/>
          </w:tblCellMar>
        </w:tblPrEx>
        <w:trPr>
          <w:trHeight w:val="360" w:hRule="exact"/>
          <w:jc w:val="center"/>
        </w:trPr>
        <w:tc>
          <w:tcPr>
            <w:tcW w:w="1465"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指标</w:t>
            </w:r>
          </w:p>
        </w:tc>
        <w:tc>
          <w:tcPr>
            <w:tcW w:w="893"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权重</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指标</w:t>
            </w:r>
          </w:p>
        </w:tc>
        <w:tc>
          <w:tcPr>
            <w:tcW w:w="727"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权重</w:t>
            </w:r>
          </w:p>
        </w:tc>
        <w:tc>
          <w:tcPr>
            <w:tcW w:w="716"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编号</w:t>
            </w:r>
          </w:p>
        </w:tc>
        <w:tc>
          <w:tcPr>
            <w:tcW w:w="716"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指标</w:t>
            </w:r>
          </w:p>
        </w:tc>
        <w:tc>
          <w:tcPr>
            <w:tcW w:w="7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权重</w:t>
            </w:r>
          </w:p>
        </w:tc>
        <w:tc>
          <w:tcPr>
            <w:tcW w:w="716" w:type="dxa"/>
            <w:vMerge w:val="continue"/>
            <w:tcBorders>
              <w:left w:val="single" w:color="auto" w:sz="4" w:space="0"/>
            </w:tcBorders>
            <w:shd w:val="clear" w:color="auto" w:fill="FFFFFF"/>
            <w:vAlign w:val="center"/>
          </w:tcPr>
          <w:p/>
        </w:tc>
        <w:tc>
          <w:tcPr>
            <w:tcW w:w="756" w:type="dxa"/>
            <w:vMerge w:val="continue"/>
            <w:tcBorders>
              <w:left w:val="single" w:color="auto" w:sz="4" w:space="0"/>
              <w:right w:val="single" w:color="auto" w:sz="4" w:space="0"/>
            </w:tcBorders>
            <w:shd w:val="clear" w:color="auto" w:fill="FFFFFF"/>
            <w:vAlign w:val="center"/>
          </w:tcPr>
          <w:p/>
        </w:tc>
      </w:tr>
      <w:tr>
        <w:tblPrEx>
          <w:tblCellMar>
            <w:top w:w="0" w:type="dxa"/>
            <w:left w:w="10" w:type="dxa"/>
            <w:bottom w:w="0" w:type="dxa"/>
            <w:right w:w="10" w:type="dxa"/>
          </w:tblCellMar>
        </w:tblPrEx>
        <w:trPr>
          <w:trHeight w:val="360" w:hRule="exact"/>
          <w:jc w:val="center"/>
        </w:trPr>
        <w:tc>
          <w:tcPr>
            <w:tcW w:w="1465"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252525"/>
                <w:sz w:val="18"/>
                <w:szCs w:val="18"/>
                <w:lang w:val="zh-TW" w:eastAsia="zh-TW" w:bidi="zh-TW"/>
              </w:rPr>
              <w:t>(1)</w:t>
            </w:r>
          </w:p>
        </w:tc>
        <w:tc>
          <w:tcPr>
            <w:tcW w:w="893"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252525"/>
                <w:sz w:val="18"/>
                <w:szCs w:val="18"/>
                <w:lang w:val="zh-TW" w:eastAsia="zh-TW" w:bidi="zh-TW"/>
              </w:rPr>
              <w:t>(2)</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(3)</w:t>
            </w:r>
          </w:p>
        </w:tc>
        <w:tc>
          <w:tcPr>
            <w:tcW w:w="727"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(4)</w:t>
            </w:r>
          </w:p>
        </w:tc>
        <w:tc>
          <w:tcPr>
            <w:tcW w:w="716"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(5)</w:t>
            </w:r>
          </w:p>
        </w:tc>
        <w:tc>
          <w:tcPr>
            <w:tcW w:w="716"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(6)</w:t>
            </w:r>
          </w:p>
        </w:tc>
        <w:tc>
          <w:tcPr>
            <w:tcW w:w="720"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(7)</w:t>
            </w:r>
          </w:p>
        </w:tc>
        <w:tc>
          <w:tcPr>
            <w:tcW w:w="716"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(8)</w:t>
            </w:r>
          </w:p>
        </w:tc>
        <w:tc>
          <w:tcPr>
            <w:tcW w:w="756"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000000"/>
                <w:sz w:val="18"/>
                <w:szCs w:val="18"/>
                <w:lang w:val="zh-TW" w:eastAsia="zh-TW" w:bidi="zh-TW"/>
              </w:rPr>
              <w:t>(9)</w:t>
            </w:r>
          </w:p>
        </w:tc>
      </w:tr>
      <w:tr>
        <w:tblPrEx>
          <w:tblCellMar>
            <w:top w:w="0" w:type="dxa"/>
            <w:left w:w="10" w:type="dxa"/>
            <w:bottom w:w="0" w:type="dxa"/>
            <w:right w:w="10" w:type="dxa"/>
          </w:tblCellMar>
        </w:tblPrEx>
        <w:trPr>
          <w:trHeight w:val="364" w:hRule="exact"/>
          <w:jc w:val="center"/>
        </w:trPr>
        <w:tc>
          <w:tcPr>
            <w:tcW w:w="1465" w:type="dxa"/>
            <w:tcBorders>
              <w:top w:val="single" w:color="auto" w:sz="4" w:space="0"/>
              <w:left w:val="single" w:color="auto" w:sz="4" w:space="0"/>
            </w:tcBorders>
            <w:shd w:val="clear" w:color="auto" w:fill="FFFFFF"/>
            <w:vAlign w:val="center"/>
          </w:tcPr>
          <w:p>
            <w:pPr>
              <w:ind w:firstLine="3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建设任务</w:t>
            </w:r>
          </w:p>
        </w:tc>
        <w:tc>
          <w:tcPr>
            <w:tcW w:w="893" w:type="dxa"/>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252525"/>
                <w:sz w:val="18"/>
                <w:szCs w:val="18"/>
                <w:lang w:val="zh-TW" w:eastAsia="zh-TW" w:bidi="zh-TW"/>
              </w:rPr>
              <w:t xml:space="preserve">20 </w:t>
            </w:r>
            <w:r>
              <w:rPr>
                <w:rFonts w:ascii="宋体" w:hAnsi="宋体" w:cs="宋体"/>
                <w:color w:val="252525"/>
                <w:sz w:val="18"/>
                <w:szCs w:val="18"/>
                <w:lang w:val="zh-TW" w:eastAsia="zh-TW" w:bidi="zh-TW"/>
              </w:rPr>
              <w:t>〜</w:t>
            </w:r>
            <w:r>
              <w:rPr>
                <w:rFonts w:eastAsia="Times New Roman"/>
                <w:color w:val="252525"/>
                <w:sz w:val="18"/>
                <w:szCs w:val="18"/>
                <w:lang w:val="zh-TW" w:eastAsia="zh-TW" w:bidi="zh-TW"/>
              </w:rPr>
              <w:t>30</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计划完成情况</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restart"/>
            <w:tcBorders>
              <w:top w:val="single" w:color="auto" w:sz="4" w:space="0"/>
              <w:left w:val="single" w:color="auto" w:sz="4" w:space="0"/>
            </w:tcBorders>
            <w:shd w:val="clear" w:color="auto" w:fill="FFFFFF"/>
            <w:vAlign w:val="center"/>
          </w:tcPr>
          <w:p>
            <w:pPr>
              <w:ind w:firstLine="3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建设质量</w:t>
            </w:r>
          </w:p>
        </w:tc>
        <w:tc>
          <w:tcPr>
            <w:tcW w:w="893" w:type="dxa"/>
            <w:vMerge w:val="restart"/>
            <w:tcBorders>
              <w:top w:val="single" w:color="auto" w:sz="4" w:space="0"/>
              <w:left w:val="single" w:color="auto" w:sz="4" w:space="0"/>
            </w:tcBorders>
            <w:shd w:val="clear" w:color="auto" w:fill="FFFFFF"/>
            <w:vAlign w:val="center"/>
          </w:tcPr>
          <w:p>
            <w:pPr>
              <w:ind w:firstLine="16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30~40</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土地平整工程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土壤改良工程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灌溉与排水工程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田间道路工程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539"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spacing w:line="277" w:lineRule="exact"/>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农田防护与生态 环境保持工程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农田输配电工程</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restart"/>
            <w:tcBorders>
              <w:top w:val="single" w:color="auto" w:sz="4" w:space="0"/>
              <w:left w:val="single" w:color="auto" w:sz="4" w:space="0"/>
            </w:tcBorders>
            <w:shd w:val="clear" w:color="auto" w:fill="FFFFFF"/>
            <w:vAlign w:val="center"/>
          </w:tcPr>
          <w:p>
            <w:pPr>
              <w:ind w:firstLine="3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建设成效</w:t>
            </w:r>
          </w:p>
        </w:tc>
        <w:tc>
          <w:tcPr>
            <w:tcW w:w="893" w:type="dxa"/>
            <w:vMerge w:val="restart"/>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252525"/>
                <w:sz w:val="18"/>
                <w:szCs w:val="18"/>
                <w:lang w:val="zh-TW" w:eastAsia="zh-TW" w:bidi="zh-TW"/>
              </w:rPr>
              <w:t xml:space="preserve">20 </w:t>
            </w:r>
            <w:r>
              <w:rPr>
                <w:rFonts w:ascii="宋体" w:hAnsi="宋体" w:cs="宋体"/>
                <w:color w:val="252525"/>
                <w:sz w:val="18"/>
                <w:szCs w:val="18"/>
                <w:lang w:val="zh-TW" w:eastAsia="zh-TW" w:bidi="zh-TW"/>
              </w:rPr>
              <w:t>〜</w:t>
            </w:r>
            <w:r>
              <w:rPr>
                <w:rFonts w:eastAsia="Times New Roman"/>
                <w:color w:val="252525"/>
                <w:sz w:val="18"/>
                <w:szCs w:val="18"/>
                <w:lang w:val="zh-TW" w:eastAsia="zh-TW" w:bidi="zh-TW"/>
              </w:rPr>
              <w:t>15</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经济效益</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社会效益</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生态效益</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资源环境</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restart"/>
            <w:tcBorders>
              <w:top w:val="single" w:color="auto" w:sz="4" w:space="0"/>
              <w:left w:val="single" w:color="auto" w:sz="4" w:space="0"/>
            </w:tcBorders>
            <w:shd w:val="clear" w:color="auto" w:fill="FFFFFF"/>
            <w:vAlign w:val="center"/>
          </w:tcPr>
          <w:p>
            <w:pPr>
              <w:ind w:firstLine="3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建设管理</w:t>
            </w:r>
          </w:p>
        </w:tc>
        <w:tc>
          <w:tcPr>
            <w:tcW w:w="893" w:type="dxa"/>
            <w:vMerge w:val="restart"/>
            <w:tcBorders>
              <w:top w:val="single" w:color="auto" w:sz="4" w:space="0"/>
              <w:left w:val="single" w:color="auto" w:sz="4" w:space="0"/>
            </w:tcBorders>
            <w:shd w:val="clear" w:color="auto" w:fill="FFFFFF"/>
            <w:vAlign w:val="center"/>
          </w:tcPr>
          <w:p>
            <w:pPr>
              <w:jc w:val="center"/>
              <w:rPr>
                <w:rFonts w:ascii="宋体" w:hAnsi="宋体" w:cs="宋体"/>
                <w:color w:val="252525"/>
                <w:sz w:val="18"/>
                <w:szCs w:val="18"/>
                <w:lang w:val="zh-TW" w:eastAsia="zh-TW" w:bidi="zh-TW"/>
              </w:rPr>
            </w:pPr>
            <w:r>
              <w:rPr>
                <w:rFonts w:eastAsia="Times New Roman"/>
                <w:color w:val="252525"/>
                <w:sz w:val="18"/>
                <w:szCs w:val="18"/>
                <w:lang w:val="zh-TW" w:eastAsia="zh-TW" w:bidi="zh-TW"/>
              </w:rPr>
              <w:t xml:space="preserve">10 </w:t>
            </w:r>
            <w:r>
              <w:rPr>
                <w:rFonts w:ascii="宋体" w:hAnsi="宋体" w:cs="宋体"/>
                <w:color w:val="252525"/>
                <w:sz w:val="18"/>
                <w:szCs w:val="18"/>
                <w:lang w:val="zh-TW" w:eastAsia="zh-TW" w:bidi="zh-TW"/>
              </w:rPr>
              <w:t>〜</w:t>
            </w:r>
            <w:r>
              <w:rPr>
                <w:rFonts w:eastAsia="Times New Roman"/>
                <w:color w:val="252525"/>
                <w:sz w:val="18"/>
                <w:szCs w:val="18"/>
                <w:lang w:val="zh-TW" w:eastAsia="zh-TW" w:bidi="zh-TW"/>
              </w:rPr>
              <w:t>20</w:t>
            </w: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前期工作</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项目管理</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后期管护</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1465" w:type="dxa"/>
            <w:vMerge w:val="continue"/>
            <w:tcBorders>
              <w:left w:val="single" w:color="auto" w:sz="4" w:space="0"/>
            </w:tcBorders>
            <w:shd w:val="clear" w:color="auto" w:fill="FFFFFF"/>
            <w:vAlign w:val="center"/>
          </w:tcPr>
          <w:p/>
        </w:tc>
        <w:tc>
          <w:tcPr>
            <w:tcW w:w="893" w:type="dxa"/>
            <w:vMerge w:val="continue"/>
            <w:tcBorders>
              <w:left w:val="single" w:color="auto" w:sz="4" w:space="0"/>
            </w:tcBorders>
            <w:shd w:val="clear" w:color="auto" w:fill="FFFFFF"/>
            <w:vAlign w:val="center"/>
          </w:tcPr>
          <w:p/>
        </w:tc>
        <w:tc>
          <w:tcPr>
            <w:tcW w:w="2520"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公众参与</w:t>
            </w:r>
          </w:p>
        </w:tc>
        <w:tc>
          <w:tcPr>
            <w:tcW w:w="727"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20" w:type="dxa"/>
            <w:tcBorders>
              <w:top w:val="single" w:color="auto" w:sz="4" w:space="0"/>
              <w:left w:val="single" w:color="auto" w:sz="4" w:space="0"/>
            </w:tcBorders>
            <w:shd w:val="clear" w:color="auto" w:fill="FFFFFF"/>
          </w:tcPr>
          <w:p>
            <w:pPr>
              <w:rPr>
                <w:sz w:val="10"/>
                <w:szCs w:val="10"/>
              </w:rPr>
            </w:pPr>
          </w:p>
        </w:tc>
        <w:tc>
          <w:tcPr>
            <w:tcW w:w="716" w:type="dxa"/>
            <w:tcBorders>
              <w:top w:val="single" w:color="auto" w:sz="4" w:space="0"/>
              <w:left w:val="single" w:color="auto" w:sz="4" w:space="0"/>
            </w:tcBorders>
            <w:shd w:val="clear" w:color="auto" w:fill="FFFFFF"/>
          </w:tcPr>
          <w:p>
            <w:pPr>
              <w:rPr>
                <w:sz w:val="10"/>
                <w:szCs w:val="10"/>
              </w:rPr>
            </w:pPr>
          </w:p>
        </w:tc>
        <w:tc>
          <w:tcPr>
            <w:tcW w:w="756"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1329" w:hRule="exact"/>
          <w:jc w:val="center"/>
        </w:trPr>
        <w:tc>
          <w:tcPr>
            <w:tcW w:w="9229"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spacing w:line="274" w:lineRule="exact"/>
              <w:ind w:left="4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注</w:t>
            </w:r>
            <w:r>
              <w:rPr>
                <w:rFonts w:eastAsia="Times New Roman"/>
                <w:color w:val="252525"/>
                <w:sz w:val="18"/>
                <w:szCs w:val="18"/>
                <w:lang w:val="zh-TW" w:eastAsia="zh-TW" w:bidi="zh-TW"/>
              </w:rPr>
              <w:t>1</w:t>
            </w:r>
            <w:r>
              <w:rPr>
                <w:rFonts w:ascii="宋体" w:hAnsi="宋体" w:cs="宋体"/>
                <w:color w:val="252525"/>
                <w:sz w:val="18"/>
                <w:szCs w:val="18"/>
                <w:lang w:val="zh-TW" w:eastAsia="zh-TW" w:bidi="zh-TW"/>
              </w:rPr>
              <w:t>：</w:t>
            </w:r>
            <w:r>
              <w:rPr>
                <w:rFonts w:ascii="宋体" w:hAnsi="宋体" w:cs="宋体"/>
                <w:color w:val="252525"/>
                <w:sz w:val="16"/>
                <w:szCs w:val="16"/>
                <w:lang w:val="zh-TW" w:eastAsia="zh-TW" w:bidi="zh-TW"/>
              </w:rPr>
              <w:t>一级指标给出权重值范围，评价时可视评价对象的不同确定，一级指标的总分值为</w:t>
            </w:r>
            <w:r>
              <w:rPr>
                <w:rFonts w:eastAsia="Times New Roman"/>
                <w:color w:val="252525"/>
                <w:sz w:val="18"/>
                <w:szCs w:val="18"/>
                <w:lang w:val="zh-TW" w:eastAsia="zh-TW" w:bidi="zh-TW"/>
              </w:rPr>
              <w:t>10</w:t>
            </w:r>
            <w:r>
              <w:rPr>
                <w:rFonts w:ascii="宋体" w:hAnsi="宋体" w:cs="宋体"/>
                <w:color w:val="252525"/>
                <w:sz w:val="16"/>
                <w:szCs w:val="16"/>
                <w:lang w:val="zh-TW" w:eastAsia="zh-TW" w:bidi="zh-TW"/>
              </w:rPr>
              <w:t xml:space="preserve">分。 </w:t>
            </w:r>
          </w:p>
          <w:p>
            <w:pPr>
              <w:spacing w:line="274" w:lineRule="exact"/>
              <w:ind w:left="4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注</w:t>
            </w:r>
            <w:r>
              <w:rPr>
                <w:rFonts w:eastAsia="Times New Roman"/>
                <w:color w:val="252525"/>
                <w:sz w:val="18"/>
                <w:szCs w:val="18"/>
                <w:lang w:val="zh-TW" w:eastAsia="zh-TW" w:bidi="zh-TW"/>
              </w:rPr>
              <w:t>2</w:t>
            </w:r>
            <w:r>
              <w:rPr>
                <w:rFonts w:ascii="宋体" w:hAnsi="宋体" w:cs="宋体"/>
                <w:color w:val="252525"/>
                <w:sz w:val="18"/>
                <w:szCs w:val="18"/>
                <w:lang w:val="zh-TW" w:eastAsia="zh-TW" w:bidi="zh-TW"/>
              </w:rPr>
              <w:t>：</w:t>
            </w:r>
            <w:r>
              <w:rPr>
                <w:rFonts w:ascii="宋体" w:hAnsi="宋体" w:cs="宋体"/>
                <w:color w:val="252525"/>
                <w:sz w:val="16"/>
                <w:szCs w:val="16"/>
                <w:lang w:val="zh-TW" w:eastAsia="zh-TW" w:bidi="zh-TW"/>
              </w:rPr>
              <w:t>二级指标和三级指标的权重视指标的重要程度，由专家评议法或层次分析法确定。</w:t>
            </w:r>
          </w:p>
          <w:p>
            <w:pPr>
              <w:spacing w:line="274" w:lineRule="exact"/>
              <w:ind w:firstLine="4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注</w:t>
            </w:r>
            <w:r>
              <w:rPr>
                <w:rFonts w:eastAsia="Times New Roman"/>
                <w:color w:val="252525"/>
                <w:sz w:val="18"/>
                <w:szCs w:val="18"/>
                <w:lang w:val="zh-TW" w:eastAsia="zh-TW" w:bidi="zh-TW"/>
              </w:rPr>
              <w:t>3</w:t>
            </w:r>
            <w:r>
              <w:rPr>
                <w:rFonts w:ascii="宋体" w:hAnsi="宋体" w:cs="宋体"/>
                <w:color w:val="252525"/>
                <w:sz w:val="18"/>
                <w:szCs w:val="18"/>
                <w:lang w:val="zh-TW" w:eastAsia="zh-TW" w:bidi="zh-TW"/>
              </w:rPr>
              <w:t>：</w:t>
            </w:r>
            <w:r>
              <w:rPr>
                <w:rFonts w:ascii="宋体" w:hAnsi="宋体" w:cs="宋体"/>
                <w:color w:val="252525"/>
                <w:sz w:val="16"/>
                <w:szCs w:val="16"/>
                <w:lang w:val="zh-TW" w:eastAsia="zh-TW" w:bidi="zh-TW"/>
              </w:rPr>
              <w:t>各级评价指标的实际得分=计算权重</w:t>
            </w:r>
            <w:r>
              <w:rPr>
                <w:rFonts w:eastAsia="Times New Roman"/>
                <w:color w:val="252525"/>
                <w:sz w:val="18"/>
                <w:szCs w:val="18"/>
                <w:lang w:val="zh-TW" w:eastAsia="zh-TW" w:bidi="zh-TW"/>
              </w:rPr>
              <w:t>X</w:t>
            </w:r>
            <w:r>
              <w:rPr>
                <w:rFonts w:ascii="宋体" w:hAnsi="宋体" w:cs="宋体"/>
                <w:color w:val="252525"/>
                <w:sz w:val="16"/>
                <w:szCs w:val="16"/>
                <w:lang w:val="zh-TW" w:eastAsia="zh-TW" w:bidi="zh-TW"/>
              </w:rPr>
              <w:t>指标得分，总分为一级指标的实际得分。</w:t>
            </w:r>
          </w:p>
          <w:p>
            <w:pPr>
              <w:spacing w:line="274" w:lineRule="exact"/>
              <w:ind w:firstLine="4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注</w:t>
            </w:r>
            <w:r>
              <w:rPr>
                <w:rFonts w:eastAsia="Times New Roman"/>
                <w:color w:val="252525"/>
                <w:sz w:val="18"/>
                <w:szCs w:val="18"/>
                <w:lang w:val="zh-TW" w:eastAsia="zh-TW" w:bidi="zh-TW"/>
              </w:rPr>
              <w:t>4</w:t>
            </w:r>
            <w:r>
              <w:rPr>
                <w:rFonts w:ascii="宋体" w:hAnsi="宋体" w:cs="宋体"/>
                <w:color w:val="252525"/>
                <w:sz w:val="18"/>
                <w:szCs w:val="18"/>
                <w:lang w:val="zh-TW" w:eastAsia="zh-TW" w:bidi="zh-TW"/>
              </w:rPr>
              <w:t>：</w:t>
            </w:r>
            <w:r>
              <w:rPr>
                <w:rFonts w:ascii="宋体" w:hAnsi="宋体" w:cs="宋体"/>
                <w:color w:val="252525"/>
                <w:sz w:val="16"/>
                <w:szCs w:val="16"/>
                <w:lang w:val="zh-TW" w:eastAsia="zh-TW" w:bidi="zh-TW"/>
              </w:rPr>
              <w:t>三级指标层中各项指标的实际得分见附录</w:t>
            </w:r>
            <w:r>
              <w:rPr>
                <w:rFonts w:eastAsia="Times New Roman"/>
                <w:color w:val="252525"/>
                <w:sz w:val="18"/>
                <w:szCs w:val="18"/>
                <w:lang w:eastAsia="en-US" w:bidi="en-US"/>
              </w:rPr>
              <w:t>C</w:t>
            </w:r>
            <w:r>
              <w:rPr>
                <w:rFonts w:ascii="宋体" w:hAnsi="宋体" w:cs="宋体"/>
                <w:color w:val="252525"/>
                <w:sz w:val="16"/>
                <w:szCs w:val="16"/>
                <w:lang w:val="zh-TW" w:eastAsia="zh-TW" w:bidi="zh-TW"/>
              </w:rPr>
              <w:t>中评分标准。</w:t>
            </w:r>
          </w:p>
        </w:tc>
      </w:tr>
    </w:tbl>
    <w:p>
      <w:pPr>
        <w:spacing w:line="299" w:lineRule="exact"/>
        <w:jc w:val="center"/>
        <w:rPr>
          <w:rFonts w:ascii="宋体" w:hAnsi="宋体" w:cs="宋体"/>
          <w:color w:val="252525"/>
          <w:sz w:val="20"/>
          <w:szCs w:val="20"/>
          <w:lang w:val="zh-TW" w:eastAsia="zh-TW" w:bidi="zh-TW"/>
        </w:rPr>
      </w:pPr>
    </w:p>
    <w:p>
      <w:pPr>
        <w:pStyle w:val="47"/>
        <w:sectPr>
          <w:pgSz w:w="11906" w:h="16838"/>
          <w:pgMar w:top="2410" w:right="1134" w:bottom="1134" w:left="1134" w:header="1418" w:footer="1134" w:gutter="284"/>
          <w:cols w:space="425" w:num="1"/>
          <w:formProt w:val="0"/>
          <w:docGrid w:linePitch="312" w:charSpace="0"/>
        </w:sectPr>
      </w:pPr>
    </w:p>
    <w:p>
      <w:pPr>
        <w:pStyle w:val="99"/>
        <w:numPr>
          <w:ilvl w:val="0"/>
          <w:numId w:val="0"/>
        </w:numPr>
        <w:spacing w:beforeLines="0" w:afterLines="0"/>
        <w:jc w:val="center"/>
        <w:outlineLvl w:val="0"/>
      </w:pPr>
      <w:bookmarkStart w:id="95" w:name="_Toc24077"/>
      <w:r>
        <w:rPr>
          <w:rFonts w:hint="eastAsia" w:hAnsi="黑体"/>
          <w:color w:val="000000" w:themeColor="text1"/>
          <w:szCs w:val="21"/>
          <w:lang w:val="zh-TW" w:eastAsia="zh-TW"/>
          <w14:textFill>
            <w14:solidFill>
              <w14:schemeClr w14:val="tx1"/>
            </w14:solidFill>
          </w14:textFill>
        </w:rPr>
        <w:t>附录</w:t>
      </w:r>
      <w:r>
        <w:rPr>
          <w:rFonts w:hint="eastAsia" w:hAnsi="黑体"/>
          <w:color w:val="000000" w:themeColor="text1"/>
          <w:szCs w:val="21"/>
          <w:lang w:eastAsia="en-US"/>
          <w14:textFill>
            <w14:solidFill>
              <w14:schemeClr w14:val="tx1"/>
            </w14:solidFill>
          </w14:textFill>
        </w:rPr>
        <w:t>E</w:t>
      </w:r>
      <w:r>
        <w:br w:type="textWrapping"/>
      </w:r>
      <w:r>
        <w:t>（规范性）</w:t>
      </w:r>
      <w:r>
        <w:br w:type="textWrapping"/>
      </w:r>
      <w:r>
        <w:t>高标准农田建设任务统计</w:t>
      </w:r>
      <w:bookmarkEnd w:id="95"/>
    </w:p>
    <w:p>
      <w:pPr>
        <w:pStyle w:val="181"/>
        <w:spacing w:after="180" w:line="299" w:lineRule="exact"/>
        <w:ind w:firstLine="440"/>
        <w:jc w:val="left"/>
      </w:pPr>
      <w:r>
        <w:rPr>
          <w:rFonts w:hint="eastAsia"/>
        </w:rPr>
        <w:t>高标准农田建设任务统计见表</w:t>
      </w:r>
      <w:r>
        <w:rPr>
          <w:rFonts w:hint="eastAsia"/>
          <w:lang w:val="en-US" w:eastAsia="en-US" w:bidi="en-US"/>
        </w:rPr>
        <w:t>E.1。</w:t>
      </w:r>
    </w:p>
    <w:p>
      <w:pPr>
        <w:pStyle w:val="181"/>
        <w:spacing w:after="240" w:line="299" w:lineRule="exact"/>
        <w:ind w:firstLine="0"/>
        <w:jc w:val="center"/>
        <w:rPr>
          <w:rFonts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en-US" w:bidi="en-US"/>
        </w:rPr>
        <w:t>E.1</w:t>
      </w:r>
      <w:r>
        <w:rPr>
          <w:rFonts w:hint="eastAsia" w:ascii="黑体" w:hAnsi="黑体" w:eastAsia="黑体" w:cs="黑体"/>
          <w:sz w:val="21"/>
          <w:szCs w:val="21"/>
          <w:lang w:val="en-US" w:eastAsia="zh-CN" w:bidi="en-US"/>
        </w:rPr>
        <w:t xml:space="preserve">  </w:t>
      </w:r>
      <w:r>
        <w:rPr>
          <w:rFonts w:hint="eastAsia" w:ascii="黑体" w:hAnsi="黑体" w:eastAsia="黑体" w:cs="黑体"/>
          <w:sz w:val="21"/>
          <w:szCs w:val="21"/>
        </w:rPr>
        <w:t>高标准农田建设任务统计表</w:t>
      </w:r>
    </w:p>
    <w:p>
      <w:pPr>
        <w:pStyle w:val="184"/>
        <w:tabs>
          <w:tab w:val="left" w:pos="6772"/>
        </w:tabs>
        <w:spacing w:after="60"/>
        <w:ind w:firstLine="0"/>
        <w:jc w:val="left"/>
      </w:pPr>
      <w:r>
        <w:t>项目名称：</w:t>
      </w:r>
      <w:r>
        <w:tab/>
      </w:r>
      <w:r>
        <w:t>统计人:</w:t>
      </w:r>
    </w:p>
    <w:tbl>
      <w:tblPr>
        <w:tblStyle w:val="36"/>
        <w:tblW w:w="0" w:type="auto"/>
        <w:jc w:val="center"/>
        <w:tblLayout w:type="fixed"/>
        <w:tblCellMar>
          <w:top w:w="0" w:type="dxa"/>
          <w:left w:w="10" w:type="dxa"/>
          <w:bottom w:w="0" w:type="dxa"/>
          <w:right w:w="10" w:type="dxa"/>
        </w:tblCellMar>
      </w:tblPr>
      <w:tblGrid>
        <w:gridCol w:w="914"/>
        <w:gridCol w:w="3427"/>
        <w:gridCol w:w="907"/>
        <w:gridCol w:w="1966"/>
        <w:gridCol w:w="2030"/>
      </w:tblGrid>
      <w:tr>
        <w:tblPrEx>
          <w:tblCellMar>
            <w:top w:w="0" w:type="dxa"/>
            <w:left w:w="10" w:type="dxa"/>
            <w:bottom w:w="0" w:type="dxa"/>
            <w:right w:w="10" w:type="dxa"/>
          </w:tblCellMar>
        </w:tblPrEx>
        <w:trPr>
          <w:trHeight w:val="382"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序号</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名称</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单位</w:t>
            </w:r>
          </w:p>
        </w:tc>
        <w:tc>
          <w:tcPr>
            <w:tcW w:w="1966"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数值</w:t>
            </w:r>
          </w:p>
        </w:tc>
        <w:tc>
          <w:tcPr>
            <w:tcW w:w="2030"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备注</w:t>
            </w:r>
          </w:p>
        </w:tc>
      </w:tr>
      <w:tr>
        <w:tblPrEx>
          <w:tblCellMar>
            <w:top w:w="0" w:type="dxa"/>
            <w:left w:w="10" w:type="dxa"/>
            <w:bottom w:w="0" w:type="dxa"/>
            <w:right w:w="10" w:type="dxa"/>
          </w:tblCellMar>
        </w:tblPrEx>
        <w:trPr>
          <w:trHeight w:val="364" w:hRule="exact"/>
          <w:jc w:val="center"/>
        </w:trPr>
        <w:tc>
          <w:tcPr>
            <w:tcW w:w="9244" w:type="dxa"/>
            <w:gridSpan w:val="5"/>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一基本情况</w:t>
            </w: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1</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建设地点</w:t>
            </w:r>
          </w:p>
        </w:tc>
        <w:tc>
          <w:tcPr>
            <w:tcW w:w="907" w:type="dxa"/>
            <w:tcBorders>
              <w:top w:val="single" w:color="auto" w:sz="4" w:space="0"/>
              <w:left w:val="single" w:color="auto" w:sz="4" w:space="0"/>
            </w:tcBorders>
            <w:shd w:val="clear" w:color="auto" w:fill="FFFFFF"/>
          </w:tcPr>
          <w:p>
            <w:pPr>
              <w:rPr>
                <w:sz w:val="10"/>
                <w:szCs w:val="10"/>
              </w:rPr>
            </w:pP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rFonts w:hint="eastAsia" w:eastAsia="宋体"/>
                <w:sz w:val="16"/>
                <w:szCs w:val="16"/>
                <w:lang w:val="en-US" w:eastAsia="zh-CN"/>
              </w:rPr>
            </w:pPr>
            <w:r>
              <w:rPr>
                <w:rFonts w:hint="eastAsia"/>
                <w:color w:val="000000"/>
                <w:sz w:val="16"/>
                <w:szCs w:val="16"/>
                <w:lang w:val="en-US" w:eastAsia="zh-CN"/>
              </w:rPr>
              <w:t>区</w:t>
            </w:r>
            <w:r>
              <w:rPr>
                <w:color w:val="000000"/>
                <w:sz w:val="16"/>
                <w:szCs w:val="16"/>
              </w:rPr>
              <w:t>、行政村</w:t>
            </w: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2</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项目区拐点坐标</w:t>
            </w:r>
          </w:p>
        </w:tc>
        <w:tc>
          <w:tcPr>
            <w:tcW w:w="907" w:type="dxa"/>
            <w:tcBorders>
              <w:top w:val="single" w:color="auto" w:sz="4" w:space="0"/>
              <w:left w:val="single" w:color="auto" w:sz="4" w:space="0"/>
            </w:tcBorders>
            <w:shd w:val="clear" w:color="auto" w:fill="FFFFFF"/>
          </w:tcPr>
          <w:p>
            <w:pPr>
              <w:rPr>
                <w:sz w:val="10"/>
                <w:szCs w:val="10"/>
              </w:rPr>
            </w:pP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四至拐点坐标</w:t>
            </w: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3</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建设规模</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4</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建成高标准农田面积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5</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建成高标准农田平均等别（等级）</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等别（等级）</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6</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新增耕地面积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244" w:type="dxa"/>
            <w:gridSpan w:val="5"/>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二建设资金</w:t>
            </w: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sz w:val="18"/>
                <w:szCs w:val="18"/>
              </w:rPr>
              <w:t>1</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国土</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2</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水利</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3</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农业</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4</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林业</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5</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财政农业综合开发</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6</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其他</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万元</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244" w:type="dxa"/>
            <w:gridSpan w:val="5"/>
            <w:tcBorders>
              <w:top w:val="single" w:color="auto" w:sz="4" w:space="0"/>
              <w:left w:val="single" w:color="auto" w:sz="4" w:space="0"/>
              <w:righ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三主要工程内容</w:t>
            </w: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1</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土地平整面积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2</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土壤改良面积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vMerge w:val="restart"/>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3</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渠（沟）道</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vMerge w:val="continue"/>
            <w:tcBorders>
              <w:left w:val="single" w:color="auto" w:sz="4" w:space="0"/>
            </w:tcBorders>
            <w:shd w:val="clear" w:color="auto" w:fill="FFFFFF"/>
            <w:vAlign w:val="center"/>
          </w:tcPr>
          <w:p/>
        </w:tc>
        <w:tc>
          <w:tcPr>
            <w:tcW w:w="3427" w:type="dxa"/>
            <w:tcBorders>
              <w:top w:val="single" w:color="auto" w:sz="4" w:space="0"/>
              <w:left w:val="single" w:color="auto" w:sz="4" w:space="0"/>
            </w:tcBorders>
            <w:shd w:val="clear" w:color="auto" w:fill="FFFFFF"/>
            <w:vAlign w:val="center"/>
          </w:tcPr>
          <w:p>
            <w:pPr>
              <w:pStyle w:val="183"/>
              <w:spacing w:line="240" w:lineRule="auto"/>
              <w:ind w:firstLine="260"/>
              <w:jc w:val="left"/>
              <w:rPr>
                <w:sz w:val="16"/>
                <w:szCs w:val="16"/>
              </w:rPr>
            </w:pPr>
            <w:r>
              <w:rPr>
                <w:color w:val="000000"/>
                <w:sz w:val="16"/>
                <w:szCs w:val="16"/>
              </w:rPr>
              <w:t>其中，衬砌渠（沟）道</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4</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输水管道</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5</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塘坝（堰）</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座</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6</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蓄水池（水窖）</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座</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sz w:val="18"/>
                <w:szCs w:val="18"/>
              </w:rPr>
              <w:t>7</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泵站</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座</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56" w:hRule="exact"/>
          <w:jc w:val="center"/>
        </w:trPr>
        <w:tc>
          <w:tcPr>
            <w:tcW w:w="914" w:type="dxa"/>
            <w:tcBorders>
              <w:top w:val="single" w:color="auto" w:sz="4" w:space="0"/>
              <w:left w:val="single" w:color="auto" w:sz="4" w:space="0"/>
            </w:tcBorders>
            <w:shd w:val="clear" w:color="auto" w:fill="FFFFFF"/>
          </w:tcPr>
          <w:p>
            <w:pPr>
              <w:pStyle w:val="183"/>
              <w:spacing w:line="240" w:lineRule="auto"/>
              <w:rPr>
                <w:sz w:val="18"/>
                <w:szCs w:val="18"/>
              </w:rPr>
            </w:pPr>
            <w:r>
              <w:rPr>
                <w:rFonts w:ascii="Times New Roman" w:hAnsi="Times New Roman" w:eastAsia="Times New Roman" w:cs="Times New Roman"/>
                <w:color w:val="000000"/>
                <w:sz w:val="18"/>
                <w:szCs w:val="18"/>
              </w:rPr>
              <w:t>8</w:t>
            </w:r>
          </w:p>
        </w:tc>
        <w:tc>
          <w:tcPr>
            <w:tcW w:w="3427" w:type="dxa"/>
            <w:tcBorders>
              <w:top w:val="single" w:color="auto" w:sz="4" w:space="0"/>
              <w:left w:val="single" w:color="auto" w:sz="4" w:space="0"/>
            </w:tcBorders>
            <w:shd w:val="clear" w:color="auto" w:fill="FFFFFF"/>
          </w:tcPr>
          <w:p>
            <w:pPr>
              <w:pStyle w:val="183"/>
              <w:spacing w:before="80" w:line="240" w:lineRule="auto"/>
              <w:ind w:firstLine="0"/>
              <w:jc w:val="left"/>
              <w:rPr>
                <w:sz w:val="16"/>
                <w:szCs w:val="16"/>
              </w:rPr>
            </w:pPr>
            <w:r>
              <w:rPr>
                <w:color w:val="000000"/>
                <w:sz w:val="16"/>
                <w:szCs w:val="16"/>
              </w:rPr>
              <w:t>农用井</w:t>
            </w:r>
          </w:p>
        </w:tc>
        <w:tc>
          <w:tcPr>
            <w:tcW w:w="907" w:type="dxa"/>
            <w:tcBorders>
              <w:top w:val="single" w:color="auto" w:sz="4" w:space="0"/>
              <w:left w:val="single" w:color="auto" w:sz="4" w:space="0"/>
            </w:tcBorders>
            <w:shd w:val="clear" w:color="auto" w:fill="FFFFFF"/>
          </w:tcPr>
          <w:p>
            <w:pPr>
              <w:pStyle w:val="183"/>
              <w:spacing w:line="240" w:lineRule="auto"/>
              <w:ind w:firstLine="0"/>
              <w:jc w:val="center"/>
              <w:rPr>
                <w:rFonts w:hint="eastAsia" w:eastAsia="宋体"/>
                <w:sz w:val="26"/>
                <w:szCs w:val="26"/>
                <w:lang w:eastAsia="zh-CN"/>
              </w:rPr>
            </w:pPr>
            <w:r>
              <w:rPr>
                <w:rFonts w:hint="default" w:ascii="宋体" w:hAnsi="宋体" w:cs="宋体"/>
                <w:i w:val="0"/>
                <w:iCs w:val="0"/>
                <w:color w:val="000000"/>
                <w:sz w:val="16"/>
                <w:szCs w:val="16"/>
                <w:lang w:val="en-US" w:eastAsia="zh-CN" w:bidi="en-US"/>
              </w:rPr>
              <w:t>口</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rPr>
                <w:sz w:val="18"/>
                <w:szCs w:val="18"/>
              </w:rPr>
            </w:pPr>
            <w:r>
              <w:rPr>
                <w:rFonts w:ascii="Times New Roman" w:hAnsi="Times New Roman" w:eastAsia="Times New Roman" w:cs="Times New Roman"/>
                <w:color w:val="000000"/>
                <w:sz w:val="18"/>
                <w:szCs w:val="18"/>
              </w:rPr>
              <w:t>9</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渠系建筑物</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座</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rPr>
              <w:t>10</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田间道（机耕路）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914"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rPr>
              <w:t>11</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生产路</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tcBorders>
            <w:shd w:val="clear" w:color="auto" w:fill="FFFFFF"/>
          </w:tcPr>
          <w:p>
            <w:pPr>
              <w:rPr>
                <w:sz w:val="10"/>
                <w:szCs w:val="10"/>
              </w:rPr>
            </w:pPr>
          </w:p>
        </w:tc>
        <w:tc>
          <w:tcPr>
            <w:tcW w:w="203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82" w:hRule="exact"/>
          <w:jc w:val="center"/>
        </w:trPr>
        <w:tc>
          <w:tcPr>
            <w:tcW w:w="914"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rPr>
            </w:pPr>
            <w:r>
              <w:rPr>
                <w:rFonts w:ascii="Times New Roman" w:hAnsi="Times New Roman" w:eastAsia="Times New Roman" w:cs="Times New Roman"/>
                <w:color w:val="000000"/>
                <w:sz w:val="18"/>
                <w:szCs w:val="18"/>
              </w:rPr>
              <w:t>12</w:t>
            </w:r>
          </w:p>
        </w:tc>
        <w:tc>
          <w:tcPr>
            <w:tcW w:w="342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sz w:val="16"/>
                <w:szCs w:val="16"/>
              </w:rPr>
            </w:pPr>
            <w:r>
              <w:rPr>
                <w:color w:val="000000"/>
                <w:sz w:val="16"/>
                <w:szCs w:val="16"/>
              </w:rPr>
              <w:t>桥梁（路涵）</w:t>
            </w:r>
          </w:p>
        </w:tc>
        <w:tc>
          <w:tcPr>
            <w:tcW w:w="90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6"/>
                <w:szCs w:val="16"/>
              </w:rPr>
            </w:pPr>
            <w:r>
              <w:rPr>
                <w:color w:val="000000"/>
                <w:sz w:val="16"/>
                <w:szCs w:val="16"/>
              </w:rPr>
              <w:t>座</w:t>
            </w:r>
          </w:p>
        </w:tc>
        <w:tc>
          <w:tcPr>
            <w:tcW w:w="1966" w:type="dxa"/>
            <w:tcBorders>
              <w:top w:val="single" w:color="auto" w:sz="4" w:space="0"/>
              <w:left w:val="single" w:color="auto" w:sz="4" w:space="0"/>
              <w:bottom w:val="single" w:color="auto" w:sz="4" w:space="0"/>
            </w:tcBorders>
            <w:shd w:val="clear" w:color="auto" w:fill="FFFFFF"/>
          </w:tcPr>
          <w:p>
            <w:pPr>
              <w:rPr>
                <w:sz w:val="10"/>
                <w:szCs w:val="10"/>
              </w:rPr>
            </w:pPr>
          </w:p>
        </w:tc>
        <w:tc>
          <w:tcPr>
            <w:tcW w:w="2030"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bl>
    <w:p>
      <w:pPr>
        <w:pStyle w:val="181"/>
        <w:spacing w:line="240" w:lineRule="auto"/>
        <w:ind w:firstLine="0"/>
        <w:jc w:val="center"/>
        <w:rPr>
          <w:color w:val="474747"/>
        </w:rPr>
      </w:pPr>
    </w:p>
    <w:p>
      <w:pPr>
        <w:pStyle w:val="181"/>
        <w:spacing w:line="240" w:lineRule="auto"/>
        <w:ind w:firstLine="0"/>
        <w:jc w:val="center"/>
      </w:pPr>
      <w:r>
        <w:rPr>
          <w:color w:val="474747"/>
        </w:rPr>
        <w:t>表</w:t>
      </w:r>
      <w:r>
        <w:rPr>
          <w:rFonts w:ascii="Times New Roman" w:hAnsi="Times New Roman" w:eastAsia="Times New Roman" w:cs="Times New Roman"/>
          <w:b/>
          <w:bCs/>
          <w:color w:val="474747"/>
          <w:sz w:val="19"/>
          <w:szCs w:val="19"/>
          <w:lang w:val="en-US" w:eastAsia="en-US" w:bidi="en-US"/>
        </w:rPr>
        <w:t xml:space="preserve">E.1 </w:t>
      </w:r>
      <w:r>
        <w:rPr>
          <w:color w:val="474747"/>
        </w:rPr>
        <w:t>（续）</w:t>
      </w:r>
    </w:p>
    <w:p>
      <w:pPr>
        <w:pStyle w:val="47"/>
      </w:pPr>
    </w:p>
    <w:p>
      <w:pPr>
        <w:pStyle w:val="47"/>
      </w:pPr>
      <w:r>
        <w:rPr>
          <w:rFonts w:hint="eastAsia"/>
        </w:rPr>
        <w:t>项目名称:                                                                统计人:</w:t>
      </w:r>
    </w:p>
    <w:tbl>
      <w:tblPr>
        <w:tblStyle w:val="36"/>
        <w:tblW w:w="0" w:type="auto"/>
        <w:jc w:val="center"/>
        <w:tblLayout w:type="fixed"/>
        <w:tblCellMar>
          <w:top w:w="0" w:type="dxa"/>
          <w:left w:w="10" w:type="dxa"/>
          <w:bottom w:w="0" w:type="dxa"/>
          <w:right w:w="10" w:type="dxa"/>
        </w:tblCellMar>
      </w:tblPr>
      <w:tblGrid>
        <w:gridCol w:w="1249"/>
        <w:gridCol w:w="3427"/>
        <w:gridCol w:w="907"/>
        <w:gridCol w:w="1966"/>
        <w:gridCol w:w="2030"/>
      </w:tblGrid>
      <w:tr>
        <w:tblPrEx>
          <w:tblCellMar>
            <w:top w:w="0" w:type="dxa"/>
            <w:left w:w="10" w:type="dxa"/>
            <w:bottom w:w="0" w:type="dxa"/>
            <w:right w:w="10" w:type="dxa"/>
          </w:tblCellMar>
        </w:tblPrEx>
        <w:trPr>
          <w:trHeight w:val="364" w:hRule="exact"/>
          <w:jc w:val="center"/>
        </w:trPr>
        <w:tc>
          <w:tcPr>
            <w:tcW w:w="1249"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lang w:val="en-US" w:eastAsia="zh-CN"/>
              </w:rPr>
            </w:pPr>
            <w:r>
              <w:rPr>
                <w:rFonts w:hint="eastAsia"/>
                <w:sz w:val="18"/>
                <w:szCs w:val="18"/>
                <w:lang w:val="en-US" w:eastAsia="zh-CN"/>
              </w:rPr>
              <w:t>序号</w:t>
            </w:r>
          </w:p>
        </w:tc>
        <w:tc>
          <w:tcPr>
            <w:tcW w:w="3427" w:type="dxa"/>
            <w:tcBorders>
              <w:top w:val="single" w:color="auto" w:sz="4" w:space="0"/>
              <w:left w:val="single" w:color="auto" w:sz="4" w:space="0"/>
            </w:tcBorders>
            <w:shd w:val="clear" w:color="auto" w:fill="FFFFFF"/>
            <w:vAlign w:val="center"/>
          </w:tcPr>
          <w:p>
            <w:pPr>
              <w:pStyle w:val="183"/>
              <w:spacing w:line="240" w:lineRule="auto"/>
              <w:ind w:firstLine="0"/>
              <w:jc w:val="center"/>
              <w:rPr>
                <w:sz w:val="16"/>
                <w:szCs w:val="16"/>
                <w:lang w:eastAsia="zh-CN"/>
              </w:rPr>
            </w:pPr>
            <w:r>
              <w:rPr>
                <w:rFonts w:hint="eastAsia"/>
                <w:sz w:val="16"/>
                <w:szCs w:val="16"/>
                <w:lang w:eastAsia="zh-CN"/>
              </w:rPr>
              <w:t>名称</w:t>
            </w:r>
          </w:p>
        </w:tc>
        <w:tc>
          <w:tcPr>
            <w:tcW w:w="907" w:type="dxa"/>
            <w:tcBorders>
              <w:top w:val="single" w:color="auto" w:sz="4" w:space="0"/>
              <w:left w:val="single" w:color="auto" w:sz="4" w:space="0"/>
            </w:tcBorders>
            <w:shd w:val="clear" w:color="auto" w:fill="FFFFFF"/>
            <w:vAlign w:val="center"/>
          </w:tcPr>
          <w:p>
            <w:pPr>
              <w:pStyle w:val="183"/>
              <w:spacing w:line="240" w:lineRule="auto"/>
              <w:ind w:firstLine="0"/>
              <w:jc w:val="center"/>
              <w:rPr>
                <w:sz w:val="18"/>
                <w:szCs w:val="18"/>
                <w:lang w:eastAsia="zh-CN"/>
              </w:rPr>
            </w:pPr>
            <w:r>
              <w:rPr>
                <w:rFonts w:hint="eastAsia"/>
                <w:sz w:val="18"/>
                <w:szCs w:val="18"/>
                <w:lang w:eastAsia="zh-CN"/>
              </w:rPr>
              <w:t>单位</w:t>
            </w:r>
          </w:p>
        </w:tc>
        <w:tc>
          <w:tcPr>
            <w:tcW w:w="1966" w:type="dxa"/>
            <w:tcBorders>
              <w:top w:val="single" w:color="auto" w:sz="4" w:space="0"/>
              <w:left w:val="single" w:color="auto" w:sz="4" w:space="0"/>
            </w:tcBorders>
            <w:shd w:val="clear" w:color="auto" w:fill="FFFFFF"/>
          </w:tcPr>
          <w:p>
            <w:pPr>
              <w:jc w:val="center"/>
              <w:rPr>
                <w:rFonts w:ascii="宋体" w:hAnsi="宋体" w:cs="宋体"/>
                <w:color w:val="252525"/>
                <w:sz w:val="18"/>
                <w:szCs w:val="18"/>
                <w:lang w:val="zh-TW" w:bidi="zh-TW"/>
              </w:rPr>
            </w:pPr>
            <w:r>
              <w:rPr>
                <w:rFonts w:hint="eastAsia" w:ascii="宋体" w:hAnsi="宋体" w:cs="宋体"/>
                <w:color w:val="252525"/>
                <w:sz w:val="18"/>
                <w:szCs w:val="18"/>
                <w:lang w:val="zh-TW" w:bidi="zh-TW"/>
              </w:rPr>
              <w:t>数值</w:t>
            </w:r>
          </w:p>
        </w:tc>
        <w:tc>
          <w:tcPr>
            <w:tcW w:w="2030" w:type="dxa"/>
            <w:tcBorders>
              <w:top w:val="single" w:color="auto" w:sz="4" w:space="0"/>
              <w:left w:val="single" w:color="auto" w:sz="4" w:space="0"/>
              <w:right w:val="single" w:color="auto" w:sz="4" w:space="0"/>
            </w:tcBorders>
            <w:shd w:val="clear" w:color="auto" w:fill="FFFFFF"/>
          </w:tcPr>
          <w:p>
            <w:pPr>
              <w:jc w:val="center"/>
              <w:rPr>
                <w:rFonts w:ascii="宋体" w:hAnsi="宋体" w:cs="宋体"/>
                <w:color w:val="252525"/>
                <w:sz w:val="18"/>
                <w:szCs w:val="18"/>
                <w:lang w:val="zh-TW" w:bidi="zh-TW"/>
              </w:rPr>
            </w:pPr>
            <w:r>
              <w:rPr>
                <w:rFonts w:hint="eastAsia" w:ascii="宋体" w:hAnsi="宋体" w:cs="宋体"/>
                <w:color w:val="252525"/>
                <w:sz w:val="18"/>
                <w:szCs w:val="18"/>
                <w:lang w:val="zh-TW" w:bidi="zh-TW"/>
              </w:rPr>
              <w:t>备注</w:t>
            </w:r>
          </w:p>
        </w:tc>
      </w:tr>
      <w:tr>
        <w:tblPrEx>
          <w:tblCellMar>
            <w:top w:w="0" w:type="dxa"/>
            <w:left w:w="10" w:type="dxa"/>
            <w:bottom w:w="0" w:type="dxa"/>
            <w:right w:w="10" w:type="dxa"/>
          </w:tblCellMar>
        </w:tblPrEx>
        <w:trPr>
          <w:trHeight w:val="382" w:hRule="exact"/>
          <w:jc w:val="center"/>
        </w:trPr>
        <w:tc>
          <w:tcPr>
            <w:tcW w:w="1249"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lang w:val="en-US" w:eastAsia="zh-CN"/>
              </w:rPr>
            </w:pPr>
            <w:r>
              <w:rPr>
                <w:rFonts w:hint="eastAsia"/>
                <w:sz w:val="18"/>
                <w:szCs w:val="18"/>
                <w:lang w:val="en-US" w:eastAsia="zh-CN"/>
              </w:rPr>
              <w:t>13</w:t>
            </w:r>
          </w:p>
        </w:tc>
        <w:tc>
          <w:tcPr>
            <w:tcW w:w="342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sz w:val="16"/>
                <w:szCs w:val="16"/>
                <w:lang w:eastAsia="zh-CN"/>
              </w:rPr>
            </w:pPr>
            <w:r>
              <w:rPr>
                <w:rFonts w:hint="eastAsia"/>
                <w:sz w:val="16"/>
                <w:szCs w:val="16"/>
                <w:lang w:eastAsia="zh-CN"/>
              </w:rPr>
              <w:t>高压输配电线路</w:t>
            </w:r>
          </w:p>
        </w:tc>
        <w:tc>
          <w:tcPr>
            <w:tcW w:w="90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6"/>
                <w:szCs w:val="16"/>
                <w:lang w:val="en-US" w:eastAsia="zh-CN"/>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bottom w:val="single" w:color="auto" w:sz="4" w:space="0"/>
            </w:tcBorders>
            <w:shd w:val="clear" w:color="auto" w:fill="FFFFFF"/>
          </w:tcPr>
          <w:p>
            <w:pPr>
              <w:rPr>
                <w:rFonts w:ascii="宋体" w:hAnsi="宋体" w:cs="宋体"/>
                <w:color w:val="252525"/>
                <w:sz w:val="18"/>
                <w:szCs w:val="18"/>
                <w:lang w:val="zh-TW" w:bidi="zh-TW"/>
              </w:rPr>
            </w:pPr>
          </w:p>
        </w:tc>
        <w:tc>
          <w:tcPr>
            <w:tcW w:w="2030" w:type="dxa"/>
            <w:tcBorders>
              <w:top w:val="single" w:color="auto" w:sz="4" w:space="0"/>
              <w:left w:val="single" w:color="auto" w:sz="4" w:space="0"/>
              <w:bottom w:val="single" w:color="auto" w:sz="4" w:space="0"/>
              <w:right w:val="single" w:color="auto" w:sz="4" w:space="0"/>
            </w:tcBorders>
            <w:shd w:val="clear" w:color="auto" w:fill="FFFFFF"/>
          </w:tcPr>
          <w:p>
            <w:pPr>
              <w:rPr>
                <w:rFonts w:ascii="宋体" w:hAnsi="宋体" w:cs="宋体"/>
                <w:color w:val="252525"/>
                <w:sz w:val="18"/>
                <w:szCs w:val="18"/>
                <w:lang w:val="zh-TW" w:bidi="zh-TW"/>
              </w:rPr>
            </w:pPr>
          </w:p>
        </w:tc>
      </w:tr>
      <w:tr>
        <w:tblPrEx>
          <w:tblCellMar>
            <w:top w:w="0" w:type="dxa"/>
            <w:left w:w="10" w:type="dxa"/>
            <w:bottom w:w="0" w:type="dxa"/>
            <w:right w:w="10" w:type="dxa"/>
          </w:tblCellMar>
        </w:tblPrEx>
        <w:trPr>
          <w:trHeight w:val="382" w:hRule="exact"/>
          <w:jc w:val="center"/>
        </w:trPr>
        <w:tc>
          <w:tcPr>
            <w:tcW w:w="1249"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lang w:val="en-US" w:eastAsia="zh-CN"/>
              </w:rPr>
            </w:pPr>
            <w:r>
              <w:rPr>
                <w:rFonts w:hint="eastAsia"/>
                <w:sz w:val="18"/>
                <w:szCs w:val="18"/>
                <w:lang w:val="en-US" w:eastAsia="zh-CN"/>
              </w:rPr>
              <w:t>14</w:t>
            </w:r>
          </w:p>
        </w:tc>
        <w:tc>
          <w:tcPr>
            <w:tcW w:w="342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color w:val="000000"/>
                <w:sz w:val="16"/>
                <w:szCs w:val="16"/>
                <w:lang w:val="en-US" w:eastAsia="zh-CN"/>
              </w:rPr>
            </w:pPr>
            <w:r>
              <w:rPr>
                <w:rFonts w:hint="eastAsia"/>
                <w:color w:val="000000"/>
                <w:sz w:val="16"/>
                <w:szCs w:val="16"/>
                <w:lang w:val="en-US" w:eastAsia="zh-CN"/>
              </w:rPr>
              <w:t>低压输电线路</w:t>
            </w:r>
          </w:p>
        </w:tc>
        <w:tc>
          <w:tcPr>
            <w:tcW w:w="90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color w:val="000000"/>
                <w:sz w:val="16"/>
                <w:szCs w:val="16"/>
              </w:rPr>
            </w:pPr>
            <w:r>
              <w:rPr>
                <w:rFonts w:ascii="Times New Roman" w:hAnsi="Times New Roman" w:eastAsia="Times New Roman" w:cs="Times New Roman"/>
                <w:color w:val="000000"/>
                <w:sz w:val="18"/>
                <w:szCs w:val="18"/>
                <w:lang w:val="en-US" w:eastAsia="en-US" w:bidi="en-US"/>
              </w:rPr>
              <w:t>km</w:t>
            </w:r>
          </w:p>
        </w:tc>
        <w:tc>
          <w:tcPr>
            <w:tcW w:w="1966" w:type="dxa"/>
            <w:tcBorders>
              <w:top w:val="single" w:color="auto" w:sz="4" w:space="0"/>
              <w:left w:val="single" w:color="auto" w:sz="4" w:space="0"/>
              <w:bottom w:val="single" w:color="auto" w:sz="4" w:space="0"/>
            </w:tcBorders>
            <w:shd w:val="clear" w:color="auto" w:fill="FFFFFF"/>
          </w:tcPr>
          <w:p>
            <w:pPr>
              <w:rPr>
                <w:rFonts w:ascii="宋体" w:hAnsi="宋体" w:cs="宋体"/>
                <w:color w:val="252525"/>
                <w:sz w:val="18"/>
                <w:szCs w:val="18"/>
                <w:lang w:val="zh-TW" w:bidi="zh-TW"/>
              </w:rPr>
            </w:pPr>
          </w:p>
        </w:tc>
        <w:tc>
          <w:tcPr>
            <w:tcW w:w="2030" w:type="dxa"/>
            <w:tcBorders>
              <w:top w:val="single" w:color="auto" w:sz="4" w:space="0"/>
              <w:left w:val="single" w:color="auto" w:sz="4" w:space="0"/>
              <w:bottom w:val="single" w:color="auto" w:sz="4" w:space="0"/>
              <w:right w:val="single" w:color="auto" w:sz="4" w:space="0"/>
            </w:tcBorders>
            <w:shd w:val="clear" w:color="auto" w:fill="FFFFFF"/>
          </w:tcPr>
          <w:p>
            <w:pPr>
              <w:rPr>
                <w:rFonts w:ascii="宋体" w:hAnsi="宋体" w:cs="宋体"/>
                <w:color w:val="252525"/>
                <w:sz w:val="18"/>
                <w:szCs w:val="18"/>
                <w:lang w:val="zh-TW" w:bidi="zh-TW"/>
              </w:rPr>
            </w:pPr>
          </w:p>
        </w:tc>
      </w:tr>
      <w:tr>
        <w:tblPrEx>
          <w:tblCellMar>
            <w:top w:w="0" w:type="dxa"/>
            <w:left w:w="10" w:type="dxa"/>
            <w:bottom w:w="0" w:type="dxa"/>
            <w:right w:w="10" w:type="dxa"/>
          </w:tblCellMar>
        </w:tblPrEx>
        <w:trPr>
          <w:trHeight w:val="382" w:hRule="exact"/>
          <w:jc w:val="center"/>
        </w:trPr>
        <w:tc>
          <w:tcPr>
            <w:tcW w:w="1249"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lang w:val="en-US" w:eastAsia="zh-CN"/>
              </w:rPr>
            </w:pPr>
          </w:p>
        </w:tc>
        <w:tc>
          <w:tcPr>
            <w:tcW w:w="342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color w:val="000000"/>
                <w:sz w:val="16"/>
                <w:szCs w:val="16"/>
                <w:lang w:val="en-US" w:eastAsia="zh-CN"/>
              </w:rPr>
            </w:pPr>
            <w:r>
              <w:rPr>
                <w:rFonts w:hint="eastAsia"/>
                <w:color w:val="000000"/>
                <w:sz w:val="16"/>
                <w:szCs w:val="16"/>
                <w:lang w:val="en-US" w:eastAsia="zh-CN"/>
              </w:rPr>
              <w:t>农田林网</w:t>
            </w:r>
          </w:p>
        </w:tc>
        <w:tc>
          <w:tcPr>
            <w:tcW w:w="90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lang w:val="en-US" w:eastAsia="zh-CN"/>
              </w:rPr>
            </w:pPr>
            <w:r>
              <w:rPr>
                <w:rFonts w:ascii="Times New Roman" w:hAnsi="Times New Roman" w:eastAsia="Times New Roman" w:cs="Times New Roman"/>
                <w:color w:val="000000"/>
                <w:sz w:val="18"/>
                <w:szCs w:val="18"/>
                <w:lang w:val="en-US" w:eastAsia="en-US" w:bidi="en-US"/>
              </w:rPr>
              <w:t>Km</w:t>
            </w:r>
            <w:r>
              <w:rPr>
                <w:rFonts w:hint="eastAsia" w:ascii="Times New Roman" w:hAnsi="Times New Roman" w:cs="Times New Roman"/>
                <w:color w:val="000000"/>
                <w:sz w:val="18"/>
                <w:szCs w:val="18"/>
                <w:lang w:val="en-US" w:eastAsia="zh-CN" w:bidi="en-US"/>
              </w:rPr>
              <w:t>，</w:t>
            </w:r>
            <w:r>
              <w:rPr>
                <w:rFonts w:ascii="Times New Roman" w:hAnsi="Times New Roman" w:eastAsia="Times New Roman" w:cs="Times New Roman"/>
                <w:color w:val="000000"/>
                <w:sz w:val="18"/>
                <w:szCs w:val="18"/>
                <w:lang w:val="en-US" w:eastAsia="en-US" w:bidi="en-US"/>
              </w:rPr>
              <w:t>hm</w:t>
            </w:r>
            <w:r>
              <w:rPr>
                <w:rFonts w:ascii="Times New Roman" w:hAnsi="Times New Roman" w:eastAsia="Times New Roman" w:cs="Times New Roman"/>
                <w:color w:val="000000"/>
                <w:sz w:val="18"/>
                <w:szCs w:val="18"/>
                <w:vertAlign w:val="superscript"/>
                <w:lang w:val="en-US" w:eastAsia="en-US" w:bidi="en-US"/>
              </w:rPr>
              <w:t>2</w:t>
            </w:r>
          </w:p>
        </w:tc>
        <w:tc>
          <w:tcPr>
            <w:tcW w:w="1966" w:type="dxa"/>
            <w:tcBorders>
              <w:top w:val="single" w:color="auto" w:sz="4" w:space="0"/>
              <w:left w:val="single" w:color="auto" w:sz="4" w:space="0"/>
              <w:bottom w:val="single" w:color="auto" w:sz="4" w:space="0"/>
            </w:tcBorders>
            <w:shd w:val="clear" w:color="auto" w:fill="FFFFFF"/>
          </w:tcPr>
          <w:p>
            <w:pPr>
              <w:rPr>
                <w:rFonts w:ascii="宋体" w:hAnsi="宋体" w:cs="宋体"/>
                <w:color w:val="252525"/>
                <w:sz w:val="18"/>
                <w:szCs w:val="18"/>
                <w:lang w:val="zh-TW" w:bidi="zh-TW"/>
              </w:rPr>
            </w:pPr>
          </w:p>
        </w:tc>
        <w:tc>
          <w:tcPr>
            <w:tcW w:w="2030" w:type="dxa"/>
            <w:tcBorders>
              <w:top w:val="single" w:color="auto" w:sz="4" w:space="0"/>
              <w:left w:val="single" w:color="auto" w:sz="4" w:space="0"/>
              <w:bottom w:val="single" w:color="auto" w:sz="4" w:space="0"/>
              <w:right w:val="single" w:color="auto" w:sz="4" w:space="0"/>
            </w:tcBorders>
            <w:shd w:val="clear" w:color="auto" w:fill="FFFFFF"/>
          </w:tcPr>
          <w:p>
            <w:pPr>
              <w:rPr>
                <w:rFonts w:ascii="宋体" w:hAnsi="宋体" w:cs="宋体"/>
                <w:color w:val="252525"/>
                <w:sz w:val="18"/>
                <w:szCs w:val="18"/>
                <w:lang w:val="zh-TW" w:bidi="zh-TW"/>
              </w:rPr>
            </w:pPr>
          </w:p>
        </w:tc>
      </w:tr>
      <w:tr>
        <w:tblPrEx>
          <w:tblCellMar>
            <w:top w:w="0" w:type="dxa"/>
            <w:left w:w="10" w:type="dxa"/>
            <w:bottom w:w="0" w:type="dxa"/>
            <w:right w:w="10" w:type="dxa"/>
          </w:tblCellMar>
        </w:tblPrEx>
        <w:trPr>
          <w:trHeight w:val="382" w:hRule="exact"/>
          <w:jc w:val="center"/>
        </w:trPr>
        <w:tc>
          <w:tcPr>
            <w:tcW w:w="1249"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sz w:val="18"/>
                <w:szCs w:val="18"/>
                <w:lang w:val="en-US" w:eastAsia="zh-CN"/>
              </w:rPr>
            </w:pPr>
          </w:p>
        </w:tc>
        <w:tc>
          <w:tcPr>
            <w:tcW w:w="342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left"/>
              <w:rPr>
                <w:color w:val="000000"/>
                <w:sz w:val="16"/>
                <w:szCs w:val="16"/>
                <w:lang w:val="en-US" w:eastAsia="zh-CN"/>
              </w:rPr>
            </w:pPr>
            <w:r>
              <w:rPr>
                <w:rFonts w:hint="eastAsia"/>
                <w:color w:val="000000"/>
                <w:sz w:val="16"/>
                <w:szCs w:val="16"/>
                <w:lang w:val="en-US" w:eastAsia="zh-CN"/>
              </w:rPr>
              <w:t>……</w:t>
            </w:r>
          </w:p>
        </w:tc>
        <w:tc>
          <w:tcPr>
            <w:tcW w:w="907" w:type="dxa"/>
            <w:tcBorders>
              <w:top w:val="single" w:color="auto" w:sz="4" w:space="0"/>
              <w:left w:val="single" w:color="auto" w:sz="4" w:space="0"/>
              <w:bottom w:val="single" w:color="auto" w:sz="4" w:space="0"/>
            </w:tcBorders>
            <w:shd w:val="clear" w:color="auto" w:fill="FFFFFF"/>
            <w:vAlign w:val="center"/>
          </w:tcPr>
          <w:p>
            <w:pPr>
              <w:pStyle w:val="183"/>
              <w:spacing w:line="240" w:lineRule="auto"/>
              <w:ind w:firstLine="0"/>
              <w:jc w:val="center"/>
              <w:rPr>
                <w:rFonts w:ascii="Times New Roman" w:hAnsi="Times New Roman" w:eastAsia="Times New Roman" w:cs="Times New Roman"/>
                <w:color w:val="000000"/>
                <w:sz w:val="18"/>
                <w:szCs w:val="18"/>
                <w:lang w:val="en-US" w:eastAsia="en-US" w:bidi="en-US"/>
              </w:rPr>
            </w:pPr>
          </w:p>
        </w:tc>
        <w:tc>
          <w:tcPr>
            <w:tcW w:w="1966" w:type="dxa"/>
            <w:tcBorders>
              <w:top w:val="single" w:color="auto" w:sz="4" w:space="0"/>
              <w:left w:val="single" w:color="auto" w:sz="4" w:space="0"/>
              <w:bottom w:val="single" w:color="auto" w:sz="4" w:space="0"/>
            </w:tcBorders>
            <w:shd w:val="clear" w:color="auto" w:fill="FFFFFF"/>
          </w:tcPr>
          <w:p>
            <w:pPr>
              <w:rPr>
                <w:rFonts w:ascii="宋体" w:hAnsi="宋体" w:cs="宋体"/>
                <w:color w:val="252525"/>
                <w:sz w:val="18"/>
                <w:szCs w:val="18"/>
                <w:lang w:val="zh-TW" w:bidi="zh-TW"/>
              </w:rPr>
            </w:pPr>
          </w:p>
        </w:tc>
        <w:tc>
          <w:tcPr>
            <w:tcW w:w="2030" w:type="dxa"/>
            <w:tcBorders>
              <w:top w:val="single" w:color="auto" w:sz="4" w:space="0"/>
              <w:left w:val="single" w:color="auto" w:sz="4" w:space="0"/>
              <w:bottom w:val="single" w:color="auto" w:sz="4" w:space="0"/>
              <w:right w:val="single" w:color="auto" w:sz="4" w:space="0"/>
            </w:tcBorders>
            <w:shd w:val="clear" w:color="auto" w:fill="FFFFFF"/>
          </w:tcPr>
          <w:p>
            <w:pPr>
              <w:rPr>
                <w:rFonts w:ascii="宋体" w:hAnsi="宋体" w:cs="宋体"/>
                <w:color w:val="252525"/>
                <w:sz w:val="18"/>
                <w:szCs w:val="18"/>
                <w:lang w:val="zh-TW" w:bidi="zh-TW"/>
              </w:rPr>
            </w:pPr>
          </w:p>
        </w:tc>
      </w:tr>
      <w:tr>
        <w:tblPrEx>
          <w:tblCellMar>
            <w:top w:w="0" w:type="dxa"/>
            <w:left w:w="10" w:type="dxa"/>
            <w:bottom w:w="0" w:type="dxa"/>
            <w:right w:w="10" w:type="dxa"/>
          </w:tblCellMar>
        </w:tblPrEx>
        <w:trPr>
          <w:trHeight w:val="2619" w:hRule="exact"/>
          <w:jc w:val="center"/>
        </w:trPr>
        <w:tc>
          <w:tcPr>
            <w:tcW w:w="9579"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sz w:val="16"/>
                <w:szCs w:val="16"/>
                <w:lang w:bidi="zh-TW"/>
              </w:rPr>
            </w:pPr>
            <w:r>
              <w:rPr>
                <w:rFonts w:hint="eastAsia" w:ascii="宋体" w:hAnsi="宋体" w:cs="宋体"/>
                <w:color w:val="000000"/>
                <w:sz w:val="16"/>
                <w:szCs w:val="16"/>
                <w:lang w:val="zh-TW" w:bidi="zh-TW"/>
              </w:rPr>
              <w:t>注</w:t>
            </w:r>
            <w:r>
              <w:rPr>
                <w:rFonts w:hint="eastAsia" w:ascii="宋体" w:hAnsi="宋体" w:cs="宋体"/>
                <w:color w:val="000000"/>
                <w:sz w:val="16"/>
                <w:szCs w:val="16"/>
                <w:lang w:bidi="zh-TW"/>
              </w:rPr>
              <w:t>1: 建设地点，是指高标准农田建设所在的</w:t>
            </w:r>
            <w:r>
              <w:rPr>
                <w:rFonts w:hint="eastAsia" w:ascii="宋体" w:hAnsi="宋体" w:cs="宋体"/>
                <w:color w:val="000000"/>
                <w:sz w:val="16"/>
                <w:szCs w:val="16"/>
                <w:lang w:val="en-US" w:eastAsia="zh-CN" w:bidi="zh-TW"/>
              </w:rPr>
              <w:t>区</w:t>
            </w:r>
            <w:r>
              <w:rPr>
                <w:rFonts w:hint="eastAsia" w:ascii="宋体" w:hAnsi="宋体" w:cs="宋体"/>
                <w:color w:val="000000"/>
                <w:sz w:val="16"/>
                <w:szCs w:val="16"/>
                <w:lang w:bidi="zh-TW"/>
              </w:rPr>
              <w:t>级、</w:t>
            </w:r>
            <w:r>
              <w:rPr>
                <w:rFonts w:hint="eastAsia" w:ascii="宋体" w:hAnsi="宋体" w:cs="宋体"/>
                <w:color w:val="000000"/>
                <w:sz w:val="16"/>
                <w:szCs w:val="16"/>
                <w:lang w:val="en-US" w:eastAsia="zh-CN" w:bidi="zh-TW"/>
              </w:rPr>
              <w:t>街道</w:t>
            </w:r>
            <w:r>
              <w:rPr>
                <w:rFonts w:hint="eastAsia" w:ascii="宋体" w:hAnsi="宋体" w:cs="宋体"/>
                <w:color w:val="000000"/>
                <w:sz w:val="16"/>
                <w:szCs w:val="16"/>
                <w:lang w:bidi="zh-TW"/>
              </w:rPr>
              <w:t>级和村级单位名称。</w:t>
            </w:r>
          </w:p>
          <w:p>
            <w:pPr>
              <w:pStyle w:val="8"/>
              <w:ind w:firstLine="0" w:firstLineChars="0"/>
              <w:rPr>
                <w:rFonts w:ascii="宋体" w:hAnsi="宋体" w:cs="宋体"/>
                <w:color w:val="000000"/>
                <w:sz w:val="16"/>
                <w:szCs w:val="16"/>
                <w:lang w:bidi="zh-TW"/>
              </w:rPr>
            </w:pPr>
            <w:r>
              <w:rPr>
                <w:rFonts w:hint="eastAsia" w:ascii="宋体" w:hAnsi="宋体" w:cs="宋体"/>
                <w:color w:val="000000"/>
                <w:sz w:val="16"/>
                <w:szCs w:val="16"/>
                <w:lang w:bidi="zh-TW"/>
              </w:rPr>
              <w:t>注2：建设规模，是指项目区实际动工的面积，也指农田基础设施控制的土地面积。</w:t>
            </w:r>
          </w:p>
          <w:p>
            <w:pPr>
              <w:pStyle w:val="8"/>
              <w:ind w:left="480" w:hanging="480" w:hangingChars="300"/>
              <w:rPr>
                <w:rFonts w:ascii="宋体" w:hAnsi="宋体" w:cs="宋体"/>
                <w:color w:val="000000"/>
                <w:sz w:val="16"/>
                <w:szCs w:val="16"/>
                <w:lang w:bidi="zh-TW"/>
              </w:rPr>
            </w:pPr>
            <w:r>
              <w:rPr>
                <w:rFonts w:hint="eastAsia" w:ascii="宋体" w:hAnsi="宋体" w:cs="宋体"/>
                <w:color w:val="000000"/>
                <w:sz w:val="16"/>
                <w:szCs w:val="16"/>
                <w:lang w:bidi="zh-TW"/>
              </w:rPr>
              <w:t>注3：项目区拐点坐标，是指项目区各个拐点的大地坐标，采用1980年国家大地坐标系，精确度毫米；也可用项目区四周最远处的拐点坐标表示。</w:t>
            </w:r>
          </w:p>
          <w:p>
            <w:pPr>
              <w:pStyle w:val="8"/>
              <w:ind w:left="480" w:hanging="480" w:hangingChars="300"/>
              <w:rPr>
                <w:rFonts w:ascii="宋体" w:hAnsi="宋体" w:cs="宋体"/>
                <w:color w:val="000000"/>
                <w:sz w:val="16"/>
                <w:szCs w:val="16"/>
                <w:lang w:bidi="zh-TW"/>
              </w:rPr>
            </w:pPr>
            <w:r>
              <w:rPr>
                <w:rFonts w:hint="eastAsia" w:ascii="宋体" w:hAnsi="宋体" w:cs="宋体"/>
                <w:color w:val="000000"/>
                <w:sz w:val="16"/>
                <w:szCs w:val="16"/>
                <w:lang w:bidi="zh-TW"/>
              </w:rPr>
              <w:t>注4：建成高标准农田平均等别（等级），是指项目建设完成后，各个耕地地块质量等别（等级）的加权平均值，用面积进行加权，该值介于1~15之间，保留一位小数。</w:t>
            </w:r>
          </w:p>
          <w:p>
            <w:pPr>
              <w:pStyle w:val="8"/>
              <w:ind w:left="480" w:hanging="480" w:hangingChars="300"/>
              <w:rPr>
                <w:rFonts w:ascii="宋体" w:hAnsi="宋体" w:cs="宋体"/>
                <w:color w:val="000000"/>
                <w:sz w:val="16"/>
                <w:szCs w:val="16"/>
                <w:lang w:bidi="zh-TW"/>
              </w:rPr>
            </w:pPr>
            <w:r>
              <w:rPr>
                <w:rFonts w:hint="eastAsia" w:ascii="宋体" w:hAnsi="宋体" w:cs="宋体"/>
                <w:color w:val="000000"/>
                <w:sz w:val="16"/>
                <w:szCs w:val="16"/>
                <w:lang w:bidi="zh-TW"/>
              </w:rPr>
              <w:t>注5：土壤改良面积，是指沙（粘）质土壤治理、酸化和盐碱土壤治理的面积。</w:t>
            </w:r>
          </w:p>
          <w:p>
            <w:pPr>
              <w:pStyle w:val="8"/>
              <w:ind w:left="480" w:hanging="480" w:hangingChars="300"/>
              <w:rPr>
                <w:rFonts w:ascii="宋体" w:hAnsi="宋体" w:cs="宋体"/>
                <w:color w:val="000000"/>
                <w:sz w:val="16"/>
                <w:szCs w:val="16"/>
                <w:lang w:bidi="zh-TW"/>
              </w:rPr>
            </w:pPr>
            <w:r>
              <w:rPr>
                <w:rFonts w:hint="eastAsia" w:ascii="宋体" w:hAnsi="宋体" w:cs="宋体"/>
                <w:color w:val="000000"/>
                <w:sz w:val="16"/>
                <w:szCs w:val="16"/>
                <w:lang w:bidi="zh-TW"/>
              </w:rPr>
              <w:t>注6：表中主要工程内容可增加。</w:t>
            </w:r>
          </w:p>
          <w:p>
            <w:pPr>
              <w:pStyle w:val="8"/>
              <w:ind w:firstLine="0" w:firstLineChars="0"/>
            </w:pPr>
          </w:p>
        </w:tc>
      </w:tr>
    </w:tbl>
    <w:p>
      <w:pPr>
        <w:pStyle w:val="47"/>
        <w:sectPr>
          <w:pgSz w:w="11906" w:h="16838"/>
          <w:pgMar w:top="2410" w:right="1134" w:bottom="1134" w:left="1134" w:header="1418" w:footer="1134" w:gutter="284"/>
          <w:cols w:space="425" w:num="1"/>
          <w:formProt w:val="0"/>
          <w:docGrid w:linePitch="312" w:charSpace="0"/>
        </w:sectPr>
      </w:pPr>
    </w:p>
    <w:p>
      <w:pPr>
        <w:jc w:val="center"/>
        <w:outlineLvl w:val="0"/>
        <w:rPr>
          <w:rFonts w:ascii="黑体" w:eastAsia="黑体"/>
        </w:rPr>
      </w:pPr>
      <w:bookmarkStart w:id="96" w:name="_Toc24336"/>
      <w:bookmarkStart w:id="97" w:name="_Toc4213"/>
      <w:r>
        <w:rPr>
          <w:rFonts w:hint="eastAsia" w:ascii="黑体" w:hAnsi="黑体" w:eastAsia="黑体"/>
          <w:color w:val="000000"/>
          <w:szCs w:val="21"/>
          <w:lang w:val="zh-TW" w:eastAsia="zh-TW"/>
        </w:rPr>
        <w:t>附录</w:t>
      </w:r>
      <w:r>
        <w:rPr>
          <w:rFonts w:hint="eastAsia" w:ascii="黑体" w:hAnsi="黑体" w:eastAsia="黑体"/>
          <w:color w:val="000000"/>
          <w:szCs w:val="21"/>
          <w:lang w:eastAsia="en-US"/>
        </w:rPr>
        <w:t>F</w:t>
      </w:r>
      <w:bookmarkEnd w:id="96"/>
      <w:r>
        <w:rPr>
          <w:rFonts w:ascii="黑体" w:eastAsia="黑体"/>
        </w:rPr>
        <w:br w:type="textWrapping"/>
      </w:r>
      <w:r>
        <w:rPr>
          <w:rFonts w:ascii="黑体" w:eastAsia="黑体"/>
        </w:rPr>
        <w:t>（规范性）</w:t>
      </w:r>
      <w:r>
        <w:rPr>
          <w:rFonts w:ascii="黑体" w:eastAsia="黑体"/>
        </w:rPr>
        <w:br w:type="textWrapping"/>
      </w:r>
      <w:r>
        <w:rPr>
          <w:rFonts w:ascii="黑体" w:eastAsia="黑体"/>
        </w:rPr>
        <w:t>高标准农田建设质量调查复核表</w:t>
      </w:r>
      <w:bookmarkEnd w:id="97"/>
    </w:p>
    <w:p>
      <w:pPr>
        <w:spacing w:after="180" w:line="299" w:lineRule="exact"/>
        <w:ind w:firstLine="420"/>
        <w:jc w:val="left"/>
        <w:rPr>
          <w:rFonts w:ascii="宋体" w:hAnsi="宋体" w:cs="宋体"/>
          <w:color w:val="252525"/>
          <w:szCs w:val="21"/>
          <w:lang w:val="zh-TW" w:eastAsia="zh-TW" w:bidi="zh-TW"/>
        </w:rPr>
      </w:pPr>
      <w:r>
        <w:rPr>
          <w:rFonts w:hint="eastAsia" w:ascii="宋体" w:hAnsi="宋体" w:cs="宋体"/>
          <w:color w:val="252525"/>
          <w:szCs w:val="21"/>
          <w:lang w:val="zh-TW" w:eastAsia="zh-TW" w:bidi="zh-TW"/>
        </w:rPr>
        <w:t>高标准农田建设质量调查复核表见表</w:t>
      </w:r>
      <w:r>
        <w:rPr>
          <w:rFonts w:hint="eastAsia" w:ascii="宋体" w:hAnsi="宋体" w:cs="宋体"/>
          <w:color w:val="252525"/>
          <w:szCs w:val="21"/>
          <w:lang w:eastAsia="en-US" w:bidi="en-US"/>
        </w:rPr>
        <w:t>F.1。</w:t>
      </w:r>
    </w:p>
    <w:p>
      <w:pPr>
        <w:spacing w:after="240" w:line="299" w:lineRule="exact"/>
        <w:jc w:val="center"/>
        <w:rPr>
          <w:rFonts w:ascii="黑体" w:hAnsi="黑体" w:eastAsia="黑体" w:cs="黑体"/>
          <w:color w:val="252525"/>
          <w:szCs w:val="21"/>
          <w:lang w:val="zh-TW" w:eastAsia="zh-TW" w:bidi="zh-TW"/>
        </w:rPr>
      </w:pPr>
      <w:r>
        <w:rPr>
          <w:rFonts w:hint="eastAsia" w:ascii="黑体" w:hAnsi="黑体" w:eastAsia="黑体" w:cs="黑体"/>
          <w:color w:val="252525"/>
          <w:szCs w:val="21"/>
          <w:lang w:val="zh-TW" w:eastAsia="zh-TW" w:bidi="zh-TW"/>
        </w:rPr>
        <w:t>表</w:t>
      </w:r>
      <w:r>
        <w:rPr>
          <w:rFonts w:hint="eastAsia" w:ascii="黑体" w:hAnsi="黑体" w:eastAsia="黑体" w:cs="黑体"/>
          <w:color w:val="252525"/>
          <w:szCs w:val="21"/>
          <w:lang w:eastAsia="en-US" w:bidi="en-US"/>
        </w:rPr>
        <w:t>F.1</w:t>
      </w:r>
      <w:r>
        <w:rPr>
          <w:rFonts w:hint="eastAsia" w:ascii="黑体" w:hAnsi="黑体" w:eastAsia="黑体" w:cs="黑体"/>
          <w:color w:val="252525"/>
          <w:szCs w:val="21"/>
          <w:lang w:val="zh-TW" w:eastAsia="zh-TW" w:bidi="zh-TW"/>
        </w:rPr>
        <w:t>高标准农田建设质量调查复核表</w:t>
      </w:r>
    </w:p>
    <w:p>
      <w:pPr>
        <w:tabs>
          <w:tab w:val="left" w:pos="6714"/>
        </w:tabs>
        <w:spacing w:after="8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项目名称：</w:t>
      </w:r>
      <w:r>
        <w:rPr>
          <w:rFonts w:ascii="宋体" w:hAnsi="宋体" w:cs="宋体"/>
          <w:color w:val="252525"/>
          <w:sz w:val="16"/>
          <w:szCs w:val="16"/>
          <w:lang w:val="zh-TW" w:eastAsia="zh-TW" w:bidi="zh-TW"/>
        </w:rPr>
        <w:tab/>
      </w:r>
      <w:r>
        <w:rPr>
          <w:rFonts w:ascii="宋体" w:hAnsi="宋体" w:cs="宋体"/>
          <w:color w:val="252525"/>
          <w:sz w:val="16"/>
          <w:szCs w:val="16"/>
          <w:lang w:val="zh-TW" w:eastAsia="zh-TW" w:bidi="zh-TW"/>
        </w:rPr>
        <w:t>调査人:</w:t>
      </w:r>
    </w:p>
    <w:tbl>
      <w:tblPr>
        <w:tblStyle w:val="36"/>
        <w:tblW w:w="0" w:type="auto"/>
        <w:jc w:val="center"/>
        <w:tblLayout w:type="fixed"/>
        <w:tblCellMar>
          <w:top w:w="0" w:type="dxa"/>
          <w:left w:w="10" w:type="dxa"/>
          <w:bottom w:w="0" w:type="dxa"/>
          <w:right w:w="10" w:type="dxa"/>
        </w:tblCellMar>
      </w:tblPr>
      <w:tblGrid>
        <w:gridCol w:w="734"/>
        <w:gridCol w:w="1573"/>
        <w:gridCol w:w="220"/>
        <w:gridCol w:w="1804"/>
        <w:gridCol w:w="288"/>
        <w:gridCol w:w="1519"/>
        <w:gridCol w:w="767"/>
        <w:gridCol w:w="662"/>
        <w:gridCol w:w="1670"/>
      </w:tblGrid>
      <w:tr>
        <w:tblPrEx>
          <w:tblCellMar>
            <w:top w:w="0" w:type="dxa"/>
            <w:left w:w="10" w:type="dxa"/>
            <w:bottom w:w="0" w:type="dxa"/>
            <w:right w:w="10" w:type="dxa"/>
          </w:tblCellMar>
        </w:tblPrEx>
        <w:trPr>
          <w:trHeight w:val="382" w:hRule="exact"/>
          <w:jc w:val="center"/>
        </w:trPr>
        <w:tc>
          <w:tcPr>
            <w:tcW w:w="2307"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开工日期（年/月）</w:t>
            </w:r>
          </w:p>
        </w:tc>
        <w:tc>
          <w:tcPr>
            <w:tcW w:w="2312" w:type="dxa"/>
            <w:gridSpan w:val="3"/>
            <w:tcBorders>
              <w:top w:val="single" w:color="auto" w:sz="4" w:space="0"/>
              <w:left w:val="single" w:color="auto" w:sz="4" w:space="0"/>
            </w:tcBorders>
            <w:shd w:val="clear" w:color="auto" w:fill="FFFFFF"/>
          </w:tcPr>
          <w:p>
            <w:pPr>
              <w:rPr>
                <w:sz w:val="10"/>
                <w:szCs w:val="10"/>
              </w:rPr>
            </w:pPr>
          </w:p>
        </w:tc>
        <w:tc>
          <w:tcPr>
            <w:tcW w:w="2286"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竣工日期（年/月）</w:t>
            </w:r>
          </w:p>
        </w:tc>
        <w:tc>
          <w:tcPr>
            <w:tcW w:w="2332" w:type="dxa"/>
            <w:gridSpan w:val="2"/>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2307"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建设规模</w:t>
            </w:r>
            <w:r>
              <w:rPr>
                <w:rFonts w:eastAsia="Times New Roman"/>
                <w:color w:val="252525"/>
                <w:sz w:val="18"/>
                <w:szCs w:val="18"/>
                <w:lang w:eastAsia="en-US" w:bidi="en-US"/>
              </w:rPr>
              <w:t>（hm</w:t>
            </w:r>
            <w:r>
              <w:rPr>
                <w:rFonts w:eastAsia="Times New Roman"/>
                <w:color w:val="252525"/>
                <w:sz w:val="18"/>
                <w:szCs w:val="18"/>
                <w:vertAlign w:val="superscript"/>
                <w:lang w:eastAsia="en-US" w:bidi="en-US"/>
              </w:rPr>
              <w:t>2</w:t>
            </w:r>
            <w:r>
              <w:rPr>
                <w:rFonts w:eastAsia="Times New Roman"/>
                <w:color w:val="252525"/>
                <w:sz w:val="18"/>
                <w:szCs w:val="18"/>
                <w:lang w:eastAsia="en-US" w:bidi="en-US"/>
              </w:rPr>
              <w:t>）</w:t>
            </w:r>
          </w:p>
        </w:tc>
        <w:tc>
          <w:tcPr>
            <w:tcW w:w="2312" w:type="dxa"/>
            <w:gridSpan w:val="3"/>
            <w:tcBorders>
              <w:top w:val="single" w:color="auto" w:sz="4" w:space="0"/>
              <w:left w:val="single" w:color="auto" w:sz="4" w:space="0"/>
            </w:tcBorders>
            <w:shd w:val="clear" w:color="auto" w:fill="FFFFFF"/>
          </w:tcPr>
          <w:p>
            <w:pPr>
              <w:rPr>
                <w:sz w:val="10"/>
                <w:szCs w:val="10"/>
              </w:rPr>
            </w:pPr>
          </w:p>
        </w:tc>
        <w:tc>
          <w:tcPr>
            <w:tcW w:w="2286"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资金投入（元</w:t>
            </w:r>
            <w:r>
              <w:rPr>
                <w:rFonts w:eastAsia="Times New Roman"/>
                <w:color w:val="252525"/>
                <w:sz w:val="18"/>
                <w:szCs w:val="18"/>
                <w:lang w:eastAsia="en-US" w:bidi="en-US"/>
              </w:rPr>
              <w:t>/hm</w:t>
            </w:r>
            <w:r>
              <w:rPr>
                <w:rFonts w:eastAsia="Times New Roman"/>
                <w:color w:val="252525"/>
                <w:sz w:val="18"/>
                <w:szCs w:val="18"/>
                <w:vertAlign w:val="superscript"/>
                <w:lang w:eastAsia="en-US" w:bidi="en-US"/>
              </w:rPr>
              <w:t>2</w:t>
            </w:r>
            <w:r>
              <w:rPr>
                <w:rFonts w:eastAsia="Times New Roman"/>
                <w:color w:val="252525"/>
                <w:sz w:val="18"/>
                <w:szCs w:val="18"/>
                <w:lang w:eastAsia="en-US" w:bidi="en-US"/>
              </w:rPr>
              <w:t>）</w:t>
            </w:r>
          </w:p>
        </w:tc>
        <w:tc>
          <w:tcPr>
            <w:tcW w:w="2332" w:type="dxa"/>
            <w:gridSpan w:val="2"/>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2307"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抽查样品数</w:t>
            </w:r>
          </w:p>
        </w:tc>
        <w:tc>
          <w:tcPr>
            <w:tcW w:w="2312" w:type="dxa"/>
            <w:gridSpan w:val="3"/>
            <w:tcBorders>
              <w:top w:val="single" w:color="auto" w:sz="4" w:space="0"/>
              <w:left w:val="single" w:color="auto" w:sz="4" w:space="0"/>
            </w:tcBorders>
            <w:shd w:val="clear" w:color="auto" w:fill="FFFFFF"/>
          </w:tcPr>
          <w:p>
            <w:pPr>
              <w:rPr>
                <w:sz w:val="10"/>
                <w:szCs w:val="10"/>
              </w:rPr>
            </w:pPr>
          </w:p>
        </w:tc>
        <w:tc>
          <w:tcPr>
            <w:tcW w:w="2286"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总样品数</w:t>
            </w:r>
          </w:p>
        </w:tc>
        <w:tc>
          <w:tcPr>
            <w:tcW w:w="2332" w:type="dxa"/>
            <w:gridSpan w:val="2"/>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720" w:hRule="exact"/>
          <w:jc w:val="center"/>
        </w:trPr>
        <w:tc>
          <w:tcPr>
            <w:tcW w:w="2307"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地形部位</w:t>
            </w:r>
          </w:p>
        </w:tc>
        <w:tc>
          <w:tcPr>
            <w:tcW w:w="6930" w:type="dxa"/>
            <w:gridSpan w:val="7"/>
            <w:tcBorders>
              <w:top w:val="single" w:color="auto" w:sz="4" w:space="0"/>
              <w:left w:val="single" w:color="auto" w:sz="4" w:space="0"/>
              <w:right w:val="single" w:color="auto" w:sz="4" w:space="0"/>
            </w:tcBorders>
            <w:shd w:val="clear" w:color="auto" w:fill="FFFFFF"/>
            <w:vAlign w:val="center"/>
          </w:tcPr>
          <w:p>
            <w:pPr>
              <w:tabs>
                <w:tab w:val="left" w:pos="1915"/>
              </w:tabs>
              <w:spacing w:after="80"/>
              <w:jc w:val="left"/>
              <w:rPr>
                <w:rFonts w:ascii="宋体" w:hAnsi="宋体" w:cs="宋体"/>
                <w:color w:val="252525"/>
                <w:sz w:val="18"/>
                <w:szCs w:val="18"/>
                <w:lang w:val="zh-TW" w:eastAsia="zh-TW" w:bidi="zh-TW"/>
              </w:rPr>
            </w:pPr>
            <w:r>
              <w:rPr>
                <w:rFonts w:ascii="宋体" w:hAnsi="宋体" w:cs="宋体"/>
                <w:color w:val="252525"/>
                <w:sz w:val="16"/>
                <w:szCs w:val="16"/>
                <w:lang w:eastAsia="en-US" w:bidi="en-US"/>
              </w:rPr>
              <w:t>□</w:t>
            </w:r>
            <w:r>
              <w:rPr>
                <w:rFonts w:ascii="宋体" w:hAnsi="宋体" w:cs="宋体"/>
                <w:color w:val="252525"/>
                <w:sz w:val="16"/>
                <w:szCs w:val="16"/>
                <w:lang w:val="zh-TW" w:eastAsia="zh-TW" w:bidi="zh-TW"/>
              </w:rPr>
              <w:t>平原区农田面积</w:t>
            </w:r>
            <w:r>
              <w:rPr>
                <w:rFonts w:ascii="宋体" w:hAnsi="宋体" w:cs="宋体"/>
                <w:color w:val="252525"/>
                <w:sz w:val="16"/>
                <w:szCs w:val="16"/>
                <w:lang w:val="zh-TW" w:eastAsia="zh-TW" w:bidi="zh-TW"/>
              </w:rPr>
              <w:tab/>
            </w:r>
            <w:r>
              <w:rPr>
                <w:rFonts w:eastAsia="Times New Roman"/>
                <w:color w:val="252525"/>
                <w:sz w:val="18"/>
                <w:szCs w:val="18"/>
                <w:lang w:eastAsia="en-US" w:bidi="en-US"/>
              </w:rPr>
              <w:t>hm</w:t>
            </w:r>
            <w:r>
              <w:rPr>
                <w:rFonts w:eastAsia="Times New Roman"/>
                <w:color w:val="252525"/>
                <w:sz w:val="18"/>
                <w:szCs w:val="18"/>
                <w:vertAlign w:val="superscript"/>
                <w:lang w:eastAsia="en-US" w:bidi="en-US"/>
              </w:rPr>
              <w:t>2</w:t>
            </w:r>
          </w:p>
          <w:p>
            <w:pPr>
              <w:tabs>
                <w:tab w:val="left" w:pos="1915"/>
              </w:tabs>
              <w:jc w:val="left"/>
              <w:rPr>
                <w:rFonts w:ascii="宋体" w:hAnsi="宋体" w:cs="宋体"/>
                <w:color w:val="252525"/>
                <w:sz w:val="18"/>
                <w:szCs w:val="18"/>
                <w:lang w:val="zh-TW" w:eastAsia="zh-TW" w:bidi="zh-TW"/>
              </w:rPr>
            </w:pPr>
            <w:r>
              <w:rPr>
                <w:rFonts w:ascii="宋体" w:hAnsi="宋体" w:cs="宋体"/>
                <w:color w:val="252525"/>
                <w:sz w:val="16"/>
                <w:szCs w:val="16"/>
                <w:lang w:eastAsia="en-US" w:bidi="en-US"/>
              </w:rPr>
              <w:t>□</w:t>
            </w:r>
            <w:r>
              <w:rPr>
                <w:rFonts w:ascii="宋体" w:hAnsi="宋体" w:cs="宋体"/>
                <w:color w:val="252525"/>
                <w:sz w:val="16"/>
                <w:szCs w:val="16"/>
                <w:lang w:val="zh-TW" w:eastAsia="zh-TW" w:bidi="zh-TW"/>
              </w:rPr>
              <w:t>丘陵区农田面积</w:t>
            </w:r>
            <w:r>
              <w:rPr>
                <w:rFonts w:ascii="宋体" w:hAnsi="宋体" w:cs="宋体"/>
                <w:color w:val="252525"/>
                <w:sz w:val="16"/>
                <w:szCs w:val="16"/>
                <w:lang w:val="zh-TW" w:eastAsia="zh-TW" w:bidi="zh-TW"/>
              </w:rPr>
              <w:tab/>
            </w:r>
            <w:r>
              <w:rPr>
                <w:rFonts w:eastAsia="Times New Roman"/>
                <w:color w:val="252525"/>
                <w:sz w:val="18"/>
                <w:szCs w:val="18"/>
                <w:lang w:eastAsia="en-US" w:bidi="en-US"/>
              </w:rPr>
              <w:t>hm</w:t>
            </w:r>
            <w:r>
              <w:rPr>
                <w:rFonts w:eastAsia="Times New Roman"/>
                <w:color w:val="252525"/>
                <w:sz w:val="18"/>
                <w:szCs w:val="18"/>
                <w:vertAlign w:val="superscript"/>
                <w:lang w:eastAsia="en-US" w:bidi="en-US"/>
              </w:rPr>
              <w:t>2</w:t>
            </w:r>
          </w:p>
        </w:tc>
      </w:tr>
      <w:tr>
        <w:tblPrEx>
          <w:tblCellMar>
            <w:top w:w="0" w:type="dxa"/>
            <w:left w:w="10" w:type="dxa"/>
            <w:bottom w:w="0" w:type="dxa"/>
            <w:right w:w="10" w:type="dxa"/>
          </w:tblCellMar>
        </w:tblPrEx>
        <w:trPr>
          <w:trHeight w:val="364" w:hRule="exact"/>
          <w:jc w:val="center"/>
        </w:trPr>
        <w:tc>
          <w:tcPr>
            <w:tcW w:w="2307" w:type="dxa"/>
            <w:gridSpan w:val="2"/>
            <w:tcBorders>
              <w:top w:val="single" w:color="auto" w:sz="4" w:space="0"/>
              <w:left w:val="single" w:color="auto" w:sz="4" w:space="0"/>
            </w:tcBorders>
            <w:shd w:val="clear" w:color="auto" w:fill="FFFFFF"/>
            <w:vAlign w:val="center"/>
          </w:tcPr>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耕地质量等别（等级）</w:t>
            </w:r>
          </w:p>
        </w:tc>
        <w:tc>
          <w:tcPr>
            <w:tcW w:w="6930" w:type="dxa"/>
            <w:gridSpan w:val="7"/>
            <w:tcBorders>
              <w:top w:val="single" w:color="auto" w:sz="4" w:space="0"/>
              <w:left w:val="single" w:color="auto" w:sz="4" w:space="0"/>
              <w:right w:val="single" w:color="auto" w:sz="4" w:space="0"/>
            </w:tcBorders>
            <w:shd w:val="clear" w:color="auto" w:fill="FFFFFF"/>
            <w:vAlign w:val="center"/>
          </w:tcPr>
          <w:p>
            <w:pPr>
              <w:tabs>
                <w:tab w:val="left" w:pos="2257"/>
                <w:tab w:val="left" w:pos="4680"/>
              </w:tabs>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建设前等别：</w:t>
            </w:r>
            <w:r>
              <w:rPr>
                <w:rFonts w:ascii="宋体" w:hAnsi="宋体" w:cs="宋体"/>
                <w:color w:val="252525"/>
                <w:sz w:val="16"/>
                <w:szCs w:val="16"/>
                <w:lang w:val="zh-TW" w:eastAsia="zh-TW" w:bidi="zh-TW"/>
              </w:rPr>
              <w:tab/>
            </w:r>
            <w:r>
              <w:rPr>
                <w:rFonts w:ascii="宋体" w:hAnsi="宋体" w:cs="宋体"/>
                <w:color w:val="252525"/>
                <w:sz w:val="16"/>
                <w:szCs w:val="16"/>
                <w:lang w:val="zh-TW" w:eastAsia="zh-TW" w:bidi="zh-TW"/>
              </w:rPr>
              <w:t>建设后等别：</w:t>
            </w:r>
            <w:r>
              <w:rPr>
                <w:rFonts w:ascii="宋体" w:hAnsi="宋体" w:cs="宋体"/>
                <w:color w:val="252525"/>
                <w:sz w:val="16"/>
                <w:szCs w:val="16"/>
                <w:lang w:val="zh-TW" w:eastAsia="zh-TW" w:bidi="zh-TW"/>
              </w:rPr>
              <w:tab/>
            </w:r>
            <w:r>
              <w:rPr>
                <w:rFonts w:ascii="宋体" w:hAnsi="宋体" w:cs="宋体"/>
                <w:color w:val="252525"/>
                <w:sz w:val="16"/>
                <w:szCs w:val="16"/>
                <w:lang w:val="zh-TW" w:eastAsia="zh-TW" w:bidi="zh-TW"/>
              </w:rPr>
              <w:t>提高值：</w:t>
            </w:r>
          </w:p>
        </w:tc>
      </w:tr>
      <w:tr>
        <w:tblPrEx>
          <w:tblCellMar>
            <w:top w:w="0" w:type="dxa"/>
            <w:left w:w="10" w:type="dxa"/>
            <w:bottom w:w="0" w:type="dxa"/>
            <w:right w:w="10" w:type="dxa"/>
          </w:tblCellMar>
        </w:tblPrEx>
        <w:trPr>
          <w:trHeight w:val="2138" w:hRule="exact"/>
          <w:jc w:val="center"/>
        </w:trPr>
        <w:tc>
          <w:tcPr>
            <w:tcW w:w="2307" w:type="dxa"/>
            <w:gridSpan w:val="2"/>
            <w:tcBorders>
              <w:top w:val="single" w:color="auto" w:sz="4" w:space="0"/>
              <w:left w:val="single" w:color="auto" w:sz="4" w:space="0"/>
            </w:tcBorders>
            <w:shd w:val="clear" w:color="auto" w:fill="FFFFFF"/>
            <w:vAlign w:val="center"/>
          </w:tcPr>
          <w:p>
            <w:pPr>
              <w:spacing w:after="10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主要建设内容</w:t>
            </w:r>
          </w:p>
          <w:p>
            <w:pPr>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（可多选）</w:t>
            </w:r>
          </w:p>
        </w:tc>
        <w:tc>
          <w:tcPr>
            <w:tcW w:w="6930" w:type="dxa"/>
            <w:gridSpan w:val="7"/>
            <w:tcBorders>
              <w:top w:val="single" w:color="auto" w:sz="4" w:space="0"/>
              <w:left w:val="single" w:color="auto" w:sz="4" w:space="0"/>
              <w:right w:val="single" w:color="auto" w:sz="4" w:space="0"/>
            </w:tcBorders>
            <w:shd w:val="clear" w:color="auto" w:fill="FFFFFF"/>
            <w:vAlign w:val="bottom"/>
          </w:tcPr>
          <w:p>
            <w:pPr>
              <w:numPr>
                <w:ilvl w:val="0"/>
                <w:numId w:val="21"/>
              </w:numPr>
              <w:tabs>
                <w:tab w:val="left" w:pos="356"/>
              </w:tabs>
              <w:spacing w:after="60"/>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土地平整：土地平整面积</w:t>
            </w:r>
            <w:r>
              <w:rPr>
                <w:rFonts w:ascii="宋体" w:hAnsi="宋体" w:cs="宋体"/>
                <w:color w:val="252525"/>
                <w:sz w:val="16"/>
                <w:szCs w:val="16"/>
                <w:lang w:val="zh-CN" w:bidi="zh-CN"/>
              </w:rPr>
              <w:t>—</w:t>
            </w:r>
            <w:r>
              <w:rPr>
                <w:rFonts w:eastAsia="Times New Roman"/>
                <w:color w:val="252525"/>
                <w:sz w:val="18"/>
                <w:szCs w:val="18"/>
                <w:lang w:eastAsia="en-US" w:bidi="en-US"/>
              </w:rPr>
              <w:t>hm</w:t>
            </w:r>
            <w:r>
              <w:rPr>
                <w:rFonts w:eastAsia="Times New Roman"/>
                <w:color w:val="252525"/>
                <w:sz w:val="18"/>
                <w:szCs w:val="18"/>
                <w:vertAlign w:val="superscript"/>
                <w:lang w:eastAsia="en-US" w:bidi="en-US"/>
              </w:rPr>
              <w:t>2</w:t>
            </w:r>
            <w:r>
              <w:rPr>
                <w:rFonts w:eastAsia="Times New Roman"/>
                <w:color w:val="252525"/>
                <w:sz w:val="18"/>
                <w:szCs w:val="18"/>
                <w:lang w:eastAsia="en-US" w:bidi="en-US"/>
              </w:rPr>
              <w:t>,</w:t>
            </w:r>
            <w:r>
              <w:rPr>
                <w:rFonts w:ascii="宋体" w:hAnsi="宋体" w:cs="宋体"/>
                <w:color w:val="252525"/>
                <w:sz w:val="16"/>
                <w:szCs w:val="16"/>
                <w:lang w:val="zh-TW" w:eastAsia="zh-TW" w:bidi="zh-TW"/>
              </w:rPr>
              <w:t>挖填土方量_万</w:t>
            </w:r>
            <w:r>
              <w:rPr>
                <w:rFonts w:eastAsia="Times New Roman"/>
                <w:color w:val="252525"/>
                <w:sz w:val="18"/>
                <w:szCs w:val="18"/>
                <w:lang w:eastAsia="en-US" w:bidi="en-US"/>
              </w:rPr>
              <w:t>m</w:t>
            </w:r>
            <w:r>
              <w:rPr>
                <w:rFonts w:hint="eastAsia"/>
                <w:color w:val="252525"/>
                <w:sz w:val="18"/>
                <w:szCs w:val="18"/>
                <w:vertAlign w:val="superscript"/>
                <w:lang w:bidi="en-US"/>
              </w:rPr>
              <w:t>3</w:t>
            </w:r>
          </w:p>
          <w:p>
            <w:pPr>
              <w:numPr>
                <w:ilvl w:val="0"/>
                <w:numId w:val="21"/>
              </w:numPr>
              <w:tabs>
                <w:tab w:val="left" w:pos="356"/>
                <w:tab w:val="left" w:leader="underscore" w:pos="2167"/>
              </w:tabs>
              <w:spacing w:after="60"/>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土壤改良:客土回填</w:t>
            </w:r>
            <w:r>
              <w:rPr>
                <w:rFonts w:ascii="宋体" w:hAnsi="宋体" w:cs="宋体"/>
                <w:color w:val="252525"/>
                <w:sz w:val="16"/>
                <w:szCs w:val="16"/>
                <w:lang w:val="zh-TW" w:eastAsia="zh-TW" w:bidi="zh-TW"/>
              </w:rPr>
              <w:tab/>
            </w:r>
            <w:r>
              <w:rPr>
                <w:rFonts w:ascii="宋体" w:hAnsi="宋体" w:cs="宋体"/>
                <w:color w:val="252525"/>
                <w:sz w:val="16"/>
                <w:szCs w:val="16"/>
                <w:lang w:val="zh-TW" w:eastAsia="zh-TW" w:bidi="zh-TW"/>
              </w:rPr>
              <w:t>万</w:t>
            </w:r>
            <w:r>
              <w:rPr>
                <w:rFonts w:eastAsia="Times New Roman"/>
                <w:color w:val="252525"/>
                <w:sz w:val="18"/>
                <w:szCs w:val="18"/>
                <w:lang w:eastAsia="en-US" w:bidi="en-US"/>
              </w:rPr>
              <w:t>m</w:t>
            </w:r>
            <w:r>
              <w:rPr>
                <w:rFonts w:hint="eastAsia"/>
                <w:color w:val="252525"/>
                <w:sz w:val="18"/>
                <w:szCs w:val="18"/>
                <w:vertAlign w:val="superscript"/>
                <w:lang w:bidi="en-US"/>
              </w:rPr>
              <w:t>3</w:t>
            </w:r>
            <w:r>
              <w:rPr>
                <w:rFonts w:eastAsia="Times New Roman"/>
                <w:color w:val="252525"/>
                <w:sz w:val="18"/>
                <w:szCs w:val="18"/>
                <w:lang w:eastAsia="en-US" w:bidi="en-US"/>
              </w:rPr>
              <w:t>,</w:t>
            </w:r>
            <w:r>
              <w:rPr>
                <w:rFonts w:ascii="宋体" w:hAnsi="宋体" w:cs="宋体"/>
                <w:color w:val="252525"/>
                <w:sz w:val="16"/>
                <w:szCs w:val="16"/>
                <w:lang w:val="zh-TW" w:eastAsia="zh-TW" w:bidi="zh-TW"/>
              </w:rPr>
              <w:t>耕作层剥离_万</w:t>
            </w:r>
            <w:r>
              <w:rPr>
                <w:rFonts w:eastAsia="Times New Roman"/>
                <w:color w:val="252525"/>
                <w:sz w:val="18"/>
                <w:szCs w:val="18"/>
                <w:lang w:eastAsia="en-US" w:bidi="en-US"/>
              </w:rPr>
              <w:t>m</w:t>
            </w:r>
            <w:r>
              <w:rPr>
                <w:rFonts w:hint="eastAsia"/>
                <w:color w:val="252525"/>
                <w:sz w:val="18"/>
                <w:szCs w:val="18"/>
                <w:vertAlign w:val="superscript"/>
                <w:lang w:bidi="en-US"/>
              </w:rPr>
              <w:t>3</w:t>
            </w:r>
            <w:r>
              <w:rPr>
                <w:rFonts w:eastAsia="Times New Roman"/>
                <w:color w:val="252525"/>
                <w:sz w:val="18"/>
                <w:szCs w:val="18"/>
                <w:lang w:eastAsia="en-US" w:bidi="en-US"/>
              </w:rPr>
              <w:t>,</w:t>
            </w:r>
            <w:r>
              <w:rPr>
                <w:rFonts w:ascii="宋体" w:hAnsi="宋体" w:cs="宋体"/>
                <w:color w:val="252525"/>
                <w:sz w:val="16"/>
                <w:szCs w:val="16"/>
                <w:lang w:val="zh-TW" w:eastAsia="zh-TW" w:bidi="zh-TW"/>
              </w:rPr>
              <w:t>施有机肥_万</w:t>
            </w:r>
            <w:r>
              <w:rPr>
                <w:rFonts w:eastAsia="Times New Roman"/>
                <w:color w:val="252525"/>
                <w:sz w:val="18"/>
                <w:szCs w:val="18"/>
                <w:lang w:eastAsia="en-US" w:bidi="en-US"/>
              </w:rPr>
              <w:t>kg</w:t>
            </w:r>
          </w:p>
          <w:p>
            <w:pPr>
              <w:spacing w:after="60"/>
              <w:jc w:val="left"/>
              <w:rPr>
                <w:rFonts w:ascii="宋体" w:hAnsi="宋体" w:cs="宋体"/>
                <w:color w:val="252525"/>
                <w:sz w:val="18"/>
                <w:szCs w:val="18"/>
                <w:lang w:val="zh-TW" w:eastAsia="zh-TW" w:bidi="zh-TW"/>
              </w:rPr>
            </w:pPr>
            <w:r>
              <w:rPr>
                <w:rFonts w:ascii="宋体" w:hAnsi="宋体" w:cs="宋体"/>
                <w:color w:val="252525"/>
                <w:sz w:val="16"/>
                <w:szCs w:val="16"/>
                <w:lang w:eastAsia="en-US" w:bidi="en-US"/>
              </w:rPr>
              <w:t>□</w:t>
            </w:r>
            <w:r>
              <w:rPr>
                <w:rFonts w:ascii="宋体" w:hAnsi="宋体" w:cs="宋体"/>
                <w:color w:val="252525"/>
                <w:sz w:val="16"/>
                <w:szCs w:val="16"/>
                <w:lang w:val="zh-TW" w:eastAsia="zh-TW" w:bidi="zh-TW"/>
              </w:rPr>
              <w:t>灌溉排水:修建</w:t>
            </w:r>
            <w:r>
              <w:rPr>
                <w:rFonts w:ascii="宋体" w:hAnsi="宋体" w:cs="宋体"/>
                <w:color w:val="252525"/>
                <w:sz w:val="16"/>
                <w:szCs w:val="16"/>
                <w:lang w:val="zh-CN" w:bidi="zh-CN"/>
              </w:rPr>
              <w:t>—</w:t>
            </w:r>
            <w:r>
              <w:rPr>
                <w:rFonts w:ascii="宋体" w:hAnsi="宋体" w:cs="宋体"/>
                <w:color w:val="252525"/>
                <w:sz w:val="16"/>
                <w:szCs w:val="16"/>
                <w:lang w:val="zh-TW" w:eastAsia="zh-TW" w:bidi="zh-TW"/>
              </w:rPr>
              <w:t>（水源）</w:t>
            </w:r>
            <w:r>
              <w:rPr>
                <w:rFonts w:ascii="宋体" w:hAnsi="宋体" w:cs="宋体"/>
                <w:color w:val="252525"/>
                <w:sz w:val="16"/>
                <w:szCs w:val="16"/>
                <w:lang w:val="zh-CN" w:bidi="zh-CN"/>
              </w:rPr>
              <w:t>—</w:t>
            </w:r>
            <w:r>
              <w:rPr>
                <w:rFonts w:ascii="宋体" w:hAnsi="宋体" w:cs="宋体"/>
                <w:color w:val="252525"/>
                <w:sz w:val="16"/>
                <w:szCs w:val="16"/>
                <w:lang w:val="zh-TW" w:eastAsia="zh-TW" w:bidi="zh-TW"/>
              </w:rPr>
              <w:t>座，各级渠道</w:t>
            </w:r>
            <w:r>
              <w:rPr>
                <w:rFonts w:ascii="宋体" w:hAnsi="宋体" w:cs="宋体"/>
                <w:color w:val="252525"/>
                <w:sz w:val="16"/>
                <w:szCs w:val="16"/>
                <w:lang w:val="zh-CN" w:bidi="zh-CN"/>
              </w:rPr>
              <w:t>—</w:t>
            </w:r>
            <w:r>
              <w:rPr>
                <w:rFonts w:eastAsia="Times New Roman"/>
                <w:color w:val="252525"/>
                <w:sz w:val="18"/>
                <w:szCs w:val="18"/>
                <w:lang w:eastAsia="en-US" w:bidi="en-US"/>
              </w:rPr>
              <w:t>km,</w:t>
            </w:r>
            <w:r>
              <w:rPr>
                <w:rFonts w:ascii="宋体" w:hAnsi="宋体" w:cs="宋体"/>
                <w:color w:val="252525"/>
                <w:sz w:val="16"/>
                <w:szCs w:val="16"/>
                <w:lang w:val="zh-TW" w:eastAsia="zh-TW" w:bidi="zh-TW"/>
              </w:rPr>
              <w:t>各级排水沟_</w:t>
            </w:r>
            <w:r>
              <w:rPr>
                <w:rFonts w:eastAsia="Times New Roman"/>
                <w:color w:val="252525"/>
                <w:sz w:val="18"/>
                <w:szCs w:val="18"/>
                <w:lang w:eastAsia="en-US" w:bidi="en-US"/>
              </w:rPr>
              <w:t>km</w:t>
            </w:r>
          </w:p>
          <w:p>
            <w:pPr>
              <w:numPr>
                <w:ilvl w:val="0"/>
                <w:numId w:val="21"/>
              </w:numPr>
              <w:tabs>
                <w:tab w:val="left" w:pos="371"/>
              </w:tabs>
              <w:spacing w:after="60"/>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田间道路:修建各类田间道</w:t>
            </w:r>
            <w:r>
              <w:rPr>
                <w:rFonts w:ascii="宋体" w:hAnsi="宋体" w:cs="宋体"/>
                <w:color w:val="252525"/>
                <w:sz w:val="16"/>
                <w:szCs w:val="16"/>
                <w:lang w:val="zh-CN" w:bidi="zh-CN"/>
              </w:rPr>
              <w:t>—</w:t>
            </w:r>
            <w:r>
              <w:rPr>
                <w:rFonts w:eastAsia="Times New Roman"/>
                <w:color w:val="252525"/>
                <w:sz w:val="18"/>
                <w:szCs w:val="18"/>
                <w:lang w:eastAsia="en-US" w:bidi="en-US"/>
              </w:rPr>
              <w:t>km,</w:t>
            </w:r>
            <w:r>
              <w:rPr>
                <w:rFonts w:ascii="宋体" w:hAnsi="宋体" w:cs="宋体"/>
                <w:color w:val="252525"/>
                <w:sz w:val="16"/>
                <w:szCs w:val="16"/>
                <w:lang w:val="zh-TW" w:eastAsia="zh-TW" w:bidi="zh-TW"/>
              </w:rPr>
              <w:t>生产路_</w:t>
            </w:r>
            <w:r>
              <w:rPr>
                <w:rFonts w:eastAsia="Times New Roman"/>
                <w:color w:val="252525"/>
                <w:sz w:val="18"/>
                <w:szCs w:val="18"/>
                <w:lang w:eastAsia="en-US" w:bidi="en-US"/>
              </w:rPr>
              <w:t>km</w:t>
            </w:r>
          </w:p>
          <w:p>
            <w:pPr>
              <w:numPr>
                <w:ilvl w:val="0"/>
                <w:numId w:val="21"/>
              </w:numPr>
              <w:tabs>
                <w:tab w:val="left" w:pos="353"/>
              </w:tabs>
              <w:spacing w:after="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农田防护:路沟两侧种树</w:t>
            </w:r>
            <w:r>
              <w:rPr>
                <w:rFonts w:ascii="宋体" w:hAnsi="宋体" w:cs="宋体"/>
                <w:color w:val="252525"/>
                <w:sz w:val="16"/>
                <w:szCs w:val="16"/>
                <w:lang w:val="zh-CN" w:bidi="zh-CN"/>
              </w:rPr>
              <w:t>—</w:t>
            </w:r>
            <w:r>
              <w:rPr>
                <w:rFonts w:ascii="宋体" w:hAnsi="宋体" w:cs="宋体"/>
                <w:color w:val="252525"/>
                <w:sz w:val="16"/>
                <w:szCs w:val="16"/>
                <w:lang w:val="zh-TW" w:eastAsia="zh-TW" w:bidi="zh-TW"/>
              </w:rPr>
              <w:t>株,项目区共植树</w:t>
            </w:r>
            <w:r>
              <w:rPr>
                <w:rFonts w:ascii="宋体" w:hAnsi="宋体" w:cs="宋体"/>
                <w:color w:val="252525"/>
                <w:sz w:val="16"/>
                <w:szCs w:val="16"/>
                <w:lang w:val="zh-CN" w:bidi="zh-CN"/>
              </w:rPr>
              <w:t>—</w:t>
            </w:r>
            <w:r>
              <w:rPr>
                <w:rFonts w:ascii="宋体" w:hAnsi="宋体" w:cs="宋体"/>
                <w:color w:val="252525"/>
                <w:sz w:val="16"/>
                <w:szCs w:val="16"/>
                <w:lang w:val="zh-TW" w:eastAsia="zh-TW" w:bidi="zh-TW"/>
              </w:rPr>
              <w:t>株</w:t>
            </w:r>
          </w:p>
          <w:p>
            <w:pPr>
              <w:numPr>
                <w:ilvl w:val="0"/>
                <w:numId w:val="21"/>
              </w:numPr>
              <w:tabs>
                <w:tab w:val="left" w:pos="371"/>
              </w:tabs>
              <w:spacing w:after="60"/>
              <w:jc w:val="left"/>
              <w:rPr>
                <w:rFonts w:ascii="宋体" w:hAnsi="宋体" w:cs="宋体"/>
                <w:color w:val="252525"/>
                <w:sz w:val="18"/>
                <w:szCs w:val="18"/>
                <w:lang w:val="zh-TW" w:eastAsia="zh-TW" w:bidi="zh-TW"/>
              </w:rPr>
            </w:pPr>
            <w:r>
              <w:rPr>
                <w:rFonts w:ascii="宋体" w:hAnsi="宋体" w:cs="宋体"/>
                <w:color w:val="252525"/>
                <w:sz w:val="16"/>
                <w:szCs w:val="16"/>
                <w:lang w:val="zh-TW" w:eastAsia="zh-TW" w:bidi="zh-TW"/>
              </w:rPr>
              <w:t>电力工程:架设各类输电线路长度</w:t>
            </w:r>
            <w:r>
              <w:rPr>
                <w:rFonts w:ascii="宋体" w:hAnsi="宋体" w:cs="宋体"/>
                <w:color w:val="252525"/>
                <w:sz w:val="16"/>
                <w:szCs w:val="16"/>
                <w:lang w:val="zh-CN" w:bidi="zh-CN"/>
              </w:rPr>
              <w:t>—</w:t>
            </w:r>
            <w:r>
              <w:rPr>
                <w:rFonts w:eastAsia="Times New Roman"/>
                <w:color w:val="252525"/>
                <w:sz w:val="18"/>
                <w:szCs w:val="18"/>
                <w:lang w:eastAsia="en-US" w:bidi="en-US"/>
              </w:rPr>
              <w:t>km</w:t>
            </w:r>
          </w:p>
          <w:p>
            <w:pPr>
              <w:tabs>
                <w:tab w:val="left" w:leader="underscore" w:pos="4208"/>
              </w:tabs>
              <w:spacing w:after="60"/>
              <w:jc w:val="left"/>
              <w:rPr>
                <w:rFonts w:ascii="宋体" w:hAnsi="宋体" w:cs="宋体"/>
                <w:color w:val="252525"/>
                <w:sz w:val="16"/>
                <w:szCs w:val="16"/>
                <w:lang w:val="zh-TW" w:eastAsia="zh-TW" w:bidi="zh-TW"/>
              </w:rPr>
            </w:pPr>
            <w:r>
              <w:rPr>
                <w:rFonts w:ascii="宋体" w:hAnsi="宋体" w:cs="宋体"/>
                <w:color w:val="252525"/>
                <w:sz w:val="16"/>
                <w:szCs w:val="16"/>
                <w:lang w:eastAsia="en-US" w:bidi="en-US"/>
              </w:rPr>
              <w:t>□</w:t>
            </w:r>
            <w:r>
              <w:rPr>
                <w:rFonts w:ascii="宋体" w:hAnsi="宋体" w:cs="宋体"/>
                <w:color w:val="252525"/>
                <w:sz w:val="16"/>
                <w:szCs w:val="16"/>
                <w:lang w:val="zh-TW" w:eastAsia="zh-TW" w:bidi="zh-TW"/>
              </w:rPr>
              <w:t>其他工程:</w:t>
            </w:r>
            <w:r>
              <w:rPr>
                <w:rFonts w:ascii="宋体" w:hAnsi="宋体" w:cs="宋体"/>
                <w:color w:val="252525"/>
                <w:sz w:val="16"/>
                <w:szCs w:val="16"/>
                <w:lang w:val="zh-TW" w:eastAsia="zh-TW" w:bidi="zh-TW"/>
              </w:rPr>
              <w:tab/>
            </w:r>
          </w:p>
        </w:tc>
      </w:tr>
      <w:tr>
        <w:tblPrEx>
          <w:tblCellMar>
            <w:top w:w="0" w:type="dxa"/>
            <w:left w:w="10" w:type="dxa"/>
            <w:bottom w:w="0" w:type="dxa"/>
            <w:right w:w="10" w:type="dxa"/>
          </w:tblCellMar>
        </w:tblPrEx>
        <w:trPr>
          <w:trHeight w:val="392" w:hRule="exact"/>
          <w:jc w:val="center"/>
        </w:trPr>
        <w:tc>
          <w:tcPr>
            <w:tcW w:w="734"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000000"/>
                <w:sz w:val="16"/>
                <w:szCs w:val="16"/>
                <w:lang w:val="zh-TW" w:eastAsia="zh-TW" w:bidi="zh-TW"/>
              </w:rPr>
              <w:t>序号</w:t>
            </w:r>
          </w:p>
        </w:tc>
        <w:tc>
          <w:tcPr>
            <w:tcW w:w="1793" w:type="dxa"/>
            <w:gridSpan w:val="2"/>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评价指标</w:t>
            </w:r>
          </w:p>
        </w:tc>
        <w:tc>
          <w:tcPr>
            <w:tcW w:w="1804" w:type="dxa"/>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取样位置与数量</w:t>
            </w:r>
          </w:p>
        </w:tc>
        <w:tc>
          <w:tcPr>
            <w:tcW w:w="1807" w:type="dxa"/>
            <w:gridSpan w:val="2"/>
            <w:tcBorders>
              <w:top w:val="single" w:color="auto" w:sz="4" w:space="0"/>
              <w:left w:val="single" w:color="auto" w:sz="4" w:space="0"/>
            </w:tcBorders>
            <w:shd w:val="clear" w:color="auto" w:fill="FFFFFF"/>
            <w:vAlign w:val="center"/>
          </w:tcPr>
          <w:p>
            <w:pPr>
              <w:ind w:firstLine="360"/>
              <w:jc w:val="left"/>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质量特征描述</w:t>
            </w:r>
          </w:p>
        </w:tc>
        <w:tc>
          <w:tcPr>
            <w:tcW w:w="1429" w:type="dxa"/>
            <w:gridSpan w:val="2"/>
            <w:tcBorders>
              <w:top w:val="single" w:color="auto" w:sz="4" w:space="0"/>
              <w:lef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复核结论</w:t>
            </w:r>
          </w:p>
        </w:tc>
        <w:tc>
          <w:tcPr>
            <w:tcW w:w="1670"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color w:val="252525"/>
                <w:sz w:val="16"/>
                <w:szCs w:val="16"/>
                <w:lang w:val="zh-TW" w:eastAsia="zh-TW" w:bidi="zh-TW"/>
              </w:rPr>
            </w:pPr>
            <w:r>
              <w:rPr>
                <w:rFonts w:ascii="宋体" w:hAnsi="宋体" w:cs="宋体"/>
                <w:color w:val="252525"/>
                <w:sz w:val="16"/>
                <w:szCs w:val="16"/>
                <w:lang w:val="zh-TW" w:eastAsia="zh-TW" w:bidi="zh-TW"/>
              </w:rPr>
              <w:t>代表面积</w:t>
            </w: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2</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3</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4</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5</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6</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7</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8</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32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9</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4" w:hRule="exact"/>
          <w:jc w:val="center"/>
        </w:trPr>
        <w:tc>
          <w:tcPr>
            <w:tcW w:w="734" w:type="dxa"/>
            <w:tcBorders>
              <w:top w:val="single" w:color="auto" w:sz="4" w:space="0"/>
              <w:left w:val="single" w:color="auto" w:sz="4" w:space="0"/>
            </w:tcBorders>
            <w:shd w:val="clear" w:color="auto" w:fill="FFFFFF"/>
            <w:vAlign w:val="center"/>
          </w:tcPr>
          <w:p>
            <w:pPr>
              <w:ind w:firstLine="28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10</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28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11</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28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12</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60" w:hRule="exact"/>
          <w:jc w:val="center"/>
        </w:trPr>
        <w:tc>
          <w:tcPr>
            <w:tcW w:w="734" w:type="dxa"/>
            <w:tcBorders>
              <w:top w:val="single" w:color="auto" w:sz="4" w:space="0"/>
              <w:left w:val="single" w:color="auto" w:sz="4" w:space="0"/>
            </w:tcBorders>
            <w:shd w:val="clear" w:color="auto" w:fill="FFFFFF"/>
            <w:vAlign w:val="center"/>
          </w:tcPr>
          <w:p>
            <w:pPr>
              <w:ind w:firstLine="28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13</w:t>
            </w:r>
          </w:p>
        </w:tc>
        <w:tc>
          <w:tcPr>
            <w:tcW w:w="1793" w:type="dxa"/>
            <w:gridSpan w:val="2"/>
            <w:tcBorders>
              <w:top w:val="single" w:color="auto" w:sz="4" w:space="0"/>
              <w:left w:val="single" w:color="auto" w:sz="4" w:space="0"/>
            </w:tcBorders>
            <w:shd w:val="clear" w:color="auto" w:fill="FFFFFF"/>
          </w:tcPr>
          <w:p>
            <w:pPr>
              <w:rPr>
                <w:sz w:val="10"/>
                <w:szCs w:val="10"/>
              </w:rPr>
            </w:pPr>
          </w:p>
        </w:tc>
        <w:tc>
          <w:tcPr>
            <w:tcW w:w="1804" w:type="dxa"/>
            <w:tcBorders>
              <w:top w:val="single" w:color="auto" w:sz="4" w:space="0"/>
              <w:left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tcBorders>
            <w:shd w:val="clear" w:color="auto" w:fill="FFFFFF"/>
          </w:tcPr>
          <w:p>
            <w:pPr>
              <w:rPr>
                <w:sz w:val="10"/>
                <w:szCs w:val="10"/>
              </w:rPr>
            </w:pPr>
          </w:p>
        </w:tc>
        <w:tc>
          <w:tcPr>
            <w:tcW w:w="1670" w:type="dxa"/>
            <w:tcBorders>
              <w:top w:val="single" w:color="auto" w:sz="4" w:space="0"/>
              <w:left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85" w:hRule="exact"/>
          <w:jc w:val="center"/>
        </w:trPr>
        <w:tc>
          <w:tcPr>
            <w:tcW w:w="734" w:type="dxa"/>
            <w:tcBorders>
              <w:top w:val="single" w:color="auto" w:sz="4" w:space="0"/>
              <w:left w:val="single" w:color="auto" w:sz="4" w:space="0"/>
              <w:bottom w:val="single" w:color="auto" w:sz="4" w:space="0"/>
            </w:tcBorders>
            <w:shd w:val="clear" w:color="auto" w:fill="FFFFFF"/>
            <w:vAlign w:val="center"/>
          </w:tcPr>
          <w:p>
            <w:pPr>
              <w:ind w:firstLine="280"/>
              <w:jc w:val="left"/>
              <w:rPr>
                <w:rFonts w:ascii="宋体" w:hAnsi="宋体" w:cs="宋体"/>
                <w:color w:val="252525"/>
                <w:sz w:val="18"/>
                <w:szCs w:val="18"/>
                <w:lang w:val="zh-TW" w:eastAsia="zh-TW" w:bidi="zh-TW"/>
              </w:rPr>
            </w:pPr>
            <w:r>
              <w:rPr>
                <w:rFonts w:eastAsia="Times New Roman"/>
                <w:color w:val="252525"/>
                <w:sz w:val="18"/>
                <w:szCs w:val="18"/>
                <w:lang w:val="zh-TW" w:eastAsia="zh-TW" w:bidi="zh-TW"/>
              </w:rPr>
              <w:t>14</w:t>
            </w:r>
          </w:p>
        </w:tc>
        <w:tc>
          <w:tcPr>
            <w:tcW w:w="1793" w:type="dxa"/>
            <w:gridSpan w:val="2"/>
            <w:tcBorders>
              <w:top w:val="single" w:color="auto" w:sz="4" w:space="0"/>
              <w:left w:val="single" w:color="auto" w:sz="4" w:space="0"/>
              <w:bottom w:val="single" w:color="auto" w:sz="4" w:space="0"/>
            </w:tcBorders>
            <w:shd w:val="clear" w:color="auto" w:fill="FFFFFF"/>
          </w:tcPr>
          <w:p>
            <w:pPr>
              <w:rPr>
                <w:sz w:val="10"/>
                <w:szCs w:val="10"/>
              </w:rPr>
            </w:pPr>
          </w:p>
        </w:tc>
        <w:tc>
          <w:tcPr>
            <w:tcW w:w="1804" w:type="dxa"/>
            <w:tcBorders>
              <w:top w:val="single" w:color="auto" w:sz="4" w:space="0"/>
              <w:left w:val="single" w:color="auto" w:sz="4" w:space="0"/>
              <w:bottom w:val="single" w:color="auto" w:sz="4" w:space="0"/>
            </w:tcBorders>
            <w:shd w:val="clear" w:color="auto" w:fill="FFFFFF"/>
          </w:tcPr>
          <w:p>
            <w:pPr>
              <w:rPr>
                <w:sz w:val="10"/>
                <w:szCs w:val="10"/>
              </w:rPr>
            </w:pPr>
          </w:p>
        </w:tc>
        <w:tc>
          <w:tcPr>
            <w:tcW w:w="1807" w:type="dxa"/>
            <w:gridSpan w:val="2"/>
            <w:tcBorders>
              <w:top w:val="single" w:color="auto" w:sz="4" w:space="0"/>
              <w:left w:val="single" w:color="auto" w:sz="4" w:space="0"/>
              <w:bottom w:val="single" w:color="auto" w:sz="4" w:space="0"/>
            </w:tcBorders>
            <w:shd w:val="clear" w:color="auto" w:fill="FFFFFF"/>
          </w:tcPr>
          <w:p>
            <w:pPr>
              <w:rPr>
                <w:sz w:val="10"/>
                <w:szCs w:val="10"/>
              </w:rPr>
            </w:pPr>
          </w:p>
        </w:tc>
        <w:tc>
          <w:tcPr>
            <w:tcW w:w="1429" w:type="dxa"/>
            <w:gridSpan w:val="2"/>
            <w:tcBorders>
              <w:top w:val="single" w:color="auto" w:sz="4" w:space="0"/>
              <w:left w:val="single" w:color="auto" w:sz="4" w:space="0"/>
              <w:bottom w:val="single" w:color="auto" w:sz="4" w:space="0"/>
            </w:tcBorders>
            <w:shd w:val="clear" w:color="auto" w:fill="FFFFFF"/>
          </w:tcPr>
          <w:p>
            <w:pPr>
              <w:rPr>
                <w:sz w:val="10"/>
                <w:szCs w:val="10"/>
              </w:rPr>
            </w:pPr>
          </w:p>
        </w:tc>
        <w:tc>
          <w:tcPr>
            <w:tcW w:w="1670" w:type="dxa"/>
            <w:tcBorders>
              <w:top w:val="single" w:color="auto" w:sz="4" w:space="0"/>
              <w:left w:val="single" w:color="auto" w:sz="4" w:space="0"/>
              <w:bottom w:val="single" w:color="auto" w:sz="4" w:space="0"/>
              <w:right w:val="single" w:color="auto" w:sz="4" w:space="0"/>
            </w:tcBorders>
            <w:shd w:val="clear" w:color="auto" w:fill="FFFFFF"/>
          </w:tcPr>
          <w:p>
            <w:pPr>
              <w:rPr>
                <w:sz w:val="10"/>
                <w:szCs w:val="10"/>
              </w:rPr>
            </w:pPr>
          </w:p>
        </w:tc>
      </w:tr>
      <w:tr>
        <w:tblPrEx>
          <w:tblCellMar>
            <w:top w:w="0" w:type="dxa"/>
            <w:left w:w="10" w:type="dxa"/>
            <w:bottom w:w="0" w:type="dxa"/>
            <w:right w:w="10" w:type="dxa"/>
          </w:tblCellMar>
        </w:tblPrEx>
        <w:trPr>
          <w:trHeight w:val="385" w:hRule="exact"/>
          <w:jc w:val="center"/>
        </w:trPr>
        <w:tc>
          <w:tcPr>
            <w:tcW w:w="9237"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rPr>
                <w:sz w:val="10"/>
                <w:szCs w:val="10"/>
              </w:rPr>
            </w:pPr>
            <w:r>
              <w:rPr>
                <w:sz w:val="16"/>
                <w:szCs w:val="16"/>
              </w:rPr>
              <w:t>注：针对不同评价指标，单个项目的样点数应不少于总数量的</w:t>
            </w:r>
            <w:r>
              <w:rPr>
                <w:rFonts w:eastAsia="Times New Roman"/>
                <w:sz w:val="18"/>
                <w:szCs w:val="18"/>
              </w:rPr>
              <w:t>10%</w:t>
            </w:r>
            <w:r>
              <w:rPr>
                <w:sz w:val="16"/>
                <w:szCs w:val="16"/>
              </w:rPr>
              <w:t>。</w:t>
            </w:r>
          </w:p>
        </w:tc>
      </w:tr>
    </w:tbl>
    <w:p>
      <w:pPr>
        <w:ind w:firstLine="420" w:firstLineChars="200"/>
        <w:rPr>
          <w:rFonts w:ascii="宋体" w:hAnsi="宋体"/>
          <w:color w:val="000000"/>
        </w:rPr>
      </w:pPr>
    </w:p>
    <w:p>
      <w:pPr>
        <w:ind w:firstLine="420" w:firstLineChars="200"/>
        <w:rPr>
          <w:rFonts w:ascii="宋体" w:hAnsi="宋体"/>
          <w:color w:val="000000"/>
        </w:rPr>
      </w:pPr>
    </w:p>
    <w:p>
      <w:pPr>
        <w:ind w:firstLine="420" w:firstLineChars="200"/>
        <w:rPr>
          <w:rFonts w:ascii="宋体" w:hAnsi="宋体"/>
          <w:color w:val="000000"/>
        </w:rPr>
      </w:pPr>
    </w:p>
    <w:p>
      <w:pPr>
        <w:jc w:val="center"/>
        <w:outlineLvl w:val="0"/>
        <w:rPr>
          <w:rFonts w:ascii="黑体" w:eastAsia="黑体"/>
          <w:color w:val="000000"/>
        </w:rPr>
      </w:pPr>
      <w:bookmarkStart w:id="98" w:name="_Toc30219"/>
      <w:bookmarkStart w:id="99" w:name="_Toc21239"/>
      <w:r>
        <w:rPr>
          <w:rFonts w:hint="eastAsia" w:ascii="黑体" w:hAnsi="黑体" w:eastAsia="黑体"/>
          <w:color w:val="000000"/>
          <w:szCs w:val="21"/>
          <w:lang w:val="zh-TW" w:eastAsia="zh-TW"/>
        </w:rPr>
        <w:t>附录</w:t>
      </w:r>
      <w:r>
        <w:rPr>
          <w:rFonts w:hint="eastAsia" w:ascii="黑体" w:hAnsi="黑体" w:eastAsia="黑体"/>
          <w:color w:val="000000"/>
          <w:szCs w:val="21"/>
          <w:lang w:eastAsia="en-US"/>
        </w:rPr>
        <w:t>G</w:t>
      </w:r>
      <w:bookmarkEnd w:id="98"/>
      <w:r>
        <w:rPr>
          <w:rFonts w:ascii="黑体" w:eastAsia="黑体"/>
          <w:color w:val="000000"/>
        </w:rPr>
        <w:br w:type="textWrapping"/>
      </w:r>
      <w:r>
        <w:rPr>
          <w:rFonts w:ascii="黑体" w:eastAsia="黑体"/>
          <w:color w:val="000000"/>
        </w:rPr>
        <w:t>（资料性）</w:t>
      </w:r>
      <w:r>
        <w:rPr>
          <w:rFonts w:ascii="黑体" w:eastAsia="黑体"/>
          <w:color w:val="000000"/>
        </w:rPr>
        <w:br w:type="textWrapping"/>
      </w:r>
      <w:r>
        <w:rPr>
          <w:rFonts w:ascii="黑体" w:eastAsia="黑体"/>
          <w:color w:val="000000"/>
        </w:rPr>
        <w:t>高标准农田建设评价报告</w:t>
      </w:r>
      <w:bookmarkEnd w:id="99"/>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G.1  基本情况</w:t>
      </w:r>
    </w:p>
    <w:p>
      <w:pPr>
        <w:spacing w:after="320" w:line="310" w:lineRule="exact"/>
        <w:ind w:firstLine="440"/>
        <w:jc w:val="left"/>
        <w:rPr>
          <w:rFonts w:ascii="宋体" w:hAnsi="宋体" w:cs="宋体"/>
          <w:color w:val="252525"/>
          <w:szCs w:val="21"/>
          <w:lang w:val="zh-TW" w:eastAsia="zh-TW" w:bidi="zh-TW"/>
        </w:rPr>
      </w:pPr>
      <w:r>
        <w:rPr>
          <w:rFonts w:ascii="宋体" w:hAnsi="宋体" w:cs="宋体"/>
          <w:color w:val="252525"/>
          <w:szCs w:val="21"/>
          <w:lang w:val="zh-TW" w:eastAsia="zh-TW" w:bidi="zh-TW"/>
        </w:rPr>
        <w:t>简要说明自然地理和耕地质量状况，说明高标准农田建设规划或实施方案编制情况，说明评价期内高标准农田建设完成情况</w:t>
      </w:r>
      <w:r>
        <w:rPr>
          <w:rFonts w:ascii="宋体" w:hAnsi="宋体" w:cs="宋体"/>
          <w:color w:val="474747"/>
          <w:szCs w:val="21"/>
          <w:lang w:val="zh-TW" w:eastAsia="zh-TW" w:bidi="zh-TW"/>
        </w:rPr>
        <w:t>,</w:t>
      </w:r>
      <w:r>
        <w:rPr>
          <w:rFonts w:ascii="宋体" w:hAnsi="宋体" w:cs="宋体"/>
          <w:color w:val="252525"/>
          <w:szCs w:val="21"/>
          <w:lang w:val="zh-TW" w:eastAsia="zh-TW" w:bidi="zh-TW"/>
        </w:rPr>
        <w:t>以及项目组织、实施管理和项目验收等情况。</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G.2  工作组织和程序</w:t>
      </w:r>
    </w:p>
    <w:p>
      <w:pPr>
        <w:ind w:firstLine="420" w:firstLineChars="200"/>
        <w:rPr>
          <w:rFonts w:ascii="宋体"/>
          <w:szCs w:val="21"/>
        </w:rPr>
      </w:pPr>
      <w:r>
        <w:rPr>
          <w:rFonts w:ascii="宋体" w:hAnsi="宋体" w:cs="宋体"/>
          <w:color w:val="252525"/>
          <w:szCs w:val="21"/>
          <w:lang w:val="zh-TW" w:eastAsia="zh-TW" w:bidi="zh-TW"/>
        </w:rPr>
        <w:t>说明高标准农田建设评价组织机构和工作机构的建立情况，以及评价人员、工作职责和工作程序 等，附参评人员名单、专业、职称和工作时间。</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G.3</w:t>
      </w:r>
      <w:r>
        <w:rPr>
          <w:rFonts w:hint="eastAsia" w:ascii="黑体" w:hAnsi="黑体" w:eastAsia="黑体" w:cs="黑体"/>
          <w:color w:val="000000"/>
          <w:szCs w:val="21"/>
          <w:lang w:bidi="en-US"/>
        </w:rPr>
        <w:t xml:space="preserve">  </w:t>
      </w:r>
      <w:r>
        <w:rPr>
          <w:rFonts w:hint="eastAsia" w:ascii="黑体" w:hAnsi="黑体" w:eastAsia="黑体" w:cs="黑体"/>
          <w:color w:val="000000"/>
          <w:szCs w:val="21"/>
          <w:lang w:eastAsia="en-US" w:bidi="en-US"/>
        </w:rPr>
        <w:t>评价指标选择和评价标准</w:t>
      </w:r>
    </w:p>
    <w:p>
      <w:pPr>
        <w:ind w:firstLine="420" w:firstLineChars="200"/>
        <w:rPr>
          <w:rFonts w:ascii="宋体" w:hAnsi="宋体" w:cs="宋体"/>
          <w:color w:val="252525"/>
          <w:szCs w:val="21"/>
          <w:lang w:val="zh-TW" w:bidi="zh-TW"/>
        </w:rPr>
      </w:pPr>
      <w:r>
        <w:rPr>
          <w:rFonts w:hint="eastAsia" w:ascii="宋体" w:hAnsi="宋体" w:cs="宋体"/>
          <w:color w:val="252525"/>
          <w:szCs w:val="21"/>
          <w:lang w:val="zh-TW" w:eastAsia="zh-TW" w:bidi="zh-TW"/>
        </w:rPr>
        <w:t>说明评价指标构成和评价指标体系，说明各评价指标获取方法和评分标准</w:t>
      </w:r>
      <w:r>
        <w:rPr>
          <w:rFonts w:hint="eastAsia" w:ascii="宋体" w:hAnsi="宋体" w:cs="宋体"/>
          <w:color w:val="252525"/>
          <w:szCs w:val="21"/>
          <w:lang w:val="zh-TW" w:bidi="zh-TW"/>
        </w:rPr>
        <w:t>。</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G.4  建设任务完成情况</w:t>
      </w:r>
    </w:p>
    <w:p>
      <w:pPr>
        <w:ind w:firstLine="420" w:firstLineChars="200"/>
        <w:rPr>
          <w:rFonts w:ascii="宋体" w:hAnsi="宋体" w:cs="宋体"/>
          <w:color w:val="252525"/>
          <w:szCs w:val="21"/>
          <w:lang w:val="zh-TW" w:eastAsia="zh-TW" w:bidi="zh-TW"/>
        </w:rPr>
      </w:pPr>
      <w:r>
        <w:rPr>
          <w:rFonts w:hint="eastAsia" w:ascii="宋体" w:hAnsi="宋体" w:cs="宋体"/>
          <w:color w:val="252525"/>
          <w:szCs w:val="21"/>
          <w:lang w:val="zh-TW" w:eastAsia="zh-TW" w:bidi="zh-TW"/>
        </w:rPr>
        <w:t xml:space="preserve">根据GB/T 30600规定的工程建设标准，开展工程质量评价，说明评价期内高标准农田建设完成的面积和主要工程量。 </w:t>
      </w:r>
      <w:r>
        <w:rPr>
          <w:rFonts w:hint="eastAsia" w:ascii="宋体" w:hAnsi="宋体" w:cs="宋体"/>
          <w:color w:val="252525"/>
          <w:szCs w:val="21"/>
          <w:lang w:val="zh-TW" w:eastAsia="zh-TW" w:bidi="zh-TW"/>
        </w:rPr>
        <w:tab/>
      </w:r>
    </w:p>
    <w:p>
      <w:pPr>
        <w:ind w:firstLine="420" w:firstLineChars="200"/>
        <w:rPr>
          <w:rFonts w:ascii="宋体" w:hAnsi="宋体" w:cs="宋体"/>
          <w:color w:val="252525"/>
          <w:szCs w:val="21"/>
          <w:lang w:val="zh-TW" w:eastAsia="zh-TW" w:bidi="zh-TW"/>
        </w:rPr>
      </w:pPr>
      <w:r>
        <w:rPr>
          <w:rFonts w:hint="eastAsia" w:ascii="宋体" w:hAnsi="宋体" w:cs="宋体"/>
          <w:color w:val="252525"/>
          <w:szCs w:val="21"/>
          <w:lang w:val="zh-TW" w:eastAsia="zh-TW" w:bidi="zh-TW"/>
        </w:rPr>
        <w:t>当出现下列情况时，应扣减高标准农田建设规模：</w:t>
      </w:r>
      <w:r>
        <w:rPr>
          <w:rFonts w:hint="eastAsia" w:ascii="宋体" w:hAnsi="宋体" w:cs="宋体"/>
          <w:color w:val="252525"/>
          <w:szCs w:val="21"/>
          <w:lang w:val="zh-TW" w:eastAsia="zh-TW" w:bidi="zh-TW"/>
        </w:rPr>
        <w:tab/>
      </w:r>
    </w:p>
    <w:p>
      <w:pPr>
        <w:ind w:firstLine="420" w:firstLineChars="200"/>
        <w:rPr>
          <w:rFonts w:ascii="宋体" w:hAnsi="宋体" w:cs="宋体"/>
          <w:color w:val="252525"/>
          <w:szCs w:val="21"/>
          <w:lang w:val="zh-TW" w:bidi="zh-TW"/>
        </w:rPr>
      </w:pPr>
      <w:r>
        <w:rPr>
          <w:rFonts w:hint="eastAsia" w:ascii="宋体" w:hAnsi="宋体" w:cs="宋体"/>
          <w:color w:val="252525"/>
          <w:szCs w:val="21"/>
          <w:lang w:val="zh-TW" w:eastAsia="zh-TW" w:bidi="zh-TW"/>
        </w:rPr>
        <w:t>a）不符合</w:t>
      </w:r>
      <w:r>
        <w:rPr>
          <w:rFonts w:hint="eastAsia" w:ascii="宋体" w:hAnsi="宋体" w:cs="宋体"/>
          <w:color w:val="252525"/>
          <w:szCs w:val="21"/>
          <w:lang w:val="zh-TW" w:bidi="zh-TW"/>
        </w:rPr>
        <w:t>土地利用总体规划和高标准农田建设规划划定的高标准农田建设区域；</w:t>
      </w:r>
    </w:p>
    <w:p>
      <w:pPr>
        <w:ind w:firstLine="420" w:firstLineChars="200"/>
        <w:rPr>
          <w:rFonts w:ascii="宋体" w:hAnsi="宋体" w:cs="宋体"/>
          <w:color w:val="252525"/>
          <w:szCs w:val="21"/>
          <w:lang w:val="zh-TW" w:bidi="zh-TW"/>
        </w:rPr>
      </w:pPr>
      <w:r>
        <w:rPr>
          <w:rFonts w:hint="eastAsia" w:ascii="宋体" w:hAnsi="宋体" w:cs="宋体"/>
          <w:color w:val="252525"/>
          <w:szCs w:val="21"/>
          <w:lang w:val="zh-TW" w:eastAsia="zh-TW" w:bidi="zh-TW"/>
        </w:rPr>
        <w:t>b）</w:t>
      </w:r>
      <w:r>
        <w:rPr>
          <w:rFonts w:hint="eastAsia" w:ascii="宋体" w:hAnsi="宋体" w:cs="宋体"/>
          <w:color w:val="252525"/>
          <w:szCs w:val="21"/>
          <w:lang w:val="zh-TW" w:bidi="zh-TW"/>
        </w:rPr>
        <w:t>工程建设不满足</w:t>
      </w:r>
      <w:r>
        <w:rPr>
          <w:rFonts w:hint="eastAsia" w:ascii="宋体" w:hAnsi="宋体" w:cs="宋体"/>
          <w:color w:val="252525"/>
          <w:szCs w:val="21"/>
          <w:lang w:val="zh-TW" w:eastAsia="zh-TW" w:bidi="zh-TW"/>
        </w:rPr>
        <w:t>GB/T 30600</w:t>
      </w:r>
      <w:r>
        <w:rPr>
          <w:rFonts w:hint="eastAsia" w:ascii="宋体" w:hAnsi="宋体" w:cs="宋体"/>
          <w:color w:val="252525"/>
          <w:szCs w:val="21"/>
          <w:lang w:val="zh-TW" w:bidi="zh-TW"/>
        </w:rPr>
        <w:t>和有关工程质量标准和耕地质量标准的规定；</w:t>
      </w:r>
    </w:p>
    <w:p>
      <w:pPr>
        <w:ind w:firstLine="420" w:firstLineChars="200"/>
        <w:rPr>
          <w:rFonts w:ascii="宋体" w:hAnsi="宋体" w:cs="宋体"/>
          <w:color w:val="252525"/>
          <w:szCs w:val="21"/>
          <w:lang w:val="zh-TW" w:bidi="zh-TW"/>
        </w:rPr>
      </w:pPr>
      <w:r>
        <w:rPr>
          <w:rFonts w:hint="eastAsia" w:ascii="宋体" w:hAnsi="宋体" w:cs="宋体"/>
          <w:color w:val="252525"/>
          <w:szCs w:val="21"/>
          <w:lang w:val="zh-TW" w:eastAsia="zh-TW" w:bidi="zh-TW"/>
        </w:rPr>
        <w:t>c）</w:t>
      </w:r>
      <w:r>
        <w:rPr>
          <w:rFonts w:hint="eastAsia" w:ascii="宋体" w:hAnsi="宋体" w:cs="宋体"/>
          <w:color w:val="252525"/>
          <w:szCs w:val="21"/>
          <w:lang w:val="zh-TW" w:bidi="zh-TW"/>
        </w:rPr>
        <w:t>经评定的耕地质量等别（等级）较低或未提高。</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G.5 耕地质量等别（等级）复核情况</w:t>
      </w:r>
    </w:p>
    <w:p>
      <w:pPr>
        <w:spacing w:after="320" w:line="310" w:lineRule="exact"/>
        <w:ind w:firstLine="440"/>
        <w:jc w:val="left"/>
        <w:rPr>
          <w:rFonts w:ascii="宋体" w:hAnsi="宋体" w:cs="宋体"/>
          <w:color w:val="252525"/>
          <w:szCs w:val="21"/>
          <w:lang w:bidi="zh-TW"/>
        </w:rPr>
      </w:pPr>
      <w:r>
        <w:rPr>
          <w:rFonts w:hint="eastAsia" w:ascii="宋体" w:hAnsi="宋体" w:cs="宋体"/>
          <w:color w:val="252525"/>
          <w:szCs w:val="21"/>
          <w:lang w:val="zh-TW" w:bidi="zh-TW"/>
        </w:rPr>
        <w:t>按照</w:t>
      </w:r>
      <w:r>
        <w:rPr>
          <w:rFonts w:ascii="宋体" w:hAnsi="宋体" w:cs="宋体"/>
          <w:color w:val="252525"/>
          <w:szCs w:val="21"/>
          <w:lang w:val="zh-TW" w:eastAsia="zh-TW" w:bidi="zh-TW"/>
        </w:rPr>
        <w:t xml:space="preserve"> </w:t>
      </w:r>
      <w:r>
        <w:rPr>
          <w:rFonts w:ascii="宋体" w:hAnsi="宋体" w:cs="宋体"/>
          <w:color w:val="252525"/>
          <w:szCs w:val="21"/>
          <w:lang w:eastAsia="en-US" w:bidi="zh-TW"/>
        </w:rPr>
        <w:t xml:space="preserve">GB/T </w:t>
      </w:r>
      <w:r>
        <w:rPr>
          <w:rFonts w:ascii="宋体" w:hAnsi="宋体" w:cs="宋体"/>
          <w:color w:val="252525"/>
          <w:szCs w:val="21"/>
          <w:lang w:val="zh-TW" w:eastAsia="zh-TW" w:bidi="zh-TW"/>
        </w:rPr>
        <w:t xml:space="preserve">28407 和 </w:t>
      </w:r>
      <w:r>
        <w:rPr>
          <w:rFonts w:ascii="宋体" w:hAnsi="宋体" w:cs="宋体"/>
          <w:color w:val="252525"/>
          <w:szCs w:val="21"/>
          <w:lang w:eastAsia="en-US" w:bidi="zh-TW"/>
        </w:rPr>
        <w:t xml:space="preserve">NY/Y </w:t>
      </w:r>
      <w:r>
        <w:rPr>
          <w:rFonts w:ascii="宋体" w:hAnsi="宋体" w:cs="宋体"/>
          <w:color w:val="252525"/>
          <w:szCs w:val="21"/>
          <w:lang w:val="zh-TW" w:eastAsia="zh-TW" w:bidi="zh-TW"/>
        </w:rPr>
        <w:t>1634</w:t>
      </w:r>
      <w:r>
        <w:rPr>
          <w:rFonts w:hint="eastAsia" w:ascii="宋体" w:hAnsi="宋体" w:cs="宋体"/>
          <w:color w:val="252525"/>
          <w:szCs w:val="21"/>
          <w:lang w:val="zh-TW" w:bidi="zh-TW"/>
        </w:rPr>
        <w:t>，选取典型地块对地质量等别(等级)进行复核评价</w:t>
      </w:r>
      <w:r>
        <w:rPr>
          <w:rFonts w:hint="eastAsia" w:ascii="宋体" w:hAnsi="宋体" w:cs="宋体"/>
          <w:color w:val="252525"/>
          <w:szCs w:val="21"/>
          <w:lang w:bidi="zh-TW"/>
        </w:rPr>
        <w:t>，并与本行政区农用地分等定级成果进行比较。</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G.6建设成效评价</w:t>
      </w:r>
    </w:p>
    <w:p>
      <w:pPr>
        <w:spacing w:after="320" w:line="310" w:lineRule="exact"/>
        <w:ind w:firstLine="440"/>
        <w:jc w:val="left"/>
        <w:rPr>
          <w:rFonts w:ascii="宋体" w:hAnsi="宋体" w:cs="宋体"/>
          <w:color w:val="252525"/>
          <w:szCs w:val="21"/>
          <w:lang w:bidi="zh-TW"/>
        </w:rPr>
      </w:pPr>
      <w:r>
        <w:rPr>
          <w:rFonts w:hint="eastAsia" w:ascii="宋体" w:hAnsi="宋体" w:cs="宋体"/>
          <w:color w:val="252525"/>
          <w:szCs w:val="21"/>
          <w:lang w:bidi="zh-TW"/>
        </w:rPr>
        <w:t>结合经济效益、社会效益、生态效益和资源利用等分析情况，说明高标准农田建设完成后的总体 成效。</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G.7建设管理评价</w:t>
      </w:r>
    </w:p>
    <w:p>
      <w:pPr>
        <w:spacing w:after="320" w:line="310" w:lineRule="exact"/>
        <w:ind w:firstLine="440"/>
        <w:jc w:val="left"/>
        <w:rPr>
          <w:rFonts w:ascii="宋体" w:hAnsi="宋体" w:cs="宋体"/>
          <w:color w:val="252525"/>
          <w:szCs w:val="21"/>
          <w:lang w:bidi="zh-TW"/>
        </w:rPr>
      </w:pPr>
      <w:r>
        <w:rPr>
          <w:rFonts w:hint="eastAsia" w:ascii="宋体" w:hAnsi="宋体" w:cs="宋体"/>
          <w:color w:val="252525"/>
          <w:szCs w:val="21"/>
          <w:lang w:bidi="zh-TW"/>
        </w:rPr>
        <w:t>结合高标准农田建设管理情况,说明制度建设、标准执行、建设管理、竣工验收、上图入库等情况，说 明建设管理过程中存在的问题。</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G.8社会影响评价</w:t>
      </w:r>
    </w:p>
    <w:p>
      <w:pPr>
        <w:spacing w:after="320" w:line="310" w:lineRule="exact"/>
        <w:ind w:firstLine="440"/>
        <w:jc w:val="left"/>
        <w:rPr>
          <w:rFonts w:ascii="宋体" w:hAnsi="宋体" w:cs="宋体"/>
          <w:color w:val="252525"/>
          <w:szCs w:val="21"/>
          <w:lang w:bidi="zh-TW"/>
        </w:rPr>
      </w:pPr>
      <w:r>
        <w:rPr>
          <w:rFonts w:hint="eastAsia" w:ascii="宋体" w:hAnsi="宋体" w:cs="宋体"/>
          <w:color w:val="252525"/>
          <w:szCs w:val="21"/>
          <w:lang w:bidi="zh-TW"/>
        </w:rPr>
        <w:t>说明公众满意度调查情况;结合项目建设前后人口、生活方式、生产发展、社会进步等变化情况，说明高标准农田建设完成后对当地社会影响的程度和水平。</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G.9目标和可持续性评价</w:t>
      </w:r>
    </w:p>
    <w:p>
      <w:pPr>
        <w:spacing w:after="320" w:line="310" w:lineRule="exact"/>
        <w:ind w:firstLine="440"/>
        <w:jc w:val="left"/>
        <w:rPr>
          <w:rFonts w:ascii="宋体" w:hAnsi="宋体" w:cs="宋体"/>
          <w:color w:val="252525"/>
          <w:szCs w:val="21"/>
          <w:lang w:val="zh-TW" w:eastAsia="zh-TW" w:bidi="zh-TW"/>
        </w:rPr>
      </w:pPr>
      <w:r>
        <w:rPr>
          <w:rFonts w:ascii="宋体" w:hAnsi="宋体" w:cs="宋体"/>
          <w:color w:val="252525"/>
          <w:szCs w:val="21"/>
          <w:lang w:val="zh-TW" w:eastAsia="zh-TW" w:bidi="zh-TW"/>
        </w:rPr>
        <w:t>说明评价期内全</w:t>
      </w:r>
      <w:r>
        <w:rPr>
          <w:rFonts w:hint="eastAsia" w:ascii="宋体" w:hAnsi="宋体" w:cs="宋体"/>
          <w:color w:val="252525"/>
          <w:szCs w:val="21"/>
          <w:lang w:val="en-US" w:eastAsia="zh-CN" w:bidi="zh-TW"/>
        </w:rPr>
        <w:t>市</w:t>
      </w:r>
      <w:r>
        <w:rPr>
          <w:rFonts w:ascii="宋体" w:hAnsi="宋体" w:cs="宋体"/>
          <w:color w:val="252525"/>
          <w:szCs w:val="21"/>
          <w:lang w:val="zh-TW" w:eastAsia="zh-TW" w:bidi="zh-TW"/>
        </w:rPr>
        <w:t>高标准农田建设目标的实现程度，以及项目可持续性的建议。</w:t>
      </w:r>
    </w:p>
    <w:p>
      <w:pPr>
        <w:spacing w:before="120" w:beforeLines="50" w:after="120" w:afterLines="50"/>
        <w:jc w:val="left"/>
        <w:rPr>
          <w:rFonts w:ascii="黑体" w:hAnsi="黑体" w:eastAsia="黑体" w:cs="黑体"/>
          <w:color w:val="000000"/>
          <w:szCs w:val="21"/>
          <w:lang w:eastAsia="en-US" w:bidi="en-US"/>
        </w:rPr>
      </w:pPr>
      <w:r>
        <w:rPr>
          <w:rFonts w:hint="eastAsia" w:ascii="黑体" w:hAnsi="黑体" w:eastAsia="黑体" w:cs="黑体"/>
          <w:color w:val="000000"/>
          <w:szCs w:val="21"/>
          <w:lang w:eastAsia="en-US" w:bidi="en-US"/>
        </w:rPr>
        <w:t>G.10结论与建议</w:t>
      </w:r>
    </w:p>
    <w:p>
      <w:pPr>
        <w:spacing w:after="320" w:line="310" w:lineRule="exact"/>
        <w:ind w:firstLine="440"/>
        <w:jc w:val="left"/>
        <w:rPr>
          <w:rFonts w:ascii="宋体" w:hAnsi="宋体" w:cs="宋体"/>
          <w:color w:val="252525"/>
          <w:szCs w:val="21"/>
          <w:lang w:val="zh-TW" w:eastAsia="zh-TW" w:bidi="zh-TW"/>
        </w:rPr>
      </w:pPr>
      <w:r>
        <w:rPr>
          <w:rFonts w:ascii="宋体" w:hAnsi="宋体" w:cs="宋体"/>
          <w:color w:val="252525"/>
          <w:szCs w:val="21"/>
          <w:lang w:val="zh-TW" w:eastAsia="zh-TW" w:bidi="zh-TW"/>
        </w:rPr>
        <w:t>进行评价分值计算</w:t>
      </w:r>
      <w:r>
        <w:rPr>
          <w:rFonts w:hint="eastAsia" w:ascii="宋体" w:hAnsi="宋体" w:cs="宋体"/>
          <w:color w:val="252525"/>
          <w:szCs w:val="21"/>
          <w:lang w:val="zh-TW" w:bidi="zh-TW"/>
        </w:rPr>
        <w:t>，</w:t>
      </w:r>
      <w:r>
        <w:rPr>
          <w:rFonts w:ascii="宋体" w:hAnsi="宋体" w:cs="宋体"/>
          <w:color w:val="252525"/>
          <w:szCs w:val="21"/>
          <w:lang w:val="zh-TW" w:eastAsia="zh-TW" w:bidi="zh-TW"/>
        </w:rPr>
        <w:t>汇总评价结论，针对存在问题提出下一步改进的措施。</w:t>
      </w:r>
    </w:p>
    <w:p>
      <w:pPr>
        <w:pStyle w:val="47"/>
      </w:pPr>
    </w:p>
    <w:p>
      <w:pPr>
        <w:pStyle w:val="90"/>
        <w:rPr>
          <w:color w:val="000000" w:themeColor="text1"/>
          <w14:textFill>
            <w14:solidFill>
              <w14:schemeClr w14:val="tx1"/>
            </w14:solidFill>
          </w14:textFill>
        </w:rPr>
      </w:pPr>
      <w:bookmarkStart w:id="100" w:name="标准参考文献"/>
      <w:bookmarkEnd w:id="100"/>
      <w:bookmarkStart w:id="101" w:name="_Toc113639085"/>
      <w:bookmarkStart w:id="102" w:name="_Toc10135"/>
      <w:bookmarkStart w:id="103" w:name="_Toc21492"/>
      <w:bookmarkStart w:id="104" w:name="_Toc15639"/>
      <w:bookmarkStart w:id="105" w:name="_Toc15214"/>
      <w:bookmarkStart w:id="106" w:name="_Toc66883229"/>
      <w:r>
        <w:rPr>
          <w:rFonts w:hint="eastAsia"/>
          <w:color w:val="000000" w:themeColor="text1"/>
          <w14:textFill>
            <w14:solidFill>
              <w14:schemeClr w14:val="tx1"/>
            </w14:solidFill>
          </w14:textFill>
        </w:rPr>
        <w:t>参  考  文  献</w:t>
      </w:r>
      <w:bookmarkEnd w:id="101"/>
      <w:bookmarkEnd w:id="102"/>
      <w:bookmarkEnd w:id="103"/>
      <w:r>
        <w:rPr>
          <w:color w:val="000000" w:themeColor="text1"/>
          <w14:textFill>
            <w14:solidFill>
              <w14:schemeClr w14:val="tx1"/>
            </w14:solidFill>
          </w14:textFill>
        </w:rPr>
        <w:t xml:space="preserve"> </w:t>
      </w:r>
    </w:p>
    <w:bookmarkEnd w:id="104"/>
    <w:bookmarkEnd w:id="105"/>
    <w:bookmarkEnd w:id="106"/>
    <w:p>
      <w:pPr>
        <w:pStyle w:val="47"/>
        <w:numPr>
          <w:ilvl w:val="0"/>
          <w:numId w:val="22"/>
        </w:numPr>
        <w:rPr>
          <w:rFonts w:hAnsi="宋体" w:cs="宋体"/>
          <w:color w:val="252525"/>
          <w:lang w:val="zh-TW" w:eastAsia="zh-TW" w:bidi="zh-TW"/>
        </w:rPr>
      </w:pPr>
      <w:r>
        <w:rPr>
          <w:color w:val="000000" w:themeColor="text1"/>
          <w14:textFill>
            <w14:solidFill>
              <w14:schemeClr w14:val="tx1"/>
            </w14:solidFill>
          </w14:textFill>
        </w:rPr>
        <w:t xml:space="preserve"> </w:t>
      </w:r>
      <w:r>
        <w:rPr>
          <w:rFonts w:hint="eastAsia"/>
          <w:color w:val="000000" w:themeColor="text1"/>
          <w:lang w:eastAsia="en-US"/>
          <w14:textFill>
            <w14:solidFill>
              <w14:schemeClr w14:val="tx1"/>
            </w14:solidFill>
          </w14:textFill>
        </w:rPr>
        <w:t>GB/T 21010—2007</w:t>
      </w:r>
      <w:r>
        <w:rPr>
          <w:rFonts w:ascii="Times New Roman" w:eastAsia="Times New Roman"/>
          <w:color w:val="252525"/>
          <w:lang w:eastAsia="en-US" w:bidi="en-US"/>
        </w:rPr>
        <w:t xml:space="preserve"> </w:t>
      </w:r>
      <w:r>
        <w:rPr>
          <w:rFonts w:hint="eastAsia" w:ascii="Times New Roman"/>
          <w:color w:val="252525"/>
          <w:lang w:bidi="en-US"/>
        </w:rPr>
        <w:t xml:space="preserve"> </w:t>
      </w:r>
      <w:r>
        <w:rPr>
          <w:rFonts w:hint="eastAsia"/>
          <w:color w:val="000000" w:themeColor="text1"/>
          <w:lang w:val="zh-TW" w:eastAsia="zh-TW"/>
          <w14:textFill>
            <w14:solidFill>
              <w14:schemeClr w14:val="tx1"/>
            </w14:solidFill>
          </w14:textFill>
        </w:rPr>
        <w:t>土地利用现状分类</w:t>
      </w:r>
    </w:p>
    <w:p>
      <w:pPr>
        <w:widowControl/>
        <w:ind w:firstLine="420" w:firstLineChars="200"/>
        <w:jc w:val="left"/>
      </w:pPr>
      <w:r>
        <w:rPr>
          <w:rFonts w:hint="eastAsia" w:ascii="宋体" w:hAnsi="宋体" w:cs="宋体"/>
          <w:color w:val="000000"/>
          <w:kern w:val="0"/>
          <w:szCs w:val="21"/>
          <w:lang w:bidi="ar"/>
        </w:rPr>
        <w:t>[2]  GB/T 30339—2013  项目后评价实施指南</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[3]  TD/T 1037—2013  土地整治重大项目可行性研究报告编制规程</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[4]  TD/T 1038—2013  土地整治项目设计报告编制规程</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LY/T 1607—2003  造林作业设计规程</w:t>
      </w:r>
    </w:p>
    <w:p>
      <w:pPr>
        <w:pStyle w:val="47"/>
        <w:rPr>
          <w:color w:val="000000" w:themeColor="text1"/>
          <w14:textFill>
            <w14:solidFill>
              <w14:schemeClr w14:val="tx1"/>
            </w14:solidFill>
          </w14:textFill>
        </w:rPr>
      </w:pPr>
      <w:r>
        <w:rPr>
          <w:rFonts w:hint="eastAsia"/>
          <w:color w:val="000000" w:themeColor="text1"/>
          <w14:textFill>
            <w14:solidFill>
              <w14:schemeClr w14:val="tx1"/>
            </w14:solidFill>
          </w14:textFill>
        </w:rPr>
        <w:t>[6]  LY/T 2083—2013  全国营造林综合核查技术规程</w:t>
      </w:r>
    </w:p>
    <w:p>
      <w:pPr>
        <w:widowControl/>
        <w:ind w:firstLine="420" w:firstLineChars="200"/>
        <w:jc w:val="left"/>
      </w:pPr>
      <w:r>
        <w:rPr>
          <w:rFonts w:hint="eastAsia" w:ascii="宋体" w:hAnsi="宋体" w:cs="宋体"/>
          <w:color w:val="000000"/>
          <w:kern w:val="0"/>
          <w:szCs w:val="21"/>
          <w:lang w:bidi="ar"/>
        </w:rPr>
        <w:t>[7] 中央政府投资项目后评价管理办法（发改投资[2014]2129 号）</w:t>
      </w:r>
    </w:p>
    <w:p>
      <w:pPr>
        <w:widowControl/>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[8] 中央政府投资项目后评价报告编制大纲（试行）（发改投资[2014]2129 号）</w:t>
      </w:r>
    </w:p>
    <w:p>
      <w:pPr>
        <w:widowControl/>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w:t>
      </w:r>
      <w:r>
        <w:rPr>
          <w:rFonts w:hint="eastAsia" w:ascii="宋体" w:hAnsi="宋体" w:cs="宋体"/>
          <w:color w:val="000000"/>
          <w:kern w:val="0"/>
          <w:szCs w:val="21"/>
          <w:lang w:val="en-US" w:eastAsia="zh-CN" w:bidi="ar"/>
        </w:rPr>
        <w:t>9</w:t>
      </w:r>
      <w:r>
        <w:rPr>
          <w:rFonts w:hint="eastAsia" w:ascii="宋体" w:hAnsi="宋体" w:cs="宋体"/>
          <w:color w:val="000000"/>
          <w:kern w:val="0"/>
          <w:szCs w:val="21"/>
          <w:lang w:bidi="ar"/>
        </w:rPr>
        <w:t>] 深圳市高标准农田建设规划（（2021-2030年））（征求意见稿）</w:t>
      </w:r>
    </w:p>
    <w:p>
      <w:pPr>
        <w:pStyle w:val="2"/>
      </w:pPr>
    </w:p>
    <w:p>
      <w:pPr>
        <w:widowControl/>
        <w:jc w:val="left"/>
        <w:rPr>
          <w:rFonts w:ascii="宋体" w:hAnsi="宋体" w:cs="宋体"/>
          <w:color w:val="000000" w:themeColor="text1"/>
          <w:kern w:val="0"/>
          <w:szCs w:val="21"/>
          <w:lang w:bidi="ar"/>
          <w14:textFill>
            <w14:solidFill>
              <w14:schemeClr w14:val="tx1"/>
            </w14:solidFill>
          </w14:textFill>
        </w:rPr>
      </w:pPr>
    </w:p>
    <w:p>
      <w:pPr>
        <w:pStyle w:val="110"/>
        <w:framePr w:hSpace="0" w:vSpace="0" w:wrap="auto" w:vAnchor="margin" w:hAnchor="text" w:xAlign="left" w:yAlign="inline"/>
        <w:jc w:val="center"/>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w:t>
      </w:r>
    </w:p>
    <w:p>
      <w:pPr>
        <w:rPr>
          <w:rFonts w:ascii="宋体" w:hAnsi="宋体"/>
          <w:color w:val="000000" w:themeColor="text1"/>
          <w14:textFill>
            <w14:solidFill>
              <w14:schemeClr w14:val="tx1"/>
            </w14:solidFill>
          </w14:textFill>
        </w:rPr>
      </w:pPr>
    </w:p>
    <w:p/>
    <w:sectPr>
      <w:pgSz w:w="11906" w:h="16838"/>
      <w:pgMar w:top="2410"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Cambria">
    <w:panose1 w:val="02040503050406030204"/>
    <w:charset w:val="00"/>
    <w:family w:val="roman"/>
    <w:pitch w:val="default"/>
    <w:sig w:usb0="E00006FF" w:usb1="420024FF" w:usb2="02000000" w:usb3="00000000" w:csb0="2000019F" w:csb1="00000000"/>
  </w:font>
  <w:font w:name="ºÚÌå">
    <w:altName w:val="Calibri"/>
    <w:panose1 w:val="00000000000000000000"/>
    <w:charset w:val="00"/>
    <w:family w:val="swiss"/>
    <w:pitch w:val="default"/>
    <w:sig w:usb0="00000000" w:usb1="00000000" w:usb2="00000000" w:usb3="00000000" w:csb0="00000001" w:csb1="00000000"/>
  </w:font>
  <w:font w:name="ËÎÌå">
    <w:altName w:val="Calibri"/>
    <w:panose1 w:val="00000000000000000000"/>
    <w:charset w:val="00"/>
    <w:family w:val="swiss"/>
    <w:pitch w:val="default"/>
    <w:sig w:usb0="00000000" w:usb1="00000000" w:usb2="00000000" w:usb3="00000000" w:csb0="000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outside" w:y="1"/>
      <w:tabs>
        <w:tab w:val="center" w:pos="4153"/>
        <w:tab w:val="right" w:pos="8306"/>
      </w:tabs>
      <w:rPr>
        <w:rStyle w:val="41"/>
      </w:rPr>
    </w:pPr>
    <w:r>
      <w:rPr>
        <w:rStyle w:val="41"/>
      </w:rPr>
      <w:fldChar w:fldCharType="begin"/>
    </w:r>
    <w:r>
      <w:rPr>
        <w:rStyle w:val="41"/>
      </w:rPr>
      <w:instrText xml:space="preserve">PAGE  </w:instrText>
    </w:r>
    <w:r>
      <w:rPr>
        <w:rStyle w:val="41"/>
      </w:rPr>
      <w:fldChar w:fldCharType="separate"/>
    </w:r>
    <w:r>
      <w:rPr>
        <w:rStyle w:val="41"/>
      </w:rPr>
      <w:t>16</w:t>
    </w:r>
    <w:r>
      <w:rPr>
        <w:rStyle w:val="41"/>
      </w:rPr>
      <w:fldChar w:fldCharType="end"/>
    </w:r>
  </w:p>
  <w:p>
    <w:pPr>
      <w:pStyle w:val="143"/>
      <w:ind w:right="360" w:firstLine="360"/>
      <w:rPr>
        <w:rStyle w:val="4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right="198" w:right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left="198" w:right="0" w:right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right="198" w:right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left="198" w:right="0" w:right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ind w:left="198" w:right="0" w:rightChars="0"/>
      <w:jc w:val="left"/>
    </w:pPr>
    <w:r>
      <w:fldChar w:fldCharType="begin"/>
    </w:r>
    <w:r>
      <w:instrText xml:space="preserve">PAGE   \* MERGEFORMAT</w:instrText>
    </w:r>
    <w:r>
      <w:fldChar w:fldCharType="separate"/>
    </w:r>
    <w:r>
      <w:rPr>
        <w:lang w:val="zh-CN"/>
      </w:rPr>
      <w:t>2</w:t>
    </w:r>
    <w:r>
      <w:rPr>
        <w:lang w:val="zh-CN"/>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6"/>
    </w:pPr>
    <w:r>
      <w:fldChar w:fldCharType="begin"/>
    </w:r>
    <w:r>
      <w:instrText xml:space="preserve">PAGE   \* MERGEFORMAT</w:instrText>
    </w:r>
    <w:r>
      <w:fldChar w:fldCharType="separate"/>
    </w:r>
    <w:r>
      <w:rPr>
        <w:lang w:val="zh-CN"/>
      </w:rPr>
      <w:t>17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207578" o:spid="_x0000_s2101"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after="284"/>
      <w:rPr>
        <w:rFonts w:ascii="黑体" w:hAnsi="黑体" w:eastAsia="黑体"/>
        <w:sz w:val="21"/>
        <w:szCs w:val="21"/>
      </w:rPr>
    </w:pPr>
    <w:r>
      <w:rPr>
        <w:sz w:val="21"/>
      </w:rPr>
      <w:pict>
        <v:shape id="PowerPlusWaterMarkObject250004" o:spid="_x0000_s2102"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w:t>
    </w:r>
    <w:r>
      <w:rPr>
        <w:rFonts w:ascii="黑体" w:hAnsi="黑体" w:eastAsia="黑体"/>
        <w:kern w:val="0"/>
        <w:sz w:val="21"/>
        <w:szCs w:val="21"/>
      </w:rPr>
      <w:t>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267136" o:spid="_x0000_s2103"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right"/>
      <w:rPr>
        <w:rFonts w:ascii="黑体" w:hAnsi="黑体" w:eastAsia="黑体"/>
        <w:kern w:val="0"/>
        <w:szCs w:val="20"/>
      </w:rPr>
    </w:pPr>
    <w:r>
      <w:pict>
        <v:shape id="PowerPlusWaterMarkObject307446" o:spid="_x0000_s2104"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lang w:val="en-US" w:eastAsia="zh-CN"/>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4"/>
        <w:tab w:val="right" w:pos="8306"/>
      </w:tabs>
      <w:spacing w:after="284"/>
      <w:ind w:right="105"/>
      <w:jc w:val="left"/>
      <w:rPr>
        <w:rFonts w:ascii="黑体" w:hAnsi="黑体" w:eastAsia="黑体"/>
        <w:kern w:val="0"/>
        <w:szCs w:val="20"/>
      </w:rPr>
    </w:pPr>
    <w:r>
      <w:pict>
        <v:shape id="PowerPlusWaterMarkObject348319" o:spid="_x0000_s2105"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Cs w:val="20"/>
      </w:rPr>
      <w:t>T/</w:t>
    </w:r>
    <w:r>
      <w:rPr>
        <w:rFonts w:hint="eastAsia" w:ascii="黑体" w:hAnsi="黑体" w:eastAsia="黑体"/>
        <w:kern w:val="0"/>
        <w:szCs w:val="20"/>
      </w:rPr>
      <w:t>SZS XXXX</w:t>
    </w:r>
    <w:r>
      <w:rPr>
        <w:rFonts w:hint="eastAsia" w:asciiTheme="minorEastAsia" w:hAnsiTheme="minorEastAsia" w:eastAsiaTheme="minorEastAsia" w:cstheme="minorEastAsia"/>
      </w:rPr>
      <w:t>—</w:t>
    </w:r>
    <w:r>
      <w:rPr>
        <w:rFonts w:hint="eastAsia" w:ascii="黑体" w:hAnsi="黑体" w:eastAsia="黑体"/>
        <w:kern w:val="0"/>
        <w:szCs w:val="20"/>
      </w:rPr>
      <w:t>20</w:t>
    </w:r>
    <w:r>
      <w:rPr>
        <w:rFonts w:ascii="黑体" w:hAnsi="黑体" w:eastAsia="黑体"/>
        <w:kern w:val="0"/>
        <w:szCs w:val="20"/>
      </w:rPr>
      <w:t>2</w:t>
    </w:r>
    <w:r>
      <w:rPr>
        <w:rFonts w:hint="eastAsia" w:ascii="黑体" w:hAnsi="黑体" w:eastAsia="黑体"/>
        <w:kern w:val="0"/>
        <w:szCs w:val="20"/>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0935673" o:spid="_x0000_s2052" o:spt="136" type="#_x0000_t136" style="position:absolute;left:0pt;height:206.25pt;width:517.5pt;mso-position-horizontal:center;mso-position-horizontal-relative:margin;mso-position-vertical:center;mso-position-vertical-relative:margin;rotation:20643840f;z-index:-251652096;mso-width-relative:page;mso-height-relative:page;" fillcolor="#D8D8D8" filled="t" stroked="f" coordsize="21600,21600" o:allowincell="f">
          <v:path/>
          <v:fill on="t" opacity="32768f" focussize="0,0"/>
          <v:stroke on="f"/>
          <v:imagedata o:title=""/>
          <o:lock v:ext="edit"/>
          <v:textpath on="t" fitshape="t" fitpath="t" trim="t" xscale="f" string="T/SZS" style="font-family:新宋体;font-size:20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rPr>
        <w:rFonts w:hint="eastAsia" w:eastAsia="黑体"/>
        <w:lang w:eastAsia="zh-CN"/>
      </w:rPr>
    </w:pPr>
    <w:r>
      <w:pict>
        <v:shape id="PowerPlusWaterMarkObject358830" o:spid="_x0000_s2106" o:spt="136" type="#_x0000_t136" style="position:absolute;left:0pt;height:213.25pt;width:468.15pt;mso-position-horizontal:center;mso-position-horizontal-relative:margin;mso-position-vertical:center;mso-position-vertical-relative:margin;rotation:-2949120f;z-index:-25164595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hAnsi="黑体" w:cs="黑体"/>
      </w:rPr>
      <w:t>T/SZS XXXX—202</w:t>
    </w:r>
    <w:r>
      <w:rPr>
        <w:rFonts w:hint="eastAsia" w:hAnsi="黑体" w:cs="黑体"/>
        <w:lang w:val="en-US" w:eastAsia="zh-CN"/>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153"/>
        <w:tab w:val="right" w:pos="8306"/>
      </w:tabs>
      <w:jc w:val="right"/>
      <w:rPr>
        <w:rFonts w:hint="eastAsia" w:eastAsia="黑体"/>
        <w:lang w:eastAsia="zh-CN"/>
      </w:rPr>
    </w:pPr>
    <w:r>
      <w:pict>
        <v:shape id="PowerPlusWaterMarkObject370897" o:spid="_x0000_s2107" o:spt="136" type="#_x0000_t136" style="position:absolute;left:0pt;height:213.25pt;width:468.15pt;mso-position-horizontal:center;mso-position-horizontal-relative:margin;mso-position-vertical:center;mso-position-vertical-relative:margin;rotation:-2949120f;z-index:-25164492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rPr>
      <w:t>T/SZS XXXX—202</w:t>
    </w:r>
    <w:r>
      <w:rPr>
        <w:rFonts w:hint="eastAsia" w:ascii="黑体" w:hAnsi="黑体" w:eastAsia="黑体" w:cs="黑体"/>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B150B"/>
    <w:multiLevelType w:val="singleLevel"/>
    <w:tmpl w:val="848B150B"/>
    <w:lvl w:ilvl="0" w:tentative="0">
      <w:start w:val="1"/>
      <w:numFmt w:val="decimal"/>
      <w:suff w:val="space"/>
      <w:lvlText w:val="[%1]"/>
      <w:lvlJc w:val="left"/>
    </w:lvl>
  </w:abstractNum>
  <w:abstractNum w:abstractNumId="1">
    <w:nsid w:val="9239341B"/>
    <w:multiLevelType w:val="singleLevel"/>
    <w:tmpl w:val="9239341B"/>
    <w:lvl w:ilvl="0" w:tentative="0">
      <w:start w:val="1"/>
      <w:numFmt w:val="bullet"/>
      <w:lvlText w:val="□"/>
      <w:lvlJc w:val="left"/>
      <w:rPr>
        <w:rFonts w:ascii="宋体" w:hAnsi="宋体" w:eastAsia="宋体" w:cs="宋体"/>
        <w:b w:val="0"/>
        <w:bCs w:val="0"/>
        <w:i w:val="0"/>
        <w:iCs w:val="0"/>
        <w:smallCaps w:val="0"/>
        <w:strike w:val="0"/>
        <w:color w:val="252525"/>
        <w:spacing w:val="0"/>
        <w:w w:val="100"/>
        <w:position w:val="0"/>
        <w:sz w:val="16"/>
        <w:szCs w:val="16"/>
        <w:u w:val="none"/>
        <w:shd w:val="clear" w:color="auto" w:fill="auto"/>
        <w:lang w:val="en-US" w:eastAsia="en-US" w:bidi="en-US"/>
      </w:rPr>
    </w:lvl>
  </w:abstractNum>
  <w:abstractNum w:abstractNumId="2">
    <w:nsid w:val="079102AD"/>
    <w:multiLevelType w:val="multilevel"/>
    <w:tmpl w:val="079102AD"/>
    <w:lvl w:ilvl="0" w:tentative="0">
      <w:start w:val="1"/>
      <w:numFmt w:val="decimal"/>
      <w:pStyle w:val="10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tentative="0">
      <w:start w:val="1"/>
      <w:numFmt w:val="decimal"/>
      <w:pStyle w:val="105"/>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11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983844"/>
    <w:multiLevelType w:val="multilevel"/>
    <w:tmpl w:val="0D983844"/>
    <w:lvl w:ilvl="0" w:tentative="0">
      <w:start w:val="1"/>
      <w:numFmt w:val="decimal"/>
      <w:pStyle w:val="5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0DDE2B46"/>
    <w:multiLevelType w:val="multilevel"/>
    <w:tmpl w:val="0DDE2B46"/>
    <w:lvl w:ilvl="0" w:tentative="0">
      <w:start w:val="1"/>
      <w:numFmt w:val="lowerLetter"/>
      <w:pStyle w:val="7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FC91163"/>
    <w:multiLevelType w:val="multilevel"/>
    <w:tmpl w:val="1FC91163"/>
    <w:lvl w:ilvl="0" w:tentative="0">
      <w:start w:val="1"/>
      <w:numFmt w:val="decimal"/>
      <w:pStyle w:val="9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29"/>
      <w:suff w:val="space"/>
      <w:lvlText w:val="%1"/>
      <w:lvlJc w:val="left"/>
      <w:pPr>
        <w:ind w:left="623" w:hanging="425"/>
      </w:pPr>
      <w:rPr>
        <w:rFonts w:hint="eastAsia"/>
      </w:rPr>
    </w:lvl>
    <w:lvl w:ilvl="1" w:tentative="0">
      <w:start w:val="1"/>
      <w:numFmt w:val="decimal"/>
      <w:pStyle w:val="12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144"/>
      <w:suff w:val="nothing"/>
      <w:lvlText w:val="%1——"/>
      <w:lvlJc w:val="left"/>
      <w:pPr>
        <w:ind w:left="833" w:hanging="408"/>
      </w:pPr>
      <w:rPr>
        <w:rFonts w:hint="eastAsia"/>
        <w:lang w:val="en-US"/>
      </w:rPr>
    </w:lvl>
    <w:lvl w:ilvl="1" w:tentative="0">
      <w:start w:val="1"/>
      <w:numFmt w:val="bullet"/>
      <w:pStyle w:val="64"/>
      <w:lvlText w:val=""/>
      <w:lvlJc w:val="left"/>
      <w:pPr>
        <w:tabs>
          <w:tab w:val="left" w:pos="760"/>
        </w:tabs>
        <w:ind w:left="1264" w:hanging="413"/>
      </w:pPr>
      <w:rPr>
        <w:rFonts w:hint="default" w:ascii="Symbol" w:hAnsi="Symbol"/>
        <w:color w:val="auto"/>
      </w:rPr>
    </w:lvl>
    <w:lvl w:ilvl="2" w:tentative="0">
      <w:start w:val="1"/>
      <w:numFmt w:val="bullet"/>
      <w:pStyle w:val="12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7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8496C3C"/>
    <w:multiLevelType w:val="multilevel"/>
    <w:tmpl w:val="48496C3C"/>
    <w:lvl w:ilvl="0" w:tentative="0">
      <w:start w:val="1"/>
      <w:numFmt w:val="decimal"/>
      <w:pStyle w:val="13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4">
    <w:nsid w:val="4B733A5F"/>
    <w:multiLevelType w:val="multilevel"/>
    <w:tmpl w:val="4B733A5F"/>
    <w:lvl w:ilvl="0" w:tentative="0">
      <w:start w:val="1"/>
      <w:numFmt w:val="decimal"/>
      <w:pStyle w:val="10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5">
    <w:nsid w:val="57AC17A3"/>
    <w:multiLevelType w:val="multilevel"/>
    <w:tmpl w:val="57AC17A3"/>
    <w:lvl w:ilvl="0" w:tentative="0">
      <w:start w:val="1"/>
      <w:numFmt w:val="lowerLetter"/>
      <w:pStyle w:val="9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5"/>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60B55DC2"/>
    <w:multiLevelType w:val="multilevel"/>
    <w:tmpl w:val="60B55DC2"/>
    <w:lvl w:ilvl="0" w:tentative="0">
      <w:start w:val="1"/>
      <w:numFmt w:val="upperLetter"/>
      <w:pStyle w:val="112"/>
      <w:lvlText w:val="%1"/>
      <w:lvlJc w:val="left"/>
      <w:pPr>
        <w:tabs>
          <w:tab w:val="left" w:pos="0"/>
        </w:tabs>
        <w:ind w:left="0" w:hanging="425"/>
      </w:pPr>
      <w:rPr>
        <w:rFonts w:hint="eastAsia"/>
      </w:rPr>
    </w:lvl>
    <w:lvl w:ilvl="1" w:tentative="0">
      <w:start w:val="1"/>
      <w:numFmt w:val="decimal"/>
      <w:pStyle w:val="1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tentative="0">
      <w:start w:val="1"/>
      <w:numFmt w:val="decimal"/>
      <w:pStyle w:val="16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57D3FBC"/>
    <w:multiLevelType w:val="multilevel"/>
    <w:tmpl w:val="657D3FBC"/>
    <w:lvl w:ilvl="0" w:tentative="0">
      <w:start w:val="1"/>
      <w:numFmt w:val="upperLetter"/>
      <w:pStyle w:val="11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2"/>
      <w:suff w:val="nothing"/>
      <w:lvlText w:val="%1%2　"/>
      <w:lvlJc w:val="left"/>
      <w:pPr>
        <w:ind w:left="0" w:firstLine="0"/>
      </w:pPr>
      <w:rPr>
        <w:rFonts w:hint="eastAsia" w:ascii="黑体" w:eastAsia="黑体"/>
        <w:b w:val="0"/>
        <w:i w:val="0"/>
        <w:sz w:val="21"/>
      </w:rPr>
    </w:lvl>
    <w:lvl w:ilvl="2" w:tentative="0">
      <w:start w:val="1"/>
      <w:numFmt w:val="decimal"/>
      <w:pStyle w:val="166"/>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2"/>
      <w:suff w:val="nothing"/>
      <w:lvlText w:val="%1%2.%3.%4　"/>
      <w:lvlJc w:val="left"/>
      <w:pPr>
        <w:ind w:left="0" w:firstLine="0"/>
      </w:pPr>
      <w:rPr>
        <w:rFonts w:hint="eastAsia" w:ascii="黑体" w:eastAsia="黑体"/>
        <w:b w:val="0"/>
        <w:i w:val="0"/>
        <w:sz w:val="21"/>
      </w:rPr>
    </w:lvl>
    <w:lvl w:ilvl="4" w:tentative="0">
      <w:start w:val="1"/>
      <w:numFmt w:val="decimal"/>
      <w:pStyle w:val="173"/>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6D6C07CD"/>
    <w:multiLevelType w:val="multilevel"/>
    <w:tmpl w:val="6D6C07CD"/>
    <w:lvl w:ilvl="0" w:tentative="0">
      <w:start w:val="1"/>
      <w:numFmt w:val="lowerLetter"/>
      <w:pStyle w:val="89"/>
      <w:lvlText w:val="%1)"/>
      <w:lvlJc w:val="left"/>
      <w:pPr>
        <w:tabs>
          <w:tab w:val="left" w:pos="839"/>
        </w:tabs>
        <w:ind w:left="839" w:hanging="419"/>
      </w:pPr>
      <w:rPr>
        <w:rFonts w:hint="eastAsia" w:ascii="宋体" w:eastAsia="宋体"/>
        <w:b w:val="0"/>
        <w:i w:val="0"/>
        <w:sz w:val="21"/>
      </w:rPr>
    </w:lvl>
    <w:lvl w:ilvl="1" w:tentative="0">
      <w:start w:val="1"/>
      <w:numFmt w:val="decimal"/>
      <w:pStyle w:val="7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66"/>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18"/>
  </w:num>
  <w:num w:numId="3">
    <w:abstractNumId w:val="5"/>
  </w:num>
  <w:num w:numId="4">
    <w:abstractNumId w:val="10"/>
  </w:num>
  <w:num w:numId="5">
    <w:abstractNumId w:val="8"/>
  </w:num>
  <w:num w:numId="6">
    <w:abstractNumId w:val="21"/>
  </w:num>
  <w:num w:numId="7">
    <w:abstractNumId w:val="20"/>
  </w:num>
  <w:num w:numId="8">
    <w:abstractNumId w:val="6"/>
  </w:num>
  <w:num w:numId="9">
    <w:abstractNumId w:val="15"/>
  </w:num>
  <w:num w:numId="10">
    <w:abstractNumId w:val="7"/>
  </w:num>
  <w:num w:numId="11">
    <w:abstractNumId w:val="14"/>
  </w:num>
  <w:num w:numId="12">
    <w:abstractNumId w:val="2"/>
  </w:num>
  <w:num w:numId="13">
    <w:abstractNumId w:val="3"/>
  </w:num>
  <w:num w:numId="14">
    <w:abstractNumId w:val="16"/>
  </w:num>
  <w:num w:numId="15">
    <w:abstractNumId w:val="4"/>
  </w:num>
  <w:num w:numId="16">
    <w:abstractNumId w:val="9"/>
  </w:num>
  <w:num w:numId="17">
    <w:abstractNumId w:val="13"/>
  </w:num>
  <w:num w:numId="18">
    <w:abstractNumId w:val="19"/>
  </w:num>
  <w:num w:numId="19">
    <w:abstractNumId w:val="17"/>
  </w:num>
  <w:num w:numId="20">
    <w:abstractNumId w:val="11"/>
  </w:num>
  <w:num w:numId="21">
    <w:abstractNumId w:val="1"/>
  </w:num>
  <w:num w:numId="2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QQ">
    <w15:presenceInfo w15:providerId="None" w15:userId="JQQ"/>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0"/>
  <w:bordersDoNotSurroundFooter w:val="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ODlmZjIyZDdjMWY2YWY0NDRhOTA5ODU4MjU0MzUifQ=="/>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30407"/>
    <w:rsid w:val="000320A7"/>
    <w:rsid w:val="00035925"/>
    <w:rsid w:val="0004111E"/>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1F55"/>
    <w:rsid w:val="00134443"/>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6BA9"/>
    <w:rsid w:val="001674D6"/>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6445"/>
    <w:rsid w:val="001E67E6"/>
    <w:rsid w:val="001F0555"/>
    <w:rsid w:val="001F1786"/>
    <w:rsid w:val="001F3A19"/>
    <w:rsid w:val="00204404"/>
    <w:rsid w:val="0020748A"/>
    <w:rsid w:val="00211D21"/>
    <w:rsid w:val="0021451F"/>
    <w:rsid w:val="00214966"/>
    <w:rsid w:val="002152CF"/>
    <w:rsid w:val="002162E5"/>
    <w:rsid w:val="002178CA"/>
    <w:rsid w:val="002213CC"/>
    <w:rsid w:val="00222332"/>
    <w:rsid w:val="00222605"/>
    <w:rsid w:val="00225593"/>
    <w:rsid w:val="002301A6"/>
    <w:rsid w:val="00231C2B"/>
    <w:rsid w:val="00231D60"/>
    <w:rsid w:val="00232F3A"/>
    <w:rsid w:val="00234467"/>
    <w:rsid w:val="002359DB"/>
    <w:rsid w:val="00237D8D"/>
    <w:rsid w:val="00240ABE"/>
    <w:rsid w:val="00241DA2"/>
    <w:rsid w:val="00242ED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4554"/>
    <w:rsid w:val="002C00AF"/>
    <w:rsid w:val="002C1FE7"/>
    <w:rsid w:val="002C48C6"/>
    <w:rsid w:val="002C51B9"/>
    <w:rsid w:val="002C5BE3"/>
    <w:rsid w:val="002C6238"/>
    <w:rsid w:val="002C72D8"/>
    <w:rsid w:val="002C7C31"/>
    <w:rsid w:val="002D0457"/>
    <w:rsid w:val="002D11F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45EC"/>
    <w:rsid w:val="00495645"/>
    <w:rsid w:val="004958E6"/>
    <w:rsid w:val="004968CB"/>
    <w:rsid w:val="004A21F2"/>
    <w:rsid w:val="004A232B"/>
    <w:rsid w:val="004A35F9"/>
    <w:rsid w:val="004A598D"/>
    <w:rsid w:val="004A6BE0"/>
    <w:rsid w:val="004A7132"/>
    <w:rsid w:val="004B24C1"/>
    <w:rsid w:val="004B4592"/>
    <w:rsid w:val="004B4926"/>
    <w:rsid w:val="004B53E5"/>
    <w:rsid w:val="004B7C46"/>
    <w:rsid w:val="004C1AF5"/>
    <w:rsid w:val="004C28C1"/>
    <w:rsid w:val="004C292F"/>
    <w:rsid w:val="004D167C"/>
    <w:rsid w:val="004D1C55"/>
    <w:rsid w:val="004D21B7"/>
    <w:rsid w:val="004D4F1B"/>
    <w:rsid w:val="004D6E6C"/>
    <w:rsid w:val="004E0BF3"/>
    <w:rsid w:val="004E4107"/>
    <w:rsid w:val="004E4E5D"/>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530D"/>
    <w:rsid w:val="005174E5"/>
    <w:rsid w:val="00520431"/>
    <w:rsid w:val="005208F8"/>
    <w:rsid w:val="00522393"/>
    <w:rsid w:val="0052262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1F9C"/>
    <w:rsid w:val="00573826"/>
    <w:rsid w:val="00574391"/>
    <w:rsid w:val="00575F82"/>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734E"/>
    <w:rsid w:val="00700C5C"/>
    <w:rsid w:val="00704329"/>
    <w:rsid w:val="00704DF6"/>
    <w:rsid w:val="0070651C"/>
    <w:rsid w:val="0070680E"/>
    <w:rsid w:val="00710136"/>
    <w:rsid w:val="007127D8"/>
    <w:rsid w:val="007132A3"/>
    <w:rsid w:val="00716178"/>
    <w:rsid w:val="00716421"/>
    <w:rsid w:val="00716F24"/>
    <w:rsid w:val="00721620"/>
    <w:rsid w:val="007236CA"/>
    <w:rsid w:val="00723B10"/>
    <w:rsid w:val="00724EFB"/>
    <w:rsid w:val="00725723"/>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3E03"/>
    <w:rsid w:val="007E4677"/>
    <w:rsid w:val="007E4B76"/>
    <w:rsid w:val="007E5EA8"/>
    <w:rsid w:val="007E6AEA"/>
    <w:rsid w:val="007F0CF1"/>
    <w:rsid w:val="007F12A5"/>
    <w:rsid w:val="007F2BFF"/>
    <w:rsid w:val="007F3870"/>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43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0407"/>
    <w:rsid w:val="008B4CBC"/>
    <w:rsid w:val="008B64EB"/>
    <w:rsid w:val="008B7005"/>
    <w:rsid w:val="008B79A1"/>
    <w:rsid w:val="008B7C30"/>
    <w:rsid w:val="008C1B58"/>
    <w:rsid w:val="008C3442"/>
    <w:rsid w:val="008C39AE"/>
    <w:rsid w:val="008C588B"/>
    <w:rsid w:val="008C590D"/>
    <w:rsid w:val="008C718C"/>
    <w:rsid w:val="008C7431"/>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69CB"/>
    <w:rsid w:val="009171CE"/>
    <w:rsid w:val="00917352"/>
    <w:rsid w:val="009209A2"/>
    <w:rsid w:val="00920FA2"/>
    <w:rsid w:val="00921126"/>
    <w:rsid w:val="0092206B"/>
    <w:rsid w:val="00925058"/>
    <w:rsid w:val="009279DE"/>
    <w:rsid w:val="00930116"/>
    <w:rsid w:val="00935B31"/>
    <w:rsid w:val="00940A7B"/>
    <w:rsid w:val="0094212C"/>
    <w:rsid w:val="00942E43"/>
    <w:rsid w:val="00946167"/>
    <w:rsid w:val="00947622"/>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187A"/>
    <w:rsid w:val="00A01E18"/>
    <w:rsid w:val="00A02E43"/>
    <w:rsid w:val="00A03A41"/>
    <w:rsid w:val="00A03A9C"/>
    <w:rsid w:val="00A065F9"/>
    <w:rsid w:val="00A06613"/>
    <w:rsid w:val="00A07F34"/>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71625"/>
    <w:rsid w:val="00A71B9B"/>
    <w:rsid w:val="00A72B45"/>
    <w:rsid w:val="00A72F99"/>
    <w:rsid w:val="00A74EB5"/>
    <w:rsid w:val="00A751C7"/>
    <w:rsid w:val="00A803A9"/>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09AD"/>
    <w:rsid w:val="00B014C8"/>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58A7"/>
    <w:rsid w:val="00C45AEB"/>
    <w:rsid w:val="00C51BA5"/>
    <w:rsid w:val="00C51E99"/>
    <w:rsid w:val="00C53D51"/>
    <w:rsid w:val="00C54730"/>
    <w:rsid w:val="00C5572A"/>
    <w:rsid w:val="00C55ED7"/>
    <w:rsid w:val="00C601D2"/>
    <w:rsid w:val="00C61F4F"/>
    <w:rsid w:val="00C63979"/>
    <w:rsid w:val="00C63F24"/>
    <w:rsid w:val="00C657DA"/>
    <w:rsid w:val="00C65BCC"/>
    <w:rsid w:val="00C66970"/>
    <w:rsid w:val="00C70471"/>
    <w:rsid w:val="00C70F10"/>
    <w:rsid w:val="00C71644"/>
    <w:rsid w:val="00C74332"/>
    <w:rsid w:val="00C76368"/>
    <w:rsid w:val="00C82685"/>
    <w:rsid w:val="00C83888"/>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4D60"/>
    <w:rsid w:val="00CD73E3"/>
    <w:rsid w:val="00CD79E3"/>
    <w:rsid w:val="00CD7EAF"/>
    <w:rsid w:val="00CE2FDB"/>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386"/>
    <w:rsid w:val="00E07398"/>
    <w:rsid w:val="00E11ABB"/>
    <w:rsid w:val="00E11C4B"/>
    <w:rsid w:val="00E21984"/>
    <w:rsid w:val="00E23406"/>
    <w:rsid w:val="00E24EB4"/>
    <w:rsid w:val="00E320ED"/>
    <w:rsid w:val="00E3265B"/>
    <w:rsid w:val="00E33AFB"/>
    <w:rsid w:val="00E34218"/>
    <w:rsid w:val="00E34A84"/>
    <w:rsid w:val="00E3645D"/>
    <w:rsid w:val="00E36D0B"/>
    <w:rsid w:val="00E37A8B"/>
    <w:rsid w:val="00E40634"/>
    <w:rsid w:val="00E41915"/>
    <w:rsid w:val="00E43F5F"/>
    <w:rsid w:val="00E46282"/>
    <w:rsid w:val="00E5216E"/>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3022"/>
    <w:rsid w:val="00EF3604"/>
    <w:rsid w:val="00F01516"/>
    <w:rsid w:val="00F062F6"/>
    <w:rsid w:val="00F0690D"/>
    <w:rsid w:val="00F11BB5"/>
    <w:rsid w:val="00F11E00"/>
    <w:rsid w:val="00F14020"/>
    <w:rsid w:val="00F1417B"/>
    <w:rsid w:val="00F22D43"/>
    <w:rsid w:val="00F238FF"/>
    <w:rsid w:val="00F32D6F"/>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3B68"/>
    <w:rsid w:val="00FF61B0"/>
    <w:rsid w:val="02297DD8"/>
    <w:rsid w:val="030621D2"/>
    <w:rsid w:val="048B3B05"/>
    <w:rsid w:val="04D3667D"/>
    <w:rsid w:val="0DA34EC2"/>
    <w:rsid w:val="0F916077"/>
    <w:rsid w:val="0F9E459E"/>
    <w:rsid w:val="101C1DE4"/>
    <w:rsid w:val="10450E42"/>
    <w:rsid w:val="10F0797B"/>
    <w:rsid w:val="11E80A7F"/>
    <w:rsid w:val="12840C68"/>
    <w:rsid w:val="131A2658"/>
    <w:rsid w:val="13E26BF6"/>
    <w:rsid w:val="143C793E"/>
    <w:rsid w:val="15097400"/>
    <w:rsid w:val="16D809AC"/>
    <w:rsid w:val="179B7797"/>
    <w:rsid w:val="19B133BC"/>
    <w:rsid w:val="1AD56879"/>
    <w:rsid w:val="1B400DE5"/>
    <w:rsid w:val="1C326485"/>
    <w:rsid w:val="1C8D74DF"/>
    <w:rsid w:val="1C901CAD"/>
    <w:rsid w:val="1D7B1747"/>
    <w:rsid w:val="1D8673DE"/>
    <w:rsid w:val="1E3E3F8C"/>
    <w:rsid w:val="1F314018"/>
    <w:rsid w:val="1F6E7C17"/>
    <w:rsid w:val="1F9E2898"/>
    <w:rsid w:val="207D0F8C"/>
    <w:rsid w:val="208B1A55"/>
    <w:rsid w:val="20E406FC"/>
    <w:rsid w:val="239353C9"/>
    <w:rsid w:val="27F745AE"/>
    <w:rsid w:val="2844344F"/>
    <w:rsid w:val="299052B3"/>
    <w:rsid w:val="2BBF8C26"/>
    <w:rsid w:val="2BC55C39"/>
    <w:rsid w:val="2BCE6231"/>
    <w:rsid w:val="2EAC2B15"/>
    <w:rsid w:val="2F0B6118"/>
    <w:rsid w:val="2F67042C"/>
    <w:rsid w:val="2FB37DCD"/>
    <w:rsid w:val="2FFED3C5"/>
    <w:rsid w:val="30FC3977"/>
    <w:rsid w:val="318F6C57"/>
    <w:rsid w:val="331B19CA"/>
    <w:rsid w:val="33DB182A"/>
    <w:rsid w:val="341E2A13"/>
    <w:rsid w:val="347F68E7"/>
    <w:rsid w:val="34D233EE"/>
    <w:rsid w:val="35C35DEB"/>
    <w:rsid w:val="36F23319"/>
    <w:rsid w:val="36FF28BA"/>
    <w:rsid w:val="37265E54"/>
    <w:rsid w:val="37C65BB6"/>
    <w:rsid w:val="399B4FCA"/>
    <w:rsid w:val="3B3C7EDE"/>
    <w:rsid w:val="3EE778AF"/>
    <w:rsid w:val="3FE84035"/>
    <w:rsid w:val="409A3B2A"/>
    <w:rsid w:val="44617CC7"/>
    <w:rsid w:val="45EA1370"/>
    <w:rsid w:val="463B1C8A"/>
    <w:rsid w:val="47A035E5"/>
    <w:rsid w:val="488E383C"/>
    <w:rsid w:val="4A21514E"/>
    <w:rsid w:val="4A821FB0"/>
    <w:rsid w:val="4A8357F5"/>
    <w:rsid w:val="4AB40403"/>
    <w:rsid w:val="4AE11487"/>
    <w:rsid w:val="4C1349D2"/>
    <w:rsid w:val="4C24442B"/>
    <w:rsid w:val="4CAE6B83"/>
    <w:rsid w:val="4D4A7927"/>
    <w:rsid w:val="4DCE6229"/>
    <w:rsid w:val="4E031602"/>
    <w:rsid w:val="4E3E6DA1"/>
    <w:rsid w:val="4E657CC8"/>
    <w:rsid w:val="4EA9480D"/>
    <w:rsid w:val="514314A4"/>
    <w:rsid w:val="525941F7"/>
    <w:rsid w:val="527B32DC"/>
    <w:rsid w:val="54AE73D9"/>
    <w:rsid w:val="56D13B22"/>
    <w:rsid w:val="57775221"/>
    <w:rsid w:val="589828C3"/>
    <w:rsid w:val="5AD01207"/>
    <w:rsid w:val="5B7C2D04"/>
    <w:rsid w:val="5C3575F8"/>
    <w:rsid w:val="5C494FF5"/>
    <w:rsid w:val="5C624ED9"/>
    <w:rsid w:val="5CB919DE"/>
    <w:rsid w:val="5CDF1BA4"/>
    <w:rsid w:val="5D4209FC"/>
    <w:rsid w:val="5E40325A"/>
    <w:rsid w:val="5E9D48D1"/>
    <w:rsid w:val="5FD7B2F1"/>
    <w:rsid w:val="608D501A"/>
    <w:rsid w:val="61144470"/>
    <w:rsid w:val="626F47DE"/>
    <w:rsid w:val="66201FF1"/>
    <w:rsid w:val="684576A1"/>
    <w:rsid w:val="68544929"/>
    <w:rsid w:val="69831126"/>
    <w:rsid w:val="6A5B1EFB"/>
    <w:rsid w:val="6AD145C7"/>
    <w:rsid w:val="6B7114C3"/>
    <w:rsid w:val="6BE99A4D"/>
    <w:rsid w:val="6BEB4AAA"/>
    <w:rsid w:val="6CE62D78"/>
    <w:rsid w:val="6DC53896"/>
    <w:rsid w:val="6F733874"/>
    <w:rsid w:val="700329C4"/>
    <w:rsid w:val="70F008E8"/>
    <w:rsid w:val="71460A0E"/>
    <w:rsid w:val="714977FC"/>
    <w:rsid w:val="72DC3022"/>
    <w:rsid w:val="742330C2"/>
    <w:rsid w:val="74844956"/>
    <w:rsid w:val="757C0541"/>
    <w:rsid w:val="765B1A3C"/>
    <w:rsid w:val="7777F65D"/>
    <w:rsid w:val="779A8D62"/>
    <w:rsid w:val="779E3FD7"/>
    <w:rsid w:val="77B1BDEE"/>
    <w:rsid w:val="78EE009B"/>
    <w:rsid w:val="7B75408B"/>
    <w:rsid w:val="7B7FBC01"/>
    <w:rsid w:val="7C6072D2"/>
    <w:rsid w:val="7CC111C0"/>
    <w:rsid w:val="7D393630"/>
    <w:rsid w:val="7D9AC147"/>
    <w:rsid w:val="7DA12179"/>
    <w:rsid w:val="7E5E21D0"/>
    <w:rsid w:val="7E7FC49D"/>
    <w:rsid w:val="7EA06065"/>
    <w:rsid w:val="7EDBE556"/>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49"/>
    <w:qFormat/>
    <w:uiPriority w:val="0"/>
    <w:pPr>
      <w:keepNext/>
      <w:keepLines/>
      <w:spacing w:before="340" w:after="330" w:line="578" w:lineRule="auto"/>
      <w:outlineLvl w:val="0"/>
    </w:pPr>
    <w:rPr>
      <w:b/>
      <w:bCs/>
      <w:kern w:val="44"/>
      <w:sz w:val="44"/>
      <w:szCs w:val="4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39">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qFormat/>
    <w:uiPriority w:val="0"/>
    <w:pPr>
      <w:spacing w:before="120" w:after="120"/>
      <w:jc w:val="center"/>
    </w:pPr>
    <w:rPr>
      <w:rFonts w:ascii="Calibri" w:hAnsi="Calibri"/>
      <w:b/>
      <w:bCs/>
      <w:iCs/>
      <w:szCs w:val="20"/>
    </w:rPr>
  </w:style>
  <w:style w:type="paragraph" w:styleId="3">
    <w:name w:val="index 1"/>
    <w:basedOn w:val="1"/>
    <w:next w:val="1"/>
    <w:qFormat/>
    <w:uiPriority w:val="0"/>
    <w:pPr>
      <w:tabs>
        <w:tab w:val="right" w:leader="dot" w:pos="9299"/>
      </w:tabs>
      <w:jc w:val="left"/>
    </w:pPr>
    <w:rPr>
      <w:rFonts w:ascii="宋体"/>
      <w:szCs w:val="21"/>
    </w:rPr>
  </w:style>
  <w:style w:type="paragraph" w:styleId="6">
    <w:name w:val="toc 7"/>
    <w:basedOn w:val="1"/>
    <w:next w:val="1"/>
    <w:qFormat/>
    <w:uiPriority w:val="39"/>
    <w:pPr>
      <w:tabs>
        <w:tab w:val="right" w:leader="dot" w:pos="9241"/>
      </w:tabs>
      <w:ind w:firstLine="500" w:firstLineChars="500"/>
      <w:jc w:val="left"/>
    </w:pPr>
    <w:rPr>
      <w:rFonts w:ascii="宋体"/>
      <w:szCs w:val="21"/>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Normal Indent"/>
    <w:basedOn w:val="1"/>
    <w:unhideWhenUsed/>
    <w:qFormat/>
    <w:uiPriority w:val="99"/>
    <w:pPr>
      <w:ind w:firstLine="420" w:firstLineChars="200"/>
    </w:pPr>
  </w:style>
  <w:style w:type="paragraph" w:styleId="9">
    <w:name w:val="caption"/>
    <w:basedOn w:val="1"/>
    <w:next w:val="1"/>
    <w:qFormat/>
    <w:uiPriority w:val="0"/>
    <w:pPr>
      <w:spacing w:before="152" w:after="160"/>
    </w:pPr>
    <w:rPr>
      <w:rFonts w:ascii="Arial" w:hAnsi="Arial" w:eastAsia="黑体" w:cs="Arial"/>
      <w:sz w:val="20"/>
      <w:szCs w:val="20"/>
    </w:rPr>
  </w:style>
  <w:style w:type="paragraph" w:styleId="10">
    <w:name w:val="index 5"/>
    <w:basedOn w:val="1"/>
    <w:next w:val="1"/>
    <w:qFormat/>
    <w:uiPriority w:val="0"/>
    <w:pPr>
      <w:ind w:left="1050" w:hanging="210"/>
      <w:jc w:val="left"/>
    </w:pPr>
    <w:rPr>
      <w:rFonts w:ascii="Calibri" w:hAnsi="Calibri"/>
      <w:sz w:val="20"/>
      <w:szCs w:val="20"/>
    </w:rPr>
  </w:style>
  <w:style w:type="paragraph" w:styleId="11">
    <w:name w:val="Document Map"/>
    <w:basedOn w:val="1"/>
    <w:semiHidden/>
    <w:qFormat/>
    <w:uiPriority w:val="0"/>
    <w:pPr>
      <w:shd w:val="clear" w:color="auto" w:fill="000080"/>
    </w:pPr>
  </w:style>
  <w:style w:type="paragraph" w:styleId="12">
    <w:name w:val="annotation text"/>
    <w:basedOn w:val="1"/>
    <w:link w:val="155"/>
    <w:qFormat/>
    <w:uiPriority w:val="0"/>
    <w:pPr>
      <w:jc w:val="left"/>
    </w:pPr>
  </w:style>
  <w:style w:type="paragraph" w:styleId="13">
    <w:name w:val="index 6"/>
    <w:basedOn w:val="1"/>
    <w:next w:val="1"/>
    <w:qFormat/>
    <w:uiPriority w:val="0"/>
    <w:pPr>
      <w:ind w:left="1260" w:hanging="210"/>
      <w:jc w:val="left"/>
    </w:pPr>
    <w:rPr>
      <w:rFonts w:ascii="Calibri" w:hAnsi="Calibri"/>
      <w:sz w:val="20"/>
      <w:szCs w:val="20"/>
    </w:rPr>
  </w:style>
  <w:style w:type="paragraph" w:styleId="14">
    <w:name w:val="index 4"/>
    <w:basedOn w:val="1"/>
    <w:next w:val="1"/>
    <w:qFormat/>
    <w:uiPriority w:val="0"/>
    <w:pPr>
      <w:ind w:left="840" w:hanging="210"/>
      <w:jc w:val="left"/>
    </w:pPr>
    <w:rPr>
      <w:rFonts w:ascii="Calibri" w:hAnsi="Calibri"/>
      <w:sz w:val="20"/>
      <w:szCs w:val="20"/>
    </w:rPr>
  </w:style>
  <w:style w:type="paragraph" w:styleId="15">
    <w:name w:val="toc 5"/>
    <w:basedOn w:val="1"/>
    <w:next w:val="1"/>
    <w:qFormat/>
    <w:uiPriority w:val="39"/>
    <w:pPr>
      <w:tabs>
        <w:tab w:val="right" w:leader="dot" w:pos="9241"/>
      </w:tabs>
      <w:ind w:firstLine="300" w:firstLineChars="300"/>
      <w:jc w:val="left"/>
    </w:pPr>
    <w:rPr>
      <w:rFonts w:ascii="宋体"/>
      <w:szCs w:val="21"/>
    </w:rPr>
  </w:style>
  <w:style w:type="paragraph" w:styleId="16">
    <w:name w:val="toc 3"/>
    <w:basedOn w:val="17"/>
    <w:next w:val="1"/>
    <w:qFormat/>
    <w:uiPriority w:val="39"/>
    <w:pPr>
      <w:tabs>
        <w:tab w:val="right" w:leader="dot" w:pos="9241"/>
        <w:tab w:val="right" w:leader="dot" w:pos="9242"/>
      </w:tabs>
      <w:ind w:firstLine="100" w:firstLineChars="100"/>
    </w:pPr>
  </w:style>
  <w:style w:type="paragraph" w:styleId="17">
    <w:name w:val="toc 2"/>
    <w:basedOn w:val="18"/>
    <w:next w:val="1"/>
    <w:qFormat/>
    <w:uiPriority w:val="39"/>
    <w:pPr>
      <w:tabs>
        <w:tab w:val="right" w:leader="dot" w:pos="9242"/>
      </w:tabs>
    </w:pPr>
  </w:style>
  <w:style w:type="paragraph" w:styleId="18">
    <w:name w:val="toc 1"/>
    <w:basedOn w:val="1"/>
    <w:next w:val="1"/>
    <w:qFormat/>
    <w:uiPriority w:val="39"/>
    <w:pPr>
      <w:tabs>
        <w:tab w:val="right" w:leader="dot" w:pos="9242"/>
      </w:tabs>
      <w:spacing w:beforeLines="25" w:afterLines="25"/>
      <w:jc w:val="left"/>
    </w:pPr>
    <w:rPr>
      <w:rFonts w:ascii="宋体"/>
      <w:szCs w:val="21"/>
    </w:rPr>
  </w:style>
  <w:style w:type="paragraph" w:styleId="19">
    <w:name w:val="toc 8"/>
    <w:basedOn w:val="1"/>
    <w:next w:val="1"/>
    <w:qFormat/>
    <w:uiPriority w:val="39"/>
    <w:pPr>
      <w:tabs>
        <w:tab w:val="right" w:leader="dot" w:pos="9241"/>
      </w:tabs>
      <w:ind w:firstLine="607" w:firstLineChars="600"/>
      <w:jc w:val="left"/>
    </w:pPr>
    <w:rPr>
      <w:rFonts w:ascii="宋体"/>
      <w:szCs w:val="21"/>
    </w:rPr>
  </w:style>
  <w:style w:type="paragraph" w:styleId="20">
    <w:name w:val="index 3"/>
    <w:basedOn w:val="1"/>
    <w:next w:val="1"/>
    <w:qFormat/>
    <w:uiPriority w:val="0"/>
    <w:pPr>
      <w:ind w:left="630" w:hanging="210"/>
      <w:jc w:val="left"/>
    </w:pPr>
    <w:rPr>
      <w:rFonts w:ascii="Calibri" w:hAnsi="Calibri"/>
      <w:sz w:val="20"/>
      <w:szCs w:val="20"/>
    </w:rPr>
  </w:style>
  <w:style w:type="paragraph" w:styleId="21">
    <w:name w:val="Date"/>
    <w:basedOn w:val="1"/>
    <w:next w:val="1"/>
    <w:link w:val="152"/>
    <w:qFormat/>
    <w:uiPriority w:val="0"/>
    <w:pPr>
      <w:ind w:left="100" w:leftChars="2500"/>
    </w:pPr>
  </w:style>
  <w:style w:type="paragraph" w:styleId="22">
    <w:name w:val="endnote text"/>
    <w:basedOn w:val="1"/>
    <w:semiHidden/>
    <w:qFormat/>
    <w:uiPriority w:val="0"/>
    <w:pPr>
      <w:snapToGrid w:val="0"/>
      <w:jc w:val="left"/>
    </w:pPr>
  </w:style>
  <w:style w:type="paragraph" w:styleId="23">
    <w:name w:val="Balloon Text"/>
    <w:basedOn w:val="1"/>
    <w:link w:val="156"/>
    <w:qFormat/>
    <w:uiPriority w:val="0"/>
    <w:rPr>
      <w:sz w:val="18"/>
      <w:szCs w:val="18"/>
    </w:rPr>
  </w:style>
  <w:style w:type="paragraph" w:styleId="24">
    <w:name w:val="footer"/>
    <w:basedOn w:val="1"/>
    <w:link w:val="147"/>
    <w:qFormat/>
    <w:uiPriority w:val="99"/>
    <w:pPr>
      <w:snapToGrid w:val="0"/>
      <w:ind w:right="210" w:rightChars="100"/>
      <w:jc w:val="right"/>
    </w:pPr>
    <w:rPr>
      <w:sz w:val="18"/>
      <w:szCs w:val="18"/>
    </w:rPr>
  </w:style>
  <w:style w:type="paragraph" w:styleId="25">
    <w:name w:val="header"/>
    <w:basedOn w:val="1"/>
    <w:qFormat/>
    <w:uiPriority w:val="0"/>
    <w:pPr>
      <w:snapToGrid w:val="0"/>
      <w:jc w:val="left"/>
    </w:pPr>
    <w:rPr>
      <w:sz w:val="18"/>
      <w:szCs w:val="18"/>
    </w:rPr>
  </w:style>
  <w:style w:type="paragraph" w:styleId="26">
    <w:name w:val="toc 4"/>
    <w:basedOn w:val="1"/>
    <w:next w:val="1"/>
    <w:qFormat/>
    <w:uiPriority w:val="39"/>
    <w:pPr>
      <w:tabs>
        <w:tab w:val="right" w:leader="dot" w:pos="9241"/>
      </w:tabs>
      <w:ind w:firstLine="200" w:firstLineChars="200"/>
      <w:jc w:val="left"/>
    </w:pPr>
    <w:rPr>
      <w:rFonts w:ascii="宋体"/>
      <w:szCs w:val="21"/>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39"/>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9"/>
    <w:basedOn w:val="1"/>
    <w:next w:val="1"/>
    <w:qFormat/>
    <w:uiPriority w:val="39"/>
    <w:pPr>
      <w:ind w:left="1470"/>
      <w:jc w:val="left"/>
    </w:pPr>
    <w:rPr>
      <w:sz w:val="20"/>
      <w:szCs w:val="20"/>
    </w:rPr>
  </w:style>
  <w:style w:type="paragraph" w:styleId="32">
    <w:name w:val="Body Text 2"/>
    <w:basedOn w:val="1"/>
    <w:link w:val="153"/>
    <w:qFormat/>
    <w:uiPriority w:val="0"/>
    <w:pPr>
      <w:adjustRightInd w:val="0"/>
      <w:spacing w:line="360" w:lineRule="auto"/>
    </w:pPr>
    <w:rPr>
      <w:rFonts w:ascii="宋体" w:hAnsi="宋体"/>
      <w:color w:val="FF6600"/>
      <w:kern w:val="0"/>
      <w:szCs w:val="20"/>
    </w:rPr>
  </w:style>
  <w:style w:type="paragraph" w:styleId="3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12"/>
    <w:next w:val="12"/>
    <w:link w:val="151"/>
    <w:qFormat/>
    <w:uiPriority w:val="0"/>
    <w:rPr>
      <w:b/>
      <w:bCs/>
    </w:rPr>
  </w:style>
  <w:style w:type="table" w:styleId="37">
    <w:name w:val="Table Grid"/>
    <w:basedOn w:val="3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8">
    <w:name w:val="Table Theme"/>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endnote reference"/>
    <w:semiHidden/>
    <w:qFormat/>
    <w:uiPriority w:val="0"/>
    <w:rPr>
      <w:vertAlign w:val="superscript"/>
    </w:rPr>
  </w:style>
  <w:style w:type="character" w:styleId="41">
    <w:name w:val="page number"/>
    <w:basedOn w:val="39"/>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Emphasis"/>
    <w:basedOn w:val="39"/>
    <w:qFormat/>
    <w:uiPriority w:val="0"/>
    <w:rPr>
      <w:i/>
    </w:rPr>
  </w:style>
  <w:style w:type="character" w:styleId="44">
    <w:name w:val="Hyperlink"/>
    <w:qFormat/>
    <w:uiPriority w:val="99"/>
    <w:rPr>
      <w:color w:val="0000FF"/>
      <w:spacing w:val="0"/>
      <w:w w:val="100"/>
      <w:szCs w:val="21"/>
      <w:u w:val="single"/>
      <w:lang w:val="en-US" w:eastAsia="zh-CN"/>
    </w:rPr>
  </w:style>
  <w:style w:type="character" w:styleId="45">
    <w:name w:val="annotation reference"/>
    <w:qFormat/>
    <w:uiPriority w:val="0"/>
    <w:rPr>
      <w:sz w:val="21"/>
      <w:szCs w:val="21"/>
    </w:rPr>
  </w:style>
  <w:style w:type="character" w:styleId="46">
    <w:name w:val="footnote reference"/>
    <w:semiHidden/>
    <w:qFormat/>
    <w:uiPriority w:val="0"/>
    <w:rPr>
      <w:vertAlign w:val="superscript"/>
    </w:rPr>
  </w:style>
  <w:style w:type="paragraph" w:customStyle="1" w:styleId="47">
    <w:name w:val="段"/>
    <w:link w:val="15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48">
    <w:name w:val="三级条标题"/>
    <w:basedOn w:val="49"/>
    <w:next w:val="47"/>
    <w:qFormat/>
    <w:uiPriority w:val="0"/>
    <w:pPr>
      <w:ind w:left="0"/>
      <w:outlineLvl w:val="4"/>
    </w:pPr>
  </w:style>
  <w:style w:type="paragraph" w:customStyle="1" w:styleId="49">
    <w:name w:val="二级条标题"/>
    <w:basedOn w:val="50"/>
    <w:next w:val="47"/>
    <w:qFormat/>
    <w:uiPriority w:val="0"/>
    <w:pPr>
      <w:spacing w:before="50" w:after="50"/>
      <w:ind w:left="284"/>
      <w:outlineLvl w:val="3"/>
    </w:pPr>
  </w:style>
  <w:style w:type="paragraph" w:customStyle="1" w:styleId="50">
    <w:name w:val="一级条标题"/>
    <w:next w:val="47"/>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1">
    <w:name w:val="附录公式"/>
    <w:basedOn w:val="47"/>
    <w:next w:val="47"/>
    <w:link w:val="150"/>
    <w:qFormat/>
    <w:uiPriority w:val="0"/>
  </w:style>
  <w:style w:type="paragraph" w:customStyle="1" w:styleId="52">
    <w:name w:val="附录三级无"/>
    <w:basedOn w:val="53"/>
    <w:qFormat/>
    <w:uiPriority w:val="0"/>
    <w:pPr>
      <w:tabs>
        <w:tab w:val="left" w:pos="360"/>
      </w:tabs>
      <w:spacing w:beforeLines="0" w:afterLines="0"/>
    </w:pPr>
    <w:rPr>
      <w:rFonts w:ascii="宋体" w:eastAsia="宋体"/>
      <w:szCs w:val="21"/>
    </w:rPr>
  </w:style>
  <w:style w:type="paragraph" w:customStyle="1" w:styleId="53">
    <w:name w:val="附录三级条标题"/>
    <w:basedOn w:val="54"/>
    <w:next w:val="47"/>
    <w:qFormat/>
    <w:uiPriority w:val="0"/>
    <w:pPr>
      <w:numPr>
        <w:ilvl w:val="4"/>
        <w:numId w:val="2"/>
      </w:numPr>
      <w:tabs>
        <w:tab w:val="left" w:pos="360"/>
      </w:tabs>
      <w:outlineLvl w:val="4"/>
    </w:pPr>
  </w:style>
  <w:style w:type="paragraph" w:customStyle="1" w:styleId="54">
    <w:name w:val="附录二级条标题"/>
    <w:basedOn w:val="1"/>
    <w:next w:val="47"/>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5">
    <w:name w:val="附录一级条标题"/>
    <w:basedOn w:val="56"/>
    <w:next w:val="47"/>
    <w:qFormat/>
    <w:uiPriority w:val="0"/>
    <w:pPr>
      <w:numPr>
        <w:ilvl w:val="0"/>
        <w:numId w:val="0"/>
      </w:numPr>
      <w:tabs>
        <w:tab w:val="left" w:pos="360"/>
      </w:tabs>
      <w:autoSpaceDN w:val="0"/>
      <w:spacing w:beforeLines="50" w:afterLines="50"/>
      <w:outlineLvl w:val="2"/>
    </w:pPr>
  </w:style>
  <w:style w:type="paragraph" w:customStyle="1" w:styleId="56">
    <w:name w:val="附录章标题"/>
    <w:next w:val="4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7">
    <w:name w:val="正文图标题"/>
    <w:next w:val="47"/>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8">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9">
    <w:name w:val="附录五级无"/>
    <w:basedOn w:val="60"/>
    <w:qFormat/>
    <w:uiPriority w:val="0"/>
    <w:pPr>
      <w:tabs>
        <w:tab w:val="left" w:pos="360"/>
      </w:tabs>
      <w:spacing w:beforeLines="0" w:afterLines="0"/>
    </w:pPr>
    <w:rPr>
      <w:rFonts w:ascii="宋体" w:eastAsia="宋体"/>
      <w:szCs w:val="21"/>
    </w:rPr>
  </w:style>
  <w:style w:type="paragraph" w:customStyle="1" w:styleId="60">
    <w:name w:val="附录五级条标题"/>
    <w:basedOn w:val="61"/>
    <w:next w:val="47"/>
    <w:qFormat/>
    <w:uiPriority w:val="0"/>
    <w:pPr>
      <w:tabs>
        <w:tab w:val="left" w:pos="360"/>
      </w:tabs>
      <w:outlineLvl w:val="6"/>
    </w:pPr>
  </w:style>
  <w:style w:type="paragraph" w:customStyle="1" w:styleId="61">
    <w:name w:val="附录四级条标题"/>
    <w:basedOn w:val="53"/>
    <w:next w:val="47"/>
    <w:qFormat/>
    <w:uiPriority w:val="0"/>
    <w:pPr>
      <w:numPr>
        <w:ilvl w:val="0"/>
        <w:numId w:val="0"/>
      </w:numPr>
      <w:outlineLvl w:val="5"/>
    </w:pPr>
  </w:style>
  <w:style w:type="paragraph" w:customStyle="1" w:styleId="62">
    <w:name w:val="_Style 58"/>
    <w:basedOn w:val="1"/>
    <w:qFormat/>
    <w:uiPriority w:val="34"/>
    <w:pPr>
      <w:ind w:left="480" w:leftChars="200"/>
      <w:jc w:val="left"/>
    </w:pPr>
    <w:rPr>
      <w:rFonts w:ascii="Calibri" w:hAnsi="Calibri" w:eastAsia="PMingLiU"/>
      <w:sz w:val="24"/>
      <w:szCs w:val="22"/>
      <w:lang w:eastAsia="zh-TW"/>
    </w:rPr>
  </w:style>
  <w:style w:type="paragraph" w:customStyle="1" w:styleId="63">
    <w:name w:val="附录一级无"/>
    <w:basedOn w:val="55"/>
    <w:qFormat/>
    <w:uiPriority w:val="0"/>
    <w:pPr>
      <w:spacing w:beforeLines="0" w:afterLines="0"/>
    </w:pPr>
    <w:rPr>
      <w:rFonts w:ascii="宋体" w:eastAsia="宋体"/>
      <w:szCs w:val="21"/>
    </w:rPr>
  </w:style>
  <w:style w:type="paragraph" w:customStyle="1" w:styleId="64">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5">
    <w:name w:val="注：（正文）"/>
    <w:basedOn w:val="66"/>
    <w:next w:val="47"/>
    <w:qFormat/>
    <w:uiPriority w:val="0"/>
    <w:pPr>
      <w:numPr>
        <w:ilvl w:val="0"/>
        <w:numId w:val="5"/>
      </w:numPr>
    </w:pPr>
  </w:style>
  <w:style w:type="paragraph" w:customStyle="1" w:styleId="66">
    <w:name w:val="注："/>
    <w:next w:val="47"/>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图标脚注说明"/>
    <w:basedOn w:val="47"/>
    <w:qFormat/>
    <w:uiPriority w:val="0"/>
    <w:pPr>
      <w:ind w:left="840" w:hanging="420" w:firstLineChars="0"/>
    </w:pPr>
    <w:rPr>
      <w:sz w:val="18"/>
      <w:szCs w:val="18"/>
    </w:rPr>
  </w:style>
  <w:style w:type="paragraph" w:customStyle="1" w:styleId="68">
    <w:name w:val="参考文献"/>
    <w:basedOn w:val="1"/>
    <w:next w:val="4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封面一致性程度标识2"/>
    <w:basedOn w:val="72"/>
    <w:qFormat/>
    <w:uiPriority w:val="0"/>
    <w:pPr>
      <w:framePr w:wrap="around" w:y="4469"/>
    </w:pPr>
  </w:style>
  <w:style w:type="paragraph" w:customStyle="1" w:styleId="72">
    <w:name w:val="封面一致性程度标识"/>
    <w:basedOn w:val="73"/>
    <w:qFormat/>
    <w:uiPriority w:val="0"/>
    <w:pPr>
      <w:framePr w:wrap="around"/>
      <w:spacing w:before="440"/>
    </w:pPr>
    <w:rPr>
      <w:rFonts w:ascii="宋体" w:eastAsia="宋体"/>
    </w:rPr>
  </w:style>
  <w:style w:type="paragraph" w:customStyle="1" w:styleId="73">
    <w:name w:val="封面标准英文名称"/>
    <w:basedOn w:val="74"/>
    <w:qFormat/>
    <w:uiPriority w:val="0"/>
    <w:pPr>
      <w:framePr w:wrap="around"/>
      <w:spacing w:before="370" w:line="400" w:lineRule="exact"/>
    </w:pPr>
    <w:rPr>
      <w:rFonts w:ascii="Times New Roman"/>
      <w:sz w:val="28"/>
      <w:szCs w:val="28"/>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图表脚注说明"/>
    <w:basedOn w:val="1"/>
    <w:qFormat/>
    <w:uiPriority w:val="0"/>
    <w:pPr>
      <w:numPr>
        <w:ilvl w:val="0"/>
        <w:numId w:val="8"/>
      </w:numPr>
    </w:pPr>
    <w:rPr>
      <w:rFonts w:ascii="宋体"/>
      <w:sz w:val="18"/>
      <w:szCs w:val="18"/>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其他发布日期"/>
    <w:basedOn w:val="76"/>
    <w:qFormat/>
    <w:uiPriority w:val="0"/>
    <w:pPr>
      <w:framePr w:wrap="around" w:vAnchor="page" w:hAnchor="text" w:x="1419"/>
    </w:pPr>
  </w:style>
  <w:style w:type="paragraph" w:customStyle="1" w:styleId="80">
    <w:name w:val="发布部门"/>
    <w:next w:val="4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封面标准文稿类别"/>
    <w:basedOn w:val="72"/>
    <w:qFormat/>
    <w:uiPriority w:val="0"/>
    <w:pPr>
      <w:framePr w:wrap="around"/>
      <w:spacing w:after="160" w:line="240" w:lineRule="auto"/>
    </w:pPr>
    <w:rPr>
      <w:sz w:val="24"/>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文稿类别2"/>
    <w:basedOn w:val="81"/>
    <w:qFormat/>
    <w:uiPriority w:val="0"/>
    <w:pPr>
      <w:framePr w:wrap="around" w:y="4469"/>
    </w:pPr>
  </w:style>
  <w:style w:type="paragraph" w:customStyle="1" w:styleId="84">
    <w:name w:val="附录标题"/>
    <w:basedOn w:val="47"/>
    <w:next w:val="47"/>
    <w:qFormat/>
    <w:uiPriority w:val="0"/>
    <w:pPr>
      <w:ind w:firstLine="0" w:firstLineChars="0"/>
      <w:jc w:val="center"/>
    </w:pPr>
    <w:rPr>
      <w:rFonts w:ascii="黑体" w:eastAsia="黑体"/>
    </w:rPr>
  </w:style>
  <w:style w:type="paragraph" w:customStyle="1" w:styleId="8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6">
    <w:name w:val="四级无"/>
    <w:basedOn w:val="87"/>
    <w:qFormat/>
    <w:uiPriority w:val="0"/>
    <w:pPr>
      <w:spacing w:beforeLines="0" w:afterLines="0"/>
    </w:pPr>
    <w:rPr>
      <w:rFonts w:ascii="宋体" w:eastAsia="宋体"/>
    </w:rPr>
  </w:style>
  <w:style w:type="paragraph" w:customStyle="1" w:styleId="87">
    <w:name w:val="四级条标题"/>
    <w:basedOn w:val="48"/>
    <w:next w:val="47"/>
    <w:qFormat/>
    <w:uiPriority w:val="0"/>
    <w:pPr>
      <w:outlineLvl w:val="5"/>
    </w:pPr>
  </w:style>
  <w:style w:type="paragraph" w:customStyle="1" w:styleId="8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9">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90">
    <w:name w:val="参考文献、索引标题"/>
    <w:basedOn w:val="58"/>
    <w:next w:val="1"/>
    <w:qFormat/>
    <w:uiPriority w:val="0"/>
    <w:pPr>
      <w:spacing w:after="200"/>
    </w:pPr>
  </w:style>
  <w:style w:type="paragraph" w:customStyle="1" w:styleId="91">
    <w:name w:val="其他发布部门"/>
    <w:basedOn w:val="80"/>
    <w:qFormat/>
    <w:uiPriority w:val="0"/>
    <w:pPr>
      <w:framePr w:wrap="around" w:y="15310"/>
      <w:spacing w:line="0" w:lineRule="atLeast"/>
    </w:pPr>
    <w:rPr>
      <w:rFonts w:ascii="黑体" w:eastAsia="黑体"/>
      <w:b w:val="0"/>
    </w:rPr>
  </w:style>
  <w:style w:type="paragraph" w:customStyle="1" w:styleId="92">
    <w:name w:val="实施日期"/>
    <w:basedOn w:val="76"/>
    <w:qFormat/>
    <w:uiPriority w:val="0"/>
    <w:pPr>
      <w:framePr w:wrap="around" w:vAnchor="page" w:hAnchor="text"/>
      <w:jc w:val="right"/>
    </w:pPr>
  </w:style>
  <w:style w:type="paragraph" w:customStyle="1" w:styleId="93">
    <w:name w:val="封面标准名称2"/>
    <w:basedOn w:val="74"/>
    <w:qFormat/>
    <w:uiPriority w:val="0"/>
    <w:pPr>
      <w:framePr w:wrap="around" w:y="4469"/>
      <w:spacing w:beforeLines="630"/>
    </w:pPr>
  </w:style>
  <w:style w:type="paragraph" w:customStyle="1" w:styleId="94">
    <w:name w:val="其他实施日期"/>
    <w:basedOn w:val="92"/>
    <w:qFormat/>
    <w:uiPriority w:val="0"/>
    <w:pPr>
      <w:framePr w:wrap="around"/>
    </w:pPr>
  </w:style>
  <w:style w:type="paragraph" w:customStyle="1" w:styleId="95">
    <w:name w:val="其他标准标志"/>
    <w:basedOn w:val="96"/>
    <w:qFormat/>
    <w:uiPriority w:val="0"/>
    <w:pPr>
      <w:framePr w:w="6101" w:wrap="around" w:vAnchor="page" w:hAnchor="page" w:x="4673" w:y="942"/>
    </w:pPr>
    <w:rPr>
      <w:w w:val="130"/>
    </w:rPr>
  </w:style>
  <w:style w:type="paragraph" w:customStyle="1" w:styleId="9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7">
    <w:name w:val="二级无"/>
    <w:basedOn w:val="49"/>
    <w:qFormat/>
    <w:uiPriority w:val="0"/>
    <w:pPr>
      <w:spacing w:beforeLines="0" w:afterLines="0"/>
      <w:ind w:left="0"/>
    </w:pPr>
    <w:rPr>
      <w:rFonts w:ascii="宋体" w:eastAsia="宋体"/>
    </w:rPr>
  </w:style>
  <w:style w:type="paragraph" w:customStyle="1" w:styleId="98">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99">
    <w:name w:val="章标题"/>
    <w:next w:val="100"/>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100">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01">
    <w:name w:val="示例×："/>
    <w:basedOn w:val="99"/>
    <w:qFormat/>
    <w:uiPriority w:val="0"/>
    <w:pPr>
      <w:numPr>
        <w:numId w:val="11"/>
      </w:numPr>
      <w:spacing w:beforeLines="0" w:afterLines="0"/>
      <w:outlineLvl w:val="9"/>
    </w:pPr>
    <w:rPr>
      <w:rFonts w:ascii="宋体" w:eastAsia="宋体"/>
      <w:sz w:val="18"/>
      <w:szCs w:val="18"/>
    </w:rPr>
  </w:style>
  <w:style w:type="paragraph" w:customStyle="1" w:styleId="102">
    <w:name w:val="编号列项（三级）"/>
    <w:qFormat/>
    <w:uiPriority w:val="0"/>
    <w:rPr>
      <w:rFonts w:ascii="宋体" w:hAnsi="Times New Roman" w:eastAsia="宋体" w:cs="Times New Roman"/>
      <w:sz w:val="21"/>
      <w:lang w:val="en-US" w:eastAsia="zh-CN" w:bidi="ar-SA"/>
    </w:rPr>
  </w:style>
  <w:style w:type="paragraph" w:customStyle="1" w:styleId="103">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5">
    <w:name w:val="首示例"/>
    <w:next w:val="47"/>
    <w:link w:val="148"/>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6">
    <w:name w:val="五级无"/>
    <w:basedOn w:val="107"/>
    <w:qFormat/>
    <w:uiPriority w:val="0"/>
    <w:pPr>
      <w:spacing w:beforeLines="0" w:afterLines="0"/>
    </w:pPr>
    <w:rPr>
      <w:rFonts w:ascii="宋体" w:eastAsia="宋体"/>
    </w:rPr>
  </w:style>
  <w:style w:type="paragraph" w:customStyle="1" w:styleId="107">
    <w:name w:val="五级条标题"/>
    <w:basedOn w:val="87"/>
    <w:next w:val="47"/>
    <w:qFormat/>
    <w:uiPriority w:val="0"/>
    <w:pPr>
      <w:outlineLvl w:val="6"/>
    </w:pPr>
  </w:style>
  <w:style w:type="paragraph" w:customStyle="1" w:styleId="108">
    <w:name w:val="标准书眉_偶数页"/>
    <w:basedOn w:val="88"/>
    <w:next w:val="1"/>
    <w:qFormat/>
    <w:uiPriority w:val="0"/>
    <w:pPr>
      <w:jc w:val="left"/>
    </w:pPr>
  </w:style>
  <w:style w:type="paragraph" w:customStyle="1" w:styleId="109">
    <w:name w:val="附录二级无"/>
    <w:basedOn w:val="54"/>
    <w:qFormat/>
    <w:uiPriority w:val="0"/>
    <w:pPr>
      <w:spacing w:beforeLines="0" w:afterLines="0"/>
    </w:pPr>
    <w:rPr>
      <w:rFonts w:ascii="宋体" w:eastAsia="宋体"/>
      <w:szCs w:val="21"/>
    </w:rPr>
  </w:style>
  <w:style w:type="paragraph" w:customStyle="1" w:styleId="110">
    <w:name w:val="终结线"/>
    <w:basedOn w:val="1"/>
    <w:qFormat/>
    <w:uiPriority w:val="0"/>
    <w:pPr>
      <w:framePr w:hSpace="181" w:vSpace="181" w:wrap="around" w:vAnchor="text" w:hAnchor="margin" w:xAlign="center" w:y="285"/>
    </w:pPr>
  </w:style>
  <w:style w:type="paragraph" w:customStyle="1" w:styleId="111">
    <w:name w:val="目次、标准名称标题"/>
    <w:basedOn w:val="58"/>
    <w:next w:val="47"/>
    <w:qFormat/>
    <w:uiPriority w:val="0"/>
    <w:pPr>
      <w:spacing w:line="460" w:lineRule="exact"/>
    </w:pPr>
  </w:style>
  <w:style w:type="paragraph" w:customStyle="1" w:styleId="112">
    <w:name w:val="附录表标号"/>
    <w:basedOn w:val="1"/>
    <w:next w:val="47"/>
    <w:qFormat/>
    <w:uiPriority w:val="0"/>
    <w:pPr>
      <w:numPr>
        <w:ilvl w:val="0"/>
        <w:numId w:val="14"/>
      </w:numPr>
      <w:spacing w:line="14" w:lineRule="exact"/>
      <w:ind w:left="811" w:hanging="448"/>
      <w:jc w:val="center"/>
      <w:outlineLvl w:val="0"/>
    </w:pPr>
    <w:rPr>
      <w:color w:val="FFFFFF"/>
    </w:rPr>
  </w:style>
  <w:style w:type="paragraph" w:customStyle="1" w:styleId="113">
    <w:name w:val="附录四级无"/>
    <w:basedOn w:val="61"/>
    <w:qFormat/>
    <w:uiPriority w:val="0"/>
    <w:pPr>
      <w:spacing w:beforeLines="0" w:afterLines="0"/>
    </w:pPr>
    <w:rPr>
      <w:rFonts w:ascii="宋体" w:eastAsia="宋体"/>
      <w:szCs w:val="21"/>
    </w:rPr>
  </w:style>
  <w:style w:type="paragraph" w:customStyle="1" w:styleId="114">
    <w:name w:val="示例后文字"/>
    <w:basedOn w:val="47"/>
    <w:next w:val="47"/>
    <w:qFormat/>
    <w:uiPriority w:val="0"/>
    <w:pPr>
      <w:ind w:firstLine="360"/>
    </w:pPr>
    <w:rPr>
      <w:sz w:val="18"/>
    </w:rPr>
  </w:style>
  <w:style w:type="paragraph" w:customStyle="1" w:styleId="115">
    <w:name w:val="附录标识"/>
    <w:basedOn w:val="1"/>
    <w:next w:val="1"/>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6">
    <w:name w:val="图的脚注"/>
    <w:next w:val="4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8">
    <w:name w:val="示例"/>
    <w:next w:val="119"/>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1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0">
    <w:name w:val="列项◆（三级）"/>
    <w:basedOn w:val="1"/>
    <w:qFormat/>
    <w:uiPriority w:val="0"/>
    <w:pPr>
      <w:numPr>
        <w:ilvl w:val="2"/>
        <w:numId w:val="4"/>
      </w:numPr>
    </w:pPr>
    <w:rPr>
      <w:rFonts w:ascii="宋体"/>
      <w:szCs w:val="21"/>
    </w:rPr>
  </w:style>
  <w:style w:type="paragraph" w:customStyle="1" w:styleId="12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2">
    <w:name w:val="封面标准英文名称2"/>
    <w:basedOn w:val="73"/>
    <w:qFormat/>
    <w:uiPriority w:val="0"/>
    <w:pPr>
      <w:framePr w:wrap="around" w:y="4469"/>
    </w:pPr>
  </w:style>
  <w:style w:type="paragraph" w:customStyle="1" w:styleId="123">
    <w:name w:val="封面标准文稿编辑信息"/>
    <w:basedOn w:val="81"/>
    <w:qFormat/>
    <w:uiPriority w:val="0"/>
    <w:pPr>
      <w:framePr w:wrap="around"/>
      <w:spacing w:before="180" w:line="180" w:lineRule="exact"/>
    </w:pPr>
    <w:rPr>
      <w:sz w:val="21"/>
    </w:rPr>
  </w:style>
  <w:style w:type="paragraph" w:customStyle="1" w:styleId="124">
    <w:name w:val="正文公式编号制表符"/>
    <w:basedOn w:val="47"/>
    <w:next w:val="47"/>
    <w:qFormat/>
    <w:uiPriority w:val="0"/>
    <w:pPr>
      <w:ind w:firstLine="0" w:firstLineChars="0"/>
    </w:pPr>
  </w:style>
  <w:style w:type="paragraph" w:customStyle="1" w:styleId="12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6">
    <w:name w:val="附录公式编号制表符"/>
    <w:basedOn w:val="1"/>
    <w:next w:val="47"/>
    <w:qFormat/>
    <w:uiPriority w:val="0"/>
    <w:pPr>
      <w:widowControl/>
      <w:tabs>
        <w:tab w:val="center" w:pos="4201"/>
        <w:tab w:val="right" w:leader="dot" w:pos="9298"/>
      </w:tabs>
      <w:autoSpaceDE w:val="0"/>
      <w:autoSpaceDN w:val="0"/>
    </w:pPr>
    <w:rPr>
      <w:rFonts w:ascii="宋体"/>
      <w:kern w:val="0"/>
      <w:szCs w:val="20"/>
    </w:rPr>
  </w:style>
  <w:style w:type="paragraph" w:customStyle="1" w:styleId="127">
    <w:name w:val="正文表标题"/>
    <w:next w:val="47"/>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8">
    <w:name w:val="附录图标题"/>
    <w:basedOn w:val="1"/>
    <w:next w:val="47"/>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29">
    <w:name w:val="附录图标号"/>
    <w:basedOn w:val="1"/>
    <w:next w:val="47"/>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1">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2">
    <w:name w:val="附录表标题"/>
    <w:basedOn w:val="1"/>
    <w:next w:val="47"/>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3">
    <w:name w:val="条文脚注"/>
    <w:basedOn w:val="27"/>
    <w:qFormat/>
    <w:uiPriority w:val="0"/>
    <w:pPr>
      <w:numPr>
        <w:numId w:val="0"/>
      </w:numPr>
      <w:jc w:val="both"/>
    </w:pPr>
  </w:style>
  <w:style w:type="paragraph" w:customStyle="1" w:styleId="134">
    <w:name w:val="三级无"/>
    <w:basedOn w:val="48"/>
    <w:qFormat/>
    <w:uiPriority w:val="0"/>
    <w:pPr>
      <w:spacing w:beforeLines="0" w:afterLines="0"/>
    </w:pPr>
    <w:rPr>
      <w:rFonts w:ascii="宋体" w:eastAsia="宋体"/>
    </w:rPr>
  </w:style>
  <w:style w:type="paragraph" w:customStyle="1" w:styleId="135">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6">
    <w:name w:val="一级无"/>
    <w:basedOn w:val="50"/>
    <w:qFormat/>
    <w:uiPriority w:val="0"/>
    <w:pPr>
      <w:spacing w:beforeLines="0" w:afterLines="0"/>
    </w:pPr>
    <w:rPr>
      <w:rFonts w:ascii="宋体" w:eastAsia="宋体"/>
    </w:rPr>
  </w:style>
  <w:style w:type="paragraph" w:customStyle="1" w:styleId="137">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9">
    <w:name w:val="_Style 134"/>
    <w:basedOn w:val="4"/>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40">
    <w:name w:val="封面标准文稿编辑信息2"/>
    <w:basedOn w:val="123"/>
    <w:qFormat/>
    <w:uiPriority w:val="0"/>
    <w:pPr>
      <w:framePr w:wrap="around" w:y="4469"/>
    </w:pPr>
  </w:style>
  <w:style w:type="paragraph" w:customStyle="1" w:styleId="141">
    <w:name w:val="标准书眉一"/>
    <w:qFormat/>
    <w:uiPriority w:val="0"/>
    <w:pPr>
      <w:jc w:val="both"/>
    </w:pPr>
    <w:rPr>
      <w:rFonts w:ascii="Times New Roman" w:hAnsi="Times New Roman" w:eastAsia="宋体" w:cs="Times New Roman"/>
      <w:lang w:val="en-US" w:eastAsia="zh-CN" w:bidi="ar-SA"/>
    </w:rPr>
  </w:style>
  <w:style w:type="paragraph" w:customStyle="1" w:styleId="14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4">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5">
    <w:name w:val="Table Paragraph"/>
    <w:basedOn w:val="1"/>
    <w:qFormat/>
    <w:uiPriority w:val="1"/>
    <w:pPr>
      <w:jc w:val="left"/>
    </w:pPr>
    <w:rPr>
      <w:rFonts w:ascii="Calibri" w:hAnsi="Calibri"/>
      <w:kern w:val="0"/>
      <w:sz w:val="22"/>
      <w:szCs w:val="22"/>
      <w:lang w:eastAsia="en-US"/>
    </w:rPr>
  </w:style>
  <w:style w:type="character" w:customStyle="1" w:styleId="146">
    <w:name w:val="发布"/>
    <w:qFormat/>
    <w:uiPriority w:val="0"/>
    <w:rPr>
      <w:rFonts w:ascii="黑体" w:eastAsia="黑体"/>
      <w:spacing w:val="85"/>
      <w:w w:val="100"/>
      <w:position w:val="3"/>
      <w:sz w:val="28"/>
      <w:szCs w:val="28"/>
    </w:rPr>
  </w:style>
  <w:style w:type="character" w:customStyle="1" w:styleId="147">
    <w:name w:val="页脚 字符"/>
    <w:link w:val="24"/>
    <w:qFormat/>
    <w:uiPriority w:val="99"/>
    <w:rPr>
      <w:kern w:val="2"/>
      <w:sz w:val="18"/>
      <w:szCs w:val="18"/>
    </w:rPr>
  </w:style>
  <w:style w:type="character" w:customStyle="1" w:styleId="148">
    <w:name w:val="首示例 Char"/>
    <w:link w:val="105"/>
    <w:qFormat/>
    <w:uiPriority w:val="0"/>
    <w:rPr>
      <w:rFonts w:ascii="宋体" w:hAnsi="宋体"/>
      <w:kern w:val="2"/>
      <w:sz w:val="18"/>
      <w:szCs w:val="18"/>
      <w:lang w:val="en-US" w:eastAsia="zh-CN" w:bidi="ar-SA"/>
    </w:rPr>
  </w:style>
  <w:style w:type="character" w:customStyle="1" w:styleId="149">
    <w:name w:val="标题 1 字符"/>
    <w:link w:val="4"/>
    <w:qFormat/>
    <w:uiPriority w:val="0"/>
    <w:rPr>
      <w:b/>
      <w:bCs/>
      <w:kern w:val="44"/>
      <w:sz w:val="44"/>
      <w:szCs w:val="44"/>
    </w:rPr>
  </w:style>
  <w:style w:type="character" w:customStyle="1" w:styleId="150">
    <w:name w:val="附录公式 Char"/>
    <w:link w:val="51"/>
    <w:qFormat/>
    <w:uiPriority w:val="0"/>
    <w:rPr>
      <w:rFonts w:ascii="宋体"/>
      <w:sz w:val="21"/>
      <w:lang w:val="en-US" w:eastAsia="zh-CN" w:bidi="ar-SA"/>
    </w:rPr>
  </w:style>
  <w:style w:type="character" w:customStyle="1" w:styleId="151">
    <w:name w:val="批注主题 字符"/>
    <w:link w:val="35"/>
    <w:qFormat/>
    <w:uiPriority w:val="0"/>
    <w:rPr>
      <w:b/>
      <w:bCs/>
      <w:kern w:val="2"/>
      <w:sz w:val="21"/>
      <w:szCs w:val="24"/>
    </w:rPr>
  </w:style>
  <w:style w:type="character" w:customStyle="1" w:styleId="152">
    <w:name w:val="日期 字符"/>
    <w:link w:val="21"/>
    <w:qFormat/>
    <w:uiPriority w:val="0"/>
    <w:rPr>
      <w:kern w:val="2"/>
      <w:sz w:val="21"/>
      <w:szCs w:val="24"/>
    </w:rPr>
  </w:style>
  <w:style w:type="character" w:customStyle="1" w:styleId="153">
    <w:name w:val="正文文本 2 字符"/>
    <w:link w:val="32"/>
    <w:qFormat/>
    <w:uiPriority w:val="0"/>
    <w:rPr>
      <w:rFonts w:ascii="宋体" w:hAnsi="宋体"/>
      <w:color w:val="FF6600"/>
      <w:sz w:val="21"/>
    </w:rPr>
  </w:style>
  <w:style w:type="character" w:customStyle="1" w:styleId="154">
    <w:name w:val="段 Char"/>
    <w:link w:val="47"/>
    <w:qFormat/>
    <w:uiPriority w:val="0"/>
    <w:rPr>
      <w:rFonts w:ascii="宋体"/>
      <w:sz w:val="21"/>
      <w:lang w:val="en-US" w:eastAsia="zh-CN" w:bidi="ar-SA"/>
    </w:rPr>
  </w:style>
  <w:style w:type="character" w:customStyle="1" w:styleId="155">
    <w:name w:val="批注文字 字符"/>
    <w:link w:val="12"/>
    <w:qFormat/>
    <w:uiPriority w:val="0"/>
    <w:rPr>
      <w:kern w:val="2"/>
      <w:sz w:val="21"/>
      <w:szCs w:val="24"/>
    </w:rPr>
  </w:style>
  <w:style w:type="character" w:customStyle="1" w:styleId="156">
    <w:name w:val="批注框文本 字符"/>
    <w:link w:val="23"/>
    <w:qFormat/>
    <w:uiPriority w:val="0"/>
    <w:rPr>
      <w:kern w:val="2"/>
      <w:sz w:val="18"/>
      <w:szCs w:val="18"/>
    </w:rPr>
  </w:style>
  <w:style w:type="paragraph" w:customStyle="1" w:styleId="157">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8">
    <w:name w:val="font11"/>
    <w:basedOn w:val="39"/>
    <w:qFormat/>
    <w:uiPriority w:val="0"/>
    <w:rPr>
      <w:rFonts w:hint="eastAsia" w:ascii="宋体" w:hAnsi="宋体" w:eastAsia="宋体" w:cs="宋体"/>
      <w:color w:val="000000"/>
      <w:sz w:val="18"/>
      <w:szCs w:val="18"/>
      <w:u w:val="none"/>
    </w:rPr>
  </w:style>
  <w:style w:type="character" w:customStyle="1" w:styleId="159">
    <w:name w:val="font21"/>
    <w:basedOn w:val="39"/>
    <w:qFormat/>
    <w:uiPriority w:val="0"/>
    <w:rPr>
      <w:rFonts w:hint="default" w:ascii="Times New Roman" w:hAnsi="Times New Roman" w:cs="Times New Roman"/>
      <w:color w:val="000000"/>
      <w:sz w:val="18"/>
      <w:szCs w:val="18"/>
      <w:u w:val="none"/>
    </w:rPr>
  </w:style>
  <w:style w:type="character" w:customStyle="1" w:styleId="160">
    <w:name w:val="font01"/>
    <w:basedOn w:val="39"/>
    <w:qFormat/>
    <w:uiPriority w:val="0"/>
    <w:rPr>
      <w:rFonts w:hint="eastAsia" w:ascii="宋体" w:hAnsi="宋体" w:eastAsia="宋体" w:cs="宋体"/>
      <w:color w:val="000000"/>
      <w:sz w:val="18"/>
      <w:szCs w:val="18"/>
      <w:u w:val="none"/>
    </w:rPr>
  </w:style>
  <w:style w:type="paragraph" w:customStyle="1" w:styleId="161">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2">
    <w:name w:val="标准文件_章标题"/>
    <w:next w:val="163"/>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4">
    <w:name w:val="标准文件_术语条一"/>
    <w:basedOn w:val="165"/>
    <w:next w:val="163"/>
    <w:qFormat/>
    <w:uiPriority w:val="0"/>
  </w:style>
  <w:style w:type="paragraph" w:customStyle="1" w:styleId="165">
    <w:name w:val="标准文件_一级无标题"/>
    <w:basedOn w:val="166"/>
    <w:qFormat/>
    <w:uiPriority w:val="0"/>
    <w:pPr>
      <w:spacing w:before="0" w:beforeLines="0" w:after="0" w:afterLines="0"/>
      <w:outlineLvl w:val="9"/>
    </w:pPr>
    <w:rPr>
      <w:rFonts w:ascii="宋体" w:eastAsia="宋体"/>
    </w:rPr>
  </w:style>
  <w:style w:type="paragraph" w:customStyle="1" w:styleId="166">
    <w:name w:val="标准文件_一级条标题"/>
    <w:basedOn w:val="162"/>
    <w:next w:val="163"/>
    <w:qFormat/>
    <w:uiPriority w:val="0"/>
    <w:pPr>
      <w:numPr>
        <w:ilvl w:val="2"/>
      </w:numPr>
      <w:spacing w:before="50" w:beforeLines="50" w:after="50" w:afterLines="50"/>
      <w:ind w:left="0"/>
      <w:outlineLvl w:val="1"/>
    </w:pPr>
  </w:style>
  <w:style w:type="character" w:customStyle="1" w:styleId="167">
    <w:name w:val="15"/>
    <w:basedOn w:val="39"/>
    <w:qFormat/>
    <w:uiPriority w:val="0"/>
    <w:rPr>
      <w:rFonts w:hint="default" w:ascii="Times New Roman" w:hAnsi="Times New Roman" w:cs="Times New Roman"/>
      <w:sz w:val="21"/>
      <w:szCs w:val="21"/>
    </w:rPr>
  </w:style>
  <w:style w:type="paragraph" w:customStyle="1" w:styleId="168">
    <w:name w:val="标准文件_正文表标题"/>
    <w:next w:val="163"/>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69">
    <w:name w:val="标准文件_表格"/>
    <w:basedOn w:val="163"/>
    <w:qFormat/>
    <w:uiPriority w:val="0"/>
    <w:pPr>
      <w:ind w:firstLine="0" w:firstLineChars="0"/>
      <w:jc w:val="center"/>
    </w:pPr>
    <w:rPr>
      <w:sz w:val="18"/>
    </w:rPr>
  </w:style>
  <w:style w:type="paragraph" w:customStyle="1" w:styleId="17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1">
    <w:name w:val="标准文件_图表脚注"/>
    <w:basedOn w:val="1"/>
    <w:next w:val="163"/>
    <w:qFormat/>
    <w:uiPriority w:val="0"/>
    <w:pPr>
      <w:numPr>
        <w:ilvl w:val="0"/>
        <w:numId w:val="20"/>
      </w:numPr>
      <w:jc w:val="left"/>
    </w:pPr>
    <w:rPr>
      <w:rFonts w:ascii="宋体" w:hAnsi="宋体"/>
      <w:sz w:val="18"/>
    </w:rPr>
  </w:style>
  <w:style w:type="paragraph" w:customStyle="1" w:styleId="172">
    <w:name w:val="标准文件_二级条标题"/>
    <w:next w:val="163"/>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3">
    <w:name w:val="标准文件_三级条标题"/>
    <w:basedOn w:val="172"/>
    <w:next w:val="163"/>
    <w:qFormat/>
    <w:uiPriority w:val="0"/>
    <w:pPr>
      <w:widowControl/>
      <w:numPr>
        <w:ilvl w:val="4"/>
      </w:numPr>
      <w:outlineLvl w:val="3"/>
    </w:pPr>
  </w:style>
  <w:style w:type="paragraph" w:customStyle="1" w:styleId="174">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7">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178">
    <w:name w:val="WPSOffice手动目录 1"/>
    <w:qFormat/>
    <w:uiPriority w:val="0"/>
    <w:rPr>
      <w:rFonts w:ascii="Times New Roman" w:hAnsi="Times New Roman" w:eastAsia="宋体" w:cs="Times New Roman"/>
      <w:lang w:val="en-US" w:eastAsia="zh-CN" w:bidi="ar-SA"/>
    </w:rPr>
  </w:style>
  <w:style w:type="paragraph" w:customStyle="1" w:styleId="179">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180">
    <w:name w:val="名称"/>
    <w:basedOn w:val="58"/>
    <w:next w:val="47"/>
    <w:qFormat/>
    <w:uiPriority w:val="0"/>
    <w:pPr>
      <w:spacing w:line="460" w:lineRule="exact"/>
      <w:outlineLvl w:val="9"/>
    </w:pPr>
  </w:style>
  <w:style w:type="paragraph" w:customStyle="1" w:styleId="181">
    <w:name w:val="Body text|1"/>
    <w:basedOn w:val="1"/>
    <w:qFormat/>
    <w:uiPriority w:val="0"/>
    <w:pPr>
      <w:spacing w:line="334" w:lineRule="auto"/>
      <w:ind w:firstLine="400"/>
    </w:pPr>
    <w:rPr>
      <w:rFonts w:ascii="宋体" w:hAnsi="宋体" w:cs="宋体"/>
      <w:color w:val="252525"/>
      <w:sz w:val="20"/>
      <w:szCs w:val="20"/>
      <w:lang w:val="zh-TW" w:eastAsia="zh-TW" w:bidi="zh-TW"/>
    </w:rPr>
  </w:style>
  <w:style w:type="paragraph" w:customStyle="1" w:styleId="182">
    <w:name w:val="Body text|3"/>
    <w:basedOn w:val="1"/>
    <w:qFormat/>
    <w:uiPriority w:val="0"/>
    <w:pPr>
      <w:spacing w:line="228" w:lineRule="auto"/>
    </w:pPr>
    <w:rPr>
      <w:color w:val="474747"/>
      <w:sz w:val="20"/>
      <w:szCs w:val="20"/>
    </w:rPr>
  </w:style>
  <w:style w:type="paragraph" w:customStyle="1" w:styleId="183">
    <w:name w:val="Other|1"/>
    <w:basedOn w:val="1"/>
    <w:qFormat/>
    <w:uiPriority w:val="0"/>
    <w:pPr>
      <w:spacing w:line="334" w:lineRule="auto"/>
      <w:ind w:firstLine="400"/>
    </w:pPr>
    <w:rPr>
      <w:rFonts w:ascii="宋体" w:hAnsi="宋体" w:cs="宋体"/>
      <w:color w:val="252525"/>
      <w:sz w:val="20"/>
      <w:szCs w:val="20"/>
      <w:lang w:val="zh-TW" w:eastAsia="zh-TW" w:bidi="zh-TW"/>
    </w:rPr>
  </w:style>
  <w:style w:type="paragraph" w:customStyle="1" w:styleId="184">
    <w:name w:val="Body text|2"/>
    <w:basedOn w:val="1"/>
    <w:qFormat/>
    <w:uiPriority w:val="0"/>
    <w:pPr>
      <w:spacing w:after="80"/>
      <w:ind w:firstLine="190"/>
    </w:pPr>
    <w:rPr>
      <w:rFonts w:ascii="宋体" w:hAnsi="宋体" w:cs="宋体"/>
      <w:color w:val="252525"/>
      <w:sz w:val="16"/>
      <w:szCs w:val="1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glossaryDocument" Target="glossary/document.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303873"/>
    <w:rsid w:val="004A30A8"/>
    <w:rsid w:val="00D813E5"/>
    <w:rsid w:val="00D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9811F43C92FC4FBFBD3E082E3C33B8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3EE1C55ED284F8F8B529EE40DFB9CC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101"/>
    <customShpInfo spid="_x0000_s2102"/>
    <customShpInfo spid="_x0000_s2103"/>
    <customShpInfo spid="_x0000_s2104"/>
    <customShpInfo spid="_x0000_s2105"/>
    <customShpInfo spid="_x0000_s2052"/>
    <customShpInfo spid="_x0000_s2106"/>
    <customShpInfo spid="_x0000_s210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49</Pages>
  <Words>32241</Words>
  <Characters>34109</Characters>
  <Lines>272</Lines>
  <Paragraphs>76</Paragraphs>
  <TotalTime>8</TotalTime>
  <ScaleCrop>false</ScaleCrop>
  <LinksUpToDate>false</LinksUpToDate>
  <CharactersWithSpaces>34805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2020-06-09T08:56:00Z</dcterms:created>
  <dc:creator>余海燕</dc:creator>
  <cp:lastModifiedBy>JQQ</cp:lastModifiedBy>
  <cp:lastPrinted>2022-08-01T06:33:00Z</cp:lastPrinted>
  <dcterms:modified xsi:type="dcterms:W3CDTF">2023-09-22T03:57:18Z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8AC82E4045024946B6BECC745E14FCF5</vt:lpwstr>
  </property>
</Properties>
</file>